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0817130"/>
    <w:p w14:paraId="448D97F8" w14:textId="34A155F9" w:rsidR="009E30CD" w:rsidRPr="009A5F5E" w:rsidRDefault="00000000" w:rsidP="003748EA">
      <w:pPr>
        <w:pStyle w:val="Title"/>
      </w:pPr>
      <w:sdt>
        <w:sdtPr>
          <w:alias w:val="Title"/>
          <w:tag w:val=""/>
          <w:id w:val="-992257587"/>
          <w:placeholder>
            <w:docPart w:val="F71169D5C2A3DC4497ABEA1DD5312E77"/>
          </w:placeholder>
          <w:dataBinding w:prefixMappings="xmlns:ns0='http://purl.org/dc/elements/1.1/' xmlns:ns1='http://schemas.openxmlformats.org/package/2006/metadata/core-properties' " w:xpath="/ns1:coreProperties[1]/ns0:title[1]" w:storeItemID="{6C3C8BC8-F283-45AE-878A-BAB7291924A1}"/>
          <w:text/>
        </w:sdtPr>
        <w:sdtContent>
          <w:r w:rsidR="00781C8B" w:rsidRPr="009A5F5E">
            <w:t xml:space="preserve">General Practice in Aged Care Incentive </w:t>
          </w:r>
          <w:r w:rsidR="4837684C" w:rsidRPr="009A5F5E">
            <w:t>Guidelines</w:t>
          </w:r>
        </w:sdtContent>
      </w:sdt>
      <w:bookmarkEnd w:id="0"/>
    </w:p>
    <w:p w14:paraId="58E55F3C" w14:textId="77777777" w:rsidR="00F74780" w:rsidRDefault="00F74780" w:rsidP="00F74780">
      <w:r>
        <w:t>Commonwealth policy entity: Department of Health, Disability and Ageing</w:t>
      </w:r>
    </w:p>
    <w:p w14:paraId="728357F0" w14:textId="77777777" w:rsidR="00F74780" w:rsidRDefault="00F74780" w:rsidP="00F74780">
      <w:r>
        <w:t>Administering entity: Services Australia</w:t>
      </w:r>
    </w:p>
    <w:p w14:paraId="41446934" w14:textId="5493FAFB" w:rsidR="00AC461F" w:rsidRDefault="00F74780" w:rsidP="009E30CD">
      <w:r>
        <w:t xml:space="preserve">Type of grant opportunity: Demand driven </w:t>
      </w:r>
    </w:p>
    <w:p w14:paraId="29605143" w14:textId="1DD3F02C" w:rsidR="009E30CD" w:rsidRDefault="28237367" w:rsidP="009E30CD">
      <w:r w:rsidRPr="009A5F5E">
        <w:t xml:space="preserve">Effective – </w:t>
      </w:r>
      <w:r w:rsidR="00C72C7A">
        <w:t>28 October</w:t>
      </w:r>
      <w:r w:rsidR="00C72C7A" w:rsidRPr="009A5F5E">
        <w:t xml:space="preserve"> </w:t>
      </w:r>
      <w:r w:rsidR="001C1804" w:rsidRPr="009A5F5E">
        <w:t>2025</w:t>
      </w:r>
    </w:p>
    <w:p w14:paraId="6FB8CA54" w14:textId="2F3B8631" w:rsidR="00367453" w:rsidRPr="009A5F5E" w:rsidRDefault="00367453" w:rsidP="009E30CD">
      <w:r>
        <w:t>GO ID: GO</w:t>
      </w:r>
      <w:r w:rsidR="00E76BE3">
        <w:t>7943</w:t>
      </w:r>
    </w:p>
    <w:p w14:paraId="677DC3C8" w14:textId="77777777" w:rsidR="00E106E2" w:rsidRPr="009A5F5E" w:rsidRDefault="00E106E2" w:rsidP="009E30CD"/>
    <w:p w14:paraId="52464F49" w14:textId="77F7C4AA" w:rsidR="00E106E2" w:rsidRPr="009A5F5E" w:rsidRDefault="00E106E2" w:rsidP="009E30CD">
      <w:pPr>
        <w:sectPr w:rsidR="00E106E2" w:rsidRPr="009A5F5E" w:rsidSect="004963FC">
          <w:headerReference w:type="even" r:id="rId11"/>
          <w:headerReference w:type="default" r:id="rId12"/>
          <w:footerReference w:type="even" r:id="rId13"/>
          <w:footerReference w:type="default" r:id="rId14"/>
          <w:headerReference w:type="first" r:id="rId15"/>
          <w:footerReference w:type="first" r:id="rId16"/>
          <w:pgSz w:w="11906" w:h="16838" w:code="9"/>
          <w:pgMar w:top="1134" w:right="1021" w:bottom="1701" w:left="1021" w:header="567" w:footer="1814" w:gutter="0"/>
          <w:cols w:space="708"/>
          <w:docGrid w:linePitch="360"/>
        </w:sectPr>
      </w:pPr>
    </w:p>
    <w:sdt>
      <w:sdtPr>
        <w:rPr>
          <w:rFonts w:eastAsiaTheme="minorEastAsia" w:cstheme="minorBidi"/>
          <w:b w:val="0"/>
          <w:sz w:val="22"/>
          <w:szCs w:val="22"/>
        </w:rPr>
        <w:id w:val="209769370"/>
        <w:docPartObj>
          <w:docPartGallery w:val="Table of Contents"/>
          <w:docPartUnique/>
        </w:docPartObj>
      </w:sdtPr>
      <w:sdtContent>
        <w:p w14:paraId="5E6C315E" w14:textId="7563F143" w:rsidR="009E30CD" w:rsidRPr="009A5F5E" w:rsidRDefault="28237367" w:rsidP="004E6190">
          <w:pPr>
            <w:pStyle w:val="TOCHeading"/>
            <w:spacing w:before="0"/>
          </w:pPr>
          <w:r w:rsidRPr="009A5F5E">
            <w:t>Contents</w:t>
          </w:r>
        </w:p>
        <w:p w14:paraId="5251CA97" w14:textId="11690121" w:rsidR="00C8169D" w:rsidRDefault="00275D36">
          <w:pPr>
            <w:pStyle w:val="TOC1"/>
            <w:tabs>
              <w:tab w:val="left" w:pos="480"/>
            </w:tabs>
            <w:rPr>
              <w:rFonts w:asciiTheme="minorHAnsi" w:hAnsiTheme="minorHAnsi"/>
              <w:b w:val="0"/>
              <w:noProof/>
              <w:color w:val="auto"/>
              <w:kern w:val="2"/>
              <w:sz w:val="24"/>
              <w:szCs w:val="24"/>
              <w:u w:val="none"/>
              <w:lang w:eastAsia="en-AU"/>
              <w14:ligatures w14:val="standardContextual"/>
            </w:rPr>
          </w:pPr>
          <w:r w:rsidRPr="009A5F5E">
            <w:fldChar w:fldCharType="begin"/>
          </w:r>
          <w:r w:rsidR="00E32A38" w:rsidRPr="009A5F5E">
            <w:instrText>TOC \o "1-2" \z \u \h</w:instrText>
          </w:r>
          <w:r w:rsidRPr="009A5F5E">
            <w:fldChar w:fldCharType="separate"/>
          </w:r>
          <w:hyperlink w:anchor="_Toc212118213" w:history="1">
            <w:r w:rsidR="00C8169D" w:rsidRPr="00B1594F">
              <w:rPr>
                <w:rStyle w:val="Hyperlink"/>
                <w:noProof/>
              </w:rPr>
              <w:t>1</w:t>
            </w:r>
            <w:r w:rsidR="00C8169D">
              <w:rPr>
                <w:rFonts w:asciiTheme="minorHAnsi" w:hAnsiTheme="minorHAnsi"/>
                <w:b w:val="0"/>
                <w:noProof/>
                <w:color w:val="auto"/>
                <w:kern w:val="2"/>
                <w:sz w:val="24"/>
                <w:szCs w:val="24"/>
                <w:u w:val="none"/>
                <w:lang w:eastAsia="en-AU"/>
                <w14:ligatures w14:val="standardContextual"/>
              </w:rPr>
              <w:tab/>
            </w:r>
            <w:r w:rsidR="00C8169D" w:rsidRPr="00B1594F">
              <w:rPr>
                <w:rStyle w:val="Hyperlink"/>
                <w:noProof/>
              </w:rPr>
              <w:t>About the program</w:t>
            </w:r>
            <w:r w:rsidR="00C8169D">
              <w:rPr>
                <w:noProof/>
                <w:webHidden/>
              </w:rPr>
              <w:tab/>
            </w:r>
            <w:r w:rsidR="00C8169D">
              <w:rPr>
                <w:noProof/>
                <w:webHidden/>
              </w:rPr>
              <w:fldChar w:fldCharType="begin"/>
            </w:r>
            <w:r w:rsidR="00C8169D">
              <w:rPr>
                <w:noProof/>
                <w:webHidden/>
              </w:rPr>
              <w:instrText xml:space="preserve"> PAGEREF _Toc212118213 \h </w:instrText>
            </w:r>
            <w:r w:rsidR="00C8169D">
              <w:rPr>
                <w:noProof/>
                <w:webHidden/>
              </w:rPr>
            </w:r>
            <w:r w:rsidR="00C8169D">
              <w:rPr>
                <w:noProof/>
                <w:webHidden/>
              </w:rPr>
              <w:fldChar w:fldCharType="separate"/>
            </w:r>
            <w:r w:rsidR="00987E1B">
              <w:rPr>
                <w:noProof/>
                <w:webHidden/>
              </w:rPr>
              <w:t>4</w:t>
            </w:r>
            <w:r w:rsidR="00C8169D">
              <w:rPr>
                <w:noProof/>
                <w:webHidden/>
              </w:rPr>
              <w:fldChar w:fldCharType="end"/>
            </w:r>
          </w:hyperlink>
        </w:p>
        <w:p w14:paraId="26D5EAB5" w14:textId="09D91F6E" w:rsidR="00C8169D" w:rsidRDefault="00C8169D">
          <w:pPr>
            <w:pStyle w:val="TOC2"/>
            <w:tabs>
              <w:tab w:val="left" w:pos="720"/>
              <w:tab w:val="right" w:pos="9854"/>
            </w:tabs>
            <w:rPr>
              <w:rFonts w:asciiTheme="minorHAnsi" w:hAnsiTheme="minorHAnsi"/>
              <w:noProof/>
              <w:color w:val="auto"/>
              <w:kern w:val="2"/>
              <w:sz w:val="24"/>
              <w:szCs w:val="24"/>
              <w:lang w:eastAsia="en-AU"/>
              <w14:ligatures w14:val="standardContextual"/>
            </w:rPr>
          </w:pPr>
          <w:hyperlink w:anchor="_Toc212118214" w:history="1">
            <w:r w:rsidRPr="00B1594F">
              <w:rPr>
                <w:rStyle w:val="Hyperlink"/>
                <w:rFonts w:cs="Arial"/>
                <w:bCs/>
                <w:noProof/>
              </w:rPr>
              <w:t>1.1</w:t>
            </w:r>
            <w:r>
              <w:rPr>
                <w:rFonts w:asciiTheme="minorHAnsi" w:hAnsiTheme="minorHAnsi"/>
                <w:noProof/>
                <w:color w:val="auto"/>
                <w:kern w:val="2"/>
                <w:sz w:val="24"/>
                <w:szCs w:val="24"/>
                <w:lang w:eastAsia="en-AU"/>
                <w14:ligatures w14:val="standardContextual"/>
              </w:rPr>
              <w:tab/>
            </w:r>
            <w:r w:rsidRPr="00B1594F">
              <w:rPr>
                <w:rStyle w:val="Hyperlink"/>
                <w:noProof/>
              </w:rPr>
              <w:t>Need for reform</w:t>
            </w:r>
            <w:r>
              <w:rPr>
                <w:noProof/>
                <w:webHidden/>
              </w:rPr>
              <w:tab/>
            </w:r>
            <w:r>
              <w:rPr>
                <w:noProof/>
                <w:webHidden/>
              </w:rPr>
              <w:fldChar w:fldCharType="begin"/>
            </w:r>
            <w:r>
              <w:rPr>
                <w:noProof/>
                <w:webHidden/>
              </w:rPr>
              <w:instrText xml:space="preserve"> PAGEREF _Toc212118214 \h </w:instrText>
            </w:r>
            <w:r>
              <w:rPr>
                <w:noProof/>
                <w:webHidden/>
              </w:rPr>
            </w:r>
            <w:r>
              <w:rPr>
                <w:noProof/>
                <w:webHidden/>
              </w:rPr>
              <w:fldChar w:fldCharType="separate"/>
            </w:r>
            <w:r w:rsidR="00987E1B">
              <w:rPr>
                <w:noProof/>
                <w:webHidden/>
              </w:rPr>
              <w:t>4</w:t>
            </w:r>
            <w:r>
              <w:rPr>
                <w:noProof/>
                <w:webHidden/>
              </w:rPr>
              <w:fldChar w:fldCharType="end"/>
            </w:r>
          </w:hyperlink>
        </w:p>
        <w:p w14:paraId="7799F226" w14:textId="741EEC8F" w:rsidR="00C8169D" w:rsidRDefault="00C8169D">
          <w:pPr>
            <w:pStyle w:val="TOC2"/>
            <w:tabs>
              <w:tab w:val="left" w:pos="720"/>
              <w:tab w:val="right" w:pos="9854"/>
            </w:tabs>
            <w:rPr>
              <w:rFonts w:asciiTheme="minorHAnsi" w:hAnsiTheme="minorHAnsi"/>
              <w:noProof/>
              <w:color w:val="auto"/>
              <w:kern w:val="2"/>
              <w:sz w:val="24"/>
              <w:szCs w:val="24"/>
              <w:lang w:eastAsia="en-AU"/>
              <w14:ligatures w14:val="standardContextual"/>
            </w:rPr>
          </w:pPr>
          <w:hyperlink w:anchor="_Toc212118215" w:history="1">
            <w:r w:rsidRPr="00B1594F">
              <w:rPr>
                <w:rStyle w:val="Hyperlink"/>
                <w:rFonts w:cs="Arial"/>
                <w:bCs/>
                <w:noProof/>
              </w:rPr>
              <w:t>1.2</w:t>
            </w:r>
            <w:r>
              <w:rPr>
                <w:rFonts w:asciiTheme="minorHAnsi" w:hAnsiTheme="minorHAnsi"/>
                <w:noProof/>
                <w:color w:val="auto"/>
                <w:kern w:val="2"/>
                <w:sz w:val="24"/>
                <w:szCs w:val="24"/>
                <w:lang w:eastAsia="en-AU"/>
                <w14:ligatures w14:val="standardContextual"/>
              </w:rPr>
              <w:tab/>
            </w:r>
            <w:r w:rsidRPr="00B1594F">
              <w:rPr>
                <w:rStyle w:val="Hyperlink"/>
                <w:noProof/>
              </w:rPr>
              <w:t>MyMedicare</w:t>
            </w:r>
            <w:r>
              <w:rPr>
                <w:noProof/>
                <w:webHidden/>
              </w:rPr>
              <w:tab/>
            </w:r>
            <w:r>
              <w:rPr>
                <w:noProof/>
                <w:webHidden/>
              </w:rPr>
              <w:fldChar w:fldCharType="begin"/>
            </w:r>
            <w:r>
              <w:rPr>
                <w:noProof/>
                <w:webHidden/>
              </w:rPr>
              <w:instrText xml:space="preserve"> PAGEREF _Toc212118215 \h </w:instrText>
            </w:r>
            <w:r>
              <w:rPr>
                <w:noProof/>
                <w:webHidden/>
              </w:rPr>
            </w:r>
            <w:r>
              <w:rPr>
                <w:noProof/>
                <w:webHidden/>
              </w:rPr>
              <w:fldChar w:fldCharType="separate"/>
            </w:r>
            <w:r w:rsidR="00987E1B">
              <w:rPr>
                <w:noProof/>
                <w:webHidden/>
              </w:rPr>
              <w:t>4</w:t>
            </w:r>
            <w:r>
              <w:rPr>
                <w:noProof/>
                <w:webHidden/>
              </w:rPr>
              <w:fldChar w:fldCharType="end"/>
            </w:r>
          </w:hyperlink>
        </w:p>
        <w:p w14:paraId="67EB982F" w14:textId="28B39D2C" w:rsidR="00C8169D" w:rsidRDefault="00C8169D">
          <w:pPr>
            <w:pStyle w:val="TOC2"/>
            <w:tabs>
              <w:tab w:val="left" w:pos="720"/>
              <w:tab w:val="right" w:pos="9854"/>
            </w:tabs>
            <w:rPr>
              <w:rFonts w:asciiTheme="minorHAnsi" w:hAnsiTheme="minorHAnsi"/>
              <w:noProof/>
              <w:color w:val="auto"/>
              <w:kern w:val="2"/>
              <w:sz w:val="24"/>
              <w:szCs w:val="24"/>
              <w:lang w:eastAsia="en-AU"/>
              <w14:ligatures w14:val="standardContextual"/>
            </w:rPr>
          </w:pPr>
          <w:hyperlink w:anchor="_Toc212118216" w:history="1">
            <w:r w:rsidRPr="00B1594F">
              <w:rPr>
                <w:rStyle w:val="Hyperlink"/>
                <w:rFonts w:cs="Arial"/>
                <w:bCs/>
                <w:noProof/>
              </w:rPr>
              <w:t>1.3</w:t>
            </w:r>
            <w:r>
              <w:rPr>
                <w:rFonts w:asciiTheme="minorHAnsi" w:hAnsiTheme="minorHAnsi"/>
                <w:noProof/>
                <w:color w:val="auto"/>
                <w:kern w:val="2"/>
                <w:sz w:val="24"/>
                <w:szCs w:val="24"/>
                <w:lang w:eastAsia="en-AU"/>
                <w14:ligatures w14:val="standardContextual"/>
              </w:rPr>
              <w:tab/>
            </w:r>
            <w:r w:rsidRPr="00B1594F">
              <w:rPr>
                <w:rStyle w:val="Hyperlink"/>
                <w:noProof/>
              </w:rPr>
              <w:t>The GPACI</w:t>
            </w:r>
            <w:r>
              <w:rPr>
                <w:noProof/>
                <w:webHidden/>
              </w:rPr>
              <w:tab/>
            </w:r>
            <w:r>
              <w:rPr>
                <w:noProof/>
                <w:webHidden/>
              </w:rPr>
              <w:fldChar w:fldCharType="begin"/>
            </w:r>
            <w:r>
              <w:rPr>
                <w:noProof/>
                <w:webHidden/>
              </w:rPr>
              <w:instrText xml:space="preserve"> PAGEREF _Toc212118216 \h </w:instrText>
            </w:r>
            <w:r>
              <w:rPr>
                <w:noProof/>
                <w:webHidden/>
              </w:rPr>
            </w:r>
            <w:r>
              <w:rPr>
                <w:noProof/>
                <w:webHidden/>
              </w:rPr>
              <w:fldChar w:fldCharType="separate"/>
            </w:r>
            <w:r w:rsidR="00987E1B">
              <w:rPr>
                <w:noProof/>
                <w:webHidden/>
              </w:rPr>
              <w:t>5</w:t>
            </w:r>
            <w:r>
              <w:rPr>
                <w:noProof/>
                <w:webHidden/>
              </w:rPr>
              <w:fldChar w:fldCharType="end"/>
            </w:r>
          </w:hyperlink>
        </w:p>
        <w:p w14:paraId="543A30FE" w14:textId="0681A75F" w:rsidR="00C8169D" w:rsidRDefault="00C8169D">
          <w:pPr>
            <w:pStyle w:val="TOC1"/>
            <w:tabs>
              <w:tab w:val="left" w:pos="480"/>
            </w:tabs>
            <w:rPr>
              <w:rFonts w:asciiTheme="minorHAnsi" w:hAnsiTheme="minorHAnsi"/>
              <w:b w:val="0"/>
              <w:noProof/>
              <w:color w:val="auto"/>
              <w:kern w:val="2"/>
              <w:sz w:val="24"/>
              <w:szCs w:val="24"/>
              <w:u w:val="none"/>
              <w:lang w:eastAsia="en-AU"/>
              <w14:ligatures w14:val="standardContextual"/>
            </w:rPr>
          </w:pPr>
          <w:hyperlink w:anchor="_Toc212118217" w:history="1">
            <w:r w:rsidRPr="00B1594F">
              <w:rPr>
                <w:rStyle w:val="Hyperlink"/>
                <w:noProof/>
              </w:rPr>
              <w:t>2</w:t>
            </w:r>
            <w:r>
              <w:rPr>
                <w:rFonts w:asciiTheme="minorHAnsi" w:hAnsiTheme="minorHAnsi"/>
                <w:b w:val="0"/>
                <w:noProof/>
                <w:color w:val="auto"/>
                <w:kern w:val="2"/>
                <w:sz w:val="24"/>
                <w:szCs w:val="24"/>
                <w:u w:val="none"/>
                <w:lang w:eastAsia="en-AU"/>
                <w14:ligatures w14:val="standardContextual"/>
              </w:rPr>
              <w:tab/>
            </w:r>
            <w:r w:rsidRPr="00B1594F">
              <w:rPr>
                <w:rStyle w:val="Hyperlink"/>
                <w:noProof/>
              </w:rPr>
              <w:t>Eligibility Criteria to register</w:t>
            </w:r>
            <w:r>
              <w:rPr>
                <w:noProof/>
                <w:webHidden/>
              </w:rPr>
              <w:tab/>
            </w:r>
            <w:r>
              <w:rPr>
                <w:noProof/>
                <w:webHidden/>
              </w:rPr>
              <w:fldChar w:fldCharType="begin"/>
            </w:r>
            <w:r>
              <w:rPr>
                <w:noProof/>
                <w:webHidden/>
              </w:rPr>
              <w:instrText xml:space="preserve"> PAGEREF _Toc212118217 \h </w:instrText>
            </w:r>
            <w:r>
              <w:rPr>
                <w:noProof/>
                <w:webHidden/>
              </w:rPr>
            </w:r>
            <w:r>
              <w:rPr>
                <w:noProof/>
                <w:webHidden/>
              </w:rPr>
              <w:fldChar w:fldCharType="separate"/>
            </w:r>
            <w:r w:rsidR="00987E1B">
              <w:rPr>
                <w:noProof/>
                <w:webHidden/>
              </w:rPr>
              <w:t>6</w:t>
            </w:r>
            <w:r>
              <w:rPr>
                <w:noProof/>
                <w:webHidden/>
              </w:rPr>
              <w:fldChar w:fldCharType="end"/>
            </w:r>
          </w:hyperlink>
        </w:p>
        <w:p w14:paraId="57766C05" w14:textId="619241D0" w:rsidR="00C8169D" w:rsidRDefault="00C8169D">
          <w:pPr>
            <w:pStyle w:val="TOC2"/>
            <w:tabs>
              <w:tab w:val="left" w:pos="720"/>
              <w:tab w:val="right" w:pos="9854"/>
            </w:tabs>
            <w:rPr>
              <w:rFonts w:asciiTheme="minorHAnsi" w:hAnsiTheme="minorHAnsi"/>
              <w:noProof/>
              <w:color w:val="auto"/>
              <w:kern w:val="2"/>
              <w:sz w:val="24"/>
              <w:szCs w:val="24"/>
              <w:lang w:eastAsia="en-AU"/>
              <w14:ligatures w14:val="standardContextual"/>
            </w:rPr>
          </w:pPr>
          <w:hyperlink w:anchor="_Toc212118218" w:history="1">
            <w:r w:rsidRPr="00B1594F">
              <w:rPr>
                <w:rStyle w:val="Hyperlink"/>
                <w:rFonts w:cs="Arial"/>
                <w:noProof/>
              </w:rPr>
              <w:t>2.2</w:t>
            </w:r>
            <w:r>
              <w:rPr>
                <w:rFonts w:asciiTheme="minorHAnsi" w:hAnsiTheme="minorHAnsi"/>
                <w:noProof/>
                <w:color w:val="auto"/>
                <w:kern w:val="2"/>
                <w:sz w:val="24"/>
                <w:szCs w:val="24"/>
                <w:lang w:eastAsia="en-AU"/>
                <w14:ligatures w14:val="standardContextual"/>
              </w:rPr>
              <w:tab/>
            </w:r>
            <w:r w:rsidRPr="00B1594F">
              <w:rPr>
                <w:rStyle w:val="Hyperlink"/>
                <w:noProof/>
              </w:rPr>
              <w:t>Who is not eligible to apply?</w:t>
            </w:r>
            <w:r>
              <w:rPr>
                <w:noProof/>
                <w:webHidden/>
              </w:rPr>
              <w:tab/>
            </w:r>
            <w:r>
              <w:rPr>
                <w:noProof/>
                <w:webHidden/>
              </w:rPr>
              <w:fldChar w:fldCharType="begin"/>
            </w:r>
            <w:r>
              <w:rPr>
                <w:noProof/>
                <w:webHidden/>
              </w:rPr>
              <w:instrText xml:space="preserve"> PAGEREF _Toc212118218 \h </w:instrText>
            </w:r>
            <w:r>
              <w:rPr>
                <w:noProof/>
                <w:webHidden/>
              </w:rPr>
            </w:r>
            <w:r>
              <w:rPr>
                <w:noProof/>
                <w:webHidden/>
              </w:rPr>
              <w:fldChar w:fldCharType="separate"/>
            </w:r>
            <w:r w:rsidR="00987E1B">
              <w:rPr>
                <w:noProof/>
                <w:webHidden/>
              </w:rPr>
              <w:t>8</w:t>
            </w:r>
            <w:r>
              <w:rPr>
                <w:noProof/>
                <w:webHidden/>
              </w:rPr>
              <w:fldChar w:fldCharType="end"/>
            </w:r>
          </w:hyperlink>
        </w:p>
        <w:p w14:paraId="751ADD4C" w14:textId="18E36CFF" w:rsidR="00C8169D" w:rsidRDefault="00C8169D">
          <w:pPr>
            <w:pStyle w:val="TOC2"/>
            <w:tabs>
              <w:tab w:val="left" w:pos="720"/>
              <w:tab w:val="right" w:pos="9854"/>
            </w:tabs>
            <w:rPr>
              <w:rFonts w:asciiTheme="minorHAnsi" w:hAnsiTheme="minorHAnsi"/>
              <w:noProof/>
              <w:color w:val="auto"/>
              <w:kern w:val="2"/>
              <w:sz w:val="24"/>
              <w:szCs w:val="24"/>
              <w:lang w:eastAsia="en-AU"/>
              <w14:ligatures w14:val="standardContextual"/>
            </w:rPr>
          </w:pPr>
          <w:hyperlink w:anchor="_Toc212118219" w:history="1">
            <w:r w:rsidRPr="00B1594F">
              <w:rPr>
                <w:rStyle w:val="Hyperlink"/>
                <w:rFonts w:cs="Arial"/>
                <w:noProof/>
              </w:rPr>
              <w:t>2.3</w:t>
            </w:r>
            <w:r>
              <w:rPr>
                <w:rFonts w:asciiTheme="minorHAnsi" w:hAnsiTheme="minorHAnsi"/>
                <w:noProof/>
                <w:color w:val="auto"/>
                <w:kern w:val="2"/>
                <w:sz w:val="24"/>
                <w:szCs w:val="24"/>
                <w:lang w:eastAsia="en-AU"/>
                <w14:ligatures w14:val="standardContextual"/>
              </w:rPr>
              <w:tab/>
            </w:r>
            <w:r w:rsidRPr="00B1594F">
              <w:rPr>
                <w:rStyle w:val="Hyperlink"/>
                <w:noProof/>
              </w:rPr>
              <w:t>Organisational change</w:t>
            </w:r>
            <w:r>
              <w:rPr>
                <w:noProof/>
                <w:webHidden/>
              </w:rPr>
              <w:tab/>
            </w:r>
            <w:r>
              <w:rPr>
                <w:noProof/>
                <w:webHidden/>
              </w:rPr>
              <w:fldChar w:fldCharType="begin"/>
            </w:r>
            <w:r>
              <w:rPr>
                <w:noProof/>
                <w:webHidden/>
              </w:rPr>
              <w:instrText xml:space="preserve"> PAGEREF _Toc212118219 \h </w:instrText>
            </w:r>
            <w:r>
              <w:rPr>
                <w:noProof/>
                <w:webHidden/>
              </w:rPr>
            </w:r>
            <w:r>
              <w:rPr>
                <w:noProof/>
                <w:webHidden/>
              </w:rPr>
              <w:fldChar w:fldCharType="separate"/>
            </w:r>
            <w:r w:rsidR="00987E1B">
              <w:rPr>
                <w:noProof/>
                <w:webHidden/>
              </w:rPr>
              <w:t>8</w:t>
            </w:r>
            <w:r>
              <w:rPr>
                <w:noProof/>
                <w:webHidden/>
              </w:rPr>
              <w:fldChar w:fldCharType="end"/>
            </w:r>
          </w:hyperlink>
        </w:p>
        <w:p w14:paraId="22A89284" w14:textId="123305B7" w:rsidR="00C8169D" w:rsidRDefault="00C8169D">
          <w:pPr>
            <w:pStyle w:val="TOC1"/>
            <w:tabs>
              <w:tab w:val="left" w:pos="480"/>
            </w:tabs>
            <w:rPr>
              <w:rFonts w:asciiTheme="minorHAnsi" w:hAnsiTheme="minorHAnsi"/>
              <w:b w:val="0"/>
              <w:noProof/>
              <w:color w:val="auto"/>
              <w:kern w:val="2"/>
              <w:sz w:val="24"/>
              <w:szCs w:val="24"/>
              <w:u w:val="none"/>
              <w:lang w:eastAsia="en-AU"/>
              <w14:ligatures w14:val="standardContextual"/>
            </w:rPr>
          </w:pPr>
          <w:hyperlink w:anchor="_Toc212118220" w:history="1">
            <w:r w:rsidRPr="00B1594F">
              <w:rPr>
                <w:rStyle w:val="Hyperlink"/>
                <w:noProof/>
              </w:rPr>
              <w:t>3</w:t>
            </w:r>
            <w:r>
              <w:rPr>
                <w:rFonts w:asciiTheme="minorHAnsi" w:hAnsiTheme="minorHAnsi"/>
                <w:b w:val="0"/>
                <w:noProof/>
                <w:color w:val="auto"/>
                <w:kern w:val="2"/>
                <w:sz w:val="24"/>
                <w:szCs w:val="24"/>
                <w:u w:val="none"/>
                <w:lang w:eastAsia="en-AU"/>
                <w14:ligatures w14:val="standardContextual"/>
              </w:rPr>
              <w:tab/>
            </w:r>
            <w:r w:rsidRPr="00B1594F">
              <w:rPr>
                <w:rStyle w:val="Hyperlink"/>
                <w:noProof/>
              </w:rPr>
              <w:t>Eligibility requirements for payment</w:t>
            </w:r>
            <w:r>
              <w:rPr>
                <w:noProof/>
                <w:webHidden/>
              </w:rPr>
              <w:tab/>
            </w:r>
            <w:r>
              <w:rPr>
                <w:noProof/>
                <w:webHidden/>
              </w:rPr>
              <w:fldChar w:fldCharType="begin"/>
            </w:r>
            <w:r>
              <w:rPr>
                <w:noProof/>
                <w:webHidden/>
              </w:rPr>
              <w:instrText xml:space="preserve"> PAGEREF _Toc212118220 \h </w:instrText>
            </w:r>
            <w:r>
              <w:rPr>
                <w:noProof/>
                <w:webHidden/>
              </w:rPr>
            </w:r>
            <w:r>
              <w:rPr>
                <w:noProof/>
                <w:webHidden/>
              </w:rPr>
              <w:fldChar w:fldCharType="separate"/>
            </w:r>
            <w:r w:rsidR="00987E1B">
              <w:rPr>
                <w:noProof/>
                <w:webHidden/>
              </w:rPr>
              <w:t>9</w:t>
            </w:r>
            <w:r>
              <w:rPr>
                <w:noProof/>
                <w:webHidden/>
              </w:rPr>
              <w:fldChar w:fldCharType="end"/>
            </w:r>
          </w:hyperlink>
        </w:p>
        <w:p w14:paraId="380986A1" w14:textId="20B96F2A" w:rsidR="00C8169D" w:rsidRDefault="00C8169D">
          <w:pPr>
            <w:pStyle w:val="TOC2"/>
            <w:tabs>
              <w:tab w:val="left" w:pos="720"/>
              <w:tab w:val="right" w:pos="9854"/>
            </w:tabs>
            <w:rPr>
              <w:rFonts w:asciiTheme="minorHAnsi" w:hAnsiTheme="minorHAnsi"/>
              <w:noProof/>
              <w:color w:val="auto"/>
              <w:kern w:val="2"/>
              <w:sz w:val="24"/>
              <w:szCs w:val="24"/>
              <w:lang w:eastAsia="en-AU"/>
              <w14:ligatures w14:val="standardContextual"/>
            </w:rPr>
          </w:pPr>
          <w:hyperlink w:anchor="_Toc212118221" w:history="1">
            <w:r w:rsidRPr="00B1594F">
              <w:rPr>
                <w:rStyle w:val="Hyperlink"/>
                <w:rFonts w:cs="Arial"/>
                <w:bCs/>
                <w:noProof/>
              </w:rPr>
              <w:t>3.1</w:t>
            </w:r>
            <w:r>
              <w:rPr>
                <w:rFonts w:asciiTheme="minorHAnsi" w:hAnsiTheme="minorHAnsi"/>
                <w:noProof/>
                <w:color w:val="auto"/>
                <w:kern w:val="2"/>
                <w:sz w:val="24"/>
                <w:szCs w:val="24"/>
                <w:lang w:eastAsia="en-AU"/>
                <w14:ligatures w14:val="standardContextual"/>
              </w:rPr>
              <w:tab/>
            </w:r>
            <w:r w:rsidRPr="00B1594F">
              <w:rPr>
                <w:rStyle w:val="Hyperlink"/>
                <w:noProof/>
              </w:rPr>
              <w:t>Quarterly servicing requirements</w:t>
            </w:r>
            <w:r>
              <w:rPr>
                <w:noProof/>
                <w:webHidden/>
              </w:rPr>
              <w:tab/>
            </w:r>
            <w:r>
              <w:rPr>
                <w:noProof/>
                <w:webHidden/>
              </w:rPr>
              <w:fldChar w:fldCharType="begin"/>
            </w:r>
            <w:r>
              <w:rPr>
                <w:noProof/>
                <w:webHidden/>
              </w:rPr>
              <w:instrText xml:space="preserve"> PAGEREF _Toc212118221 \h </w:instrText>
            </w:r>
            <w:r>
              <w:rPr>
                <w:noProof/>
                <w:webHidden/>
              </w:rPr>
            </w:r>
            <w:r>
              <w:rPr>
                <w:noProof/>
                <w:webHidden/>
              </w:rPr>
              <w:fldChar w:fldCharType="separate"/>
            </w:r>
            <w:r w:rsidR="00987E1B">
              <w:rPr>
                <w:noProof/>
                <w:webHidden/>
              </w:rPr>
              <w:t>9</w:t>
            </w:r>
            <w:r>
              <w:rPr>
                <w:noProof/>
                <w:webHidden/>
              </w:rPr>
              <w:fldChar w:fldCharType="end"/>
            </w:r>
          </w:hyperlink>
        </w:p>
        <w:p w14:paraId="607E9C90" w14:textId="2F36E97A" w:rsidR="00C8169D" w:rsidRDefault="00C8169D">
          <w:pPr>
            <w:pStyle w:val="TOC2"/>
            <w:tabs>
              <w:tab w:val="left" w:pos="720"/>
              <w:tab w:val="right" w:pos="9854"/>
            </w:tabs>
            <w:rPr>
              <w:rFonts w:asciiTheme="minorHAnsi" w:hAnsiTheme="minorHAnsi"/>
              <w:noProof/>
              <w:color w:val="auto"/>
              <w:kern w:val="2"/>
              <w:sz w:val="24"/>
              <w:szCs w:val="24"/>
              <w:lang w:eastAsia="en-AU"/>
              <w14:ligatures w14:val="standardContextual"/>
            </w:rPr>
          </w:pPr>
          <w:hyperlink w:anchor="_Toc212118222" w:history="1">
            <w:r w:rsidRPr="00B1594F">
              <w:rPr>
                <w:rStyle w:val="Hyperlink"/>
                <w:rFonts w:cs="Arial"/>
                <w:bCs/>
                <w:noProof/>
              </w:rPr>
              <w:t>3.2</w:t>
            </w:r>
            <w:r>
              <w:rPr>
                <w:rFonts w:asciiTheme="minorHAnsi" w:hAnsiTheme="minorHAnsi"/>
                <w:noProof/>
                <w:color w:val="auto"/>
                <w:kern w:val="2"/>
                <w:sz w:val="24"/>
                <w:szCs w:val="24"/>
                <w:lang w:eastAsia="en-AU"/>
                <w14:ligatures w14:val="standardContextual"/>
              </w:rPr>
              <w:tab/>
            </w:r>
            <w:r w:rsidRPr="00B1594F">
              <w:rPr>
                <w:rStyle w:val="Hyperlink"/>
                <w:noProof/>
              </w:rPr>
              <w:t>12-month servicing requirements</w:t>
            </w:r>
            <w:r>
              <w:rPr>
                <w:noProof/>
                <w:webHidden/>
              </w:rPr>
              <w:tab/>
            </w:r>
            <w:r>
              <w:rPr>
                <w:noProof/>
                <w:webHidden/>
              </w:rPr>
              <w:fldChar w:fldCharType="begin"/>
            </w:r>
            <w:r>
              <w:rPr>
                <w:noProof/>
                <w:webHidden/>
              </w:rPr>
              <w:instrText xml:space="preserve"> PAGEREF _Toc212118222 \h </w:instrText>
            </w:r>
            <w:r>
              <w:rPr>
                <w:noProof/>
                <w:webHidden/>
              </w:rPr>
            </w:r>
            <w:r>
              <w:rPr>
                <w:noProof/>
                <w:webHidden/>
              </w:rPr>
              <w:fldChar w:fldCharType="separate"/>
            </w:r>
            <w:r w:rsidR="00987E1B">
              <w:rPr>
                <w:noProof/>
                <w:webHidden/>
              </w:rPr>
              <w:t>9</w:t>
            </w:r>
            <w:r>
              <w:rPr>
                <w:noProof/>
                <w:webHidden/>
              </w:rPr>
              <w:fldChar w:fldCharType="end"/>
            </w:r>
          </w:hyperlink>
        </w:p>
        <w:p w14:paraId="7449247D" w14:textId="02C4D8CB" w:rsidR="00C8169D" w:rsidRDefault="00C8169D">
          <w:pPr>
            <w:pStyle w:val="TOC2"/>
            <w:tabs>
              <w:tab w:val="left" w:pos="720"/>
              <w:tab w:val="right" w:pos="9854"/>
            </w:tabs>
            <w:rPr>
              <w:rFonts w:asciiTheme="minorHAnsi" w:hAnsiTheme="minorHAnsi"/>
              <w:noProof/>
              <w:color w:val="auto"/>
              <w:kern w:val="2"/>
              <w:sz w:val="24"/>
              <w:szCs w:val="24"/>
              <w:lang w:eastAsia="en-AU"/>
              <w14:ligatures w14:val="standardContextual"/>
            </w:rPr>
          </w:pPr>
          <w:hyperlink w:anchor="_Toc212118223" w:history="1">
            <w:r w:rsidRPr="00B1594F">
              <w:rPr>
                <w:rStyle w:val="Hyperlink"/>
                <w:rFonts w:cs="Arial"/>
                <w:bCs/>
                <w:noProof/>
              </w:rPr>
              <w:t>3.3</w:t>
            </w:r>
            <w:r>
              <w:rPr>
                <w:rFonts w:asciiTheme="minorHAnsi" w:hAnsiTheme="minorHAnsi"/>
                <w:noProof/>
                <w:color w:val="auto"/>
                <w:kern w:val="2"/>
                <w:sz w:val="24"/>
                <w:szCs w:val="24"/>
                <w:lang w:eastAsia="en-AU"/>
                <w14:ligatures w14:val="standardContextual"/>
              </w:rPr>
              <w:tab/>
            </w:r>
            <w:r w:rsidRPr="00B1594F">
              <w:rPr>
                <w:rStyle w:val="Hyperlink"/>
                <w:noProof/>
              </w:rPr>
              <w:t>Telehealth services – Modified Monash Model areas 4 to 7</w:t>
            </w:r>
            <w:r>
              <w:rPr>
                <w:noProof/>
                <w:webHidden/>
              </w:rPr>
              <w:tab/>
            </w:r>
            <w:r>
              <w:rPr>
                <w:noProof/>
                <w:webHidden/>
              </w:rPr>
              <w:fldChar w:fldCharType="begin"/>
            </w:r>
            <w:r>
              <w:rPr>
                <w:noProof/>
                <w:webHidden/>
              </w:rPr>
              <w:instrText xml:space="preserve"> PAGEREF _Toc212118223 \h </w:instrText>
            </w:r>
            <w:r>
              <w:rPr>
                <w:noProof/>
                <w:webHidden/>
              </w:rPr>
            </w:r>
            <w:r>
              <w:rPr>
                <w:noProof/>
                <w:webHidden/>
              </w:rPr>
              <w:fldChar w:fldCharType="separate"/>
            </w:r>
            <w:r w:rsidR="00987E1B">
              <w:rPr>
                <w:noProof/>
                <w:webHidden/>
              </w:rPr>
              <w:t>10</w:t>
            </w:r>
            <w:r>
              <w:rPr>
                <w:noProof/>
                <w:webHidden/>
              </w:rPr>
              <w:fldChar w:fldCharType="end"/>
            </w:r>
          </w:hyperlink>
        </w:p>
        <w:p w14:paraId="3509C9FE" w14:textId="078D60D3" w:rsidR="00C8169D" w:rsidRDefault="00C8169D">
          <w:pPr>
            <w:pStyle w:val="TOC1"/>
            <w:tabs>
              <w:tab w:val="left" w:pos="480"/>
            </w:tabs>
            <w:rPr>
              <w:rFonts w:asciiTheme="minorHAnsi" w:hAnsiTheme="minorHAnsi"/>
              <w:b w:val="0"/>
              <w:noProof/>
              <w:color w:val="auto"/>
              <w:kern w:val="2"/>
              <w:sz w:val="24"/>
              <w:szCs w:val="24"/>
              <w:u w:val="none"/>
              <w:lang w:eastAsia="en-AU"/>
              <w14:ligatures w14:val="standardContextual"/>
            </w:rPr>
          </w:pPr>
          <w:hyperlink w:anchor="_Toc212118224" w:history="1">
            <w:r w:rsidRPr="00B1594F">
              <w:rPr>
                <w:rStyle w:val="Hyperlink"/>
                <w:noProof/>
              </w:rPr>
              <w:t>4</w:t>
            </w:r>
            <w:r>
              <w:rPr>
                <w:rFonts w:asciiTheme="minorHAnsi" w:hAnsiTheme="minorHAnsi"/>
                <w:b w:val="0"/>
                <w:noProof/>
                <w:color w:val="auto"/>
                <w:kern w:val="2"/>
                <w:sz w:val="24"/>
                <w:szCs w:val="24"/>
                <w:u w:val="none"/>
                <w:lang w:eastAsia="en-AU"/>
                <w14:ligatures w14:val="standardContextual"/>
              </w:rPr>
              <w:tab/>
            </w:r>
            <w:r w:rsidRPr="00B1594F">
              <w:rPr>
                <w:rStyle w:val="Hyperlink"/>
                <w:noProof/>
              </w:rPr>
              <w:t>Additional delivery requirements</w:t>
            </w:r>
            <w:r>
              <w:rPr>
                <w:noProof/>
                <w:webHidden/>
              </w:rPr>
              <w:tab/>
            </w:r>
            <w:r>
              <w:rPr>
                <w:noProof/>
                <w:webHidden/>
              </w:rPr>
              <w:fldChar w:fldCharType="begin"/>
            </w:r>
            <w:r>
              <w:rPr>
                <w:noProof/>
                <w:webHidden/>
              </w:rPr>
              <w:instrText xml:space="preserve"> PAGEREF _Toc212118224 \h </w:instrText>
            </w:r>
            <w:r>
              <w:rPr>
                <w:noProof/>
                <w:webHidden/>
              </w:rPr>
            </w:r>
            <w:r>
              <w:rPr>
                <w:noProof/>
                <w:webHidden/>
              </w:rPr>
              <w:fldChar w:fldCharType="separate"/>
            </w:r>
            <w:r w:rsidR="00987E1B">
              <w:rPr>
                <w:noProof/>
                <w:webHidden/>
              </w:rPr>
              <w:t>10</w:t>
            </w:r>
            <w:r>
              <w:rPr>
                <w:noProof/>
                <w:webHidden/>
              </w:rPr>
              <w:fldChar w:fldCharType="end"/>
            </w:r>
          </w:hyperlink>
        </w:p>
        <w:p w14:paraId="5396F568" w14:textId="7EB05134" w:rsidR="00C8169D" w:rsidRDefault="00C8169D">
          <w:pPr>
            <w:pStyle w:val="TOC2"/>
            <w:tabs>
              <w:tab w:val="left" w:pos="720"/>
              <w:tab w:val="right" w:pos="9854"/>
            </w:tabs>
            <w:rPr>
              <w:rFonts w:asciiTheme="minorHAnsi" w:hAnsiTheme="minorHAnsi"/>
              <w:noProof/>
              <w:color w:val="auto"/>
              <w:kern w:val="2"/>
              <w:sz w:val="24"/>
              <w:szCs w:val="24"/>
              <w:lang w:eastAsia="en-AU"/>
              <w14:ligatures w14:val="standardContextual"/>
            </w:rPr>
          </w:pPr>
          <w:hyperlink w:anchor="_Toc212118225" w:history="1">
            <w:r w:rsidRPr="00B1594F">
              <w:rPr>
                <w:rStyle w:val="Hyperlink"/>
                <w:rFonts w:cs="Arial"/>
                <w:bCs/>
                <w:noProof/>
              </w:rPr>
              <w:t>4.1</w:t>
            </w:r>
            <w:r>
              <w:rPr>
                <w:rFonts w:asciiTheme="minorHAnsi" w:hAnsiTheme="minorHAnsi"/>
                <w:noProof/>
                <w:color w:val="auto"/>
                <w:kern w:val="2"/>
                <w:sz w:val="24"/>
                <w:szCs w:val="24"/>
                <w:lang w:eastAsia="en-AU"/>
                <w14:ligatures w14:val="standardContextual"/>
              </w:rPr>
              <w:tab/>
            </w:r>
            <w:r w:rsidRPr="00B1594F">
              <w:rPr>
                <w:rStyle w:val="Hyperlink"/>
                <w:noProof/>
              </w:rPr>
              <w:t>Medicare Benefit Schedule and Department of Veterans’ Affairs requirements</w:t>
            </w:r>
            <w:r>
              <w:rPr>
                <w:noProof/>
                <w:webHidden/>
              </w:rPr>
              <w:tab/>
            </w:r>
            <w:r>
              <w:rPr>
                <w:noProof/>
                <w:webHidden/>
              </w:rPr>
              <w:fldChar w:fldCharType="begin"/>
            </w:r>
            <w:r>
              <w:rPr>
                <w:noProof/>
                <w:webHidden/>
              </w:rPr>
              <w:instrText xml:space="preserve"> PAGEREF _Toc212118225 \h </w:instrText>
            </w:r>
            <w:r>
              <w:rPr>
                <w:noProof/>
                <w:webHidden/>
              </w:rPr>
            </w:r>
            <w:r>
              <w:rPr>
                <w:noProof/>
                <w:webHidden/>
              </w:rPr>
              <w:fldChar w:fldCharType="separate"/>
            </w:r>
            <w:r w:rsidR="00987E1B">
              <w:rPr>
                <w:noProof/>
                <w:webHidden/>
              </w:rPr>
              <w:t>10</w:t>
            </w:r>
            <w:r>
              <w:rPr>
                <w:noProof/>
                <w:webHidden/>
              </w:rPr>
              <w:fldChar w:fldCharType="end"/>
            </w:r>
          </w:hyperlink>
        </w:p>
        <w:p w14:paraId="61517258" w14:textId="1D07EAEE" w:rsidR="00C8169D" w:rsidRDefault="00C8169D">
          <w:pPr>
            <w:pStyle w:val="TOC2"/>
            <w:tabs>
              <w:tab w:val="left" w:pos="720"/>
              <w:tab w:val="right" w:pos="9854"/>
            </w:tabs>
            <w:rPr>
              <w:rFonts w:asciiTheme="minorHAnsi" w:hAnsiTheme="minorHAnsi"/>
              <w:noProof/>
              <w:color w:val="auto"/>
              <w:kern w:val="2"/>
              <w:sz w:val="24"/>
              <w:szCs w:val="24"/>
              <w:lang w:eastAsia="en-AU"/>
              <w14:ligatures w14:val="standardContextual"/>
            </w:rPr>
          </w:pPr>
          <w:hyperlink w:anchor="_Toc212118226" w:history="1">
            <w:r w:rsidRPr="00B1594F">
              <w:rPr>
                <w:rStyle w:val="Hyperlink"/>
                <w:rFonts w:cs="Arial"/>
                <w:bCs/>
                <w:noProof/>
              </w:rPr>
              <w:t>4.2</w:t>
            </w:r>
            <w:r>
              <w:rPr>
                <w:rFonts w:asciiTheme="minorHAnsi" w:hAnsiTheme="minorHAnsi"/>
                <w:noProof/>
                <w:color w:val="auto"/>
                <w:kern w:val="2"/>
                <w:sz w:val="24"/>
                <w:szCs w:val="24"/>
                <w:lang w:eastAsia="en-AU"/>
                <w14:ligatures w14:val="standardContextual"/>
              </w:rPr>
              <w:tab/>
            </w:r>
            <w:r w:rsidRPr="00B1594F">
              <w:rPr>
                <w:rStyle w:val="Hyperlink"/>
                <w:noProof/>
              </w:rPr>
              <w:t>Legislative requirements</w:t>
            </w:r>
            <w:r>
              <w:rPr>
                <w:noProof/>
                <w:webHidden/>
              </w:rPr>
              <w:tab/>
            </w:r>
            <w:r>
              <w:rPr>
                <w:noProof/>
                <w:webHidden/>
              </w:rPr>
              <w:fldChar w:fldCharType="begin"/>
            </w:r>
            <w:r>
              <w:rPr>
                <w:noProof/>
                <w:webHidden/>
              </w:rPr>
              <w:instrText xml:space="preserve"> PAGEREF _Toc212118226 \h </w:instrText>
            </w:r>
            <w:r>
              <w:rPr>
                <w:noProof/>
                <w:webHidden/>
              </w:rPr>
            </w:r>
            <w:r>
              <w:rPr>
                <w:noProof/>
                <w:webHidden/>
              </w:rPr>
              <w:fldChar w:fldCharType="separate"/>
            </w:r>
            <w:r w:rsidR="00987E1B">
              <w:rPr>
                <w:noProof/>
                <w:webHidden/>
              </w:rPr>
              <w:t>10</w:t>
            </w:r>
            <w:r>
              <w:rPr>
                <w:noProof/>
                <w:webHidden/>
              </w:rPr>
              <w:fldChar w:fldCharType="end"/>
            </w:r>
          </w:hyperlink>
        </w:p>
        <w:p w14:paraId="0C9C7276" w14:textId="661882DC" w:rsidR="00C8169D" w:rsidRDefault="00C8169D">
          <w:pPr>
            <w:pStyle w:val="TOC1"/>
            <w:tabs>
              <w:tab w:val="left" w:pos="480"/>
            </w:tabs>
            <w:rPr>
              <w:rFonts w:asciiTheme="minorHAnsi" w:hAnsiTheme="minorHAnsi"/>
              <w:b w:val="0"/>
              <w:noProof/>
              <w:color w:val="auto"/>
              <w:kern w:val="2"/>
              <w:sz w:val="24"/>
              <w:szCs w:val="24"/>
              <w:u w:val="none"/>
              <w:lang w:eastAsia="en-AU"/>
              <w14:ligatures w14:val="standardContextual"/>
            </w:rPr>
          </w:pPr>
          <w:hyperlink w:anchor="_Toc212118227" w:history="1">
            <w:r w:rsidRPr="00B1594F">
              <w:rPr>
                <w:rStyle w:val="Hyperlink"/>
                <w:noProof/>
              </w:rPr>
              <w:t>5</w:t>
            </w:r>
            <w:r>
              <w:rPr>
                <w:rFonts w:asciiTheme="minorHAnsi" w:hAnsiTheme="minorHAnsi"/>
                <w:b w:val="0"/>
                <w:noProof/>
                <w:color w:val="auto"/>
                <w:kern w:val="2"/>
                <w:sz w:val="24"/>
                <w:szCs w:val="24"/>
                <w:u w:val="none"/>
                <w:lang w:eastAsia="en-AU"/>
                <w14:ligatures w14:val="standardContextual"/>
              </w:rPr>
              <w:tab/>
            </w:r>
            <w:r w:rsidRPr="00B1594F">
              <w:rPr>
                <w:rStyle w:val="Hyperlink"/>
                <w:noProof/>
              </w:rPr>
              <w:t>Opt-out processes</w:t>
            </w:r>
            <w:r>
              <w:rPr>
                <w:noProof/>
                <w:webHidden/>
              </w:rPr>
              <w:tab/>
            </w:r>
            <w:r>
              <w:rPr>
                <w:noProof/>
                <w:webHidden/>
              </w:rPr>
              <w:fldChar w:fldCharType="begin"/>
            </w:r>
            <w:r>
              <w:rPr>
                <w:noProof/>
                <w:webHidden/>
              </w:rPr>
              <w:instrText xml:space="preserve"> PAGEREF _Toc212118227 \h </w:instrText>
            </w:r>
            <w:r>
              <w:rPr>
                <w:noProof/>
                <w:webHidden/>
              </w:rPr>
            </w:r>
            <w:r>
              <w:rPr>
                <w:noProof/>
                <w:webHidden/>
              </w:rPr>
              <w:fldChar w:fldCharType="separate"/>
            </w:r>
            <w:r w:rsidR="00987E1B">
              <w:rPr>
                <w:noProof/>
                <w:webHidden/>
              </w:rPr>
              <w:t>10</w:t>
            </w:r>
            <w:r>
              <w:rPr>
                <w:noProof/>
                <w:webHidden/>
              </w:rPr>
              <w:fldChar w:fldCharType="end"/>
            </w:r>
          </w:hyperlink>
        </w:p>
        <w:p w14:paraId="68DFE032" w14:textId="0C6DEB91" w:rsidR="00C8169D" w:rsidRDefault="00C8169D">
          <w:pPr>
            <w:pStyle w:val="TOC2"/>
            <w:tabs>
              <w:tab w:val="left" w:pos="720"/>
              <w:tab w:val="right" w:pos="9854"/>
            </w:tabs>
            <w:rPr>
              <w:rFonts w:asciiTheme="minorHAnsi" w:hAnsiTheme="minorHAnsi"/>
              <w:noProof/>
              <w:color w:val="auto"/>
              <w:kern w:val="2"/>
              <w:sz w:val="24"/>
              <w:szCs w:val="24"/>
              <w:lang w:eastAsia="en-AU"/>
              <w14:ligatures w14:val="standardContextual"/>
            </w:rPr>
          </w:pPr>
          <w:hyperlink w:anchor="_Toc212118228" w:history="1">
            <w:r w:rsidRPr="00B1594F">
              <w:rPr>
                <w:rStyle w:val="Hyperlink"/>
                <w:rFonts w:cs="Arial"/>
                <w:bCs/>
                <w:noProof/>
              </w:rPr>
              <w:t>5.1</w:t>
            </w:r>
            <w:r>
              <w:rPr>
                <w:rFonts w:asciiTheme="minorHAnsi" w:hAnsiTheme="minorHAnsi"/>
                <w:noProof/>
                <w:color w:val="auto"/>
                <w:kern w:val="2"/>
                <w:sz w:val="24"/>
                <w:szCs w:val="24"/>
                <w:lang w:eastAsia="en-AU"/>
                <w14:ligatures w14:val="standardContextual"/>
              </w:rPr>
              <w:tab/>
            </w:r>
            <w:r w:rsidRPr="00B1594F">
              <w:rPr>
                <w:rStyle w:val="Hyperlink"/>
                <w:noProof/>
              </w:rPr>
              <w:t>Practice opt-out</w:t>
            </w:r>
            <w:r>
              <w:rPr>
                <w:noProof/>
                <w:webHidden/>
              </w:rPr>
              <w:tab/>
            </w:r>
            <w:r>
              <w:rPr>
                <w:noProof/>
                <w:webHidden/>
              </w:rPr>
              <w:fldChar w:fldCharType="begin"/>
            </w:r>
            <w:r>
              <w:rPr>
                <w:noProof/>
                <w:webHidden/>
              </w:rPr>
              <w:instrText xml:space="preserve"> PAGEREF _Toc212118228 \h </w:instrText>
            </w:r>
            <w:r>
              <w:rPr>
                <w:noProof/>
                <w:webHidden/>
              </w:rPr>
            </w:r>
            <w:r>
              <w:rPr>
                <w:noProof/>
                <w:webHidden/>
              </w:rPr>
              <w:fldChar w:fldCharType="separate"/>
            </w:r>
            <w:r w:rsidR="00987E1B">
              <w:rPr>
                <w:noProof/>
                <w:webHidden/>
              </w:rPr>
              <w:t>10</w:t>
            </w:r>
            <w:r>
              <w:rPr>
                <w:noProof/>
                <w:webHidden/>
              </w:rPr>
              <w:fldChar w:fldCharType="end"/>
            </w:r>
          </w:hyperlink>
        </w:p>
        <w:p w14:paraId="6FA8DB5E" w14:textId="53C5DF88" w:rsidR="00C8169D" w:rsidRDefault="00C8169D">
          <w:pPr>
            <w:pStyle w:val="TOC2"/>
            <w:tabs>
              <w:tab w:val="left" w:pos="720"/>
              <w:tab w:val="right" w:pos="9854"/>
            </w:tabs>
            <w:rPr>
              <w:rFonts w:asciiTheme="minorHAnsi" w:hAnsiTheme="minorHAnsi"/>
              <w:noProof/>
              <w:color w:val="auto"/>
              <w:kern w:val="2"/>
              <w:sz w:val="24"/>
              <w:szCs w:val="24"/>
              <w:lang w:eastAsia="en-AU"/>
              <w14:ligatures w14:val="standardContextual"/>
            </w:rPr>
          </w:pPr>
          <w:hyperlink w:anchor="_Toc212118229" w:history="1">
            <w:r w:rsidRPr="00B1594F">
              <w:rPr>
                <w:rStyle w:val="Hyperlink"/>
                <w:rFonts w:cs="Arial"/>
                <w:bCs/>
                <w:noProof/>
              </w:rPr>
              <w:t>5.2</w:t>
            </w:r>
            <w:r>
              <w:rPr>
                <w:rFonts w:asciiTheme="minorHAnsi" w:hAnsiTheme="minorHAnsi"/>
                <w:noProof/>
                <w:color w:val="auto"/>
                <w:kern w:val="2"/>
                <w:sz w:val="24"/>
                <w:szCs w:val="24"/>
                <w:lang w:eastAsia="en-AU"/>
                <w14:ligatures w14:val="standardContextual"/>
              </w:rPr>
              <w:tab/>
            </w:r>
            <w:r w:rsidRPr="00B1594F">
              <w:rPr>
                <w:rStyle w:val="Hyperlink"/>
                <w:noProof/>
              </w:rPr>
              <w:t>Patient withdrawal</w:t>
            </w:r>
            <w:r>
              <w:rPr>
                <w:noProof/>
                <w:webHidden/>
              </w:rPr>
              <w:tab/>
            </w:r>
            <w:r>
              <w:rPr>
                <w:noProof/>
                <w:webHidden/>
              </w:rPr>
              <w:fldChar w:fldCharType="begin"/>
            </w:r>
            <w:r>
              <w:rPr>
                <w:noProof/>
                <w:webHidden/>
              </w:rPr>
              <w:instrText xml:space="preserve"> PAGEREF _Toc212118229 \h </w:instrText>
            </w:r>
            <w:r>
              <w:rPr>
                <w:noProof/>
                <w:webHidden/>
              </w:rPr>
            </w:r>
            <w:r>
              <w:rPr>
                <w:noProof/>
                <w:webHidden/>
              </w:rPr>
              <w:fldChar w:fldCharType="separate"/>
            </w:r>
            <w:r w:rsidR="00987E1B">
              <w:rPr>
                <w:noProof/>
                <w:webHidden/>
              </w:rPr>
              <w:t>11</w:t>
            </w:r>
            <w:r>
              <w:rPr>
                <w:noProof/>
                <w:webHidden/>
              </w:rPr>
              <w:fldChar w:fldCharType="end"/>
            </w:r>
          </w:hyperlink>
        </w:p>
        <w:p w14:paraId="3BF492FE" w14:textId="25BB1C97" w:rsidR="00C8169D" w:rsidRDefault="00C8169D">
          <w:pPr>
            <w:pStyle w:val="TOC1"/>
            <w:tabs>
              <w:tab w:val="left" w:pos="480"/>
            </w:tabs>
            <w:rPr>
              <w:rFonts w:asciiTheme="minorHAnsi" w:hAnsiTheme="minorHAnsi"/>
              <w:b w:val="0"/>
              <w:noProof/>
              <w:color w:val="auto"/>
              <w:kern w:val="2"/>
              <w:sz w:val="24"/>
              <w:szCs w:val="24"/>
              <w:u w:val="none"/>
              <w:lang w:eastAsia="en-AU"/>
              <w14:ligatures w14:val="standardContextual"/>
            </w:rPr>
          </w:pPr>
          <w:hyperlink w:anchor="_Toc212118230" w:history="1">
            <w:r w:rsidRPr="00B1594F">
              <w:rPr>
                <w:rStyle w:val="Hyperlink"/>
                <w:noProof/>
              </w:rPr>
              <w:t>6</w:t>
            </w:r>
            <w:r>
              <w:rPr>
                <w:rFonts w:asciiTheme="minorHAnsi" w:hAnsiTheme="minorHAnsi"/>
                <w:b w:val="0"/>
                <w:noProof/>
                <w:color w:val="auto"/>
                <w:kern w:val="2"/>
                <w:sz w:val="24"/>
                <w:szCs w:val="24"/>
                <w:u w:val="none"/>
                <w:lang w:eastAsia="en-AU"/>
                <w14:ligatures w14:val="standardContextual"/>
              </w:rPr>
              <w:tab/>
            </w:r>
            <w:r w:rsidRPr="00B1594F">
              <w:rPr>
                <w:rStyle w:val="Hyperlink"/>
                <w:noProof/>
              </w:rPr>
              <w:t>Funding amounts and periods</w:t>
            </w:r>
            <w:r>
              <w:rPr>
                <w:noProof/>
                <w:webHidden/>
              </w:rPr>
              <w:tab/>
            </w:r>
            <w:r>
              <w:rPr>
                <w:noProof/>
                <w:webHidden/>
              </w:rPr>
              <w:fldChar w:fldCharType="begin"/>
            </w:r>
            <w:r>
              <w:rPr>
                <w:noProof/>
                <w:webHidden/>
              </w:rPr>
              <w:instrText xml:space="preserve"> PAGEREF _Toc212118230 \h </w:instrText>
            </w:r>
            <w:r>
              <w:rPr>
                <w:noProof/>
                <w:webHidden/>
              </w:rPr>
            </w:r>
            <w:r>
              <w:rPr>
                <w:noProof/>
                <w:webHidden/>
              </w:rPr>
              <w:fldChar w:fldCharType="separate"/>
            </w:r>
            <w:r w:rsidR="00987E1B">
              <w:rPr>
                <w:noProof/>
                <w:webHidden/>
              </w:rPr>
              <w:t>11</w:t>
            </w:r>
            <w:r>
              <w:rPr>
                <w:noProof/>
                <w:webHidden/>
              </w:rPr>
              <w:fldChar w:fldCharType="end"/>
            </w:r>
          </w:hyperlink>
        </w:p>
        <w:p w14:paraId="30B7FF34" w14:textId="5FA82FC5" w:rsidR="00C8169D" w:rsidRDefault="00C8169D">
          <w:pPr>
            <w:pStyle w:val="TOC2"/>
            <w:tabs>
              <w:tab w:val="left" w:pos="720"/>
              <w:tab w:val="right" w:pos="9854"/>
            </w:tabs>
            <w:rPr>
              <w:rFonts w:asciiTheme="minorHAnsi" w:hAnsiTheme="minorHAnsi"/>
              <w:noProof/>
              <w:color w:val="auto"/>
              <w:kern w:val="2"/>
              <w:sz w:val="24"/>
              <w:szCs w:val="24"/>
              <w:lang w:eastAsia="en-AU"/>
              <w14:ligatures w14:val="standardContextual"/>
            </w:rPr>
          </w:pPr>
          <w:hyperlink w:anchor="_Toc212118231" w:history="1">
            <w:r w:rsidRPr="00B1594F">
              <w:rPr>
                <w:rStyle w:val="Hyperlink"/>
                <w:rFonts w:cs="Arial"/>
                <w:bCs/>
                <w:noProof/>
              </w:rPr>
              <w:t>6.2</w:t>
            </w:r>
            <w:r>
              <w:rPr>
                <w:rFonts w:asciiTheme="minorHAnsi" w:hAnsiTheme="minorHAnsi"/>
                <w:noProof/>
                <w:color w:val="auto"/>
                <w:kern w:val="2"/>
                <w:sz w:val="24"/>
                <w:szCs w:val="24"/>
                <w:lang w:eastAsia="en-AU"/>
                <w14:ligatures w14:val="standardContextual"/>
              </w:rPr>
              <w:tab/>
            </w:r>
            <w:r w:rsidRPr="00B1594F">
              <w:rPr>
                <w:rStyle w:val="Hyperlink"/>
                <w:noProof/>
              </w:rPr>
              <w:t>Payment eligibility</w:t>
            </w:r>
            <w:r>
              <w:rPr>
                <w:noProof/>
                <w:webHidden/>
              </w:rPr>
              <w:tab/>
            </w:r>
            <w:r>
              <w:rPr>
                <w:noProof/>
                <w:webHidden/>
              </w:rPr>
              <w:fldChar w:fldCharType="begin"/>
            </w:r>
            <w:r>
              <w:rPr>
                <w:noProof/>
                <w:webHidden/>
              </w:rPr>
              <w:instrText xml:space="preserve"> PAGEREF _Toc212118231 \h </w:instrText>
            </w:r>
            <w:r>
              <w:rPr>
                <w:noProof/>
                <w:webHidden/>
              </w:rPr>
            </w:r>
            <w:r>
              <w:rPr>
                <w:noProof/>
                <w:webHidden/>
              </w:rPr>
              <w:fldChar w:fldCharType="separate"/>
            </w:r>
            <w:r w:rsidR="00987E1B">
              <w:rPr>
                <w:noProof/>
                <w:webHidden/>
              </w:rPr>
              <w:t>11</w:t>
            </w:r>
            <w:r>
              <w:rPr>
                <w:noProof/>
                <w:webHidden/>
              </w:rPr>
              <w:fldChar w:fldCharType="end"/>
            </w:r>
          </w:hyperlink>
        </w:p>
        <w:p w14:paraId="1DC63B12" w14:textId="1CC7B585" w:rsidR="00C8169D" w:rsidRDefault="00C8169D">
          <w:pPr>
            <w:pStyle w:val="TOC2"/>
            <w:tabs>
              <w:tab w:val="left" w:pos="720"/>
              <w:tab w:val="right" w:pos="9854"/>
            </w:tabs>
            <w:rPr>
              <w:rFonts w:asciiTheme="minorHAnsi" w:hAnsiTheme="minorHAnsi"/>
              <w:noProof/>
              <w:color w:val="auto"/>
              <w:kern w:val="2"/>
              <w:sz w:val="24"/>
              <w:szCs w:val="24"/>
              <w:lang w:eastAsia="en-AU"/>
              <w14:ligatures w14:val="standardContextual"/>
            </w:rPr>
          </w:pPr>
          <w:hyperlink w:anchor="_Toc212118232" w:history="1">
            <w:r w:rsidRPr="00B1594F">
              <w:rPr>
                <w:rStyle w:val="Hyperlink"/>
                <w:rFonts w:cs="Arial"/>
                <w:bCs/>
                <w:noProof/>
              </w:rPr>
              <w:t>6.3</w:t>
            </w:r>
            <w:r>
              <w:rPr>
                <w:rFonts w:asciiTheme="minorHAnsi" w:hAnsiTheme="minorHAnsi"/>
                <w:noProof/>
                <w:color w:val="auto"/>
                <w:kern w:val="2"/>
                <w:sz w:val="24"/>
                <w:szCs w:val="24"/>
                <w:lang w:eastAsia="en-AU"/>
                <w14:ligatures w14:val="standardContextual"/>
              </w:rPr>
              <w:tab/>
            </w:r>
            <w:r w:rsidRPr="00B1594F">
              <w:rPr>
                <w:rStyle w:val="Hyperlink"/>
                <w:noProof/>
              </w:rPr>
              <w:t>Payment amounts</w:t>
            </w:r>
            <w:r>
              <w:rPr>
                <w:noProof/>
                <w:webHidden/>
              </w:rPr>
              <w:tab/>
            </w:r>
            <w:r>
              <w:rPr>
                <w:noProof/>
                <w:webHidden/>
              </w:rPr>
              <w:fldChar w:fldCharType="begin"/>
            </w:r>
            <w:r>
              <w:rPr>
                <w:noProof/>
                <w:webHidden/>
              </w:rPr>
              <w:instrText xml:space="preserve"> PAGEREF _Toc212118232 \h </w:instrText>
            </w:r>
            <w:r>
              <w:rPr>
                <w:noProof/>
                <w:webHidden/>
              </w:rPr>
            </w:r>
            <w:r>
              <w:rPr>
                <w:noProof/>
                <w:webHidden/>
              </w:rPr>
              <w:fldChar w:fldCharType="separate"/>
            </w:r>
            <w:r w:rsidR="00987E1B">
              <w:rPr>
                <w:noProof/>
                <w:webHidden/>
              </w:rPr>
              <w:t>11</w:t>
            </w:r>
            <w:r>
              <w:rPr>
                <w:noProof/>
                <w:webHidden/>
              </w:rPr>
              <w:fldChar w:fldCharType="end"/>
            </w:r>
          </w:hyperlink>
        </w:p>
        <w:p w14:paraId="58D4D876" w14:textId="66DD636D" w:rsidR="00C8169D" w:rsidRDefault="00C8169D">
          <w:pPr>
            <w:pStyle w:val="TOC2"/>
            <w:tabs>
              <w:tab w:val="left" w:pos="720"/>
              <w:tab w:val="right" w:pos="9854"/>
            </w:tabs>
            <w:rPr>
              <w:rFonts w:asciiTheme="minorHAnsi" w:hAnsiTheme="minorHAnsi"/>
              <w:noProof/>
              <w:color w:val="auto"/>
              <w:kern w:val="2"/>
              <w:sz w:val="24"/>
              <w:szCs w:val="24"/>
              <w:lang w:eastAsia="en-AU"/>
              <w14:ligatures w14:val="standardContextual"/>
            </w:rPr>
          </w:pPr>
          <w:hyperlink w:anchor="_Toc212118233" w:history="1">
            <w:r w:rsidRPr="00B1594F">
              <w:rPr>
                <w:rStyle w:val="Hyperlink"/>
                <w:rFonts w:cs="Arial"/>
                <w:bCs/>
                <w:noProof/>
              </w:rPr>
              <w:t>6.4</w:t>
            </w:r>
            <w:r>
              <w:rPr>
                <w:rFonts w:asciiTheme="minorHAnsi" w:hAnsiTheme="minorHAnsi"/>
                <w:noProof/>
                <w:color w:val="auto"/>
                <w:kern w:val="2"/>
                <w:sz w:val="24"/>
                <w:szCs w:val="24"/>
                <w:lang w:eastAsia="en-AU"/>
                <w14:ligatures w14:val="standardContextual"/>
              </w:rPr>
              <w:tab/>
            </w:r>
            <w:r w:rsidRPr="00B1594F">
              <w:rPr>
                <w:rStyle w:val="Hyperlink"/>
                <w:noProof/>
              </w:rPr>
              <w:t>Rural loadings</w:t>
            </w:r>
            <w:r>
              <w:rPr>
                <w:noProof/>
                <w:webHidden/>
              </w:rPr>
              <w:tab/>
            </w:r>
            <w:r>
              <w:rPr>
                <w:noProof/>
                <w:webHidden/>
              </w:rPr>
              <w:fldChar w:fldCharType="begin"/>
            </w:r>
            <w:r>
              <w:rPr>
                <w:noProof/>
                <w:webHidden/>
              </w:rPr>
              <w:instrText xml:space="preserve"> PAGEREF _Toc212118233 \h </w:instrText>
            </w:r>
            <w:r>
              <w:rPr>
                <w:noProof/>
                <w:webHidden/>
              </w:rPr>
            </w:r>
            <w:r>
              <w:rPr>
                <w:noProof/>
                <w:webHidden/>
              </w:rPr>
              <w:fldChar w:fldCharType="separate"/>
            </w:r>
            <w:r w:rsidR="00987E1B">
              <w:rPr>
                <w:noProof/>
                <w:webHidden/>
              </w:rPr>
              <w:t>12</w:t>
            </w:r>
            <w:r>
              <w:rPr>
                <w:noProof/>
                <w:webHidden/>
              </w:rPr>
              <w:fldChar w:fldCharType="end"/>
            </w:r>
          </w:hyperlink>
        </w:p>
        <w:p w14:paraId="7881062C" w14:textId="613BB313" w:rsidR="00C8169D" w:rsidRDefault="00C8169D">
          <w:pPr>
            <w:pStyle w:val="TOC1"/>
            <w:tabs>
              <w:tab w:val="left" w:pos="480"/>
            </w:tabs>
            <w:rPr>
              <w:rFonts w:asciiTheme="minorHAnsi" w:hAnsiTheme="minorHAnsi"/>
              <w:b w:val="0"/>
              <w:noProof/>
              <w:color w:val="auto"/>
              <w:kern w:val="2"/>
              <w:sz w:val="24"/>
              <w:szCs w:val="24"/>
              <w:u w:val="none"/>
              <w:lang w:eastAsia="en-AU"/>
              <w14:ligatures w14:val="standardContextual"/>
            </w:rPr>
          </w:pPr>
          <w:hyperlink w:anchor="_Toc212118234" w:history="1">
            <w:r w:rsidRPr="00B1594F">
              <w:rPr>
                <w:rStyle w:val="Hyperlink"/>
                <w:noProof/>
              </w:rPr>
              <w:t>7</w:t>
            </w:r>
            <w:r>
              <w:rPr>
                <w:rFonts w:asciiTheme="minorHAnsi" w:hAnsiTheme="minorHAnsi"/>
                <w:b w:val="0"/>
                <w:noProof/>
                <w:color w:val="auto"/>
                <w:kern w:val="2"/>
                <w:sz w:val="24"/>
                <w:szCs w:val="24"/>
                <w:u w:val="none"/>
                <w:lang w:eastAsia="en-AU"/>
                <w14:ligatures w14:val="standardContextual"/>
              </w:rPr>
              <w:tab/>
            </w:r>
            <w:r w:rsidRPr="00B1594F">
              <w:rPr>
                <w:rStyle w:val="Hyperlink"/>
                <w:noProof/>
              </w:rPr>
              <w:t>How to Register</w:t>
            </w:r>
            <w:r>
              <w:rPr>
                <w:noProof/>
                <w:webHidden/>
              </w:rPr>
              <w:tab/>
            </w:r>
            <w:r>
              <w:rPr>
                <w:noProof/>
                <w:webHidden/>
              </w:rPr>
              <w:fldChar w:fldCharType="begin"/>
            </w:r>
            <w:r>
              <w:rPr>
                <w:noProof/>
                <w:webHidden/>
              </w:rPr>
              <w:instrText xml:space="preserve"> PAGEREF _Toc212118234 \h </w:instrText>
            </w:r>
            <w:r>
              <w:rPr>
                <w:noProof/>
                <w:webHidden/>
              </w:rPr>
            </w:r>
            <w:r>
              <w:rPr>
                <w:noProof/>
                <w:webHidden/>
              </w:rPr>
              <w:fldChar w:fldCharType="separate"/>
            </w:r>
            <w:r w:rsidR="00987E1B">
              <w:rPr>
                <w:noProof/>
                <w:webHidden/>
              </w:rPr>
              <w:t>12</w:t>
            </w:r>
            <w:r>
              <w:rPr>
                <w:noProof/>
                <w:webHidden/>
              </w:rPr>
              <w:fldChar w:fldCharType="end"/>
            </w:r>
          </w:hyperlink>
        </w:p>
        <w:p w14:paraId="08D6C7FD" w14:textId="40828F54" w:rsidR="00C8169D" w:rsidRDefault="00C8169D">
          <w:pPr>
            <w:pStyle w:val="TOC1"/>
            <w:tabs>
              <w:tab w:val="left" w:pos="480"/>
            </w:tabs>
            <w:rPr>
              <w:rFonts w:asciiTheme="minorHAnsi" w:hAnsiTheme="minorHAnsi"/>
              <w:b w:val="0"/>
              <w:noProof/>
              <w:color w:val="auto"/>
              <w:kern w:val="2"/>
              <w:sz w:val="24"/>
              <w:szCs w:val="24"/>
              <w:u w:val="none"/>
              <w:lang w:eastAsia="en-AU"/>
              <w14:ligatures w14:val="standardContextual"/>
            </w:rPr>
          </w:pPr>
          <w:hyperlink w:anchor="_Toc212118235" w:history="1">
            <w:r w:rsidRPr="00B1594F">
              <w:rPr>
                <w:rStyle w:val="Hyperlink"/>
                <w:noProof/>
              </w:rPr>
              <w:t>8</w:t>
            </w:r>
            <w:r>
              <w:rPr>
                <w:rFonts w:asciiTheme="minorHAnsi" w:hAnsiTheme="minorHAnsi"/>
                <w:b w:val="0"/>
                <w:noProof/>
                <w:color w:val="auto"/>
                <w:kern w:val="2"/>
                <w:sz w:val="24"/>
                <w:szCs w:val="24"/>
                <w:u w:val="none"/>
                <w:lang w:eastAsia="en-AU"/>
                <w14:ligatures w14:val="standardContextual"/>
              </w:rPr>
              <w:tab/>
            </w:r>
            <w:r w:rsidRPr="00B1594F">
              <w:rPr>
                <w:rStyle w:val="Hyperlink"/>
                <w:noProof/>
              </w:rPr>
              <w:t>Funding under GPACI</w:t>
            </w:r>
            <w:r>
              <w:rPr>
                <w:noProof/>
                <w:webHidden/>
              </w:rPr>
              <w:tab/>
            </w:r>
            <w:r>
              <w:rPr>
                <w:noProof/>
                <w:webHidden/>
              </w:rPr>
              <w:fldChar w:fldCharType="begin"/>
            </w:r>
            <w:r>
              <w:rPr>
                <w:noProof/>
                <w:webHidden/>
              </w:rPr>
              <w:instrText xml:space="preserve"> PAGEREF _Toc212118235 \h </w:instrText>
            </w:r>
            <w:r>
              <w:rPr>
                <w:noProof/>
                <w:webHidden/>
              </w:rPr>
            </w:r>
            <w:r>
              <w:rPr>
                <w:noProof/>
                <w:webHidden/>
              </w:rPr>
              <w:fldChar w:fldCharType="separate"/>
            </w:r>
            <w:r w:rsidR="00987E1B">
              <w:rPr>
                <w:noProof/>
                <w:webHidden/>
              </w:rPr>
              <w:t>13</w:t>
            </w:r>
            <w:r>
              <w:rPr>
                <w:noProof/>
                <w:webHidden/>
              </w:rPr>
              <w:fldChar w:fldCharType="end"/>
            </w:r>
          </w:hyperlink>
        </w:p>
        <w:p w14:paraId="32C2EE15" w14:textId="73F97825" w:rsidR="00C8169D" w:rsidRDefault="00C8169D">
          <w:pPr>
            <w:pStyle w:val="TOC2"/>
            <w:tabs>
              <w:tab w:val="left" w:pos="720"/>
              <w:tab w:val="right" w:pos="9854"/>
            </w:tabs>
            <w:rPr>
              <w:rFonts w:asciiTheme="minorHAnsi" w:hAnsiTheme="minorHAnsi"/>
              <w:noProof/>
              <w:color w:val="auto"/>
              <w:kern w:val="2"/>
              <w:sz w:val="24"/>
              <w:szCs w:val="24"/>
              <w:lang w:eastAsia="en-AU"/>
              <w14:ligatures w14:val="standardContextual"/>
            </w:rPr>
          </w:pPr>
          <w:hyperlink w:anchor="_Toc212118236" w:history="1">
            <w:r w:rsidRPr="00B1594F">
              <w:rPr>
                <w:rStyle w:val="Hyperlink"/>
                <w:rFonts w:cs="Arial"/>
                <w:bCs/>
                <w:noProof/>
              </w:rPr>
              <w:t>8.1</w:t>
            </w:r>
            <w:r>
              <w:rPr>
                <w:rFonts w:asciiTheme="minorHAnsi" w:hAnsiTheme="minorHAnsi"/>
                <w:noProof/>
                <w:color w:val="auto"/>
                <w:kern w:val="2"/>
                <w:sz w:val="24"/>
                <w:szCs w:val="24"/>
                <w:lang w:eastAsia="en-AU"/>
                <w14:ligatures w14:val="standardContextual"/>
              </w:rPr>
              <w:tab/>
            </w:r>
            <w:r w:rsidRPr="00B1594F">
              <w:rPr>
                <w:rStyle w:val="Hyperlink"/>
                <w:noProof/>
              </w:rPr>
              <w:t>Payment assessment process</w:t>
            </w:r>
            <w:r>
              <w:rPr>
                <w:noProof/>
                <w:webHidden/>
              </w:rPr>
              <w:tab/>
            </w:r>
            <w:r>
              <w:rPr>
                <w:noProof/>
                <w:webHidden/>
              </w:rPr>
              <w:fldChar w:fldCharType="begin"/>
            </w:r>
            <w:r>
              <w:rPr>
                <w:noProof/>
                <w:webHidden/>
              </w:rPr>
              <w:instrText xml:space="preserve"> PAGEREF _Toc212118236 \h </w:instrText>
            </w:r>
            <w:r>
              <w:rPr>
                <w:noProof/>
                <w:webHidden/>
              </w:rPr>
            </w:r>
            <w:r>
              <w:rPr>
                <w:noProof/>
                <w:webHidden/>
              </w:rPr>
              <w:fldChar w:fldCharType="separate"/>
            </w:r>
            <w:r w:rsidR="00987E1B">
              <w:rPr>
                <w:noProof/>
                <w:webHidden/>
              </w:rPr>
              <w:t>13</w:t>
            </w:r>
            <w:r>
              <w:rPr>
                <w:noProof/>
                <w:webHidden/>
              </w:rPr>
              <w:fldChar w:fldCharType="end"/>
            </w:r>
          </w:hyperlink>
        </w:p>
        <w:p w14:paraId="7B3465CE" w14:textId="71FBF0BA" w:rsidR="00C8169D" w:rsidRDefault="00C8169D">
          <w:pPr>
            <w:pStyle w:val="TOC2"/>
            <w:tabs>
              <w:tab w:val="left" w:pos="720"/>
              <w:tab w:val="right" w:pos="9854"/>
            </w:tabs>
            <w:rPr>
              <w:rFonts w:asciiTheme="minorHAnsi" w:hAnsiTheme="minorHAnsi"/>
              <w:noProof/>
              <w:color w:val="auto"/>
              <w:kern w:val="2"/>
              <w:sz w:val="24"/>
              <w:szCs w:val="24"/>
              <w:lang w:eastAsia="en-AU"/>
              <w14:ligatures w14:val="standardContextual"/>
            </w:rPr>
          </w:pPr>
          <w:hyperlink w:anchor="_Toc212118237" w:history="1">
            <w:r w:rsidRPr="00B1594F">
              <w:rPr>
                <w:rStyle w:val="Hyperlink"/>
                <w:rFonts w:cs="Arial"/>
                <w:bCs/>
                <w:noProof/>
              </w:rPr>
              <w:t>8.2</w:t>
            </w:r>
            <w:r>
              <w:rPr>
                <w:rFonts w:asciiTheme="minorHAnsi" w:hAnsiTheme="minorHAnsi"/>
                <w:noProof/>
                <w:color w:val="auto"/>
                <w:kern w:val="2"/>
                <w:sz w:val="24"/>
                <w:szCs w:val="24"/>
                <w:lang w:eastAsia="en-AU"/>
                <w14:ligatures w14:val="standardContextual"/>
              </w:rPr>
              <w:tab/>
            </w:r>
            <w:r w:rsidRPr="00B1594F">
              <w:rPr>
                <w:rStyle w:val="Hyperlink"/>
                <w:noProof/>
              </w:rPr>
              <w:t>Payment periods</w:t>
            </w:r>
            <w:r>
              <w:rPr>
                <w:noProof/>
                <w:webHidden/>
              </w:rPr>
              <w:tab/>
            </w:r>
            <w:r>
              <w:rPr>
                <w:noProof/>
                <w:webHidden/>
              </w:rPr>
              <w:fldChar w:fldCharType="begin"/>
            </w:r>
            <w:r>
              <w:rPr>
                <w:noProof/>
                <w:webHidden/>
              </w:rPr>
              <w:instrText xml:space="preserve"> PAGEREF _Toc212118237 \h </w:instrText>
            </w:r>
            <w:r>
              <w:rPr>
                <w:noProof/>
                <w:webHidden/>
              </w:rPr>
            </w:r>
            <w:r>
              <w:rPr>
                <w:noProof/>
                <w:webHidden/>
              </w:rPr>
              <w:fldChar w:fldCharType="separate"/>
            </w:r>
            <w:r w:rsidR="00987E1B">
              <w:rPr>
                <w:noProof/>
                <w:webHidden/>
              </w:rPr>
              <w:t>15</w:t>
            </w:r>
            <w:r>
              <w:rPr>
                <w:noProof/>
                <w:webHidden/>
              </w:rPr>
              <w:fldChar w:fldCharType="end"/>
            </w:r>
          </w:hyperlink>
        </w:p>
        <w:p w14:paraId="2432894C" w14:textId="15BBB7AE" w:rsidR="00C8169D" w:rsidRDefault="00C8169D">
          <w:pPr>
            <w:pStyle w:val="TOC1"/>
            <w:tabs>
              <w:tab w:val="left" w:pos="480"/>
            </w:tabs>
            <w:rPr>
              <w:rFonts w:asciiTheme="minorHAnsi" w:hAnsiTheme="minorHAnsi"/>
              <w:b w:val="0"/>
              <w:noProof/>
              <w:color w:val="auto"/>
              <w:kern w:val="2"/>
              <w:sz w:val="24"/>
              <w:szCs w:val="24"/>
              <w:u w:val="none"/>
              <w:lang w:eastAsia="en-AU"/>
              <w14:ligatures w14:val="standardContextual"/>
            </w:rPr>
          </w:pPr>
          <w:hyperlink w:anchor="_Toc212118238" w:history="1">
            <w:r w:rsidRPr="00B1594F">
              <w:rPr>
                <w:rStyle w:val="Hyperlink"/>
                <w:noProof/>
              </w:rPr>
              <w:t>9</w:t>
            </w:r>
            <w:r>
              <w:rPr>
                <w:rFonts w:asciiTheme="minorHAnsi" w:hAnsiTheme="minorHAnsi"/>
                <w:b w:val="0"/>
                <w:noProof/>
                <w:color w:val="auto"/>
                <w:kern w:val="2"/>
                <w:sz w:val="24"/>
                <w:szCs w:val="24"/>
                <w:u w:val="none"/>
                <w:lang w:eastAsia="en-AU"/>
                <w14:ligatures w14:val="standardContextual"/>
              </w:rPr>
              <w:tab/>
            </w:r>
            <w:r w:rsidRPr="00B1594F">
              <w:rPr>
                <w:rStyle w:val="Hyperlink"/>
                <w:noProof/>
              </w:rPr>
              <w:t>Notification of outcomes</w:t>
            </w:r>
            <w:r>
              <w:rPr>
                <w:noProof/>
                <w:webHidden/>
              </w:rPr>
              <w:tab/>
            </w:r>
            <w:r>
              <w:rPr>
                <w:noProof/>
                <w:webHidden/>
              </w:rPr>
              <w:fldChar w:fldCharType="begin"/>
            </w:r>
            <w:r>
              <w:rPr>
                <w:noProof/>
                <w:webHidden/>
              </w:rPr>
              <w:instrText xml:space="preserve"> PAGEREF _Toc212118238 \h </w:instrText>
            </w:r>
            <w:r>
              <w:rPr>
                <w:noProof/>
                <w:webHidden/>
              </w:rPr>
            </w:r>
            <w:r>
              <w:rPr>
                <w:noProof/>
                <w:webHidden/>
              </w:rPr>
              <w:fldChar w:fldCharType="separate"/>
            </w:r>
            <w:r w:rsidR="00987E1B">
              <w:rPr>
                <w:noProof/>
                <w:webHidden/>
              </w:rPr>
              <w:t>16</w:t>
            </w:r>
            <w:r>
              <w:rPr>
                <w:noProof/>
                <w:webHidden/>
              </w:rPr>
              <w:fldChar w:fldCharType="end"/>
            </w:r>
          </w:hyperlink>
        </w:p>
        <w:p w14:paraId="41C9ED05" w14:textId="6D0FC137" w:rsidR="00C8169D" w:rsidRDefault="00C8169D">
          <w:pPr>
            <w:pStyle w:val="TOC2"/>
            <w:tabs>
              <w:tab w:val="left" w:pos="720"/>
              <w:tab w:val="right" w:pos="9854"/>
            </w:tabs>
            <w:rPr>
              <w:rFonts w:asciiTheme="minorHAnsi" w:hAnsiTheme="minorHAnsi"/>
              <w:noProof/>
              <w:color w:val="auto"/>
              <w:kern w:val="2"/>
              <w:sz w:val="24"/>
              <w:szCs w:val="24"/>
              <w:lang w:eastAsia="en-AU"/>
              <w14:ligatures w14:val="standardContextual"/>
            </w:rPr>
          </w:pPr>
          <w:hyperlink w:anchor="_Toc212118239" w:history="1">
            <w:r w:rsidRPr="00B1594F">
              <w:rPr>
                <w:rStyle w:val="Hyperlink"/>
                <w:rFonts w:cs="Arial"/>
                <w:bCs/>
                <w:noProof/>
              </w:rPr>
              <w:t>9.1</w:t>
            </w:r>
            <w:r>
              <w:rPr>
                <w:rFonts w:asciiTheme="minorHAnsi" w:hAnsiTheme="minorHAnsi"/>
                <w:noProof/>
                <w:color w:val="auto"/>
                <w:kern w:val="2"/>
                <w:sz w:val="24"/>
                <w:szCs w:val="24"/>
                <w:lang w:eastAsia="en-AU"/>
                <w14:ligatures w14:val="standardContextual"/>
              </w:rPr>
              <w:tab/>
            </w:r>
            <w:r w:rsidRPr="00B1594F">
              <w:rPr>
                <w:rStyle w:val="Hyperlink"/>
                <w:noProof/>
              </w:rPr>
              <w:t>Payment delivery</w:t>
            </w:r>
            <w:r>
              <w:rPr>
                <w:noProof/>
                <w:webHidden/>
              </w:rPr>
              <w:tab/>
            </w:r>
            <w:r>
              <w:rPr>
                <w:noProof/>
                <w:webHidden/>
              </w:rPr>
              <w:fldChar w:fldCharType="begin"/>
            </w:r>
            <w:r>
              <w:rPr>
                <w:noProof/>
                <w:webHidden/>
              </w:rPr>
              <w:instrText xml:space="preserve"> PAGEREF _Toc212118239 \h </w:instrText>
            </w:r>
            <w:r>
              <w:rPr>
                <w:noProof/>
                <w:webHidden/>
              </w:rPr>
            </w:r>
            <w:r>
              <w:rPr>
                <w:noProof/>
                <w:webHidden/>
              </w:rPr>
              <w:fldChar w:fldCharType="separate"/>
            </w:r>
            <w:r w:rsidR="00987E1B">
              <w:rPr>
                <w:noProof/>
                <w:webHidden/>
              </w:rPr>
              <w:t>16</w:t>
            </w:r>
            <w:r>
              <w:rPr>
                <w:noProof/>
                <w:webHidden/>
              </w:rPr>
              <w:fldChar w:fldCharType="end"/>
            </w:r>
          </w:hyperlink>
        </w:p>
        <w:p w14:paraId="7A96AC6F" w14:textId="56BBFB35" w:rsidR="00C8169D" w:rsidRDefault="00C8169D">
          <w:pPr>
            <w:pStyle w:val="TOC1"/>
            <w:tabs>
              <w:tab w:val="left" w:pos="720"/>
            </w:tabs>
            <w:rPr>
              <w:rFonts w:asciiTheme="minorHAnsi" w:hAnsiTheme="minorHAnsi"/>
              <w:b w:val="0"/>
              <w:noProof/>
              <w:color w:val="auto"/>
              <w:kern w:val="2"/>
              <w:sz w:val="24"/>
              <w:szCs w:val="24"/>
              <w:u w:val="none"/>
              <w:lang w:eastAsia="en-AU"/>
              <w14:ligatures w14:val="standardContextual"/>
            </w:rPr>
          </w:pPr>
          <w:hyperlink w:anchor="_Toc212118240" w:history="1">
            <w:r w:rsidRPr="00B1594F">
              <w:rPr>
                <w:rStyle w:val="Hyperlink"/>
                <w:noProof/>
              </w:rPr>
              <w:t>10</w:t>
            </w:r>
            <w:r>
              <w:rPr>
                <w:rFonts w:asciiTheme="minorHAnsi" w:hAnsiTheme="minorHAnsi"/>
                <w:b w:val="0"/>
                <w:noProof/>
                <w:color w:val="auto"/>
                <w:kern w:val="2"/>
                <w:sz w:val="24"/>
                <w:szCs w:val="24"/>
                <w:u w:val="none"/>
                <w:lang w:eastAsia="en-AU"/>
                <w14:ligatures w14:val="standardContextual"/>
              </w:rPr>
              <w:tab/>
            </w:r>
            <w:r w:rsidRPr="00B1594F">
              <w:rPr>
                <w:rStyle w:val="Hyperlink"/>
                <w:noProof/>
              </w:rPr>
              <w:t>Successful registrations</w:t>
            </w:r>
            <w:r>
              <w:rPr>
                <w:noProof/>
                <w:webHidden/>
              </w:rPr>
              <w:tab/>
            </w:r>
            <w:r>
              <w:rPr>
                <w:noProof/>
                <w:webHidden/>
              </w:rPr>
              <w:fldChar w:fldCharType="begin"/>
            </w:r>
            <w:r>
              <w:rPr>
                <w:noProof/>
                <w:webHidden/>
              </w:rPr>
              <w:instrText xml:space="preserve"> PAGEREF _Toc212118240 \h </w:instrText>
            </w:r>
            <w:r>
              <w:rPr>
                <w:noProof/>
                <w:webHidden/>
              </w:rPr>
            </w:r>
            <w:r>
              <w:rPr>
                <w:noProof/>
                <w:webHidden/>
              </w:rPr>
              <w:fldChar w:fldCharType="separate"/>
            </w:r>
            <w:r w:rsidR="00987E1B">
              <w:rPr>
                <w:noProof/>
                <w:webHidden/>
              </w:rPr>
              <w:t>16</w:t>
            </w:r>
            <w:r>
              <w:rPr>
                <w:noProof/>
                <w:webHidden/>
              </w:rPr>
              <w:fldChar w:fldCharType="end"/>
            </w:r>
          </w:hyperlink>
        </w:p>
        <w:p w14:paraId="01621371" w14:textId="3105C11B" w:rsidR="00C8169D" w:rsidRDefault="00C8169D">
          <w:pPr>
            <w:pStyle w:val="TOC2"/>
            <w:tabs>
              <w:tab w:val="left" w:pos="720"/>
              <w:tab w:val="right" w:pos="9854"/>
            </w:tabs>
            <w:rPr>
              <w:rFonts w:asciiTheme="minorHAnsi" w:hAnsiTheme="minorHAnsi"/>
              <w:noProof/>
              <w:color w:val="auto"/>
              <w:kern w:val="2"/>
              <w:sz w:val="24"/>
              <w:szCs w:val="24"/>
              <w:lang w:eastAsia="en-AU"/>
              <w14:ligatures w14:val="standardContextual"/>
            </w:rPr>
          </w:pPr>
          <w:hyperlink w:anchor="_Toc212118241" w:history="1">
            <w:r w:rsidRPr="00B1594F">
              <w:rPr>
                <w:rStyle w:val="Hyperlink"/>
                <w:rFonts w:cs="Arial"/>
                <w:bCs/>
                <w:noProof/>
              </w:rPr>
              <w:t>10.1</w:t>
            </w:r>
            <w:r>
              <w:rPr>
                <w:rFonts w:asciiTheme="minorHAnsi" w:hAnsiTheme="minorHAnsi"/>
                <w:noProof/>
                <w:color w:val="auto"/>
                <w:kern w:val="2"/>
                <w:sz w:val="24"/>
                <w:szCs w:val="24"/>
                <w:lang w:eastAsia="en-AU"/>
                <w14:ligatures w14:val="standardContextual"/>
              </w:rPr>
              <w:tab/>
            </w:r>
            <w:r w:rsidRPr="00B1594F">
              <w:rPr>
                <w:rStyle w:val="Hyperlink"/>
                <w:noProof/>
              </w:rPr>
              <w:t>The grant arrangement</w:t>
            </w:r>
            <w:r>
              <w:rPr>
                <w:noProof/>
                <w:webHidden/>
              </w:rPr>
              <w:tab/>
            </w:r>
            <w:r>
              <w:rPr>
                <w:noProof/>
                <w:webHidden/>
              </w:rPr>
              <w:fldChar w:fldCharType="begin"/>
            </w:r>
            <w:r>
              <w:rPr>
                <w:noProof/>
                <w:webHidden/>
              </w:rPr>
              <w:instrText xml:space="preserve"> PAGEREF _Toc212118241 \h </w:instrText>
            </w:r>
            <w:r>
              <w:rPr>
                <w:noProof/>
                <w:webHidden/>
              </w:rPr>
            </w:r>
            <w:r>
              <w:rPr>
                <w:noProof/>
                <w:webHidden/>
              </w:rPr>
              <w:fldChar w:fldCharType="separate"/>
            </w:r>
            <w:r w:rsidR="00987E1B">
              <w:rPr>
                <w:noProof/>
                <w:webHidden/>
              </w:rPr>
              <w:t>16</w:t>
            </w:r>
            <w:r>
              <w:rPr>
                <w:noProof/>
                <w:webHidden/>
              </w:rPr>
              <w:fldChar w:fldCharType="end"/>
            </w:r>
          </w:hyperlink>
        </w:p>
        <w:p w14:paraId="2A9085EE" w14:textId="2A62F8DB" w:rsidR="00C8169D" w:rsidRDefault="00C8169D">
          <w:pPr>
            <w:pStyle w:val="TOC1"/>
            <w:tabs>
              <w:tab w:val="left" w:pos="720"/>
            </w:tabs>
            <w:rPr>
              <w:rFonts w:asciiTheme="minorHAnsi" w:hAnsiTheme="minorHAnsi"/>
              <w:b w:val="0"/>
              <w:noProof/>
              <w:color w:val="auto"/>
              <w:kern w:val="2"/>
              <w:sz w:val="24"/>
              <w:szCs w:val="24"/>
              <w:u w:val="none"/>
              <w:lang w:eastAsia="en-AU"/>
              <w14:ligatures w14:val="standardContextual"/>
            </w:rPr>
          </w:pPr>
          <w:hyperlink w:anchor="_Toc212118242" w:history="1">
            <w:r w:rsidRPr="00B1594F">
              <w:rPr>
                <w:rStyle w:val="Hyperlink"/>
                <w:noProof/>
              </w:rPr>
              <w:t>11</w:t>
            </w:r>
            <w:r>
              <w:rPr>
                <w:rFonts w:asciiTheme="minorHAnsi" w:hAnsiTheme="minorHAnsi"/>
                <w:b w:val="0"/>
                <w:noProof/>
                <w:color w:val="auto"/>
                <w:kern w:val="2"/>
                <w:sz w:val="24"/>
                <w:szCs w:val="24"/>
                <w:u w:val="none"/>
                <w:lang w:eastAsia="en-AU"/>
                <w14:ligatures w14:val="standardContextual"/>
              </w:rPr>
              <w:tab/>
            </w:r>
            <w:r w:rsidRPr="00B1594F">
              <w:rPr>
                <w:rStyle w:val="Hyperlink"/>
                <w:noProof/>
              </w:rPr>
              <w:t>What the grant money can be used for</w:t>
            </w:r>
            <w:r>
              <w:rPr>
                <w:noProof/>
                <w:webHidden/>
              </w:rPr>
              <w:tab/>
            </w:r>
            <w:r>
              <w:rPr>
                <w:noProof/>
                <w:webHidden/>
              </w:rPr>
              <w:fldChar w:fldCharType="begin"/>
            </w:r>
            <w:r>
              <w:rPr>
                <w:noProof/>
                <w:webHidden/>
              </w:rPr>
              <w:instrText xml:space="preserve"> PAGEREF _Toc212118242 \h </w:instrText>
            </w:r>
            <w:r>
              <w:rPr>
                <w:noProof/>
                <w:webHidden/>
              </w:rPr>
            </w:r>
            <w:r>
              <w:rPr>
                <w:noProof/>
                <w:webHidden/>
              </w:rPr>
              <w:fldChar w:fldCharType="separate"/>
            </w:r>
            <w:r w:rsidR="00987E1B">
              <w:rPr>
                <w:noProof/>
                <w:webHidden/>
              </w:rPr>
              <w:t>17</w:t>
            </w:r>
            <w:r>
              <w:rPr>
                <w:noProof/>
                <w:webHidden/>
              </w:rPr>
              <w:fldChar w:fldCharType="end"/>
            </w:r>
          </w:hyperlink>
        </w:p>
        <w:p w14:paraId="056ED7ED" w14:textId="1EA6427C" w:rsidR="00C8169D" w:rsidRDefault="00C8169D">
          <w:pPr>
            <w:pStyle w:val="TOC1"/>
            <w:tabs>
              <w:tab w:val="left" w:pos="720"/>
            </w:tabs>
            <w:rPr>
              <w:rFonts w:asciiTheme="minorHAnsi" w:hAnsiTheme="minorHAnsi"/>
              <w:b w:val="0"/>
              <w:noProof/>
              <w:color w:val="auto"/>
              <w:kern w:val="2"/>
              <w:sz w:val="24"/>
              <w:szCs w:val="24"/>
              <w:u w:val="none"/>
              <w:lang w:eastAsia="en-AU"/>
              <w14:ligatures w14:val="standardContextual"/>
            </w:rPr>
          </w:pPr>
          <w:hyperlink w:anchor="_Toc212118243" w:history="1">
            <w:r w:rsidRPr="00B1594F">
              <w:rPr>
                <w:rStyle w:val="Hyperlink"/>
                <w:noProof/>
              </w:rPr>
              <w:t>12</w:t>
            </w:r>
            <w:r>
              <w:rPr>
                <w:rFonts w:asciiTheme="minorHAnsi" w:hAnsiTheme="minorHAnsi"/>
                <w:b w:val="0"/>
                <w:noProof/>
                <w:color w:val="auto"/>
                <w:kern w:val="2"/>
                <w:sz w:val="24"/>
                <w:szCs w:val="24"/>
                <w:u w:val="none"/>
                <w:lang w:eastAsia="en-AU"/>
                <w14:ligatures w14:val="standardContextual"/>
              </w:rPr>
              <w:tab/>
            </w:r>
            <w:r w:rsidRPr="00B1594F">
              <w:rPr>
                <w:rStyle w:val="Hyperlink"/>
                <w:noProof/>
              </w:rPr>
              <w:t>Announcement of funding</w:t>
            </w:r>
            <w:r>
              <w:rPr>
                <w:noProof/>
                <w:webHidden/>
              </w:rPr>
              <w:tab/>
            </w:r>
            <w:r>
              <w:rPr>
                <w:noProof/>
                <w:webHidden/>
              </w:rPr>
              <w:fldChar w:fldCharType="begin"/>
            </w:r>
            <w:r>
              <w:rPr>
                <w:noProof/>
                <w:webHidden/>
              </w:rPr>
              <w:instrText xml:space="preserve"> PAGEREF _Toc212118243 \h </w:instrText>
            </w:r>
            <w:r>
              <w:rPr>
                <w:noProof/>
                <w:webHidden/>
              </w:rPr>
            </w:r>
            <w:r>
              <w:rPr>
                <w:noProof/>
                <w:webHidden/>
              </w:rPr>
              <w:fldChar w:fldCharType="separate"/>
            </w:r>
            <w:r w:rsidR="00987E1B">
              <w:rPr>
                <w:noProof/>
                <w:webHidden/>
              </w:rPr>
              <w:t>17</w:t>
            </w:r>
            <w:r>
              <w:rPr>
                <w:noProof/>
                <w:webHidden/>
              </w:rPr>
              <w:fldChar w:fldCharType="end"/>
            </w:r>
          </w:hyperlink>
        </w:p>
        <w:p w14:paraId="085E63A0" w14:textId="2A3DA027" w:rsidR="00C8169D" w:rsidRDefault="00C8169D">
          <w:pPr>
            <w:pStyle w:val="TOC1"/>
            <w:tabs>
              <w:tab w:val="left" w:pos="720"/>
            </w:tabs>
            <w:rPr>
              <w:rFonts w:asciiTheme="minorHAnsi" w:hAnsiTheme="minorHAnsi"/>
              <w:b w:val="0"/>
              <w:noProof/>
              <w:color w:val="auto"/>
              <w:kern w:val="2"/>
              <w:sz w:val="24"/>
              <w:szCs w:val="24"/>
              <w:u w:val="none"/>
              <w:lang w:eastAsia="en-AU"/>
              <w14:ligatures w14:val="standardContextual"/>
            </w:rPr>
          </w:pPr>
          <w:hyperlink w:anchor="_Toc212118244" w:history="1">
            <w:r w:rsidRPr="00B1594F">
              <w:rPr>
                <w:rStyle w:val="Hyperlink"/>
                <w:noProof/>
              </w:rPr>
              <w:t>13</w:t>
            </w:r>
            <w:r>
              <w:rPr>
                <w:rFonts w:asciiTheme="minorHAnsi" w:hAnsiTheme="minorHAnsi"/>
                <w:b w:val="0"/>
                <w:noProof/>
                <w:color w:val="auto"/>
                <w:kern w:val="2"/>
                <w:sz w:val="24"/>
                <w:szCs w:val="24"/>
                <w:u w:val="none"/>
                <w:lang w:eastAsia="en-AU"/>
                <w14:ligatures w14:val="standardContextual"/>
              </w:rPr>
              <w:tab/>
            </w:r>
            <w:r w:rsidRPr="00B1594F">
              <w:rPr>
                <w:rStyle w:val="Hyperlink"/>
                <w:noProof/>
              </w:rPr>
              <w:t>Probity</w:t>
            </w:r>
            <w:r>
              <w:rPr>
                <w:noProof/>
                <w:webHidden/>
              </w:rPr>
              <w:tab/>
            </w:r>
            <w:r>
              <w:rPr>
                <w:noProof/>
                <w:webHidden/>
              </w:rPr>
              <w:fldChar w:fldCharType="begin"/>
            </w:r>
            <w:r>
              <w:rPr>
                <w:noProof/>
                <w:webHidden/>
              </w:rPr>
              <w:instrText xml:space="preserve"> PAGEREF _Toc212118244 \h </w:instrText>
            </w:r>
            <w:r>
              <w:rPr>
                <w:noProof/>
                <w:webHidden/>
              </w:rPr>
            </w:r>
            <w:r>
              <w:rPr>
                <w:noProof/>
                <w:webHidden/>
              </w:rPr>
              <w:fldChar w:fldCharType="separate"/>
            </w:r>
            <w:r w:rsidR="00987E1B">
              <w:rPr>
                <w:noProof/>
                <w:webHidden/>
              </w:rPr>
              <w:t>17</w:t>
            </w:r>
            <w:r>
              <w:rPr>
                <w:noProof/>
                <w:webHidden/>
              </w:rPr>
              <w:fldChar w:fldCharType="end"/>
            </w:r>
          </w:hyperlink>
        </w:p>
        <w:p w14:paraId="282095A8" w14:textId="3C6B1A94" w:rsidR="00C8169D" w:rsidRDefault="00C8169D">
          <w:pPr>
            <w:pStyle w:val="TOC2"/>
            <w:tabs>
              <w:tab w:val="left" w:pos="720"/>
              <w:tab w:val="right" w:pos="9854"/>
            </w:tabs>
            <w:rPr>
              <w:rFonts w:asciiTheme="minorHAnsi" w:hAnsiTheme="minorHAnsi"/>
              <w:noProof/>
              <w:color w:val="auto"/>
              <w:kern w:val="2"/>
              <w:sz w:val="24"/>
              <w:szCs w:val="24"/>
              <w:lang w:eastAsia="en-AU"/>
              <w14:ligatures w14:val="standardContextual"/>
            </w:rPr>
          </w:pPr>
          <w:hyperlink w:anchor="_Toc212118245" w:history="1">
            <w:r w:rsidRPr="00B1594F">
              <w:rPr>
                <w:rStyle w:val="Hyperlink"/>
                <w:rFonts w:cs="Arial"/>
                <w:noProof/>
              </w:rPr>
              <w:t>13.1</w:t>
            </w:r>
            <w:r>
              <w:rPr>
                <w:rFonts w:asciiTheme="minorHAnsi" w:hAnsiTheme="minorHAnsi"/>
                <w:noProof/>
                <w:color w:val="auto"/>
                <w:kern w:val="2"/>
                <w:sz w:val="24"/>
                <w:szCs w:val="24"/>
                <w:lang w:eastAsia="en-AU"/>
                <w14:ligatures w14:val="standardContextual"/>
              </w:rPr>
              <w:tab/>
            </w:r>
            <w:r w:rsidRPr="00B1594F">
              <w:rPr>
                <w:rStyle w:val="Hyperlink"/>
                <w:noProof/>
              </w:rPr>
              <w:t>National Anti-Corruption Commission Act 2022 (NACC Act)</w:t>
            </w:r>
            <w:r>
              <w:rPr>
                <w:noProof/>
                <w:webHidden/>
              </w:rPr>
              <w:tab/>
            </w:r>
            <w:r>
              <w:rPr>
                <w:noProof/>
                <w:webHidden/>
              </w:rPr>
              <w:fldChar w:fldCharType="begin"/>
            </w:r>
            <w:r>
              <w:rPr>
                <w:noProof/>
                <w:webHidden/>
              </w:rPr>
              <w:instrText xml:space="preserve"> PAGEREF _Toc212118245 \h </w:instrText>
            </w:r>
            <w:r>
              <w:rPr>
                <w:noProof/>
                <w:webHidden/>
              </w:rPr>
            </w:r>
            <w:r>
              <w:rPr>
                <w:noProof/>
                <w:webHidden/>
              </w:rPr>
              <w:fldChar w:fldCharType="separate"/>
            </w:r>
            <w:r w:rsidR="00987E1B">
              <w:rPr>
                <w:noProof/>
                <w:webHidden/>
              </w:rPr>
              <w:t>17</w:t>
            </w:r>
            <w:r>
              <w:rPr>
                <w:noProof/>
                <w:webHidden/>
              </w:rPr>
              <w:fldChar w:fldCharType="end"/>
            </w:r>
          </w:hyperlink>
        </w:p>
        <w:p w14:paraId="051A036C" w14:textId="104856F8" w:rsidR="00C8169D" w:rsidRDefault="00C8169D">
          <w:pPr>
            <w:pStyle w:val="TOC2"/>
            <w:tabs>
              <w:tab w:val="left" w:pos="720"/>
              <w:tab w:val="right" w:pos="9854"/>
            </w:tabs>
            <w:rPr>
              <w:rFonts w:asciiTheme="minorHAnsi" w:hAnsiTheme="minorHAnsi"/>
              <w:noProof/>
              <w:color w:val="auto"/>
              <w:kern w:val="2"/>
              <w:sz w:val="24"/>
              <w:szCs w:val="24"/>
              <w:lang w:eastAsia="en-AU"/>
              <w14:ligatures w14:val="standardContextual"/>
            </w:rPr>
          </w:pPr>
          <w:hyperlink w:anchor="_Toc212118246" w:history="1">
            <w:r w:rsidRPr="00B1594F">
              <w:rPr>
                <w:rStyle w:val="Hyperlink"/>
                <w:rFonts w:cs="Arial"/>
                <w:noProof/>
              </w:rPr>
              <w:t>13.2</w:t>
            </w:r>
            <w:r>
              <w:rPr>
                <w:rFonts w:asciiTheme="minorHAnsi" w:hAnsiTheme="minorHAnsi"/>
                <w:noProof/>
                <w:color w:val="auto"/>
                <w:kern w:val="2"/>
                <w:sz w:val="24"/>
                <w:szCs w:val="24"/>
                <w:lang w:eastAsia="en-AU"/>
                <w14:ligatures w14:val="standardContextual"/>
              </w:rPr>
              <w:tab/>
            </w:r>
            <w:r w:rsidRPr="00B1594F">
              <w:rPr>
                <w:rStyle w:val="Hyperlink"/>
                <w:noProof/>
              </w:rPr>
              <w:t>Review of Decision</w:t>
            </w:r>
            <w:r>
              <w:rPr>
                <w:noProof/>
                <w:webHidden/>
              </w:rPr>
              <w:tab/>
            </w:r>
            <w:r>
              <w:rPr>
                <w:noProof/>
                <w:webHidden/>
              </w:rPr>
              <w:fldChar w:fldCharType="begin"/>
            </w:r>
            <w:r>
              <w:rPr>
                <w:noProof/>
                <w:webHidden/>
              </w:rPr>
              <w:instrText xml:space="preserve"> PAGEREF _Toc212118246 \h </w:instrText>
            </w:r>
            <w:r>
              <w:rPr>
                <w:noProof/>
                <w:webHidden/>
              </w:rPr>
            </w:r>
            <w:r>
              <w:rPr>
                <w:noProof/>
                <w:webHidden/>
              </w:rPr>
              <w:fldChar w:fldCharType="separate"/>
            </w:r>
            <w:r w:rsidR="00987E1B">
              <w:rPr>
                <w:noProof/>
                <w:webHidden/>
              </w:rPr>
              <w:t>18</w:t>
            </w:r>
            <w:r>
              <w:rPr>
                <w:noProof/>
                <w:webHidden/>
              </w:rPr>
              <w:fldChar w:fldCharType="end"/>
            </w:r>
          </w:hyperlink>
        </w:p>
        <w:p w14:paraId="5201F69A" w14:textId="3EC77128" w:rsidR="00C8169D" w:rsidRDefault="00C8169D">
          <w:pPr>
            <w:pStyle w:val="TOC2"/>
            <w:tabs>
              <w:tab w:val="left" w:pos="720"/>
              <w:tab w:val="right" w:pos="9854"/>
            </w:tabs>
            <w:rPr>
              <w:rFonts w:asciiTheme="minorHAnsi" w:hAnsiTheme="minorHAnsi"/>
              <w:noProof/>
              <w:color w:val="auto"/>
              <w:kern w:val="2"/>
              <w:sz w:val="24"/>
              <w:szCs w:val="24"/>
              <w:lang w:eastAsia="en-AU"/>
              <w14:ligatures w14:val="standardContextual"/>
            </w:rPr>
          </w:pPr>
          <w:hyperlink w:anchor="_Toc212118247" w:history="1">
            <w:r w:rsidRPr="00B1594F">
              <w:rPr>
                <w:rStyle w:val="Hyperlink"/>
                <w:rFonts w:cs="Arial"/>
                <w:noProof/>
              </w:rPr>
              <w:t>13.3</w:t>
            </w:r>
            <w:r>
              <w:rPr>
                <w:rFonts w:asciiTheme="minorHAnsi" w:hAnsiTheme="minorHAnsi"/>
                <w:noProof/>
                <w:color w:val="auto"/>
                <w:kern w:val="2"/>
                <w:sz w:val="24"/>
                <w:szCs w:val="24"/>
                <w:lang w:eastAsia="en-AU"/>
                <w14:ligatures w14:val="standardContextual"/>
              </w:rPr>
              <w:tab/>
            </w:r>
            <w:r w:rsidRPr="00B1594F">
              <w:rPr>
                <w:rStyle w:val="Hyperlink"/>
                <w:noProof/>
              </w:rPr>
              <w:t>Enquiries and feedback</w:t>
            </w:r>
            <w:r>
              <w:rPr>
                <w:noProof/>
                <w:webHidden/>
              </w:rPr>
              <w:tab/>
            </w:r>
            <w:r>
              <w:rPr>
                <w:noProof/>
                <w:webHidden/>
              </w:rPr>
              <w:fldChar w:fldCharType="begin"/>
            </w:r>
            <w:r>
              <w:rPr>
                <w:noProof/>
                <w:webHidden/>
              </w:rPr>
              <w:instrText xml:space="preserve"> PAGEREF _Toc212118247 \h </w:instrText>
            </w:r>
            <w:r>
              <w:rPr>
                <w:noProof/>
                <w:webHidden/>
              </w:rPr>
            </w:r>
            <w:r>
              <w:rPr>
                <w:noProof/>
                <w:webHidden/>
              </w:rPr>
              <w:fldChar w:fldCharType="separate"/>
            </w:r>
            <w:r w:rsidR="00987E1B">
              <w:rPr>
                <w:noProof/>
                <w:webHidden/>
              </w:rPr>
              <w:t>18</w:t>
            </w:r>
            <w:r>
              <w:rPr>
                <w:noProof/>
                <w:webHidden/>
              </w:rPr>
              <w:fldChar w:fldCharType="end"/>
            </w:r>
          </w:hyperlink>
        </w:p>
        <w:p w14:paraId="305E4228" w14:textId="1666EF69" w:rsidR="00C8169D" w:rsidRDefault="00C8169D">
          <w:pPr>
            <w:pStyle w:val="TOC2"/>
            <w:tabs>
              <w:tab w:val="left" w:pos="720"/>
              <w:tab w:val="right" w:pos="9854"/>
            </w:tabs>
            <w:rPr>
              <w:rFonts w:asciiTheme="minorHAnsi" w:hAnsiTheme="minorHAnsi"/>
              <w:noProof/>
              <w:color w:val="auto"/>
              <w:kern w:val="2"/>
              <w:sz w:val="24"/>
              <w:szCs w:val="24"/>
              <w:lang w:eastAsia="en-AU"/>
              <w14:ligatures w14:val="standardContextual"/>
            </w:rPr>
          </w:pPr>
          <w:hyperlink w:anchor="_Toc212118248" w:history="1">
            <w:r w:rsidRPr="00B1594F">
              <w:rPr>
                <w:rStyle w:val="Hyperlink"/>
                <w:rFonts w:cs="Arial"/>
                <w:noProof/>
              </w:rPr>
              <w:t>13.4</w:t>
            </w:r>
            <w:r>
              <w:rPr>
                <w:rFonts w:asciiTheme="minorHAnsi" w:hAnsiTheme="minorHAnsi"/>
                <w:noProof/>
                <w:color w:val="auto"/>
                <w:kern w:val="2"/>
                <w:sz w:val="24"/>
                <w:szCs w:val="24"/>
                <w:lang w:eastAsia="en-AU"/>
                <w14:ligatures w14:val="standardContextual"/>
              </w:rPr>
              <w:tab/>
            </w:r>
            <w:r w:rsidRPr="00B1594F">
              <w:rPr>
                <w:rStyle w:val="Hyperlink"/>
                <w:noProof/>
              </w:rPr>
              <w:t>Conflicts of interest</w:t>
            </w:r>
            <w:r>
              <w:rPr>
                <w:noProof/>
                <w:webHidden/>
              </w:rPr>
              <w:tab/>
            </w:r>
            <w:r>
              <w:rPr>
                <w:noProof/>
                <w:webHidden/>
              </w:rPr>
              <w:fldChar w:fldCharType="begin"/>
            </w:r>
            <w:r>
              <w:rPr>
                <w:noProof/>
                <w:webHidden/>
              </w:rPr>
              <w:instrText xml:space="preserve"> PAGEREF _Toc212118248 \h </w:instrText>
            </w:r>
            <w:r>
              <w:rPr>
                <w:noProof/>
                <w:webHidden/>
              </w:rPr>
            </w:r>
            <w:r>
              <w:rPr>
                <w:noProof/>
                <w:webHidden/>
              </w:rPr>
              <w:fldChar w:fldCharType="separate"/>
            </w:r>
            <w:r w:rsidR="00987E1B">
              <w:rPr>
                <w:noProof/>
                <w:webHidden/>
              </w:rPr>
              <w:t>18</w:t>
            </w:r>
            <w:r>
              <w:rPr>
                <w:noProof/>
                <w:webHidden/>
              </w:rPr>
              <w:fldChar w:fldCharType="end"/>
            </w:r>
          </w:hyperlink>
        </w:p>
        <w:p w14:paraId="2B1CD059" w14:textId="128B2732" w:rsidR="00C8169D" w:rsidRDefault="00C8169D">
          <w:pPr>
            <w:pStyle w:val="TOC2"/>
            <w:tabs>
              <w:tab w:val="left" w:pos="720"/>
              <w:tab w:val="right" w:pos="9854"/>
            </w:tabs>
            <w:rPr>
              <w:rFonts w:asciiTheme="minorHAnsi" w:hAnsiTheme="minorHAnsi"/>
              <w:noProof/>
              <w:color w:val="auto"/>
              <w:kern w:val="2"/>
              <w:sz w:val="24"/>
              <w:szCs w:val="24"/>
              <w:lang w:eastAsia="en-AU"/>
              <w14:ligatures w14:val="standardContextual"/>
            </w:rPr>
          </w:pPr>
          <w:hyperlink w:anchor="_Toc212118249" w:history="1">
            <w:r w:rsidRPr="00B1594F">
              <w:rPr>
                <w:rStyle w:val="Hyperlink"/>
                <w:rFonts w:cs="Arial"/>
                <w:bCs/>
                <w:noProof/>
              </w:rPr>
              <w:t>13.5</w:t>
            </w:r>
            <w:r>
              <w:rPr>
                <w:rFonts w:asciiTheme="minorHAnsi" w:hAnsiTheme="minorHAnsi"/>
                <w:noProof/>
                <w:color w:val="auto"/>
                <w:kern w:val="2"/>
                <w:sz w:val="24"/>
                <w:szCs w:val="24"/>
                <w:lang w:eastAsia="en-AU"/>
                <w14:ligatures w14:val="standardContextual"/>
              </w:rPr>
              <w:tab/>
            </w:r>
            <w:r w:rsidRPr="00B1594F">
              <w:rPr>
                <w:rStyle w:val="Hyperlink"/>
                <w:noProof/>
              </w:rPr>
              <w:t>Privacy and data collection</w:t>
            </w:r>
            <w:r>
              <w:rPr>
                <w:noProof/>
                <w:webHidden/>
              </w:rPr>
              <w:tab/>
            </w:r>
            <w:r>
              <w:rPr>
                <w:noProof/>
                <w:webHidden/>
              </w:rPr>
              <w:fldChar w:fldCharType="begin"/>
            </w:r>
            <w:r>
              <w:rPr>
                <w:noProof/>
                <w:webHidden/>
              </w:rPr>
              <w:instrText xml:space="preserve"> PAGEREF _Toc212118249 \h </w:instrText>
            </w:r>
            <w:r>
              <w:rPr>
                <w:noProof/>
                <w:webHidden/>
              </w:rPr>
            </w:r>
            <w:r>
              <w:rPr>
                <w:noProof/>
                <w:webHidden/>
              </w:rPr>
              <w:fldChar w:fldCharType="separate"/>
            </w:r>
            <w:r w:rsidR="00987E1B">
              <w:rPr>
                <w:noProof/>
                <w:webHidden/>
              </w:rPr>
              <w:t>19</w:t>
            </w:r>
            <w:r>
              <w:rPr>
                <w:noProof/>
                <w:webHidden/>
              </w:rPr>
              <w:fldChar w:fldCharType="end"/>
            </w:r>
          </w:hyperlink>
        </w:p>
        <w:p w14:paraId="0B71BBAE" w14:textId="574BF48A" w:rsidR="00C8169D" w:rsidRDefault="00C8169D">
          <w:pPr>
            <w:pStyle w:val="TOC2"/>
            <w:tabs>
              <w:tab w:val="left" w:pos="720"/>
              <w:tab w:val="right" w:pos="9854"/>
            </w:tabs>
            <w:rPr>
              <w:rFonts w:asciiTheme="minorHAnsi" w:hAnsiTheme="minorHAnsi"/>
              <w:noProof/>
              <w:color w:val="auto"/>
              <w:kern w:val="2"/>
              <w:sz w:val="24"/>
              <w:szCs w:val="24"/>
              <w:lang w:eastAsia="en-AU"/>
              <w14:ligatures w14:val="standardContextual"/>
            </w:rPr>
          </w:pPr>
          <w:hyperlink w:anchor="_Toc212118250" w:history="1">
            <w:r w:rsidRPr="00B1594F">
              <w:rPr>
                <w:rStyle w:val="Hyperlink"/>
                <w:rFonts w:cs="Arial"/>
                <w:noProof/>
              </w:rPr>
              <w:t>13.6</w:t>
            </w:r>
            <w:r>
              <w:rPr>
                <w:rFonts w:asciiTheme="minorHAnsi" w:hAnsiTheme="minorHAnsi"/>
                <w:noProof/>
                <w:color w:val="auto"/>
                <w:kern w:val="2"/>
                <w:sz w:val="24"/>
                <w:szCs w:val="24"/>
                <w:lang w:eastAsia="en-AU"/>
                <w14:ligatures w14:val="standardContextual"/>
              </w:rPr>
              <w:tab/>
            </w:r>
            <w:r w:rsidRPr="00B1594F">
              <w:rPr>
                <w:rStyle w:val="Hyperlink"/>
                <w:noProof/>
              </w:rPr>
              <w:t>Evaluation</w:t>
            </w:r>
            <w:r>
              <w:rPr>
                <w:noProof/>
                <w:webHidden/>
              </w:rPr>
              <w:tab/>
            </w:r>
            <w:r>
              <w:rPr>
                <w:noProof/>
                <w:webHidden/>
              </w:rPr>
              <w:fldChar w:fldCharType="begin"/>
            </w:r>
            <w:r>
              <w:rPr>
                <w:noProof/>
                <w:webHidden/>
              </w:rPr>
              <w:instrText xml:space="preserve"> PAGEREF _Toc212118250 \h </w:instrText>
            </w:r>
            <w:r>
              <w:rPr>
                <w:noProof/>
                <w:webHidden/>
              </w:rPr>
            </w:r>
            <w:r>
              <w:rPr>
                <w:noProof/>
                <w:webHidden/>
              </w:rPr>
              <w:fldChar w:fldCharType="separate"/>
            </w:r>
            <w:r w:rsidR="00987E1B">
              <w:rPr>
                <w:noProof/>
                <w:webHidden/>
              </w:rPr>
              <w:t>20</w:t>
            </w:r>
            <w:r>
              <w:rPr>
                <w:noProof/>
                <w:webHidden/>
              </w:rPr>
              <w:fldChar w:fldCharType="end"/>
            </w:r>
          </w:hyperlink>
        </w:p>
        <w:p w14:paraId="2539B16B" w14:textId="1AFFB7D2" w:rsidR="00C8169D" w:rsidRDefault="00C8169D">
          <w:pPr>
            <w:pStyle w:val="TOC1"/>
            <w:tabs>
              <w:tab w:val="left" w:pos="720"/>
            </w:tabs>
            <w:rPr>
              <w:rFonts w:asciiTheme="minorHAnsi" w:hAnsiTheme="minorHAnsi"/>
              <w:b w:val="0"/>
              <w:noProof/>
              <w:color w:val="auto"/>
              <w:kern w:val="2"/>
              <w:sz w:val="24"/>
              <w:szCs w:val="24"/>
              <w:u w:val="none"/>
              <w:lang w:eastAsia="en-AU"/>
              <w14:ligatures w14:val="standardContextual"/>
            </w:rPr>
          </w:pPr>
          <w:hyperlink w:anchor="_Toc212118251" w:history="1">
            <w:r w:rsidRPr="00B1594F">
              <w:rPr>
                <w:rStyle w:val="Hyperlink"/>
                <w:noProof/>
              </w:rPr>
              <w:t>14</w:t>
            </w:r>
            <w:r>
              <w:rPr>
                <w:rFonts w:asciiTheme="minorHAnsi" w:hAnsiTheme="minorHAnsi"/>
                <w:b w:val="0"/>
                <w:noProof/>
                <w:color w:val="auto"/>
                <w:kern w:val="2"/>
                <w:sz w:val="24"/>
                <w:szCs w:val="24"/>
                <w:u w:val="none"/>
                <w:lang w:eastAsia="en-AU"/>
                <w14:ligatures w14:val="standardContextual"/>
              </w:rPr>
              <w:tab/>
            </w:r>
            <w:r w:rsidRPr="00B1594F">
              <w:rPr>
                <w:rStyle w:val="Hyperlink"/>
                <w:noProof/>
              </w:rPr>
              <w:t>Freedom of information</w:t>
            </w:r>
            <w:r>
              <w:rPr>
                <w:noProof/>
                <w:webHidden/>
              </w:rPr>
              <w:tab/>
            </w:r>
            <w:r>
              <w:rPr>
                <w:noProof/>
                <w:webHidden/>
              </w:rPr>
              <w:fldChar w:fldCharType="begin"/>
            </w:r>
            <w:r>
              <w:rPr>
                <w:noProof/>
                <w:webHidden/>
              </w:rPr>
              <w:instrText xml:space="preserve"> PAGEREF _Toc212118251 \h </w:instrText>
            </w:r>
            <w:r>
              <w:rPr>
                <w:noProof/>
                <w:webHidden/>
              </w:rPr>
            </w:r>
            <w:r>
              <w:rPr>
                <w:noProof/>
                <w:webHidden/>
              </w:rPr>
              <w:fldChar w:fldCharType="separate"/>
            </w:r>
            <w:r w:rsidR="00987E1B">
              <w:rPr>
                <w:noProof/>
                <w:webHidden/>
              </w:rPr>
              <w:t>20</w:t>
            </w:r>
            <w:r>
              <w:rPr>
                <w:noProof/>
                <w:webHidden/>
              </w:rPr>
              <w:fldChar w:fldCharType="end"/>
            </w:r>
          </w:hyperlink>
        </w:p>
        <w:p w14:paraId="315819FB" w14:textId="0FEF2E11" w:rsidR="00C8169D" w:rsidRDefault="00C8169D">
          <w:pPr>
            <w:pStyle w:val="TOC1"/>
            <w:tabs>
              <w:tab w:val="left" w:pos="720"/>
            </w:tabs>
            <w:rPr>
              <w:rFonts w:asciiTheme="minorHAnsi" w:hAnsiTheme="minorHAnsi"/>
              <w:b w:val="0"/>
              <w:noProof/>
              <w:color w:val="auto"/>
              <w:kern w:val="2"/>
              <w:sz w:val="24"/>
              <w:szCs w:val="24"/>
              <w:u w:val="none"/>
              <w:lang w:eastAsia="en-AU"/>
              <w14:ligatures w14:val="standardContextual"/>
            </w:rPr>
          </w:pPr>
          <w:hyperlink w:anchor="_Toc212118252" w:history="1">
            <w:r w:rsidRPr="00B1594F">
              <w:rPr>
                <w:rStyle w:val="Hyperlink"/>
                <w:noProof/>
              </w:rPr>
              <w:t>15</w:t>
            </w:r>
            <w:r>
              <w:rPr>
                <w:rFonts w:asciiTheme="minorHAnsi" w:hAnsiTheme="minorHAnsi"/>
                <w:b w:val="0"/>
                <w:noProof/>
                <w:color w:val="auto"/>
                <w:kern w:val="2"/>
                <w:sz w:val="24"/>
                <w:szCs w:val="24"/>
                <w:u w:val="none"/>
                <w:lang w:eastAsia="en-AU"/>
                <w14:ligatures w14:val="standardContextual"/>
              </w:rPr>
              <w:tab/>
            </w:r>
            <w:r w:rsidRPr="00B1594F">
              <w:rPr>
                <w:rStyle w:val="Hyperlink"/>
                <w:noProof/>
              </w:rPr>
              <w:t>Disclaimer</w:t>
            </w:r>
            <w:r>
              <w:rPr>
                <w:noProof/>
                <w:webHidden/>
              </w:rPr>
              <w:tab/>
            </w:r>
            <w:r>
              <w:rPr>
                <w:noProof/>
                <w:webHidden/>
              </w:rPr>
              <w:fldChar w:fldCharType="begin"/>
            </w:r>
            <w:r>
              <w:rPr>
                <w:noProof/>
                <w:webHidden/>
              </w:rPr>
              <w:instrText xml:space="preserve"> PAGEREF _Toc212118252 \h </w:instrText>
            </w:r>
            <w:r>
              <w:rPr>
                <w:noProof/>
                <w:webHidden/>
              </w:rPr>
            </w:r>
            <w:r>
              <w:rPr>
                <w:noProof/>
                <w:webHidden/>
              </w:rPr>
              <w:fldChar w:fldCharType="separate"/>
            </w:r>
            <w:r w:rsidR="00987E1B">
              <w:rPr>
                <w:noProof/>
                <w:webHidden/>
              </w:rPr>
              <w:t>21</w:t>
            </w:r>
            <w:r>
              <w:rPr>
                <w:noProof/>
                <w:webHidden/>
              </w:rPr>
              <w:fldChar w:fldCharType="end"/>
            </w:r>
          </w:hyperlink>
        </w:p>
        <w:p w14:paraId="1BE9904C" w14:textId="1CED57CA" w:rsidR="00C8169D" w:rsidRDefault="00C8169D">
          <w:pPr>
            <w:pStyle w:val="TOC1"/>
            <w:tabs>
              <w:tab w:val="left" w:pos="720"/>
            </w:tabs>
            <w:rPr>
              <w:rFonts w:asciiTheme="minorHAnsi" w:hAnsiTheme="minorHAnsi"/>
              <w:b w:val="0"/>
              <w:noProof/>
              <w:color w:val="auto"/>
              <w:kern w:val="2"/>
              <w:sz w:val="24"/>
              <w:szCs w:val="24"/>
              <w:u w:val="none"/>
              <w:lang w:eastAsia="en-AU"/>
              <w14:ligatures w14:val="standardContextual"/>
            </w:rPr>
          </w:pPr>
          <w:hyperlink w:anchor="_Toc212118253" w:history="1">
            <w:r w:rsidRPr="00B1594F">
              <w:rPr>
                <w:rStyle w:val="Hyperlink"/>
                <w:noProof/>
              </w:rPr>
              <w:t>16</w:t>
            </w:r>
            <w:r>
              <w:rPr>
                <w:rFonts w:asciiTheme="minorHAnsi" w:hAnsiTheme="minorHAnsi"/>
                <w:b w:val="0"/>
                <w:noProof/>
                <w:color w:val="auto"/>
                <w:kern w:val="2"/>
                <w:sz w:val="24"/>
                <w:szCs w:val="24"/>
                <w:u w:val="none"/>
                <w:lang w:eastAsia="en-AU"/>
                <w14:ligatures w14:val="standardContextual"/>
              </w:rPr>
              <w:tab/>
            </w:r>
            <w:r w:rsidRPr="00B1594F">
              <w:rPr>
                <w:rStyle w:val="Hyperlink"/>
                <w:noProof/>
              </w:rPr>
              <w:t>Glossary of terms</w:t>
            </w:r>
            <w:r>
              <w:rPr>
                <w:noProof/>
                <w:webHidden/>
              </w:rPr>
              <w:tab/>
            </w:r>
            <w:r>
              <w:rPr>
                <w:noProof/>
                <w:webHidden/>
              </w:rPr>
              <w:fldChar w:fldCharType="begin"/>
            </w:r>
            <w:r>
              <w:rPr>
                <w:noProof/>
                <w:webHidden/>
              </w:rPr>
              <w:instrText xml:space="preserve"> PAGEREF _Toc212118253 \h </w:instrText>
            </w:r>
            <w:r>
              <w:rPr>
                <w:noProof/>
                <w:webHidden/>
              </w:rPr>
            </w:r>
            <w:r>
              <w:rPr>
                <w:noProof/>
                <w:webHidden/>
              </w:rPr>
              <w:fldChar w:fldCharType="separate"/>
            </w:r>
            <w:r w:rsidR="00987E1B">
              <w:rPr>
                <w:noProof/>
                <w:webHidden/>
              </w:rPr>
              <w:t>22</w:t>
            </w:r>
            <w:r>
              <w:rPr>
                <w:noProof/>
                <w:webHidden/>
              </w:rPr>
              <w:fldChar w:fldCharType="end"/>
            </w:r>
          </w:hyperlink>
        </w:p>
        <w:p w14:paraId="6A516C7A" w14:textId="3733424C" w:rsidR="00C8169D" w:rsidRDefault="00C8169D">
          <w:pPr>
            <w:pStyle w:val="TOC1"/>
            <w:tabs>
              <w:tab w:val="left" w:pos="720"/>
            </w:tabs>
            <w:rPr>
              <w:rFonts w:asciiTheme="minorHAnsi" w:hAnsiTheme="minorHAnsi"/>
              <w:b w:val="0"/>
              <w:noProof/>
              <w:color w:val="auto"/>
              <w:kern w:val="2"/>
              <w:sz w:val="24"/>
              <w:szCs w:val="24"/>
              <w:u w:val="none"/>
              <w:lang w:eastAsia="en-AU"/>
              <w14:ligatures w14:val="standardContextual"/>
            </w:rPr>
          </w:pPr>
          <w:hyperlink w:anchor="_Toc212118254" w:history="1">
            <w:r w:rsidRPr="00B1594F">
              <w:rPr>
                <w:rStyle w:val="Hyperlink"/>
                <w:noProof/>
              </w:rPr>
              <w:t>17</w:t>
            </w:r>
            <w:r>
              <w:rPr>
                <w:rFonts w:asciiTheme="minorHAnsi" w:hAnsiTheme="minorHAnsi"/>
                <w:b w:val="0"/>
                <w:noProof/>
                <w:color w:val="auto"/>
                <w:kern w:val="2"/>
                <w:sz w:val="24"/>
                <w:szCs w:val="24"/>
                <w:u w:val="none"/>
                <w:lang w:eastAsia="en-AU"/>
                <w14:ligatures w14:val="standardContextual"/>
              </w:rPr>
              <w:tab/>
            </w:r>
            <w:r w:rsidRPr="00B1594F">
              <w:rPr>
                <w:rStyle w:val="Hyperlink"/>
                <w:noProof/>
              </w:rPr>
              <w:t>Appendix</w:t>
            </w:r>
            <w:r>
              <w:rPr>
                <w:noProof/>
                <w:webHidden/>
              </w:rPr>
              <w:tab/>
            </w:r>
            <w:r>
              <w:rPr>
                <w:noProof/>
                <w:webHidden/>
              </w:rPr>
              <w:fldChar w:fldCharType="begin"/>
            </w:r>
            <w:r>
              <w:rPr>
                <w:noProof/>
                <w:webHidden/>
              </w:rPr>
              <w:instrText xml:space="preserve"> PAGEREF _Toc212118254 \h </w:instrText>
            </w:r>
            <w:r>
              <w:rPr>
                <w:noProof/>
                <w:webHidden/>
              </w:rPr>
            </w:r>
            <w:r>
              <w:rPr>
                <w:noProof/>
                <w:webHidden/>
              </w:rPr>
              <w:fldChar w:fldCharType="separate"/>
            </w:r>
            <w:r w:rsidR="00987E1B">
              <w:rPr>
                <w:noProof/>
                <w:webHidden/>
              </w:rPr>
              <w:t>26</w:t>
            </w:r>
            <w:r>
              <w:rPr>
                <w:noProof/>
                <w:webHidden/>
              </w:rPr>
              <w:fldChar w:fldCharType="end"/>
            </w:r>
          </w:hyperlink>
        </w:p>
        <w:p w14:paraId="50BB7F5A" w14:textId="7641277C" w:rsidR="00C8169D" w:rsidRDefault="00C8169D">
          <w:pPr>
            <w:pStyle w:val="TOC2"/>
            <w:tabs>
              <w:tab w:val="left" w:pos="720"/>
              <w:tab w:val="right" w:pos="9854"/>
            </w:tabs>
            <w:rPr>
              <w:rFonts w:asciiTheme="minorHAnsi" w:hAnsiTheme="minorHAnsi"/>
              <w:noProof/>
              <w:color w:val="auto"/>
              <w:kern w:val="2"/>
              <w:sz w:val="24"/>
              <w:szCs w:val="24"/>
              <w:lang w:eastAsia="en-AU"/>
              <w14:ligatures w14:val="standardContextual"/>
            </w:rPr>
          </w:pPr>
          <w:hyperlink w:anchor="_Toc212118255" w:history="1">
            <w:r w:rsidRPr="00B1594F">
              <w:rPr>
                <w:rStyle w:val="Hyperlink"/>
                <w:rFonts w:cs="Arial"/>
                <w:bCs/>
                <w:noProof/>
              </w:rPr>
              <w:t>17.1</w:t>
            </w:r>
            <w:r>
              <w:rPr>
                <w:rFonts w:asciiTheme="minorHAnsi" w:hAnsiTheme="minorHAnsi"/>
                <w:noProof/>
                <w:color w:val="auto"/>
                <w:kern w:val="2"/>
                <w:sz w:val="24"/>
                <w:szCs w:val="24"/>
                <w:lang w:eastAsia="en-AU"/>
                <w14:ligatures w14:val="standardContextual"/>
              </w:rPr>
              <w:tab/>
            </w:r>
            <w:r w:rsidRPr="00B1594F">
              <w:rPr>
                <w:rStyle w:val="Hyperlink"/>
                <w:noProof/>
              </w:rPr>
              <w:t>GPACI eligible specialty codes</w:t>
            </w:r>
            <w:r>
              <w:rPr>
                <w:noProof/>
                <w:webHidden/>
              </w:rPr>
              <w:tab/>
            </w:r>
            <w:r>
              <w:rPr>
                <w:noProof/>
                <w:webHidden/>
              </w:rPr>
              <w:fldChar w:fldCharType="begin"/>
            </w:r>
            <w:r>
              <w:rPr>
                <w:noProof/>
                <w:webHidden/>
              </w:rPr>
              <w:instrText xml:space="preserve"> PAGEREF _Toc212118255 \h </w:instrText>
            </w:r>
            <w:r>
              <w:rPr>
                <w:noProof/>
                <w:webHidden/>
              </w:rPr>
            </w:r>
            <w:r>
              <w:rPr>
                <w:noProof/>
                <w:webHidden/>
              </w:rPr>
              <w:fldChar w:fldCharType="separate"/>
            </w:r>
            <w:r w:rsidR="00987E1B">
              <w:rPr>
                <w:noProof/>
                <w:webHidden/>
              </w:rPr>
              <w:t>26</w:t>
            </w:r>
            <w:r>
              <w:rPr>
                <w:noProof/>
                <w:webHidden/>
              </w:rPr>
              <w:fldChar w:fldCharType="end"/>
            </w:r>
          </w:hyperlink>
        </w:p>
        <w:p w14:paraId="44118346" w14:textId="304CF842" w:rsidR="00C8169D" w:rsidRDefault="00C8169D">
          <w:pPr>
            <w:pStyle w:val="TOC2"/>
            <w:tabs>
              <w:tab w:val="left" w:pos="720"/>
              <w:tab w:val="right" w:pos="9854"/>
            </w:tabs>
            <w:rPr>
              <w:rFonts w:asciiTheme="minorHAnsi" w:hAnsiTheme="minorHAnsi"/>
              <w:noProof/>
              <w:color w:val="auto"/>
              <w:kern w:val="2"/>
              <w:sz w:val="24"/>
              <w:szCs w:val="24"/>
              <w:lang w:eastAsia="en-AU"/>
              <w14:ligatures w14:val="standardContextual"/>
            </w:rPr>
          </w:pPr>
          <w:hyperlink w:anchor="_Toc212118256" w:history="1">
            <w:r w:rsidRPr="00B1594F">
              <w:rPr>
                <w:rStyle w:val="Hyperlink"/>
                <w:rFonts w:cs="Arial"/>
                <w:bCs/>
                <w:noProof/>
              </w:rPr>
              <w:t>17.2</w:t>
            </w:r>
            <w:r>
              <w:rPr>
                <w:rFonts w:asciiTheme="minorHAnsi" w:hAnsiTheme="minorHAnsi"/>
                <w:noProof/>
                <w:color w:val="auto"/>
                <w:kern w:val="2"/>
                <w:sz w:val="24"/>
                <w:szCs w:val="24"/>
                <w:lang w:eastAsia="en-AU"/>
                <w14:ligatures w14:val="standardContextual"/>
              </w:rPr>
              <w:tab/>
            </w:r>
            <w:r w:rsidRPr="00B1594F">
              <w:rPr>
                <w:rStyle w:val="Hyperlink"/>
                <w:noProof/>
              </w:rPr>
              <w:t>GPACI eligible services</w:t>
            </w:r>
            <w:r>
              <w:rPr>
                <w:noProof/>
                <w:webHidden/>
              </w:rPr>
              <w:tab/>
            </w:r>
            <w:r>
              <w:rPr>
                <w:noProof/>
                <w:webHidden/>
              </w:rPr>
              <w:fldChar w:fldCharType="begin"/>
            </w:r>
            <w:r>
              <w:rPr>
                <w:noProof/>
                <w:webHidden/>
              </w:rPr>
              <w:instrText xml:space="preserve"> PAGEREF _Toc212118256 \h </w:instrText>
            </w:r>
            <w:r>
              <w:rPr>
                <w:noProof/>
                <w:webHidden/>
              </w:rPr>
            </w:r>
            <w:r>
              <w:rPr>
                <w:noProof/>
                <w:webHidden/>
              </w:rPr>
              <w:fldChar w:fldCharType="separate"/>
            </w:r>
            <w:r w:rsidR="00987E1B">
              <w:rPr>
                <w:noProof/>
                <w:webHidden/>
              </w:rPr>
              <w:t>28</w:t>
            </w:r>
            <w:r>
              <w:rPr>
                <w:noProof/>
                <w:webHidden/>
              </w:rPr>
              <w:fldChar w:fldCharType="end"/>
            </w:r>
          </w:hyperlink>
        </w:p>
        <w:p w14:paraId="6EE5FDA0" w14:textId="19206ED1" w:rsidR="00C8169D" w:rsidRDefault="00C8169D">
          <w:pPr>
            <w:pStyle w:val="TOC2"/>
            <w:tabs>
              <w:tab w:val="left" w:pos="720"/>
              <w:tab w:val="right" w:pos="9854"/>
            </w:tabs>
            <w:rPr>
              <w:rFonts w:asciiTheme="minorHAnsi" w:hAnsiTheme="minorHAnsi"/>
              <w:noProof/>
              <w:color w:val="auto"/>
              <w:kern w:val="2"/>
              <w:sz w:val="24"/>
              <w:szCs w:val="24"/>
              <w:lang w:eastAsia="en-AU"/>
              <w14:ligatures w14:val="standardContextual"/>
            </w:rPr>
          </w:pPr>
          <w:hyperlink w:anchor="_Toc212118257" w:history="1">
            <w:r w:rsidRPr="00B1594F">
              <w:rPr>
                <w:rStyle w:val="Hyperlink"/>
                <w:rFonts w:cs="Arial"/>
                <w:bCs/>
                <w:noProof/>
              </w:rPr>
              <w:t>17.3</w:t>
            </w:r>
            <w:r>
              <w:rPr>
                <w:rFonts w:asciiTheme="minorHAnsi" w:hAnsiTheme="minorHAnsi"/>
                <w:noProof/>
                <w:color w:val="auto"/>
                <w:kern w:val="2"/>
                <w:sz w:val="24"/>
                <w:szCs w:val="24"/>
                <w:lang w:eastAsia="en-AU"/>
                <w14:ligatures w14:val="standardContextual"/>
              </w:rPr>
              <w:tab/>
            </w:r>
            <w:r w:rsidRPr="00B1594F">
              <w:rPr>
                <w:rStyle w:val="Hyperlink"/>
                <w:noProof/>
              </w:rPr>
              <w:t>Rural loading</w:t>
            </w:r>
            <w:r>
              <w:rPr>
                <w:noProof/>
                <w:webHidden/>
              </w:rPr>
              <w:tab/>
            </w:r>
            <w:r>
              <w:rPr>
                <w:noProof/>
                <w:webHidden/>
              </w:rPr>
              <w:fldChar w:fldCharType="begin"/>
            </w:r>
            <w:r>
              <w:rPr>
                <w:noProof/>
                <w:webHidden/>
              </w:rPr>
              <w:instrText xml:space="preserve"> PAGEREF _Toc212118257 \h </w:instrText>
            </w:r>
            <w:r>
              <w:rPr>
                <w:noProof/>
                <w:webHidden/>
              </w:rPr>
            </w:r>
            <w:r>
              <w:rPr>
                <w:noProof/>
                <w:webHidden/>
              </w:rPr>
              <w:fldChar w:fldCharType="separate"/>
            </w:r>
            <w:r w:rsidR="00987E1B">
              <w:rPr>
                <w:noProof/>
                <w:webHidden/>
              </w:rPr>
              <w:t>30</w:t>
            </w:r>
            <w:r>
              <w:rPr>
                <w:noProof/>
                <w:webHidden/>
              </w:rPr>
              <w:fldChar w:fldCharType="end"/>
            </w:r>
          </w:hyperlink>
        </w:p>
        <w:p w14:paraId="083FE43B" w14:textId="433EF0AA" w:rsidR="00C8169D" w:rsidRDefault="00C8169D">
          <w:pPr>
            <w:pStyle w:val="TOC2"/>
            <w:tabs>
              <w:tab w:val="left" w:pos="720"/>
              <w:tab w:val="right" w:pos="9854"/>
            </w:tabs>
            <w:rPr>
              <w:rFonts w:asciiTheme="minorHAnsi" w:hAnsiTheme="minorHAnsi"/>
              <w:noProof/>
              <w:color w:val="auto"/>
              <w:kern w:val="2"/>
              <w:sz w:val="24"/>
              <w:szCs w:val="24"/>
              <w:lang w:eastAsia="en-AU"/>
              <w14:ligatures w14:val="standardContextual"/>
            </w:rPr>
          </w:pPr>
          <w:hyperlink w:anchor="_Toc212118258" w:history="1">
            <w:r w:rsidRPr="00B1594F">
              <w:rPr>
                <w:rStyle w:val="Hyperlink"/>
                <w:rFonts w:cs="Arial"/>
                <w:bCs/>
                <w:noProof/>
              </w:rPr>
              <w:t>17.4</w:t>
            </w:r>
            <w:r>
              <w:rPr>
                <w:rFonts w:asciiTheme="minorHAnsi" w:hAnsiTheme="minorHAnsi"/>
                <w:noProof/>
                <w:color w:val="auto"/>
                <w:kern w:val="2"/>
                <w:sz w:val="24"/>
                <w:szCs w:val="24"/>
                <w:lang w:eastAsia="en-AU"/>
                <w14:ligatures w14:val="standardContextual"/>
              </w:rPr>
              <w:tab/>
            </w:r>
            <w:r w:rsidRPr="00B1594F">
              <w:rPr>
                <w:rStyle w:val="Hyperlink"/>
                <w:noProof/>
              </w:rPr>
              <w:t>Payment eligibility requirements per assessment period</w:t>
            </w:r>
            <w:r>
              <w:rPr>
                <w:noProof/>
                <w:webHidden/>
              </w:rPr>
              <w:tab/>
            </w:r>
            <w:r>
              <w:rPr>
                <w:noProof/>
                <w:webHidden/>
              </w:rPr>
              <w:fldChar w:fldCharType="begin"/>
            </w:r>
            <w:r>
              <w:rPr>
                <w:noProof/>
                <w:webHidden/>
              </w:rPr>
              <w:instrText xml:space="preserve"> PAGEREF _Toc212118258 \h </w:instrText>
            </w:r>
            <w:r>
              <w:rPr>
                <w:noProof/>
                <w:webHidden/>
              </w:rPr>
            </w:r>
            <w:r>
              <w:rPr>
                <w:noProof/>
                <w:webHidden/>
              </w:rPr>
              <w:fldChar w:fldCharType="separate"/>
            </w:r>
            <w:r w:rsidR="00987E1B">
              <w:rPr>
                <w:noProof/>
                <w:webHidden/>
              </w:rPr>
              <w:t>32</w:t>
            </w:r>
            <w:r>
              <w:rPr>
                <w:noProof/>
                <w:webHidden/>
              </w:rPr>
              <w:fldChar w:fldCharType="end"/>
            </w:r>
          </w:hyperlink>
        </w:p>
        <w:p w14:paraId="63EC50E7" w14:textId="16235DB7" w:rsidR="00FB2642" w:rsidRPr="009A5F5E" w:rsidRDefault="00275D36" w:rsidP="00DA5604">
          <w:pPr>
            <w:rPr>
              <w:lang w:eastAsia="en-AU"/>
            </w:rPr>
          </w:pPr>
          <w:r w:rsidRPr="009A5F5E">
            <w:fldChar w:fldCharType="end"/>
          </w:r>
        </w:p>
      </w:sdtContent>
    </w:sdt>
    <w:p w14:paraId="1B028076" w14:textId="168AD943" w:rsidR="00066C2D" w:rsidRPr="009A5F5E" w:rsidRDefault="009E30CD" w:rsidP="00066C2D">
      <w:pPr>
        <w:rPr>
          <w:rFonts w:eastAsiaTheme="majorEastAsia" w:cstheme="majorBidi"/>
          <w:b/>
          <w:sz w:val="32"/>
          <w:szCs w:val="32"/>
        </w:rPr>
      </w:pPr>
      <w:r w:rsidRPr="009A5F5E">
        <w:br w:type="page"/>
      </w:r>
      <w:bookmarkStart w:id="1" w:name="_Toc170817131"/>
    </w:p>
    <w:p w14:paraId="1F5217B0" w14:textId="6AB57BAF" w:rsidR="00B32381" w:rsidRPr="009A5F5E" w:rsidRDefault="00B32381" w:rsidP="004F74B7">
      <w:pPr>
        <w:pStyle w:val="GuidelinesHeading"/>
      </w:pPr>
      <w:bookmarkStart w:id="2" w:name="_Toc212118213"/>
      <w:bookmarkStart w:id="3" w:name="_Toc167109427"/>
      <w:bookmarkStart w:id="4" w:name="_Toc170119991"/>
      <w:bookmarkStart w:id="5" w:name="_Toc170817133"/>
      <w:bookmarkEnd w:id="1"/>
      <w:r w:rsidRPr="009A5F5E">
        <w:lastRenderedPageBreak/>
        <w:t>About the program</w:t>
      </w:r>
      <w:bookmarkEnd w:id="2"/>
    </w:p>
    <w:p w14:paraId="4CAFE8D6" w14:textId="6D4E965E" w:rsidR="003F3B0D" w:rsidRPr="009A5F5E" w:rsidRDefault="00186074" w:rsidP="0013026A">
      <w:r w:rsidRPr="009A5F5E">
        <w:t xml:space="preserve">GPACI was announced as part of the 2023-24 Budget as a component of </w:t>
      </w:r>
      <w:r w:rsidRPr="009A5F5E">
        <w:rPr>
          <w:i/>
          <w:iCs/>
        </w:rPr>
        <w:t xml:space="preserve">Outcome </w:t>
      </w:r>
      <w:r w:rsidR="00C94CBD" w:rsidRPr="009A5F5E">
        <w:rPr>
          <w:i/>
          <w:iCs/>
        </w:rPr>
        <w:t>1</w:t>
      </w:r>
      <w:r w:rsidRPr="009A5F5E">
        <w:rPr>
          <w:i/>
          <w:iCs/>
        </w:rPr>
        <w:t xml:space="preserve">: </w:t>
      </w:r>
      <w:r w:rsidR="00770D9D" w:rsidRPr="009A5F5E">
        <w:rPr>
          <w:i/>
          <w:iCs/>
        </w:rPr>
        <w:t>Health Policy, Access and Support</w:t>
      </w:r>
      <w:r w:rsidR="00F959DC" w:rsidRPr="009A5F5E">
        <w:rPr>
          <w:i/>
          <w:iCs/>
        </w:rPr>
        <w:t>, Program 1.6</w:t>
      </w:r>
      <w:r w:rsidR="00CB79ED" w:rsidRPr="009A5F5E">
        <w:rPr>
          <w:i/>
          <w:iCs/>
        </w:rPr>
        <w:t xml:space="preserve"> Primary Health Care Quality and Coordination</w:t>
      </w:r>
      <w:r w:rsidR="00770D9D" w:rsidRPr="009A5F5E">
        <w:t xml:space="preserve"> </w:t>
      </w:r>
      <w:r w:rsidR="00255BF0" w:rsidRPr="009A5F5E">
        <w:t>o</w:t>
      </w:r>
      <w:r w:rsidRPr="009A5F5E">
        <w:t>f the department’s Portfol</w:t>
      </w:r>
      <w:r w:rsidR="008E7D5F" w:rsidRPr="009A5F5E">
        <w:t>io Budge</w:t>
      </w:r>
      <w:r w:rsidR="00940547" w:rsidRPr="009A5F5E">
        <w:t xml:space="preserve">t </w:t>
      </w:r>
      <w:r w:rsidR="004467EB" w:rsidRPr="009A5F5E">
        <w:t xml:space="preserve">Statements 2023-24. </w:t>
      </w:r>
    </w:p>
    <w:p w14:paraId="73BB9043" w14:textId="25A2C00C" w:rsidR="0013026A" w:rsidRPr="009A5F5E" w:rsidRDefault="00273FCB" w:rsidP="0013026A">
      <w:r w:rsidRPr="009A5F5E">
        <w:t xml:space="preserve">The objectives of Program </w:t>
      </w:r>
      <w:r w:rsidR="00067DFE" w:rsidRPr="009A5F5E">
        <w:t>1.6</w:t>
      </w:r>
      <w:r w:rsidRPr="009A5F5E">
        <w:t xml:space="preserve"> are to</w:t>
      </w:r>
      <w:r w:rsidR="00C94CBD" w:rsidRPr="009A5F5E">
        <w:t xml:space="preserve"> strengthen primary health care by delivering funding to frontline primary health care services and improving the access, delivery, quality and coordination of those services. This will help improve health outcomes for patients, particularly people with chronic and/or mental health </w:t>
      </w:r>
      <w:r w:rsidR="00BD4E83" w:rsidRPr="009A5F5E">
        <w:t>conditions and</w:t>
      </w:r>
      <w:r w:rsidR="00C94CBD" w:rsidRPr="009A5F5E">
        <w:t xml:space="preserve"> assist in reducing unnecessary hospital visits and admissions.</w:t>
      </w:r>
    </w:p>
    <w:p w14:paraId="23558693" w14:textId="18221F42" w:rsidR="00367453" w:rsidRPr="00367453" w:rsidRDefault="002C75D3" w:rsidP="00367453">
      <w:r w:rsidRPr="00BD4E83">
        <w:t>The GPACI Guidelines (the guidelines) provide clear guidance to general</w:t>
      </w:r>
      <w:r w:rsidR="00367453" w:rsidRPr="00BD4E83">
        <w:t xml:space="preserve"> </w:t>
      </w:r>
      <w:r w:rsidRPr="00BD4E83">
        <w:t>practices and primary care providers that voluntarily register in MyMedicare to access the GPACI. The guidelines also provide advice on the service requirements, payments and assessments, and appeals process</w:t>
      </w:r>
      <w:r w:rsidR="00367453" w:rsidRPr="00BD4E83">
        <w:t>.</w:t>
      </w:r>
    </w:p>
    <w:p w14:paraId="213C4E7D" w14:textId="5F7ED22E" w:rsidR="00817CB4" w:rsidRPr="009A5F5E" w:rsidRDefault="758819B6" w:rsidP="001F7637">
      <w:pPr>
        <w:pStyle w:val="Heading2"/>
      </w:pPr>
      <w:bookmarkStart w:id="6" w:name="_Toc212118214"/>
      <w:r w:rsidRPr="009A5F5E">
        <w:t>Need for reform</w:t>
      </w:r>
      <w:bookmarkEnd w:id="3"/>
      <w:bookmarkEnd w:id="4"/>
      <w:bookmarkEnd w:id="5"/>
      <w:bookmarkEnd w:id="6"/>
    </w:p>
    <w:p w14:paraId="219BDF56" w14:textId="77777777" w:rsidR="00817CB4" w:rsidRPr="009A5F5E" w:rsidRDefault="00817CB4" w:rsidP="00817CB4">
      <w:pPr>
        <w:spacing w:before="120" w:after="120" w:line="276" w:lineRule="auto"/>
        <w:rPr>
          <w:rFonts w:eastAsia="Times New Roman"/>
        </w:rPr>
      </w:pPr>
      <w:r w:rsidRPr="009A5F5E">
        <w:rPr>
          <w:rFonts w:eastAsia="Times New Roman"/>
        </w:rPr>
        <w:t>In Australia, approximately 200,000 older people live in a residential aged care home who are typically over 80 years old and experience higher rates of complex medical comorbidities, frailty, and cognitive impairment than older people living in the community. They also experience higher rates of hospital emergency department presentations, including more repeat visits, are more prone to hospital-acquired complications and higher in-patient mortality.</w:t>
      </w:r>
      <w:r w:rsidRPr="009A5F5E">
        <w:rPr>
          <w:rFonts w:eastAsia="Times New Roman"/>
          <w:vertAlign w:val="superscript"/>
        </w:rPr>
        <w:footnoteReference w:id="2"/>
      </w:r>
    </w:p>
    <w:p w14:paraId="73D3BC7B" w14:textId="4136B304" w:rsidR="00817CB4" w:rsidRPr="009A5F5E" w:rsidRDefault="758819B6" w:rsidP="00817CB4">
      <w:pPr>
        <w:spacing w:before="120" w:after="120" w:line="276" w:lineRule="auto"/>
        <w:rPr>
          <w:rFonts w:eastAsia="Times New Roman"/>
        </w:rPr>
      </w:pPr>
      <w:r w:rsidRPr="009A5F5E">
        <w:rPr>
          <w:rFonts w:eastAsia="Times New Roman"/>
        </w:rPr>
        <w:t>Currently, older people living in residential aged care homes predominantly receive time</w:t>
      </w:r>
      <w:r w:rsidR="107F1291" w:rsidRPr="009A5F5E">
        <w:rPr>
          <w:rFonts w:eastAsia="Times New Roman"/>
        </w:rPr>
        <w:t>-</w:t>
      </w:r>
      <w:r w:rsidRPr="009A5F5E">
        <w:rPr>
          <w:rFonts w:eastAsia="Times New Roman"/>
        </w:rPr>
        <w:t>based</w:t>
      </w:r>
      <w:r w:rsidRPr="009A5F5E">
        <w:rPr>
          <w:rFonts w:eastAsia="Times New Roman"/>
        </w:rPr>
        <w:noBreakHyphen/>
        <w:t>, reactive primary care services rather than preventative and proactive care. People living in aged care homes may experience poor continuity of care, and many do not have a regular General Practitioner (GP), especially if they live in rural and remote areas. Poor continuity of primary care, meaning the ongoing therapeutic relationship between a patient and their GP, in aged care settings is associated with a higher risk of mortality.</w:t>
      </w:r>
      <w:r w:rsidR="00817CB4" w:rsidRPr="009A5F5E">
        <w:rPr>
          <w:rFonts w:eastAsia="Times New Roman"/>
          <w:vertAlign w:val="superscript"/>
        </w:rPr>
        <w:footnoteReference w:id="3"/>
      </w:r>
    </w:p>
    <w:p w14:paraId="1CF2BD83" w14:textId="6023E65D" w:rsidR="00817CB4" w:rsidRPr="009A5F5E" w:rsidRDefault="00817CB4" w:rsidP="00817CB4">
      <w:pPr>
        <w:spacing w:before="120" w:after="120" w:line="276" w:lineRule="auto"/>
        <w:rPr>
          <w:rFonts w:eastAsia="Times New Roman"/>
        </w:rPr>
      </w:pPr>
      <w:r w:rsidRPr="009A5F5E">
        <w:rPr>
          <w:rFonts w:eastAsia="Times New Roman"/>
        </w:rPr>
        <w:t xml:space="preserve">Poor access to primary care can affect an older person’s health and wellbeing and puts pressure on the acute health care system. The current remuneration structure and the inconvenience of delivering services within the aged care home </w:t>
      </w:r>
      <w:r w:rsidR="00E259CC" w:rsidRPr="009A5F5E">
        <w:rPr>
          <w:rFonts w:eastAsia="Times New Roman"/>
        </w:rPr>
        <w:t xml:space="preserve">have </w:t>
      </w:r>
      <w:r w:rsidRPr="009A5F5E">
        <w:rPr>
          <w:rFonts w:eastAsia="Times New Roman"/>
        </w:rPr>
        <w:t>been indicated as barrier</w:t>
      </w:r>
      <w:r w:rsidR="00E259CC" w:rsidRPr="009A5F5E">
        <w:rPr>
          <w:rFonts w:eastAsia="Times New Roman"/>
        </w:rPr>
        <w:t>s</w:t>
      </w:r>
      <w:r w:rsidRPr="009A5F5E">
        <w:rPr>
          <w:rFonts w:eastAsia="Times New Roman"/>
        </w:rPr>
        <w:t xml:space="preserve"> to providing care by general practices. </w:t>
      </w:r>
    </w:p>
    <w:p w14:paraId="275D03C3" w14:textId="77777777" w:rsidR="00817CB4" w:rsidRPr="009A5F5E" w:rsidRDefault="00817CB4" w:rsidP="00817CB4">
      <w:pPr>
        <w:spacing w:before="120" w:after="120" w:line="276" w:lineRule="auto"/>
        <w:rPr>
          <w:rFonts w:eastAsia="Times New Roman"/>
        </w:rPr>
      </w:pPr>
      <w:r w:rsidRPr="009A5F5E">
        <w:rPr>
          <w:rFonts w:eastAsia="Times New Roman"/>
        </w:rPr>
        <w:t>The Royal Commission into Aged Care Quality and Safety recommended the development of a new model of primary care to 'encourage the provision of holistic, coordinated and proactive health care for the growing complexity of the needs of people receiving aged care' (Recommendation 56).</w:t>
      </w:r>
    </w:p>
    <w:p w14:paraId="36661A05" w14:textId="77777777" w:rsidR="00817CB4" w:rsidRPr="009A5F5E" w:rsidRDefault="758819B6" w:rsidP="001F7637">
      <w:pPr>
        <w:pStyle w:val="Heading2"/>
      </w:pPr>
      <w:bookmarkStart w:id="7" w:name="_Toc167109428"/>
      <w:bookmarkStart w:id="8" w:name="_Toc170119992"/>
      <w:bookmarkStart w:id="9" w:name="_Toc170817134"/>
      <w:bookmarkStart w:id="10" w:name="_Toc212118215"/>
      <w:r w:rsidRPr="009A5F5E">
        <w:t>MyMedicare</w:t>
      </w:r>
      <w:bookmarkEnd w:id="7"/>
      <w:bookmarkEnd w:id="8"/>
      <w:bookmarkEnd w:id="9"/>
      <w:bookmarkEnd w:id="10"/>
    </w:p>
    <w:p w14:paraId="060104EA" w14:textId="77777777" w:rsidR="00817CB4" w:rsidRPr="009A5F5E" w:rsidRDefault="00817CB4" w:rsidP="00817CB4">
      <w:pPr>
        <w:spacing w:before="120" w:after="120" w:line="276" w:lineRule="auto"/>
        <w:rPr>
          <w:rFonts w:eastAsia="Times New Roman"/>
        </w:rPr>
      </w:pPr>
      <w:r w:rsidRPr="009A5F5E">
        <w:rPr>
          <w:rFonts w:eastAsia="Times New Roman"/>
        </w:rPr>
        <w:t xml:space="preserve">MyMedicare is a voluntary patient registration scheme available to all patients, practices and primary care providers who meet eligibility requirements. </w:t>
      </w:r>
    </w:p>
    <w:p w14:paraId="70264957" w14:textId="77777777" w:rsidR="00817CB4" w:rsidRPr="009A5F5E" w:rsidRDefault="00817CB4" w:rsidP="00817CB4">
      <w:pPr>
        <w:spacing w:before="120" w:after="120" w:line="276" w:lineRule="auto"/>
        <w:rPr>
          <w:rFonts w:eastAsia="Times New Roman"/>
        </w:rPr>
      </w:pPr>
      <w:r w:rsidRPr="009A5F5E">
        <w:rPr>
          <w:rFonts w:eastAsia="Times New Roman"/>
        </w:rPr>
        <w:t xml:space="preserve">It is the government’s response to the Strengthening Medicare Taskforce’s (the Taskforce) recommendation to support better continuity of care, a strengthened relationship between the patient </w:t>
      </w:r>
      <w:r w:rsidRPr="009A5F5E">
        <w:rPr>
          <w:rFonts w:eastAsia="Times New Roman"/>
        </w:rPr>
        <w:lastRenderedPageBreak/>
        <w:t>and their care team, and more integrated, person-centred care through introduction of voluntary patient registration.</w:t>
      </w:r>
    </w:p>
    <w:p w14:paraId="07D881A0" w14:textId="5C495FA4" w:rsidR="00817CB4" w:rsidRPr="009A5F5E" w:rsidRDefault="00817CB4" w:rsidP="00817CB4">
      <w:pPr>
        <w:spacing w:before="120" w:after="120" w:line="276" w:lineRule="auto"/>
        <w:rPr>
          <w:rFonts w:eastAsia="Times New Roman"/>
        </w:rPr>
      </w:pPr>
      <w:r w:rsidRPr="009A5F5E">
        <w:rPr>
          <w:rFonts w:eastAsia="Times New Roman"/>
        </w:rPr>
        <w:t xml:space="preserve">MyMedicare is the foundation upon which a stronger, more personalised Medicare </w:t>
      </w:r>
      <w:r w:rsidR="00262DE2" w:rsidRPr="009A5F5E">
        <w:rPr>
          <w:rFonts w:eastAsia="Times New Roman"/>
        </w:rPr>
        <w:t>is being</w:t>
      </w:r>
      <w:r w:rsidRPr="009A5F5E">
        <w:rPr>
          <w:rFonts w:eastAsia="Times New Roman"/>
        </w:rPr>
        <w:t xml:space="preserve"> built. Patients will receive more tailored quality care from their regular general practice and primary care team.</w:t>
      </w:r>
    </w:p>
    <w:p w14:paraId="17F183B6" w14:textId="2E8D233F" w:rsidR="00817CB4" w:rsidRPr="009A5F5E" w:rsidRDefault="7DB152FA" w:rsidP="00817CB4">
      <w:pPr>
        <w:spacing w:before="120" w:after="120" w:line="276" w:lineRule="auto"/>
        <w:rPr>
          <w:rFonts w:eastAsia="Times New Roman"/>
        </w:rPr>
      </w:pPr>
      <w:r w:rsidRPr="009A5F5E">
        <w:rPr>
          <w:rFonts w:eastAsia="Times New Roman"/>
        </w:rPr>
        <w:t xml:space="preserve">The Organisation Register is a streamlined practice registration tool connecting a general practice, GPs, patients, Medicare Benefits </w:t>
      </w:r>
      <w:r w:rsidR="0E651148" w:rsidRPr="009A5F5E">
        <w:rPr>
          <w:rFonts w:eastAsia="Times New Roman"/>
        </w:rPr>
        <w:t>Schedule</w:t>
      </w:r>
      <w:r w:rsidRPr="009A5F5E">
        <w:rPr>
          <w:rFonts w:eastAsia="Times New Roman"/>
        </w:rPr>
        <w:t xml:space="preserve"> (MBS) claiming and incentives in the one central system. In future, the Organisation Register will be expanded to include other health organisations. </w:t>
      </w:r>
      <w:r w:rsidR="00781C8B" w:rsidRPr="009A5F5E">
        <w:rPr>
          <w:rFonts w:eastAsia="Times New Roman"/>
        </w:rPr>
        <w:t>GPACI</w:t>
      </w:r>
      <w:r w:rsidRPr="009A5F5E">
        <w:rPr>
          <w:rFonts w:eastAsia="Times New Roman"/>
        </w:rPr>
        <w:t xml:space="preserve"> payments </w:t>
      </w:r>
      <w:r w:rsidR="7C419F4F" w:rsidRPr="009A5F5E">
        <w:rPr>
          <w:rFonts w:eastAsia="Times New Roman"/>
        </w:rPr>
        <w:t>are</w:t>
      </w:r>
      <w:r w:rsidRPr="009A5F5E">
        <w:rPr>
          <w:rFonts w:eastAsia="Times New Roman"/>
        </w:rPr>
        <w:t xml:space="preserve"> </w:t>
      </w:r>
      <w:r w:rsidR="021FB859" w:rsidRPr="009A5F5E">
        <w:rPr>
          <w:rFonts w:eastAsia="Times New Roman"/>
        </w:rPr>
        <w:t xml:space="preserve">assessed and </w:t>
      </w:r>
      <w:r w:rsidR="7C419F4F" w:rsidRPr="009A5F5E">
        <w:rPr>
          <w:rFonts w:eastAsia="Times New Roman"/>
        </w:rPr>
        <w:t xml:space="preserve">calculated </w:t>
      </w:r>
      <w:r w:rsidRPr="009A5F5E">
        <w:rPr>
          <w:rFonts w:eastAsia="Times New Roman"/>
        </w:rPr>
        <w:t>via the Organisation Payment Capability system using information from the Organisation Register and MBS claiming.</w:t>
      </w:r>
    </w:p>
    <w:p w14:paraId="27569384" w14:textId="5D02A083" w:rsidR="00817CB4" w:rsidRPr="009A5F5E" w:rsidRDefault="00817CB4" w:rsidP="00817CB4">
      <w:pPr>
        <w:spacing w:before="120" w:after="120" w:line="276" w:lineRule="auto"/>
        <w:rPr>
          <w:rFonts w:eastAsia="Times New Roman"/>
        </w:rPr>
      </w:pPr>
      <w:r w:rsidRPr="009A5F5E">
        <w:rPr>
          <w:rFonts w:eastAsia="Times New Roman"/>
        </w:rPr>
        <w:t xml:space="preserve">The Organisation Register and MyMedicare program has been developed to enable a simple and streamlined registration process for general practices and providers who choose to register in new health programs. Implementation of the </w:t>
      </w:r>
      <w:r w:rsidR="00781C8B" w:rsidRPr="009A5F5E">
        <w:rPr>
          <w:rFonts w:eastAsia="Times New Roman"/>
        </w:rPr>
        <w:t>GPACI</w:t>
      </w:r>
      <w:r w:rsidRPr="009A5F5E">
        <w:rPr>
          <w:rFonts w:eastAsia="Times New Roman"/>
          <w:vertAlign w:val="superscript"/>
        </w:rPr>
        <w:footnoteReference w:id="4"/>
      </w:r>
      <w:r w:rsidRPr="009A5F5E">
        <w:rPr>
          <w:rFonts w:eastAsia="Times New Roman"/>
        </w:rPr>
        <w:t xml:space="preserve"> has enabled development of incentive registration, assessment, and payment capability across new and existing Services Australia systems. </w:t>
      </w:r>
    </w:p>
    <w:p w14:paraId="47AE6DF4" w14:textId="52463DC8" w:rsidR="00817CB4" w:rsidRPr="009A5F5E" w:rsidRDefault="758819B6" w:rsidP="001F7637">
      <w:pPr>
        <w:pStyle w:val="Heading2"/>
      </w:pPr>
      <w:bookmarkStart w:id="11" w:name="_Toc167109429"/>
      <w:bookmarkStart w:id="12" w:name="_Toc170119993"/>
      <w:bookmarkStart w:id="13" w:name="_Toc170817135"/>
      <w:bookmarkStart w:id="14" w:name="_Toc212118216"/>
      <w:r w:rsidRPr="009A5F5E">
        <w:t xml:space="preserve">The </w:t>
      </w:r>
      <w:r w:rsidR="00781C8B" w:rsidRPr="009A5F5E">
        <w:t>GPACI</w:t>
      </w:r>
      <w:bookmarkEnd w:id="11"/>
      <w:bookmarkEnd w:id="12"/>
      <w:bookmarkEnd w:id="13"/>
      <w:bookmarkEnd w:id="14"/>
    </w:p>
    <w:p w14:paraId="09BD067B" w14:textId="31700535" w:rsidR="00817CB4" w:rsidRPr="009A5F5E" w:rsidRDefault="00C2270D" w:rsidP="00817CB4">
      <w:pPr>
        <w:spacing w:before="120" w:after="120" w:line="276" w:lineRule="auto"/>
        <w:rPr>
          <w:rFonts w:eastAsia="Times New Roman"/>
          <w:szCs w:val="22"/>
        </w:rPr>
      </w:pPr>
      <w:r w:rsidRPr="009A5F5E">
        <w:t>The objective of t</w:t>
      </w:r>
      <w:r w:rsidR="00817CB4" w:rsidRPr="009A5F5E">
        <w:rPr>
          <w:rFonts w:eastAsia="Times New Roman"/>
          <w:szCs w:val="22"/>
        </w:rPr>
        <w:t xml:space="preserve">he </w:t>
      </w:r>
      <w:r w:rsidR="00781C8B" w:rsidRPr="009A5F5E">
        <w:rPr>
          <w:rFonts w:eastAsia="Times New Roman"/>
          <w:szCs w:val="22"/>
        </w:rPr>
        <w:t>GPACI</w:t>
      </w:r>
      <w:r w:rsidR="00817CB4" w:rsidRPr="009A5F5E" w:rsidDel="00174732">
        <w:rPr>
          <w:rFonts w:eastAsia="Times New Roman"/>
          <w:szCs w:val="22"/>
        </w:rPr>
        <w:t xml:space="preserve"> </w:t>
      </w:r>
      <w:r w:rsidR="00D87308" w:rsidRPr="009A5F5E">
        <w:rPr>
          <w:rFonts w:eastAsia="Times New Roman"/>
          <w:szCs w:val="22"/>
        </w:rPr>
        <w:t>is</w:t>
      </w:r>
      <w:r w:rsidR="00817CB4" w:rsidRPr="009A5F5E">
        <w:rPr>
          <w:rFonts w:eastAsia="Times New Roman"/>
          <w:szCs w:val="22"/>
        </w:rPr>
        <w:t xml:space="preserve"> to improve access to quality, proactive general practice care for older people who live in aged care homes by incentivising proactive visits, regular, planned reviews and coordinated care planning.</w:t>
      </w:r>
    </w:p>
    <w:p w14:paraId="33AE522F" w14:textId="15E8A897" w:rsidR="00817CB4" w:rsidRPr="009A5F5E" w:rsidRDefault="7DB152FA" w:rsidP="00817CB4">
      <w:pPr>
        <w:spacing w:before="120" w:after="120" w:line="276" w:lineRule="auto"/>
        <w:rPr>
          <w:rFonts w:eastAsia="Times New Roman"/>
        </w:rPr>
      </w:pPr>
      <w:r w:rsidRPr="009A5F5E">
        <w:rPr>
          <w:rFonts w:eastAsia="Times New Roman"/>
        </w:rPr>
        <w:t>Primary care providers and practices registered in MyMedicare will receive incentive payments for providing their MyMedicare registered patients who</w:t>
      </w:r>
      <w:r w:rsidR="3C89BA62" w:rsidRPr="009A5F5E">
        <w:rPr>
          <w:rFonts w:eastAsia="Times New Roman"/>
        </w:rPr>
        <w:t xml:space="preserve"> permanently</w:t>
      </w:r>
      <w:r w:rsidRPr="009A5F5E">
        <w:rPr>
          <w:rFonts w:eastAsia="Times New Roman"/>
        </w:rPr>
        <w:t xml:space="preserve"> live in </w:t>
      </w:r>
      <w:r w:rsidR="1C5D9688" w:rsidRPr="009A5F5E">
        <w:rPr>
          <w:rFonts w:eastAsia="Times New Roman"/>
        </w:rPr>
        <w:t xml:space="preserve">residential </w:t>
      </w:r>
      <w:r w:rsidRPr="009A5F5E">
        <w:rPr>
          <w:rFonts w:eastAsia="Times New Roman"/>
        </w:rPr>
        <w:t>aged care homes with care planning services and regular visits.</w:t>
      </w:r>
    </w:p>
    <w:p w14:paraId="4193A313" w14:textId="44FDF211" w:rsidR="00817CB4" w:rsidRPr="009A5F5E" w:rsidRDefault="00817CB4" w:rsidP="00817CB4">
      <w:pPr>
        <w:spacing w:before="120" w:after="120" w:line="276" w:lineRule="auto"/>
        <w:rPr>
          <w:rFonts w:eastAsia="Times New Roman"/>
        </w:rPr>
      </w:pPr>
      <w:r w:rsidRPr="009A5F5E">
        <w:rPr>
          <w:rFonts w:eastAsia="Times New Roman"/>
        </w:rPr>
        <w:t xml:space="preserve">The </w:t>
      </w:r>
      <w:r w:rsidR="00781C8B" w:rsidRPr="009A5F5E">
        <w:rPr>
          <w:rFonts w:eastAsia="Times New Roman"/>
        </w:rPr>
        <w:t>GPACI</w:t>
      </w:r>
      <w:r w:rsidRPr="009A5F5E">
        <w:rPr>
          <w:rFonts w:eastAsia="Times New Roman"/>
        </w:rPr>
        <w:t xml:space="preserve"> also forms part of the Australian Government's Strengthening Medicare Reforms. These reforms respond to the recommendations of the Taskforce and aim to meet the healthcare needs of today while building a stronger Medicare system for future generations.</w:t>
      </w:r>
    </w:p>
    <w:p w14:paraId="57E3ED1D" w14:textId="6DB3FCAD" w:rsidR="00817CB4" w:rsidRPr="009A5F5E" w:rsidRDefault="00817CB4" w:rsidP="00817CB4">
      <w:pPr>
        <w:spacing w:before="120" w:after="120" w:line="276" w:lineRule="auto"/>
        <w:rPr>
          <w:rFonts w:eastAsia="Times New Roman"/>
        </w:rPr>
      </w:pPr>
      <w:r w:rsidRPr="009A5F5E">
        <w:rPr>
          <w:rFonts w:eastAsia="Times New Roman"/>
        </w:rPr>
        <w:t xml:space="preserve">The implementation of the </w:t>
      </w:r>
      <w:r w:rsidR="00781C8B" w:rsidRPr="009A5F5E">
        <w:rPr>
          <w:rFonts w:eastAsia="Times New Roman"/>
        </w:rPr>
        <w:t>GPACI</w:t>
      </w:r>
      <w:r w:rsidRPr="009A5F5E" w:rsidDel="00174732">
        <w:rPr>
          <w:rFonts w:eastAsia="Times New Roman"/>
        </w:rPr>
        <w:t xml:space="preserve"> </w:t>
      </w:r>
      <w:r w:rsidRPr="009A5F5E">
        <w:rPr>
          <w:rFonts w:eastAsia="Times New Roman"/>
        </w:rPr>
        <w:t>also includes:</w:t>
      </w:r>
    </w:p>
    <w:p w14:paraId="5E0C49E0" w14:textId="42962952"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 xml:space="preserve">Primary Health Networks (PHNs) will engage and collaborate with GPs and general practices, Aboriginal Community Controlled Health Services, and residential aged care homes to support older people to receive quality care as part of the </w:t>
      </w:r>
      <w:r w:rsidR="00781C8B" w:rsidRPr="009A5F5E">
        <w:t>GPACI</w:t>
      </w:r>
      <w:r w:rsidRPr="009A5F5E">
        <w:t xml:space="preserve">. </w:t>
      </w:r>
    </w:p>
    <w:p w14:paraId="187AF623" w14:textId="0B1DA35E" w:rsidR="00817CB4" w:rsidRPr="009A5F5E" w:rsidRDefault="00BD4E83" w:rsidP="00F85C8B">
      <w:pPr>
        <w:pStyle w:val="ListBullet"/>
        <w:numPr>
          <w:ilvl w:val="0"/>
          <w:numId w:val="10"/>
        </w:numPr>
        <w:tabs>
          <w:tab w:val="left" w:pos="340"/>
          <w:tab w:val="left" w:pos="680"/>
        </w:tabs>
        <w:spacing w:before="60" w:after="60" w:line="276" w:lineRule="auto"/>
        <w:ind w:left="360"/>
        <w:contextualSpacing w:val="0"/>
      </w:pPr>
      <w:r>
        <w:t>s</w:t>
      </w:r>
      <w:r w:rsidR="00817CB4" w:rsidRPr="009A5F5E">
        <w:t>elected PHNs will design a locally tailored solution to address thin market service gaps where older people living in aged care homes may not have access to regular services from a GP and/or practice.</w:t>
      </w:r>
    </w:p>
    <w:p w14:paraId="40415570" w14:textId="28AD70A4" w:rsidR="00817CB4" w:rsidRPr="009A5F5E" w:rsidRDefault="00BD4E83" w:rsidP="18D229B5">
      <w:pPr>
        <w:pStyle w:val="ListBullet"/>
        <w:tabs>
          <w:tab w:val="clear" w:pos="360"/>
          <w:tab w:val="left" w:pos="340"/>
          <w:tab w:val="left" w:pos="680"/>
        </w:tabs>
        <w:spacing w:before="60" w:after="60" w:line="276" w:lineRule="auto"/>
      </w:pPr>
      <w:r>
        <w:t>i</w:t>
      </w:r>
      <w:r w:rsidR="00591C1B" w:rsidRPr="009A5F5E">
        <w:t>nformation kits and resources</w:t>
      </w:r>
      <w:r w:rsidR="00817CB4" w:rsidRPr="009A5F5E">
        <w:rPr>
          <w:vertAlign w:val="superscript"/>
        </w:rPr>
        <w:footnoteReference w:id="5"/>
      </w:r>
      <w:r w:rsidR="758819B6" w:rsidRPr="009A5F5E">
        <w:t xml:space="preserve"> to support GPs to deliver the most appropriate care in aged care homes and to support GPs' contribution to care plans; and</w:t>
      </w:r>
    </w:p>
    <w:p w14:paraId="2577706C"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monitoring and evaluation to ensure incentive payments and supporting activities are achieving their policy objectives.</w:t>
      </w:r>
    </w:p>
    <w:p w14:paraId="57F073BD" w14:textId="147D0086" w:rsidR="009C1732" w:rsidRPr="009A5F5E" w:rsidRDefault="00CC19F4" w:rsidP="009C1732">
      <w:pPr>
        <w:pStyle w:val="ListBullet"/>
        <w:numPr>
          <w:ilvl w:val="0"/>
          <w:numId w:val="0"/>
        </w:numPr>
        <w:tabs>
          <w:tab w:val="left" w:pos="340"/>
          <w:tab w:val="left" w:pos="680"/>
        </w:tabs>
        <w:spacing w:before="60" w:after="60" w:line="276" w:lineRule="auto"/>
        <w:contextualSpacing w:val="0"/>
      </w:pPr>
      <w:r w:rsidRPr="009A5F5E">
        <w:t>GPACI has the</w:t>
      </w:r>
      <w:r w:rsidR="009C1732" w:rsidRPr="009A5F5E">
        <w:t xml:space="preserve"> intended outcome of </w:t>
      </w:r>
      <w:r w:rsidRPr="009A5F5E">
        <w:t>benefitting</w:t>
      </w:r>
      <w:r w:rsidR="009C1732" w:rsidRPr="009A5F5E">
        <w:t xml:space="preserve"> older people, providers and practices.</w:t>
      </w:r>
    </w:p>
    <w:p w14:paraId="7220A4B1" w14:textId="212E58E3" w:rsidR="00817CB4" w:rsidRPr="009A5F5E" w:rsidRDefault="6F20E253" w:rsidP="00407AD1">
      <w:pPr>
        <w:pStyle w:val="Heading3"/>
      </w:pPr>
      <w:bookmarkStart w:id="15" w:name="_Toc170119994"/>
      <w:bookmarkStart w:id="16" w:name="_Toc172899552"/>
      <w:bookmarkStart w:id="17" w:name="_Toc170817136"/>
      <w:r w:rsidRPr="009A5F5E">
        <w:lastRenderedPageBreak/>
        <w:t>Benefits for older people</w:t>
      </w:r>
      <w:bookmarkEnd w:id="15"/>
      <w:bookmarkEnd w:id="16"/>
      <w:bookmarkEnd w:id="17"/>
    </w:p>
    <w:p w14:paraId="695B02C0" w14:textId="77777777" w:rsidR="00817CB4" w:rsidRPr="009A5F5E" w:rsidRDefault="00817CB4" w:rsidP="00817CB4">
      <w:pPr>
        <w:spacing w:before="120" w:after="120" w:line="276" w:lineRule="auto"/>
        <w:rPr>
          <w:rFonts w:eastAsia="Times New Roman"/>
        </w:rPr>
      </w:pPr>
      <w:r w:rsidRPr="009A5F5E">
        <w:rPr>
          <w:rFonts w:eastAsia="Times New Roman"/>
        </w:rPr>
        <w:t>Benefits to older people include:</w:t>
      </w:r>
    </w:p>
    <w:p w14:paraId="638561AE"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greater access to primary care services delivered in aged care homes.</w:t>
      </w:r>
    </w:p>
    <w:p w14:paraId="0F013990"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greater access to care planning services, including health assessments and development of care plans.</w:t>
      </w:r>
    </w:p>
    <w:p w14:paraId="3D0A0BA0"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greater regularity of primary care services delivered to older people living in aged care homes.</w:t>
      </w:r>
    </w:p>
    <w:p w14:paraId="456CC973"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formalising relationships between patient, GP, practice, and other healthcare professionals</w:t>
      </w:r>
    </w:p>
    <w:p w14:paraId="79790FD3"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increased continuity of care provided to older people living in aged care homes.</w:t>
      </w:r>
    </w:p>
    <w:p w14:paraId="346103B2" w14:textId="5B0A3400" w:rsidR="00817CB4" w:rsidRPr="009A5F5E" w:rsidRDefault="00817CB4" w:rsidP="00407AD1">
      <w:pPr>
        <w:pStyle w:val="Heading3"/>
      </w:pPr>
      <w:bookmarkStart w:id="18" w:name="_Toc170119995"/>
      <w:bookmarkStart w:id="19" w:name="_Toc172899553"/>
      <w:bookmarkStart w:id="20" w:name="_Toc170817137"/>
      <w:r w:rsidRPr="009A5F5E">
        <w:t>Benefits for providers and practices</w:t>
      </w:r>
      <w:bookmarkEnd w:id="18"/>
      <w:bookmarkEnd w:id="19"/>
      <w:bookmarkEnd w:id="20"/>
    </w:p>
    <w:p w14:paraId="08D788D4" w14:textId="77777777" w:rsidR="00817CB4" w:rsidRPr="009A5F5E" w:rsidRDefault="00817CB4" w:rsidP="00817CB4">
      <w:pPr>
        <w:spacing w:before="120" w:after="120" w:line="276" w:lineRule="auto"/>
        <w:rPr>
          <w:rFonts w:eastAsia="Times New Roman"/>
        </w:rPr>
      </w:pPr>
      <w:r w:rsidRPr="009A5F5E">
        <w:rPr>
          <w:rFonts w:eastAsia="Times New Roman"/>
        </w:rPr>
        <w:t>Benefits to practices and providers include:</w:t>
      </w:r>
    </w:p>
    <w:p w14:paraId="4FA8D33A"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payments for visiting their patients in an aged care home, rather than at their practice.</w:t>
      </w:r>
    </w:p>
    <w:p w14:paraId="1ABC4A57"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funding to manage the care for registered patients living in an aged care home.</w:t>
      </w:r>
    </w:p>
    <w:p w14:paraId="447C9F28"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strengthening and formalising relationships between patient, GP, practice, and other members of a patient’s care team.</w:t>
      </w:r>
    </w:p>
    <w:p w14:paraId="7BF29A2B" w14:textId="0AB47CAB" w:rsidR="00817CB4" w:rsidRPr="009A5F5E" w:rsidRDefault="758819B6" w:rsidP="00C47885">
      <w:pPr>
        <w:pStyle w:val="GuidelinesHeading"/>
      </w:pPr>
      <w:bookmarkStart w:id="21" w:name="_Toc166066928"/>
      <w:bookmarkStart w:id="22" w:name="_Toc166068344"/>
      <w:bookmarkStart w:id="23" w:name="_Toc166068556"/>
      <w:bookmarkStart w:id="24" w:name="_Toc166069515"/>
      <w:bookmarkStart w:id="25" w:name="_Toc166069562"/>
      <w:bookmarkStart w:id="26" w:name="_Toc166136578"/>
      <w:bookmarkStart w:id="27" w:name="_Toc167109430"/>
      <w:bookmarkStart w:id="28" w:name="_Toc170119996"/>
      <w:bookmarkStart w:id="29" w:name="_Toc170817138"/>
      <w:bookmarkStart w:id="30" w:name="_Toc212118217"/>
      <w:r w:rsidRPr="009A5F5E">
        <w:t xml:space="preserve">Eligibility </w:t>
      </w:r>
      <w:r w:rsidR="00C31658" w:rsidRPr="009A5F5E">
        <w:t>Criteria</w:t>
      </w:r>
      <w:bookmarkEnd w:id="21"/>
      <w:bookmarkEnd w:id="22"/>
      <w:bookmarkEnd w:id="23"/>
      <w:bookmarkEnd w:id="24"/>
      <w:bookmarkEnd w:id="25"/>
      <w:bookmarkEnd w:id="26"/>
      <w:bookmarkEnd w:id="27"/>
      <w:bookmarkEnd w:id="28"/>
      <w:bookmarkEnd w:id="29"/>
      <w:r w:rsidR="001F6DD5">
        <w:t xml:space="preserve"> to register</w:t>
      </w:r>
      <w:bookmarkEnd w:id="30"/>
    </w:p>
    <w:p w14:paraId="25115F41" w14:textId="7D7BCEAC" w:rsidR="00817CB4" w:rsidRPr="009A5F5E" w:rsidRDefault="00817CB4" w:rsidP="00817CB4">
      <w:pPr>
        <w:spacing w:before="120" w:after="120" w:line="276" w:lineRule="auto"/>
        <w:rPr>
          <w:rFonts w:eastAsia="Times New Roman"/>
          <w:szCs w:val="22"/>
        </w:rPr>
      </w:pPr>
      <w:r w:rsidRPr="009A5F5E">
        <w:rPr>
          <w:rFonts w:eastAsia="Times New Roman"/>
          <w:szCs w:val="22"/>
        </w:rPr>
        <w:t xml:space="preserve">This section sets out eligibility requirements for practices, providers and patients participating in the MyMedicare </w:t>
      </w:r>
      <w:r w:rsidR="00781C8B" w:rsidRPr="009A5F5E">
        <w:rPr>
          <w:rFonts w:eastAsia="Times New Roman"/>
          <w:szCs w:val="22"/>
        </w:rPr>
        <w:t>GPACI</w:t>
      </w:r>
      <w:r w:rsidRPr="009A5F5E">
        <w:rPr>
          <w:rFonts w:eastAsia="Times New Roman"/>
          <w:szCs w:val="22"/>
        </w:rPr>
        <w:t>. All eligibility requirements must be met concurrently within an incentive period for the practice or practitioner to be eligible for payment.</w:t>
      </w:r>
      <w:r w:rsidR="00EE325E" w:rsidRPr="00EE325E">
        <w:rPr>
          <w:rFonts w:eastAsia="Times New Roman"/>
          <w:szCs w:val="22"/>
        </w:rPr>
        <w:t xml:space="preserve"> </w:t>
      </w:r>
      <w:r w:rsidR="00EE325E">
        <w:rPr>
          <w:rFonts w:eastAsia="Times New Roman"/>
          <w:szCs w:val="22"/>
        </w:rPr>
        <w:t xml:space="preserve">The delivery of payments after the achievement of servicing requirements provides assurance that the </w:t>
      </w:r>
      <w:r w:rsidR="00EE325E" w:rsidRPr="009A5F5E">
        <w:t>objective o</w:t>
      </w:r>
      <w:r w:rsidR="00EE325E">
        <w:t xml:space="preserve">f </w:t>
      </w:r>
      <w:r w:rsidR="00EE325E" w:rsidRPr="009A5F5E">
        <w:rPr>
          <w:rFonts w:eastAsia="Times New Roman"/>
          <w:szCs w:val="22"/>
        </w:rPr>
        <w:t>improv</w:t>
      </w:r>
      <w:r w:rsidR="00EE325E">
        <w:rPr>
          <w:rFonts w:eastAsia="Times New Roman"/>
          <w:szCs w:val="22"/>
        </w:rPr>
        <w:t>ing</w:t>
      </w:r>
      <w:r w:rsidR="00EE325E" w:rsidRPr="009A5F5E">
        <w:rPr>
          <w:rFonts w:eastAsia="Times New Roman"/>
          <w:szCs w:val="22"/>
        </w:rPr>
        <w:t xml:space="preserve"> access to general practice care for people who live in aged care homes</w:t>
      </w:r>
      <w:r w:rsidR="00EE325E">
        <w:rPr>
          <w:rFonts w:eastAsia="Times New Roman"/>
          <w:szCs w:val="22"/>
        </w:rPr>
        <w:t xml:space="preserve"> has been achieved.</w:t>
      </w:r>
      <w:r w:rsidR="00EE325E" w:rsidRPr="00234540">
        <w:rPr>
          <w:rFonts w:eastAsia="Times New Roman"/>
          <w:szCs w:val="22"/>
        </w:rPr>
        <w:t xml:space="preserve"> </w:t>
      </w:r>
      <w:r w:rsidR="00EE325E">
        <w:rPr>
          <w:rFonts w:eastAsia="Times New Roman"/>
          <w:szCs w:val="22"/>
        </w:rPr>
        <w:t>This ensures that GPACI funding represents value for money for the Commonwealth.</w:t>
      </w:r>
    </w:p>
    <w:p w14:paraId="2385FAB2" w14:textId="53ACDB58" w:rsidR="002E30EB" w:rsidRPr="009A5F5E" w:rsidRDefault="00CC19F4" w:rsidP="002E30EB">
      <w:pPr>
        <w:spacing w:before="120" w:after="120" w:line="276" w:lineRule="auto"/>
        <w:rPr>
          <w:rFonts w:eastAsia="Times New Roman"/>
          <w:szCs w:val="22"/>
        </w:rPr>
      </w:pPr>
      <w:proofErr w:type="gramStart"/>
      <w:r w:rsidRPr="009A5F5E">
        <w:rPr>
          <w:rFonts w:eastAsia="Times New Roman"/>
          <w:szCs w:val="22"/>
        </w:rPr>
        <w:t>In order to</w:t>
      </w:r>
      <w:proofErr w:type="gramEnd"/>
      <w:r w:rsidRPr="009A5F5E">
        <w:rPr>
          <w:rFonts w:eastAsia="Times New Roman"/>
          <w:szCs w:val="22"/>
        </w:rPr>
        <w:t xml:space="preserve"> register for MyMedicare and opt-in to GPACI, you must</w:t>
      </w:r>
      <w:r w:rsidR="002E30EB" w:rsidRPr="009A5F5E">
        <w:rPr>
          <w:rFonts w:eastAsia="Times New Roman"/>
          <w:szCs w:val="22"/>
        </w:rPr>
        <w:t xml:space="preserve"> satisfy all the eligibility criteria.</w:t>
      </w:r>
    </w:p>
    <w:p w14:paraId="378B4BBF" w14:textId="7F697392" w:rsidR="002E30EB" w:rsidRPr="009A5F5E" w:rsidRDefault="008B4562" w:rsidP="00817CB4">
      <w:pPr>
        <w:spacing w:before="120" w:after="120" w:line="276" w:lineRule="auto"/>
        <w:rPr>
          <w:rFonts w:eastAsia="Times New Roman"/>
          <w:szCs w:val="22"/>
        </w:rPr>
      </w:pPr>
      <w:r w:rsidRPr="009A5F5E">
        <w:rPr>
          <w:rFonts w:eastAsia="Times New Roman"/>
          <w:szCs w:val="22"/>
        </w:rPr>
        <w:t xml:space="preserve">We cannot provide </w:t>
      </w:r>
      <w:r w:rsidR="00CC19F4" w:rsidRPr="009A5F5E">
        <w:rPr>
          <w:rFonts w:eastAsia="Times New Roman"/>
          <w:szCs w:val="22"/>
        </w:rPr>
        <w:t>funding under GPACI</w:t>
      </w:r>
      <w:r w:rsidRPr="009A5F5E">
        <w:rPr>
          <w:rFonts w:eastAsia="Times New Roman"/>
          <w:szCs w:val="22"/>
        </w:rPr>
        <w:t xml:space="preserve"> if you receive funding from another government source for the same purpose.</w:t>
      </w:r>
    </w:p>
    <w:p w14:paraId="05F86C4C" w14:textId="1884759D" w:rsidR="00516A24" w:rsidRPr="009A5F5E" w:rsidRDefault="00516A24" w:rsidP="00C47885">
      <w:pPr>
        <w:pStyle w:val="Heading3"/>
      </w:pPr>
      <w:r w:rsidRPr="009A5F5E">
        <w:t>Who is eligible to apply?</w:t>
      </w:r>
    </w:p>
    <w:p w14:paraId="650C3C57" w14:textId="08D60AEE" w:rsidR="00F94804" w:rsidRPr="009A5F5E" w:rsidRDefault="00AE0074" w:rsidP="00AE0074">
      <w:r w:rsidRPr="009A5F5E">
        <w:t xml:space="preserve">For the purposes of these guidelines, the Practice is considered the </w:t>
      </w:r>
      <w:r w:rsidR="0005783D" w:rsidRPr="009A5F5E">
        <w:t>applicant</w:t>
      </w:r>
      <w:r w:rsidRPr="009A5F5E">
        <w:t>.</w:t>
      </w:r>
    </w:p>
    <w:p w14:paraId="7CBCFE52" w14:textId="5D40F728" w:rsidR="00817CB4" w:rsidRPr="009A5F5E" w:rsidRDefault="7DB152FA" w:rsidP="00AE0074">
      <w:pPr>
        <w:pStyle w:val="Heading3"/>
      </w:pPr>
      <w:bookmarkStart w:id="31" w:name="_Toc166066929"/>
      <w:bookmarkStart w:id="32" w:name="_Toc166068345"/>
      <w:bookmarkStart w:id="33" w:name="_Toc166068557"/>
      <w:bookmarkStart w:id="34" w:name="_Toc166069516"/>
      <w:bookmarkStart w:id="35" w:name="_Toc166069563"/>
      <w:bookmarkStart w:id="36" w:name="_Toc166136579"/>
      <w:bookmarkStart w:id="37" w:name="_Toc167109431"/>
      <w:bookmarkStart w:id="38" w:name="_Toc170119997"/>
      <w:bookmarkStart w:id="39" w:name="_Toc170817139"/>
      <w:r w:rsidRPr="009A5F5E">
        <w:t>Practice registration requirements</w:t>
      </w:r>
      <w:bookmarkEnd w:id="31"/>
      <w:bookmarkEnd w:id="32"/>
      <w:bookmarkEnd w:id="33"/>
      <w:bookmarkEnd w:id="34"/>
      <w:bookmarkEnd w:id="35"/>
      <w:bookmarkEnd w:id="36"/>
      <w:bookmarkEnd w:id="37"/>
      <w:bookmarkEnd w:id="38"/>
      <w:bookmarkEnd w:id="39"/>
    </w:p>
    <w:p w14:paraId="19DA38F5" w14:textId="6C6C1547" w:rsidR="00817CB4" w:rsidRPr="009A5F5E" w:rsidRDefault="00817CB4" w:rsidP="00817CB4">
      <w:pPr>
        <w:spacing w:before="120" w:after="120" w:line="276" w:lineRule="auto"/>
        <w:rPr>
          <w:rFonts w:eastAsia="Times New Roman"/>
        </w:rPr>
      </w:pPr>
      <w:r w:rsidRPr="009A5F5E">
        <w:rPr>
          <w:rFonts w:eastAsia="Times New Roman"/>
        </w:rPr>
        <w:t>To be eligible to receive the incentive, practices must be:</w:t>
      </w:r>
    </w:p>
    <w:p w14:paraId="4366EB72" w14:textId="4478B607" w:rsidR="004E2E0F"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a general practice or practice eligible for an exemption under MyMedicare</w:t>
      </w:r>
      <w:r w:rsidR="00C4692B" w:rsidRPr="009A5F5E">
        <w:t>, excluding practices receiving a Bulk Billing Practice Incentive accreditation exemption</w:t>
      </w:r>
      <w:r w:rsidR="004E2E0F" w:rsidRPr="009A5F5E">
        <w:t>. See</w:t>
      </w:r>
      <w:r w:rsidR="006E7B1A" w:rsidRPr="009A5F5E">
        <w:t xml:space="preserve"> </w:t>
      </w:r>
      <w:hyperlink r:id="rId17" w:anchor="eligibility" w:history="1">
        <w:r w:rsidRPr="009A5F5E">
          <w:rPr>
            <w:rStyle w:val="Hyperlink"/>
          </w:rPr>
          <w:t>MyMedicare eligibility criteria</w:t>
        </w:r>
      </w:hyperlink>
      <w:r w:rsidR="006E7B1A" w:rsidRPr="009A5F5E">
        <w:t xml:space="preserve">. </w:t>
      </w:r>
      <w:r w:rsidR="004E2E0F" w:rsidRPr="009A5F5E">
        <w:t xml:space="preserve">Practices that are registered with MyMedicare and currently receiving a Bulk Billing Practice Incentive accreditation exemption are </w:t>
      </w:r>
      <w:r w:rsidR="004E2E0F" w:rsidRPr="009A5F5E">
        <w:rPr>
          <w:b/>
          <w:bCs/>
        </w:rPr>
        <w:t xml:space="preserve">not </w:t>
      </w:r>
      <w:r w:rsidR="004E2E0F" w:rsidRPr="009A5F5E">
        <w:t xml:space="preserve">eligible to participate in the </w:t>
      </w:r>
      <w:r w:rsidR="00781C8B" w:rsidRPr="009A5F5E">
        <w:t>GPACI</w:t>
      </w:r>
      <w:r w:rsidR="004E2E0F" w:rsidRPr="009A5F5E">
        <w:t>. Compliance activities will be undertaken to identify practices that are receiving Bulk Billing Practice Incentive accreditation exemption and may result in a practices ineligibility for payment.</w:t>
      </w:r>
    </w:p>
    <w:p w14:paraId="00D601DC"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registered in the Organisation Register</w:t>
      </w:r>
    </w:p>
    <w:p w14:paraId="2D1210CB"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lastRenderedPageBreak/>
        <w:t>registered in the MyMedicare program (with banking details added)</w:t>
      </w:r>
    </w:p>
    <w:p w14:paraId="481180CF" w14:textId="2806F115" w:rsidR="00C4692B" w:rsidRPr="009A5F5E" w:rsidRDefault="6F20E253" w:rsidP="00C4692B">
      <w:pPr>
        <w:pStyle w:val="ListBullet"/>
        <w:tabs>
          <w:tab w:val="clear" w:pos="360"/>
          <w:tab w:val="left" w:pos="340"/>
          <w:tab w:val="left" w:pos="680"/>
        </w:tabs>
        <w:spacing w:before="60" w:after="60" w:line="276" w:lineRule="auto"/>
      </w:pPr>
      <w:r w:rsidRPr="009A5F5E">
        <w:t xml:space="preserve">registered in the </w:t>
      </w:r>
      <w:r w:rsidR="00781C8B" w:rsidRPr="009A5F5E">
        <w:t>GPACI</w:t>
      </w:r>
      <w:r w:rsidRPr="009A5F5E">
        <w:t>.</w:t>
      </w:r>
    </w:p>
    <w:p w14:paraId="0A18D238" w14:textId="77777777" w:rsidR="00817CB4" w:rsidRPr="009A5F5E" w:rsidRDefault="7DB152FA" w:rsidP="009C1732">
      <w:pPr>
        <w:pStyle w:val="Heading3"/>
      </w:pPr>
      <w:bookmarkStart w:id="40" w:name="_Toc163389998"/>
      <w:bookmarkStart w:id="41" w:name="_Toc166066930"/>
      <w:bookmarkStart w:id="42" w:name="_Toc166068346"/>
      <w:bookmarkStart w:id="43" w:name="_Toc166068558"/>
      <w:bookmarkStart w:id="44" w:name="_Toc166069517"/>
      <w:bookmarkStart w:id="45" w:name="_Toc166069564"/>
      <w:bookmarkStart w:id="46" w:name="_Toc166136580"/>
      <w:bookmarkStart w:id="47" w:name="_Toc167109432"/>
      <w:bookmarkStart w:id="48" w:name="_Toc170119998"/>
      <w:bookmarkStart w:id="49" w:name="_Toc170817140"/>
      <w:bookmarkEnd w:id="40"/>
      <w:r w:rsidRPr="009A5F5E">
        <w:t>Responsible Provider registration requirements</w:t>
      </w:r>
      <w:bookmarkEnd w:id="41"/>
      <w:bookmarkEnd w:id="42"/>
      <w:bookmarkEnd w:id="43"/>
      <w:bookmarkEnd w:id="44"/>
      <w:bookmarkEnd w:id="45"/>
      <w:bookmarkEnd w:id="46"/>
      <w:bookmarkEnd w:id="47"/>
      <w:bookmarkEnd w:id="48"/>
      <w:bookmarkEnd w:id="49"/>
    </w:p>
    <w:p w14:paraId="75456873" w14:textId="26E485EC" w:rsidR="00817CB4" w:rsidRPr="009A5F5E" w:rsidRDefault="00817CB4" w:rsidP="00817CB4">
      <w:pPr>
        <w:spacing w:before="120" w:after="120" w:line="276" w:lineRule="auto"/>
        <w:rPr>
          <w:rFonts w:eastAsia="Times New Roman"/>
        </w:rPr>
      </w:pPr>
      <w:r w:rsidRPr="009A5F5E">
        <w:rPr>
          <w:rFonts w:eastAsia="Times New Roman"/>
        </w:rPr>
        <w:t xml:space="preserve">A ‘Responsible Provider’ is a provider who is responsible for coordinating the delivery of eligible services to the registered patient as part of the </w:t>
      </w:r>
      <w:r w:rsidR="00781C8B" w:rsidRPr="009A5F5E">
        <w:rPr>
          <w:rFonts w:eastAsia="Times New Roman"/>
        </w:rPr>
        <w:t>GPACI</w:t>
      </w:r>
      <w:r w:rsidRPr="009A5F5E">
        <w:rPr>
          <w:rFonts w:eastAsia="Times New Roman"/>
        </w:rPr>
        <w:t xml:space="preserve">. This includes services provided by other health professionals at the practice as part of the servicing requirements of the incentive. </w:t>
      </w:r>
    </w:p>
    <w:p w14:paraId="02C4EB85" w14:textId="1ACDCAD9" w:rsidR="00817CB4" w:rsidRPr="009A5F5E" w:rsidRDefault="00817CB4" w:rsidP="00817CB4">
      <w:pPr>
        <w:spacing w:before="120" w:after="120" w:line="276" w:lineRule="auto"/>
        <w:rPr>
          <w:rFonts w:eastAsia="Times New Roman"/>
          <w:szCs w:val="22"/>
        </w:rPr>
      </w:pPr>
      <w:r w:rsidRPr="009A5F5E">
        <w:rPr>
          <w:rFonts w:eastAsia="Times New Roman"/>
          <w:szCs w:val="22"/>
        </w:rPr>
        <w:t xml:space="preserve">Responsible Providers </w:t>
      </w:r>
      <w:r w:rsidR="00E259CC" w:rsidRPr="009A5F5E">
        <w:rPr>
          <w:rFonts w:eastAsia="Times New Roman"/>
          <w:szCs w:val="22"/>
        </w:rPr>
        <w:t>are</w:t>
      </w:r>
      <w:r w:rsidRPr="009A5F5E">
        <w:rPr>
          <w:rFonts w:eastAsia="Times New Roman"/>
          <w:szCs w:val="22"/>
        </w:rPr>
        <w:t xml:space="preserve"> required to be linked to an eligible patient who is registered in the </w:t>
      </w:r>
      <w:r w:rsidR="00781C8B" w:rsidRPr="009A5F5E">
        <w:rPr>
          <w:rFonts w:eastAsia="Times New Roman"/>
          <w:szCs w:val="22"/>
        </w:rPr>
        <w:t>GPACI</w:t>
      </w:r>
      <w:r w:rsidRPr="009A5F5E">
        <w:rPr>
          <w:rFonts w:eastAsia="Times New Roman"/>
          <w:szCs w:val="22"/>
        </w:rPr>
        <w:t xml:space="preserve"> in MyMedicare. </w:t>
      </w:r>
    </w:p>
    <w:p w14:paraId="578C0031" w14:textId="704B6A92" w:rsidR="00817CB4" w:rsidRPr="009A5F5E" w:rsidRDefault="00817CB4" w:rsidP="00407AD1">
      <w:pPr>
        <w:pStyle w:val="Heading3"/>
      </w:pPr>
      <w:bookmarkStart w:id="50" w:name="_Toc170119999"/>
      <w:bookmarkStart w:id="51" w:name="_Toc172899484"/>
      <w:bookmarkStart w:id="52" w:name="_Toc172899557"/>
      <w:bookmarkStart w:id="53" w:name="_Toc170817141"/>
      <w:bookmarkStart w:id="54" w:name="_Hlk167962003"/>
      <w:r w:rsidRPr="009A5F5E">
        <w:t>Responsible Providers eligibility</w:t>
      </w:r>
      <w:bookmarkEnd w:id="50"/>
      <w:bookmarkEnd w:id="51"/>
      <w:bookmarkEnd w:id="52"/>
      <w:bookmarkEnd w:id="53"/>
    </w:p>
    <w:bookmarkEnd w:id="54"/>
    <w:p w14:paraId="30F03E75" w14:textId="77777777" w:rsidR="00817CB4" w:rsidRPr="009A5F5E" w:rsidRDefault="00817CB4" w:rsidP="00817CB4">
      <w:pPr>
        <w:spacing w:before="120" w:after="120" w:line="276" w:lineRule="auto"/>
        <w:rPr>
          <w:rFonts w:eastAsia="Times New Roman"/>
        </w:rPr>
      </w:pPr>
      <w:r w:rsidRPr="009A5F5E">
        <w:rPr>
          <w:rFonts w:eastAsia="Times New Roman"/>
        </w:rPr>
        <w:t>To be eligible for payment, Responsible Providers must:</w:t>
      </w:r>
    </w:p>
    <w:p w14:paraId="0B98D324" w14:textId="62B394AB"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be linked in the Organisation Register</w:t>
      </w:r>
      <w:r w:rsidR="00505CD0" w:rsidRPr="009A5F5E">
        <w:t xml:space="preserve"> to the same registered practice as the patient receiving the services.</w:t>
      </w:r>
    </w:p>
    <w:p w14:paraId="00E8CE3E"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 xml:space="preserve">be declared as the Responsible Provider of eligible services to the registered patient, including coordinating services provided by the care team. </w:t>
      </w:r>
    </w:p>
    <w:p w14:paraId="7E3CE2E8" w14:textId="77777777" w:rsidR="00817CB4" w:rsidRPr="009A5F5E" w:rsidRDefault="758819B6" w:rsidP="009C1732">
      <w:pPr>
        <w:pStyle w:val="Heading3"/>
      </w:pPr>
      <w:bookmarkStart w:id="55" w:name="_Toc166066931"/>
      <w:bookmarkStart w:id="56" w:name="_Toc166068347"/>
      <w:bookmarkStart w:id="57" w:name="_Toc166068559"/>
      <w:bookmarkStart w:id="58" w:name="_Toc166069518"/>
      <w:bookmarkStart w:id="59" w:name="_Toc166069565"/>
      <w:bookmarkStart w:id="60" w:name="_Toc166136581"/>
      <w:bookmarkStart w:id="61" w:name="_Toc167109433"/>
      <w:bookmarkStart w:id="62" w:name="_Toc170120000"/>
      <w:bookmarkStart w:id="63" w:name="_Toc170817142"/>
      <w:bookmarkStart w:id="64" w:name="_Hlk167962101"/>
      <w:bookmarkStart w:id="65" w:name="_Hlk167962391"/>
      <w:r w:rsidRPr="009A5F5E">
        <w:t xml:space="preserve">Care team </w:t>
      </w:r>
      <w:bookmarkEnd w:id="55"/>
      <w:bookmarkEnd w:id="56"/>
      <w:bookmarkEnd w:id="57"/>
      <w:bookmarkEnd w:id="58"/>
      <w:bookmarkEnd w:id="59"/>
      <w:bookmarkEnd w:id="60"/>
      <w:r w:rsidRPr="009A5F5E">
        <w:t>registration requirements</w:t>
      </w:r>
      <w:bookmarkEnd w:id="61"/>
      <w:bookmarkEnd w:id="62"/>
      <w:bookmarkEnd w:id="63"/>
    </w:p>
    <w:p w14:paraId="00D9DBF1" w14:textId="1D29C6FB" w:rsidR="00817CB4" w:rsidRPr="009A5F5E" w:rsidRDefault="00817CB4" w:rsidP="00817CB4">
      <w:pPr>
        <w:spacing w:before="120" w:after="120" w:line="276" w:lineRule="auto"/>
        <w:rPr>
          <w:rFonts w:eastAsia="Times New Roman"/>
        </w:rPr>
      </w:pPr>
      <w:bookmarkStart w:id="66" w:name="_Hlk167962145"/>
      <w:r w:rsidRPr="009A5F5E">
        <w:rPr>
          <w:rFonts w:eastAsia="Times New Roman"/>
        </w:rPr>
        <w:t>Other members of a patient</w:t>
      </w:r>
      <w:r w:rsidR="00075A63" w:rsidRPr="009A5F5E">
        <w:rPr>
          <w:rFonts w:eastAsia="Times New Roman"/>
        </w:rPr>
        <w:t>’</w:t>
      </w:r>
      <w:r w:rsidRPr="009A5F5E">
        <w:rPr>
          <w:rFonts w:eastAsia="Times New Roman"/>
        </w:rPr>
        <w:t xml:space="preserve">s care team </w:t>
      </w:r>
      <w:bookmarkEnd w:id="64"/>
      <w:r w:rsidRPr="009A5F5E">
        <w:rPr>
          <w:rFonts w:eastAsia="Times New Roman"/>
        </w:rPr>
        <w:t xml:space="preserve">can deliver services that contribute to the patients' eligible services. </w:t>
      </w:r>
      <w:bookmarkEnd w:id="66"/>
      <w:r w:rsidRPr="009A5F5E">
        <w:rPr>
          <w:rFonts w:eastAsia="Times New Roman"/>
        </w:rPr>
        <w:t xml:space="preserve">These services must be delivered under the direction of the Responsible Provider and be in line with the quarterly servicing requirements for the patient’s care team. </w:t>
      </w:r>
    </w:p>
    <w:p w14:paraId="40D75CBB" w14:textId="77777777" w:rsidR="00817CB4" w:rsidRPr="009A5F5E" w:rsidRDefault="00817CB4" w:rsidP="00817CB4">
      <w:pPr>
        <w:spacing w:before="120" w:after="120" w:line="276" w:lineRule="auto"/>
        <w:rPr>
          <w:rFonts w:eastAsia="Times New Roman"/>
        </w:rPr>
      </w:pPr>
      <w:bookmarkStart w:id="67" w:name="_Hlk165564193"/>
      <w:r w:rsidRPr="009A5F5E">
        <w:rPr>
          <w:rFonts w:eastAsia="Times New Roman"/>
        </w:rPr>
        <w:t>Eligible care team members include an alternative provider within the same practice, including:</w:t>
      </w:r>
    </w:p>
    <w:p w14:paraId="210D43E9" w14:textId="7BA2A15D"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another GP or GP registrar</w:t>
      </w:r>
      <w:r w:rsidR="009E3426" w:rsidRPr="009A5F5E">
        <w:t>,</w:t>
      </w:r>
      <w:r w:rsidRPr="009A5F5E">
        <w:t xml:space="preserve"> </w:t>
      </w:r>
    </w:p>
    <w:p w14:paraId="14F2F5A6" w14:textId="1E5B4F1F"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 xml:space="preserve">a nurse practitioner, </w:t>
      </w:r>
    </w:p>
    <w:p w14:paraId="3BD0937C" w14:textId="2FF71A6D" w:rsidR="00902018" w:rsidRPr="009A5F5E" w:rsidRDefault="009E3426" w:rsidP="06F539DF">
      <w:pPr>
        <w:pStyle w:val="ListBullet"/>
        <w:tabs>
          <w:tab w:val="clear" w:pos="360"/>
          <w:tab w:val="left" w:pos="340"/>
          <w:tab w:val="left" w:pos="680"/>
        </w:tabs>
        <w:spacing w:before="60" w:after="60" w:line="276" w:lineRule="auto"/>
      </w:pPr>
      <w:r w:rsidRPr="009A5F5E">
        <w:t xml:space="preserve">a </w:t>
      </w:r>
      <w:r w:rsidR="00817CB4" w:rsidRPr="009A5F5E">
        <w:t>practice nurse</w:t>
      </w:r>
      <w:r w:rsidR="72BBB057" w:rsidRPr="009A5F5E">
        <w:t xml:space="preserve"> </w:t>
      </w:r>
      <w:r w:rsidR="3E27C393" w:rsidRPr="009A5F5E">
        <w:t>and</w:t>
      </w:r>
      <w:r w:rsidR="00817CB4" w:rsidRPr="009A5F5E">
        <w:t xml:space="preserve"> </w:t>
      </w:r>
    </w:p>
    <w:p w14:paraId="47C69707" w14:textId="43635FD7" w:rsidR="00817CB4" w:rsidRPr="009A5F5E" w:rsidRDefault="009E3426" w:rsidP="06F539DF">
      <w:pPr>
        <w:pStyle w:val="ListBullet"/>
        <w:tabs>
          <w:tab w:val="clear" w:pos="360"/>
          <w:tab w:val="left" w:pos="340"/>
          <w:tab w:val="left" w:pos="680"/>
        </w:tabs>
        <w:spacing w:before="60" w:after="60" w:line="276" w:lineRule="auto"/>
      </w:pPr>
      <w:r w:rsidRPr="009A5F5E">
        <w:t xml:space="preserve">an </w:t>
      </w:r>
      <w:r w:rsidR="00817CB4" w:rsidRPr="009A5F5E">
        <w:t>Aboriginal and Torres Strait Islander health practitioner.</w:t>
      </w:r>
      <w:r w:rsidR="00817CB4" w:rsidRPr="009A5F5E">
        <w:rPr>
          <w:vertAlign w:val="superscript"/>
        </w:rPr>
        <w:footnoteReference w:id="6"/>
      </w:r>
    </w:p>
    <w:p w14:paraId="289CCA73" w14:textId="77777777" w:rsidR="00817CB4" w:rsidRPr="009A5F5E" w:rsidRDefault="00817CB4" w:rsidP="00407AD1">
      <w:pPr>
        <w:pStyle w:val="Heading3"/>
      </w:pPr>
      <w:bookmarkStart w:id="68" w:name="_Toc166066932"/>
      <w:bookmarkStart w:id="69" w:name="_Toc166068348"/>
      <w:bookmarkStart w:id="70" w:name="_Toc166068560"/>
      <w:bookmarkStart w:id="71" w:name="_Toc166069519"/>
      <w:bookmarkStart w:id="72" w:name="_Toc166069566"/>
      <w:bookmarkStart w:id="73" w:name="_Toc166136582"/>
      <w:bookmarkStart w:id="74" w:name="_Toc170120001"/>
      <w:bookmarkStart w:id="75" w:name="_Toc172899486"/>
      <w:bookmarkStart w:id="76" w:name="_Toc172899559"/>
      <w:bookmarkStart w:id="77" w:name="_Toc170817143"/>
      <w:bookmarkEnd w:id="67"/>
      <w:r w:rsidRPr="009A5F5E">
        <w:t>Alternative provider eligibility</w:t>
      </w:r>
      <w:bookmarkEnd w:id="68"/>
      <w:bookmarkEnd w:id="69"/>
      <w:bookmarkEnd w:id="70"/>
      <w:bookmarkEnd w:id="71"/>
      <w:bookmarkEnd w:id="72"/>
      <w:bookmarkEnd w:id="73"/>
      <w:bookmarkEnd w:id="74"/>
      <w:bookmarkEnd w:id="75"/>
      <w:bookmarkEnd w:id="76"/>
      <w:bookmarkEnd w:id="77"/>
    </w:p>
    <w:p w14:paraId="220F6EA1" w14:textId="647C8CFA" w:rsidR="00817CB4" w:rsidRPr="009A5F5E" w:rsidRDefault="00817CB4" w:rsidP="00817CB4">
      <w:pPr>
        <w:spacing w:before="120" w:after="120" w:line="276" w:lineRule="auto"/>
        <w:rPr>
          <w:rFonts w:eastAsia="Times New Roman"/>
        </w:rPr>
      </w:pPr>
      <w:bookmarkStart w:id="78" w:name="_Hlk165564216"/>
      <w:r w:rsidRPr="009A5F5E">
        <w:rPr>
          <w:rFonts w:eastAsia="Times New Roman"/>
        </w:rPr>
        <w:t xml:space="preserve">To be eligible to participate in the </w:t>
      </w:r>
      <w:r w:rsidR="00781C8B" w:rsidRPr="009A5F5E">
        <w:rPr>
          <w:rFonts w:eastAsia="Times New Roman"/>
        </w:rPr>
        <w:t>GPACI</w:t>
      </w:r>
      <w:r w:rsidRPr="009A5F5E">
        <w:rPr>
          <w:rFonts w:eastAsia="Times New Roman"/>
        </w:rPr>
        <w:t>, an alternative provider must:</w:t>
      </w:r>
    </w:p>
    <w:p w14:paraId="4513C997" w14:textId="5002D352"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 xml:space="preserve">be linked </w:t>
      </w:r>
      <w:r w:rsidR="00A11E4B" w:rsidRPr="009A5F5E">
        <w:t xml:space="preserve">in the Organisation Register </w:t>
      </w:r>
      <w:r w:rsidRPr="009A5F5E">
        <w:t xml:space="preserve">to the same </w:t>
      </w:r>
      <w:r w:rsidR="00A11E4B" w:rsidRPr="009A5F5E">
        <w:t xml:space="preserve">registered </w:t>
      </w:r>
      <w:r w:rsidRPr="009A5F5E">
        <w:t>practice as the patient’s Responsible Provider.</w:t>
      </w:r>
    </w:p>
    <w:p w14:paraId="23297B0D"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deliver eligible services under the direction of the patient’s Responsible Provider</w:t>
      </w:r>
      <w:bookmarkEnd w:id="78"/>
      <w:r w:rsidRPr="009A5F5E">
        <w:t xml:space="preserve">. </w:t>
      </w:r>
    </w:p>
    <w:p w14:paraId="0962695C" w14:textId="0590DBFB" w:rsidR="00817CB4" w:rsidRPr="009A5F5E" w:rsidRDefault="00817CB4" w:rsidP="00407AD1">
      <w:pPr>
        <w:pStyle w:val="Heading3"/>
      </w:pPr>
      <w:bookmarkStart w:id="79" w:name="_Toc166066933"/>
      <w:bookmarkStart w:id="80" w:name="_Toc166068349"/>
      <w:bookmarkStart w:id="81" w:name="_Toc166068561"/>
      <w:bookmarkStart w:id="82" w:name="_Toc166069520"/>
      <w:bookmarkStart w:id="83" w:name="_Toc166069567"/>
      <w:bookmarkStart w:id="84" w:name="_Toc166136583"/>
      <w:bookmarkStart w:id="85" w:name="_Toc170120002"/>
      <w:bookmarkStart w:id="86" w:name="_Toc172899487"/>
      <w:bookmarkStart w:id="87" w:name="_Toc172899560"/>
      <w:bookmarkStart w:id="88" w:name="_Toc170817144"/>
      <w:bookmarkStart w:id="89" w:name="_Hlk167962459"/>
      <w:bookmarkEnd w:id="65"/>
      <w:r w:rsidRPr="009A5F5E">
        <w:t>Practice nurse</w:t>
      </w:r>
      <w:r w:rsidR="500B93C8" w:rsidRPr="009A5F5E">
        <w:t xml:space="preserve"> </w:t>
      </w:r>
      <w:r w:rsidR="2F6FDE8A" w:rsidRPr="009A5F5E">
        <w:t>and</w:t>
      </w:r>
      <w:r w:rsidRPr="009A5F5E">
        <w:t xml:space="preserve"> </w:t>
      </w:r>
      <w:bookmarkStart w:id="90" w:name="_Hlk166051886"/>
      <w:r w:rsidRPr="009A5F5E">
        <w:t>Aboriginal and Torres Strait Islander health practitioner eligibility</w:t>
      </w:r>
      <w:bookmarkEnd w:id="79"/>
      <w:bookmarkEnd w:id="80"/>
      <w:bookmarkEnd w:id="81"/>
      <w:bookmarkEnd w:id="82"/>
      <w:bookmarkEnd w:id="83"/>
      <w:bookmarkEnd w:id="84"/>
      <w:bookmarkEnd w:id="85"/>
      <w:bookmarkEnd w:id="86"/>
      <w:bookmarkEnd w:id="87"/>
      <w:bookmarkEnd w:id="88"/>
    </w:p>
    <w:p w14:paraId="1F70946A" w14:textId="29258EAA" w:rsidR="00817CB4" w:rsidRPr="009A5F5E" w:rsidRDefault="00817CB4" w:rsidP="00817CB4">
      <w:pPr>
        <w:spacing w:before="120" w:after="120" w:line="276" w:lineRule="auto"/>
        <w:rPr>
          <w:rFonts w:eastAsia="Times New Roman"/>
        </w:rPr>
      </w:pPr>
      <w:bookmarkStart w:id="91" w:name="_Hlk165564275"/>
      <w:bookmarkEnd w:id="89"/>
      <w:bookmarkEnd w:id="90"/>
      <w:r w:rsidRPr="009A5F5E">
        <w:rPr>
          <w:rFonts w:eastAsia="Times New Roman"/>
        </w:rPr>
        <w:t>A practice nurse</w:t>
      </w:r>
      <w:r w:rsidR="7538CE27" w:rsidRPr="009A5F5E">
        <w:rPr>
          <w:rFonts w:eastAsia="Times New Roman"/>
        </w:rPr>
        <w:t xml:space="preserve"> and</w:t>
      </w:r>
      <w:r w:rsidRPr="009A5F5E">
        <w:rPr>
          <w:rFonts w:eastAsia="Times New Roman"/>
        </w:rPr>
        <w:t xml:space="preserve"> Aboriginal and Torres Strait Islander health practitioner can also contribute to the patient’s servicing requirements under the direction of the Responsible Provider. Any services delivered by these care team members must be billed through the eligible practice.</w:t>
      </w:r>
      <w:bookmarkEnd w:id="91"/>
    </w:p>
    <w:p w14:paraId="3CFA5D81" w14:textId="77777777" w:rsidR="00817CB4" w:rsidRPr="009A5F5E" w:rsidRDefault="758819B6" w:rsidP="009C1732">
      <w:pPr>
        <w:pStyle w:val="Heading3"/>
      </w:pPr>
      <w:bookmarkStart w:id="92" w:name="_Toc166066934"/>
      <w:bookmarkStart w:id="93" w:name="_Toc166068350"/>
      <w:bookmarkStart w:id="94" w:name="_Toc166068562"/>
      <w:bookmarkStart w:id="95" w:name="_Toc166069521"/>
      <w:bookmarkStart w:id="96" w:name="_Toc166069568"/>
      <w:bookmarkStart w:id="97" w:name="_Toc166136584"/>
      <w:bookmarkStart w:id="98" w:name="_Toc167109434"/>
      <w:bookmarkStart w:id="99" w:name="_Toc170120003"/>
      <w:bookmarkStart w:id="100" w:name="_Toc170817145"/>
      <w:r w:rsidRPr="009A5F5E">
        <w:lastRenderedPageBreak/>
        <w:t>Patient eligibility</w:t>
      </w:r>
      <w:bookmarkEnd w:id="92"/>
      <w:bookmarkEnd w:id="93"/>
      <w:bookmarkEnd w:id="94"/>
      <w:bookmarkEnd w:id="95"/>
      <w:bookmarkEnd w:id="96"/>
      <w:bookmarkEnd w:id="97"/>
      <w:bookmarkEnd w:id="98"/>
      <w:bookmarkEnd w:id="99"/>
      <w:bookmarkEnd w:id="100"/>
    </w:p>
    <w:p w14:paraId="6BE20423" w14:textId="77777777" w:rsidR="00817CB4" w:rsidRPr="009A5F5E" w:rsidRDefault="00817CB4" w:rsidP="00817CB4">
      <w:pPr>
        <w:spacing w:before="120" w:after="120" w:line="276" w:lineRule="auto"/>
        <w:rPr>
          <w:rFonts w:eastAsia="Times New Roman"/>
        </w:rPr>
      </w:pPr>
      <w:r w:rsidRPr="009A5F5E">
        <w:rPr>
          <w:rFonts w:eastAsia="Times New Roman"/>
        </w:rPr>
        <w:t>To enable practices and providers to be eligible to receive payments, patients must:</w:t>
      </w:r>
    </w:p>
    <w:p w14:paraId="58C5B098"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permanently live in an aged care home</w:t>
      </w:r>
      <w:r w:rsidRPr="009A5F5E">
        <w:rPr>
          <w:vertAlign w:val="superscript"/>
        </w:rPr>
        <w:footnoteReference w:id="7"/>
      </w:r>
      <w:r w:rsidRPr="009A5F5E">
        <w:t>, not including respite care.</w:t>
      </w:r>
    </w:p>
    <w:p w14:paraId="3314970E"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 xml:space="preserve">be registered in MyMedicare with the eligible registered practice. </w:t>
      </w:r>
    </w:p>
    <w:p w14:paraId="5E7AEAE2" w14:textId="72FAA88A" w:rsidR="002F5B29" w:rsidRPr="009A5F5E" w:rsidRDefault="002F5B29" w:rsidP="00787D87">
      <w:pPr>
        <w:pStyle w:val="ListBullet"/>
        <w:numPr>
          <w:ilvl w:val="0"/>
          <w:numId w:val="0"/>
        </w:numPr>
        <w:tabs>
          <w:tab w:val="left" w:pos="340"/>
          <w:tab w:val="left" w:pos="680"/>
        </w:tabs>
        <w:spacing w:before="60" w:after="60" w:line="276" w:lineRule="auto"/>
        <w:ind w:left="360"/>
        <w:contextualSpacing w:val="0"/>
      </w:pPr>
      <w:r w:rsidRPr="009A5F5E">
        <w:rPr>
          <w:b/>
          <w:bCs/>
        </w:rPr>
        <w:t>Note:</w:t>
      </w:r>
      <w:r w:rsidRPr="009A5F5E">
        <w:t xml:space="preserve"> </w:t>
      </w:r>
      <w:r w:rsidR="00787D87" w:rsidRPr="009A5F5E">
        <w:t>People who live in a residential aged care home are exempt from the MyMedicare eligibility requirement for one face-to-face visit for practices in remote locations, or two face-to-face visits for practices in other locations in the previous 24 months recorded with the same practice.</w:t>
      </w:r>
    </w:p>
    <w:p w14:paraId="37F3B3C7" w14:textId="3292198D"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 xml:space="preserve">have the </w:t>
      </w:r>
      <w:r w:rsidR="00781C8B" w:rsidRPr="009A5F5E">
        <w:t>GPACI</w:t>
      </w:r>
      <w:r w:rsidRPr="009A5F5E">
        <w:t xml:space="preserve"> indicator selected on their MyMedicare profile by their practice.</w:t>
      </w:r>
    </w:p>
    <w:p w14:paraId="1B449BE8" w14:textId="38BA5429" w:rsidR="00817CB4" w:rsidRPr="009A5F5E" w:rsidRDefault="758819B6" w:rsidP="18D229B5">
      <w:pPr>
        <w:pStyle w:val="ListBullet"/>
        <w:tabs>
          <w:tab w:val="clear" w:pos="360"/>
          <w:tab w:val="left" w:pos="340"/>
          <w:tab w:val="left" w:pos="680"/>
        </w:tabs>
        <w:spacing w:before="60" w:after="60" w:line="276" w:lineRule="auto"/>
      </w:pPr>
      <w:r w:rsidRPr="009A5F5E">
        <w:t xml:space="preserve">have a Responsible Provider identified by the practice when a </w:t>
      </w:r>
      <w:r w:rsidR="00781C8B" w:rsidRPr="009A5F5E">
        <w:t>GPACI</w:t>
      </w:r>
      <w:r w:rsidRPr="009A5F5E" w:rsidDel="00174732">
        <w:t xml:space="preserve"> </w:t>
      </w:r>
      <w:r w:rsidRPr="009A5F5E">
        <w:t>indicator has been selected in the Organisation Register.</w:t>
      </w:r>
      <w:r w:rsidR="00817CB4" w:rsidRPr="009A5F5E">
        <w:rPr>
          <w:vertAlign w:val="superscript"/>
        </w:rPr>
        <w:footnoteReference w:id="8"/>
      </w:r>
    </w:p>
    <w:p w14:paraId="607FBE2A" w14:textId="14506F87" w:rsidR="25D496A4" w:rsidRPr="009A5F5E" w:rsidRDefault="25D496A4" w:rsidP="00ED1EBA">
      <w:pPr>
        <w:tabs>
          <w:tab w:val="left" w:pos="340"/>
          <w:tab w:val="left" w:pos="680"/>
        </w:tabs>
        <w:spacing w:before="120" w:after="120" w:line="276" w:lineRule="auto"/>
        <w:rPr>
          <w:rFonts w:eastAsia="Times New Roman"/>
        </w:rPr>
      </w:pPr>
      <w:r w:rsidRPr="009A5F5E">
        <w:rPr>
          <w:rFonts w:eastAsia="Times New Roman"/>
        </w:rPr>
        <w:t xml:space="preserve">Younger people in residential aged care are eligible to participate in the incentive. There is no lower age limit </w:t>
      </w:r>
      <w:proofErr w:type="gramStart"/>
      <w:r w:rsidRPr="009A5F5E">
        <w:rPr>
          <w:rFonts w:eastAsia="Times New Roman"/>
        </w:rPr>
        <w:t>as long as</w:t>
      </w:r>
      <w:proofErr w:type="gramEnd"/>
      <w:r w:rsidRPr="009A5F5E">
        <w:rPr>
          <w:rFonts w:eastAsia="Times New Roman"/>
        </w:rPr>
        <w:t xml:space="preserve"> they are a permanent </w:t>
      </w:r>
      <w:r w:rsidR="11D61358" w:rsidRPr="009A5F5E">
        <w:rPr>
          <w:rFonts w:eastAsia="Times New Roman"/>
        </w:rPr>
        <w:t xml:space="preserve">residential aged care home </w:t>
      </w:r>
      <w:r w:rsidRPr="009A5F5E">
        <w:rPr>
          <w:rFonts w:eastAsia="Times New Roman"/>
        </w:rPr>
        <w:t>resident.</w:t>
      </w:r>
    </w:p>
    <w:p w14:paraId="1FC32BD3" w14:textId="064A580C" w:rsidR="003357EC" w:rsidRPr="009A5F5E" w:rsidRDefault="00817CB4" w:rsidP="00817CB4">
      <w:pPr>
        <w:spacing w:before="120" w:after="120" w:line="276" w:lineRule="auto"/>
        <w:rPr>
          <w:rFonts w:eastAsia="Times New Roman"/>
        </w:rPr>
      </w:pPr>
      <w:r w:rsidRPr="009A5F5E">
        <w:rPr>
          <w:rFonts w:eastAsia="Times New Roman"/>
        </w:rPr>
        <w:t xml:space="preserve">It is the responsibility of both the provider and practice to ensure a patient is eligible for the </w:t>
      </w:r>
      <w:r w:rsidR="00781C8B" w:rsidRPr="009A5F5E">
        <w:rPr>
          <w:rFonts w:eastAsia="Times New Roman"/>
        </w:rPr>
        <w:t>GPACI</w:t>
      </w:r>
      <w:r w:rsidRPr="009A5F5E">
        <w:rPr>
          <w:rFonts w:eastAsia="Times New Roman"/>
        </w:rPr>
        <w:t>. The provider and practice must declare their patient meets the eligibility criteria as part of the patient registration process.</w:t>
      </w:r>
      <w:bookmarkStart w:id="101" w:name="_Hlk164087430"/>
      <w:r w:rsidRPr="009A5F5E">
        <w:rPr>
          <w:rFonts w:eastAsia="Times New Roman"/>
        </w:rPr>
        <w:t xml:space="preserve"> </w:t>
      </w:r>
    </w:p>
    <w:p w14:paraId="321DD91E" w14:textId="14C68AB0" w:rsidR="00817CB4" w:rsidRPr="009A5F5E" w:rsidRDefault="00817CB4" w:rsidP="00817CB4">
      <w:pPr>
        <w:spacing w:before="120" w:after="120" w:line="276" w:lineRule="auto"/>
        <w:rPr>
          <w:rFonts w:eastAsia="Times New Roman"/>
        </w:rPr>
      </w:pPr>
      <w:r w:rsidRPr="009A5F5E">
        <w:rPr>
          <w:rFonts w:eastAsia="Times New Roman"/>
        </w:rPr>
        <w:t>Practices need to:</w:t>
      </w:r>
    </w:p>
    <w:p w14:paraId="3E1F1277" w14:textId="3A47971F" w:rsidR="00817CB4" w:rsidRPr="009A5F5E" w:rsidRDefault="00817CB4" w:rsidP="48E88A4B">
      <w:pPr>
        <w:pStyle w:val="ListBullet"/>
        <w:tabs>
          <w:tab w:val="clear" w:pos="360"/>
          <w:tab w:val="left" w:pos="340"/>
          <w:tab w:val="left" w:pos="680"/>
        </w:tabs>
        <w:spacing w:before="60" w:after="60" w:line="276" w:lineRule="auto"/>
      </w:pPr>
      <w:r w:rsidRPr="009A5F5E">
        <w:t>link providers and their MyMedicare-registered patients to their practice</w:t>
      </w:r>
      <w:r w:rsidR="3DCC3A59" w:rsidRPr="009A5F5E">
        <w:t>.</w:t>
      </w:r>
      <w:r w:rsidRPr="009A5F5E">
        <w:t xml:space="preserve"> </w:t>
      </w:r>
    </w:p>
    <w:p w14:paraId="49142C68" w14:textId="0F7FF6FD"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 xml:space="preserve">select the </w:t>
      </w:r>
      <w:r w:rsidR="00781C8B" w:rsidRPr="009A5F5E">
        <w:t>GPACI</w:t>
      </w:r>
      <w:r w:rsidRPr="009A5F5E">
        <w:t xml:space="preserve"> indicator on their patients’ MyMedicare profiles.</w:t>
      </w:r>
    </w:p>
    <w:p w14:paraId="045D80E4" w14:textId="3FD9BAC3" w:rsidR="00806DE7" w:rsidRPr="009A5F5E" w:rsidRDefault="758819B6" w:rsidP="00DA5604">
      <w:pPr>
        <w:pStyle w:val="ListBullet"/>
        <w:tabs>
          <w:tab w:val="clear" w:pos="360"/>
          <w:tab w:val="left" w:pos="340"/>
          <w:tab w:val="left" w:pos="680"/>
        </w:tabs>
        <w:spacing w:before="60" w:after="60" w:line="276" w:lineRule="auto"/>
      </w:pPr>
      <w:r w:rsidRPr="009A5F5E">
        <w:t>link patients to the Responsible Provider at the practice.</w:t>
      </w:r>
      <w:bookmarkEnd w:id="101"/>
    </w:p>
    <w:p w14:paraId="0FE1D933" w14:textId="420A3E80" w:rsidR="00806DE7" w:rsidRPr="009A5F5E" w:rsidRDefault="34B78B37" w:rsidP="00DA5604">
      <w:r w:rsidRPr="009A5F5E">
        <w:t xml:space="preserve">A patient can only be registered for MyMedicare </w:t>
      </w:r>
      <w:r w:rsidR="2ED24941" w:rsidRPr="009A5F5E">
        <w:t>and</w:t>
      </w:r>
      <w:r w:rsidRPr="009A5F5E">
        <w:t xml:space="preserve"> MyMedicare Incentive</w:t>
      </w:r>
      <w:r w:rsidR="2ED24941" w:rsidRPr="009A5F5E">
        <w:t>s</w:t>
      </w:r>
      <w:r w:rsidRPr="009A5F5E">
        <w:t xml:space="preserve"> with one practice. </w:t>
      </w:r>
      <w:r w:rsidR="057BE849" w:rsidRPr="009A5F5E">
        <w:t xml:space="preserve">If a patient moves to a new practice, </w:t>
      </w:r>
      <w:r w:rsidR="2FB90E03" w:rsidRPr="009A5F5E">
        <w:t>even</w:t>
      </w:r>
      <w:r w:rsidR="057BE849" w:rsidRPr="009A5F5E">
        <w:t xml:space="preserve"> if the existing responsible provider also moves to the new practice, they must register with the new practice and be linked to a responsible provider at that practice to continue to be eligible for</w:t>
      </w:r>
      <w:r w:rsidR="57DC1BDE" w:rsidRPr="009A5F5E">
        <w:t xml:space="preserve"> the </w:t>
      </w:r>
      <w:r w:rsidR="00781C8B" w:rsidRPr="009A5F5E">
        <w:t>GPACI</w:t>
      </w:r>
      <w:r w:rsidR="00922830" w:rsidRPr="009A5F5E">
        <w:t>.</w:t>
      </w:r>
    </w:p>
    <w:p w14:paraId="3536B1F0" w14:textId="2B6A7B71" w:rsidR="00903373" w:rsidRPr="009A5F5E" w:rsidRDefault="00903373" w:rsidP="00F62215">
      <w:pPr>
        <w:pStyle w:val="Guidelinessub"/>
        <w:rPr>
          <w:rFonts w:ascii="Arial" w:hAnsi="Arial"/>
          <w:bCs w:val="0"/>
          <w:color w:val="000000" w:themeColor="text1"/>
          <w:kern w:val="0"/>
          <w:sz w:val="24"/>
          <w:szCs w:val="26"/>
          <w:lang w:eastAsia="zh-CN"/>
          <w14:ligatures w14:val="none"/>
        </w:rPr>
      </w:pPr>
      <w:bookmarkStart w:id="102" w:name="_Toc206509240"/>
      <w:bookmarkStart w:id="103" w:name="_Toc212118218"/>
      <w:r w:rsidRPr="009A5F5E">
        <w:rPr>
          <w:rFonts w:ascii="Arial" w:hAnsi="Arial"/>
          <w:bCs w:val="0"/>
          <w:color w:val="000000" w:themeColor="text1"/>
          <w:kern w:val="0"/>
          <w:sz w:val="24"/>
          <w:szCs w:val="26"/>
          <w:lang w:eastAsia="zh-CN"/>
          <w14:ligatures w14:val="none"/>
        </w:rPr>
        <w:t>Who is not eligible to apply?</w:t>
      </w:r>
      <w:bookmarkEnd w:id="102"/>
      <w:bookmarkEnd w:id="103"/>
    </w:p>
    <w:p w14:paraId="1EB18D28" w14:textId="72BA1CE5" w:rsidR="00794FDC" w:rsidRPr="009A5F5E" w:rsidRDefault="008F618A" w:rsidP="00B539D6">
      <w:r w:rsidRPr="009A5F5E">
        <w:t>You are not eligible to apply if</w:t>
      </w:r>
      <w:r w:rsidR="00794FDC" w:rsidRPr="009A5F5E">
        <w:t>:</w:t>
      </w:r>
      <w:r w:rsidRPr="009A5F5E">
        <w:t xml:space="preserve"> </w:t>
      </w:r>
    </w:p>
    <w:p w14:paraId="58B3731F" w14:textId="55331FCF" w:rsidR="008F618A" w:rsidRPr="009A5F5E" w:rsidRDefault="008F618A" w:rsidP="00794FDC">
      <w:pPr>
        <w:pStyle w:val="ListBullet"/>
      </w:pPr>
      <w:r w:rsidRPr="009A5F5E">
        <w:t xml:space="preserve">your organisation does not meet the eligibility requirements </w:t>
      </w:r>
      <w:r w:rsidR="005D23A6" w:rsidRPr="009A5F5E">
        <w:t>established in t</w:t>
      </w:r>
      <w:r w:rsidR="004C1DCF" w:rsidRPr="009A5F5E">
        <w:t>he guidelines</w:t>
      </w:r>
      <w:r w:rsidR="00B539D6" w:rsidRPr="009A5F5E">
        <w:t>.</w:t>
      </w:r>
    </w:p>
    <w:p w14:paraId="2DB34336" w14:textId="48399FFD" w:rsidR="002E36EB" w:rsidRPr="00BD4E83" w:rsidRDefault="00794FDC" w:rsidP="00BD4E83">
      <w:pPr>
        <w:pStyle w:val="ListBullet"/>
        <w:rPr>
          <w:iCs/>
        </w:rPr>
      </w:pPr>
      <w:r w:rsidRPr="009A5F5E">
        <w:rPr>
          <w:iCs/>
        </w:rPr>
        <w:t>your</w:t>
      </w:r>
      <w:r w:rsidR="00027AA2" w:rsidRPr="009A5F5E">
        <w:rPr>
          <w:iCs/>
        </w:rPr>
        <w:t xml:space="preserve"> organisation</w:t>
      </w:r>
      <w:r w:rsidRPr="009A5F5E">
        <w:rPr>
          <w:iCs/>
        </w:rPr>
        <w:t xml:space="preserve"> is</w:t>
      </w:r>
      <w:r w:rsidR="00027AA2" w:rsidRPr="009A5F5E">
        <w:rPr>
          <w:iCs/>
        </w:rPr>
        <w:t xml:space="preserve"> included on the </w:t>
      </w:r>
      <w:hyperlink r:id="rId18" w:history="1">
        <w:r w:rsidR="00027AA2" w:rsidRPr="009A5F5E">
          <w:rPr>
            <w:rStyle w:val="Hyperlink"/>
            <w:iCs/>
          </w:rPr>
          <w:t>National Redress Scheme’s website</w:t>
        </w:r>
      </w:hyperlink>
      <w:r w:rsidR="00027AA2" w:rsidRPr="009A5F5E">
        <w:rPr>
          <w:iCs/>
        </w:rPr>
        <w:t xml:space="preserve"> on the list of ‘Institutions that have not joined or signified their intent to join the Scheme’</w:t>
      </w:r>
      <w:r w:rsidRPr="009A5F5E">
        <w:rPr>
          <w:iCs/>
        </w:rPr>
        <w:t>.</w:t>
      </w:r>
    </w:p>
    <w:p w14:paraId="2A2DD76C" w14:textId="276E2E0B" w:rsidR="002E36EB" w:rsidRPr="00BD4E83" w:rsidRDefault="002E36EB" w:rsidP="00BD4E83">
      <w:pPr>
        <w:pStyle w:val="Guidelinessub"/>
        <w:rPr>
          <w:b w:val="0"/>
          <w:bCs w:val="0"/>
          <w:sz w:val="24"/>
          <w:szCs w:val="26"/>
        </w:rPr>
      </w:pPr>
      <w:bookmarkStart w:id="104" w:name="_Toc212118219"/>
      <w:r w:rsidRPr="00BD4E83">
        <w:rPr>
          <w:rFonts w:ascii="Arial" w:hAnsi="Arial"/>
          <w:bCs w:val="0"/>
          <w:color w:val="000000" w:themeColor="text1"/>
          <w:kern w:val="0"/>
          <w:sz w:val="24"/>
          <w:szCs w:val="26"/>
          <w:lang w:eastAsia="zh-CN"/>
          <w14:ligatures w14:val="none"/>
        </w:rPr>
        <w:t xml:space="preserve">Organisational </w:t>
      </w:r>
      <w:r w:rsidR="00F82202">
        <w:rPr>
          <w:rFonts w:ascii="Arial" w:hAnsi="Arial"/>
          <w:bCs w:val="0"/>
          <w:color w:val="000000" w:themeColor="text1"/>
          <w:kern w:val="0"/>
          <w:sz w:val="24"/>
          <w:szCs w:val="26"/>
          <w:lang w:eastAsia="zh-CN"/>
          <w14:ligatures w14:val="none"/>
        </w:rPr>
        <w:t>c</w:t>
      </w:r>
      <w:r w:rsidRPr="00BD4E83">
        <w:rPr>
          <w:rFonts w:ascii="Arial" w:hAnsi="Arial"/>
          <w:bCs w:val="0"/>
          <w:color w:val="000000" w:themeColor="text1"/>
          <w:kern w:val="0"/>
          <w:sz w:val="24"/>
          <w:szCs w:val="26"/>
          <w:lang w:eastAsia="zh-CN"/>
          <w14:ligatures w14:val="none"/>
        </w:rPr>
        <w:t>hange</w:t>
      </w:r>
      <w:bookmarkEnd w:id="104"/>
    </w:p>
    <w:p w14:paraId="589831C3" w14:textId="77777777" w:rsidR="002E36EB" w:rsidRDefault="002E36EB" w:rsidP="002E36EB">
      <w:pPr>
        <w:pStyle w:val="ListBullet"/>
        <w:numPr>
          <w:ilvl w:val="0"/>
          <w:numId w:val="0"/>
        </w:numPr>
        <w:ind w:left="360" w:hanging="360"/>
        <w:rPr>
          <w:iCs/>
        </w:rPr>
      </w:pPr>
      <w:r w:rsidRPr="002E36EB">
        <w:rPr>
          <w:iCs/>
        </w:rPr>
        <w:t>Practices must notify Services Australia of any organisational changes within 7 days of the date of</w:t>
      </w:r>
    </w:p>
    <w:p w14:paraId="3BAE1E4E" w14:textId="1D4E1C16" w:rsidR="002E36EB" w:rsidRPr="002E36EB" w:rsidRDefault="002E36EB" w:rsidP="00BD4E83">
      <w:pPr>
        <w:pStyle w:val="ListBullet"/>
        <w:numPr>
          <w:ilvl w:val="0"/>
          <w:numId w:val="0"/>
        </w:numPr>
        <w:ind w:left="360" w:hanging="360"/>
        <w:rPr>
          <w:iCs/>
        </w:rPr>
      </w:pPr>
      <w:r w:rsidRPr="002E36EB">
        <w:rPr>
          <w:iCs/>
        </w:rPr>
        <w:t>the change. This includes:</w:t>
      </w:r>
    </w:p>
    <w:p w14:paraId="21CD6889" w14:textId="77777777" w:rsidR="002E36EB" w:rsidRPr="002E36EB" w:rsidRDefault="002E36EB" w:rsidP="002E36EB">
      <w:pPr>
        <w:pStyle w:val="ListBullet"/>
        <w:rPr>
          <w:iCs/>
        </w:rPr>
      </w:pPr>
      <w:r w:rsidRPr="002E36EB">
        <w:rPr>
          <w:iCs/>
        </w:rPr>
        <w:t xml:space="preserve">A change of ownership. </w:t>
      </w:r>
    </w:p>
    <w:p w14:paraId="60300D36" w14:textId="77777777" w:rsidR="002E36EB" w:rsidRPr="002E36EB" w:rsidRDefault="002E36EB" w:rsidP="002E36EB">
      <w:pPr>
        <w:pStyle w:val="ListBullet"/>
        <w:rPr>
          <w:iCs/>
        </w:rPr>
      </w:pPr>
      <w:r w:rsidRPr="002E36EB">
        <w:rPr>
          <w:iCs/>
        </w:rPr>
        <w:t>A relocation to a new site.</w:t>
      </w:r>
    </w:p>
    <w:p w14:paraId="2E77A85C" w14:textId="77777777" w:rsidR="002E36EB" w:rsidRPr="002E36EB" w:rsidRDefault="002E36EB" w:rsidP="002E36EB">
      <w:pPr>
        <w:pStyle w:val="ListBullet"/>
        <w:rPr>
          <w:iCs/>
        </w:rPr>
      </w:pPr>
      <w:r w:rsidRPr="002E36EB">
        <w:rPr>
          <w:iCs/>
        </w:rPr>
        <w:t>An amalgamation of practices under the same ownership.</w:t>
      </w:r>
    </w:p>
    <w:p w14:paraId="3F829FCC" w14:textId="77777777" w:rsidR="002E36EB" w:rsidRPr="002E36EB" w:rsidRDefault="002E36EB" w:rsidP="00BD4E83">
      <w:pPr>
        <w:pStyle w:val="ListBullet"/>
        <w:numPr>
          <w:ilvl w:val="0"/>
          <w:numId w:val="0"/>
        </w:numPr>
        <w:ind w:left="360"/>
        <w:rPr>
          <w:iCs/>
        </w:rPr>
      </w:pPr>
    </w:p>
    <w:p w14:paraId="014DE281" w14:textId="3F6AD4F8" w:rsidR="002E36EB" w:rsidRPr="009A5F5E" w:rsidRDefault="002E36EB" w:rsidP="00BD4E83">
      <w:pPr>
        <w:pStyle w:val="ListBullet"/>
        <w:numPr>
          <w:ilvl w:val="0"/>
          <w:numId w:val="0"/>
        </w:numPr>
        <w:rPr>
          <w:iCs/>
        </w:rPr>
      </w:pPr>
      <w:r w:rsidRPr="002E36EB">
        <w:rPr>
          <w:iCs/>
        </w:rPr>
        <w:t xml:space="preserve">Practices must meet the organisation change requirements outlined in the </w:t>
      </w:r>
      <w:hyperlink r:id="rId19" w:history="1">
        <w:r w:rsidRPr="002E36EB">
          <w:rPr>
            <w:rStyle w:val="Hyperlink"/>
            <w:iCs/>
          </w:rPr>
          <w:t>MyMedicare Program</w:t>
        </w:r>
        <w:r w:rsidR="006E3D50">
          <w:rPr>
            <w:rStyle w:val="Hyperlink"/>
            <w:iCs/>
          </w:rPr>
          <w:t xml:space="preserve"> </w:t>
        </w:r>
        <w:r w:rsidRPr="002E36EB">
          <w:rPr>
            <w:rStyle w:val="Hyperlink"/>
            <w:iCs/>
          </w:rPr>
          <w:t>Guidelines</w:t>
        </w:r>
      </w:hyperlink>
      <w:r w:rsidRPr="002E36EB">
        <w:rPr>
          <w:iCs/>
        </w:rPr>
        <w:t>, including the notification and evidence requirements for notifying organisational changes.</w:t>
      </w:r>
    </w:p>
    <w:p w14:paraId="760FC610" w14:textId="1893DAAD" w:rsidR="00817CB4" w:rsidRPr="009A5F5E" w:rsidRDefault="00834D51" w:rsidP="00C47885">
      <w:pPr>
        <w:pStyle w:val="GuidelinesHeading"/>
      </w:pPr>
      <w:bookmarkStart w:id="105" w:name="_Toc166066938"/>
      <w:bookmarkStart w:id="106" w:name="_Toc166068354"/>
      <w:bookmarkStart w:id="107" w:name="_Toc166068566"/>
      <w:bookmarkStart w:id="108" w:name="_Toc166069525"/>
      <w:bookmarkStart w:id="109" w:name="_Toc166069572"/>
      <w:bookmarkStart w:id="110" w:name="_Toc166136588"/>
      <w:bookmarkStart w:id="111" w:name="_Toc167109438"/>
      <w:bookmarkStart w:id="112" w:name="_Toc170120007"/>
      <w:bookmarkStart w:id="113" w:name="_Toc170817149"/>
      <w:bookmarkStart w:id="114" w:name="_Toc212118220"/>
      <w:r>
        <w:t>Eligibility</w:t>
      </w:r>
      <w:r w:rsidR="758819B6" w:rsidRPr="009A5F5E">
        <w:t xml:space="preserve"> requirements</w:t>
      </w:r>
      <w:bookmarkEnd w:id="105"/>
      <w:bookmarkEnd w:id="106"/>
      <w:bookmarkEnd w:id="107"/>
      <w:bookmarkEnd w:id="108"/>
      <w:bookmarkEnd w:id="109"/>
      <w:bookmarkEnd w:id="110"/>
      <w:bookmarkEnd w:id="111"/>
      <w:bookmarkEnd w:id="112"/>
      <w:bookmarkEnd w:id="113"/>
      <w:r>
        <w:t xml:space="preserve"> for payment</w:t>
      </w:r>
      <w:bookmarkEnd w:id="114"/>
    </w:p>
    <w:p w14:paraId="562E50F1" w14:textId="451E3756" w:rsidR="00817CB4" w:rsidRPr="009A5F5E" w:rsidRDefault="00817CB4" w:rsidP="00817CB4">
      <w:pPr>
        <w:spacing w:before="120" w:after="120" w:line="276" w:lineRule="auto"/>
        <w:rPr>
          <w:rFonts w:eastAsia="Times New Roman"/>
        </w:rPr>
      </w:pPr>
      <w:r w:rsidRPr="009A5F5E">
        <w:rPr>
          <w:rFonts w:eastAsia="Times New Roman"/>
        </w:rPr>
        <w:t xml:space="preserve">To </w:t>
      </w:r>
      <w:r w:rsidR="00046DA3">
        <w:rPr>
          <w:rFonts w:eastAsia="Times New Roman"/>
        </w:rPr>
        <w:t>be eligible to receive a payment under</w:t>
      </w:r>
      <w:r w:rsidRPr="009A5F5E">
        <w:rPr>
          <w:rFonts w:eastAsia="Times New Roman"/>
        </w:rPr>
        <w:t xml:space="preserve"> </w:t>
      </w:r>
      <w:r w:rsidR="00781C8B" w:rsidRPr="009A5F5E">
        <w:rPr>
          <w:rFonts w:eastAsia="Times New Roman"/>
        </w:rPr>
        <w:t>GPACI</w:t>
      </w:r>
      <w:r w:rsidRPr="009A5F5E">
        <w:rPr>
          <w:rFonts w:eastAsia="Times New Roman"/>
        </w:rPr>
        <w:t xml:space="preserve">, providers and practices must deliver at least 10 eligible services, from eligible MBS and Department of Veterans’ Affairs (DVA) funded services, over a 12-month period including: </w:t>
      </w:r>
    </w:p>
    <w:p w14:paraId="49E41494" w14:textId="4E277598"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2 eligible care planning services</w:t>
      </w:r>
      <w:r w:rsidR="00943F11" w:rsidRPr="009A5F5E">
        <w:t>, both</w:t>
      </w:r>
      <w:r w:rsidRPr="009A5F5E">
        <w:t xml:space="preserve"> delivered by the Responsible Provider. </w:t>
      </w:r>
    </w:p>
    <w:p w14:paraId="4DF6423D" w14:textId="7B0069C5"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8 eligible regular services comprising of at least 2 per quarter, each in a separate calendar month.</w:t>
      </w:r>
    </w:p>
    <w:p w14:paraId="7B57FB25" w14:textId="7BA6F2C6" w:rsidR="00817CB4" w:rsidRPr="009A5F5E" w:rsidRDefault="00817CB4" w:rsidP="00817CB4">
      <w:pPr>
        <w:spacing w:before="120" w:after="120" w:line="276" w:lineRule="auto"/>
        <w:rPr>
          <w:rFonts w:eastAsia="Times New Roman"/>
        </w:rPr>
      </w:pPr>
      <w:bookmarkStart w:id="115" w:name="_Hlk165570547"/>
      <w:r w:rsidRPr="009A5F5E">
        <w:rPr>
          <w:rFonts w:eastAsia="Times New Roman"/>
        </w:rPr>
        <w:t xml:space="preserve">Eligible services must be claimed using the Medicare Provider Number linked to the </w:t>
      </w:r>
      <w:r w:rsidR="00505CD0" w:rsidRPr="009A5F5E">
        <w:rPr>
          <w:rFonts w:eastAsia="Times New Roman"/>
        </w:rPr>
        <w:t xml:space="preserve">same </w:t>
      </w:r>
      <w:r w:rsidRPr="009A5F5E">
        <w:rPr>
          <w:rFonts w:eastAsia="Times New Roman"/>
        </w:rPr>
        <w:t>registered practice</w:t>
      </w:r>
      <w:r w:rsidR="00505CD0" w:rsidRPr="009A5F5E">
        <w:rPr>
          <w:rFonts w:eastAsia="Times New Roman"/>
        </w:rPr>
        <w:t xml:space="preserve"> as the patient receiving the services</w:t>
      </w:r>
      <w:r w:rsidRPr="009A5F5E">
        <w:rPr>
          <w:rFonts w:eastAsia="Times New Roman"/>
        </w:rPr>
        <w:t>.</w:t>
      </w:r>
    </w:p>
    <w:p w14:paraId="794AA43D" w14:textId="1E538348" w:rsidR="00817CB4" w:rsidRPr="009A5F5E" w:rsidRDefault="00817CB4" w:rsidP="00817CB4">
      <w:pPr>
        <w:spacing w:before="120" w:after="120" w:line="276" w:lineRule="auto"/>
        <w:rPr>
          <w:rFonts w:eastAsia="Times New Roman"/>
        </w:rPr>
      </w:pPr>
      <w:r w:rsidRPr="009A5F5E">
        <w:rPr>
          <w:rFonts w:eastAsia="Times New Roman"/>
        </w:rPr>
        <w:t xml:space="preserve">Eligible MBS and DVA items are outlined at </w:t>
      </w:r>
      <w:r w:rsidRPr="009A5F5E">
        <w:rPr>
          <w:rFonts w:eastAsia="Times New Roman"/>
          <w:b/>
          <w:bCs/>
        </w:rPr>
        <w:t xml:space="preserve">Appendix </w:t>
      </w:r>
      <w:bookmarkEnd w:id="115"/>
      <w:r w:rsidRPr="009A5F5E">
        <w:rPr>
          <w:rFonts w:eastAsia="Times New Roman"/>
          <w:b/>
          <w:bCs/>
        </w:rPr>
        <w:t>1</w:t>
      </w:r>
      <w:r w:rsidR="00FE3042">
        <w:rPr>
          <w:rFonts w:eastAsia="Times New Roman"/>
          <w:b/>
          <w:bCs/>
        </w:rPr>
        <w:t>7</w:t>
      </w:r>
      <w:r w:rsidRPr="009A5F5E">
        <w:rPr>
          <w:rFonts w:eastAsia="Times New Roman"/>
          <w:b/>
          <w:bCs/>
        </w:rPr>
        <w:t>.</w:t>
      </w:r>
      <w:r w:rsidR="0074307A">
        <w:rPr>
          <w:rFonts w:eastAsia="Times New Roman"/>
          <w:b/>
          <w:bCs/>
        </w:rPr>
        <w:t>2</w:t>
      </w:r>
      <w:r w:rsidRPr="009A5F5E">
        <w:rPr>
          <w:rFonts w:eastAsia="Times New Roman"/>
        </w:rPr>
        <w:t>.</w:t>
      </w:r>
    </w:p>
    <w:p w14:paraId="3F8BA448" w14:textId="04E03468" w:rsidR="00817CB4" w:rsidRPr="009A5F5E" w:rsidRDefault="00817CB4" w:rsidP="00817CB4">
      <w:pPr>
        <w:spacing w:before="120" w:after="120" w:line="276" w:lineRule="auto"/>
        <w:rPr>
          <w:rFonts w:eastAsia="Times New Roman"/>
          <w:b/>
          <w:bCs/>
        </w:rPr>
      </w:pPr>
      <w:r w:rsidRPr="009A5F5E">
        <w:rPr>
          <w:rFonts w:eastAsia="Times New Roman"/>
        </w:rPr>
        <w:t xml:space="preserve">An overview of the servicing requirements per quarter is outlined at </w:t>
      </w:r>
      <w:r w:rsidRPr="009A5F5E">
        <w:rPr>
          <w:rFonts w:eastAsia="Times New Roman"/>
          <w:b/>
          <w:bCs/>
        </w:rPr>
        <w:t>Appendix 1</w:t>
      </w:r>
      <w:r w:rsidR="00FE3042">
        <w:rPr>
          <w:rFonts w:eastAsia="Times New Roman"/>
          <w:b/>
          <w:bCs/>
        </w:rPr>
        <w:t>7</w:t>
      </w:r>
      <w:r w:rsidRPr="009A5F5E">
        <w:rPr>
          <w:rFonts w:eastAsia="Times New Roman"/>
          <w:b/>
          <w:bCs/>
        </w:rPr>
        <w:t>.</w:t>
      </w:r>
      <w:r w:rsidR="0074307A">
        <w:rPr>
          <w:rFonts w:eastAsia="Times New Roman"/>
          <w:b/>
          <w:bCs/>
        </w:rPr>
        <w:t>4</w:t>
      </w:r>
      <w:r w:rsidRPr="009A5F5E">
        <w:rPr>
          <w:rFonts w:eastAsia="Times New Roman"/>
          <w:b/>
          <w:bCs/>
        </w:rPr>
        <w:t>.</w:t>
      </w:r>
    </w:p>
    <w:p w14:paraId="6B2A3C30" w14:textId="772FEC95" w:rsidR="00817CB4" w:rsidRPr="009A5F5E" w:rsidRDefault="758819B6" w:rsidP="00922830">
      <w:pPr>
        <w:pStyle w:val="Heading2"/>
        <w:ind w:left="432" w:hanging="432"/>
      </w:pPr>
      <w:bookmarkStart w:id="116" w:name="_Toc166066939"/>
      <w:bookmarkStart w:id="117" w:name="_Toc166068355"/>
      <w:bookmarkStart w:id="118" w:name="_Toc166068567"/>
      <w:bookmarkStart w:id="119" w:name="_Toc166069526"/>
      <w:bookmarkStart w:id="120" w:name="_Toc166069573"/>
      <w:bookmarkStart w:id="121" w:name="_Toc166136589"/>
      <w:bookmarkStart w:id="122" w:name="_Toc167109439"/>
      <w:bookmarkStart w:id="123" w:name="_Toc170120008"/>
      <w:bookmarkStart w:id="124" w:name="_Toc170817150"/>
      <w:bookmarkStart w:id="125" w:name="_Toc212118221"/>
      <w:bookmarkStart w:id="126" w:name="_Hlk165571024"/>
      <w:r w:rsidRPr="009A5F5E">
        <w:t>Quarterly servicing requirements</w:t>
      </w:r>
      <w:bookmarkEnd w:id="116"/>
      <w:bookmarkEnd w:id="117"/>
      <w:bookmarkEnd w:id="118"/>
      <w:bookmarkEnd w:id="119"/>
      <w:bookmarkEnd w:id="120"/>
      <w:bookmarkEnd w:id="121"/>
      <w:bookmarkEnd w:id="122"/>
      <w:bookmarkEnd w:id="123"/>
      <w:bookmarkEnd w:id="124"/>
      <w:bookmarkEnd w:id="125"/>
    </w:p>
    <w:p w14:paraId="4E53FC11" w14:textId="315D76D3" w:rsidR="00817CB4" w:rsidRPr="009A5F5E" w:rsidRDefault="00817CB4" w:rsidP="00817CB4">
      <w:pPr>
        <w:spacing w:before="120" w:after="120" w:line="276" w:lineRule="auto"/>
        <w:rPr>
          <w:rFonts w:eastAsia="Times New Roman"/>
        </w:rPr>
      </w:pPr>
      <w:r w:rsidRPr="009A5F5E">
        <w:rPr>
          <w:rFonts w:eastAsia="Times New Roman"/>
        </w:rPr>
        <w:t xml:space="preserve">Each quarter providers and practices </w:t>
      </w:r>
      <w:r w:rsidR="00262DE2" w:rsidRPr="009A5F5E">
        <w:rPr>
          <w:rFonts w:eastAsia="Times New Roman"/>
        </w:rPr>
        <w:t>are</w:t>
      </w:r>
      <w:r w:rsidRPr="009A5F5E">
        <w:rPr>
          <w:rFonts w:eastAsia="Times New Roman"/>
        </w:rPr>
        <w:t xml:space="preserve"> required to meet the following criteria: </w:t>
      </w:r>
    </w:p>
    <w:p w14:paraId="2278C778"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2 eligible regular services per quarter are delivered, each in a separate calendar month.</w:t>
      </w:r>
    </w:p>
    <w:p w14:paraId="3DA3D6AD"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at least one of the regular visits is provided by the Responsible Provider.</w:t>
      </w:r>
    </w:p>
    <w:p w14:paraId="516F8F53"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 xml:space="preserve">a second visit is provided by the Responsible Provider or another member of the patient’s care team. </w:t>
      </w:r>
    </w:p>
    <w:p w14:paraId="3FDA533F" w14:textId="77777777" w:rsidR="00817CB4" w:rsidRPr="009A5F5E" w:rsidRDefault="6F20E253" w:rsidP="00817CB4">
      <w:pPr>
        <w:spacing w:before="120" w:after="120" w:line="276" w:lineRule="auto"/>
        <w:rPr>
          <w:rFonts w:eastAsia="Times New Roman"/>
        </w:rPr>
      </w:pPr>
      <w:r w:rsidRPr="009A5F5E">
        <w:rPr>
          <w:rFonts w:eastAsia="Times New Roman"/>
        </w:rPr>
        <w:t>Providers and practices must complete the quarterly requirements by the end of each quarterly assessment period to be eligible for any quarterly payment</w:t>
      </w:r>
      <w:bookmarkEnd w:id="126"/>
      <w:r w:rsidRPr="009A5F5E">
        <w:rPr>
          <w:rFonts w:eastAsia="Times New Roman"/>
        </w:rPr>
        <w:t>.</w:t>
      </w:r>
    </w:p>
    <w:p w14:paraId="35B86789" w14:textId="77777777" w:rsidR="00817CB4" w:rsidRPr="009A5F5E" w:rsidRDefault="758819B6" w:rsidP="001F7637">
      <w:pPr>
        <w:pStyle w:val="Heading2"/>
      </w:pPr>
      <w:bookmarkStart w:id="127" w:name="_Toc166066940"/>
      <w:bookmarkStart w:id="128" w:name="_Toc166068356"/>
      <w:bookmarkStart w:id="129" w:name="_Toc166068568"/>
      <w:bookmarkStart w:id="130" w:name="_Toc166069527"/>
      <w:bookmarkStart w:id="131" w:name="_Toc166069574"/>
      <w:bookmarkStart w:id="132" w:name="_Toc166136590"/>
      <w:bookmarkStart w:id="133" w:name="_Toc167109440"/>
      <w:bookmarkStart w:id="134" w:name="_Toc170120009"/>
      <w:bookmarkStart w:id="135" w:name="_Toc170817151"/>
      <w:bookmarkStart w:id="136" w:name="_Toc212118222"/>
      <w:r w:rsidRPr="009A5F5E">
        <w:t>12-month servicing requirements</w:t>
      </w:r>
      <w:bookmarkEnd w:id="127"/>
      <w:bookmarkEnd w:id="128"/>
      <w:bookmarkEnd w:id="129"/>
      <w:bookmarkEnd w:id="130"/>
      <w:bookmarkEnd w:id="131"/>
      <w:bookmarkEnd w:id="132"/>
      <w:bookmarkEnd w:id="133"/>
      <w:bookmarkEnd w:id="134"/>
      <w:bookmarkEnd w:id="135"/>
      <w:bookmarkEnd w:id="136"/>
    </w:p>
    <w:p w14:paraId="7E68CFD4" w14:textId="18CE9FEF" w:rsidR="00817CB4" w:rsidRPr="009A5F5E" w:rsidRDefault="6F20E253" w:rsidP="00817CB4">
      <w:pPr>
        <w:spacing w:before="120" w:after="120" w:line="276" w:lineRule="auto"/>
        <w:rPr>
          <w:rFonts w:eastAsia="Times New Roman"/>
        </w:rPr>
      </w:pPr>
      <w:r w:rsidRPr="009A5F5E">
        <w:rPr>
          <w:rFonts w:eastAsia="Times New Roman"/>
        </w:rPr>
        <w:t xml:space="preserve">To ensure patients have received regular care over a 12-month period, providers and practices must complete the 12-monthly requirements by the end of the 12-month assessment period. </w:t>
      </w:r>
      <w:r w:rsidR="00D22BC3" w:rsidRPr="009A5F5E">
        <w:rPr>
          <w:rFonts w:eastAsia="Times New Roman"/>
        </w:rPr>
        <w:t>To be eligible for the 4</w:t>
      </w:r>
      <w:r w:rsidR="00D22BC3" w:rsidRPr="009A5F5E">
        <w:rPr>
          <w:rFonts w:eastAsia="Times New Roman"/>
          <w:vertAlign w:val="superscript"/>
        </w:rPr>
        <w:t>th</w:t>
      </w:r>
      <w:r w:rsidR="00D22BC3" w:rsidRPr="009A5F5E">
        <w:rPr>
          <w:rFonts w:eastAsia="Times New Roman"/>
        </w:rPr>
        <w:t xml:space="preserve"> quarter payment, both the quarterly servicing requirements and the 12-month servicing requirements must be met. </w:t>
      </w:r>
    </w:p>
    <w:p w14:paraId="15F9E8C9" w14:textId="49DA4A5F" w:rsidR="00817CB4" w:rsidRPr="009A5F5E" w:rsidRDefault="6F20E253" w:rsidP="00817CB4">
      <w:pPr>
        <w:spacing w:before="120" w:after="120" w:line="276" w:lineRule="auto"/>
        <w:rPr>
          <w:rFonts w:eastAsia="Times New Roman"/>
        </w:rPr>
      </w:pPr>
      <w:r w:rsidRPr="009A5F5E">
        <w:rPr>
          <w:rFonts w:eastAsia="Times New Roman"/>
        </w:rPr>
        <w:t>The 12-month requirements consist of</w:t>
      </w:r>
      <w:r w:rsidR="66AD7F8B" w:rsidRPr="009A5F5E">
        <w:rPr>
          <w:rFonts w:eastAsia="Times New Roman"/>
        </w:rPr>
        <w:t xml:space="preserve"> at least</w:t>
      </w:r>
      <w:r w:rsidRPr="009A5F5E">
        <w:rPr>
          <w:rFonts w:eastAsia="Times New Roman"/>
        </w:rPr>
        <w:t>:</w:t>
      </w:r>
    </w:p>
    <w:p w14:paraId="2F6428BC" w14:textId="559456D9" w:rsidR="00817CB4" w:rsidRPr="009A5F5E" w:rsidRDefault="6F20E253" w:rsidP="690F3BC6">
      <w:pPr>
        <w:pStyle w:val="ListBullet"/>
        <w:tabs>
          <w:tab w:val="clear" w:pos="360"/>
          <w:tab w:val="left" w:pos="340"/>
          <w:tab w:val="left" w:pos="680"/>
        </w:tabs>
        <w:spacing w:before="60" w:after="60" w:line="276" w:lineRule="auto"/>
        <w:contextualSpacing w:val="0"/>
      </w:pPr>
      <w:r w:rsidRPr="009A5F5E">
        <w:t>2 eligible care planning services</w:t>
      </w:r>
      <w:r w:rsidR="473B5230" w:rsidRPr="009A5F5E">
        <w:t>, both delivered by the Responsible Provider</w:t>
      </w:r>
      <w:r w:rsidRPr="009A5F5E">
        <w:t xml:space="preserve"> </w:t>
      </w:r>
      <w:r w:rsidR="66AD7F8B" w:rsidRPr="009A5F5E">
        <w:t xml:space="preserve">at any time in </w:t>
      </w:r>
      <w:r w:rsidR="473B5230" w:rsidRPr="009A5F5E">
        <w:t xml:space="preserve">the </w:t>
      </w:r>
      <w:r w:rsidRPr="009A5F5E">
        <w:t xml:space="preserve">12-month </w:t>
      </w:r>
      <w:r w:rsidR="473B5230" w:rsidRPr="009A5F5E">
        <w:t xml:space="preserve">care </w:t>
      </w:r>
      <w:r w:rsidRPr="009A5F5E">
        <w:t xml:space="preserve">period, and </w:t>
      </w:r>
    </w:p>
    <w:p w14:paraId="307B733D" w14:textId="24833A75"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 xml:space="preserve">8 eligible regular </w:t>
      </w:r>
      <w:r w:rsidR="002137BC" w:rsidRPr="009A5F5E">
        <w:t xml:space="preserve">services delivered </w:t>
      </w:r>
      <w:r w:rsidRPr="009A5F5E">
        <w:t xml:space="preserve">in </w:t>
      </w:r>
      <w:r w:rsidR="004534C0" w:rsidRPr="009A5F5E">
        <w:t>the</w:t>
      </w:r>
      <w:r w:rsidRPr="009A5F5E">
        <w:t xml:space="preserve"> 12-month </w:t>
      </w:r>
      <w:r w:rsidR="004534C0" w:rsidRPr="009A5F5E">
        <w:t xml:space="preserve">care </w:t>
      </w:r>
      <w:r w:rsidRPr="009A5F5E">
        <w:t>period.</w:t>
      </w:r>
      <w:r w:rsidR="00D84A24" w:rsidRPr="009A5F5E">
        <w:rPr>
          <w:rFonts w:ascii="Segoe UI" w:hAnsi="Segoe UI" w:cs="Segoe UI"/>
          <w:sz w:val="18"/>
          <w:szCs w:val="18"/>
        </w:rPr>
        <w:t xml:space="preserve"> </w:t>
      </w:r>
      <w:r w:rsidR="00D84A24" w:rsidRPr="009A5F5E">
        <w:t>The timing of these regular visits is not considered for the purpose of the 12-month assessment.</w:t>
      </w:r>
    </w:p>
    <w:p w14:paraId="0B00B4D1" w14:textId="45DB7B92" w:rsidR="00817CB4" w:rsidRPr="009A5F5E" w:rsidRDefault="00817CB4" w:rsidP="00817CB4">
      <w:pPr>
        <w:spacing w:before="120" w:after="120" w:line="276" w:lineRule="auto"/>
        <w:rPr>
          <w:rFonts w:eastAsia="Times New Roman"/>
        </w:rPr>
      </w:pPr>
      <w:bookmarkStart w:id="137" w:name="_Hlk167963056"/>
      <w:r w:rsidRPr="009A5F5E">
        <w:rPr>
          <w:rFonts w:eastAsia="Times New Roman"/>
        </w:rPr>
        <w:t>Eligible services that contribute towards quarterly assessments contribute towards 12</w:t>
      </w:r>
      <w:r w:rsidRPr="009A5F5E">
        <w:rPr>
          <w:rFonts w:eastAsia="Times New Roman"/>
        </w:rPr>
        <w:noBreakHyphen/>
        <w:t xml:space="preserve">monthly servicing requirements. </w:t>
      </w:r>
    </w:p>
    <w:p w14:paraId="35257E9B" w14:textId="10206190" w:rsidR="00817CB4" w:rsidRPr="009A5F5E" w:rsidRDefault="6F20E253" w:rsidP="00407AD1">
      <w:pPr>
        <w:pStyle w:val="Heading3"/>
      </w:pPr>
      <w:bookmarkStart w:id="138" w:name="_Toc166066941"/>
      <w:bookmarkStart w:id="139" w:name="_Toc166068357"/>
      <w:bookmarkStart w:id="140" w:name="_Toc166068569"/>
      <w:bookmarkStart w:id="141" w:name="_Toc166069528"/>
      <w:bookmarkStart w:id="142" w:name="_Toc166069575"/>
      <w:bookmarkStart w:id="143" w:name="_Toc166136591"/>
      <w:bookmarkStart w:id="144" w:name="_Toc170120010"/>
      <w:bookmarkStart w:id="145" w:name="_Toc172899495"/>
      <w:bookmarkStart w:id="146" w:name="_Toc172899568"/>
      <w:bookmarkStart w:id="147" w:name="_Toc170817152"/>
      <w:bookmarkEnd w:id="137"/>
      <w:r w:rsidRPr="009A5F5E">
        <w:lastRenderedPageBreak/>
        <w:t xml:space="preserve">Failure to meet </w:t>
      </w:r>
      <w:r w:rsidR="266C9583" w:rsidRPr="009A5F5E">
        <w:t>12-month servicing requirements</w:t>
      </w:r>
      <w:bookmarkEnd w:id="138"/>
      <w:bookmarkEnd w:id="139"/>
      <w:bookmarkEnd w:id="140"/>
      <w:bookmarkEnd w:id="141"/>
      <w:bookmarkEnd w:id="142"/>
      <w:bookmarkEnd w:id="143"/>
      <w:bookmarkEnd w:id="144"/>
      <w:bookmarkEnd w:id="145"/>
      <w:bookmarkEnd w:id="146"/>
      <w:bookmarkEnd w:id="147"/>
    </w:p>
    <w:p w14:paraId="7A76E17D" w14:textId="193C788C" w:rsidR="00817CB4" w:rsidRPr="009A5F5E" w:rsidRDefault="7DB152FA" w:rsidP="00817CB4">
      <w:pPr>
        <w:spacing w:before="120" w:after="120" w:line="276" w:lineRule="auto"/>
        <w:rPr>
          <w:rFonts w:eastAsia="Times New Roman"/>
        </w:rPr>
      </w:pPr>
      <w:r w:rsidRPr="009A5F5E">
        <w:rPr>
          <w:rFonts w:eastAsia="Times New Roman"/>
        </w:rPr>
        <w:t xml:space="preserve">If the </w:t>
      </w:r>
      <w:r w:rsidR="570F4736" w:rsidRPr="009A5F5E">
        <w:rPr>
          <w:rFonts w:eastAsia="Times New Roman"/>
        </w:rPr>
        <w:t xml:space="preserve">2 eligible </w:t>
      </w:r>
      <w:r w:rsidRPr="009A5F5E">
        <w:rPr>
          <w:rFonts w:eastAsia="Times New Roman"/>
        </w:rPr>
        <w:t>care planning services are not delivered by the Responsible Provider by the end of the 12-month assessment period (4th quarter assessment)</w:t>
      </w:r>
      <w:r w:rsidR="50B97B13" w:rsidRPr="009A5F5E">
        <w:rPr>
          <w:rFonts w:eastAsia="Times New Roman"/>
        </w:rPr>
        <w:t xml:space="preserve"> as well as the 8 eligible regular services</w:t>
      </w:r>
      <w:r w:rsidRPr="009A5F5E">
        <w:rPr>
          <w:rFonts w:eastAsia="Times New Roman"/>
        </w:rPr>
        <w:t xml:space="preserve">, the final quarterly incentive payment will not be made to the practice or provider. </w:t>
      </w:r>
    </w:p>
    <w:p w14:paraId="6D75E236" w14:textId="54163A27" w:rsidR="00817CB4" w:rsidRPr="009A5F5E" w:rsidRDefault="00817CB4" w:rsidP="00CC1D47">
      <w:pPr>
        <w:pStyle w:val="Heading2"/>
      </w:pPr>
      <w:bookmarkStart w:id="148" w:name="_Toc163390008"/>
      <w:bookmarkStart w:id="149" w:name="_Toc163390009"/>
      <w:bookmarkStart w:id="150" w:name="_Toc163390010"/>
      <w:bookmarkStart w:id="151" w:name="_Toc163390011"/>
      <w:bookmarkStart w:id="152" w:name="_Toc163390012"/>
      <w:bookmarkStart w:id="153" w:name="_Toc166066943"/>
      <w:bookmarkStart w:id="154" w:name="_Toc166068359"/>
      <w:bookmarkStart w:id="155" w:name="_Toc166068571"/>
      <w:bookmarkStart w:id="156" w:name="_Toc166069530"/>
      <w:bookmarkStart w:id="157" w:name="_Toc166069577"/>
      <w:bookmarkStart w:id="158" w:name="_Toc166136593"/>
      <w:bookmarkStart w:id="159" w:name="_Toc170120012"/>
      <w:bookmarkStart w:id="160" w:name="_Toc172899497"/>
      <w:bookmarkStart w:id="161" w:name="_Toc172899570"/>
      <w:bookmarkStart w:id="162" w:name="_Toc170817154"/>
      <w:bookmarkStart w:id="163" w:name="_Toc212118223"/>
      <w:bookmarkEnd w:id="148"/>
      <w:bookmarkEnd w:id="149"/>
      <w:bookmarkEnd w:id="150"/>
      <w:bookmarkEnd w:id="151"/>
      <w:bookmarkEnd w:id="152"/>
      <w:r w:rsidRPr="009A5F5E">
        <w:t>Telehealth services – Modified Monash Model areas 4 to 7</w:t>
      </w:r>
      <w:bookmarkEnd w:id="153"/>
      <w:bookmarkEnd w:id="154"/>
      <w:bookmarkEnd w:id="155"/>
      <w:bookmarkEnd w:id="156"/>
      <w:bookmarkEnd w:id="157"/>
      <w:bookmarkEnd w:id="158"/>
      <w:bookmarkEnd w:id="159"/>
      <w:bookmarkEnd w:id="160"/>
      <w:bookmarkEnd w:id="161"/>
      <w:bookmarkEnd w:id="162"/>
      <w:bookmarkEnd w:id="163"/>
    </w:p>
    <w:p w14:paraId="5E742408" w14:textId="284725B1" w:rsidR="00817CB4" w:rsidRPr="009A5F5E" w:rsidRDefault="6F20E253" w:rsidP="00817CB4">
      <w:pPr>
        <w:spacing w:before="120" w:after="120" w:line="276" w:lineRule="auto"/>
        <w:rPr>
          <w:rFonts w:eastAsia="Times New Roman"/>
        </w:rPr>
      </w:pPr>
      <w:r w:rsidRPr="009A5F5E">
        <w:rPr>
          <w:rFonts w:eastAsia="Times New Roman"/>
        </w:rPr>
        <w:t xml:space="preserve">Practices located in Modified Monash Model (MMM) </w:t>
      </w:r>
      <w:r w:rsidR="09A601D2" w:rsidRPr="009A5F5E">
        <w:rPr>
          <w:rFonts w:eastAsia="Times New Roman"/>
        </w:rPr>
        <w:t xml:space="preserve">regions </w:t>
      </w:r>
      <w:r w:rsidRPr="009A5F5E">
        <w:rPr>
          <w:rFonts w:eastAsia="Times New Roman"/>
        </w:rPr>
        <w:t xml:space="preserve">4 to 7 </w:t>
      </w:r>
      <w:proofErr w:type="gramStart"/>
      <w:r w:rsidR="0D758223" w:rsidRPr="009A5F5E">
        <w:rPr>
          <w:rFonts w:eastAsia="Times New Roman"/>
        </w:rPr>
        <w:t>are</w:t>
      </w:r>
      <w:r w:rsidRPr="009A5F5E">
        <w:rPr>
          <w:rFonts w:eastAsia="Times New Roman"/>
        </w:rPr>
        <w:t xml:space="preserve"> able to</w:t>
      </w:r>
      <w:proofErr w:type="gramEnd"/>
      <w:r w:rsidRPr="009A5F5E">
        <w:rPr>
          <w:rFonts w:eastAsia="Times New Roman"/>
        </w:rPr>
        <w:t xml:space="preserve"> provide up to 4 </w:t>
      </w:r>
      <w:r w:rsidR="00703E99" w:rsidRPr="009A5F5E">
        <w:rPr>
          <w:rFonts w:eastAsia="Times New Roman"/>
        </w:rPr>
        <w:t xml:space="preserve">of the 8 </w:t>
      </w:r>
      <w:r w:rsidRPr="009A5F5E">
        <w:rPr>
          <w:rFonts w:eastAsia="Times New Roman"/>
        </w:rPr>
        <w:t xml:space="preserve">regular </w:t>
      </w:r>
      <w:r w:rsidR="0D758223" w:rsidRPr="009A5F5E">
        <w:rPr>
          <w:rFonts w:eastAsia="Times New Roman"/>
        </w:rPr>
        <w:t xml:space="preserve">services </w:t>
      </w:r>
      <w:r w:rsidRPr="009A5F5E">
        <w:rPr>
          <w:rFonts w:eastAsia="Times New Roman"/>
        </w:rPr>
        <w:t xml:space="preserve">per 12-month </w:t>
      </w:r>
      <w:r w:rsidR="0D758223" w:rsidRPr="009A5F5E">
        <w:rPr>
          <w:rFonts w:eastAsia="Times New Roman"/>
        </w:rPr>
        <w:t xml:space="preserve">care </w:t>
      </w:r>
      <w:r w:rsidRPr="009A5F5E">
        <w:rPr>
          <w:rFonts w:eastAsia="Times New Roman"/>
        </w:rPr>
        <w:t>period by eligible telehealth MBS</w:t>
      </w:r>
      <w:r w:rsidR="4856AEA2" w:rsidRPr="009A5F5E">
        <w:rPr>
          <w:rFonts w:eastAsia="Times New Roman"/>
        </w:rPr>
        <w:t xml:space="preserve"> and DVA</w:t>
      </w:r>
      <w:r w:rsidRPr="009A5F5E">
        <w:rPr>
          <w:rFonts w:eastAsia="Times New Roman"/>
        </w:rPr>
        <w:t xml:space="preserve"> items (outlined at </w:t>
      </w:r>
      <w:r w:rsidRPr="009A5F5E">
        <w:rPr>
          <w:rFonts w:eastAsia="Times New Roman"/>
          <w:b/>
          <w:bCs/>
        </w:rPr>
        <w:t xml:space="preserve">Appendix </w:t>
      </w:r>
      <w:r w:rsidR="00FE3042">
        <w:rPr>
          <w:rFonts w:eastAsia="Times New Roman"/>
          <w:b/>
          <w:bCs/>
        </w:rPr>
        <w:t>17</w:t>
      </w:r>
      <w:r w:rsidRPr="009A5F5E">
        <w:rPr>
          <w:rFonts w:eastAsia="Times New Roman"/>
          <w:b/>
          <w:bCs/>
        </w:rPr>
        <w:t>.</w:t>
      </w:r>
      <w:r w:rsidR="0074307A">
        <w:rPr>
          <w:rFonts w:eastAsia="Times New Roman"/>
          <w:b/>
          <w:bCs/>
        </w:rPr>
        <w:t>2</w:t>
      </w:r>
      <w:r w:rsidRPr="009A5F5E">
        <w:rPr>
          <w:rFonts w:eastAsia="Times New Roman"/>
        </w:rPr>
        <w:t xml:space="preserve">) where they are unable to attend a face-to-face service. Eligibility for telehealth services </w:t>
      </w:r>
      <w:r w:rsidR="0D758223" w:rsidRPr="009A5F5E">
        <w:rPr>
          <w:rFonts w:eastAsia="Times New Roman"/>
        </w:rPr>
        <w:t>is</w:t>
      </w:r>
      <w:r w:rsidRPr="009A5F5E">
        <w:rPr>
          <w:rFonts w:eastAsia="Times New Roman"/>
        </w:rPr>
        <w:t xml:space="preserve"> assessed based on the location of the practice as recorded in the Organisation Register.</w:t>
      </w:r>
    </w:p>
    <w:p w14:paraId="28972ED5" w14:textId="77777777" w:rsidR="00817CB4" w:rsidRPr="009A5F5E" w:rsidRDefault="758819B6" w:rsidP="00C47885">
      <w:pPr>
        <w:pStyle w:val="GuidelinesHeading"/>
      </w:pPr>
      <w:bookmarkStart w:id="164" w:name="_Toc166066944"/>
      <w:bookmarkStart w:id="165" w:name="_Toc166068360"/>
      <w:bookmarkStart w:id="166" w:name="_Toc166068572"/>
      <w:bookmarkStart w:id="167" w:name="_Toc166069531"/>
      <w:bookmarkStart w:id="168" w:name="_Toc166069578"/>
      <w:bookmarkStart w:id="169" w:name="_Toc166136594"/>
      <w:bookmarkStart w:id="170" w:name="_Toc167109441"/>
      <w:bookmarkStart w:id="171" w:name="_Toc170120013"/>
      <w:bookmarkStart w:id="172" w:name="_Toc170817155"/>
      <w:bookmarkStart w:id="173" w:name="_Toc212118224"/>
      <w:r w:rsidRPr="009A5F5E">
        <w:t>Additional delivery requirements</w:t>
      </w:r>
      <w:bookmarkEnd w:id="164"/>
      <w:bookmarkEnd w:id="165"/>
      <w:bookmarkEnd w:id="166"/>
      <w:bookmarkEnd w:id="167"/>
      <w:bookmarkEnd w:id="168"/>
      <w:bookmarkEnd w:id="169"/>
      <w:bookmarkEnd w:id="170"/>
      <w:bookmarkEnd w:id="171"/>
      <w:bookmarkEnd w:id="172"/>
      <w:bookmarkEnd w:id="173"/>
    </w:p>
    <w:p w14:paraId="4AEC78BF" w14:textId="77777777" w:rsidR="00817CB4" w:rsidRPr="009A5F5E" w:rsidRDefault="00817CB4" w:rsidP="00817CB4">
      <w:pPr>
        <w:spacing w:before="120" w:after="120" w:line="276" w:lineRule="auto"/>
        <w:rPr>
          <w:rFonts w:eastAsia="Times New Roman"/>
          <w:szCs w:val="22"/>
        </w:rPr>
      </w:pPr>
      <w:r w:rsidRPr="009A5F5E">
        <w:rPr>
          <w:rFonts w:eastAsia="Times New Roman"/>
          <w:szCs w:val="22"/>
        </w:rPr>
        <w:t xml:space="preserve">The Responsible Provider is required to deliver care to patients in line with the patient’s need. </w:t>
      </w:r>
    </w:p>
    <w:p w14:paraId="6CE10948" w14:textId="273B3E6F" w:rsidR="00817CB4" w:rsidRPr="009A5F5E" w:rsidRDefault="758819B6" w:rsidP="001F7637">
      <w:pPr>
        <w:pStyle w:val="Heading2"/>
      </w:pPr>
      <w:bookmarkStart w:id="174" w:name="_Toc166066945"/>
      <w:bookmarkStart w:id="175" w:name="_Toc166068361"/>
      <w:bookmarkStart w:id="176" w:name="_Toc166068573"/>
      <w:bookmarkStart w:id="177" w:name="_Toc166069532"/>
      <w:bookmarkStart w:id="178" w:name="_Toc166069579"/>
      <w:bookmarkStart w:id="179" w:name="_Toc166136595"/>
      <w:bookmarkStart w:id="180" w:name="_Toc167109442"/>
      <w:bookmarkStart w:id="181" w:name="_Toc170120014"/>
      <w:bookmarkStart w:id="182" w:name="_Toc170817156"/>
      <w:bookmarkStart w:id="183" w:name="_Toc212118225"/>
      <w:r w:rsidRPr="009A5F5E">
        <w:t>Medicare Benefit Sche</w:t>
      </w:r>
      <w:r w:rsidR="40C1853A" w:rsidRPr="009A5F5E">
        <w:t>dule</w:t>
      </w:r>
      <w:r w:rsidRPr="009A5F5E">
        <w:t xml:space="preserve"> and Department of Veterans’ Affairs requirements</w:t>
      </w:r>
      <w:bookmarkEnd w:id="174"/>
      <w:bookmarkEnd w:id="175"/>
      <w:bookmarkEnd w:id="176"/>
      <w:bookmarkEnd w:id="177"/>
      <w:bookmarkEnd w:id="178"/>
      <w:bookmarkEnd w:id="179"/>
      <w:bookmarkEnd w:id="180"/>
      <w:bookmarkEnd w:id="181"/>
      <w:bookmarkEnd w:id="182"/>
      <w:bookmarkEnd w:id="183"/>
    </w:p>
    <w:p w14:paraId="102DFD74" w14:textId="0CD7F2CF" w:rsidR="00817CB4" w:rsidRPr="009A5F5E" w:rsidRDefault="6F20E253" w:rsidP="00817CB4">
      <w:pPr>
        <w:spacing w:before="120" w:after="120" w:line="276" w:lineRule="auto"/>
        <w:rPr>
          <w:rFonts w:eastAsia="Times New Roman"/>
        </w:rPr>
      </w:pPr>
      <w:r w:rsidRPr="009A5F5E">
        <w:rPr>
          <w:rFonts w:eastAsia="Times New Roman"/>
        </w:rPr>
        <w:t>All providers, practices and medical professionals are required to meet the requirements of the relevant eligible MBS and DVA item</w:t>
      </w:r>
      <w:r w:rsidR="6026C2AE" w:rsidRPr="009A5F5E">
        <w:rPr>
          <w:rFonts w:eastAsia="Times New Roman"/>
        </w:rPr>
        <w:t xml:space="preserve">s as specified in Section </w:t>
      </w:r>
      <w:r w:rsidR="00F85C8B" w:rsidRPr="009A5F5E">
        <w:rPr>
          <w:rFonts w:eastAsia="Times New Roman"/>
        </w:rPr>
        <w:t>17.</w:t>
      </w:r>
      <w:r w:rsidR="00D95232" w:rsidRPr="009A5F5E">
        <w:rPr>
          <w:rFonts w:eastAsia="Times New Roman"/>
        </w:rPr>
        <w:t>2</w:t>
      </w:r>
      <w:r w:rsidR="6026C2AE" w:rsidRPr="009A5F5E">
        <w:rPr>
          <w:rFonts w:eastAsia="Times New Roman"/>
        </w:rPr>
        <w:t xml:space="preserve"> of the Appendix</w:t>
      </w:r>
      <w:r w:rsidRPr="009A5F5E">
        <w:rPr>
          <w:rFonts w:eastAsia="Times New Roman"/>
        </w:rPr>
        <w:t xml:space="preserve">. </w:t>
      </w:r>
      <w:r w:rsidR="236FB3B4" w:rsidRPr="009A5F5E">
        <w:rPr>
          <w:rFonts w:eastAsia="Times New Roman"/>
        </w:rPr>
        <w:t>These service items are subject to all other normal rules and guidelines, and practices and providers are to follow normal Medicare &amp; DVA claiming processes once the services are delivered.</w:t>
      </w:r>
    </w:p>
    <w:p w14:paraId="4F610D01" w14:textId="77777777" w:rsidR="00817CB4" w:rsidRPr="009A5F5E" w:rsidRDefault="758819B6" w:rsidP="001F7637">
      <w:pPr>
        <w:pStyle w:val="Heading2"/>
      </w:pPr>
      <w:bookmarkStart w:id="184" w:name="_Toc166066946"/>
      <w:bookmarkStart w:id="185" w:name="_Toc166068362"/>
      <w:bookmarkStart w:id="186" w:name="_Toc166068574"/>
      <w:bookmarkStart w:id="187" w:name="_Toc166069533"/>
      <w:bookmarkStart w:id="188" w:name="_Toc166069580"/>
      <w:bookmarkStart w:id="189" w:name="_Toc166136596"/>
      <w:bookmarkStart w:id="190" w:name="_Toc167109443"/>
      <w:bookmarkStart w:id="191" w:name="_Toc170120015"/>
      <w:bookmarkStart w:id="192" w:name="_Toc170817157"/>
      <w:bookmarkStart w:id="193" w:name="_Toc212118226"/>
      <w:r w:rsidRPr="009A5F5E">
        <w:t>Legislative requirements</w:t>
      </w:r>
      <w:bookmarkEnd w:id="184"/>
      <w:bookmarkEnd w:id="185"/>
      <w:bookmarkEnd w:id="186"/>
      <w:bookmarkEnd w:id="187"/>
      <w:bookmarkEnd w:id="188"/>
      <w:bookmarkEnd w:id="189"/>
      <w:bookmarkEnd w:id="190"/>
      <w:bookmarkEnd w:id="191"/>
      <w:bookmarkEnd w:id="192"/>
      <w:bookmarkEnd w:id="193"/>
    </w:p>
    <w:p w14:paraId="7047516C" w14:textId="77777777" w:rsidR="00C23B1C" w:rsidRDefault="6F20E253" w:rsidP="00817CB4">
      <w:pPr>
        <w:spacing w:before="120" w:after="120" w:line="276" w:lineRule="auto"/>
        <w:rPr>
          <w:rFonts w:eastAsia="Times New Roman"/>
        </w:rPr>
      </w:pPr>
      <w:r w:rsidRPr="009A5F5E">
        <w:rPr>
          <w:rFonts w:eastAsia="Times New Roman"/>
        </w:rPr>
        <w:t>All providers, practices and medical practitioners are required to meet all the legislative requirements associated with the delivery of eligible service MBS and DVA items</w:t>
      </w:r>
      <w:r w:rsidR="0D1BE610" w:rsidRPr="009A5F5E">
        <w:rPr>
          <w:rFonts w:eastAsia="Times New Roman"/>
        </w:rPr>
        <w:t xml:space="preserve"> as specified in Section </w:t>
      </w:r>
      <w:r w:rsidR="00F85C8B" w:rsidRPr="009A5F5E">
        <w:rPr>
          <w:rFonts w:eastAsia="Times New Roman"/>
        </w:rPr>
        <w:t>17.</w:t>
      </w:r>
      <w:r w:rsidR="00D95232" w:rsidRPr="009A5F5E">
        <w:rPr>
          <w:rFonts w:eastAsia="Times New Roman"/>
        </w:rPr>
        <w:t>2</w:t>
      </w:r>
      <w:r w:rsidR="00F85C8B" w:rsidRPr="009A5F5E">
        <w:rPr>
          <w:rFonts w:eastAsia="Times New Roman"/>
        </w:rPr>
        <w:t xml:space="preserve"> </w:t>
      </w:r>
      <w:r w:rsidR="0D1BE610" w:rsidRPr="009A5F5E">
        <w:rPr>
          <w:rFonts w:eastAsia="Times New Roman"/>
        </w:rPr>
        <w:t>of the Appendix</w:t>
      </w:r>
      <w:r w:rsidRPr="009A5F5E">
        <w:rPr>
          <w:rFonts w:eastAsia="Times New Roman"/>
        </w:rPr>
        <w:t xml:space="preserve">. </w:t>
      </w:r>
    </w:p>
    <w:p w14:paraId="593CAC3D" w14:textId="603F1CF8" w:rsidR="00817CB4" w:rsidRPr="009A5F5E" w:rsidRDefault="6F20E253" w:rsidP="00817CB4">
      <w:pPr>
        <w:spacing w:before="120" w:after="120" w:line="276" w:lineRule="auto"/>
        <w:rPr>
          <w:rFonts w:eastAsia="Times New Roman"/>
        </w:rPr>
      </w:pPr>
      <w:r w:rsidRPr="009A5F5E">
        <w:rPr>
          <w:rFonts w:eastAsia="Times New Roman"/>
        </w:rPr>
        <w:t xml:space="preserve">All providers, practices and medical professionals are responsible for ensuring their delivery of services does not conflict with requirements of any other programs or legislation that applies to the provider or practice. </w:t>
      </w:r>
    </w:p>
    <w:p w14:paraId="6016766D" w14:textId="570C8887" w:rsidR="00277781" w:rsidRDefault="00277781" w:rsidP="00277781">
      <w:pPr>
        <w:spacing w:before="120" w:after="120" w:line="276" w:lineRule="auto"/>
        <w:rPr>
          <w:rFonts w:eastAsia="Times New Roman"/>
        </w:rPr>
      </w:pPr>
      <w:r w:rsidRPr="009A5F5E">
        <w:rPr>
          <w:rFonts w:eastAsia="Times New Roman"/>
        </w:rPr>
        <w:t xml:space="preserve">The department recognises the Australian Government’s response to the Royal Commission into Institutional Responses to Child Sexual Abuse, and the </w:t>
      </w:r>
      <w:hyperlink r:id="rId20" w:history="1">
        <w:r w:rsidRPr="009A5F5E">
          <w:rPr>
            <w:rStyle w:val="Hyperlink"/>
            <w:rFonts w:eastAsia="Times New Roman"/>
          </w:rPr>
          <w:t>Commonwealth Child Safe Framework</w:t>
        </w:r>
      </w:hyperlink>
      <w:r w:rsidRPr="009A5F5E">
        <w:rPr>
          <w:rFonts w:eastAsia="Times New Roman"/>
        </w:rPr>
        <w:t xml:space="preserve">. As such, the department expects that all </w:t>
      </w:r>
      <w:r w:rsidR="00C42D31">
        <w:rPr>
          <w:rFonts w:eastAsia="Times New Roman"/>
        </w:rPr>
        <w:t>funding</w:t>
      </w:r>
      <w:r w:rsidRPr="009A5F5E">
        <w:rPr>
          <w:rFonts w:eastAsia="Times New Roman"/>
        </w:rPr>
        <w:t xml:space="preserve"> recipients comply with all Australian law relating to employing or engaging people who work or volunteer with children. This includes working with children checks and mandatory reporting; and the department may request an annual statement of compliance with this requirement. </w:t>
      </w:r>
    </w:p>
    <w:p w14:paraId="19C9BC1C" w14:textId="77777777" w:rsidR="00834D51" w:rsidRPr="009A5F5E" w:rsidRDefault="00834D51" w:rsidP="00834D51">
      <w:pPr>
        <w:pStyle w:val="GuidelinesHeading"/>
      </w:pPr>
      <w:bookmarkStart w:id="194" w:name="_Toc166066935"/>
      <w:bookmarkStart w:id="195" w:name="_Toc166068351"/>
      <w:bookmarkStart w:id="196" w:name="_Toc166068563"/>
      <w:bookmarkStart w:id="197" w:name="_Toc166069522"/>
      <w:bookmarkStart w:id="198" w:name="_Toc166069569"/>
      <w:bookmarkStart w:id="199" w:name="_Toc166136585"/>
      <w:bookmarkStart w:id="200" w:name="_Toc167109435"/>
      <w:bookmarkStart w:id="201" w:name="_Toc170120004"/>
      <w:bookmarkStart w:id="202" w:name="_Toc170817146"/>
      <w:bookmarkStart w:id="203" w:name="_Toc212118227"/>
      <w:r w:rsidRPr="009A5F5E">
        <w:t xml:space="preserve">Opt-out </w:t>
      </w:r>
      <w:bookmarkEnd w:id="194"/>
      <w:bookmarkEnd w:id="195"/>
      <w:bookmarkEnd w:id="196"/>
      <w:bookmarkEnd w:id="197"/>
      <w:bookmarkEnd w:id="198"/>
      <w:bookmarkEnd w:id="199"/>
      <w:bookmarkEnd w:id="200"/>
      <w:bookmarkEnd w:id="201"/>
      <w:r w:rsidRPr="009A5F5E">
        <w:t>processes</w:t>
      </w:r>
      <w:bookmarkEnd w:id="202"/>
      <w:bookmarkEnd w:id="203"/>
    </w:p>
    <w:p w14:paraId="6B423C49" w14:textId="77777777" w:rsidR="00834D51" w:rsidRPr="009A5F5E" w:rsidRDefault="00834D51" w:rsidP="00834D51">
      <w:pPr>
        <w:pStyle w:val="Heading2"/>
      </w:pPr>
      <w:bookmarkStart w:id="204" w:name="_Toc167109436"/>
      <w:bookmarkStart w:id="205" w:name="_Toc166066936"/>
      <w:bookmarkStart w:id="206" w:name="_Toc166068352"/>
      <w:bookmarkStart w:id="207" w:name="_Toc166068564"/>
      <w:bookmarkStart w:id="208" w:name="_Toc166069523"/>
      <w:bookmarkStart w:id="209" w:name="_Toc166069570"/>
      <w:bookmarkStart w:id="210" w:name="_Toc166136586"/>
      <w:bookmarkStart w:id="211" w:name="_Toc170120005"/>
      <w:bookmarkStart w:id="212" w:name="_Toc170817147"/>
      <w:bookmarkStart w:id="213" w:name="_Toc212118228"/>
      <w:bookmarkStart w:id="214" w:name="_Hlk165568318"/>
      <w:r w:rsidRPr="009A5F5E">
        <w:t>Practice opt-out</w:t>
      </w:r>
      <w:bookmarkEnd w:id="204"/>
      <w:bookmarkEnd w:id="205"/>
      <w:bookmarkEnd w:id="206"/>
      <w:bookmarkEnd w:id="207"/>
      <w:bookmarkEnd w:id="208"/>
      <w:bookmarkEnd w:id="209"/>
      <w:bookmarkEnd w:id="210"/>
      <w:bookmarkEnd w:id="211"/>
      <w:bookmarkEnd w:id="212"/>
      <w:bookmarkEnd w:id="213"/>
    </w:p>
    <w:p w14:paraId="670FAC9C" w14:textId="77777777" w:rsidR="00834D51" w:rsidRPr="009A5F5E" w:rsidRDefault="00834D51" w:rsidP="00834D51">
      <w:pPr>
        <w:spacing w:before="120" w:after="120" w:line="276" w:lineRule="auto"/>
        <w:rPr>
          <w:rFonts w:eastAsia="Times New Roman"/>
        </w:rPr>
      </w:pPr>
      <w:bookmarkStart w:id="215" w:name="_Hlk167962835"/>
      <w:r w:rsidRPr="009A5F5E">
        <w:rPr>
          <w:rFonts w:eastAsia="Times New Roman"/>
        </w:rPr>
        <w:t>Participation in the GPACI</w:t>
      </w:r>
      <w:r w:rsidRPr="009A5F5E" w:rsidDel="00174732">
        <w:rPr>
          <w:rFonts w:eastAsia="Times New Roman"/>
        </w:rPr>
        <w:t xml:space="preserve"> </w:t>
      </w:r>
      <w:r w:rsidRPr="009A5F5E">
        <w:rPr>
          <w:rFonts w:eastAsia="Times New Roman"/>
        </w:rPr>
        <w:t xml:space="preserve">is voluntary; providers and practices can opt-out at any time. </w:t>
      </w:r>
      <w:bookmarkEnd w:id="215"/>
      <w:r w:rsidRPr="009A5F5E">
        <w:rPr>
          <w:rFonts w:eastAsia="Times New Roman"/>
        </w:rPr>
        <w:t xml:space="preserve">Opting out may affect future payments to the practice and provider. Practices and providers can opt back in should they choose to recommence participating in the GPACI in the future. </w:t>
      </w:r>
    </w:p>
    <w:p w14:paraId="5F5DD2AF" w14:textId="77777777" w:rsidR="00834D51" w:rsidRPr="009A5F5E" w:rsidRDefault="00834D51" w:rsidP="00834D51">
      <w:pPr>
        <w:spacing w:before="120" w:after="120" w:line="276" w:lineRule="auto"/>
        <w:rPr>
          <w:rFonts w:eastAsia="Times New Roman"/>
        </w:rPr>
      </w:pPr>
      <w:r w:rsidRPr="009A5F5E">
        <w:rPr>
          <w:rFonts w:eastAsia="Times New Roman"/>
        </w:rPr>
        <w:lastRenderedPageBreak/>
        <w:t>If practices or providers withdraw from MyMedicare, they are no longer eligible for MyMedicare Incentive payments, and their registered patients are withdrawn from the MyMedicare GPACI program. Linking a patient to a new Responsible Provider maintains their participation in the GPACI.</w:t>
      </w:r>
    </w:p>
    <w:p w14:paraId="2D6860A3" w14:textId="77777777" w:rsidR="00834D51" w:rsidRPr="009A5F5E" w:rsidRDefault="00834D51" w:rsidP="00834D51">
      <w:pPr>
        <w:pStyle w:val="Heading2"/>
      </w:pPr>
      <w:bookmarkStart w:id="216" w:name="_Toc166066937"/>
      <w:bookmarkStart w:id="217" w:name="_Toc166068353"/>
      <w:bookmarkStart w:id="218" w:name="_Toc166068565"/>
      <w:bookmarkStart w:id="219" w:name="_Toc166069524"/>
      <w:bookmarkStart w:id="220" w:name="_Toc166069571"/>
      <w:bookmarkStart w:id="221" w:name="_Toc166136587"/>
      <w:bookmarkStart w:id="222" w:name="_Toc167109437"/>
      <w:bookmarkStart w:id="223" w:name="_Toc170120006"/>
      <w:bookmarkStart w:id="224" w:name="_Toc170817148"/>
      <w:bookmarkStart w:id="225" w:name="_Toc212118229"/>
      <w:bookmarkStart w:id="226" w:name="_Hlk183094695"/>
      <w:r w:rsidRPr="009A5F5E">
        <w:t>Patient withdrawal</w:t>
      </w:r>
      <w:bookmarkEnd w:id="216"/>
      <w:bookmarkEnd w:id="217"/>
      <w:bookmarkEnd w:id="218"/>
      <w:bookmarkEnd w:id="219"/>
      <w:bookmarkEnd w:id="220"/>
      <w:bookmarkEnd w:id="221"/>
      <w:bookmarkEnd w:id="222"/>
      <w:bookmarkEnd w:id="223"/>
      <w:bookmarkEnd w:id="224"/>
      <w:bookmarkEnd w:id="225"/>
    </w:p>
    <w:p w14:paraId="1850179F" w14:textId="77777777" w:rsidR="00834D51" w:rsidRPr="009A5F5E" w:rsidRDefault="00834D51" w:rsidP="00834D51">
      <w:pPr>
        <w:spacing w:before="120" w:after="120" w:line="276" w:lineRule="auto"/>
        <w:rPr>
          <w:rFonts w:eastAsia="Times New Roman"/>
        </w:rPr>
      </w:pPr>
      <w:r w:rsidRPr="009A5F5E">
        <w:rPr>
          <w:rFonts w:eastAsia="Times New Roman"/>
        </w:rPr>
        <w:t>A patient can withdraw from the GPACI at any time. To withdraw, a patient or a legally responsible person is required to request their practice to withdraw them from the program. Practices are required to withdraw a patient at their earliest opportunity after receiving a withdrawal request or notification of the death of a patient.</w:t>
      </w:r>
    </w:p>
    <w:bookmarkEnd w:id="226"/>
    <w:p w14:paraId="07043A9D" w14:textId="4F271DF4" w:rsidR="00834D51" w:rsidRPr="009A5F5E" w:rsidRDefault="00834D51" w:rsidP="00277781">
      <w:pPr>
        <w:spacing w:before="120" w:after="120" w:line="276" w:lineRule="auto"/>
        <w:rPr>
          <w:rFonts w:eastAsia="Times New Roman"/>
        </w:rPr>
      </w:pPr>
      <w:r w:rsidRPr="009A5F5E">
        <w:rPr>
          <w:rFonts w:eastAsia="Times New Roman"/>
        </w:rPr>
        <w:t>Patient withdrawal from MyMedicare will also result in the withdrawal of a patient from the GPACI. Re-registering in MyMedicare and linking a patient to a new Responsible Provider will enable the restoration of their participation in the GPACI.</w:t>
      </w:r>
      <w:bookmarkEnd w:id="214"/>
    </w:p>
    <w:p w14:paraId="07A887F1" w14:textId="156673C1" w:rsidR="00817CB4" w:rsidRPr="009A5F5E" w:rsidRDefault="00CC19F4" w:rsidP="00C47885">
      <w:pPr>
        <w:pStyle w:val="GuidelinesHeading"/>
      </w:pPr>
      <w:bookmarkStart w:id="227" w:name="_Toc212118230"/>
      <w:r w:rsidRPr="009A5F5E">
        <w:t xml:space="preserve">Funding </w:t>
      </w:r>
      <w:r w:rsidR="00070327" w:rsidRPr="009A5F5E">
        <w:t>amount</w:t>
      </w:r>
      <w:r w:rsidRPr="009A5F5E">
        <w:t>s</w:t>
      </w:r>
      <w:r w:rsidR="00070327" w:rsidRPr="009A5F5E">
        <w:t xml:space="preserve"> and period</w:t>
      </w:r>
      <w:r w:rsidRPr="009A5F5E">
        <w:t>s</w:t>
      </w:r>
      <w:bookmarkEnd w:id="227"/>
    </w:p>
    <w:p w14:paraId="16A8FCAA" w14:textId="14896905" w:rsidR="00531417" w:rsidRPr="009A5F5E" w:rsidRDefault="00CC19F4" w:rsidP="00531417">
      <w:pPr>
        <w:pStyle w:val="Heading3"/>
      </w:pPr>
      <w:bookmarkStart w:id="228" w:name="_Toc206509236"/>
      <w:bookmarkStart w:id="229" w:name="_Toc166066949"/>
      <w:bookmarkStart w:id="230" w:name="_Toc166068365"/>
      <w:bookmarkStart w:id="231" w:name="_Toc166068577"/>
      <w:bookmarkStart w:id="232" w:name="_Toc166069536"/>
      <w:bookmarkStart w:id="233" w:name="_Toc166069583"/>
      <w:bookmarkStart w:id="234" w:name="_Toc166136599"/>
      <w:bookmarkStart w:id="235" w:name="_Toc167109446"/>
      <w:bookmarkStart w:id="236" w:name="_Toc170120018"/>
      <w:bookmarkStart w:id="237" w:name="_Toc170817159"/>
      <w:r w:rsidRPr="009A5F5E">
        <w:t>Funding</w:t>
      </w:r>
      <w:r w:rsidR="00531417" w:rsidRPr="009A5F5E">
        <w:t xml:space="preserve"> available</w:t>
      </w:r>
      <w:bookmarkEnd w:id="228"/>
    </w:p>
    <w:p w14:paraId="6BF1CFA2" w14:textId="3B6B42DF" w:rsidR="00531417" w:rsidRPr="009A5F5E" w:rsidRDefault="00531417" w:rsidP="4BCE849E">
      <w:pPr>
        <w:spacing w:before="80"/>
        <w:rPr>
          <w:rFonts w:cs="Arial"/>
        </w:rPr>
      </w:pPr>
      <w:r w:rsidRPr="009A5F5E">
        <w:rPr>
          <w:rFonts w:cs="Arial"/>
        </w:rPr>
        <w:t xml:space="preserve">The Australian Government has announced a total of $88.2 million over </w:t>
      </w:r>
      <w:r w:rsidR="04F84827" w:rsidRPr="009A5F5E">
        <w:rPr>
          <w:rFonts w:cs="Arial"/>
        </w:rPr>
        <w:t xml:space="preserve">2025-26 and 2026-27 </w:t>
      </w:r>
      <w:r w:rsidRPr="009A5F5E">
        <w:rPr>
          <w:rFonts w:cs="Arial"/>
        </w:rPr>
        <w:t xml:space="preserve">for the </w:t>
      </w:r>
      <w:r w:rsidR="00781C8B" w:rsidRPr="009A5F5E">
        <w:rPr>
          <w:rFonts w:cs="Arial"/>
        </w:rPr>
        <w:t>GPACI</w:t>
      </w:r>
      <w:r w:rsidRPr="009A5F5E">
        <w:rPr>
          <w:rFonts w:cs="Arial"/>
        </w:rPr>
        <w:t xml:space="preserve">. </w:t>
      </w:r>
    </w:p>
    <w:p w14:paraId="69696622" w14:textId="478A514A" w:rsidR="00DF0068" w:rsidRPr="009A5F5E" w:rsidRDefault="00DF0068" w:rsidP="00531417">
      <w:pPr>
        <w:spacing w:before="80"/>
        <w:rPr>
          <w:rFonts w:cs="Arial"/>
        </w:rPr>
      </w:pPr>
      <w:r w:rsidRPr="009A5F5E">
        <w:rPr>
          <w:rFonts w:cs="Arial"/>
        </w:rPr>
        <w:t xml:space="preserve">Table </w:t>
      </w:r>
      <w:r w:rsidR="28BC9C39" w:rsidRPr="009A5F5E">
        <w:rPr>
          <w:rFonts w:cs="Arial"/>
        </w:rPr>
        <w:t>1</w:t>
      </w:r>
      <w:r w:rsidRPr="009A5F5E">
        <w:rPr>
          <w:rFonts w:cs="Arial"/>
        </w:rPr>
        <w:t>: Funding Available (GST exclusive)</w:t>
      </w:r>
    </w:p>
    <w:tbl>
      <w:tblPr>
        <w:tblStyle w:val="TableGridLight"/>
        <w:tblW w:w="5000" w:type="pct"/>
        <w:tblLook w:val="04A0" w:firstRow="1" w:lastRow="0" w:firstColumn="1" w:lastColumn="0" w:noHBand="0" w:noVBand="1"/>
        <w:tblCaption w:val="Table 2: Grant Opportunity Funding Available"/>
        <w:tblDescription w:val="Grant Opportunity funding available over financial years (GST exclusive)."/>
      </w:tblPr>
      <w:tblGrid>
        <w:gridCol w:w="3288"/>
        <w:gridCol w:w="3284"/>
        <w:gridCol w:w="3282"/>
      </w:tblGrid>
      <w:tr w:rsidR="00DF0068" w:rsidRPr="009A5F5E" w14:paraId="00EFA4E4" w14:textId="77777777">
        <w:trPr>
          <w:trHeight w:val="788"/>
          <w:tblHeader/>
        </w:trPr>
        <w:tc>
          <w:tcPr>
            <w:tcW w:w="1668" w:type="pct"/>
            <w:shd w:val="clear" w:color="auto" w:fill="F2F2F2" w:themeFill="background1" w:themeFillShade="F2"/>
          </w:tcPr>
          <w:p w14:paraId="43D1890E" w14:textId="77777777" w:rsidR="00DF0068" w:rsidRPr="009A5F5E" w:rsidRDefault="00DF0068">
            <w:pPr>
              <w:spacing w:before="80" w:after="80"/>
              <w:jc w:val="center"/>
              <w:rPr>
                <w:rFonts w:cs="Arial"/>
                <w:szCs w:val="22"/>
              </w:rPr>
            </w:pPr>
            <w:r w:rsidRPr="009A5F5E">
              <w:rPr>
                <w:rFonts w:cs="Arial"/>
                <w:szCs w:val="22"/>
              </w:rPr>
              <w:t>2025-26 FY</w:t>
            </w:r>
          </w:p>
          <w:p w14:paraId="5883AD22" w14:textId="77777777" w:rsidR="00DF0068" w:rsidRPr="009A5F5E" w:rsidRDefault="00DF0068">
            <w:pPr>
              <w:spacing w:before="80" w:after="80"/>
              <w:jc w:val="center"/>
              <w:rPr>
                <w:rFonts w:cs="Arial"/>
                <w:szCs w:val="22"/>
              </w:rPr>
            </w:pPr>
            <w:r w:rsidRPr="009A5F5E">
              <w:rPr>
                <w:rFonts w:cs="Arial"/>
                <w:szCs w:val="22"/>
              </w:rPr>
              <w:t>$ M</w:t>
            </w:r>
          </w:p>
        </w:tc>
        <w:tc>
          <w:tcPr>
            <w:tcW w:w="1666" w:type="pct"/>
            <w:shd w:val="clear" w:color="auto" w:fill="F2F2F2" w:themeFill="background1" w:themeFillShade="F2"/>
          </w:tcPr>
          <w:p w14:paraId="4E95E364" w14:textId="77777777" w:rsidR="00DF0068" w:rsidRPr="009A5F5E" w:rsidRDefault="00DF0068">
            <w:pPr>
              <w:spacing w:before="80" w:after="80"/>
              <w:jc w:val="center"/>
              <w:rPr>
                <w:rFonts w:cs="Arial"/>
                <w:szCs w:val="22"/>
              </w:rPr>
            </w:pPr>
            <w:r w:rsidRPr="009A5F5E">
              <w:rPr>
                <w:rFonts w:cs="Arial"/>
                <w:szCs w:val="22"/>
              </w:rPr>
              <w:t>2026-27 FY</w:t>
            </w:r>
          </w:p>
          <w:p w14:paraId="67415EB3" w14:textId="77777777" w:rsidR="00DF0068" w:rsidRPr="009A5F5E" w:rsidRDefault="00DF0068">
            <w:pPr>
              <w:spacing w:before="80" w:after="80"/>
              <w:jc w:val="center"/>
              <w:rPr>
                <w:rFonts w:cs="Arial"/>
                <w:szCs w:val="22"/>
              </w:rPr>
            </w:pPr>
            <w:r w:rsidRPr="009A5F5E">
              <w:rPr>
                <w:rFonts w:cs="Arial"/>
                <w:szCs w:val="22"/>
              </w:rPr>
              <w:t>$ M</w:t>
            </w:r>
          </w:p>
        </w:tc>
        <w:tc>
          <w:tcPr>
            <w:tcW w:w="1665" w:type="pct"/>
            <w:shd w:val="clear" w:color="auto" w:fill="F2F2F2" w:themeFill="background1" w:themeFillShade="F2"/>
          </w:tcPr>
          <w:p w14:paraId="51DADE08" w14:textId="77777777" w:rsidR="00DF0068" w:rsidRPr="009A5F5E" w:rsidRDefault="00DF0068">
            <w:pPr>
              <w:spacing w:before="80" w:after="80"/>
              <w:jc w:val="center"/>
              <w:rPr>
                <w:rFonts w:cs="Arial"/>
                <w:b/>
                <w:szCs w:val="22"/>
              </w:rPr>
            </w:pPr>
            <w:r w:rsidRPr="009A5F5E">
              <w:rPr>
                <w:rFonts w:cs="Arial"/>
                <w:b/>
                <w:szCs w:val="22"/>
              </w:rPr>
              <w:t>Total</w:t>
            </w:r>
          </w:p>
          <w:p w14:paraId="5484AD0D" w14:textId="77777777" w:rsidR="00DF0068" w:rsidRPr="009A5F5E" w:rsidRDefault="00DF0068">
            <w:pPr>
              <w:spacing w:before="80" w:after="80"/>
              <w:jc w:val="center"/>
              <w:rPr>
                <w:rFonts w:cs="Arial"/>
                <w:b/>
                <w:szCs w:val="22"/>
              </w:rPr>
            </w:pPr>
            <w:r w:rsidRPr="009A5F5E">
              <w:rPr>
                <w:rFonts w:cs="Arial"/>
                <w:b/>
                <w:szCs w:val="22"/>
              </w:rPr>
              <w:t>$ M</w:t>
            </w:r>
          </w:p>
        </w:tc>
      </w:tr>
      <w:tr w:rsidR="00DF0068" w:rsidRPr="009A5F5E" w14:paraId="0FA8E533" w14:textId="77777777">
        <w:trPr>
          <w:trHeight w:val="434"/>
        </w:trPr>
        <w:tc>
          <w:tcPr>
            <w:tcW w:w="1668" w:type="pct"/>
          </w:tcPr>
          <w:p w14:paraId="04957827" w14:textId="77777777" w:rsidR="00DF0068" w:rsidRPr="009A5F5E" w:rsidRDefault="00DF0068">
            <w:pPr>
              <w:spacing w:before="80" w:after="80"/>
              <w:jc w:val="center"/>
              <w:rPr>
                <w:rFonts w:cs="Arial"/>
                <w:szCs w:val="22"/>
              </w:rPr>
            </w:pPr>
            <w:r w:rsidRPr="009A5F5E">
              <w:rPr>
                <w:rFonts w:cs="Arial"/>
                <w:szCs w:val="22"/>
              </w:rPr>
              <w:t>42.2</w:t>
            </w:r>
          </w:p>
        </w:tc>
        <w:tc>
          <w:tcPr>
            <w:tcW w:w="1666" w:type="pct"/>
          </w:tcPr>
          <w:p w14:paraId="752F21EB" w14:textId="77777777" w:rsidR="00DF0068" w:rsidRPr="009A5F5E" w:rsidRDefault="00DF0068">
            <w:pPr>
              <w:spacing w:before="80" w:after="80"/>
              <w:jc w:val="center"/>
              <w:rPr>
                <w:rFonts w:cs="Arial"/>
                <w:szCs w:val="22"/>
              </w:rPr>
            </w:pPr>
            <w:r w:rsidRPr="009A5F5E">
              <w:rPr>
                <w:rFonts w:cs="Arial"/>
                <w:szCs w:val="22"/>
              </w:rPr>
              <w:t>46.0</w:t>
            </w:r>
          </w:p>
        </w:tc>
        <w:tc>
          <w:tcPr>
            <w:tcW w:w="1665" w:type="pct"/>
          </w:tcPr>
          <w:p w14:paraId="2C353116" w14:textId="77777777" w:rsidR="00DF0068" w:rsidRPr="009A5F5E" w:rsidRDefault="00DF0068">
            <w:pPr>
              <w:spacing w:before="80" w:after="80"/>
              <w:jc w:val="center"/>
              <w:rPr>
                <w:rFonts w:cs="Arial"/>
                <w:b/>
                <w:szCs w:val="22"/>
              </w:rPr>
            </w:pPr>
            <w:r w:rsidRPr="009A5F5E">
              <w:rPr>
                <w:rFonts w:cs="Arial"/>
                <w:b/>
                <w:szCs w:val="22"/>
              </w:rPr>
              <w:t>88.2</w:t>
            </w:r>
          </w:p>
        </w:tc>
      </w:tr>
    </w:tbl>
    <w:p w14:paraId="5EA4E38D" w14:textId="41244044" w:rsidR="00523D78" w:rsidRPr="009A5F5E" w:rsidRDefault="00523D78" w:rsidP="00523D78">
      <w:pPr>
        <w:spacing w:after="120"/>
      </w:pPr>
      <w:bookmarkStart w:id="238" w:name="_Toc206509237"/>
      <w:r w:rsidRPr="009A5F5E">
        <w:t xml:space="preserve">These amounts are indicative only and </w:t>
      </w:r>
      <w:r w:rsidR="1B711999" w:rsidRPr="009A5F5E">
        <w:t>actual annual</w:t>
      </w:r>
      <w:r w:rsidRPr="009A5F5E">
        <w:t xml:space="preserve"> funding will be determined by the achievement of servicing requirements.</w:t>
      </w:r>
    </w:p>
    <w:p w14:paraId="2CC81EB4" w14:textId="43ED13A2" w:rsidR="009372F0" w:rsidRPr="009A5F5E" w:rsidRDefault="00ED4947" w:rsidP="009C1732">
      <w:pPr>
        <w:pStyle w:val="Heading3"/>
        <w:numPr>
          <w:ilvl w:val="0"/>
          <w:numId w:val="0"/>
        </w:numPr>
      </w:pPr>
      <w:r w:rsidRPr="009A5F5E">
        <w:t xml:space="preserve">Funding </w:t>
      </w:r>
      <w:r w:rsidR="009372F0" w:rsidRPr="009A5F5E">
        <w:t>period</w:t>
      </w:r>
      <w:bookmarkEnd w:id="238"/>
    </w:p>
    <w:p w14:paraId="5226186E" w14:textId="7FF152B8" w:rsidR="006C794F" w:rsidRPr="009A5F5E" w:rsidRDefault="00BE2DB8" w:rsidP="00531417">
      <w:pPr>
        <w:spacing w:before="80"/>
        <w:rPr>
          <w:rFonts w:cs="Arial"/>
          <w:szCs w:val="22"/>
        </w:rPr>
      </w:pPr>
      <w:r w:rsidRPr="009A5F5E">
        <w:rPr>
          <w:szCs w:val="22"/>
        </w:rPr>
        <w:t xml:space="preserve">Eligible payments will continue </w:t>
      </w:r>
      <w:r w:rsidR="0099320F" w:rsidRPr="009A5F5E">
        <w:rPr>
          <w:szCs w:val="22"/>
        </w:rPr>
        <w:t>unless</w:t>
      </w:r>
      <w:r w:rsidR="006C794F" w:rsidRPr="009A5F5E">
        <w:rPr>
          <w:szCs w:val="22"/>
        </w:rPr>
        <w:t xml:space="preserve"> the practice </w:t>
      </w:r>
      <w:r w:rsidR="0099320F" w:rsidRPr="009A5F5E">
        <w:rPr>
          <w:szCs w:val="22"/>
        </w:rPr>
        <w:t xml:space="preserve">chooses to </w:t>
      </w:r>
      <w:r w:rsidR="006C794F" w:rsidRPr="009A5F5E">
        <w:rPr>
          <w:szCs w:val="22"/>
        </w:rPr>
        <w:t>opt</w:t>
      </w:r>
      <w:r w:rsidR="00ED4947" w:rsidRPr="009A5F5E">
        <w:rPr>
          <w:szCs w:val="22"/>
        </w:rPr>
        <w:t>-</w:t>
      </w:r>
      <w:r w:rsidR="006C794F" w:rsidRPr="009A5F5E">
        <w:rPr>
          <w:szCs w:val="22"/>
        </w:rPr>
        <w:t xml:space="preserve">out of the </w:t>
      </w:r>
      <w:r w:rsidR="00781C8B" w:rsidRPr="009A5F5E">
        <w:rPr>
          <w:szCs w:val="22"/>
        </w:rPr>
        <w:t>GPACI</w:t>
      </w:r>
      <w:r w:rsidR="006C794F" w:rsidRPr="009A5F5E">
        <w:rPr>
          <w:szCs w:val="22"/>
        </w:rPr>
        <w:t xml:space="preserve">. </w:t>
      </w:r>
      <w:r w:rsidR="00993FBF" w:rsidRPr="009A5F5E">
        <w:rPr>
          <w:szCs w:val="22"/>
        </w:rPr>
        <w:t xml:space="preserve">Each new </w:t>
      </w:r>
      <w:proofErr w:type="gramStart"/>
      <w:r w:rsidR="00993FBF" w:rsidRPr="009A5F5E">
        <w:rPr>
          <w:szCs w:val="22"/>
        </w:rPr>
        <w:t>12 month</w:t>
      </w:r>
      <w:proofErr w:type="gramEnd"/>
      <w:r w:rsidR="00993FBF" w:rsidRPr="009A5F5E">
        <w:rPr>
          <w:szCs w:val="22"/>
        </w:rPr>
        <w:t xml:space="preserve"> cycle, marked by the commencement of servicing requirements, will be treated as the beginning of a new agreement</w:t>
      </w:r>
      <w:r w:rsidR="00ED4947" w:rsidRPr="009A5F5E">
        <w:rPr>
          <w:szCs w:val="22"/>
        </w:rPr>
        <w:t xml:space="preserve"> with the Commonwealth</w:t>
      </w:r>
      <w:r w:rsidR="009E4BC1" w:rsidRPr="009A5F5E">
        <w:rPr>
          <w:szCs w:val="22"/>
        </w:rPr>
        <w:t xml:space="preserve">. </w:t>
      </w:r>
    </w:p>
    <w:p w14:paraId="6773CB9D" w14:textId="77777777" w:rsidR="00817CB4" w:rsidRPr="009A5F5E" w:rsidRDefault="758819B6" w:rsidP="001F7637">
      <w:pPr>
        <w:pStyle w:val="Heading2"/>
      </w:pPr>
      <w:bookmarkStart w:id="239" w:name="_Toc212118231"/>
      <w:r w:rsidRPr="009A5F5E">
        <w:t>Payment eligibility</w:t>
      </w:r>
      <w:bookmarkEnd w:id="229"/>
      <w:bookmarkEnd w:id="230"/>
      <w:bookmarkEnd w:id="231"/>
      <w:bookmarkEnd w:id="232"/>
      <w:bookmarkEnd w:id="233"/>
      <w:bookmarkEnd w:id="234"/>
      <w:bookmarkEnd w:id="235"/>
      <w:bookmarkEnd w:id="236"/>
      <w:bookmarkEnd w:id="237"/>
      <w:bookmarkEnd w:id="239"/>
    </w:p>
    <w:p w14:paraId="60574689" w14:textId="32B474C8" w:rsidR="00817CB4" w:rsidRPr="009A5F5E" w:rsidRDefault="00817CB4" w:rsidP="00817CB4">
      <w:pPr>
        <w:spacing w:before="120" w:after="120" w:line="276" w:lineRule="auto"/>
        <w:rPr>
          <w:rFonts w:eastAsia="Times New Roman"/>
        </w:rPr>
      </w:pPr>
      <w:r w:rsidRPr="009A5F5E">
        <w:rPr>
          <w:rFonts w:eastAsia="Times New Roman"/>
        </w:rPr>
        <w:t xml:space="preserve">In any given assessment period, to be eligible to receive incentive payments, providers and practices must meet the </w:t>
      </w:r>
      <w:r w:rsidR="00781C8B" w:rsidRPr="009A5F5E">
        <w:rPr>
          <w:rFonts w:eastAsia="Times New Roman"/>
        </w:rPr>
        <w:t>GPACI</w:t>
      </w:r>
      <w:r w:rsidRPr="009A5F5E">
        <w:rPr>
          <w:rFonts w:eastAsia="Times New Roman"/>
        </w:rPr>
        <w:t>:</w:t>
      </w:r>
    </w:p>
    <w:p w14:paraId="0F39E351" w14:textId="7C3E3AC6" w:rsidR="00817CB4" w:rsidRPr="009A5F5E" w:rsidRDefault="00817CB4" w:rsidP="48E88A4B">
      <w:pPr>
        <w:pStyle w:val="ListBullet"/>
        <w:tabs>
          <w:tab w:val="clear" w:pos="360"/>
          <w:tab w:val="left" w:pos="340"/>
          <w:tab w:val="left" w:pos="680"/>
        </w:tabs>
        <w:spacing w:before="60" w:after="60" w:line="276" w:lineRule="auto"/>
      </w:pPr>
      <w:r w:rsidRPr="009A5F5E">
        <w:t>eligibility criteria</w:t>
      </w:r>
      <w:r w:rsidR="43FF2915" w:rsidRPr="009A5F5E">
        <w:t>.</w:t>
      </w:r>
    </w:p>
    <w:p w14:paraId="3AD26355"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servicing requirements for the assessment period.</w:t>
      </w:r>
    </w:p>
    <w:p w14:paraId="3439839B" w14:textId="77777777" w:rsidR="00817CB4" w:rsidRPr="009A5F5E" w:rsidRDefault="758819B6" w:rsidP="001F7637">
      <w:pPr>
        <w:pStyle w:val="Heading2"/>
      </w:pPr>
      <w:bookmarkStart w:id="240" w:name="_Toc166066950"/>
      <w:bookmarkStart w:id="241" w:name="_Toc166068366"/>
      <w:bookmarkStart w:id="242" w:name="_Toc166068578"/>
      <w:bookmarkStart w:id="243" w:name="_Toc166069537"/>
      <w:bookmarkStart w:id="244" w:name="_Toc166069584"/>
      <w:bookmarkStart w:id="245" w:name="_Toc166136600"/>
      <w:bookmarkStart w:id="246" w:name="_Toc167109447"/>
      <w:bookmarkStart w:id="247" w:name="_Toc170120019"/>
      <w:bookmarkStart w:id="248" w:name="_Toc170817160"/>
      <w:bookmarkStart w:id="249" w:name="_Toc212118232"/>
      <w:r w:rsidRPr="009A5F5E">
        <w:t>Payment amounts</w:t>
      </w:r>
      <w:bookmarkEnd w:id="240"/>
      <w:bookmarkEnd w:id="241"/>
      <w:bookmarkEnd w:id="242"/>
      <w:bookmarkEnd w:id="243"/>
      <w:bookmarkEnd w:id="244"/>
      <w:bookmarkEnd w:id="245"/>
      <w:bookmarkEnd w:id="246"/>
      <w:bookmarkEnd w:id="247"/>
      <w:bookmarkEnd w:id="248"/>
      <w:bookmarkEnd w:id="249"/>
    </w:p>
    <w:p w14:paraId="1D7A8EFA" w14:textId="67337A14" w:rsidR="00817CB4" w:rsidRPr="009A5F5E" w:rsidRDefault="00817CB4" w:rsidP="00817CB4">
      <w:pPr>
        <w:spacing w:before="120" w:after="120" w:line="276" w:lineRule="auto"/>
        <w:rPr>
          <w:rFonts w:eastAsia="Times New Roman"/>
        </w:rPr>
      </w:pPr>
      <w:r w:rsidRPr="009A5F5E">
        <w:rPr>
          <w:rFonts w:eastAsia="Times New Roman"/>
        </w:rPr>
        <w:t xml:space="preserve">Practices and providers eligible for the </w:t>
      </w:r>
      <w:r w:rsidR="00781C8B" w:rsidRPr="009A5F5E">
        <w:rPr>
          <w:rFonts w:eastAsia="Times New Roman"/>
        </w:rPr>
        <w:t>GPACI</w:t>
      </w:r>
      <w:r w:rsidRPr="009A5F5E" w:rsidDel="00174732">
        <w:rPr>
          <w:rFonts w:eastAsia="Times New Roman"/>
        </w:rPr>
        <w:t xml:space="preserve"> </w:t>
      </w:r>
      <w:r w:rsidRPr="009A5F5E">
        <w:rPr>
          <w:rFonts w:eastAsia="Times New Roman"/>
        </w:rPr>
        <w:t>payment</w:t>
      </w:r>
      <w:r w:rsidRPr="009A5F5E">
        <w:rPr>
          <w:rFonts w:eastAsia="Times New Roman"/>
          <w:vertAlign w:val="superscript"/>
        </w:rPr>
        <w:footnoteReference w:id="9"/>
      </w:r>
      <w:r w:rsidRPr="009A5F5E">
        <w:rPr>
          <w:rFonts w:eastAsia="Times New Roman"/>
        </w:rPr>
        <w:t xml:space="preserve"> </w:t>
      </w:r>
      <w:r w:rsidR="00262DE2" w:rsidRPr="009A5F5E">
        <w:rPr>
          <w:rFonts w:eastAsia="Times New Roman"/>
        </w:rPr>
        <w:t>are</w:t>
      </w:r>
      <w:r w:rsidRPr="009A5F5E">
        <w:rPr>
          <w:rFonts w:eastAsia="Times New Roman"/>
        </w:rPr>
        <w:t xml:space="preserve"> paid: </w:t>
      </w:r>
    </w:p>
    <w:p w14:paraId="01CBD31B" w14:textId="06EF283C" w:rsidR="00817CB4" w:rsidRPr="009A5F5E" w:rsidRDefault="6F20E253" w:rsidP="690F3BC6">
      <w:pPr>
        <w:pStyle w:val="ListBullet"/>
        <w:tabs>
          <w:tab w:val="clear" w:pos="360"/>
          <w:tab w:val="left" w:pos="340"/>
          <w:tab w:val="left" w:pos="680"/>
        </w:tabs>
        <w:spacing w:before="60" w:after="60" w:line="276" w:lineRule="auto"/>
        <w:contextualSpacing w:val="0"/>
      </w:pPr>
      <w:r w:rsidRPr="009A5F5E">
        <w:rPr>
          <w:b/>
          <w:bCs/>
        </w:rPr>
        <w:t>$300 per patient</w:t>
      </w:r>
      <w:r w:rsidRPr="009A5F5E">
        <w:t>, per year</w:t>
      </w:r>
      <w:r w:rsidR="236FB3B4" w:rsidRPr="009A5F5E">
        <w:t xml:space="preserve"> (75 per patient, per quarter)</w:t>
      </w:r>
      <w:r w:rsidRPr="009A5F5E">
        <w:t>, paid to the Responsible Provider.</w:t>
      </w:r>
    </w:p>
    <w:p w14:paraId="036E74D3" w14:textId="1FE73993" w:rsidR="00817CB4" w:rsidRPr="009A5F5E" w:rsidRDefault="00817CB4" w:rsidP="2F031D07">
      <w:pPr>
        <w:pStyle w:val="ListBullet"/>
        <w:tabs>
          <w:tab w:val="clear" w:pos="360"/>
          <w:tab w:val="left" w:pos="340"/>
          <w:tab w:val="left" w:pos="680"/>
        </w:tabs>
        <w:spacing w:before="60" w:after="60" w:line="276" w:lineRule="auto"/>
      </w:pPr>
      <w:r w:rsidRPr="009A5F5E">
        <w:rPr>
          <w:b/>
          <w:bCs/>
        </w:rPr>
        <w:lastRenderedPageBreak/>
        <w:t>$130 per patient</w:t>
      </w:r>
      <w:r w:rsidRPr="009A5F5E">
        <w:t>, per year</w:t>
      </w:r>
      <w:r w:rsidR="00C82C3A" w:rsidRPr="009A5F5E">
        <w:t xml:space="preserve"> ($32.50 per patient, per quarter)</w:t>
      </w:r>
      <w:r w:rsidRPr="009A5F5E">
        <w:t>, paid to the practice.</w:t>
      </w:r>
    </w:p>
    <w:p w14:paraId="3F84771B" w14:textId="5B233E59" w:rsidR="00817CB4" w:rsidRPr="009A5F5E" w:rsidRDefault="00817CB4" w:rsidP="00817CB4">
      <w:pPr>
        <w:spacing w:before="120" w:after="120" w:line="276" w:lineRule="auto"/>
        <w:rPr>
          <w:rFonts w:eastAsia="Times New Roman"/>
        </w:rPr>
      </w:pPr>
      <w:r w:rsidRPr="009A5F5E">
        <w:rPr>
          <w:rFonts w:eastAsia="Times New Roman"/>
        </w:rPr>
        <w:t xml:space="preserve">The payments </w:t>
      </w:r>
      <w:r w:rsidR="00262DE2" w:rsidRPr="009A5F5E">
        <w:rPr>
          <w:rFonts w:eastAsia="Times New Roman"/>
        </w:rPr>
        <w:t>are</w:t>
      </w:r>
      <w:r w:rsidRPr="009A5F5E">
        <w:rPr>
          <w:rFonts w:eastAsia="Times New Roman"/>
        </w:rPr>
        <w:t xml:space="preserve"> </w:t>
      </w:r>
      <w:r w:rsidR="000531B4" w:rsidRPr="009A5F5E">
        <w:rPr>
          <w:rFonts w:eastAsia="Times New Roman"/>
        </w:rPr>
        <w:t xml:space="preserve">made </w:t>
      </w:r>
      <w:r w:rsidRPr="009A5F5E">
        <w:rPr>
          <w:rFonts w:eastAsia="Times New Roman"/>
        </w:rPr>
        <w:t>quarterly, in addition to existing MBS and DVA funded services.</w:t>
      </w:r>
      <w:r w:rsidR="00C82C3A" w:rsidRPr="009A5F5E">
        <w:rPr>
          <w:rFonts w:eastAsia="Times New Roman"/>
        </w:rPr>
        <w:t xml:space="preserve"> </w:t>
      </w:r>
      <w:r w:rsidR="00781C8B" w:rsidRPr="009A5F5E">
        <w:rPr>
          <w:rFonts w:eastAsia="Times New Roman"/>
        </w:rPr>
        <w:t>GPACI</w:t>
      </w:r>
      <w:r w:rsidR="00C82C3A" w:rsidRPr="009A5F5E">
        <w:rPr>
          <w:rFonts w:eastAsia="Times New Roman"/>
        </w:rPr>
        <w:t xml:space="preserve"> payments are not subject to GST but are reportable for TPAR reporting - </w:t>
      </w:r>
      <w:hyperlink r:id="rId21" w:history="1">
        <w:r w:rsidR="00C82C3A" w:rsidRPr="009A5F5E">
          <w:rPr>
            <w:rStyle w:val="Hyperlink"/>
            <w:rFonts w:eastAsia="Times New Roman"/>
          </w:rPr>
          <w:t>Taxable payments annual report (TPAR) | Australian Taxation Office</w:t>
        </w:r>
      </w:hyperlink>
      <w:r w:rsidR="00C82C3A" w:rsidRPr="009A5F5E">
        <w:rPr>
          <w:rFonts w:eastAsia="Times New Roman"/>
        </w:rPr>
        <w:t>.</w:t>
      </w:r>
    </w:p>
    <w:p w14:paraId="57DA16F9" w14:textId="77777777" w:rsidR="00817CB4" w:rsidRPr="009A5F5E" w:rsidRDefault="00817CB4" w:rsidP="00817CB4">
      <w:pPr>
        <w:spacing w:before="120" w:after="120" w:line="276" w:lineRule="auto"/>
        <w:rPr>
          <w:rFonts w:eastAsia="Times New Roman"/>
        </w:rPr>
      </w:pPr>
      <w:r w:rsidRPr="009A5F5E">
        <w:rPr>
          <w:rFonts w:eastAsia="Times New Roman"/>
        </w:rPr>
        <w:t>It is at the discretion of the practice and Responsible Provider to determine if incentive payments are distributed to other members of the patient’s care team.</w:t>
      </w:r>
    </w:p>
    <w:p w14:paraId="37EF1ED8" w14:textId="1650A3F2" w:rsidR="00101371" w:rsidRPr="009A5F5E" w:rsidRDefault="00101371" w:rsidP="00817CB4">
      <w:pPr>
        <w:spacing w:before="120" w:after="120" w:line="276" w:lineRule="auto"/>
      </w:pPr>
      <w:r w:rsidRPr="009A5F5E">
        <w:t xml:space="preserve">In the event of an overpayment occurring during a previous quarter or quarters, future payments may be </w:t>
      </w:r>
      <w:r w:rsidR="002F3958" w:rsidRPr="009A5F5E">
        <w:t>reduced,</w:t>
      </w:r>
      <w:r w:rsidRPr="009A5F5E">
        <w:t xml:space="preserve"> or the overpayment may be recovered. See </w:t>
      </w:r>
      <w:r w:rsidR="00E8382E" w:rsidRPr="009A5F5E">
        <w:t>s</w:t>
      </w:r>
      <w:r w:rsidRPr="009A5F5E">
        <w:t xml:space="preserve">ection </w:t>
      </w:r>
      <w:r w:rsidR="0056662D">
        <w:t>8</w:t>
      </w:r>
      <w:r w:rsidRPr="009A5F5E">
        <w:t>.</w:t>
      </w:r>
      <w:r w:rsidR="0056662D">
        <w:t>2</w:t>
      </w:r>
      <w:r w:rsidRPr="009A5F5E">
        <w:t xml:space="preserve">.1 </w:t>
      </w:r>
      <w:r w:rsidR="00E8382E" w:rsidRPr="009A5F5E">
        <w:t xml:space="preserve">of these guidelines </w:t>
      </w:r>
      <w:r w:rsidRPr="009A5F5E">
        <w:t>for further information.</w:t>
      </w:r>
    </w:p>
    <w:p w14:paraId="64B026A5" w14:textId="77777777" w:rsidR="00817CB4" w:rsidRPr="009A5F5E" w:rsidRDefault="758819B6" w:rsidP="001F7637">
      <w:pPr>
        <w:pStyle w:val="Heading2"/>
      </w:pPr>
      <w:bookmarkStart w:id="250" w:name="_Toc166066951"/>
      <w:bookmarkStart w:id="251" w:name="_Toc166068367"/>
      <w:bookmarkStart w:id="252" w:name="_Toc166068579"/>
      <w:bookmarkStart w:id="253" w:name="_Toc166069538"/>
      <w:bookmarkStart w:id="254" w:name="_Toc166069585"/>
      <w:bookmarkStart w:id="255" w:name="_Toc166136601"/>
      <w:bookmarkStart w:id="256" w:name="_Toc167109448"/>
      <w:bookmarkStart w:id="257" w:name="_Toc170120020"/>
      <w:bookmarkStart w:id="258" w:name="_Toc170817161"/>
      <w:bookmarkStart w:id="259" w:name="_Toc212118233"/>
      <w:r w:rsidRPr="009A5F5E">
        <w:t>Rural loadings</w:t>
      </w:r>
      <w:bookmarkEnd w:id="250"/>
      <w:bookmarkEnd w:id="251"/>
      <w:bookmarkEnd w:id="252"/>
      <w:bookmarkEnd w:id="253"/>
      <w:bookmarkEnd w:id="254"/>
      <w:bookmarkEnd w:id="255"/>
      <w:bookmarkEnd w:id="256"/>
      <w:bookmarkEnd w:id="257"/>
      <w:bookmarkEnd w:id="258"/>
      <w:bookmarkEnd w:id="259"/>
    </w:p>
    <w:p w14:paraId="048B32F4" w14:textId="62D3A47C" w:rsidR="00817CB4" w:rsidRPr="009A5F5E" w:rsidRDefault="00817CB4" w:rsidP="00817CB4">
      <w:pPr>
        <w:spacing w:before="120" w:after="120" w:line="276" w:lineRule="auto"/>
        <w:rPr>
          <w:rFonts w:eastAsia="Times New Roman"/>
        </w:rPr>
      </w:pPr>
      <w:bookmarkStart w:id="260" w:name="_Hlk167963529"/>
      <w:r w:rsidRPr="009A5F5E">
        <w:rPr>
          <w:rFonts w:eastAsia="Times New Roman"/>
        </w:rPr>
        <w:t xml:space="preserve">Rural loadings apply to provider and practice incentive payments for </w:t>
      </w:r>
      <w:bookmarkEnd w:id="260"/>
      <w:r w:rsidRPr="009A5F5E">
        <w:rPr>
          <w:rFonts w:eastAsia="Times New Roman"/>
        </w:rPr>
        <w:t xml:space="preserve">MMM regions 3 to 7. </w:t>
      </w:r>
      <w:bookmarkStart w:id="261" w:name="_Hlk165579573"/>
      <w:r w:rsidRPr="009A5F5E">
        <w:rPr>
          <w:rFonts w:eastAsia="Times New Roman"/>
        </w:rPr>
        <w:t xml:space="preserve">The MMM region applied to the incentive payment </w:t>
      </w:r>
      <w:r w:rsidR="00262DE2" w:rsidRPr="009A5F5E">
        <w:rPr>
          <w:rFonts w:eastAsia="Times New Roman"/>
        </w:rPr>
        <w:t>is</w:t>
      </w:r>
      <w:r w:rsidRPr="009A5F5E">
        <w:rPr>
          <w:rFonts w:eastAsia="Times New Roman"/>
        </w:rPr>
        <w:t xml:space="preserve"> determined by the location of the practice registered in MyMedicare (MMM rural loading amounts are outlined in </w:t>
      </w:r>
      <w:r w:rsidRPr="009A5F5E">
        <w:rPr>
          <w:rFonts w:eastAsia="Times New Roman"/>
          <w:b/>
          <w:bCs/>
        </w:rPr>
        <w:t>Appendix 1</w:t>
      </w:r>
      <w:r w:rsidR="00FE3042">
        <w:rPr>
          <w:rFonts w:eastAsia="Times New Roman"/>
          <w:b/>
          <w:bCs/>
        </w:rPr>
        <w:t>7</w:t>
      </w:r>
      <w:r w:rsidR="003073A1" w:rsidRPr="009A5F5E">
        <w:rPr>
          <w:rFonts w:eastAsia="Times New Roman"/>
          <w:b/>
          <w:bCs/>
        </w:rPr>
        <w:t>.</w:t>
      </w:r>
      <w:r w:rsidR="0056662D">
        <w:rPr>
          <w:rFonts w:eastAsia="Times New Roman"/>
          <w:b/>
          <w:bCs/>
        </w:rPr>
        <w:t>3</w:t>
      </w:r>
      <w:r w:rsidRPr="009A5F5E">
        <w:rPr>
          <w:rFonts w:eastAsia="Times New Roman"/>
        </w:rPr>
        <w:t>).</w:t>
      </w:r>
      <w:bookmarkEnd w:id="261"/>
    </w:p>
    <w:p w14:paraId="7B427642" w14:textId="6FC617DC" w:rsidR="005602A5" w:rsidRPr="009A5F5E" w:rsidRDefault="005602A5" w:rsidP="00C47885">
      <w:pPr>
        <w:pStyle w:val="GuidelinesHeading"/>
      </w:pPr>
      <w:bookmarkStart w:id="262" w:name="_Toc212118234"/>
      <w:r w:rsidRPr="009A5F5E">
        <w:t>How to</w:t>
      </w:r>
      <w:r w:rsidR="00ED4947" w:rsidRPr="009A5F5E">
        <w:t xml:space="preserve"> Register</w:t>
      </w:r>
      <w:bookmarkEnd w:id="262"/>
    </w:p>
    <w:p w14:paraId="180625A3" w14:textId="77777777" w:rsidR="003E6CE1" w:rsidRDefault="005602A5" w:rsidP="005602A5">
      <w:pPr>
        <w:rPr>
          <w:szCs w:val="22"/>
        </w:rPr>
      </w:pPr>
      <w:r w:rsidRPr="009A5F5E">
        <w:rPr>
          <w:szCs w:val="22"/>
        </w:rPr>
        <w:t xml:space="preserve">Before </w:t>
      </w:r>
      <w:r w:rsidR="00ED4947" w:rsidRPr="009A5F5E">
        <w:rPr>
          <w:szCs w:val="22"/>
        </w:rPr>
        <w:t>registering for funding</w:t>
      </w:r>
      <w:r w:rsidRPr="009A5F5E">
        <w:rPr>
          <w:szCs w:val="22"/>
        </w:rPr>
        <w:t xml:space="preserve">, you must read and understand all documents and information relating to </w:t>
      </w:r>
      <w:r w:rsidR="00ED4947" w:rsidRPr="009A5F5E">
        <w:rPr>
          <w:szCs w:val="22"/>
        </w:rPr>
        <w:t>GPACI</w:t>
      </w:r>
      <w:r w:rsidRPr="009A5F5E">
        <w:rPr>
          <w:szCs w:val="22"/>
        </w:rPr>
        <w:t xml:space="preserve"> found on </w:t>
      </w:r>
      <w:hyperlink r:id="rId22" w:history="1">
        <w:r w:rsidRPr="009A5F5E">
          <w:rPr>
            <w:rStyle w:val="Hyperlink"/>
            <w:szCs w:val="22"/>
          </w:rPr>
          <w:t>GrantConnect</w:t>
        </w:r>
      </w:hyperlink>
      <w:r w:rsidRPr="009A5F5E">
        <w:rPr>
          <w:szCs w:val="22"/>
        </w:rPr>
        <w:t>. Any alterations and addenda</w:t>
      </w:r>
      <w:r w:rsidRPr="009A5F5E">
        <w:rPr>
          <w:rStyle w:val="FootnoteReference"/>
          <w:szCs w:val="22"/>
        </w:rPr>
        <w:footnoteReference w:id="10"/>
      </w:r>
      <w:r w:rsidRPr="009A5F5E">
        <w:rPr>
          <w:szCs w:val="22"/>
        </w:rPr>
        <w:t xml:space="preserve"> will be published on GrantConnect and by registering on this website, you will be automatically notified of any changes. </w:t>
      </w:r>
    </w:p>
    <w:p w14:paraId="3FBFBCC9" w14:textId="603319ED" w:rsidR="005602A5" w:rsidRPr="009A5F5E" w:rsidRDefault="005602A5" w:rsidP="005602A5">
      <w:pPr>
        <w:rPr>
          <w:szCs w:val="22"/>
        </w:rPr>
      </w:pPr>
      <w:r w:rsidRPr="009A5F5E">
        <w:rPr>
          <w:szCs w:val="22"/>
        </w:rPr>
        <w:t xml:space="preserve">GrantConnect is the authoritative source for grants information, however the department takes no responsibility if a registered user fails to become aware of any addendum notices or of other published material. </w:t>
      </w:r>
      <w:r w:rsidR="00367453">
        <w:rPr>
          <w:szCs w:val="22"/>
        </w:rPr>
        <w:t xml:space="preserve">Participating practices and providers </w:t>
      </w:r>
      <w:r w:rsidRPr="009A5F5E">
        <w:rPr>
          <w:szCs w:val="22"/>
        </w:rPr>
        <w:t xml:space="preserve">are </w:t>
      </w:r>
      <w:r w:rsidR="00367453">
        <w:rPr>
          <w:szCs w:val="22"/>
        </w:rPr>
        <w:t xml:space="preserve">responsible for ensuring they meet all the eligibility criteria in the current guidelines, which are available on the </w:t>
      </w:r>
      <w:hyperlink r:id="rId23" w:history="1">
        <w:r w:rsidR="00367453" w:rsidRPr="00367453">
          <w:rPr>
            <w:rStyle w:val="Hyperlink"/>
            <w:szCs w:val="22"/>
          </w:rPr>
          <w:t>Department’s website</w:t>
        </w:r>
      </w:hyperlink>
      <w:r w:rsidR="00367453">
        <w:rPr>
          <w:szCs w:val="22"/>
        </w:rPr>
        <w:t xml:space="preserve">. Practices and providers are also </w:t>
      </w:r>
      <w:r w:rsidRPr="009A5F5E">
        <w:rPr>
          <w:szCs w:val="22"/>
        </w:rPr>
        <w:t>encouraged to regularly check GrantConnect for updates.</w:t>
      </w:r>
    </w:p>
    <w:p w14:paraId="39BA39C5" w14:textId="223F90EE" w:rsidR="005602A5" w:rsidRPr="009A5F5E" w:rsidRDefault="005602A5" w:rsidP="005602A5">
      <w:pPr>
        <w:spacing w:before="80"/>
        <w:rPr>
          <w:szCs w:val="22"/>
        </w:rPr>
      </w:pPr>
      <w:r w:rsidRPr="009A5F5E">
        <w:rPr>
          <w:szCs w:val="22"/>
        </w:rPr>
        <w:t xml:space="preserve">For </w:t>
      </w:r>
      <w:r w:rsidR="00ED4947" w:rsidRPr="009A5F5E">
        <w:rPr>
          <w:szCs w:val="22"/>
        </w:rPr>
        <w:t>GPACI</w:t>
      </w:r>
      <w:r w:rsidRPr="009A5F5E">
        <w:rPr>
          <w:szCs w:val="22"/>
        </w:rPr>
        <w:t xml:space="preserve"> you must:</w:t>
      </w:r>
    </w:p>
    <w:p w14:paraId="384710BC" w14:textId="666E7B4B" w:rsidR="005602A5" w:rsidRPr="009A5F5E" w:rsidRDefault="005602A5" w:rsidP="00F85C8B">
      <w:pPr>
        <w:pStyle w:val="ListBullet"/>
        <w:numPr>
          <w:ilvl w:val="0"/>
          <w:numId w:val="15"/>
        </w:numPr>
        <w:spacing w:before="80"/>
        <w:ind w:left="714" w:hanging="357"/>
        <w:contextualSpacing w:val="0"/>
        <w:rPr>
          <w:szCs w:val="22"/>
        </w:rPr>
      </w:pPr>
      <w:r w:rsidRPr="009A5F5E">
        <w:rPr>
          <w:szCs w:val="22"/>
        </w:rPr>
        <w:t xml:space="preserve">read all available documentation about </w:t>
      </w:r>
      <w:r w:rsidR="00ED4947" w:rsidRPr="009A5F5E">
        <w:rPr>
          <w:szCs w:val="22"/>
        </w:rPr>
        <w:t xml:space="preserve">GPACI </w:t>
      </w:r>
      <w:r w:rsidRPr="009A5F5E">
        <w:rPr>
          <w:szCs w:val="22"/>
        </w:rPr>
        <w:t>provided on GrantConnect</w:t>
      </w:r>
    </w:p>
    <w:p w14:paraId="1959D1CB" w14:textId="77777777" w:rsidR="005602A5" w:rsidRPr="009A5F5E" w:rsidRDefault="005602A5" w:rsidP="00F85C8B">
      <w:pPr>
        <w:pStyle w:val="ListBullet"/>
        <w:numPr>
          <w:ilvl w:val="0"/>
          <w:numId w:val="15"/>
        </w:numPr>
        <w:spacing w:before="80"/>
        <w:ind w:left="714" w:hanging="357"/>
        <w:contextualSpacing w:val="0"/>
        <w:rPr>
          <w:color w:val="0070C0"/>
          <w:szCs w:val="22"/>
        </w:rPr>
      </w:pPr>
      <w:r w:rsidRPr="009A5F5E">
        <w:rPr>
          <w:szCs w:val="22"/>
        </w:rPr>
        <w:t>complete the MyMedicare registration form as described at https://www.health.gov.au/our-work/mymedicare</w:t>
      </w:r>
    </w:p>
    <w:p w14:paraId="25D215E4" w14:textId="77777777" w:rsidR="005602A5" w:rsidRPr="009A5F5E" w:rsidRDefault="005602A5" w:rsidP="00F85C8B">
      <w:pPr>
        <w:pStyle w:val="ListBullet"/>
        <w:numPr>
          <w:ilvl w:val="0"/>
          <w:numId w:val="15"/>
        </w:numPr>
        <w:spacing w:before="80"/>
        <w:ind w:left="714" w:hanging="357"/>
        <w:contextualSpacing w:val="0"/>
        <w:rPr>
          <w:szCs w:val="22"/>
        </w:rPr>
      </w:pPr>
      <w:r w:rsidRPr="009A5F5E">
        <w:rPr>
          <w:szCs w:val="22"/>
        </w:rPr>
        <w:t>provide all the information requested</w:t>
      </w:r>
    </w:p>
    <w:p w14:paraId="079E87B3" w14:textId="77777777" w:rsidR="005602A5" w:rsidRPr="009A5F5E" w:rsidRDefault="005602A5" w:rsidP="00F85C8B">
      <w:pPr>
        <w:pStyle w:val="ListBullet"/>
        <w:numPr>
          <w:ilvl w:val="0"/>
          <w:numId w:val="15"/>
        </w:numPr>
        <w:spacing w:before="80"/>
        <w:ind w:left="714" w:hanging="357"/>
        <w:contextualSpacing w:val="0"/>
        <w:rPr>
          <w:szCs w:val="22"/>
        </w:rPr>
      </w:pPr>
      <w:r w:rsidRPr="009A5F5E">
        <w:rPr>
          <w:szCs w:val="22"/>
        </w:rPr>
        <w:t xml:space="preserve">address all eligibility criteria </w:t>
      </w:r>
    </w:p>
    <w:p w14:paraId="67C89685" w14:textId="77777777" w:rsidR="005602A5" w:rsidRPr="009A5F5E" w:rsidRDefault="005602A5" w:rsidP="00F85C8B">
      <w:pPr>
        <w:pStyle w:val="ListBullet"/>
        <w:numPr>
          <w:ilvl w:val="0"/>
          <w:numId w:val="15"/>
        </w:numPr>
        <w:spacing w:before="80"/>
        <w:ind w:left="714" w:hanging="357"/>
        <w:contextualSpacing w:val="0"/>
        <w:rPr>
          <w:szCs w:val="22"/>
        </w:rPr>
      </w:pPr>
      <w:r w:rsidRPr="009A5F5E">
        <w:rPr>
          <w:szCs w:val="22"/>
        </w:rPr>
        <w:t>include all necessary attachments, and</w:t>
      </w:r>
      <w:r w:rsidRPr="009A5F5E">
        <w:rPr>
          <w:color w:val="0070C0"/>
          <w:szCs w:val="22"/>
        </w:rPr>
        <w:t xml:space="preserve"> </w:t>
      </w:r>
    </w:p>
    <w:p w14:paraId="15436AE0" w14:textId="77777777" w:rsidR="005602A5" w:rsidRPr="009A5F5E" w:rsidRDefault="005602A5" w:rsidP="00F85C8B">
      <w:pPr>
        <w:pStyle w:val="ListBullet"/>
        <w:numPr>
          <w:ilvl w:val="0"/>
          <w:numId w:val="15"/>
        </w:numPr>
        <w:spacing w:before="80"/>
        <w:ind w:left="714" w:hanging="357"/>
        <w:contextualSpacing w:val="0"/>
        <w:rPr>
          <w:szCs w:val="22"/>
        </w:rPr>
      </w:pPr>
      <w:r w:rsidRPr="009A5F5E">
        <w:rPr>
          <w:rFonts w:cs="Arial"/>
          <w:szCs w:val="22"/>
        </w:rPr>
        <w:t xml:space="preserve">submit your </w:t>
      </w:r>
      <w:r w:rsidRPr="009A5F5E">
        <w:rPr>
          <w:szCs w:val="22"/>
        </w:rPr>
        <w:t>registration</w:t>
      </w:r>
      <w:r w:rsidRPr="009A5F5E">
        <w:rPr>
          <w:rFonts w:cs="Arial"/>
          <w:b/>
          <w:bCs/>
          <w:color w:val="00B0F0"/>
          <w:szCs w:val="22"/>
        </w:rPr>
        <w:t xml:space="preserve"> </w:t>
      </w:r>
      <w:r w:rsidRPr="009A5F5E">
        <w:rPr>
          <w:rFonts w:cs="Arial"/>
          <w:szCs w:val="22"/>
        </w:rPr>
        <w:t xml:space="preserve">by the closing date and time using the </w:t>
      </w:r>
      <w:r w:rsidRPr="009A5F5E">
        <w:rPr>
          <w:szCs w:val="22"/>
        </w:rPr>
        <w:t xml:space="preserve">MyMedicare registration form as described at </w:t>
      </w:r>
      <w:hyperlink r:id="rId24" w:history="1">
        <w:r w:rsidRPr="009A5F5E">
          <w:rPr>
            <w:rStyle w:val="Hyperlink"/>
            <w:szCs w:val="22"/>
          </w:rPr>
          <w:t>https://www.health.gov.au/our-work/mymedicare</w:t>
        </w:r>
      </w:hyperlink>
    </w:p>
    <w:p w14:paraId="7C120010" w14:textId="2BEC2A60" w:rsidR="005602A5" w:rsidRDefault="005602A5" w:rsidP="005602A5">
      <w:pPr>
        <w:spacing w:before="120" w:after="120" w:line="276" w:lineRule="auto"/>
        <w:rPr>
          <w:szCs w:val="22"/>
        </w:rPr>
      </w:pPr>
      <w:r w:rsidRPr="009A5F5E">
        <w:rPr>
          <w:szCs w:val="22"/>
        </w:rPr>
        <w:t xml:space="preserve">You are responsible for ensuring that </w:t>
      </w:r>
      <w:r w:rsidR="00C47885" w:rsidRPr="009A5F5E">
        <w:rPr>
          <w:szCs w:val="22"/>
        </w:rPr>
        <w:t xml:space="preserve">the information provided as part of your registration and ongoing participation in MyMedicare and the </w:t>
      </w:r>
      <w:r w:rsidR="00781C8B" w:rsidRPr="009A5F5E">
        <w:rPr>
          <w:szCs w:val="22"/>
        </w:rPr>
        <w:t>GPACI</w:t>
      </w:r>
      <w:r w:rsidRPr="009A5F5E">
        <w:rPr>
          <w:szCs w:val="22"/>
        </w:rPr>
        <w:t xml:space="preserve"> is complete and accurate. Giving false or misleading information is a serious offence under the</w:t>
      </w:r>
      <w:r w:rsidRPr="009A5F5E">
        <w:rPr>
          <w:rStyle w:val="Hyperlink"/>
          <w:iCs/>
          <w:szCs w:val="22"/>
        </w:rPr>
        <w:t xml:space="preserve"> </w:t>
      </w:r>
      <w:hyperlink r:id="rId25" w:history="1">
        <w:r w:rsidRPr="009A5F5E">
          <w:rPr>
            <w:rStyle w:val="Hyperlink"/>
            <w:i/>
            <w:szCs w:val="22"/>
          </w:rPr>
          <w:t>Criminal Code 1995</w:t>
        </w:r>
      </w:hyperlink>
      <w:r w:rsidRPr="009A5F5E">
        <w:rPr>
          <w:color w:val="0000FF"/>
          <w:szCs w:val="22"/>
        </w:rPr>
        <w:t xml:space="preserve"> </w:t>
      </w:r>
      <w:r w:rsidRPr="009A5F5E">
        <w:rPr>
          <w:szCs w:val="22"/>
        </w:rPr>
        <w:t>and we will investigate any false or misleading information</w:t>
      </w:r>
      <w:r w:rsidR="00C47885" w:rsidRPr="009A5F5E">
        <w:rPr>
          <w:szCs w:val="22"/>
        </w:rPr>
        <w:t>.</w:t>
      </w:r>
    </w:p>
    <w:p w14:paraId="3AAE61B3" w14:textId="77777777" w:rsidR="00C20265" w:rsidRPr="009A5F5E" w:rsidRDefault="00C20265" w:rsidP="005602A5">
      <w:pPr>
        <w:spacing w:before="120" w:after="120" w:line="276" w:lineRule="auto"/>
        <w:rPr>
          <w:szCs w:val="22"/>
        </w:rPr>
      </w:pPr>
    </w:p>
    <w:p w14:paraId="7739A69B" w14:textId="384A337C" w:rsidR="00DA56A8" w:rsidRPr="009A5F5E" w:rsidRDefault="00E97A62" w:rsidP="009C1732">
      <w:pPr>
        <w:pStyle w:val="GuidelinesHeading"/>
      </w:pPr>
      <w:bookmarkStart w:id="263" w:name="_Toc212118235"/>
      <w:r w:rsidRPr="009A5F5E">
        <w:t xml:space="preserve">Funding </w:t>
      </w:r>
      <w:r w:rsidR="00687EA6" w:rsidRPr="009A5F5E">
        <w:t>under GPACI</w:t>
      </w:r>
      <w:bookmarkEnd w:id="263"/>
    </w:p>
    <w:p w14:paraId="54FC609B" w14:textId="3B3ACAE6" w:rsidR="00833ACC" w:rsidRPr="00BD4E83" w:rsidRDefault="758819B6" w:rsidP="00BD4E83">
      <w:pPr>
        <w:pStyle w:val="Heading2"/>
        <w:rPr>
          <w:b w:val="0"/>
        </w:rPr>
      </w:pPr>
      <w:bookmarkStart w:id="264" w:name="_Toc166066952"/>
      <w:bookmarkStart w:id="265" w:name="_Toc166068368"/>
      <w:bookmarkStart w:id="266" w:name="_Toc166068580"/>
      <w:bookmarkStart w:id="267" w:name="_Toc166069539"/>
      <w:bookmarkStart w:id="268" w:name="_Toc166069586"/>
      <w:bookmarkStart w:id="269" w:name="_Toc166136602"/>
      <w:bookmarkStart w:id="270" w:name="_Toc167109449"/>
      <w:bookmarkStart w:id="271" w:name="_Toc170120021"/>
      <w:bookmarkStart w:id="272" w:name="_Toc170817162"/>
      <w:bookmarkStart w:id="273" w:name="_Toc212118236"/>
      <w:r w:rsidRPr="009A5F5E">
        <w:t xml:space="preserve">Payment </w:t>
      </w:r>
      <w:bookmarkEnd w:id="264"/>
      <w:bookmarkEnd w:id="265"/>
      <w:bookmarkEnd w:id="266"/>
      <w:bookmarkEnd w:id="267"/>
      <w:bookmarkEnd w:id="268"/>
      <w:bookmarkEnd w:id="269"/>
      <w:bookmarkEnd w:id="270"/>
      <w:bookmarkEnd w:id="271"/>
      <w:bookmarkEnd w:id="272"/>
      <w:r w:rsidR="00E23780" w:rsidRPr="009A5F5E">
        <w:t>assessment</w:t>
      </w:r>
      <w:r w:rsidR="00E23780">
        <w:t xml:space="preserve"> </w:t>
      </w:r>
      <w:r w:rsidR="006C29F7">
        <w:t>process</w:t>
      </w:r>
      <w:bookmarkEnd w:id="273"/>
    </w:p>
    <w:p w14:paraId="057A0D0A" w14:textId="77777777" w:rsidR="00E23780" w:rsidRPr="00E23780" w:rsidRDefault="00E23780" w:rsidP="00E23780">
      <w:pPr>
        <w:pBdr>
          <w:top w:val="single" w:sz="4" w:space="1" w:color="000000"/>
          <w:left w:val="single" w:sz="4" w:space="4" w:color="000000"/>
          <w:right w:val="single" w:sz="4" w:space="4" w:color="000000"/>
        </w:pBdr>
        <w:spacing w:before="0" w:after="0" w:line="240" w:lineRule="auto"/>
        <w:jc w:val="center"/>
        <w:textAlignment w:val="baseline"/>
        <w:rPr>
          <w:rFonts w:ascii="Segoe UI" w:eastAsia="Times New Roman" w:hAnsi="Segoe UI" w:cs="Segoe UI"/>
          <w:color w:val="000000"/>
          <w:sz w:val="18"/>
          <w:szCs w:val="18"/>
          <w:lang w:eastAsia="en-AU"/>
        </w:rPr>
      </w:pPr>
      <w:r w:rsidRPr="00E23780">
        <w:rPr>
          <w:rFonts w:eastAsia="Times New Roman" w:cs="Arial"/>
          <w:b/>
          <w:bCs/>
          <w:color w:val="auto"/>
          <w:szCs w:val="22"/>
          <w:lang w:eastAsia="en-AU"/>
        </w:rPr>
        <w:t>The General Practice in Aged Care Incentive (GPACI) is designed to achieve Australian Government objectives</w:t>
      </w:r>
      <w:r w:rsidRPr="00E23780">
        <w:rPr>
          <w:rFonts w:eastAsia="Times New Roman" w:cs="Arial"/>
          <w:color w:val="auto"/>
          <w:szCs w:val="22"/>
          <w:lang w:eastAsia="en-AU"/>
        </w:rPr>
        <w:t> </w:t>
      </w:r>
    </w:p>
    <w:p w14:paraId="3652DB1A" w14:textId="77777777" w:rsidR="00E23780" w:rsidRPr="00E23780" w:rsidRDefault="00E23780" w:rsidP="00E23780">
      <w:pPr>
        <w:pBdr>
          <w:left w:val="single" w:sz="4" w:space="4" w:color="000000"/>
          <w:bottom w:val="single" w:sz="4" w:space="1" w:color="000000"/>
          <w:right w:val="single" w:sz="4" w:space="4" w:color="000000"/>
        </w:pBdr>
        <w:spacing w:before="0" w:after="0" w:line="240" w:lineRule="auto"/>
        <w:jc w:val="center"/>
        <w:textAlignment w:val="baseline"/>
        <w:rPr>
          <w:rFonts w:ascii="Segoe UI" w:eastAsia="Times New Roman" w:hAnsi="Segoe UI" w:cs="Segoe UI"/>
          <w:color w:val="000000"/>
          <w:sz w:val="18"/>
          <w:szCs w:val="18"/>
          <w:lang w:eastAsia="en-AU"/>
        </w:rPr>
      </w:pPr>
      <w:r w:rsidRPr="00E23780">
        <w:rPr>
          <w:rFonts w:eastAsia="Times New Roman" w:cs="Arial"/>
          <w:color w:val="auto"/>
          <w:szCs w:val="22"/>
          <w:lang w:eastAsia="en-AU"/>
        </w:rPr>
        <w:t xml:space="preserve">GPACI is characterised as a grant opportunity that delivers funding to contribute to the department’s Outcome 1. The department works with stakeholders to plan and design the program according to the </w:t>
      </w:r>
      <w:hyperlink r:id="rId26" w:tgtFrame="_blank" w:history="1">
        <w:r w:rsidRPr="00E23780">
          <w:rPr>
            <w:rFonts w:eastAsia="Times New Roman" w:cs="Arial"/>
            <w:color w:val="auto"/>
            <w:szCs w:val="22"/>
            <w:u w:val="single"/>
            <w:lang w:eastAsia="en-AU"/>
          </w:rPr>
          <w:t>Commonwealth Grant Rules and Principles 2024 (CGRPs)</w:t>
        </w:r>
      </w:hyperlink>
      <w:r w:rsidRPr="00E23780">
        <w:rPr>
          <w:rFonts w:eastAsia="Times New Roman" w:cs="Arial"/>
          <w:color w:val="auto"/>
          <w:szCs w:val="22"/>
          <w:lang w:eastAsia="en-AU"/>
        </w:rPr>
        <w:t>. </w:t>
      </w:r>
    </w:p>
    <w:p w14:paraId="23AC3D34" w14:textId="77777777" w:rsidR="00E23780" w:rsidRPr="00E23780" w:rsidRDefault="00E23780" w:rsidP="00E23780">
      <w:pPr>
        <w:spacing w:before="0" w:after="0" w:line="240" w:lineRule="auto"/>
        <w:jc w:val="center"/>
        <w:textAlignment w:val="baseline"/>
        <w:rPr>
          <w:rFonts w:ascii="Segoe UI" w:eastAsia="Times New Roman" w:hAnsi="Segoe UI" w:cs="Segoe UI"/>
          <w:color w:val="000000"/>
          <w:sz w:val="18"/>
          <w:szCs w:val="18"/>
          <w:lang w:eastAsia="en-AU"/>
        </w:rPr>
      </w:pPr>
      <w:r w:rsidRPr="00E23780">
        <w:rPr>
          <w:rFonts w:ascii="Wingdings" w:eastAsia="Times New Roman" w:hAnsi="Wingdings" w:cs="Segoe UI"/>
          <w:color w:val="auto"/>
          <w:szCs w:val="22"/>
          <w:lang w:eastAsia="en-AU"/>
        </w:rPr>
        <w:sym w:font="Wingdings" w:char="F0EA"/>
      </w:r>
      <w:r w:rsidRPr="00E23780">
        <w:rPr>
          <w:rFonts w:ascii="Wingdings" w:eastAsia="Times New Roman" w:hAnsi="Wingdings" w:cs="Segoe UI"/>
          <w:color w:val="auto"/>
          <w:szCs w:val="22"/>
          <w:lang w:eastAsia="en-AU"/>
        </w:rPr>
        <w:t> </w:t>
      </w:r>
    </w:p>
    <w:p w14:paraId="21B4B5AE" w14:textId="77777777" w:rsidR="00E23780" w:rsidRPr="00E23780" w:rsidRDefault="00E23780" w:rsidP="00E23780">
      <w:pPr>
        <w:pBdr>
          <w:top w:val="single" w:sz="2" w:space="1" w:color="000000"/>
          <w:left w:val="single" w:sz="2" w:space="4" w:color="000000"/>
          <w:right w:val="single" w:sz="2" w:space="4" w:color="000000"/>
        </w:pBdr>
        <w:spacing w:before="0" w:after="0" w:line="240" w:lineRule="auto"/>
        <w:jc w:val="center"/>
        <w:textAlignment w:val="baseline"/>
        <w:rPr>
          <w:rFonts w:ascii="Segoe UI" w:eastAsia="Times New Roman" w:hAnsi="Segoe UI" w:cs="Segoe UI"/>
          <w:color w:val="000000"/>
          <w:sz w:val="18"/>
          <w:szCs w:val="18"/>
          <w:lang w:eastAsia="en-AU"/>
        </w:rPr>
      </w:pPr>
      <w:r w:rsidRPr="00E23780">
        <w:rPr>
          <w:rFonts w:eastAsia="Times New Roman" w:cs="Arial"/>
          <w:b/>
          <w:bCs/>
          <w:color w:val="auto"/>
          <w:szCs w:val="22"/>
          <w:lang w:eastAsia="en-AU"/>
        </w:rPr>
        <w:t>The GPACI opens</w:t>
      </w:r>
      <w:r w:rsidRPr="00E23780">
        <w:rPr>
          <w:rFonts w:eastAsia="Times New Roman" w:cs="Arial"/>
          <w:color w:val="auto"/>
          <w:szCs w:val="22"/>
          <w:lang w:eastAsia="en-AU"/>
        </w:rPr>
        <w:t> </w:t>
      </w:r>
    </w:p>
    <w:p w14:paraId="2CAA9A1F" w14:textId="77777777" w:rsidR="00E23780" w:rsidRPr="00E23780" w:rsidRDefault="00E23780" w:rsidP="00E23780">
      <w:pPr>
        <w:pBdr>
          <w:left w:val="single" w:sz="2" w:space="4" w:color="000000"/>
          <w:bottom w:val="single" w:sz="2" w:space="0" w:color="000000"/>
          <w:right w:val="single" w:sz="2" w:space="4" w:color="000000"/>
        </w:pBdr>
        <w:spacing w:before="0" w:after="0" w:line="240" w:lineRule="auto"/>
        <w:jc w:val="center"/>
        <w:textAlignment w:val="baseline"/>
        <w:rPr>
          <w:rFonts w:ascii="Segoe UI" w:eastAsia="Times New Roman" w:hAnsi="Segoe UI" w:cs="Segoe UI"/>
          <w:color w:val="000000"/>
          <w:sz w:val="18"/>
          <w:szCs w:val="18"/>
          <w:lang w:eastAsia="en-AU"/>
        </w:rPr>
      </w:pPr>
      <w:r w:rsidRPr="00E23780">
        <w:rPr>
          <w:rFonts w:eastAsia="Times New Roman" w:cs="Arial"/>
          <w:color w:val="auto"/>
          <w:szCs w:val="22"/>
          <w:lang w:eastAsia="en-AU"/>
        </w:rPr>
        <w:t xml:space="preserve">We publish the GPACI guidelines on </w:t>
      </w:r>
      <w:hyperlink r:id="rId27" w:tgtFrame="_blank" w:history="1">
        <w:r w:rsidRPr="00E23780">
          <w:rPr>
            <w:rFonts w:eastAsia="Times New Roman" w:cs="Arial"/>
            <w:color w:val="auto"/>
            <w:szCs w:val="22"/>
            <w:u w:val="single"/>
            <w:lang w:eastAsia="en-AU"/>
          </w:rPr>
          <w:t>GrantConnect</w:t>
        </w:r>
      </w:hyperlink>
      <w:r w:rsidRPr="00E23780">
        <w:rPr>
          <w:rFonts w:eastAsia="Times New Roman" w:cs="Arial"/>
          <w:color w:val="auto"/>
          <w:szCs w:val="22"/>
          <w:lang w:eastAsia="en-AU"/>
        </w:rPr>
        <w:t>. </w:t>
      </w:r>
    </w:p>
    <w:p w14:paraId="27E75CCC" w14:textId="77777777" w:rsidR="00E23780" w:rsidRPr="00E23780" w:rsidRDefault="00E23780" w:rsidP="00E23780">
      <w:pPr>
        <w:spacing w:before="0" w:after="0" w:line="240" w:lineRule="auto"/>
        <w:jc w:val="center"/>
        <w:textAlignment w:val="baseline"/>
        <w:rPr>
          <w:rFonts w:ascii="Segoe UI" w:eastAsia="Times New Roman" w:hAnsi="Segoe UI" w:cs="Segoe UI"/>
          <w:color w:val="000000"/>
          <w:sz w:val="18"/>
          <w:szCs w:val="18"/>
          <w:lang w:eastAsia="en-AU"/>
        </w:rPr>
      </w:pPr>
      <w:r w:rsidRPr="00E23780">
        <w:rPr>
          <w:rFonts w:ascii="Wingdings" w:eastAsia="Times New Roman" w:hAnsi="Wingdings" w:cs="Segoe UI"/>
          <w:color w:val="auto"/>
          <w:szCs w:val="22"/>
          <w:lang w:eastAsia="en-AU"/>
        </w:rPr>
        <w:sym w:font="Wingdings" w:char="F0EA"/>
      </w:r>
      <w:r w:rsidRPr="00E23780">
        <w:rPr>
          <w:rFonts w:ascii="Wingdings" w:eastAsia="Times New Roman" w:hAnsi="Wingdings" w:cs="Segoe UI"/>
          <w:color w:val="auto"/>
          <w:szCs w:val="22"/>
          <w:lang w:eastAsia="en-AU"/>
        </w:rPr>
        <w:t> </w:t>
      </w:r>
    </w:p>
    <w:p w14:paraId="71DFC729" w14:textId="5677D40A" w:rsidR="00E23780" w:rsidRPr="00E23780" w:rsidRDefault="00E23780" w:rsidP="00E23780">
      <w:pPr>
        <w:pBdr>
          <w:top w:val="single" w:sz="2" w:space="1" w:color="000000"/>
          <w:left w:val="single" w:sz="2" w:space="4" w:color="000000"/>
          <w:right w:val="single" w:sz="2" w:space="4" w:color="000000"/>
        </w:pBdr>
        <w:spacing w:before="0" w:after="0" w:line="240" w:lineRule="auto"/>
        <w:jc w:val="center"/>
        <w:textAlignment w:val="baseline"/>
        <w:rPr>
          <w:rFonts w:ascii="Segoe UI" w:eastAsia="Times New Roman" w:hAnsi="Segoe UI" w:cs="Segoe UI"/>
          <w:color w:val="000000"/>
          <w:sz w:val="18"/>
          <w:szCs w:val="18"/>
          <w:lang w:eastAsia="en-AU"/>
        </w:rPr>
      </w:pPr>
      <w:r w:rsidRPr="00E23780">
        <w:rPr>
          <w:rFonts w:eastAsia="Times New Roman" w:cs="Arial"/>
          <w:b/>
          <w:bCs/>
          <w:color w:val="auto"/>
          <w:szCs w:val="22"/>
          <w:lang w:eastAsia="en-AU"/>
        </w:rPr>
        <w:t>You (the Practice) registers for MyMedicare and GPACI</w:t>
      </w:r>
      <w:r w:rsidRPr="00E23780">
        <w:rPr>
          <w:rFonts w:eastAsia="Times New Roman" w:cs="Arial"/>
          <w:color w:val="auto"/>
          <w:szCs w:val="22"/>
          <w:lang w:eastAsia="en-AU"/>
        </w:rPr>
        <w:t> </w:t>
      </w:r>
    </w:p>
    <w:p w14:paraId="30E873EB" w14:textId="30C5500F" w:rsidR="00E23780" w:rsidRPr="00E23780" w:rsidRDefault="00E23780" w:rsidP="00E23780">
      <w:pPr>
        <w:pBdr>
          <w:left w:val="single" w:sz="2" w:space="4" w:color="000000"/>
          <w:bottom w:val="single" w:sz="2" w:space="1" w:color="000000"/>
          <w:right w:val="single" w:sz="2" w:space="4" w:color="000000"/>
        </w:pBdr>
        <w:spacing w:before="0" w:after="0" w:line="240" w:lineRule="auto"/>
        <w:jc w:val="center"/>
        <w:textAlignment w:val="baseline"/>
        <w:rPr>
          <w:rFonts w:ascii="Segoe UI" w:eastAsia="Times New Roman" w:hAnsi="Segoe UI" w:cs="Segoe UI"/>
          <w:color w:val="000000"/>
          <w:sz w:val="18"/>
          <w:szCs w:val="18"/>
          <w:lang w:eastAsia="en-AU"/>
        </w:rPr>
      </w:pPr>
      <w:r w:rsidRPr="00E23780">
        <w:rPr>
          <w:rFonts w:eastAsia="Times New Roman" w:cs="Arial"/>
          <w:color w:val="auto"/>
          <w:szCs w:val="22"/>
          <w:lang w:eastAsia="en-AU"/>
        </w:rPr>
        <w:t xml:space="preserve">For the purposes of GPACI, </w:t>
      </w:r>
      <w:r w:rsidR="002E0048">
        <w:rPr>
          <w:rFonts w:eastAsia="Times New Roman" w:cs="Arial"/>
          <w:color w:val="auto"/>
          <w:szCs w:val="22"/>
          <w:lang w:eastAsia="en-AU"/>
        </w:rPr>
        <w:t xml:space="preserve">we </w:t>
      </w:r>
      <w:proofErr w:type="gramStart"/>
      <w:r w:rsidR="002E0048" w:rsidRPr="00E23780">
        <w:rPr>
          <w:rFonts w:eastAsia="Times New Roman" w:cs="Arial"/>
          <w:color w:val="auto"/>
          <w:szCs w:val="22"/>
          <w:lang w:eastAsia="en-AU"/>
        </w:rPr>
        <w:t>enter into</w:t>
      </w:r>
      <w:proofErr w:type="gramEnd"/>
      <w:r w:rsidR="002E0048" w:rsidRPr="00E23780">
        <w:rPr>
          <w:rFonts w:eastAsia="Times New Roman" w:cs="Arial"/>
          <w:color w:val="auto"/>
          <w:szCs w:val="22"/>
          <w:lang w:eastAsia="en-AU"/>
        </w:rPr>
        <w:t xml:space="preserve"> a grant (funding) agreement with you when </w:t>
      </w:r>
      <w:r w:rsidR="002E0048" w:rsidRPr="002F3958">
        <w:rPr>
          <w:rFonts w:eastAsia="Times New Roman" w:cs="Arial"/>
          <w:color w:val="auto"/>
          <w:szCs w:val="22"/>
          <w:lang w:eastAsia="en-AU"/>
        </w:rPr>
        <w:t xml:space="preserve">you accept </w:t>
      </w:r>
      <w:r w:rsidRPr="002F3958">
        <w:rPr>
          <w:rFonts w:eastAsia="Times New Roman" w:cs="Arial"/>
          <w:color w:val="auto"/>
          <w:szCs w:val="22"/>
          <w:lang w:eastAsia="en-AU"/>
        </w:rPr>
        <w:t xml:space="preserve">the </w:t>
      </w:r>
      <w:r w:rsidR="002E0048" w:rsidRPr="002F3958">
        <w:rPr>
          <w:rFonts w:eastAsia="Times New Roman" w:cs="Arial"/>
          <w:color w:val="auto"/>
          <w:szCs w:val="22"/>
          <w:lang w:eastAsia="en-AU"/>
        </w:rPr>
        <w:t>GPACI Terms</w:t>
      </w:r>
      <w:r w:rsidRPr="002F3958">
        <w:rPr>
          <w:rFonts w:eastAsia="Times New Roman" w:cs="Arial"/>
          <w:color w:val="auto"/>
          <w:szCs w:val="22"/>
          <w:lang w:eastAsia="en-AU"/>
        </w:rPr>
        <w:t xml:space="preserve"> and </w:t>
      </w:r>
      <w:r w:rsidR="002E0048" w:rsidRPr="002F3958">
        <w:rPr>
          <w:rFonts w:eastAsia="Times New Roman" w:cs="Arial"/>
          <w:color w:val="auto"/>
          <w:szCs w:val="22"/>
          <w:lang w:eastAsia="en-AU"/>
        </w:rPr>
        <w:t>Conditions.</w:t>
      </w:r>
      <w:r w:rsidRPr="002F3958">
        <w:rPr>
          <w:rFonts w:eastAsia="Times New Roman" w:cs="Arial"/>
          <w:color w:val="auto"/>
          <w:szCs w:val="22"/>
          <w:lang w:eastAsia="en-AU"/>
        </w:rPr>
        <w:t xml:space="preserve"> </w:t>
      </w:r>
      <w:r w:rsidRPr="00E23780">
        <w:rPr>
          <w:rFonts w:eastAsia="Times New Roman" w:cs="Arial"/>
          <w:color w:val="auto"/>
          <w:szCs w:val="22"/>
          <w:lang w:eastAsia="en-AU"/>
        </w:rPr>
        <w:t xml:space="preserve">Practice’s must address </w:t>
      </w:r>
      <w:proofErr w:type="gramStart"/>
      <w:r w:rsidRPr="00E23780">
        <w:rPr>
          <w:rFonts w:eastAsia="Times New Roman" w:cs="Arial"/>
          <w:color w:val="auto"/>
          <w:szCs w:val="22"/>
          <w:lang w:eastAsia="en-AU"/>
        </w:rPr>
        <w:t>all of</w:t>
      </w:r>
      <w:proofErr w:type="gramEnd"/>
      <w:r w:rsidRPr="00E23780">
        <w:rPr>
          <w:rFonts w:eastAsia="Times New Roman" w:cs="Arial"/>
          <w:color w:val="auto"/>
          <w:szCs w:val="22"/>
          <w:lang w:eastAsia="en-AU"/>
        </w:rPr>
        <w:t xml:space="preserve"> the eligibility criteria to be considered for funding.</w:t>
      </w:r>
    </w:p>
    <w:p w14:paraId="60B3DA4E" w14:textId="77777777" w:rsidR="00E23780" w:rsidRPr="00E23780" w:rsidRDefault="00E23780" w:rsidP="00E23780">
      <w:pPr>
        <w:spacing w:before="0" w:after="0" w:line="240" w:lineRule="auto"/>
        <w:jc w:val="center"/>
        <w:textAlignment w:val="baseline"/>
        <w:rPr>
          <w:rFonts w:ascii="Segoe UI" w:eastAsia="Times New Roman" w:hAnsi="Segoe UI" w:cs="Segoe UI"/>
          <w:color w:val="000000"/>
          <w:sz w:val="18"/>
          <w:szCs w:val="18"/>
          <w:lang w:eastAsia="en-AU"/>
        </w:rPr>
      </w:pPr>
      <w:r w:rsidRPr="00E23780">
        <w:rPr>
          <w:rFonts w:ascii="Wingdings" w:eastAsia="Times New Roman" w:hAnsi="Wingdings" w:cs="Segoe UI"/>
          <w:color w:val="auto"/>
          <w:szCs w:val="22"/>
          <w:lang w:eastAsia="en-AU"/>
        </w:rPr>
        <w:sym w:font="Wingdings" w:char="F0EA"/>
      </w:r>
      <w:r w:rsidRPr="00E23780">
        <w:rPr>
          <w:rFonts w:ascii="Wingdings" w:eastAsia="Times New Roman" w:hAnsi="Wingdings" w:cs="Segoe UI"/>
          <w:color w:val="auto"/>
          <w:szCs w:val="22"/>
          <w:lang w:eastAsia="en-AU"/>
        </w:rPr>
        <w:t> </w:t>
      </w:r>
    </w:p>
    <w:p w14:paraId="6ECADDAA" w14:textId="77777777" w:rsidR="00E23780" w:rsidRPr="00E23780" w:rsidRDefault="00E23780" w:rsidP="00E23780">
      <w:pPr>
        <w:pBdr>
          <w:top w:val="single" w:sz="2" w:space="1" w:color="000000"/>
          <w:left w:val="single" w:sz="2" w:space="4" w:color="000000"/>
          <w:right w:val="single" w:sz="2" w:space="4" w:color="000000"/>
        </w:pBdr>
        <w:spacing w:before="0" w:after="0" w:line="240" w:lineRule="auto"/>
        <w:jc w:val="center"/>
        <w:textAlignment w:val="baseline"/>
        <w:rPr>
          <w:rFonts w:ascii="Segoe UI" w:eastAsia="Times New Roman" w:hAnsi="Segoe UI" w:cs="Segoe UI"/>
          <w:color w:val="000000"/>
          <w:sz w:val="18"/>
          <w:szCs w:val="18"/>
          <w:lang w:eastAsia="en-AU"/>
        </w:rPr>
      </w:pPr>
      <w:r w:rsidRPr="00E23780">
        <w:rPr>
          <w:rFonts w:eastAsia="Times New Roman" w:cs="Arial"/>
          <w:b/>
          <w:bCs/>
          <w:color w:val="auto"/>
          <w:szCs w:val="22"/>
          <w:lang w:eastAsia="en-AU"/>
        </w:rPr>
        <w:t>We assess eligibility for funding</w:t>
      </w:r>
      <w:r w:rsidRPr="00E23780">
        <w:rPr>
          <w:rFonts w:eastAsia="Times New Roman" w:cs="Arial"/>
          <w:color w:val="auto"/>
          <w:szCs w:val="22"/>
          <w:lang w:eastAsia="en-AU"/>
        </w:rPr>
        <w:t> </w:t>
      </w:r>
    </w:p>
    <w:p w14:paraId="77A6C235" w14:textId="77777777" w:rsidR="00E23780" w:rsidRPr="00E23780" w:rsidRDefault="00E23780" w:rsidP="00E23780">
      <w:pPr>
        <w:pBdr>
          <w:left w:val="single" w:sz="2" w:space="4" w:color="000000"/>
          <w:bottom w:val="single" w:sz="2" w:space="1" w:color="000000"/>
          <w:right w:val="single" w:sz="2" w:space="4" w:color="000000"/>
        </w:pBdr>
        <w:spacing w:before="0" w:after="0" w:line="240" w:lineRule="auto"/>
        <w:jc w:val="center"/>
        <w:textAlignment w:val="baseline"/>
        <w:rPr>
          <w:rFonts w:ascii="Segoe UI" w:eastAsia="Times New Roman" w:hAnsi="Segoe UI" w:cs="Segoe UI"/>
          <w:color w:val="000000"/>
          <w:sz w:val="18"/>
          <w:szCs w:val="18"/>
          <w:lang w:eastAsia="en-AU"/>
        </w:rPr>
      </w:pPr>
      <w:r w:rsidRPr="00E23780">
        <w:rPr>
          <w:rFonts w:eastAsia="Times New Roman" w:cs="Arial"/>
          <w:color w:val="auto"/>
          <w:szCs w:val="22"/>
          <w:lang w:eastAsia="en-AU"/>
        </w:rPr>
        <w:t>We assess practices against the eligibility criteria, including an overall consideration of value with money.  </w:t>
      </w:r>
    </w:p>
    <w:p w14:paraId="53756A68" w14:textId="77777777" w:rsidR="00E23780" w:rsidRPr="00E23780" w:rsidRDefault="00E23780" w:rsidP="00E23780">
      <w:pPr>
        <w:spacing w:before="0" w:after="0" w:line="240" w:lineRule="auto"/>
        <w:jc w:val="center"/>
        <w:textAlignment w:val="baseline"/>
        <w:rPr>
          <w:rFonts w:ascii="Segoe UI" w:eastAsia="Times New Roman" w:hAnsi="Segoe UI" w:cs="Segoe UI"/>
          <w:color w:val="000000"/>
          <w:sz w:val="18"/>
          <w:szCs w:val="18"/>
          <w:lang w:eastAsia="en-AU"/>
        </w:rPr>
      </w:pPr>
      <w:r w:rsidRPr="00E23780">
        <w:rPr>
          <w:rFonts w:ascii="Wingdings" w:eastAsia="Times New Roman" w:hAnsi="Wingdings" w:cs="Segoe UI"/>
          <w:color w:val="auto"/>
          <w:szCs w:val="22"/>
          <w:lang w:eastAsia="en-AU"/>
        </w:rPr>
        <w:sym w:font="Wingdings" w:char="F0EA"/>
      </w:r>
      <w:r w:rsidRPr="00E23780">
        <w:rPr>
          <w:rFonts w:ascii="Wingdings" w:eastAsia="Times New Roman" w:hAnsi="Wingdings" w:cs="Segoe UI"/>
          <w:color w:val="auto"/>
          <w:szCs w:val="22"/>
          <w:lang w:eastAsia="en-AU"/>
        </w:rPr>
        <w:t> </w:t>
      </w:r>
    </w:p>
    <w:p w14:paraId="5A7FFB0F" w14:textId="77777777" w:rsidR="00E23780" w:rsidRPr="00E23780" w:rsidRDefault="00E23780" w:rsidP="00E23780">
      <w:pPr>
        <w:pBdr>
          <w:top w:val="single" w:sz="2" w:space="1" w:color="000000"/>
          <w:left w:val="single" w:sz="2" w:space="4" w:color="000000"/>
          <w:right w:val="single" w:sz="2" w:space="4" w:color="000000"/>
        </w:pBdr>
        <w:spacing w:before="0" w:after="0" w:line="240" w:lineRule="auto"/>
        <w:jc w:val="center"/>
        <w:textAlignment w:val="baseline"/>
        <w:rPr>
          <w:rFonts w:ascii="Segoe UI" w:eastAsia="Times New Roman" w:hAnsi="Segoe UI" w:cs="Segoe UI"/>
          <w:color w:val="000000"/>
          <w:sz w:val="18"/>
          <w:szCs w:val="18"/>
          <w:lang w:eastAsia="en-AU"/>
        </w:rPr>
      </w:pPr>
      <w:r w:rsidRPr="00E23780">
        <w:rPr>
          <w:rFonts w:eastAsia="Times New Roman" w:cs="Arial"/>
          <w:b/>
          <w:bCs/>
          <w:color w:val="auto"/>
          <w:szCs w:val="22"/>
          <w:lang w:eastAsia="en-AU"/>
        </w:rPr>
        <w:t>Funding decisions are made</w:t>
      </w:r>
      <w:r w:rsidRPr="00E23780">
        <w:rPr>
          <w:rFonts w:eastAsia="Times New Roman" w:cs="Arial"/>
          <w:color w:val="auto"/>
          <w:szCs w:val="22"/>
          <w:lang w:eastAsia="en-AU"/>
        </w:rPr>
        <w:t> </w:t>
      </w:r>
    </w:p>
    <w:p w14:paraId="7ACF6223" w14:textId="77777777" w:rsidR="00E23780" w:rsidRPr="00E23780" w:rsidRDefault="00E23780" w:rsidP="00E23780">
      <w:pPr>
        <w:pBdr>
          <w:left w:val="single" w:sz="2" w:space="4" w:color="000000"/>
          <w:bottom w:val="single" w:sz="2" w:space="1" w:color="000000"/>
          <w:right w:val="single" w:sz="2" w:space="4" w:color="000000"/>
        </w:pBdr>
        <w:spacing w:before="0" w:after="0" w:line="240" w:lineRule="auto"/>
        <w:jc w:val="center"/>
        <w:textAlignment w:val="baseline"/>
        <w:rPr>
          <w:rFonts w:ascii="Segoe UI" w:eastAsia="Times New Roman" w:hAnsi="Segoe UI" w:cs="Segoe UI"/>
          <w:color w:val="000000"/>
          <w:sz w:val="18"/>
          <w:szCs w:val="18"/>
          <w:lang w:eastAsia="en-AU"/>
        </w:rPr>
      </w:pPr>
      <w:r w:rsidRPr="00E23780">
        <w:rPr>
          <w:rFonts w:eastAsia="Times New Roman" w:cs="Arial"/>
          <w:color w:val="auto"/>
          <w:szCs w:val="22"/>
          <w:lang w:eastAsia="en-AU"/>
        </w:rPr>
        <w:t>The Decision Maker decides on eligible funding. </w:t>
      </w:r>
    </w:p>
    <w:p w14:paraId="00F4C3F1" w14:textId="77777777" w:rsidR="00E23780" w:rsidRPr="00E23780" w:rsidRDefault="00E23780" w:rsidP="00E23780">
      <w:pPr>
        <w:spacing w:before="0" w:after="0" w:line="240" w:lineRule="auto"/>
        <w:jc w:val="center"/>
        <w:textAlignment w:val="baseline"/>
        <w:rPr>
          <w:rFonts w:ascii="Segoe UI" w:eastAsia="Times New Roman" w:hAnsi="Segoe UI" w:cs="Segoe UI"/>
          <w:color w:val="000000"/>
          <w:sz w:val="18"/>
          <w:szCs w:val="18"/>
          <w:lang w:eastAsia="en-AU"/>
        </w:rPr>
      </w:pPr>
      <w:r w:rsidRPr="00E23780">
        <w:rPr>
          <w:rFonts w:ascii="Wingdings" w:eastAsia="Times New Roman" w:hAnsi="Wingdings" w:cs="Segoe UI"/>
          <w:color w:val="auto"/>
          <w:szCs w:val="22"/>
          <w:lang w:eastAsia="en-AU"/>
        </w:rPr>
        <w:sym w:font="Wingdings" w:char="F0EA"/>
      </w:r>
      <w:r w:rsidRPr="00E23780">
        <w:rPr>
          <w:rFonts w:ascii="Wingdings" w:eastAsia="Times New Roman" w:hAnsi="Wingdings" w:cs="Segoe UI"/>
          <w:color w:val="auto"/>
          <w:szCs w:val="22"/>
          <w:lang w:eastAsia="en-AU"/>
        </w:rPr>
        <w:t> </w:t>
      </w:r>
    </w:p>
    <w:p w14:paraId="490DA554" w14:textId="77777777" w:rsidR="00E23780" w:rsidRPr="00E23780" w:rsidRDefault="00E23780" w:rsidP="00E23780">
      <w:pPr>
        <w:pBdr>
          <w:top w:val="single" w:sz="2" w:space="1" w:color="000000"/>
          <w:left w:val="single" w:sz="2" w:space="4" w:color="000000"/>
          <w:right w:val="single" w:sz="2" w:space="4" w:color="000000"/>
        </w:pBdr>
        <w:spacing w:before="0" w:after="0" w:line="240" w:lineRule="auto"/>
        <w:jc w:val="center"/>
        <w:textAlignment w:val="baseline"/>
        <w:rPr>
          <w:rFonts w:ascii="Segoe UI" w:eastAsia="Times New Roman" w:hAnsi="Segoe UI" w:cs="Segoe UI"/>
          <w:color w:val="000000"/>
          <w:sz w:val="18"/>
          <w:szCs w:val="18"/>
          <w:lang w:eastAsia="en-AU"/>
        </w:rPr>
      </w:pPr>
      <w:r w:rsidRPr="00E23780">
        <w:rPr>
          <w:rFonts w:eastAsia="Times New Roman" w:cs="Arial"/>
          <w:b/>
          <w:bCs/>
          <w:color w:val="auto"/>
          <w:szCs w:val="22"/>
          <w:lang w:eastAsia="en-AU"/>
        </w:rPr>
        <w:t>We notify you of the outcome</w:t>
      </w:r>
      <w:r w:rsidRPr="00E23780">
        <w:rPr>
          <w:rFonts w:eastAsia="Times New Roman" w:cs="Arial"/>
          <w:color w:val="auto"/>
          <w:szCs w:val="22"/>
          <w:lang w:eastAsia="en-AU"/>
        </w:rPr>
        <w:t> </w:t>
      </w:r>
    </w:p>
    <w:p w14:paraId="2B8C6AE0" w14:textId="77777777" w:rsidR="00E23780" w:rsidRPr="00E23780" w:rsidRDefault="00E23780" w:rsidP="00E23780">
      <w:pPr>
        <w:pBdr>
          <w:left w:val="single" w:sz="2" w:space="4" w:color="000000"/>
          <w:bottom w:val="single" w:sz="2" w:space="1" w:color="000000"/>
          <w:right w:val="single" w:sz="2" w:space="4" w:color="000000"/>
        </w:pBdr>
        <w:spacing w:before="0" w:after="0" w:line="240" w:lineRule="auto"/>
        <w:jc w:val="center"/>
        <w:textAlignment w:val="baseline"/>
        <w:rPr>
          <w:rFonts w:ascii="Segoe UI" w:eastAsia="Times New Roman" w:hAnsi="Segoe UI" w:cs="Segoe UI"/>
          <w:color w:val="000000"/>
          <w:sz w:val="18"/>
          <w:szCs w:val="18"/>
          <w:lang w:eastAsia="en-AU"/>
        </w:rPr>
      </w:pPr>
      <w:r w:rsidRPr="00E23780">
        <w:rPr>
          <w:rFonts w:eastAsia="Times New Roman" w:cs="Arial"/>
          <w:color w:val="auto"/>
          <w:szCs w:val="22"/>
          <w:lang w:eastAsia="en-AU"/>
        </w:rPr>
        <w:t>We advise you of the funding outcome through Health Professional Online Services.  </w:t>
      </w:r>
    </w:p>
    <w:p w14:paraId="44ECCCC5" w14:textId="77777777" w:rsidR="00E23780" w:rsidRPr="00E23780" w:rsidRDefault="00E23780" w:rsidP="00E23780">
      <w:pPr>
        <w:spacing w:before="0" w:after="0" w:line="240" w:lineRule="auto"/>
        <w:jc w:val="center"/>
        <w:textAlignment w:val="baseline"/>
        <w:rPr>
          <w:rFonts w:ascii="Segoe UI" w:eastAsia="Times New Roman" w:hAnsi="Segoe UI" w:cs="Segoe UI"/>
          <w:color w:val="000000"/>
          <w:sz w:val="18"/>
          <w:szCs w:val="18"/>
          <w:lang w:eastAsia="en-AU"/>
        </w:rPr>
      </w:pPr>
      <w:r w:rsidRPr="00E23780">
        <w:rPr>
          <w:rFonts w:ascii="Wingdings" w:eastAsia="Times New Roman" w:hAnsi="Wingdings" w:cs="Segoe UI"/>
          <w:color w:val="auto"/>
          <w:szCs w:val="22"/>
          <w:lang w:eastAsia="en-AU"/>
        </w:rPr>
        <w:sym w:font="Wingdings" w:char="F0EA"/>
      </w:r>
      <w:r w:rsidRPr="00E23780">
        <w:rPr>
          <w:rFonts w:ascii="Wingdings" w:eastAsia="Times New Roman" w:hAnsi="Wingdings" w:cs="Segoe UI"/>
          <w:color w:val="auto"/>
          <w:szCs w:val="22"/>
          <w:lang w:eastAsia="en-AU"/>
        </w:rPr>
        <w:t> </w:t>
      </w:r>
    </w:p>
    <w:p w14:paraId="4B7880A6" w14:textId="77777777" w:rsidR="00E23780" w:rsidRPr="00E23780" w:rsidRDefault="00E23780" w:rsidP="00E23780">
      <w:pPr>
        <w:pBdr>
          <w:top w:val="single" w:sz="2" w:space="1" w:color="000000"/>
          <w:left w:val="single" w:sz="2" w:space="4" w:color="000000"/>
          <w:right w:val="single" w:sz="2" w:space="4" w:color="000000"/>
        </w:pBdr>
        <w:spacing w:before="0" w:after="0" w:line="240" w:lineRule="auto"/>
        <w:jc w:val="center"/>
        <w:textAlignment w:val="baseline"/>
        <w:rPr>
          <w:rFonts w:ascii="Segoe UI" w:eastAsia="Times New Roman" w:hAnsi="Segoe UI" w:cs="Segoe UI"/>
          <w:color w:val="000000"/>
          <w:sz w:val="18"/>
          <w:szCs w:val="18"/>
          <w:lang w:eastAsia="en-AU"/>
        </w:rPr>
      </w:pPr>
      <w:r w:rsidRPr="00E23780">
        <w:rPr>
          <w:rFonts w:eastAsia="Times New Roman" w:cs="Arial"/>
          <w:b/>
          <w:bCs/>
          <w:color w:val="auto"/>
          <w:szCs w:val="22"/>
          <w:lang w:eastAsia="en-AU"/>
        </w:rPr>
        <w:t>Payment is made </w:t>
      </w:r>
      <w:r w:rsidRPr="00E23780">
        <w:rPr>
          <w:rFonts w:eastAsia="Times New Roman" w:cs="Arial"/>
          <w:color w:val="auto"/>
          <w:szCs w:val="22"/>
          <w:lang w:eastAsia="en-AU"/>
        </w:rPr>
        <w:t> </w:t>
      </w:r>
    </w:p>
    <w:p w14:paraId="68EC4D66" w14:textId="0AE3B608" w:rsidR="00E23780" w:rsidRPr="002F3958" w:rsidRDefault="00560B5D" w:rsidP="00E23780">
      <w:pPr>
        <w:pBdr>
          <w:left w:val="single" w:sz="2" w:space="4" w:color="000000"/>
          <w:bottom w:val="single" w:sz="2" w:space="1" w:color="000000"/>
          <w:right w:val="single" w:sz="2" w:space="4" w:color="000000"/>
        </w:pBdr>
        <w:spacing w:before="0" w:after="0" w:line="240" w:lineRule="auto"/>
        <w:jc w:val="center"/>
        <w:textAlignment w:val="baseline"/>
        <w:rPr>
          <w:rFonts w:ascii="Segoe UI" w:eastAsia="Times New Roman" w:hAnsi="Segoe UI" w:cs="Segoe UI"/>
          <w:color w:val="auto"/>
          <w:sz w:val="18"/>
          <w:szCs w:val="18"/>
          <w:lang w:eastAsia="en-AU"/>
        </w:rPr>
      </w:pPr>
      <w:r w:rsidRPr="002F3958">
        <w:rPr>
          <w:rFonts w:eastAsia="Times New Roman" w:cs="Arial"/>
          <w:color w:val="auto"/>
          <w:szCs w:val="22"/>
          <w:lang w:eastAsia="en-AU"/>
        </w:rPr>
        <w:t>Services Australi</w:t>
      </w:r>
      <w:r w:rsidR="003F4B94" w:rsidRPr="002F3958">
        <w:rPr>
          <w:rFonts w:eastAsia="Times New Roman" w:cs="Arial"/>
          <w:color w:val="auto"/>
          <w:szCs w:val="22"/>
          <w:lang w:eastAsia="en-AU"/>
        </w:rPr>
        <w:t>a will release eligible payments on a quarterly basis</w:t>
      </w:r>
      <w:r w:rsidR="00E23780" w:rsidRPr="002F3958">
        <w:rPr>
          <w:rFonts w:eastAsia="Times New Roman" w:cs="Arial"/>
          <w:color w:val="auto"/>
          <w:szCs w:val="22"/>
          <w:lang w:eastAsia="en-AU"/>
        </w:rPr>
        <w:t>.</w:t>
      </w:r>
    </w:p>
    <w:p w14:paraId="4C622DE0" w14:textId="5CCAF70B" w:rsidR="00E23780" w:rsidRPr="00E23780" w:rsidRDefault="00E23780" w:rsidP="00E23780">
      <w:pPr>
        <w:spacing w:before="0" w:after="0" w:line="240" w:lineRule="auto"/>
        <w:jc w:val="center"/>
        <w:textAlignment w:val="baseline"/>
        <w:rPr>
          <w:rFonts w:ascii="Segoe UI" w:eastAsia="Times New Roman" w:hAnsi="Segoe UI" w:cs="Segoe UI"/>
          <w:color w:val="000000"/>
          <w:sz w:val="18"/>
          <w:szCs w:val="18"/>
          <w:lang w:eastAsia="en-AU"/>
        </w:rPr>
      </w:pPr>
      <w:r w:rsidRPr="00E23780">
        <w:rPr>
          <w:rFonts w:ascii="Wingdings" w:eastAsia="Times New Roman" w:hAnsi="Wingdings" w:cs="Segoe UI"/>
          <w:color w:val="auto"/>
          <w:szCs w:val="22"/>
          <w:lang w:eastAsia="en-AU"/>
        </w:rPr>
        <w:sym w:font="Wingdings" w:char="F0EA"/>
      </w:r>
    </w:p>
    <w:p w14:paraId="6D86D2D3" w14:textId="77777777" w:rsidR="00E23780" w:rsidRPr="00E23780" w:rsidRDefault="00E23780" w:rsidP="00E23780">
      <w:pPr>
        <w:pBdr>
          <w:top w:val="single" w:sz="2" w:space="1" w:color="000000"/>
          <w:left w:val="single" w:sz="2" w:space="4" w:color="000000"/>
          <w:right w:val="single" w:sz="2" w:space="4" w:color="000000"/>
        </w:pBdr>
        <w:spacing w:before="0" w:after="0" w:line="240" w:lineRule="auto"/>
        <w:jc w:val="center"/>
        <w:textAlignment w:val="baseline"/>
        <w:rPr>
          <w:rFonts w:ascii="Segoe UI" w:eastAsia="Times New Roman" w:hAnsi="Segoe UI" w:cs="Segoe UI"/>
          <w:color w:val="000000"/>
          <w:sz w:val="18"/>
          <w:szCs w:val="18"/>
          <w:lang w:eastAsia="en-AU"/>
        </w:rPr>
      </w:pPr>
      <w:r w:rsidRPr="00E23780">
        <w:rPr>
          <w:rFonts w:eastAsia="Times New Roman" w:cs="Arial"/>
          <w:b/>
          <w:bCs/>
          <w:color w:val="auto"/>
          <w:szCs w:val="22"/>
          <w:lang w:eastAsia="en-AU"/>
        </w:rPr>
        <w:t>Evaluation of GPACI</w:t>
      </w:r>
      <w:r w:rsidRPr="00E23780">
        <w:rPr>
          <w:rFonts w:eastAsia="Times New Roman" w:cs="Arial"/>
          <w:color w:val="auto"/>
          <w:szCs w:val="22"/>
          <w:lang w:eastAsia="en-AU"/>
        </w:rPr>
        <w:t> </w:t>
      </w:r>
    </w:p>
    <w:p w14:paraId="6852CA6E" w14:textId="77777777" w:rsidR="00E23780" w:rsidRPr="00E23780" w:rsidRDefault="00E23780" w:rsidP="00E23780">
      <w:pPr>
        <w:pBdr>
          <w:left w:val="single" w:sz="2" w:space="4" w:color="000000"/>
          <w:bottom w:val="single" w:sz="2" w:space="1" w:color="000000"/>
          <w:right w:val="single" w:sz="2" w:space="4" w:color="000000"/>
        </w:pBdr>
        <w:spacing w:before="0" w:after="0" w:line="240" w:lineRule="auto"/>
        <w:jc w:val="center"/>
        <w:textAlignment w:val="baseline"/>
        <w:rPr>
          <w:rFonts w:ascii="Segoe UI" w:eastAsia="Times New Roman" w:hAnsi="Segoe UI" w:cs="Segoe UI"/>
          <w:color w:val="000000"/>
          <w:sz w:val="18"/>
          <w:szCs w:val="18"/>
          <w:lang w:eastAsia="en-AU"/>
        </w:rPr>
      </w:pPr>
      <w:r w:rsidRPr="00E23780">
        <w:rPr>
          <w:rFonts w:eastAsia="Times New Roman" w:cs="Arial"/>
          <w:color w:val="auto"/>
          <w:szCs w:val="22"/>
          <w:lang w:eastAsia="en-AU"/>
        </w:rPr>
        <w:t xml:space="preserve">We evaluate your registration and </w:t>
      </w:r>
      <w:proofErr w:type="gramStart"/>
      <w:r w:rsidRPr="00E23780">
        <w:rPr>
          <w:rFonts w:eastAsia="Times New Roman" w:cs="Arial"/>
          <w:color w:val="auto"/>
          <w:szCs w:val="22"/>
          <w:lang w:eastAsia="en-AU"/>
        </w:rPr>
        <w:t>GPACI as a whole</w:t>
      </w:r>
      <w:proofErr w:type="gramEnd"/>
      <w:r w:rsidRPr="00E23780">
        <w:rPr>
          <w:rFonts w:eastAsia="Times New Roman" w:cs="Arial"/>
          <w:color w:val="auto"/>
          <w:szCs w:val="22"/>
          <w:lang w:eastAsia="en-AU"/>
        </w:rPr>
        <w:t>. We base this on information you provide to us and that we collect from various sources.  </w:t>
      </w:r>
    </w:p>
    <w:p w14:paraId="43D09292" w14:textId="627BA628" w:rsidR="00E23780" w:rsidRPr="00BD4E83" w:rsidRDefault="00E23780" w:rsidP="00BD4E83">
      <w:pPr>
        <w:spacing w:before="0" w:after="0" w:line="240" w:lineRule="auto"/>
        <w:textAlignment w:val="baseline"/>
        <w:rPr>
          <w:rFonts w:ascii="Segoe UI" w:eastAsia="Times New Roman" w:hAnsi="Segoe UI" w:cs="Segoe UI"/>
          <w:color w:val="000000"/>
          <w:sz w:val="18"/>
          <w:szCs w:val="18"/>
          <w:lang w:eastAsia="en-AU"/>
        </w:rPr>
      </w:pPr>
    </w:p>
    <w:p w14:paraId="720946A0" w14:textId="77777777" w:rsidR="00817CB4" w:rsidRPr="009A5F5E" w:rsidRDefault="00817CB4" w:rsidP="00407AD1">
      <w:pPr>
        <w:pStyle w:val="Heading3"/>
      </w:pPr>
      <w:bookmarkStart w:id="274" w:name="_Toc166066953"/>
      <w:bookmarkStart w:id="275" w:name="_Toc166068369"/>
      <w:bookmarkStart w:id="276" w:name="_Toc166068581"/>
      <w:bookmarkStart w:id="277" w:name="_Toc166069540"/>
      <w:bookmarkStart w:id="278" w:name="_Toc166069587"/>
      <w:bookmarkStart w:id="279" w:name="_Toc166136603"/>
      <w:bookmarkStart w:id="280" w:name="_Toc170120022"/>
      <w:bookmarkStart w:id="281" w:name="_Toc172899506"/>
      <w:bookmarkStart w:id="282" w:name="_Toc172899579"/>
      <w:bookmarkStart w:id="283" w:name="_Toc170817163"/>
      <w:r w:rsidRPr="009A5F5E">
        <w:t>Assessment periods</w:t>
      </w:r>
      <w:bookmarkEnd w:id="274"/>
      <w:bookmarkEnd w:id="275"/>
      <w:bookmarkEnd w:id="276"/>
      <w:bookmarkEnd w:id="277"/>
      <w:bookmarkEnd w:id="278"/>
      <w:bookmarkEnd w:id="279"/>
      <w:bookmarkEnd w:id="280"/>
      <w:bookmarkEnd w:id="281"/>
      <w:bookmarkEnd w:id="282"/>
      <w:bookmarkEnd w:id="283"/>
    </w:p>
    <w:p w14:paraId="68E7537F" w14:textId="6DB2507F" w:rsidR="00817CB4" w:rsidRPr="009A5F5E" w:rsidRDefault="00817CB4" w:rsidP="00817CB4">
      <w:pPr>
        <w:spacing w:before="120" w:after="120" w:line="276" w:lineRule="auto"/>
        <w:rPr>
          <w:rFonts w:eastAsia="Times New Roman"/>
        </w:rPr>
      </w:pPr>
      <w:r w:rsidRPr="009A5F5E">
        <w:rPr>
          <w:rFonts w:eastAsia="Times New Roman"/>
        </w:rPr>
        <w:t xml:space="preserve">Providers and practices </w:t>
      </w:r>
      <w:r w:rsidR="00262DE2" w:rsidRPr="009A5F5E">
        <w:rPr>
          <w:rFonts w:eastAsia="Times New Roman"/>
        </w:rPr>
        <w:t>are</w:t>
      </w:r>
      <w:r w:rsidRPr="009A5F5E">
        <w:rPr>
          <w:rFonts w:eastAsia="Times New Roman"/>
        </w:rPr>
        <w:t xml:space="preserve"> assessed to determine if they are eligible to receive incentive payments through a quarterly assessment process based on quarterly and/or 12-month servicing requirements. </w:t>
      </w:r>
    </w:p>
    <w:p w14:paraId="0D7B1438" w14:textId="77777777" w:rsidR="00817CB4" w:rsidRPr="009A5F5E" w:rsidRDefault="00817CB4" w:rsidP="00407AD1">
      <w:pPr>
        <w:pStyle w:val="Heading3"/>
      </w:pPr>
      <w:bookmarkStart w:id="284" w:name="_Toc166066954"/>
      <w:bookmarkStart w:id="285" w:name="_Toc166068370"/>
      <w:bookmarkStart w:id="286" w:name="_Toc166068582"/>
      <w:bookmarkStart w:id="287" w:name="_Toc166069541"/>
      <w:bookmarkStart w:id="288" w:name="_Toc166069588"/>
      <w:bookmarkStart w:id="289" w:name="_Toc166136604"/>
      <w:bookmarkStart w:id="290" w:name="_Toc170120023"/>
      <w:bookmarkStart w:id="291" w:name="_Toc172899507"/>
      <w:bookmarkStart w:id="292" w:name="_Toc172899580"/>
      <w:bookmarkStart w:id="293" w:name="_Toc170817164"/>
      <w:r w:rsidRPr="009A5F5E">
        <w:t>Quarterly assessment periods</w:t>
      </w:r>
      <w:bookmarkEnd w:id="284"/>
      <w:bookmarkEnd w:id="285"/>
      <w:bookmarkEnd w:id="286"/>
      <w:bookmarkEnd w:id="287"/>
      <w:bookmarkEnd w:id="288"/>
      <w:bookmarkEnd w:id="289"/>
      <w:bookmarkEnd w:id="290"/>
      <w:bookmarkEnd w:id="291"/>
      <w:bookmarkEnd w:id="292"/>
      <w:bookmarkEnd w:id="293"/>
    </w:p>
    <w:p w14:paraId="45C35D18" w14:textId="77777777" w:rsidR="00817CB4" w:rsidRPr="009A5F5E" w:rsidRDefault="00817CB4" w:rsidP="002D330A">
      <w:pPr>
        <w:keepNext/>
        <w:spacing w:before="120" w:after="120" w:line="276" w:lineRule="auto"/>
        <w:rPr>
          <w:rFonts w:eastAsia="Times New Roman"/>
        </w:rPr>
      </w:pPr>
      <w:r w:rsidRPr="009A5F5E">
        <w:rPr>
          <w:rFonts w:eastAsia="Times New Roman"/>
        </w:rPr>
        <w:t>The quarterly assessment periods are as follows:</w:t>
      </w:r>
    </w:p>
    <w:p w14:paraId="72D736C2" w14:textId="77777777" w:rsidR="00817CB4" w:rsidRPr="009A5F5E" w:rsidRDefault="00817CB4" w:rsidP="00F85C8B">
      <w:pPr>
        <w:pStyle w:val="ListBullet"/>
        <w:keepNext/>
        <w:numPr>
          <w:ilvl w:val="0"/>
          <w:numId w:val="10"/>
        </w:numPr>
        <w:tabs>
          <w:tab w:val="left" w:pos="340"/>
          <w:tab w:val="left" w:pos="680"/>
        </w:tabs>
        <w:spacing w:before="60" w:after="60" w:line="276" w:lineRule="auto"/>
        <w:ind w:left="360"/>
        <w:contextualSpacing w:val="0"/>
      </w:pPr>
      <w:r w:rsidRPr="009A5F5E">
        <w:t>1 July to 30 September</w:t>
      </w:r>
    </w:p>
    <w:p w14:paraId="455CB6E6"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1 October to 31 December</w:t>
      </w:r>
    </w:p>
    <w:p w14:paraId="10E16A4D"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1 January to 31 March</w:t>
      </w:r>
    </w:p>
    <w:p w14:paraId="32B7D029"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lastRenderedPageBreak/>
        <w:t>1 April to 30 June.</w:t>
      </w:r>
    </w:p>
    <w:p w14:paraId="50B9739C" w14:textId="77777777" w:rsidR="00817CB4" w:rsidRPr="009A5F5E" w:rsidRDefault="00817CB4" w:rsidP="00407AD1">
      <w:pPr>
        <w:pStyle w:val="Heading3"/>
      </w:pPr>
      <w:bookmarkStart w:id="294" w:name="_Toc166066955"/>
      <w:bookmarkStart w:id="295" w:name="_Toc166068371"/>
      <w:bookmarkStart w:id="296" w:name="_Toc166068583"/>
      <w:bookmarkStart w:id="297" w:name="_Toc166069542"/>
      <w:bookmarkStart w:id="298" w:name="_Toc166069589"/>
      <w:bookmarkStart w:id="299" w:name="_Toc166136605"/>
      <w:bookmarkStart w:id="300" w:name="_Toc170120024"/>
      <w:bookmarkStart w:id="301" w:name="_Toc172899508"/>
      <w:bookmarkStart w:id="302" w:name="_Toc172899581"/>
      <w:bookmarkStart w:id="303" w:name="_Toc170817165"/>
      <w:r w:rsidRPr="009A5F5E">
        <w:t>12-month patient care period</w:t>
      </w:r>
      <w:bookmarkEnd w:id="294"/>
      <w:bookmarkEnd w:id="295"/>
      <w:bookmarkEnd w:id="296"/>
      <w:bookmarkEnd w:id="297"/>
      <w:bookmarkEnd w:id="298"/>
      <w:bookmarkEnd w:id="299"/>
      <w:bookmarkEnd w:id="300"/>
      <w:bookmarkEnd w:id="301"/>
      <w:bookmarkEnd w:id="302"/>
      <w:bookmarkEnd w:id="303"/>
    </w:p>
    <w:p w14:paraId="759502C8" w14:textId="77777777" w:rsidR="00817CB4" w:rsidRPr="009A5F5E" w:rsidRDefault="00817CB4" w:rsidP="00817CB4">
      <w:pPr>
        <w:spacing w:before="120" w:after="120" w:line="276" w:lineRule="auto"/>
        <w:rPr>
          <w:rFonts w:eastAsia="Times New Roman"/>
        </w:rPr>
      </w:pPr>
      <w:r w:rsidRPr="009A5F5E">
        <w:rPr>
          <w:rFonts w:eastAsia="Times New Roman"/>
        </w:rPr>
        <w:t>The 12-month care periods are dependent on each patient’s assessment start date. The periods for the 12-month servicing requirements are as follows:</w:t>
      </w:r>
    </w:p>
    <w:p w14:paraId="7098AE0F"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1 July to 30 June</w:t>
      </w:r>
    </w:p>
    <w:p w14:paraId="2C5A7BF2"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1 October to 30 September</w:t>
      </w:r>
    </w:p>
    <w:p w14:paraId="2651CE8E"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1 January to 31 December</w:t>
      </w:r>
    </w:p>
    <w:p w14:paraId="2B6DD6AF"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pPr>
      <w:r w:rsidRPr="009A5F5E">
        <w:t>1 April to 31 March.</w:t>
      </w:r>
    </w:p>
    <w:p w14:paraId="2FD1BAC9" w14:textId="77777777" w:rsidR="00817CB4" w:rsidRPr="009A5F5E" w:rsidRDefault="00817CB4" w:rsidP="00407AD1">
      <w:pPr>
        <w:pStyle w:val="Heading3"/>
      </w:pPr>
      <w:bookmarkStart w:id="304" w:name="_Toc166066956"/>
      <w:bookmarkStart w:id="305" w:name="_Toc166068372"/>
      <w:bookmarkStart w:id="306" w:name="_Toc166068584"/>
      <w:bookmarkStart w:id="307" w:name="_Toc166069543"/>
      <w:bookmarkStart w:id="308" w:name="_Toc166069590"/>
      <w:bookmarkStart w:id="309" w:name="_Toc166136606"/>
      <w:bookmarkStart w:id="310" w:name="_Toc170120025"/>
      <w:bookmarkStart w:id="311" w:name="_Toc172899509"/>
      <w:bookmarkStart w:id="312" w:name="_Toc172899582"/>
      <w:bookmarkStart w:id="313" w:name="_Toc170817166"/>
      <w:bookmarkStart w:id="314" w:name="_Hlk167963775"/>
      <w:r w:rsidRPr="009A5F5E">
        <w:t>Assessment start date</w:t>
      </w:r>
      <w:bookmarkEnd w:id="304"/>
      <w:bookmarkEnd w:id="305"/>
      <w:bookmarkEnd w:id="306"/>
      <w:bookmarkEnd w:id="307"/>
      <w:bookmarkEnd w:id="308"/>
      <w:bookmarkEnd w:id="309"/>
      <w:bookmarkEnd w:id="310"/>
      <w:bookmarkEnd w:id="311"/>
      <w:bookmarkEnd w:id="312"/>
      <w:bookmarkEnd w:id="313"/>
    </w:p>
    <w:p w14:paraId="41BEF508" w14:textId="280E7613" w:rsidR="003357EC" w:rsidRPr="009A5F5E" w:rsidDel="003357EC" w:rsidRDefault="6F20E253" w:rsidP="003357EC">
      <w:pPr>
        <w:spacing w:before="120" w:after="120" w:line="276" w:lineRule="auto"/>
        <w:rPr>
          <w:rFonts w:eastAsia="Times New Roman"/>
        </w:rPr>
      </w:pPr>
      <w:bookmarkStart w:id="315" w:name="_Hlk165580583"/>
      <w:r w:rsidRPr="009A5F5E">
        <w:rPr>
          <w:rFonts w:eastAsia="Times New Roman"/>
        </w:rPr>
        <w:t xml:space="preserve">The assessment start date for a patient </w:t>
      </w:r>
      <w:r w:rsidR="186410BD" w:rsidRPr="009A5F5E">
        <w:rPr>
          <w:rFonts w:eastAsia="Times New Roman"/>
        </w:rPr>
        <w:t>is</w:t>
      </w:r>
      <w:r w:rsidRPr="009A5F5E">
        <w:rPr>
          <w:rFonts w:eastAsia="Times New Roman"/>
        </w:rPr>
        <w:t xml:space="preserve"> the </w:t>
      </w:r>
      <w:r w:rsidR="236FB3B4" w:rsidRPr="009A5F5E">
        <w:rPr>
          <w:rFonts w:eastAsia="Times New Roman"/>
        </w:rPr>
        <w:t>first day</w:t>
      </w:r>
      <w:r w:rsidRPr="009A5F5E">
        <w:rPr>
          <w:rFonts w:eastAsia="Times New Roman"/>
        </w:rPr>
        <w:t xml:space="preserve"> of the assessment quarter in which the patient </w:t>
      </w:r>
      <w:r w:rsidR="186410BD" w:rsidRPr="009A5F5E">
        <w:rPr>
          <w:rFonts w:eastAsia="Times New Roman"/>
        </w:rPr>
        <w:t xml:space="preserve">is </w:t>
      </w:r>
      <w:r w:rsidRPr="009A5F5E">
        <w:rPr>
          <w:rFonts w:eastAsia="Times New Roman"/>
        </w:rPr>
        <w:t xml:space="preserve">registered in the </w:t>
      </w:r>
      <w:r w:rsidR="00781C8B" w:rsidRPr="009A5F5E">
        <w:rPr>
          <w:rFonts w:eastAsia="Times New Roman"/>
        </w:rPr>
        <w:t>GPACI</w:t>
      </w:r>
      <w:r w:rsidR="236FB3B4" w:rsidRPr="009A5F5E">
        <w:rPr>
          <w:rFonts w:eastAsia="Times New Roman"/>
        </w:rPr>
        <w:t>, despite the date of registration within that quarter</w:t>
      </w:r>
      <w:r w:rsidRPr="009A5F5E">
        <w:rPr>
          <w:rFonts w:eastAsia="Times New Roman"/>
        </w:rPr>
        <w:t xml:space="preserve">. This quarter </w:t>
      </w:r>
      <w:r w:rsidR="186410BD" w:rsidRPr="009A5F5E">
        <w:rPr>
          <w:rFonts w:eastAsia="Times New Roman"/>
        </w:rPr>
        <w:t>is</w:t>
      </w:r>
      <w:r w:rsidRPr="009A5F5E">
        <w:rPr>
          <w:rFonts w:eastAsia="Times New Roman"/>
        </w:rPr>
        <w:t xml:space="preserve"> the first assessment quarter for patients and the start of the 12-month assessment period.</w:t>
      </w:r>
      <w:bookmarkEnd w:id="315"/>
    </w:p>
    <w:p w14:paraId="168ADE4B" w14:textId="3D311EDB" w:rsidR="332CE0C9" w:rsidRPr="009A5F5E" w:rsidRDefault="332CE0C9" w:rsidP="00922830">
      <w:pPr>
        <w:spacing w:before="120" w:after="120" w:line="276" w:lineRule="auto"/>
        <w:rPr>
          <w:rFonts w:eastAsia="Times New Roman"/>
        </w:rPr>
      </w:pPr>
      <w:r w:rsidRPr="009A5F5E">
        <w:rPr>
          <w:rFonts w:eastAsia="Times New Roman"/>
        </w:rPr>
        <w:t>If a patient moves to a new practice, even if the existing responsible provider also moves to the new practice, the 12-month care period for the patient resets to Quarter 1 and the patient is assessed as a new patient at that practice.</w:t>
      </w:r>
    </w:p>
    <w:p w14:paraId="5122646E" w14:textId="6B9CBEE7" w:rsidR="332CE0C9" w:rsidRPr="009A5F5E" w:rsidRDefault="332CE0C9" w:rsidP="00922830">
      <w:pPr>
        <w:spacing w:before="120" w:after="120" w:line="276" w:lineRule="auto"/>
        <w:rPr>
          <w:rFonts w:eastAsia="Times New Roman"/>
        </w:rPr>
      </w:pPr>
      <w:r w:rsidRPr="009A5F5E">
        <w:rPr>
          <w:rFonts w:eastAsia="Times New Roman"/>
        </w:rPr>
        <w:t xml:space="preserve">If a patient’s </w:t>
      </w:r>
      <w:r w:rsidR="00781C8B" w:rsidRPr="009A5F5E">
        <w:rPr>
          <w:rFonts w:eastAsia="Times New Roman"/>
        </w:rPr>
        <w:t>GPACI</w:t>
      </w:r>
      <w:r w:rsidRPr="009A5F5E">
        <w:rPr>
          <w:rFonts w:eastAsia="Times New Roman"/>
        </w:rPr>
        <w:t xml:space="preserve"> registration is withdrawn for more than a full quarter, the 12-month care period for the patient resets to Quarter 1 and the patient is assessed as a new patient, even if they are registered with the same practice and the same Responsible Provider.</w:t>
      </w:r>
    </w:p>
    <w:p w14:paraId="1F3F60E1" w14:textId="448F52FC" w:rsidR="332CE0C9" w:rsidRPr="009A5F5E" w:rsidRDefault="332CE0C9" w:rsidP="00922830">
      <w:pPr>
        <w:spacing w:before="120" w:after="120" w:line="276" w:lineRule="auto"/>
        <w:rPr>
          <w:rFonts w:eastAsia="Times New Roman"/>
        </w:rPr>
      </w:pPr>
      <w:r w:rsidRPr="009A5F5E">
        <w:rPr>
          <w:rFonts w:eastAsia="Times New Roman"/>
        </w:rPr>
        <w:t>A change in Responsible Provider at the same practice does not reset the 12-month care period for the patient.</w:t>
      </w:r>
    </w:p>
    <w:p w14:paraId="6212DAEE" w14:textId="4E3F73CF" w:rsidR="4CB9F7B6" w:rsidRPr="009A5F5E" w:rsidRDefault="52F7025F" w:rsidP="00922830">
      <w:pPr>
        <w:pStyle w:val="Heading3"/>
        <w:ind w:left="432" w:hanging="432"/>
      </w:pPr>
      <w:r w:rsidRPr="009A5F5E">
        <w:t>Responsible Provider Services</w:t>
      </w:r>
    </w:p>
    <w:p w14:paraId="3111F57F" w14:textId="22EACFC7" w:rsidR="59E75E0B" w:rsidRPr="009A5F5E" w:rsidRDefault="59E75E0B" w:rsidP="00922830">
      <w:pPr>
        <w:spacing w:before="120" w:after="120" w:line="276" w:lineRule="auto"/>
        <w:rPr>
          <w:rFonts w:eastAsia="Times New Roman"/>
        </w:rPr>
      </w:pPr>
      <w:r w:rsidRPr="009A5F5E">
        <w:rPr>
          <w:rFonts w:eastAsia="Times New Roman"/>
        </w:rPr>
        <w:t>Eligible services are only considered as being delivered by a Responsible Provider while the provider is linked to the patient as the Responsible Provider.</w:t>
      </w:r>
    </w:p>
    <w:p w14:paraId="3D75E31A" w14:textId="0BE7EEB7" w:rsidR="690F3BC6" w:rsidRPr="009A5F5E" w:rsidRDefault="59E75E0B" w:rsidP="690F3BC6">
      <w:pPr>
        <w:spacing w:before="120" w:after="120" w:line="276" w:lineRule="auto"/>
        <w:rPr>
          <w:rFonts w:eastAsia="Times New Roman"/>
        </w:rPr>
      </w:pPr>
      <w:r w:rsidRPr="009A5F5E">
        <w:rPr>
          <w:rFonts w:eastAsia="Times New Roman"/>
        </w:rPr>
        <w:t>If a provider delivers an eligible service before they are linked as the Responsible Provider, the service is assessed as being delivered by an alternat</w:t>
      </w:r>
      <w:r w:rsidR="00C36093" w:rsidRPr="009A5F5E">
        <w:rPr>
          <w:rFonts w:eastAsia="Times New Roman"/>
        </w:rPr>
        <w:t>iv</w:t>
      </w:r>
      <w:r w:rsidRPr="009A5F5E">
        <w:rPr>
          <w:rFonts w:eastAsia="Times New Roman"/>
        </w:rPr>
        <w:t xml:space="preserve">e provider, not a </w:t>
      </w:r>
      <w:r w:rsidR="00F40A35" w:rsidRPr="009A5F5E">
        <w:rPr>
          <w:rFonts w:eastAsia="Times New Roman"/>
        </w:rPr>
        <w:t>Responsible Provider</w:t>
      </w:r>
      <w:r w:rsidRPr="009A5F5E">
        <w:rPr>
          <w:rFonts w:eastAsia="Times New Roman"/>
        </w:rPr>
        <w:t>.</w:t>
      </w:r>
    </w:p>
    <w:p w14:paraId="02325020" w14:textId="77777777" w:rsidR="00817CB4" w:rsidRPr="009A5F5E" w:rsidRDefault="00817CB4" w:rsidP="00407AD1">
      <w:pPr>
        <w:pStyle w:val="Heading3"/>
      </w:pPr>
      <w:bookmarkStart w:id="316" w:name="_Toc166066957"/>
      <w:bookmarkStart w:id="317" w:name="_Toc166068373"/>
      <w:bookmarkStart w:id="318" w:name="_Toc166068585"/>
      <w:bookmarkStart w:id="319" w:name="_Toc166069544"/>
      <w:bookmarkStart w:id="320" w:name="_Toc166069591"/>
      <w:bookmarkStart w:id="321" w:name="_Toc166136607"/>
      <w:bookmarkStart w:id="322" w:name="_Toc170120026"/>
      <w:bookmarkStart w:id="323" w:name="_Toc172899510"/>
      <w:bookmarkStart w:id="324" w:name="_Toc172899583"/>
      <w:bookmarkStart w:id="325" w:name="_Toc170817167"/>
      <w:bookmarkEnd w:id="314"/>
      <w:r w:rsidRPr="009A5F5E">
        <w:t>Assessment date</w:t>
      </w:r>
      <w:bookmarkEnd w:id="316"/>
      <w:bookmarkEnd w:id="317"/>
      <w:bookmarkEnd w:id="318"/>
      <w:bookmarkEnd w:id="319"/>
      <w:bookmarkEnd w:id="320"/>
      <w:bookmarkEnd w:id="321"/>
      <w:bookmarkEnd w:id="322"/>
      <w:bookmarkEnd w:id="323"/>
      <w:bookmarkEnd w:id="324"/>
      <w:bookmarkEnd w:id="325"/>
    </w:p>
    <w:p w14:paraId="5F38856F" w14:textId="066073A8" w:rsidR="00817CB4" w:rsidRPr="009A5F5E" w:rsidRDefault="00817CB4" w:rsidP="00817CB4">
      <w:pPr>
        <w:spacing w:before="120" w:after="120" w:line="276" w:lineRule="auto"/>
        <w:rPr>
          <w:rFonts w:eastAsia="Times New Roman"/>
        </w:rPr>
      </w:pPr>
      <w:r w:rsidRPr="009A5F5E">
        <w:rPr>
          <w:rFonts w:eastAsia="Times New Roman"/>
        </w:rPr>
        <w:t>Assessment of providers</w:t>
      </w:r>
      <w:r w:rsidR="009C662B" w:rsidRPr="009A5F5E">
        <w:rPr>
          <w:rFonts w:eastAsia="Times New Roman"/>
        </w:rPr>
        <w:t>’</w:t>
      </w:r>
      <w:r w:rsidRPr="009A5F5E">
        <w:rPr>
          <w:rFonts w:eastAsia="Times New Roman"/>
        </w:rPr>
        <w:t xml:space="preserve"> and practices</w:t>
      </w:r>
      <w:r w:rsidR="009C662B" w:rsidRPr="009A5F5E">
        <w:rPr>
          <w:rFonts w:eastAsia="Times New Roman"/>
        </w:rPr>
        <w:t>’</w:t>
      </w:r>
      <w:r w:rsidRPr="009A5F5E">
        <w:rPr>
          <w:rFonts w:eastAsia="Times New Roman"/>
        </w:rPr>
        <w:t xml:space="preserve"> eligibility for each assessment period </w:t>
      </w:r>
      <w:r w:rsidR="00262DE2" w:rsidRPr="009A5F5E">
        <w:rPr>
          <w:rFonts w:eastAsia="Times New Roman"/>
        </w:rPr>
        <w:t>is</w:t>
      </w:r>
      <w:r w:rsidRPr="009A5F5E">
        <w:rPr>
          <w:rFonts w:eastAsia="Times New Roman"/>
        </w:rPr>
        <w:t xml:space="preserve"> performed by Services Australia 5 business days after the end of the </w:t>
      </w:r>
      <w:r w:rsidR="000531B4" w:rsidRPr="009A5F5E">
        <w:rPr>
          <w:rFonts w:eastAsia="Times New Roman"/>
        </w:rPr>
        <w:t xml:space="preserve">quarterly </w:t>
      </w:r>
      <w:r w:rsidRPr="009A5F5E">
        <w:rPr>
          <w:rFonts w:eastAsia="Times New Roman"/>
        </w:rPr>
        <w:t xml:space="preserve">assessment period. Following the assessment, a Quality Assurance process </w:t>
      </w:r>
      <w:r w:rsidR="009C662B" w:rsidRPr="009A5F5E">
        <w:rPr>
          <w:rFonts w:eastAsia="Times New Roman"/>
        </w:rPr>
        <w:t>is</w:t>
      </w:r>
      <w:r w:rsidRPr="009A5F5E">
        <w:rPr>
          <w:rFonts w:eastAsia="Times New Roman"/>
        </w:rPr>
        <w:t xml:space="preserve"> undertaken prior to the approval and release of payments via the Reserve Bank of Australia.</w:t>
      </w:r>
    </w:p>
    <w:p w14:paraId="1663DACE" w14:textId="77777777" w:rsidR="00817CB4" w:rsidRPr="009A5F5E" w:rsidRDefault="00817CB4" w:rsidP="00407AD1">
      <w:pPr>
        <w:pStyle w:val="Heading3"/>
      </w:pPr>
      <w:bookmarkStart w:id="326" w:name="_Toc166066958"/>
      <w:bookmarkStart w:id="327" w:name="_Toc166068374"/>
      <w:bookmarkStart w:id="328" w:name="_Toc166068586"/>
      <w:bookmarkStart w:id="329" w:name="_Toc166069545"/>
      <w:bookmarkStart w:id="330" w:name="_Toc166069592"/>
      <w:bookmarkStart w:id="331" w:name="_Toc166136608"/>
      <w:bookmarkStart w:id="332" w:name="_Toc167109450"/>
      <w:bookmarkStart w:id="333" w:name="_Toc170120027"/>
      <w:bookmarkStart w:id="334" w:name="_Toc172899511"/>
      <w:bookmarkStart w:id="335" w:name="_Toc172899584"/>
      <w:bookmarkStart w:id="336" w:name="_Toc170817168"/>
      <w:r w:rsidRPr="009A5F5E">
        <w:t>Assessment approach</w:t>
      </w:r>
      <w:bookmarkEnd w:id="326"/>
      <w:bookmarkEnd w:id="327"/>
      <w:bookmarkEnd w:id="328"/>
      <w:bookmarkEnd w:id="329"/>
      <w:bookmarkEnd w:id="330"/>
      <w:bookmarkEnd w:id="331"/>
      <w:bookmarkEnd w:id="332"/>
      <w:bookmarkEnd w:id="333"/>
      <w:bookmarkEnd w:id="334"/>
      <w:bookmarkEnd w:id="335"/>
      <w:bookmarkEnd w:id="336"/>
    </w:p>
    <w:p w14:paraId="0FCDD566" w14:textId="3E866D4C" w:rsidR="00817CB4" w:rsidRDefault="00817CB4" w:rsidP="00817CB4">
      <w:pPr>
        <w:spacing w:before="120" w:after="120" w:line="276" w:lineRule="auto"/>
        <w:rPr>
          <w:rFonts w:eastAsia="Times New Roman"/>
        </w:rPr>
      </w:pPr>
      <w:r w:rsidRPr="009A5F5E">
        <w:rPr>
          <w:rFonts w:eastAsia="Times New Roman"/>
        </w:rPr>
        <w:t xml:space="preserve">The </w:t>
      </w:r>
      <w:r w:rsidR="00781C8B" w:rsidRPr="009A5F5E">
        <w:rPr>
          <w:rFonts w:eastAsia="Times New Roman"/>
        </w:rPr>
        <w:t>GPACI</w:t>
      </w:r>
      <w:r w:rsidRPr="009A5F5E">
        <w:rPr>
          <w:rFonts w:eastAsia="Times New Roman"/>
        </w:rPr>
        <w:t xml:space="preserve"> requires practices and providers to meet quarterly requirements to be eligible for incentive payments. Each patient assessment period may differ based on when they are registered with the </w:t>
      </w:r>
      <w:r w:rsidR="00781C8B" w:rsidRPr="009A5F5E">
        <w:rPr>
          <w:rFonts w:eastAsia="Times New Roman"/>
        </w:rPr>
        <w:t>GPACI</w:t>
      </w:r>
      <w:r w:rsidR="36B4E279" w:rsidRPr="009A5F5E">
        <w:rPr>
          <w:rFonts w:eastAsia="Times New Roman"/>
        </w:rPr>
        <w:t>.</w:t>
      </w:r>
      <w:r w:rsidRPr="009A5F5E">
        <w:rPr>
          <w:rFonts w:eastAsia="Times New Roman"/>
        </w:rPr>
        <w:t xml:space="preserve"> </w:t>
      </w:r>
      <w:r w:rsidR="27A3BE2A" w:rsidRPr="009A5F5E">
        <w:rPr>
          <w:rFonts w:eastAsia="Times New Roman"/>
        </w:rPr>
        <w:t>R</w:t>
      </w:r>
      <w:r w:rsidRPr="009A5F5E">
        <w:rPr>
          <w:rFonts w:eastAsia="Times New Roman"/>
        </w:rPr>
        <w:t>efer to overview of payment eligibility requirements per assessment period for more information.</w:t>
      </w:r>
    </w:p>
    <w:p w14:paraId="5E636792" w14:textId="77777777" w:rsidR="00DE23F3" w:rsidRDefault="00DE23F3" w:rsidP="00DE23F3">
      <w:pPr>
        <w:spacing w:before="120" w:after="120" w:line="276" w:lineRule="auto"/>
        <w:rPr>
          <w:rFonts w:eastAsia="Times New Roman"/>
        </w:rPr>
      </w:pPr>
      <w:r w:rsidRPr="009A5F5E">
        <w:rPr>
          <w:rFonts w:eastAsia="Times New Roman"/>
        </w:rPr>
        <w:lastRenderedPageBreak/>
        <w:t xml:space="preserve">Payments are </w:t>
      </w:r>
      <w:r>
        <w:rPr>
          <w:rFonts w:eastAsia="Times New Roman"/>
        </w:rPr>
        <w:t xml:space="preserve">determined using a system-based </w:t>
      </w:r>
      <w:r w:rsidRPr="009A5F5E">
        <w:rPr>
          <w:rFonts w:eastAsia="Times New Roman"/>
        </w:rPr>
        <w:t>assess</w:t>
      </w:r>
      <w:r>
        <w:rPr>
          <w:rFonts w:eastAsia="Times New Roman"/>
        </w:rPr>
        <w:t>ment, which considers MBS claims data</w:t>
      </w:r>
      <w:r w:rsidRPr="009A5F5E">
        <w:rPr>
          <w:rFonts w:eastAsia="Times New Roman"/>
        </w:rPr>
        <w:t xml:space="preserve"> against the</w:t>
      </w:r>
      <w:r>
        <w:rPr>
          <w:rFonts w:eastAsia="Times New Roman"/>
        </w:rPr>
        <w:t xml:space="preserve"> eligibility criteria for payment. This assessment is carried out by Services Australia based on the</w:t>
      </w:r>
      <w:r w:rsidRPr="009A5F5E">
        <w:rPr>
          <w:rFonts w:eastAsia="Times New Roman"/>
        </w:rPr>
        <w:t xml:space="preserve"> GPACI guidelines published at the time of assessment. </w:t>
      </w:r>
    </w:p>
    <w:p w14:paraId="46D8D7EC" w14:textId="10DA6A20" w:rsidR="007A1806" w:rsidRPr="009A5F5E" w:rsidRDefault="00DE23F3" w:rsidP="00817CB4">
      <w:pPr>
        <w:spacing w:before="120" w:after="120" w:line="276" w:lineRule="auto"/>
        <w:rPr>
          <w:rFonts w:eastAsia="Times New Roman"/>
        </w:rPr>
      </w:pPr>
      <w:r>
        <w:rPr>
          <w:rFonts w:eastAsia="Times New Roman"/>
        </w:rPr>
        <w:t xml:space="preserve">Officers of </w:t>
      </w:r>
      <w:r w:rsidRPr="00DE23F3">
        <w:rPr>
          <w:rFonts w:eastAsia="Times New Roman"/>
          <w:color w:val="auto"/>
        </w:rPr>
        <w:t xml:space="preserve">Services Australia undertake quality assurance process to check claims and registration data matches the eligibility and payment criteria to ensure the accuracy of payments prior to their release.  </w:t>
      </w:r>
    </w:p>
    <w:p w14:paraId="2A16B1A8" w14:textId="19223809" w:rsidR="00534F06" w:rsidRPr="009A5F5E" w:rsidRDefault="00534F06" w:rsidP="00534F06">
      <w:pPr>
        <w:pStyle w:val="Heading3"/>
      </w:pPr>
      <w:r w:rsidRPr="009A5F5E">
        <w:t xml:space="preserve">Who will approve the </w:t>
      </w:r>
      <w:r w:rsidR="00687EA6" w:rsidRPr="009A5F5E">
        <w:t>funding</w:t>
      </w:r>
      <w:r w:rsidR="006345EE" w:rsidRPr="009A5F5E">
        <w:t>?</w:t>
      </w:r>
    </w:p>
    <w:p w14:paraId="1A9687D3" w14:textId="3DC56380" w:rsidR="009A5F5E" w:rsidRPr="009A5F5E" w:rsidRDefault="009A5F5E" w:rsidP="006F28ED">
      <w:pPr>
        <w:spacing w:before="120" w:after="120" w:line="276" w:lineRule="auto"/>
        <w:rPr>
          <w:rFonts w:eastAsia="Times New Roman"/>
        </w:rPr>
      </w:pPr>
      <w:r w:rsidRPr="009A5F5E">
        <w:rPr>
          <w:rFonts w:eastAsia="Times New Roman"/>
        </w:rPr>
        <w:t xml:space="preserve">The </w:t>
      </w:r>
      <w:r w:rsidR="00DE23F3">
        <w:rPr>
          <w:rFonts w:eastAsia="Times New Roman"/>
        </w:rPr>
        <w:t xml:space="preserve">National Manager, Services Australia, is the </w:t>
      </w:r>
      <w:r w:rsidRPr="009A5F5E">
        <w:rPr>
          <w:rFonts w:eastAsia="Times New Roman"/>
        </w:rPr>
        <w:t>Commonwealth’s delegate with authority under section 32B of the FF(SP) Act (the Decision Maker)</w:t>
      </w:r>
      <w:r w:rsidR="002C52F2">
        <w:rPr>
          <w:rFonts w:eastAsia="Times New Roman"/>
        </w:rPr>
        <w:t xml:space="preserve">. </w:t>
      </w:r>
      <w:r w:rsidR="00B055C6">
        <w:rPr>
          <w:rFonts w:eastAsia="Times New Roman"/>
        </w:rPr>
        <w:t>The Decision Maker</w:t>
      </w:r>
      <w:r w:rsidRPr="009A5F5E">
        <w:rPr>
          <w:rFonts w:eastAsia="Times New Roman"/>
        </w:rPr>
        <w:t xml:space="preserve"> decides which grants to approve having considered the availability of funds for the purposes of the </w:t>
      </w:r>
      <w:r w:rsidR="00B055C6">
        <w:rPr>
          <w:rFonts w:eastAsia="Times New Roman"/>
        </w:rPr>
        <w:t>GPACI</w:t>
      </w:r>
      <w:r w:rsidRPr="009A5F5E">
        <w:rPr>
          <w:rFonts w:eastAsia="Times New Roman"/>
        </w:rPr>
        <w:t xml:space="preserve">. </w:t>
      </w:r>
    </w:p>
    <w:p w14:paraId="15B6D6C2" w14:textId="1C844D4F" w:rsidR="006F28ED" w:rsidRPr="009A5F5E" w:rsidRDefault="006F28ED" w:rsidP="006F28ED">
      <w:pPr>
        <w:spacing w:before="120" w:after="120" w:line="276" w:lineRule="auto"/>
        <w:rPr>
          <w:rFonts w:eastAsia="Times New Roman"/>
        </w:rPr>
      </w:pPr>
      <w:r w:rsidRPr="009A5F5E">
        <w:rPr>
          <w:rFonts w:eastAsia="Times New Roman"/>
        </w:rPr>
        <w:t>The Decision Maker’s decision is final in all matters, including:</w:t>
      </w:r>
    </w:p>
    <w:p w14:paraId="225994BD" w14:textId="470A767E" w:rsidR="006F28ED" w:rsidRPr="009A5F5E" w:rsidRDefault="006F28ED" w:rsidP="006F28ED">
      <w:pPr>
        <w:numPr>
          <w:ilvl w:val="0"/>
          <w:numId w:val="17"/>
        </w:numPr>
        <w:spacing w:before="120" w:after="120" w:line="276" w:lineRule="auto"/>
        <w:rPr>
          <w:rFonts w:eastAsia="Times New Roman"/>
        </w:rPr>
      </w:pPr>
      <w:r w:rsidRPr="009A5F5E">
        <w:rPr>
          <w:rFonts w:eastAsia="Times New Roman"/>
        </w:rPr>
        <w:t xml:space="preserve">the approval of </w:t>
      </w:r>
      <w:r w:rsidR="00F51DA1" w:rsidRPr="009A5F5E">
        <w:rPr>
          <w:rFonts w:eastAsia="Times New Roman"/>
        </w:rPr>
        <w:t>GPACI funding</w:t>
      </w:r>
      <w:r w:rsidR="00657D05" w:rsidRPr="009A5F5E">
        <w:rPr>
          <w:rFonts w:eastAsia="Times New Roman"/>
        </w:rPr>
        <w:t>,</w:t>
      </w:r>
      <w:r w:rsidR="009A5F5E" w:rsidRPr="009A5F5E">
        <w:rPr>
          <w:rFonts w:eastAsia="Times New Roman"/>
        </w:rPr>
        <w:t xml:space="preserve"> and</w:t>
      </w:r>
    </w:p>
    <w:p w14:paraId="2162A5F1" w14:textId="7770A094" w:rsidR="009A5F5E" w:rsidRPr="009A5F5E" w:rsidRDefault="006F28ED" w:rsidP="009A5F5E">
      <w:pPr>
        <w:numPr>
          <w:ilvl w:val="0"/>
          <w:numId w:val="17"/>
        </w:numPr>
        <w:spacing w:before="120" w:after="120" w:line="276" w:lineRule="auto"/>
        <w:rPr>
          <w:rFonts w:eastAsia="Times New Roman"/>
        </w:rPr>
      </w:pPr>
      <w:r w:rsidRPr="009A5F5E">
        <w:rPr>
          <w:rFonts w:eastAsia="Times New Roman"/>
        </w:rPr>
        <w:t>the funding amount to be awarded</w:t>
      </w:r>
      <w:r w:rsidR="009A5F5E" w:rsidRPr="009A5F5E">
        <w:rPr>
          <w:rFonts w:eastAsia="Times New Roman"/>
        </w:rPr>
        <w:t>.</w:t>
      </w:r>
    </w:p>
    <w:p w14:paraId="4692DE72" w14:textId="3310AA51" w:rsidR="001F3B55" w:rsidRPr="009A5F5E" w:rsidRDefault="00176877" w:rsidP="009A5F5E">
      <w:pPr>
        <w:spacing w:before="120" w:after="120" w:line="276" w:lineRule="auto"/>
        <w:rPr>
          <w:rFonts w:eastAsia="Times New Roman"/>
        </w:rPr>
      </w:pPr>
      <w:r w:rsidRPr="009A5F5E">
        <w:rPr>
          <w:rFonts w:eastAsia="Times New Roman"/>
        </w:rPr>
        <w:t>A review of decision process is outlined in section 14.2 of these guidelines.</w:t>
      </w:r>
    </w:p>
    <w:p w14:paraId="66B90EC1" w14:textId="32A02B7C" w:rsidR="00817CB4" w:rsidRPr="009A5F5E" w:rsidRDefault="00817CB4" w:rsidP="00407AD1">
      <w:pPr>
        <w:pStyle w:val="Heading3"/>
      </w:pPr>
      <w:bookmarkStart w:id="337" w:name="_Toc166066959"/>
      <w:bookmarkStart w:id="338" w:name="_Toc166068375"/>
      <w:bookmarkStart w:id="339" w:name="_Toc166068587"/>
      <w:bookmarkStart w:id="340" w:name="_Toc166069546"/>
      <w:bookmarkStart w:id="341" w:name="_Toc166069593"/>
      <w:bookmarkStart w:id="342" w:name="_Toc166136609"/>
      <w:bookmarkStart w:id="343" w:name="_Toc167109451"/>
      <w:bookmarkStart w:id="344" w:name="_Toc170120028"/>
      <w:bookmarkStart w:id="345" w:name="_Toc172899512"/>
      <w:bookmarkStart w:id="346" w:name="_Toc172899585"/>
      <w:bookmarkStart w:id="347" w:name="_Toc170817169"/>
      <w:r w:rsidRPr="009A5F5E">
        <w:t>Partial and pro-rat</w:t>
      </w:r>
      <w:r w:rsidR="003357EC" w:rsidRPr="009A5F5E">
        <w:t>a</w:t>
      </w:r>
      <w:r w:rsidRPr="009A5F5E">
        <w:t xml:space="preserve"> payments</w:t>
      </w:r>
      <w:bookmarkEnd w:id="337"/>
      <w:bookmarkEnd w:id="338"/>
      <w:bookmarkEnd w:id="339"/>
      <w:bookmarkEnd w:id="340"/>
      <w:bookmarkEnd w:id="341"/>
      <w:bookmarkEnd w:id="342"/>
      <w:bookmarkEnd w:id="343"/>
      <w:bookmarkEnd w:id="344"/>
      <w:bookmarkEnd w:id="345"/>
      <w:bookmarkEnd w:id="346"/>
      <w:bookmarkEnd w:id="347"/>
    </w:p>
    <w:p w14:paraId="12476620" w14:textId="225906AB" w:rsidR="003357EC" w:rsidRPr="009A5F5E" w:rsidRDefault="00817CB4" w:rsidP="00817CB4">
      <w:pPr>
        <w:spacing w:before="120" w:after="120" w:line="276" w:lineRule="auto"/>
        <w:rPr>
          <w:rFonts w:eastAsia="Times New Roman"/>
        </w:rPr>
      </w:pPr>
      <w:bookmarkStart w:id="348" w:name="_Hlk165581112"/>
      <w:r w:rsidRPr="009A5F5E">
        <w:rPr>
          <w:rFonts w:eastAsia="Times New Roman"/>
        </w:rPr>
        <w:t xml:space="preserve">Practices and providers </w:t>
      </w:r>
      <w:r w:rsidR="00806DE7" w:rsidRPr="009A5F5E">
        <w:rPr>
          <w:rFonts w:eastAsia="Times New Roman"/>
        </w:rPr>
        <w:t xml:space="preserve">are </w:t>
      </w:r>
      <w:r w:rsidRPr="009A5F5E">
        <w:rPr>
          <w:rFonts w:eastAsia="Times New Roman"/>
        </w:rPr>
        <w:t>not eligible for partial or pro-rat</w:t>
      </w:r>
      <w:r w:rsidR="65FC33C2" w:rsidRPr="009A5F5E">
        <w:rPr>
          <w:rFonts w:eastAsia="Times New Roman"/>
        </w:rPr>
        <w:t>a</w:t>
      </w:r>
      <w:r w:rsidRPr="009A5F5E">
        <w:rPr>
          <w:rFonts w:eastAsia="Times New Roman"/>
        </w:rPr>
        <w:t xml:space="preserve"> payments if servicing requirements are not met.</w:t>
      </w:r>
    </w:p>
    <w:p w14:paraId="6A8D9424" w14:textId="4C618B90" w:rsidR="00817CB4" w:rsidRPr="009A5F5E" w:rsidRDefault="00817CB4" w:rsidP="00407AD1">
      <w:pPr>
        <w:pStyle w:val="Heading3"/>
      </w:pPr>
      <w:bookmarkStart w:id="349" w:name="_Toc166066960"/>
      <w:bookmarkStart w:id="350" w:name="_Toc166068376"/>
      <w:bookmarkStart w:id="351" w:name="_Toc166068588"/>
      <w:bookmarkStart w:id="352" w:name="_Toc166069547"/>
      <w:bookmarkStart w:id="353" w:name="_Toc166069594"/>
      <w:bookmarkStart w:id="354" w:name="_Toc166136610"/>
      <w:bookmarkStart w:id="355" w:name="_Toc170120029"/>
      <w:bookmarkStart w:id="356" w:name="_Toc172899513"/>
      <w:bookmarkStart w:id="357" w:name="_Toc172899586"/>
      <w:bookmarkStart w:id="358" w:name="_Toc170817170"/>
      <w:r w:rsidRPr="009A5F5E">
        <w:t xml:space="preserve">Payment when </w:t>
      </w:r>
      <w:r w:rsidR="0053585A" w:rsidRPr="009A5F5E">
        <w:t xml:space="preserve">a </w:t>
      </w:r>
      <w:r w:rsidR="003357EC" w:rsidRPr="009A5F5E">
        <w:t>patient</w:t>
      </w:r>
      <w:r w:rsidRPr="009A5F5E">
        <w:t xml:space="preserve"> changes</w:t>
      </w:r>
      <w:bookmarkEnd w:id="349"/>
      <w:bookmarkEnd w:id="350"/>
      <w:bookmarkEnd w:id="351"/>
      <w:bookmarkEnd w:id="352"/>
      <w:bookmarkEnd w:id="353"/>
      <w:bookmarkEnd w:id="354"/>
      <w:r w:rsidRPr="009A5F5E">
        <w:t xml:space="preserve"> </w:t>
      </w:r>
      <w:r w:rsidR="003357EC" w:rsidRPr="009A5F5E">
        <w:t xml:space="preserve">Responsible Provider </w:t>
      </w:r>
      <w:r w:rsidRPr="009A5F5E">
        <w:t>at the same practice</w:t>
      </w:r>
      <w:bookmarkEnd w:id="355"/>
      <w:bookmarkEnd w:id="356"/>
      <w:bookmarkEnd w:id="357"/>
      <w:bookmarkEnd w:id="358"/>
    </w:p>
    <w:p w14:paraId="547909BC" w14:textId="424E1659" w:rsidR="00817CB4" w:rsidRPr="009A5F5E" w:rsidRDefault="00817CB4" w:rsidP="00817CB4">
      <w:pPr>
        <w:spacing w:before="120" w:after="120" w:line="276" w:lineRule="auto"/>
        <w:rPr>
          <w:rFonts w:eastAsia="Times New Roman"/>
        </w:rPr>
      </w:pPr>
      <w:r w:rsidRPr="009A5F5E">
        <w:rPr>
          <w:rFonts w:eastAsia="Times New Roman"/>
        </w:rPr>
        <w:t>If there is a change in Responsible Provider for an individual patient part way through the quarter, in some circumstances payment may be apportioned between providers as a 50:50 ratio.</w:t>
      </w:r>
    </w:p>
    <w:p w14:paraId="438D9F29" w14:textId="7C52A7ED" w:rsidR="003357EC" w:rsidRPr="009A5F5E" w:rsidDel="0053585A" w:rsidRDefault="6F20E253" w:rsidP="00C55709">
      <w:pPr>
        <w:spacing w:before="120" w:after="120" w:line="276" w:lineRule="auto"/>
        <w:rPr>
          <w:rFonts w:eastAsia="Times New Roman"/>
        </w:rPr>
      </w:pPr>
      <w:bookmarkStart w:id="359" w:name="_Hlk167964042"/>
      <w:r w:rsidRPr="009A5F5E">
        <w:rPr>
          <w:rFonts w:eastAsia="Times New Roman"/>
        </w:rPr>
        <w:t xml:space="preserve">The division of payment </w:t>
      </w:r>
      <w:r w:rsidR="0D758223" w:rsidRPr="009A5F5E">
        <w:rPr>
          <w:rFonts w:eastAsia="Times New Roman"/>
        </w:rPr>
        <w:t>is</w:t>
      </w:r>
      <w:r w:rsidRPr="009A5F5E">
        <w:rPr>
          <w:rFonts w:eastAsia="Times New Roman"/>
        </w:rPr>
        <w:t xml:space="preserve"> determined </w:t>
      </w:r>
      <w:r w:rsidR="36624C04" w:rsidRPr="009A5F5E">
        <w:rPr>
          <w:rFonts w:eastAsia="Times New Roman"/>
        </w:rPr>
        <w:t>by</w:t>
      </w:r>
      <w:r w:rsidRPr="009A5F5E">
        <w:rPr>
          <w:rFonts w:eastAsia="Times New Roman"/>
        </w:rPr>
        <w:t xml:space="preserve"> which Responsible Provider or care team delivered the</w:t>
      </w:r>
      <w:r w:rsidR="236FB3B4" w:rsidRPr="009A5F5E">
        <w:rPr>
          <w:rFonts w:eastAsia="Times New Roman"/>
        </w:rPr>
        <w:t xml:space="preserve"> first</w:t>
      </w:r>
      <w:r w:rsidRPr="009A5F5E">
        <w:rPr>
          <w:rFonts w:eastAsia="Times New Roman"/>
        </w:rPr>
        <w:t xml:space="preserve"> 2 eligible regular </w:t>
      </w:r>
      <w:r w:rsidR="236FB3B4" w:rsidRPr="009A5F5E">
        <w:rPr>
          <w:rFonts w:eastAsia="Times New Roman"/>
        </w:rPr>
        <w:t>services</w:t>
      </w:r>
      <w:r w:rsidRPr="009A5F5E">
        <w:rPr>
          <w:rFonts w:eastAsia="Times New Roman"/>
        </w:rPr>
        <w:t xml:space="preserve"> </w:t>
      </w:r>
      <w:r w:rsidR="236FB3B4" w:rsidRPr="009A5F5E">
        <w:rPr>
          <w:rFonts w:eastAsia="Times New Roman"/>
        </w:rPr>
        <w:t xml:space="preserve">(i.e. eligible MBS/DVA service items, in separate calendar months) </w:t>
      </w:r>
      <w:r w:rsidRPr="009A5F5E">
        <w:rPr>
          <w:rFonts w:eastAsia="Times New Roman"/>
        </w:rPr>
        <w:t>within the quarter. This may result in 100% payment to one provider or 50% payment to 2 providers for that quarter only.</w:t>
      </w:r>
    </w:p>
    <w:p w14:paraId="6A77453F" w14:textId="7EF29541" w:rsidR="4F00F907" w:rsidRPr="009A5F5E" w:rsidRDefault="1C674926" w:rsidP="00922830">
      <w:pPr>
        <w:pStyle w:val="Heading3"/>
        <w:ind w:left="432" w:hanging="432"/>
      </w:pPr>
      <w:r w:rsidRPr="009A5F5E">
        <w:t xml:space="preserve"> </w:t>
      </w:r>
      <w:r w:rsidR="4F00F907" w:rsidRPr="009A5F5E">
        <w:t>Payment when a patient changes practice</w:t>
      </w:r>
    </w:p>
    <w:p w14:paraId="08F79FB9" w14:textId="665220FD" w:rsidR="4F00F907" w:rsidRPr="009A5F5E" w:rsidRDefault="4F00F907" w:rsidP="00922830">
      <w:pPr>
        <w:spacing w:before="120" w:after="120" w:line="276" w:lineRule="auto"/>
        <w:rPr>
          <w:rFonts w:eastAsia="Arial" w:cs="Arial"/>
        </w:rPr>
      </w:pPr>
      <w:r w:rsidRPr="009A5F5E">
        <w:rPr>
          <w:rFonts w:eastAsia="Arial" w:cs="Arial"/>
        </w:rPr>
        <w:t xml:space="preserve">If a </w:t>
      </w:r>
      <w:r w:rsidR="00781C8B" w:rsidRPr="009A5F5E">
        <w:rPr>
          <w:rFonts w:eastAsia="Arial" w:cs="Arial"/>
        </w:rPr>
        <w:t>GPACI</w:t>
      </w:r>
      <w:r w:rsidRPr="009A5F5E">
        <w:rPr>
          <w:rFonts w:eastAsia="Arial" w:cs="Arial"/>
        </w:rPr>
        <w:t xml:space="preserve"> registered patient moves to a new practice, at the end of the assessment period</w:t>
      </w:r>
      <w:r w:rsidR="65A30CA4" w:rsidRPr="009A5F5E">
        <w:rPr>
          <w:rFonts w:eastAsia="Arial" w:cs="Arial"/>
        </w:rPr>
        <w:t xml:space="preserve">, </w:t>
      </w:r>
      <w:r w:rsidRPr="009A5F5E">
        <w:rPr>
          <w:rFonts w:eastAsia="Arial" w:cs="Arial"/>
        </w:rPr>
        <w:t xml:space="preserve">the old practice and responsible provider(s): </w:t>
      </w:r>
    </w:p>
    <w:p w14:paraId="240872DE" w14:textId="03966FE9" w:rsidR="4F00F907" w:rsidRPr="009A5F5E" w:rsidRDefault="4F00F907" w:rsidP="00922830">
      <w:pPr>
        <w:pStyle w:val="ListParagraph"/>
        <w:numPr>
          <w:ilvl w:val="0"/>
          <w:numId w:val="3"/>
        </w:numPr>
        <w:spacing w:before="120" w:after="120" w:line="276" w:lineRule="auto"/>
        <w:rPr>
          <w:rFonts w:ascii="Arial" w:eastAsia="Arial" w:hAnsi="Arial" w:cs="Arial"/>
        </w:rPr>
      </w:pPr>
      <w:r w:rsidRPr="009A5F5E">
        <w:rPr>
          <w:rFonts w:ascii="Arial" w:eastAsia="Arial" w:hAnsi="Arial" w:cs="Arial"/>
        </w:rPr>
        <w:t xml:space="preserve">are assessed on whether they met the eligibility and servicing requirements before the patient moved; and </w:t>
      </w:r>
    </w:p>
    <w:p w14:paraId="4E2E2CAF" w14:textId="5EA1A32B" w:rsidR="4F00F907" w:rsidRPr="009A5F5E" w:rsidRDefault="4F00F907" w:rsidP="00922830">
      <w:pPr>
        <w:pStyle w:val="ListParagraph"/>
        <w:numPr>
          <w:ilvl w:val="0"/>
          <w:numId w:val="3"/>
        </w:numPr>
        <w:spacing w:before="120" w:after="120" w:line="276" w:lineRule="auto"/>
        <w:rPr>
          <w:rFonts w:ascii="Arial" w:eastAsia="Arial" w:hAnsi="Arial" w:cs="Arial"/>
        </w:rPr>
      </w:pPr>
      <w:r w:rsidRPr="009A5F5E">
        <w:rPr>
          <w:rFonts w:ascii="Arial" w:eastAsia="Arial" w:hAnsi="Arial" w:cs="Arial"/>
        </w:rPr>
        <w:t xml:space="preserve">receive a </w:t>
      </w:r>
      <w:r w:rsidR="00781C8B" w:rsidRPr="009A5F5E">
        <w:rPr>
          <w:rFonts w:ascii="Arial" w:eastAsia="Arial" w:hAnsi="Arial" w:cs="Arial"/>
        </w:rPr>
        <w:t>GPACI</w:t>
      </w:r>
      <w:r w:rsidRPr="009A5F5E">
        <w:rPr>
          <w:rFonts w:ascii="Arial" w:eastAsia="Arial" w:hAnsi="Arial" w:cs="Arial"/>
        </w:rPr>
        <w:t xml:space="preserve"> payment, if eligible. </w:t>
      </w:r>
    </w:p>
    <w:p w14:paraId="4749D8E5" w14:textId="3B6DE5DF" w:rsidR="6BC5CC54" w:rsidRPr="009A5F5E" w:rsidRDefault="6BC5CC54" w:rsidP="00922830">
      <w:pPr>
        <w:spacing w:before="120" w:after="120" w:line="276" w:lineRule="auto"/>
        <w:rPr>
          <w:rFonts w:eastAsia="Arial" w:cs="Arial"/>
        </w:rPr>
      </w:pPr>
      <w:r w:rsidRPr="009A5F5E">
        <w:rPr>
          <w:rFonts w:eastAsia="Arial" w:cs="Arial"/>
        </w:rPr>
        <w:t>T</w:t>
      </w:r>
      <w:r w:rsidR="4F00F907" w:rsidRPr="009A5F5E">
        <w:rPr>
          <w:rFonts w:eastAsia="Arial" w:cs="Arial"/>
        </w:rPr>
        <w:t>he new practice and responsible provider(s):</w:t>
      </w:r>
    </w:p>
    <w:p w14:paraId="3ACECC26" w14:textId="11374FDD" w:rsidR="4F00F907" w:rsidRPr="009A5F5E" w:rsidRDefault="4F00F907" w:rsidP="00922830">
      <w:pPr>
        <w:pStyle w:val="ListParagraph"/>
        <w:numPr>
          <w:ilvl w:val="0"/>
          <w:numId w:val="2"/>
        </w:numPr>
        <w:spacing w:before="120" w:after="120" w:line="276" w:lineRule="auto"/>
        <w:rPr>
          <w:rFonts w:ascii="Arial" w:eastAsia="Arial" w:hAnsi="Arial" w:cs="Arial"/>
        </w:rPr>
      </w:pPr>
      <w:r w:rsidRPr="009A5F5E">
        <w:rPr>
          <w:rFonts w:ascii="Arial" w:eastAsia="Arial" w:hAnsi="Arial" w:cs="Arial"/>
        </w:rPr>
        <w:t xml:space="preserve">are assessed on whether they met the eligibility and servicing requirements after the patient was registered for </w:t>
      </w:r>
      <w:r w:rsidR="00EE0551" w:rsidRPr="009A5F5E">
        <w:rPr>
          <w:rFonts w:ascii="Arial" w:eastAsia="Arial" w:hAnsi="Arial" w:cs="Arial"/>
        </w:rPr>
        <w:t xml:space="preserve">the </w:t>
      </w:r>
      <w:r w:rsidR="00781C8B" w:rsidRPr="009A5F5E">
        <w:rPr>
          <w:rFonts w:ascii="Arial" w:eastAsia="Arial" w:hAnsi="Arial" w:cs="Arial"/>
        </w:rPr>
        <w:t>GPACI</w:t>
      </w:r>
      <w:r w:rsidRPr="009A5F5E">
        <w:rPr>
          <w:rFonts w:ascii="Arial" w:eastAsia="Arial" w:hAnsi="Arial" w:cs="Arial"/>
        </w:rPr>
        <w:t xml:space="preserve"> with the new practice; and</w:t>
      </w:r>
    </w:p>
    <w:p w14:paraId="43B6F583" w14:textId="15AE5AD2" w:rsidR="4F00F907" w:rsidRPr="009A5F5E" w:rsidRDefault="4F00F907" w:rsidP="00922830">
      <w:pPr>
        <w:pStyle w:val="ListParagraph"/>
        <w:numPr>
          <w:ilvl w:val="0"/>
          <w:numId w:val="2"/>
        </w:numPr>
        <w:spacing w:before="120" w:after="120" w:line="276" w:lineRule="auto"/>
        <w:rPr>
          <w:rFonts w:ascii="Arial" w:eastAsia="Arial" w:hAnsi="Arial" w:cs="Arial"/>
        </w:rPr>
      </w:pPr>
      <w:r w:rsidRPr="009A5F5E">
        <w:rPr>
          <w:rFonts w:ascii="Arial" w:eastAsia="Arial" w:hAnsi="Arial" w:cs="Arial"/>
        </w:rPr>
        <w:t xml:space="preserve">receive a </w:t>
      </w:r>
      <w:r w:rsidR="00781C8B" w:rsidRPr="009A5F5E">
        <w:rPr>
          <w:rFonts w:ascii="Arial" w:eastAsia="Arial" w:hAnsi="Arial" w:cs="Arial"/>
        </w:rPr>
        <w:t>GPACI</w:t>
      </w:r>
      <w:r w:rsidRPr="009A5F5E">
        <w:rPr>
          <w:rFonts w:ascii="Arial" w:eastAsia="Arial" w:hAnsi="Arial" w:cs="Arial"/>
        </w:rPr>
        <w:t xml:space="preserve"> payment, if eligible.</w:t>
      </w:r>
    </w:p>
    <w:p w14:paraId="775BFA6F" w14:textId="77777777" w:rsidR="00817CB4" w:rsidRPr="009A5F5E" w:rsidRDefault="758819B6" w:rsidP="001F7637">
      <w:pPr>
        <w:pStyle w:val="Heading2"/>
      </w:pPr>
      <w:bookmarkStart w:id="360" w:name="_Toc166066961"/>
      <w:bookmarkStart w:id="361" w:name="_Toc166068377"/>
      <w:bookmarkStart w:id="362" w:name="_Toc166068589"/>
      <w:bookmarkStart w:id="363" w:name="_Toc166069548"/>
      <w:bookmarkStart w:id="364" w:name="_Toc166069595"/>
      <w:bookmarkStart w:id="365" w:name="_Toc166136611"/>
      <w:bookmarkStart w:id="366" w:name="_Toc167109452"/>
      <w:bookmarkStart w:id="367" w:name="_Toc170120030"/>
      <w:bookmarkStart w:id="368" w:name="_Toc170817171"/>
      <w:bookmarkStart w:id="369" w:name="_Toc212118237"/>
      <w:bookmarkEnd w:id="359"/>
      <w:r w:rsidRPr="009A5F5E">
        <w:t>Payment periods</w:t>
      </w:r>
      <w:bookmarkEnd w:id="360"/>
      <w:bookmarkEnd w:id="361"/>
      <w:bookmarkEnd w:id="362"/>
      <w:bookmarkEnd w:id="363"/>
      <w:bookmarkEnd w:id="364"/>
      <w:bookmarkEnd w:id="365"/>
      <w:bookmarkEnd w:id="366"/>
      <w:bookmarkEnd w:id="367"/>
      <w:bookmarkEnd w:id="368"/>
      <w:bookmarkEnd w:id="369"/>
    </w:p>
    <w:p w14:paraId="1EA364A5" w14:textId="67404538" w:rsidR="00817CB4" w:rsidRPr="009A5F5E" w:rsidRDefault="00817CB4" w:rsidP="00817CB4">
      <w:pPr>
        <w:spacing w:before="120" w:after="120" w:line="276" w:lineRule="auto"/>
        <w:rPr>
          <w:rFonts w:eastAsia="Times New Roman"/>
        </w:rPr>
      </w:pPr>
      <w:r w:rsidRPr="009A5F5E">
        <w:rPr>
          <w:rFonts w:eastAsia="Times New Roman"/>
        </w:rPr>
        <w:t xml:space="preserve">Incentive payments </w:t>
      </w:r>
      <w:r w:rsidR="00262DE2" w:rsidRPr="009A5F5E">
        <w:rPr>
          <w:rFonts w:eastAsia="Times New Roman"/>
        </w:rPr>
        <w:t>are</w:t>
      </w:r>
      <w:r w:rsidRPr="009A5F5E">
        <w:rPr>
          <w:rFonts w:eastAsia="Times New Roman"/>
        </w:rPr>
        <w:t xml:space="preserve"> made within the month following the end of the assessment period.</w:t>
      </w:r>
    </w:p>
    <w:p w14:paraId="7D58CC34" w14:textId="2D9E19C5" w:rsidR="00817CB4" w:rsidRPr="009A5F5E" w:rsidRDefault="00817CB4" w:rsidP="00407AD1">
      <w:pPr>
        <w:pStyle w:val="Heading3"/>
      </w:pPr>
      <w:bookmarkStart w:id="370" w:name="_Toc166066962"/>
      <w:bookmarkStart w:id="371" w:name="_Toc166068378"/>
      <w:bookmarkStart w:id="372" w:name="_Toc166068590"/>
      <w:bookmarkStart w:id="373" w:name="_Toc166069549"/>
      <w:bookmarkStart w:id="374" w:name="_Toc166069596"/>
      <w:bookmarkStart w:id="375" w:name="_Toc166136612"/>
      <w:bookmarkStart w:id="376" w:name="_Toc170120031"/>
      <w:bookmarkStart w:id="377" w:name="_Toc172899515"/>
      <w:bookmarkStart w:id="378" w:name="_Toc172899588"/>
      <w:bookmarkStart w:id="379" w:name="_Toc170817172"/>
      <w:r w:rsidRPr="009A5F5E">
        <w:lastRenderedPageBreak/>
        <w:t xml:space="preserve">Retrospective </w:t>
      </w:r>
      <w:bookmarkEnd w:id="370"/>
      <w:bookmarkEnd w:id="371"/>
      <w:bookmarkEnd w:id="372"/>
      <w:bookmarkEnd w:id="373"/>
      <w:bookmarkEnd w:id="374"/>
      <w:bookmarkEnd w:id="375"/>
      <w:bookmarkEnd w:id="376"/>
      <w:bookmarkEnd w:id="377"/>
      <w:bookmarkEnd w:id="378"/>
      <w:bookmarkEnd w:id="379"/>
      <w:r w:rsidR="007A767D" w:rsidRPr="009A5F5E">
        <w:t>asses</w:t>
      </w:r>
      <w:r w:rsidR="003341DA" w:rsidRPr="009A5F5E">
        <w:t>s</w:t>
      </w:r>
      <w:r w:rsidR="007A767D" w:rsidRPr="009A5F5E">
        <w:t>ment</w:t>
      </w:r>
    </w:p>
    <w:p w14:paraId="529EE4EB" w14:textId="27AC6F2E" w:rsidR="00817CB4" w:rsidRPr="009A5F5E" w:rsidRDefault="6F20E253" w:rsidP="00817CB4">
      <w:pPr>
        <w:spacing w:before="120" w:after="120" w:line="276" w:lineRule="auto"/>
        <w:rPr>
          <w:rFonts w:eastAsia="Times New Roman"/>
        </w:rPr>
      </w:pPr>
      <w:r w:rsidRPr="009A5F5E">
        <w:rPr>
          <w:rFonts w:eastAsia="Times New Roman"/>
        </w:rPr>
        <w:t>With each quarterly assessment, the previous 3 quarters are also re</w:t>
      </w:r>
      <w:r w:rsidR="62E90BB0" w:rsidRPr="009A5F5E">
        <w:rPr>
          <w:rFonts w:eastAsia="Times New Roman"/>
        </w:rPr>
        <w:t>-</w:t>
      </w:r>
      <w:r w:rsidRPr="009A5F5E">
        <w:rPr>
          <w:rFonts w:eastAsia="Times New Roman"/>
        </w:rPr>
        <w:t>assessed where the system identifies that:</w:t>
      </w:r>
    </w:p>
    <w:p w14:paraId="34C0F94B" w14:textId="6EE2A35F" w:rsidR="00817CB4" w:rsidRPr="009A5F5E" w:rsidRDefault="6F20E253" w:rsidP="000D1E26">
      <w:pPr>
        <w:pStyle w:val="ListBullet"/>
        <w:tabs>
          <w:tab w:val="clear" w:pos="360"/>
          <w:tab w:val="left" w:pos="680"/>
        </w:tabs>
        <w:spacing w:before="60" w:after="60" w:line="276" w:lineRule="auto"/>
        <w:ind w:left="357" w:hanging="357"/>
        <w:contextualSpacing w:val="0"/>
      </w:pPr>
      <w:r w:rsidRPr="009A5F5E">
        <w:t xml:space="preserve">changes have been made to </w:t>
      </w:r>
      <w:r w:rsidR="62E90BB0" w:rsidRPr="009A5F5E">
        <w:t xml:space="preserve">a patient’s </w:t>
      </w:r>
      <w:r w:rsidRPr="009A5F5E">
        <w:t>circumstance</w:t>
      </w:r>
      <w:r w:rsidR="62E90BB0" w:rsidRPr="009A5F5E">
        <w:t>s</w:t>
      </w:r>
      <w:r w:rsidRPr="009A5F5E">
        <w:t xml:space="preserve">, for example a patient has been retrospectively included in the </w:t>
      </w:r>
      <w:r w:rsidR="00781C8B" w:rsidRPr="009A5F5E">
        <w:t>GPACI</w:t>
      </w:r>
      <w:r w:rsidR="00CA1DC8" w:rsidRPr="009A5F5E">
        <w:t>.</w:t>
      </w:r>
    </w:p>
    <w:p w14:paraId="6A2877A1" w14:textId="77777777" w:rsidR="00817CB4" w:rsidRPr="009A5F5E" w:rsidRDefault="00817CB4" w:rsidP="00F85C8B">
      <w:pPr>
        <w:pStyle w:val="ListBullet"/>
        <w:numPr>
          <w:ilvl w:val="0"/>
          <w:numId w:val="10"/>
        </w:numPr>
        <w:tabs>
          <w:tab w:val="left" w:pos="680"/>
        </w:tabs>
        <w:spacing w:before="60" w:after="60" w:line="276" w:lineRule="auto"/>
        <w:ind w:left="357" w:hanging="357"/>
        <w:contextualSpacing w:val="0"/>
      </w:pPr>
      <w:r w:rsidRPr="009A5F5E">
        <w:t>changes have been made to service items claimed, for example the service was claimed against the incorrect patient or the incorrect MBS/DVA item number was used.</w:t>
      </w:r>
    </w:p>
    <w:p w14:paraId="2D823CF9" w14:textId="77777777" w:rsidR="00817CB4" w:rsidRPr="009A5F5E" w:rsidRDefault="00817CB4" w:rsidP="00F85C8B">
      <w:pPr>
        <w:pStyle w:val="ListBullet"/>
        <w:numPr>
          <w:ilvl w:val="0"/>
          <w:numId w:val="10"/>
        </w:numPr>
        <w:tabs>
          <w:tab w:val="left" w:pos="680"/>
        </w:tabs>
        <w:spacing w:before="60" w:after="60" w:line="276" w:lineRule="auto"/>
        <w:ind w:left="357" w:hanging="357"/>
        <w:contextualSpacing w:val="0"/>
      </w:pPr>
      <w:r w:rsidRPr="009A5F5E">
        <w:t>late claims for services delivered have been submitted to Medicare after the end of the relevant quarter.</w:t>
      </w:r>
    </w:p>
    <w:p w14:paraId="7869DBFE" w14:textId="77777777" w:rsidR="00817CB4" w:rsidRPr="009A5F5E" w:rsidRDefault="00817CB4" w:rsidP="00F85C8B">
      <w:pPr>
        <w:pStyle w:val="ListBullet"/>
        <w:numPr>
          <w:ilvl w:val="0"/>
          <w:numId w:val="10"/>
        </w:numPr>
        <w:tabs>
          <w:tab w:val="left" w:pos="680"/>
        </w:tabs>
        <w:spacing w:before="60" w:after="60" w:line="276" w:lineRule="auto"/>
        <w:ind w:left="357" w:hanging="357"/>
        <w:contextualSpacing w:val="0"/>
      </w:pPr>
      <w:r w:rsidRPr="009A5F5E">
        <w:t>fraudulent claims have been detected.</w:t>
      </w:r>
    </w:p>
    <w:p w14:paraId="18AFEFC8" w14:textId="77777777" w:rsidR="005E6016" w:rsidRDefault="00BA457F" w:rsidP="4F1CAE69">
      <w:pPr>
        <w:spacing w:before="120" w:after="120" w:line="276" w:lineRule="auto"/>
        <w:rPr>
          <w:rFonts w:eastAsia="Times New Roman"/>
        </w:rPr>
      </w:pPr>
      <w:r w:rsidRPr="009A5F5E">
        <w:rPr>
          <w:rFonts w:eastAsia="Times New Roman"/>
        </w:rPr>
        <w:t xml:space="preserve">As part of this quarterly assessment, it may become apparent that practices and/or providers were underpaid or overpaid an amount of incentive payment </w:t>
      </w:r>
      <w:r w:rsidR="00665780" w:rsidRPr="009A5F5E">
        <w:rPr>
          <w:rFonts w:eastAsia="Times New Roman"/>
        </w:rPr>
        <w:t xml:space="preserve">for the relevant assessment period. </w:t>
      </w:r>
    </w:p>
    <w:p w14:paraId="1029A0AE" w14:textId="7E68E1EB" w:rsidR="00817CB4" w:rsidRPr="009A5F5E" w:rsidRDefault="00665780" w:rsidP="4F1CAE69">
      <w:pPr>
        <w:spacing w:before="120" w:after="120" w:line="276" w:lineRule="auto"/>
        <w:rPr>
          <w:rFonts w:eastAsia="Times New Roman"/>
        </w:rPr>
      </w:pPr>
      <w:r w:rsidRPr="009A5F5E">
        <w:rPr>
          <w:rFonts w:eastAsia="Times New Roman"/>
        </w:rPr>
        <w:t xml:space="preserve">If an underpayment is identified, the amount of incentive payment for the next quarter will be increased to account for the under payment. If an overpayment is identified, this amount will </w:t>
      </w:r>
      <w:r w:rsidR="00000C72" w:rsidRPr="009A5F5E">
        <w:rPr>
          <w:rFonts w:eastAsia="Times New Roman"/>
        </w:rPr>
        <w:t>be offset against future incentive payment/s. Where future incentive payments cannot be reduced, the practice and/or provider will be required to repay the amount of the over payment.</w:t>
      </w:r>
      <w:r w:rsidR="00E73918" w:rsidRPr="009A5F5E" w:rsidDel="00E73918">
        <w:rPr>
          <w:rFonts w:eastAsia="Times New Roman"/>
        </w:rPr>
        <w:t xml:space="preserve"> </w:t>
      </w:r>
    </w:p>
    <w:p w14:paraId="31D3FDFE" w14:textId="66C7C9E5" w:rsidR="00DC7AD7" w:rsidRPr="009A5F5E" w:rsidRDefault="00DC7AD7" w:rsidP="00DC7AD7">
      <w:pPr>
        <w:pStyle w:val="GuidelinesHeading"/>
      </w:pPr>
      <w:bookmarkStart w:id="380" w:name="_Toc212118238"/>
      <w:r w:rsidRPr="009A5F5E">
        <w:t>Notification of outcomes</w:t>
      </w:r>
      <w:bookmarkEnd w:id="380"/>
    </w:p>
    <w:p w14:paraId="6EEFA54F" w14:textId="3CA88205" w:rsidR="00DA190E" w:rsidRPr="009A5F5E" w:rsidRDefault="00DA083B" w:rsidP="00C11B55">
      <w:r w:rsidRPr="009A5F5E">
        <w:t>Practices</w:t>
      </w:r>
      <w:r w:rsidR="00C01A3A" w:rsidRPr="009A5F5E">
        <w:t xml:space="preserve"> that meet the eligibility requirements</w:t>
      </w:r>
      <w:r w:rsidR="00DA190E" w:rsidRPr="009A5F5E">
        <w:t xml:space="preserve"> will receive </w:t>
      </w:r>
      <w:r w:rsidR="00C01A3A" w:rsidRPr="009A5F5E">
        <w:t xml:space="preserve">funding on a quarterly basis as </w:t>
      </w:r>
      <w:r w:rsidR="00DA190E" w:rsidRPr="009A5F5E">
        <w:t xml:space="preserve">described at </w:t>
      </w:r>
      <w:r w:rsidR="00036DCE" w:rsidRPr="009A5F5E">
        <w:t xml:space="preserve">section </w:t>
      </w:r>
      <w:r w:rsidR="0056662D">
        <w:t>8</w:t>
      </w:r>
      <w:r w:rsidR="00CE2FAC" w:rsidRPr="009A5F5E">
        <w:t>.1</w:t>
      </w:r>
      <w:r w:rsidR="00C11B55" w:rsidRPr="009A5F5E">
        <w:t xml:space="preserve"> </w:t>
      </w:r>
      <w:r w:rsidR="00036DCE" w:rsidRPr="009A5F5E">
        <w:t>of these guidelines</w:t>
      </w:r>
      <w:r w:rsidR="00DA190E" w:rsidRPr="009A5F5E">
        <w:t>.</w:t>
      </w:r>
    </w:p>
    <w:p w14:paraId="2CCC2666" w14:textId="28809F54" w:rsidR="6F20E253" w:rsidRPr="009A5F5E" w:rsidRDefault="758819B6" w:rsidP="00922830">
      <w:pPr>
        <w:pStyle w:val="Heading2"/>
      </w:pPr>
      <w:bookmarkStart w:id="381" w:name="_Toc166066963"/>
      <w:bookmarkStart w:id="382" w:name="_Toc166068379"/>
      <w:bookmarkStart w:id="383" w:name="_Toc166068591"/>
      <w:bookmarkStart w:id="384" w:name="_Toc166069550"/>
      <w:bookmarkStart w:id="385" w:name="_Toc166069597"/>
      <w:bookmarkStart w:id="386" w:name="_Toc166136613"/>
      <w:bookmarkStart w:id="387" w:name="_Toc167109453"/>
      <w:bookmarkStart w:id="388" w:name="_Toc170120032"/>
      <w:bookmarkStart w:id="389" w:name="_Toc170817173"/>
      <w:bookmarkStart w:id="390" w:name="_Toc212118239"/>
      <w:bookmarkEnd w:id="348"/>
      <w:r w:rsidRPr="009A5F5E">
        <w:t>Payment delivery</w:t>
      </w:r>
      <w:bookmarkEnd w:id="381"/>
      <w:bookmarkEnd w:id="382"/>
      <w:bookmarkEnd w:id="383"/>
      <w:bookmarkEnd w:id="384"/>
      <w:bookmarkEnd w:id="385"/>
      <w:bookmarkEnd w:id="386"/>
      <w:bookmarkEnd w:id="387"/>
      <w:bookmarkEnd w:id="388"/>
      <w:bookmarkEnd w:id="389"/>
      <w:bookmarkEnd w:id="390"/>
    </w:p>
    <w:p w14:paraId="0E484E34" w14:textId="40B48143" w:rsidR="30F5C24D" w:rsidRPr="009A5F5E" w:rsidRDefault="30F5C24D" w:rsidP="690F3BC6">
      <w:pPr>
        <w:shd w:val="clear" w:color="auto" w:fill="FFFFFF" w:themeFill="background1"/>
        <w:spacing w:before="0" w:after="0"/>
        <w:rPr>
          <w:rFonts w:eastAsia="Times New Roman" w:cs="Arial"/>
        </w:rPr>
      </w:pPr>
      <w:r w:rsidRPr="009A5F5E">
        <w:rPr>
          <w:rFonts w:cs="Arial"/>
          <w:szCs w:val="22"/>
        </w:rPr>
        <w:t>Payments are administered electronically by Services Australia. Payment advice is sent via HPOS after each payment.</w:t>
      </w:r>
    </w:p>
    <w:p w14:paraId="790E37BF" w14:textId="010C77B7" w:rsidR="00CE4B12" w:rsidRPr="009A5F5E" w:rsidRDefault="30F5C24D" w:rsidP="00DA5604">
      <w:r w:rsidRPr="009A5F5E">
        <w:t xml:space="preserve">To receive </w:t>
      </w:r>
      <w:r w:rsidR="00781C8B" w:rsidRPr="009A5F5E">
        <w:t>GPACI</w:t>
      </w:r>
      <w:r w:rsidRPr="009A5F5E">
        <w:t xml:space="preserve"> payments</w:t>
      </w:r>
      <w:r w:rsidR="00CE4B12" w:rsidRPr="009A5F5E">
        <w:t>:</w:t>
      </w:r>
    </w:p>
    <w:p w14:paraId="6FAACB98" w14:textId="153DCAB2" w:rsidR="00CE4B12" w:rsidRPr="009A5F5E" w:rsidRDefault="30F5C24D" w:rsidP="00CE4B12">
      <w:pPr>
        <w:pStyle w:val="ListBullet"/>
      </w:pPr>
      <w:r w:rsidRPr="009A5F5E">
        <w:t xml:space="preserve">practices must nominate MyMedicare </w:t>
      </w:r>
      <w:r w:rsidR="002F4D67" w:rsidRPr="009A5F5E">
        <w:t xml:space="preserve">program banking details </w:t>
      </w:r>
      <w:r w:rsidRPr="009A5F5E">
        <w:t>in the Organisation Register</w:t>
      </w:r>
      <w:r w:rsidR="002F4D67" w:rsidRPr="009A5F5E">
        <w:t xml:space="preserve"> under Program Registration</w:t>
      </w:r>
      <w:r w:rsidRPr="009A5F5E">
        <w:t xml:space="preserve">. </w:t>
      </w:r>
    </w:p>
    <w:p w14:paraId="4B9680DD" w14:textId="081BD9D0" w:rsidR="690F3BC6" w:rsidRPr="009A5F5E" w:rsidRDefault="30F5C24D" w:rsidP="009C1732">
      <w:pPr>
        <w:pStyle w:val="ListBullet"/>
      </w:pPr>
      <w:r w:rsidRPr="009A5F5E">
        <w:t>Pr</w:t>
      </w:r>
      <w:r w:rsidR="002F4D67" w:rsidRPr="009A5F5E">
        <w:t>oviders</w:t>
      </w:r>
      <w:r w:rsidRPr="009A5F5E">
        <w:t xml:space="preserve"> must nominate MyMedicare </w:t>
      </w:r>
      <w:r w:rsidR="00113A18" w:rsidRPr="009A5F5E">
        <w:t xml:space="preserve">incentive banking details </w:t>
      </w:r>
      <w:r w:rsidRPr="009A5F5E">
        <w:t xml:space="preserve">in </w:t>
      </w:r>
      <w:r w:rsidR="00113A18" w:rsidRPr="009A5F5E">
        <w:t xml:space="preserve">their individual </w:t>
      </w:r>
      <w:r w:rsidRPr="009A5F5E">
        <w:t>HPOS</w:t>
      </w:r>
      <w:r w:rsidR="00113A18" w:rsidRPr="009A5F5E">
        <w:t xml:space="preserve"> </w:t>
      </w:r>
      <w:r w:rsidR="00A74D1F" w:rsidRPr="009A5F5E">
        <w:t>account under ‘My personal details’</w:t>
      </w:r>
      <w:r w:rsidRPr="009A5F5E">
        <w:t>.</w:t>
      </w:r>
      <w:r w:rsidR="00F43205" w:rsidRPr="009A5F5E">
        <w:br/>
      </w:r>
      <w:r w:rsidRPr="009A5F5E">
        <w:t>If a provider delivers services across multiple locations, they must nominate</w:t>
      </w:r>
      <w:r w:rsidR="00E97ACB" w:rsidRPr="009A5F5E">
        <w:rPr>
          <w:rFonts w:eastAsia="Times New Roman"/>
          <w:sz w:val="24"/>
          <w:szCs w:val="24"/>
        </w:rPr>
        <w:t xml:space="preserve"> </w:t>
      </w:r>
      <w:r w:rsidR="00E97ACB" w:rsidRPr="009A5F5E">
        <w:t>bank details for the MyMedicare Incentive program for each Medicare provider number location</w:t>
      </w:r>
      <w:r w:rsidRPr="009A5F5E">
        <w:t>.</w:t>
      </w:r>
    </w:p>
    <w:p w14:paraId="1B135D69" w14:textId="38CFA797" w:rsidR="00817CB4" w:rsidRPr="009A5F5E" w:rsidRDefault="6F20E253" w:rsidP="00574127">
      <w:bookmarkStart w:id="391" w:name="_Hlk167964265"/>
      <w:r w:rsidRPr="009A5F5E">
        <w:t xml:space="preserve">The practice or provider </w:t>
      </w:r>
      <w:r w:rsidR="0D758223" w:rsidRPr="009A5F5E">
        <w:t>is</w:t>
      </w:r>
      <w:r w:rsidRPr="009A5F5E">
        <w:t xml:space="preserve"> notified via HPOS </w:t>
      </w:r>
      <w:r w:rsidR="00F43205" w:rsidRPr="009A5F5E">
        <w:t xml:space="preserve">messages </w:t>
      </w:r>
      <w:r w:rsidRPr="009A5F5E">
        <w:t xml:space="preserve">if a payment fails due to missing or incorrect bank account </w:t>
      </w:r>
      <w:r w:rsidR="0064371C" w:rsidRPr="009A5F5E">
        <w:t>details and</w:t>
      </w:r>
      <w:r w:rsidRPr="009A5F5E">
        <w:t xml:space="preserve"> </w:t>
      </w:r>
      <w:r w:rsidR="0D758223" w:rsidRPr="009A5F5E">
        <w:t>is</w:t>
      </w:r>
      <w:r w:rsidRPr="009A5F5E">
        <w:t xml:space="preserve"> required to update this information to receive payment.  </w:t>
      </w:r>
    </w:p>
    <w:p w14:paraId="4852D18D" w14:textId="31AE6B72" w:rsidR="00CA4DAE" w:rsidRPr="009A5F5E" w:rsidRDefault="00CA4DAE" w:rsidP="002104B0">
      <w:pPr>
        <w:pStyle w:val="GuidelinesHeading"/>
      </w:pPr>
      <w:bookmarkStart w:id="392" w:name="_Toc206509256"/>
      <w:bookmarkStart w:id="393" w:name="_Toc212118240"/>
      <w:bookmarkStart w:id="394" w:name="_Toc206509242"/>
      <w:r w:rsidRPr="009A5F5E">
        <w:t xml:space="preserve">Successful </w:t>
      </w:r>
      <w:bookmarkEnd w:id="392"/>
      <w:r w:rsidR="00C01A3A" w:rsidRPr="009A5F5E">
        <w:t>registrations</w:t>
      </w:r>
      <w:bookmarkEnd w:id="393"/>
    </w:p>
    <w:p w14:paraId="2C3DEA63" w14:textId="445FB655" w:rsidR="00CA4DAE" w:rsidRPr="009A5F5E" w:rsidRDefault="00CA4DAE" w:rsidP="00C47885">
      <w:pPr>
        <w:pStyle w:val="Heading2"/>
      </w:pPr>
      <w:bookmarkStart w:id="395" w:name="_Toc206509257"/>
      <w:bookmarkStart w:id="396" w:name="_Toc212118241"/>
      <w:r w:rsidRPr="009A5F5E">
        <w:t xml:space="preserve">The grant </w:t>
      </w:r>
      <w:bookmarkEnd w:id="395"/>
      <w:r w:rsidR="00036BA4" w:rsidRPr="009A5F5E">
        <w:t>arrangement</w:t>
      </w:r>
      <w:bookmarkEnd w:id="396"/>
    </w:p>
    <w:p w14:paraId="4FAB89DB" w14:textId="02D5B9A5" w:rsidR="00036BA4" w:rsidRPr="009A5F5E" w:rsidRDefault="00036BA4" w:rsidP="00036BA4">
      <w:pPr>
        <w:pStyle w:val="NormalWeb"/>
        <w:rPr>
          <w:rFonts w:ascii="Arial" w:hAnsi="Arial"/>
          <w:szCs w:val="20"/>
        </w:rPr>
      </w:pPr>
      <w:r w:rsidRPr="009A5F5E">
        <w:rPr>
          <w:rFonts w:ascii="Arial" w:hAnsi="Arial"/>
          <w:szCs w:val="20"/>
        </w:rPr>
        <w:t xml:space="preserve">The </w:t>
      </w:r>
      <w:r w:rsidR="005C4F1C" w:rsidRPr="009A5F5E">
        <w:rPr>
          <w:rFonts w:ascii="Arial" w:hAnsi="Arial"/>
          <w:szCs w:val="20"/>
        </w:rPr>
        <w:t>practice</w:t>
      </w:r>
      <w:r w:rsidR="001A1A69">
        <w:rPr>
          <w:rFonts w:ascii="Arial" w:hAnsi="Arial"/>
          <w:szCs w:val="20"/>
        </w:rPr>
        <w:t xml:space="preserve"> will </w:t>
      </w:r>
      <w:proofErr w:type="gramStart"/>
      <w:r w:rsidR="001A1A69">
        <w:rPr>
          <w:rFonts w:ascii="Arial" w:hAnsi="Arial"/>
          <w:szCs w:val="20"/>
        </w:rPr>
        <w:t>enter into</w:t>
      </w:r>
      <w:proofErr w:type="gramEnd"/>
      <w:r w:rsidR="001A1A69">
        <w:rPr>
          <w:rFonts w:ascii="Arial" w:hAnsi="Arial"/>
          <w:szCs w:val="20"/>
        </w:rPr>
        <w:t xml:space="preserve"> a </w:t>
      </w:r>
      <w:proofErr w:type="gramStart"/>
      <w:r w:rsidR="00A26266">
        <w:rPr>
          <w:rFonts w:ascii="Arial" w:hAnsi="Arial"/>
          <w:szCs w:val="20"/>
        </w:rPr>
        <w:t>12 month</w:t>
      </w:r>
      <w:proofErr w:type="gramEnd"/>
      <w:r w:rsidR="00A26266">
        <w:rPr>
          <w:rFonts w:ascii="Arial" w:hAnsi="Arial"/>
          <w:szCs w:val="20"/>
        </w:rPr>
        <w:t xml:space="preserve"> </w:t>
      </w:r>
      <w:r w:rsidR="001A1A69">
        <w:rPr>
          <w:rFonts w:ascii="Arial" w:hAnsi="Arial"/>
          <w:szCs w:val="20"/>
        </w:rPr>
        <w:t xml:space="preserve">grant agreement with the Commonwealth upon acceptance of the GPACI Terms and Conditions. </w:t>
      </w:r>
      <w:r w:rsidRPr="009A5F5E">
        <w:rPr>
          <w:rFonts w:ascii="Arial" w:hAnsi="Arial"/>
          <w:szCs w:val="20"/>
        </w:rPr>
        <w:t xml:space="preserve"> </w:t>
      </w:r>
    </w:p>
    <w:p w14:paraId="02D47A11" w14:textId="3D483793" w:rsidR="00036BA4" w:rsidRPr="009A5F5E" w:rsidRDefault="00036BA4" w:rsidP="00036BA4">
      <w:pPr>
        <w:pStyle w:val="NormalWeb"/>
        <w:rPr>
          <w:rFonts w:ascii="Arial" w:hAnsi="Arial"/>
          <w:szCs w:val="20"/>
        </w:rPr>
      </w:pPr>
      <w:r w:rsidRPr="009A5F5E">
        <w:rPr>
          <w:rFonts w:ascii="Arial" w:hAnsi="Arial"/>
          <w:szCs w:val="20"/>
        </w:rPr>
        <w:lastRenderedPageBreak/>
        <w:t xml:space="preserve">When completing the </w:t>
      </w:r>
      <w:r w:rsidR="0026058A" w:rsidRPr="009A5F5E">
        <w:rPr>
          <w:rFonts w:ascii="Arial" w:hAnsi="Arial"/>
          <w:szCs w:val="20"/>
        </w:rPr>
        <w:t xml:space="preserve">MyMedicare and </w:t>
      </w:r>
      <w:r w:rsidR="00781C8B" w:rsidRPr="009A5F5E">
        <w:rPr>
          <w:rFonts w:ascii="Arial" w:hAnsi="Arial"/>
          <w:szCs w:val="20"/>
        </w:rPr>
        <w:t>GPACI</w:t>
      </w:r>
      <w:r w:rsidR="0026058A" w:rsidRPr="009A5F5E">
        <w:rPr>
          <w:rFonts w:ascii="Arial" w:hAnsi="Arial"/>
          <w:szCs w:val="20"/>
        </w:rPr>
        <w:t xml:space="preserve"> registration</w:t>
      </w:r>
      <w:r w:rsidRPr="009A5F5E">
        <w:rPr>
          <w:rFonts w:ascii="Arial" w:hAnsi="Arial"/>
          <w:szCs w:val="20"/>
        </w:rPr>
        <w:t>, you must agree to comply with the</w:t>
      </w:r>
      <w:r w:rsidR="00054A67" w:rsidRPr="009A5F5E">
        <w:rPr>
          <w:rFonts w:ascii="Arial" w:hAnsi="Arial"/>
          <w:szCs w:val="20"/>
        </w:rPr>
        <w:t>se</w:t>
      </w:r>
      <w:r w:rsidRPr="009A5F5E">
        <w:rPr>
          <w:rFonts w:ascii="Arial" w:hAnsi="Arial"/>
          <w:szCs w:val="20"/>
        </w:rPr>
        <w:t xml:space="preserve"> </w:t>
      </w:r>
      <w:hyperlink r:id="rId28" w:history="1">
        <w:r w:rsidRPr="009A5F5E">
          <w:rPr>
            <w:rStyle w:val="Hyperlink"/>
            <w:szCs w:val="20"/>
          </w:rPr>
          <w:t>Guidelines</w:t>
        </w:r>
      </w:hyperlink>
      <w:r w:rsidRPr="009A5F5E">
        <w:rPr>
          <w:rFonts w:ascii="Arial" w:hAnsi="Arial"/>
          <w:szCs w:val="20"/>
        </w:rPr>
        <w:t>. The Commonwealth may recover funds if you are non-compliant with the</w:t>
      </w:r>
      <w:r w:rsidR="00054A67" w:rsidRPr="009A5F5E">
        <w:rPr>
          <w:rFonts w:ascii="Arial" w:hAnsi="Arial"/>
          <w:szCs w:val="20"/>
        </w:rPr>
        <w:t>se Guidelines</w:t>
      </w:r>
      <w:r w:rsidRPr="009A5F5E">
        <w:rPr>
          <w:rFonts w:ascii="Arial" w:hAnsi="Arial"/>
          <w:szCs w:val="20"/>
        </w:rPr>
        <w:t>.</w:t>
      </w:r>
    </w:p>
    <w:p w14:paraId="4A8C4DBC" w14:textId="7AB4F5D2" w:rsidR="00516F3D" w:rsidRPr="009A5F5E" w:rsidRDefault="00516F3D" w:rsidP="00516F3D">
      <w:pPr>
        <w:pStyle w:val="GuidelinesHeading"/>
      </w:pPr>
      <w:bookmarkStart w:id="397" w:name="_Toc212118242"/>
      <w:r w:rsidRPr="009A5F5E">
        <w:t>What the grant money can be used for</w:t>
      </w:r>
      <w:bookmarkEnd w:id="394"/>
      <w:bookmarkEnd w:id="397"/>
    </w:p>
    <w:p w14:paraId="2900C40F" w14:textId="01603344" w:rsidR="00D002AD" w:rsidRPr="008409A9" w:rsidRDefault="00C01A3A" w:rsidP="002F14DF">
      <w:pPr>
        <w:spacing w:before="120" w:after="60"/>
        <w:rPr>
          <w:rFonts w:eastAsia="Segoe UI" w:cs="Arial"/>
          <w:color w:val="auto"/>
          <w:szCs w:val="22"/>
        </w:rPr>
      </w:pPr>
      <w:r w:rsidRPr="008409A9">
        <w:rPr>
          <w:rFonts w:eastAsia="Segoe UI" w:cs="Arial"/>
          <w:color w:val="auto"/>
          <w:szCs w:val="22"/>
        </w:rPr>
        <w:t>F</w:t>
      </w:r>
      <w:r w:rsidR="3506FF6F" w:rsidRPr="008409A9">
        <w:rPr>
          <w:rFonts w:eastAsia="Segoe UI" w:cs="Arial"/>
          <w:color w:val="auto"/>
          <w:szCs w:val="22"/>
        </w:rPr>
        <w:t>unding may be used to support the infrastructure and coordination needed to deliver these services</w:t>
      </w:r>
      <w:r w:rsidR="0054797C" w:rsidRPr="008409A9">
        <w:rPr>
          <w:rFonts w:eastAsia="Segoe UI" w:cs="Arial"/>
          <w:color w:val="auto"/>
          <w:szCs w:val="22"/>
        </w:rPr>
        <w:t>. For example</w:t>
      </w:r>
      <w:r w:rsidR="3506FF6F" w:rsidRPr="008409A9">
        <w:rPr>
          <w:rFonts w:eastAsia="Segoe UI" w:cs="Arial"/>
          <w:color w:val="auto"/>
          <w:szCs w:val="22"/>
        </w:rPr>
        <w:t>:</w:t>
      </w:r>
    </w:p>
    <w:p w14:paraId="14F4C85B" w14:textId="2DD88995" w:rsidR="00D002AD" w:rsidRPr="008409A9" w:rsidRDefault="3506FF6F" w:rsidP="002F14DF">
      <w:pPr>
        <w:pStyle w:val="ListParagraph"/>
        <w:numPr>
          <w:ilvl w:val="0"/>
          <w:numId w:val="1"/>
        </w:numPr>
        <w:spacing w:before="40" w:after="240"/>
        <w:rPr>
          <w:rFonts w:ascii="Arial" w:eastAsia="Segoe UI" w:hAnsi="Arial" w:cs="Arial"/>
          <w:szCs w:val="22"/>
        </w:rPr>
      </w:pPr>
      <w:r w:rsidRPr="008409A9">
        <w:rPr>
          <w:rFonts w:ascii="Arial" w:eastAsia="Segoe UI" w:hAnsi="Arial" w:cs="Arial"/>
          <w:szCs w:val="22"/>
        </w:rPr>
        <w:t>Staffing and workforce support:</w:t>
      </w:r>
    </w:p>
    <w:p w14:paraId="2F70F749" w14:textId="1FC8203D" w:rsidR="00D002AD" w:rsidRPr="008409A9" w:rsidRDefault="3506FF6F" w:rsidP="002F14DF">
      <w:pPr>
        <w:pStyle w:val="ListParagraph"/>
        <w:numPr>
          <w:ilvl w:val="1"/>
          <w:numId w:val="1"/>
        </w:numPr>
        <w:spacing w:after="0"/>
        <w:rPr>
          <w:rFonts w:ascii="Arial" w:eastAsia="Segoe UI" w:hAnsi="Arial" w:cs="Arial"/>
          <w:szCs w:val="22"/>
        </w:rPr>
      </w:pPr>
      <w:r w:rsidRPr="008409A9">
        <w:rPr>
          <w:rFonts w:ascii="Arial" w:eastAsia="Segoe UI" w:hAnsi="Arial" w:cs="Arial"/>
          <w:szCs w:val="22"/>
        </w:rPr>
        <w:t>Hiring or allocating time for GPs, nurse practitioners, practice nurses, and Aboriginal health workers</w:t>
      </w:r>
    </w:p>
    <w:p w14:paraId="3830BEB2" w14:textId="3DEC5AC7" w:rsidR="00D002AD" w:rsidRPr="008409A9" w:rsidRDefault="3506FF6F" w:rsidP="002F14DF">
      <w:pPr>
        <w:pStyle w:val="ListParagraph"/>
        <w:numPr>
          <w:ilvl w:val="1"/>
          <w:numId w:val="1"/>
        </w:numPr>
        <w:spacing w:after="0"/>
        <w:rPr>
          <w:rFonts w:ascii="Arial" w:eastAsia="Segoe UI" w:hAnsi="Arial" w:cs="Arial"/>
          <w:szCs w:val="22"/>
        </w:rPr>
      </w:pPr>
      <w:r w:rsidRPr="008409A9">
        <w:rPr>
          <w:rFonts w:ascii="Arial" w:eastAsia="Segoe UI" w:hAnsi="Arial" w:cs="Arial"/>
          <w:szCs w:val="22"/>
        </w:rPr>
        <w:t>Training and upskilling staff to deliver aged care-specific services</w:t>
      </w:r>
    </w:p>
    <w:p w14:paraId="25A21556" w14:textId="59AD8D31" w:rsidR="00D002AD" w:rsidRPr="008409A9" w:rsidRDefault="3506FF6F" w:rsidP="002F14DF">
      <w:pPr>
        <w:pStyle w:val="ListParagraph"/>
        <w:numPr>
          <w:ilvl w:val="0"/>
          <w:numId w:val="1"/>
        </w:numPr>
        <w:spacing w:before="240" w:after="240"/>
        <w:rPr>
          <w:rFonts w:ascii="Arial" w:eastAsia="Segoe UI" w:hAnsi="Arial" w:cs="Arial"/>
          <w:szCs w:val="22"/>
        </w:rPr>
      </w:pPr>
      <w:r w:rsidRPr="008409A9">
        <w:rPr>
          <w:rFonts w:ascii="Arial" w:eastAsia="Segoe UI" w:hAnsi="Arial" w:cs="Arial"/>
          <w:szCs w:val="22"/>
        </w:rPr>
        <w:t>Administrative support:</w:t>
      </w:r>
    </w:p>
    <w:p w14:paraId="6BD1E2DD" w14:textId="74D832E2" w:rsidR="00D002AD" w:rsidRPr="008409A9" w:rsidRDefault="3506FF6F" w:rsidP="002F14DF">
      <w:pPr>
        <w:pStyle w:val="ListParagraph"/>
        <w:numPr>
          <w:ilvl w:val="1"/>
          <w:numId w:val="1"/>
        </w:numPr>
        <w:spacing w:after="0"/>
        <w:rPr>
          <w:rFonts w:ascii="Arial" w:eastAsia="Segoe UI" w:hAnsi="Arial" w:cs="Arial"/>
          <w:szCs w:val="22"/>
        </w:rPr>
      </w:pPr>
      <w:r w:rsidRPr="008409A9">
        <w:rPr>
          <w:rFonts w:ascii="Arial" w:eastAsia="Segoe UI" w:hAnsi="Arial" w:cs="Arial"/>
          <w:szCs w:val="22"/>
        </w:rPr>
        <w:t>Coordinating patient registration in MyMedicare</w:t>
      </w:r>
    </w:p>
    <w:p w14:paraId="459AD26D" w14:textId="5714D82A" w:rsidR="00D002AD" w:rsidRPr="008409A9" w:rsidRDefault="3506FF6F" w:rsidP="002F14DF">
      <w:pPr>
        <w:pStyle w:val="ListParagraph"/>
        <w:numPr>
          <w:ilvl w:val="1"/>
          <w:numId w:val="1"/>
        </w:numPr>
        <w:spacing w:after="0"/>
        <w:rPr>
          <w:rFonts w:ascii="Arial" w:eastAsia="Segoe UI" w:hAnsi="Arial" w:cs="Arial"/>
          <w:szCs w:val="22"/>
        </w:rPr>
      </w:pPr>
      <w:r w:rsidRPr="008409A9">
        <w:rPr>
          <w:rFonts w:ascii="Arial" w:eastAsia="Segoe UI" w:hAnsi="Arial" w:cs="Arial"/>
          <w:szCs w:val="22"/>
        </w:rPr>
        <w:t>Managing care team linkages and service documentation</w:t>
      </w:r>
    </w:p>
    <w:p w14:paraId="3432B3E6" w14:textId="4A34B4DA" w:rsidR="00D002AD" w:rsidRPr="008409A9" w:rsidRDefault="3506FF6F" w:rsidP="002F14DF">
      <w:pPr>
        <w:pStyle w:val="ListParagraph"/>
        <w:numPr>
          <w:ilvl w:val="0"/>
          <w:numId w:val="1"/>
        </w:numPr>
        <w:spacing w:before="240" w:after="240"/>
        <w:rPr>
          <w:rFonts w:ascii="Arial" w:eastAsia="Segoe UI" w:hAnsi="Arial" w:cs="Arial"/>
          <w:szCs w:val="22"/>
        </w:rPr>
      </w:pPr>
      <w:r w:rsidRPr="008409A9">
        <w:rPr>
          <w:rFonts w:ascii="Arial" w:eastAsia="Segoe UI" w:hAnsi="Arial" w:cs="Arial"/>
          <w:szCs w:val="22"/>
        </w:rPr>
        <w:t>Technology and equipment:</w:t>
      </w:r>
    </w:p>
    <w:p w14:paraId="00765B1E" w14:textId="21334198" w:rsidR="00D002AD" w:rsidRPr="008409A9" w:rsidRDefault="3506FF6F" w:rsidP="002F14DF">
      <w:pPr>
        <w:pStyle w:val="ListParagraph"/>
        <w:numPr>
          <w:ilvl w:val="1"/>
          <w:numId w:val="1"/>
        </w:numPr>
        <w:spacing w:after="0"/>
        <w:rPr>
          <w:rFonts w:ascii="Arial" w:eastAsia="Segoe UI" w:hAnsi="Arial" w:cs="Arial"/>
          <w:szCs w:val="22"/>
        </w:rPr>
      </w:pPr>
      <w:r w:rsidRPr="008409A9">
        <w:rPr>
          <w:rFonts w:ascii="Arial" w:eastAsia="Segoe UI" w:hAnsi="Arial" w:cs="Arial"/>
          <w:szCs w:val="22"/>
        </w:rPr>
        <w:t>Telehealth setup for remote consultations</w:t>
      </w:r>
    </w:p>
    <w:p w14:paraId="2EEABED5" w14:textId="178CE55A" w:rsidR="00D002AD" w:rsidRPr="008409A9" w:rsidRDefault="3506FF6F" w:rsidP="002F14DF">
      <w:pPr>
        <w:pStyle w:val="ListParagraph"/>
        <w:numPr>
          <w:ilvl w:val="1"/>
          <w:numId w:val="1"/>
        </w:numPr>
        <w:spacing w:after="0"/>
        <w:rPr>
          <w:rFonts w:ascii="Arial" w:eastAsia="Segoe UI" w:hAnsi="Arial" w:cs="Arial"/>
          <w:szCs w:val="22"/>
        </w:rPr>
      </w:pPr>
      <w:r w:rsidRPr="008409A9">
        <w:rPr>
          <w:rFonts w:ascii="Arial" w:eastAsia="Segoe UI" w:hAnsi="Arial" w:cs="Arial"/>
          <w:szCs w:val="22"/>
        </w:rPr>
        <w:t>Mobile devices or software for on-site documentation and care planning</w:t>
      </w:r>
    </w:p>
    <w:p w14:paraId="3EF18005" w14:textId="1B00940E" w:rsidR="00D002AD" w:rsidRPr="008409A9" w:rsidRDefault="3506FF6F" w:rsidP="002F14DF">
      <w:pPr>
        <w:pStyle w:val="ListParagraph"/>
        <w:numPr>
          <w:ilvl w:val="0"/>
          <w:numId w:val="1"/>
        </w:numPr>
        <w:spacing w:before="240" w:after="240"/>
        <w:rPr>
          <w:rFonts w:ascii="Arial" w:eastAsia="Segoe UI" w:hAnsi="Arial" w:cs="Arial"/>
          <w:szCs w:val="22"/>
        </w:rPr>
      </w:pPr>
      <w:r w:rsidRPr="008409A9">
        <w:rPr>
          <w:rFonts w:ascii="Arial" w:eastAsia="Segoe UI" w:hAnsi="Arial" w:cs="Arial"/>
          <w:szCs w:val="22"/>
        </w:rPr>
        <w:t>Travel and logistics:</w:t>
      </w:r>
    </w:p>
    <w:p w14:paraId="78066233" w14:textId="3E0C31EE" w:rsidR="00D002AD" w:rsidRPr="008409A9" w:rsidRDefault="3506FF6F" w:rsidP="002F14DF">
      <w:pPr>
        <w:pStyle w:val="ListParagraph"/>
        <w:numPr>
          <w:ilvl w:val="1"/>
          <w:numId w:val="1"/>
        </w:numPr>
        <w:spacing w:after="0"/>
        <w:rPr>
          <w:rFonts w:ascii="Arial" w:eastAsia="Segoe UI" w:hAnsi="Arial" w:cs="Arial"/>
          <w:szCs w:val="22"/>
        </w:rPr>
      </w:pPr>
      <w:r w:rsidRPr="008409A9">
        <w:rPr>
          <w:rFonts w:ascii="Arial" w:eastAsia="Segoe UI" w:hAnsi="Arial" w:cs="Arial"/>
          <w:szCs w:val="22"/>
        </w:rPr>
        <w:t>Transport costs for providers visiting aged care homes</w:t>
      </w:r>
    </w:p>
    <w:p w14:paraId="16197E58" w14:textId="7F428F52" w:rsidR="00D002AD" w:rsidRPr="008409A9" w:rsidRDefault="3506FF6F" w:rsidP="002F14DF">
      <w:pPr>
        <w:pStyle w:val="ListParagraph"/>
        <w:numPr>
          <w:ilvl w:val="1"/>
          <w:numId w:val="1"/>
        </w:numPr>
        <w:spacing w:after="0"/>
        <w:rPr>
          <w:rFonts w:eastAsia="Segoe UI" w:cs="Arial"/>
          <w:szCs w:val="22"/>
        </w:rPr>
      </w:pPr>
      <w:r w:rsidRPr="008409A9">
        <w:rPr>
          <w:rFonts w:ascii="Arial" w:eastAsia="Segoe UI" w:hAnsi="Arial" w:cs="Arial"/>
          <w:szCs w:val="22"/>
        </w:rPr>
        <w:t>Scheduling systems to ensure regular and timely visits</w:t>
      </w:r>
      <w:r w:rsidR="008A3632" w:rsidRPr="008409A9">
        <w:rPr>
          <w:rFonts w:ascii="Arial" w:eastAsia="Segoe UI" w:hAnsi="Arial" w:cs="Arial"/>
          <w:szCs w:val="22"/>
        </w:rPr>
        <w:t>.</w:t>
      </w:r>
    </w:p>
    <w:p w14:paraId="2E08297F" w14:textId="1B3F8430" w:rsidR="000D1667" w:rsidRPr="009A5F5E" w:rsidRDefault="000D1667" w:rsidP="000D1667">
      <w:pPr>
        <w:pStyle w:val="GuidelinesHeading"/>
      </w:pPr>
      <w:bookmarkStart w:id="398" w:name="_Toc212118243"/>
      <w:r w:rsidRPr="009A5F5E">
        <w:t xml:space="preserve">Announcement of </w:t>
      </w:r>
      <w:r w:rsidR="00C01A3A" w:rsidRPr="009A5F5E">
        <w:t>funding</w:t>
      </w:r>
      <w:bookmarkEnd w:id="398"/>
    </w:p>
    <w:p w14:paraId="671D0989" w14:textId="4A91D138" w:rsidR="004F21F2" w:rsidRPr="004F21F2" w:rsidRDefault="008A3632" w:rsidP="004F21F2">
      <w:pPr>
        <w:spacing w:before="80"/>
        <w:rPr>
          <w:szCs w:val="22"/>
        </w:rPr>
      </w:pPr>
      <w:r w:rsidRPr="004F21F2">
        <w:rPr>
          <w:szCs w:val="22"/>
        </w:rPr>
        <w:t>E</w:t>
      </w:r>
      <w:r w:rsidR="00C01A3A" w:rsidRPr="004F21F2">
        <w:rPr>
          <w:szCs w:val="22"/>
        </w:rPr>
        <w:t>ligible funding</w:t>
      </w:r>
      <w:r w:rsidR="004A50C4" w:rsidRPr="004F21F2" w:rsidDel="00457E6C">
        <w:rPr>
          <w:szCs w:val="22"/>
        </w:rPr>
        <w:t xml:space="preserve"> </w:t>
      </w:r>
      <w:r w:rsidR="004F21F2" w:rsidRPr="004F21F2">
        <w:rPr>
          <w:szCs w:val="22"/>
        </w:rPr>
        <w:t xml:space="preserve">will be published on GrantConnect annually in aggregate by jurisdiction as it </w:t>
      </w:r>
    </w:p>
    <w:p w14:paraId="39D81906" w14:textId="6003AACE" w:rsidR="004A50C4" w:rsidRPr="004F21F2" w:rsidDel="00457E6C" w:rsidRDefault="004F21F2" w:rsidP="004F21F2">
      <w:pPr>
        <w:spacing w:before="80"/>
        <w:rPr>
          <w:szCs w:val="22"/>
        </w:rPr>
      </w:pPr>
      <w:r w:rsidRPr="004F21F2">
        <w:rPr>
          <w:szCs w:val="22"/>
        </w:rPr>
        <w:t>aligns with existing MBS servicing requirements.</w:t>
      </w:r>
    </w:p>
    <w:p w14:paraId="18CBB8A0" w14:textId="77777777" w:rsidR="007E6397" w:rsidRPr="009A5F5E" w:rsidRDefault="007E6397" w:rsidP="003B38DC">
      <w:pPr>
        <w:pStyle w:val="GuidelinesHeading"/>
      </w:pPr>
      <w:bookmarkStart w:id="399" w:name="_Toc212118244"/>
      <w:bookmarkStart w:id="400" w:name="_Toc170120033"/>
      <w:bookmarkStart w:id="401" w:name="_Toc170817174"/>
      <w:bookmarkEnd w:id="391"/>
      <w:r w:rsidRPr="009A5F5E">
        <w:t>Probity</w:t>
      </w:r>
      <w:bookmarkEnd w:id="399"/>
    </w:p>
    <w:p w14:paraId="342B745A" w14:textId="77777777" w:rsidR="001F4A2F" w:rsidRPr="009A5F5E" w:rsidRDefault="001F4A2F" w:rsidP="00C47885">
      <w:pPr>
        <w:pStyle w:val="Guidelinessub"/>
        <w:rPr>
          <w:rFonts w:ascii="Arial" w:hAnsi="Arial"/>
          <w:bCs w:val="0"/>
          <w:color w:val="000000" w:themeColor="text1"/>
          <w:kern w:val="0"/>
          <w:sz w:val="24"/>
          <w:szCs w:val="26"/>
          <w:lang w:eastAsia="zh-CN"/>
          <w14:ligatures w14:val="none"/>
        </w:rPr>
      </w:pPr>
      <w:hyperlink r:id="rId29" w:history="1">
        <w:bookmarkStart w:id="402" w:name="_Toc212118245"/>
        <w:r w:rsidRPr="009A5F5E">
          <w:rPr>
            <w:rFonts w:ascii="Arial" w:hAnsi="Arial"/>
            <w:bCs w:val="0"/>
            <w:color w:val="000000" w:themeColor="text1"/>
            <w:kern w:val="0"/>
            <w:sz w:val="24"/>
            <w:szCs w:val="26"/>
            <w:lang w:eastAsia="zh-CN"/>
            <w14:ligatures w14:val="none"/>
          </w:rPr>
          <w:t>National Anti-Corruption Commission Act 2022</w:t>
        </w:r>
      </w:hyperlink>
      <w:r w:rsidRPr="009A5F5E">
        <w:rPr>
          <w:rFonts w:ascii="Arial" w:hAnsi="Arial"/>
          <w:bCs w:val="0"/>
          <w:color w:val="000000" w:themeColor="text1"/>
          <w:kern w:val="0"/>
          <w:sz w:val="24"/>
          <w:szCs w:val="26"/>
          <w:lang w:eastAsia="zh-CN"/>
          <w14:ligatures w14:val="none"/>
        </w:rPr>
        <w:t xml:space="preserve"> (NACC Act)</w:t>
      </w:r>
      <w:bookmarkEnd w:id="402"/>
    </w:p>
    <w:p w14:paraId="722797B9" w14:textId="77777777" w:rsidR="001F4A2F" w:rsidRPr="009A5F5E" w:rsidRDefault="001F4A2F" w:rsidP="000653E7">
      <w:r w:rsidRPr="009A5F5E">
        <w:t>The NACC Act came into effect on 1 July 2023. The NACC enhances integrity in the Commonwealth public sector by deterring, detecting and preventing corrupt conduct involving commonwealth public officials. Grantees will generally be considered ‘contracted service providers’ under the NACC Act and may be investigated by the NACC for corrupt conduct.</w:t>
      </w:r>
    </w:p>
    <w:p w14:paraId="0A0AFC18" w14:textId="77777777" w:rsidR="001F4A2F" w:rsidRPr="009A5F5E" w:rsidRDefault="001F4A2F" w:rsidP="000653E7">
      <w:pPr>
        <w:rPr>
          <w:b/>
        </w:rPr>
      </w:pPr>
      <w:r w:rsidRPr="009A5F5E">
        <w:t>Officials and grantees should be aware of their obligations under the NACC Act.</w:t>
      </w:r>
    </w:p>
    <w:p w14:paraId="6275E3BB" w14:textId="77777777" w:rsidR="001F4A2F" w:rsidRPr="009A5F5E" w:rsidRDefault="001F4A2F" w:rsidP="000653E7">
      <w:r w:rsidRPr="009A5F5E">
        <w:t>The Australian Government will make sure that the grant opportunity process is fair, according to the published guidelines, incorporates appropriate safeguards against fraud, unlawful activities and other inappropriate conduct, and is consistent with the CGRPs.</w:t>
      </w:r>
    </w:p>
    <w:p w14:paraId="5FAE73EB" w14:textId="77777777" w:rsidR="001F4A2F" w:rsidRPr="009A5F5E" w:rsidRDefault="001F4A2F" w:rsidP="000653E7">
      <w:r w:rsidRPr="009A5F5E">
        <w:t>These guidelines may be amended periodically by the department. When this happens, the revised guidelines will be published on GrantConnect. By registering on this website, you will be automatically notified of any changes to these guidelines.</w:t>
      </w:r>
    </w:p>
    <w:p w14:paraId="6D869291" w14:textId="5E69C014" w:rsidR="001F4A2F" w:rsidRPr="009A5F5E" w:rsidRDefault="001F4A2F" w:rsidP="000653E7">
      <w:r w:rsidRPr="009A5F5E">
        <w:t xml:space="preserve">You should be aware of your obligations under the </w:t>
      </w:r>
      <w:hyperlink r:id="rId30" w:history="1">
        <w:r w:rsidRPr="009A5F5E">
          <w:rPr>
            <w:rStyle w:val="Hyperlink"/>
            <w:szCs w:val="22"/>
          </w:rPr>
          <w:t>National Anti-Corruption Act 2022</w:t>
        </w:r>
      </w:hyperlink>
      <w:r w:rsidRPr="009A5F5E">
        <w:t xml:space="preserve">, noting that under the Act grantees will generally be considered ‘contracted services providers’. See the </w:t>
      </w:r>
      <w:hyperlink r:id="rId31" w:history="1">
        <w:r w:rsidRPr="009A5F5E">
          <w:rPr>
            <w:rStyle w:val="Hyperlink"/>
            <w:szCs w:val="22"/>
          </w:rPr>
          <w:t>Fact Sheet</w:t>
        </w:r>
      </w:hyperlink>
      <w:r w:rsidRPr="009A5F5E">
        <w:t xml:space="preserve"> for more information.</w:t>
      </w:r>
    </w:p>
    <w:p w14:paraId="50F336D2" w14:textId="36EF6392" w:rsidR="00817CB4" w:rsidRPr="009A5F5E" w:rsidRDefault="758819B6" w:rsidP="000653E7">
      <w:pPr>
        <w:pStyle w:val="Guidelinessub"/>
        <w:rPr>
          <w:rFonts w:ascii="Arial" w:hAnsi="Arial"/>
          <w:bCs w:val="0"/>
          <w:color w:val="000000" w:themeColor="text1"/>
          <w:kern w:val="0"/>
          <w:sz w:val="24"/>
          <w:szCs w:val="26"/>
          <w:lang w:eastAsia="zh-CN"/>
          <w14:ligatures w14:val="none"/>
        </w:rPr>
      </w:pPr>
      <w:bookmarkStart w:id="403" w:name="_Toc212118246"/>
      <w:r w:rsidRPr="009A5F5E">
        <w:rPr>
          <w:rFonts w:ascii="Arial" w:hAnsi="Arial"/>
          <w:bCs w:val="0"/>
          <w:color w:val="000000" w:themeColor="text1"/>
          <w:kern w:val="0"/>
          <w:sz w:val="24"/>
          <w:szCs w:val="26"/>
          <w:lang w:eastAsia="zh-CN"/>
          <w14:ligatures w14:val="none"/>
        </w:rPr>
        <w:lastRenderedPageBreak/>
        <w:t>Review of Decision</w:t>
      </w:r>
      <w:bookmarkEnd w:id="400"/>
      <w:bookmarkEnd w:id="401"/>
      <w:bookmarkEnd w:id="403"/>
    </w:p>
    <w:p w14:paraId="1D8B008A" w14:textId="3474775B" w:rsidR="00817CB4" w:rsidRPr="009A5F5E" w:rsidRDefault="00817CB4" w:rsidP="00574127">
      <w:bookmarkStart w:id="404" w:name="_Hlk167964357"/>
      <w:bookmarkStart w:id="405" w:name="_Hlk165581449"/>
      <w:r w:rsidRPr="009A5F5E">
        <w:t>Practice</w:t>
      </w:r>
      <w:r w:rsidR="7400F3FA" w:rsidRPr="009A5F5E">
        <w:t>s</w:t>
      </w:r>
      <w:r w:rsidRPr="009A5F5E">
        <w:t xml:space="preserve"> and </w:t>
      </w:r>
      <w:r w:rsidR="6C676D6E" w:rsidRPr="009A5F5E">
        <w:t>p</w:t>
      </w:r>
      <w:r w:rsidRPr="009A5F5E">
        <w:t>roviders can seek a Review of Decision (</w:t>
      </w:r>
      <w:proofErr w:type="spellStart"/>
      <w:r w:rsidRPr="009A5F5E">
        <w:t>RoD</w:t>
      </w:r>
      <w:proofErr w:type="spellEnd"/>
      <w:r w:rsidRPr="009A5F5E">
        <w:t>) relat</w:t>
      </w:r>
      <w:r w:rsidR="009832F1" w:rsidRPr="009A5F5E">
        <w:t>ing</w:t>
      </w:r>
      <w:r w:rsidRPr="009A5F5E">
        <w:t xml:space="preserve"> to </w:t>
      </w:r>
      <w:r w:rsidR="00781C8B" w:rsidRPr="009A5F5E">
        <w:t>GPACI</w:t>
      </w:r>
      <w:r w:rsidRPr="009A5F5E" w:rsidDel="00174732">
        <w:t xml:space="preserve"> </w:t>
      </w:r>
      <w:r w:rsidRPr="009A5F5E">
        <w:t xml:space="preserve">payments and assessments. </w:t>
      </w:r>
      <w:bookmarkStart w:id="406" w:name="_Hlk167964507"/>
      <w:r w:rsidRPr="009A5F5E">
        <w:t xml:space="preserve">To seek a review, the provider or authorised contact person/owner(s) of the practice must </w:t>
      </w:r>
      <w:r w:rsidR="00085E8E" w:rsidRPr="009A5F5E">
        <w:t xml:space="preserve">provide Services Australia with a </w:t>
      </w:r>
      <w:r w:rsidRPr="009A5F5E">
        <w:t>complete</w:t>
      </w:r>
      <w:r w:rsidR="00085E8E" w:rsidRPr="009A5F5E">
        <w:t>d</w:t>
      </w:r>
      <w:r w:rsidRPr="009A5F5E">
        <w:t xml:space="preserve"> </w:t>
      </w:r>
      <w:proofErr w:type="spellStart"/>
      <w:r w:rsidRPr="009A5F5E">
        <w:t>RoD</w:t>
      </w:r>
      <w:proofErr w:type="spellEnd"/>
      <w:r w:rsidRPr="009A5F5E">
        <w:t xml:space="preserve"> form</w:t>
      </w:r>
      <w:r w:rsidRPr="009A5F5E">
        <w:rPr>
          <w:vertAlign w:val="superscript"/>
        </w:rPr>
        <w:footnoteReference w:id="11"/>
      </w:r>
      <w:r w:rsidRPr="009A5F5E">
        <w:t xml:space="preserve"> and supporting documentation within 28 days of receiving the decision.</w:t>
      </w:r>
    </w:p>
    <w:p w14:paraId="44D8DAFD" w14:textId="77777777" w:rsidR="00A54B3A" w:rsidRDefault="00817CB4" w:rsidP="00574127">
      <w:bookmarkStart w:id="407" w:name="_Hlk167964584"/>
      <w:bookmarkEnd w:id="404"/>
      <w:bookmarkEnd w:id="406"/>
      <w:r w:rsidRPr="009A5F5E">
        <w:t>Services Australia will review the decision against the published guidelines at the time of the event and the outcome of the review will be advised in writing. If practices or providers are not satisfied with the decision,</w:t>
      </w:r>
      <w:r w:rsidR="00505CD0" w:rsidRPr="009A5F5E">
        <w:t xml:space="preserve"> they can request reconsideration via a second review. </w:t>
      </w:r>
    </w:p>
    <w:p w14:paraId="78A07756" w14:textId="1780D786" w:rsidR="00817CB4" w:rsidRPr="009A5F5E" w:rsidRDefault="00505CD0" w:rsidP="00574127">
      <w:r w:rsidRPr="009A5F5E">
        <w:t>If not satisfied with the outcome of a second review,</w:t>
      </w:r>
      <w:r w:rsidR="00817CB4" w:rsidRPr="009A5F5E">
        <w:t xml:space="preserve"> </w:t>
      </w:r>
      <w:r w:rsidRPr="009A5F5E">
        <w:t xml:space="preserve">practices or providers may </w:t>
      </w:r>
      <w:r w:rsidR="00817CB4" w:rsidRPr="009A5F5E">
        <w:t xml:space="preserve">ask the Formal Review Committee to reconsider </w:t>
      </w:r>
      <w:r w:rsidRPr="009A5F5E">
        <w:t>the decision</w:t>
      </w:r>
      <w:r w:rsidR="00817CB4" w:rsidRPr="009A5F5E">
        <w:t xml:space="preserve">. </w:t>
      </w:r>
      <w:bookmarkEnd w:id="405"/>
      <w:bookmarkEnd w:id="407"/>
      <w:r w:rsidR="00817CB4" w:rsidRPr="009A5F5E">
        <w:t xml:space="preserve">For further details about the </w:t>
      </w:r>
      <w:proofErr w:type="spellStart"/>
      <w:r w:rsidR="00817CB4" w:rsidRPr="009A5F5E">
        <w:t>RoD</w:t>
      </w:r>
      <w:proofErr w:type="spellEnd"/>
      <w:r w:rsidR="00817CB4" w:rsidRPr="009A5F5E">
        <w:t xml:space="preserve"> process, please contact Services Australia. </w:t>
      </w:r>
    </w:p>
    <w:p w14:paraId="3F0F09D7" w14:textId="3012FD89" w:rsidR="00817CB4" w:rsidRPr="009A5F5E" w:rsidRDefault="00531C8E" w:rsidP="009C1732">
      <w:pPr>
        <w:pStyle w:val="Guidelinessub"/>
        <w:rPr>
          <w:rFonts w:ascii="Arial" w:hAnsi="Arial"/>
          <w:bCs w:val="0"/>
          <w:color w:val="000000" w:themeColor="text1"/>
          <w:kern w:val="0"/>
          <w:sz w:val="24"/>
          <w:szCs w:val="26"/>
          <w:lang w:eastAsia="zh-CN"/>
          <w14:ligatures w14:val="none"/>
        </w:rPr>
      </w:pPr>
      <w:bookmarkStart w:id="408" w:name="_Toc206509274"/>
      <w:bookmarkStart w:id="409" w:name="_Toc166066966"/>
      <w:bookmarkStart w:id="410" w:name="_Toc166068382"/>
      <w:bookmarkStart w:id="411" w:name="_Toc166068594"/>
      <w:bookmarkStart w:id="412" w:name="_Toc166069553"/>
      <w:bookmarkStart w:id="413" w:name="_Toc167109456"/>
      <w:bookmarkStart w:id="414" w:name="_Toc170120034"/>
      <w:bookmarkStart w:id="415" w:name="_Toc170817175"/>
      <w:bookmarkStart w:id="416" w:name="_Toc212118247"/>
      <w:r w:rsidRPr="009A5F5E">
        <w:rPr>
          <w:rFonts w:ascii="Arial" w:hAnsi="Arial"/>
          <w:bCs w:val="0"/>
          <w:color w:val="000000" w:themeColor="text1"/>
          <w:kern w:val="0"/>
          <w:sz w:val="24"/>
          <w:szCs w:val="26"/>
          <w:lang w:eastAsia="zh-CN"/>
          <w14:ligatures w14:val="none"/>
        </w:rPr>
        <w:t>Enquiries and feedback</w:t>
      </w:r>
      <w:bookmarkEnd w:id="408"/>
      <w:bookmarkEnd w:id="409"/>
      <w:bookmarkEnd w:id="410"/>
      <w:bookmarkEnd w:id="411"/>
      <w:bookmarkEnd w:id="412"/>
      <w:bookmarkEnd w:id="413"/>
      <w:bookmarkEnd w:id="414"/>
      <w:bookmarkEnd w:id="415"/>
      <w:bookmarkEnd w:id="416"/>
    </w:p>
    <w:p w14:paraId="3EF950A7" w14:textId="2AC3B6EB" w:rsidR="00817CB4" w:rsidRPr="009A5F5E" w:rsidRDefault="00817CB4" w:rsidP="00574127">
      <w:r w:rsidRPr="009A5F5E">
        <w:t xml:space="preserve">For further information on the </w:t>
      </w:r>
      <w:r w:rsidR="00781C8B" w:rsidRPr="009A5F5E">
        <w:t>GPACI</w:t>
      </w:r>
      <w:r w:rsidRPr="009A5F5E">
        <w:t>:</w:t>
      </w:r>
    </w:p>
    <w:p w14:paraId="7D97DE72" w14:textId="51A9DE2D" w:rsidR="00817CB4" w:rsidRPr="009A5F5E" w:rsidRDefault="48DCD9C8" w:rsidP="48E88A4B">
      <w:pPr>
        <w:spacing w:before="120" w:after="120" w:line="276" w:lineRule="auto"/>
        <w:rPr>
          <w:rFonts w:cs="Arial"/>
        </w:rPr>
      </w:pPr>
      <w:r w:rsidRPr="009A5F5E">
        <w:rPr>
          <w:rStyle w:val="Strong"/>
        </w:rPr>
        <w:t>E</w:t>
      </w:r>
      <w:r w:rsidR="00817CB4" w:rsidRPr="009A5F5E">
        <w:rPr>
          <w:rStyle w:val="Strong"/>
        </w:rPr>
        <w:t>mail:</w:t>
      </w:r>
      <w:r w:rsidR="00817CB4" w:rsidRPr="009A5F5E">
        <w:rPr>
          <w:rFonts w:cs="Arial"/>
        </w:rPr>
        <w:t xml:space="preserve"> </w:t>
      </w:r>
      <w:hyperlink r:id="rId32">
        <w:r w:rsidR="00817CB4" w:rsidRPr="009A5F5E">
          <w:rPr>
            <w:rStyle w:val="Hyperlink"/>
            <w:rFonts w:cs="Arial"/>
          </w:rPr>
          <w:t>MyMedicare@Health.gov.au</w:t>
        </w:r>
      </w:hyperlink>
    </w:p>
    <w:p w14:paraId="463DBC11" w14:textId="15BFEC99" w:rsidR="00817CB4" w:rsidRPr="009A5F5E" w:rsidRDefault="13308644" w:rsidP="18D229B5">
      <w:pPr>
        <w:spacing w:before="120" w:after="120" w:line="276" w:lineRule="auto"/>
        <w:rPr>
          <w:rFonts w:cs="Arial"/>
        </w:rPr>
      </w:pPr>
      <w:r w:rsidRPr="009A5F5E">
        <w:rPr>
          <w:rStyle w:val="Strong"/>
        </w:rPr>
        <w:t>W</w:t>
      </w:r>
      <w:r w:rsidR="19AF495F" w:rsidRPr="009A5F5E">
        <w:rPr>
          <w:rStyle w:val="Strong"/>
        </w:rPr>
        <w:t>ebsite:</w:t>
      </w:r>
      <w:r w:rsidR="19AF495F" w:rsidRPr="009A5F5E">
        <w:rPr>
          <w:rFonts w:cs="Arial"/>
          <w:b/>
          <w:bCs/>
        </w:rPr>
        <w:t xml:space="preserve"> </w:t>
      </w:r>
      <w:hyperlink r:id="rId33" w:history="1">
        <w:r w:rsidR="6F7EC06A" w:rsidRPr="009A5F5E">
          <w:rPr>
            <w:rStyle w:val="Hyperlink"/>
            <w:rFonts w:cs="Arial"/>
          </w:rPr>
          <w:t>Health.gov.au/our-work/</w:t>
        </w:r>
        <w:proofErr w:type="spellStart"/>
        <w:r w:rsidR="6F7EC06A" w:rsidRPr="009A5F5E">
          <w:rPr>
            <w:rStyle w:val="Hyperlink"/>
            <w:rFonts w:cs="Arial"/>
          </w:rPr>
          <w:t>gpaci</w:t>
        </w:r>
        <w:proofErr w:type="spellEnd"/>
      </w:hyperlink>
    </w:p>
    <w:p w14:paraId="4964AD5E" w14:textId="77777777" w:rsidR="00817CB4" w:rsidRPr="009A5F5E" w:rsidRDefault="00817CB4" w:rsidP="00574127">
      <w:bookmarkStart w:id="417" w:name="_Toc166066965"/>
      <w:bookmarkStart w:id="418" w:name="_Toc166068381"/>
      <w:bookmarkStart w:id="419" w:name="_Toc166068593"/>
      <w:bookmarkStart w:id="420" w:name="_Toc166069552"/>
      <w:bookmarkStart w:id="421" w:name="_Toc166069599"/>
      <w:bookmarkStart w:id="422" w:name="_Toc166136615"/>
      <w:bookmarkStart w:id="423" w:name="_Toc167109455"/>
      <w:bookmarkStart w:id="424" w:name="_Toc170120035"/>
      <w:bookmarkStart w:id="425" w:name="_Hlk165581660"/>
      <w:r w:rsidRPr="009A5F5E">
        <w:t>For further information on processes for health professionals please contact:</w:t>
      </w:r>
    </w:p>
    <w:p w14:paraId="365BDD25" w14:textId="77777777" w:rsidR="00817CB4" w:rsidRPr="009A5F5E" w:rsidRDefault="00817CB4" w:rsidP="00817CB4">
      <w:pPr>
        <w:pStyle w:val="ListBullet"/>
        <w:numPr>
          <w:ilvl w:val="0"/>
          <w:numId w:val="0"/>
        </w:numPr>
        <w:ind w:left="420" w:hanging="420"/>
        <w:rPr>
          <w:b/>
        </w:rPr>
      </w:pPr>
      <w:r w:rsidRPr="009A5F5E">
        <w:rPr>
          <w:rStyle w:val="Strong"/>
        </w:rPr>
        <w:t>Phone:</w:t>
      </w:r>
      <w:r w:rsidRPr="009A5F5E">
        <w:t xml:space="preserve"> 132 150, select Option 2</w:t>
      </w:r>
    </w:p>
    <w:p w14:paraId="7D3FA0CA" w14:textId="57F8A124" w:rsidR="00817CB4" w:rsidRPr="009A5F5E" w:rsidRDefault="2D276389" w:rsidP="00817CB4">
      <w:pPr>
        <w:pStyle w:val="ListBullet"/>
        <w:numPr>
          <w:ilvl w:val="0"/>
          <w:numId w:val="0"/>
        </w:numPr>
        <w:ind w:left="420" w:hanging="420"/>
        <w:rPr>
          <w:szCs w:val="18"/>
        </w:rPr>
      </w:pPr>
      <w:r w:rsidRPr="009A5F5E">
        <w:rPr>
          <w:rStyle w:val="Strong"/>
        </w:rPr>
        <w:t>Website:</w:t>
      </w:r>
      <w:r w:rsidRPr="009A5F5E">
        <w:t xml:space="preserve"> </w:t>
      </w:r>
      <w:hyperlink r:id="rId34" w:history="1">
        <w:r w:rsidR="00817CB4" w:rsidRPr="009A5F5E">
          <w:rPr>
            <w:rStyle w:val="Hyperlink"/>
            <w:szCs w:val="18"/>
          </w:rPr>
          <w:t>MyMedicare Incentives - Health professionals - Services Australia</w:t>
        </w:r>
      </w:hyperlink>
      <w:r w:rsidRPr="009A5F5E">
        <w:rPr>
          <w:szCs w:val="18"/>
        </w:rPr>
        <w:t xml:space="preserve"> </w:t>
      </w:r>
    </w:p>
    <w:p w14:paraId="71742701" w14:textId="77777777" w:rsidR="00A96442" w:rsidRPr="009A5F5E" w:rsidRDefault="00A96442" w:rsidP="00817CB4">
      <w:pPr>
        <w:pStyle w:val="ListBullet"/>
        <w:numPr>
          <w:ilvl w:val="0"/>
          <w:numId w:val="0"/>
        </w:numPr>
        <w:ind w:left="420" w:hanging="420"/>
        <w:rPr>
          <w:sz w:val="20"/>
          <w:szCs w:val="18"/>
        </w:rPr>
      </w:pPr>
    </w:p>
    <w:p w14:paraId="1C316585" w14:textId="781C07AB" w:rsidR="002A5F4D" w:rsidRPr="009A5F5E" w:rsidRDefault="002A5F4D" w:rsidP="002A5F4D">
      <w:pPr>
        <w:spacing w:before="80"/>
        <w:rPr>
          <w:szCs w:val="22"/>
        </w:rPr>
      </w:pPr>
      <w:r w:rsidRPr="009A5F5E">
        <w:rPr>
          <w:szCs w:val="22"/>
        </w:rPr>
        <w:t xml:space="preserve">The </w:t>
      </w:r>
      <w:r w:rsidRPr="009A5F5E">
        <w:rPr>
          <w:rFonts w:cs="Arial"/>
          <w:szCs w:val="22"/>
        </w:rPr>
        <w:t xml:space="preserve">department’s </w:t>
      </w:r>
      <w:hyperlink r:id="rId35" w:history="1">
        <w:r w:rsidRPr="009A5F5E">
          <w:rPr>
            <w:rStyle w:val="Hyperlink"/>
            <w:rFonts w:cs="Arial"/>
            <w:szCs w:val="22"/>
          </w:rPr>
          <w:t>Complaint Handling Process</w:t>
        </w:r>
      </w:hyperlink>
      <w:r w:rsidRPr="009A5F5E">
        <w:rPr>
          <w:szCs w:val="22"/>
        </w:rPr>
        <w:t xml:space="preserve"> applies to complaints about t</w:t>
      </w:r>
      <w:r w:rsidR="00B51CBA" w:rsidRPr="009A5F5E">
        <w:rPr>
          <w:szCs w:val="22"/>
        </w:rPr>
        <w:t xml:space="preserve">he </w:t>
      </w:r>
      <w:r w:rsidR="00781C8B" w:rsidRPr="009A5F5E">
        <w:rPr>
          <w:szCs w:val="22"/>
        </w:rPr>
        <w:t>GPACI</w:t>
      </w:r>
      <w:r w:rsidRPr="009A5F5E">
        <w:rPr>
          <w:szCs w:val="22"/>
        </w:rPr>
        <w:t>.</w:t>
      </w:r>
      <w:r w:rsidRPr="009A5F5E">
        <w:rPr>
          <w:b/>
          <w:szCs w:val="22"/>
        </w:rPr>
        <w:t xml:space="preserve"> </w:t>
      </w:r>
      <w:r w:rsidRPr="009A5F5E">
        <w:rPr>
          <w:szCs w:val="22"/>
        </w:rPr>
        <w:t>All complaints about a grant process must be provided in writing.</w:t>
      </w:r>
    </w:p>
    <w:p w14:paraId="79DB7A03" w14:textId="77777777" w:rsidR="00A96442" w:rsidRPr="009A5F5E" w:rsidRDefault="00A96442" w:rsidP="00A96442">
      <w:pPr>
        <w:spacing w:before="80"/>
        <w:rPr>
          <w:szCs w:val="22"/>
        </w:rPr>
      </w:pPr>
      <w:r w:rsidRPr="009A5F5E">
        <w:rPr>
          <w:szCs w:val="22"/>
        </w:rPr>
        <w:t xml:space="preserve">If you do not agree with the way the department has handled your complaint, you may complain to the </w:t>
      </w:r>
      <w:hyperlink r:id="rId36" w:history="1">
        <w:r w:rsidRPr="009A5F5E">
          <w:rPr>
            <w:rStyle w:val="Hyperlink"/>
            <w:szCs w:val="22"/>
          </w:rPr>
          <w:t>Commonwealth Ombudsman</w:t>
        </w:r>
      </w:hyperlink>
      <w:r w:rsidRPr="009A5F5E">
        <w:rPr>
          <w:szCs w:val="22"/>
        </w:rPr>
        <w:t xml:space="preserve">. The Ombudsman will not usually </w:t>
      </w:r>
      <w:proofErr w:type="gramStart"/>
      <w:r w:rsidRPr="009A5F5E">
        <w:rPr>
          <w:szCs w:val="22"/>
        </w:rPr>
        <w:t>look into</w:t>
      </w:r>
      <w:proofErr w:type="gramEnd"/>
      <w:r w:rsidRPr="009A5F5E">
        <w:rPr>
          <w:szCs w:val="22"/>
        </w:rPr>
        <w:t xml:space="preserve"> a complaint unless the matter has first been raised directly with the relevant Commonwealth entity.</w:t>
      </w:r>
    </w:p>
    <w:p w14:paraId="73E4B9FA" w14:textId="77777777" w:rsidR="00A96442" w:rsidRPr="009A5F5E" w:rsidRDefault="00A96442" w:rsidP="00A96442">
      <w:pPr>
        <w:spacing w:before="80"/>
        <w:ind w:left="5040" w:hanging="5040"/>
        <w:rPr>
          <w:szCs w:val="22"/>
        </w:rPr>
      </w:pPr>
      <w:r w:rsidRPr="009A5F5E">
        <w:rPr>
          <w:szCs w:val="22"/>
        </w:rPr>
        <w:t xml:space="preserve">The Commonwealth Ombudsman can be contacted on: </w:t>
      </w:r>
    </w:p>
    <w:p w14:paraId="28BF9373" w14:textId="53E5B830" w:rsidR="00A96442" w:rsidRPr="009A5F5E" w:rsidRDefault="00A96442" w:rsidP="00A96442">
      <w:pPr>
        <w:spacing w:before="80"/>
        <w:ind w:left="1276" w:hanging="1276"/>
        <w:rPr>
          <w:szCs w:val="22"/>
        </w:rPr>
      </w:pPr>
      <w:r w:rsidRPr="009A5F5E">
        <w:rPr>
          <w:szCs w:val="22"/>
        </w:rPr>
        <w:tab/>
        <w:t>Phone (Toll free): 1300 362 072</w:t>
      </w:r>
      <w:r w:rsidRPr="009A5F5E">
        <w:rPr>
          <w:szCs w:val="22"/>
        </w:rPr>
        <w:br/>
        <w:t xml:space="preserve">Email: </w:t>
      </w:r>
      <w:hyperlink r:id="rId37" w:history="1">
        <w:r w:rsidRPr="009A5F5E">
          <w:rPr>
            <w:rStyle w:val="Hyperlink"/>
            <w:szCs w:val="22"/>
          </w:rPr>
          <w:t>ombudsman@ombudsman.gov.au</w:t>
        </w:r>
      </w:hyperlink>
      <w:r w:rsidRPr="009A5F5E">
        <w:rPr>
          <w:szCs w:val="22"/>
        </w:rPr>
        <w:t xml:space="preserve">  </w:t>
      </w:r>
      <w:r w:rsidRPr="009A5F5E">
        <w:rPr>
          <w:szCs w:val="22"/>
        </w:rPr>
        <w:br/>
        <w:t xml:space="preserve">Website: </w:t>
      </w:r>
      <w:hyperlink r:id="rId38" w:history="1">
        <w:r w:rsidRPr="009A5F5E">
          <w:rPr>
            <w:rStyle w:val="Hyperlink"/>
          </w:rPr>
          <w:t>Home - Commonwealth Ombudsman</w:t>
        </w:r>
      </w:hyperlink>
      <w:r w:rsidR="008E2331" w:rsidRPr="009A5F5E">
        <w:t>.</w:t>
      </w:r>
    </w:p>
    <w:p w14:paraId="0EB1E5C6" w14:textId="77777777" w:rsidR="00021032" w:rsidRPr="009A5F5E" w:rsidRDefault="00021032" w:rsidP="00C817AF">
      <w:pPr>
        <w:pStyle w:val="Guidelinessub"/>
        <w:rPr>
          <w:rFonts w:ascii="Arial" w:hAnsi="Arial"/>
          <w:bCs w:val="0"/>
          <w:color w:val="000000" w:themeColor="text1"/>
          <w:kern w:val="0"/>
          <w:sz w:val="24"/>
          <w:szCs w:val="26"/>
          <w:lang w:eastAsia="zh-CN"/>
          <w14:ligatures w14:val="none"/>
        </w:rPr>
      </w:pPr>
      <w:bookmarkStart w:id="426" w:name="_Toc206509275"/>
      <w:bookmarkStart w:id="427" w:name="_Toc212118248"/>
      <w:r w:rsidRPr="009A5F5E">
        <w:rPr>
          <w:rFonts w:ascii="Arial" w:hAnsi="Arial"/>
          <w:bCs w:val="0"/>
          <w:color w:val="000000" w:themeColor="text1"/>
          <w:kern w:val="0"/>
          <w:sz w:val="24"/>
          <w:szCs w:val="26"/>
          <w:lang w:eastAsia="zh-CN"/>
          <w14:ligatures w14:val="none"/>
        </w:rPr>
        <w:t>Conflicts of interest</w:t>
      </w:r>
      <w:bookmarkEnd w:id="426"/>
      <w:bookmarkEnd w:id="427"/>
    </w:p>
    <w:p w14:paraId="59C89859" w14:textId="68D7C5E2" w:rsidR="00021032" w:rsidRPr="009A5F5E" w:rsidRDefault="00021032" w:rsidP="00021032">
      <w:pPr>
        <w:spacing w:before="80"/>
        <w:rPr>
          <w:szCs w:val="22"/>
        </w:rPr>
      </w:pPr>
      <w:r w:rsidRPr="009A5F5E">
        <w:rPr>
          <w:szCs w:val="22"/>
        </w:rPr>
        <w:t>Any conflicts of interest could affect the performance of th</w:t>
      </w:r>
      <w:r w:rsidR="00B51CBA" w:rsidRPr="009A5F5E">
        <w:rPr>
          <w:szCs w:val="22"/>
        </w:rPr>
        <w:t xml:space="preserve">e </w:t>
      </w:r>
      <w:r w:rsidR="00781C8B" w:rsidRPr="009A5F5E">
        <w:rPr>
          <w:szCs w:val="22"/>
        </w:rPr>
        <w:t>GPACI</w:t>
      </w:r>
      <w:r w:rsidR="00B51CBA" w:rsidRPr="009A5F5E">
        <w:rPr>
          <w:szCs w:val="22"/>
        </w:rPr>
        <w:t>.</w:t>
      </w:r>
      <w:r w:rsidRPr="009A5F5E">
        <w:rPr>
          <w:szCs w:val="22"/>
        </w:rPr>
        <w:t xml:space="preserve"> There may be a </w:t>
      </w:r>
      <w:hyperlink r:id="rId39" w:history="1">
        <w:r w:rsidRPr="009A5F5E">
          <w:rPr>
            <w:rStyle w:val="Hyperlink"/>
            <w:szCs w:val="22"/>
          </w:rPr>
          <w:t>conflict of interest</w:t>
        </w:r>
      </w:hyperlink>
      <w:r w:rsidRPr="009A5F5E">
        <w:rPr>
          <w:szCs w:val="22"/>
        </w:rPr>
        <w:t>, or perceived conflict of interest, if the department’s staff, any member of an assessment team, an advisor, and/or you or any of your personnel:</w:t>
      </w:r>
    </w:p>
    <w:p w14:paraId="7F8969BE" w14:textId="77777777" w:rsidR="00021032" w:rsidRPr="009A5F5E" w:rsidRDefault="00021032" w:rsidP="00F85C8B">
      <w:pPr>
        <w:pStyle w:val="ListBullet"/>
        <w:numPr>
          <w:ilvl w:val="0"/>
          <w:numId w:val="16"/>
        </w:numPr>
        <w:spacing w:before="80"/>
        <w:ind w:left="714" w:hanging="357"/>
        <w:contextualSpacing w:val="0"/>
        <w:rPr>
          <w:szCs w:val="22"/>
        </w:rPr>
      </w:pPr>
      <w:r w:rsidRPr="009A5F5E">
        <w:rPr>
          <w:szCs w:val="22"/>
        </w:rPr>
        <w:t xml:space="preserve">has a professional, commercial or personal relationship with a party who </w:t>
      </w:r>
      <w:proofErr w:type="gramStart"/>
      <w:r w:rsidRPr="009A5F5E">
        <w:rPr>
          <w:szCs w:val="22"/>
        </w:rPr>
        <w:t>is able to</w:t>
      </w:r>
      <w:proofErr w:type="gramEnd"/>
      <w:r w:rsidRPr="009A5F5E">
        <w:rPr>
          <w:szCs w:val="22"/>
        </w:rPr>
        <w:t xml:space="preserve"> influence the application selection process, such as an Australian Government officer</w:t>
      </w:r>
    </w:p>
    <w:p w14:paraId="55AA8EF0" w14:textId="77777777" w:rsidR="00021032" w:rsidRPr="009A5F5E" w:rsidRDefault="00021032" w:rsidP="00F85C8B">
      <w:pPr>
        <w:pStyle w:val="ListBullet"/>
        <w:numPr>
          <w:ilvl w:val="0"/>
          <w:numId w:val="16"/>
        </w:numPr>
        <w:spacing w:before="80"/>
        <w:ind w:left="714" w:hanging="357"/>
        <w:contextualSpacing w:val="0"/>
        <w:rPr>
          <w:szCs w:val="22"/>
        </w:rPr>
      </w:pPr>
      <w:r w:rsidRPr="009A5F5E">
        <w:rPr>
          <w:szCs w:val="22"/>
        </w:rPr>
        <w:t>has a relationship with, or interest in, an organisation which is likely to interfere with or restrict the applicants from carrying out the proposed activities fairly and independently, and/or</w:t>
      </w:r>
    </w:p>
    <w:p w14:paraId="0B3A8334" w14:textId="77777777" w:rsidR="00021032" w:rsidRPr="009A5F5E" w:rsidRDefault="00021032" w:rsidP="00F85C8B">
      <w:pPr>
        <w:pStyle w:val="ListBullet"/>
        <w:numPr>
          <w:ilvl w:val="0"/>
          <w:numId w:val="16"/>
        </w:numPr>
        <w:spacing w:before="80"/>
        <w:ind w:left="714" w:hanging="357"/>
        <w:contextualSpacing w:val="0"/>
        <w:rPr>
          <w:szCs w:val="22"/>
        </w:rPr>
      </w:pPr>
      <w:r w:rsidRPr="009A5F5E">
        <w:rPr>
          <w:szCs w:val="22"/>
        </w:rPr>
        <w:lastRenderedPageBreak/>
        <w:t>has a relationship with, or interest in, an organisation from which they will receive personal gain because the organisation receives a grant under the grant program/ grant opportunity.</w:t>
      </w:r>
    </w:p>
    <w:p w14:paraId="3D642342" w14:textId="084FBC20" w:rsidR="00021032" w:rsidRPr="009A5F5E" w:rsidRDefault="00021032" w:rsidP="00021032">
      <w:pPr>
        <w:spacing w:before="80"/>
        <w:rPr>
          <w:szCs w:val="22"/>
        </w:rPr>
      </w:pPr>
      <w:r w:rsidRPr="009A5F5E">
        <w:rPr>
          <w:szCs w:val="22"/>
        </w:rPr>
        <w:t>If you identify an actual, apparent, or perceived conflict of interest</w:t>
      </w:r>
      <w:r w:rsidR="00770826" w:rsidRPr="009A5F5E">
        <w:rPr>
          <w:szCs w:val="22"/>
        </w:rPr>
        <w:t xml:space="preserve"> following your registration in MyMedicare or the </w:t>
      </w:r>
      <w:r w:rsidR="00781C8B" w:rsidRPr="009A5F5E">
        <w:rPr>
          <w:szCs w:val="22"/>
        </w:rPr>
        <w:t>GPACI</w:t>
      </w:r>
      <w:r w:rsidRPr="009A5F5E">
        <w:rPr>
          <w:szCs w:val="22"/>
        </w:rPr>
        <w:t xml:space="preserve">, you must inform the department in writing immediately. </w:t>
      </w:r>
    </w:p>
    <w:p w14:paraId="45A982FA" w14:textId="77777777" w:rsidR="00021032" w:rsidRPr="009A5F5E" w:rsidRDefault="00021032" w:rsidP="00021032">
      <w:pPr>
        <w:spacing w:before="80"/>
        <w:rPr>
          <w:rFonts w:cs="Arial"/>
          <w:szCs w:val="22"/>
        </w:rPr>
      </w:pPr>
      <w:r w:rsidRPr="009A5F5E">
        <w:rPr>
          <w:rFonts w:cs="Arial"/>
          <w:szCs w:val="22"/>
        </w:rPr>
        <w:t xml:space="preserve">Conflicts of interest for Australian Government staff will be handled as set out in the </w:t>
      </w:r>
      <w:hyperlink r:id="rId40" w:history="1">
        <w:r w:rsidRPr="009A5F5E">
          <w:rPr>
            <w:rStyle w:val="Hyperlink"/>
            <w:rFonts w:cs="Arial"/>
            <w:szCs w:val="22"/>
          </w:rPr>
          <w:t>Australian Public Service Code of Conduct (Section 13(7))</w:t>
        </w:r>
      </w:hyperlink>
      <w:r w:rsidRPr="009A5F5E">
        <w:rPr>
          <w:rFonts w:cs="Arial"/>
          <w:szCs w:val="22"/>
        </w:rPr>
        <w:t xml:space="preserve"> of the </w:t>
      </w:r>
      <w:hyperlink r:id="rId41" w:history="1">
        <w:r w:rsidRPr="009A5F5E">
          <w:rPr>
            <w:rStyle w:val="Hyperlink"/>
            <w:rFonts w:cs="Arial"/>
            <w:i/>
            <w:szCs w:val="22"/>
          </w:rPr>
          <w:t>Public Service Act 1999</w:t>
        </w:r>
      </w:hyperlink>
      <w:r w:rsidRPr="009A5F5E">
        <w:rPr>
          <w:rFonts w:cs="Arial"/>
          <w:color w:val="0000FF"/>
          <w:szCs w:val="22"/>
        </w:rPr>
        <w:t xml:space="preserve">. </w:t>
      </w:r>
      <w:r w:rsidRPr="009A5F5E">
        <w:rPr>
          <w:rFonts w:cs="Arial"/>
          <w:szCs w:val="22"/>
        </w:rPr>
        <w:t>All members of the assessment process and other officials including the decision maker must also declare any conflicts of interest.</w:t>
      </w:r>
    </w:p>
    <w:p w14:paraId="4A502A04" w14:textId="291FD610" w:rsidR="00A96442" w:rsidRPr="009A5F5E" w:rsidRDefault="00021032" w:rsidP="00C47885">
      <w:pPr>
        <w:spacing w:before="80"/>
        <w:rPr>
          <w:szCs w:val="22"/>
        </w:rPr>
      </w:pPr>
      <w:r w:rsidRPr="009A5F5E">
        <w:rPr>
          <w:szCs w:val="22"/>
        </w:rPr>
        <w:t>We publish our conflict of interest policy on the</w:t>
      </w:r>
      <w:r w:rsidRPr="009A5F5E">
        <w:rPr>
          <w:b/>
          <w:color w:val="0B365A" w:themeColor="accent3" w:themeShade="80"/>
          <w:szCs w:val="22"/>
        </w:rPr>
        <w:t xml:space="preserve"> </w:t>
      </w:r>
      <w:hyperlink r:id="rId42" w:history="1">
        <w:r w:rsidRPr="009A5F5E">
          <w:rPr>
            <w:rStyle w:val="Hyperlink"/>
            <w:szCs w:val="22"/>
          </w:rPr>
          <w:t>Australian Public Service Commission’s website</w:t>
        </w:r>
      </w:hyperlink>
      <w:r w:rsidRPr="009A5F5E">
        <w:rPr>
          <w:color w:val="0000FF"/>
          <w:szCs w:val="22"/>
        </w:rPr>
        <w:t xml:space="preserve">. </w:t>
      </w:r>
    </w:p>
    <w:p w14:paraId="0D08691C" w14:textId="77777777" w:rsidR="00817CB4" w:rsidRPr="009A5F5E" w:rsidRDefault="758819B6" w:rsidP="001F7637">
      <w:pPr>
        <w:pStyle w:val="Heading2"/>
      </w:pPr>
      <w:bookmarkStart w:id="428" w:name="_Toc170817176"/>
      <w:bookmarkStart w:id="429" w:name="_Toc212118249"/>
      <w:r w:rsidRPr="009A5F5E">
        <w:t>Privacy and data collection</w:t>
      </w:r>
      <w:bookmarkEnd w:id="417"/>
      <w:bookmarkEnd w:id="418"/>
      <w:bookmarkEnd w:id="419"/>
      <w:bookmarkEnd w:id="420"/>
      <w:bookmarkEnd w:id="421"/>
      <w:bookmarkEnd w:id="422"/>
      <w:bookmarkEnd w:id="423"/>
      <w:bookmarkEnd w:id="424"/>
      <w:bookmarkEnd w:id="428"/>
      <w:bookmarkEnd w:id="429"/>
    </w:p>
    <w:bookmarkEnd w:id="425"/>
    <w:p w14:paraId="16B5173D" w14:textId="7C16536E" w:rsidR="00817CB4" w:rsidRPr="009A5F5E" w:rsidRDefault="00817CB4" w:rsidP="00817CB4">
      <w:pPr>
        <w:spacing w:before="120" w:after="120" w:line="276" w:lineRule="auto"/>
        <w:rPr>
          <w:rFonts w:eastAsia="Times New Roman"/>
        </w:rPr>
      </w:pPr>
      <w:r w:rsidRPr="009A5F5E">
        <w:rPr>
          <w:rFonts w:eastAsia="Times New Roman"/>
        </w:rPr>
        <w:t>The MyMedicare Privacy Notice explains how the Australian Government will manage personal information consistent with obligations under the</w:t>
      </w:r>
      <w:r w:rsidRPr="009A5F5E">
        <w:rPr>
          <w:rStyle w:val="CommentReference"/>
          <w:rFonts w:asciiTheme="minorHAnsi" w:hAnsiTheme="minorHAnsi"/>
          <w:color w:val="auto"/>
          <w:kern w:val="2"/>
          <w14:ligatures w14:val="standardContextual"/>
        </w:rPr>
        <w:t xml:space="preserve"> </w:t>
      </w:r>
      <w:hyperlink r:id="rId43" w:history="1">
        <w:r w:rsidR="00FF5DFB" w:rsidRPr="009A5F5E">
          <w:rPr>
            <w:rStyle w:val="Hyperlink"/>
            <w:rFonts w:eastAsia="Times New Roman"/>
            <w:i/>
            <w:iCs/>
          </w:rPr>
          <w:t>Privacy Act</w:t>
        </w:r>
        <w:r w:rsidR="0083445F" w:rsidRPr="009A5F5E">
          <w:rPr>
            <w:rStyle w:val="Hyperlink"/>
            <w:rFonts w:eastAsia="Times New Roman"/>
            <w:i/>
            <w:iCs/>
          </w:rPr>
          <w:t xml:space="preserve"> 1988</w:t>
        </w:r>
      </w:hyperlink>
      <w:r w:rsidR="00FF5DFB" w:rsidRPr="009A5F5E">
        <w:rPr>
          <w:rFonts w:eastAsia="Times New Roman"/>
        </w:rPr>
        <w:t xml:space="preserve"> </w:t>
      </w:r>
      <w:r w:rsidRPr="009A5F5E">
        <w:rPr>
          <w:rFonts w:eastAsia="Times New Roman"/>
        </w:rPr>
        <w:t>(</w:t>
      </w:r>
      <w:proofErr w:type="spellStart"/>
      <w:r w:rsidRPr="009A5F5E">
        <w:rPr>
          <w:rFonts w:eastAsia="Times New Roman"/>
        </w:rPr>
        <w:t>Cth</w:t>
      </w:r>
      <w:proofErr w:type="spellEnd"/>
      <w:r w:rsidRPr="009A5F5E">
        <w:rPr>
          <w:rFonts w:eastAsia="Times New Roman"/>
        </w:rPr>
        <w:t xml:space="preserve">) and the </w:t>
      </w:r>
      <w:hyperlink r:id="rId44">
        <w:r w:rsidRPr="009A5F5E">
          <w:rPr>
            <w:rFonts w:eastAsia="Times New Roman"/>
          </w:rPr>
          <w:t>Australian Privacy Principles</w:t>
        </w:r>
      </w:hyperlink>
      <w:r w:rsidRPr="009A5F5E">
        <w:rPr>
          <w:rFonts w:eastAsia="Times New Roman"/>
        </w:rPr>
        <w:t xml:space="preserve"> (APPs). This includes how Australian Government agencies will collect, use, and disclose patient </w:t>
      </w:r>
      <w:r w:rsidR="00C119EC" w:rsidRPr="009A5F5E">
        <w:rPr>
          <w:rFonts w:eastAsia="Times New Roman"/>
        </w:rPr>
        <w:t xml:space="preserve">and provider </w:t>
      </w:r>
      <w:r w:rsidRPr="009A5F5E">
        <w:rPr>
          <w:rFonts w:eastAsia="Times New Roman"/>
        </w:rPr>
        <w:t>information as part of the MyMedicare program. Patients should read this privacy notice together with other privacy-related information that their medical practice gives them about how they manage a patient’s personal information.</w:t>
      </w:r>
      <w:r w:rsidR="0084246A" w:rsidRPr="009A5F5E">
        <w:rPr>
          <w:rFonts w:eastAsia="Times New Roman"/>
        </w:rPr>
        <w:t xml:space="preserve"> </w:t>
      </w:r>
    </w:p>
    <w:p w14:paraId="3C493E40" w14:textId="77777777" w:rsidR="00817CB4" w:rsidRPr="009A5F5E" w:rsidRDefault="00817CB4" w:rsidP="00817CB4">
      <w:pPr>
        <w:keepNext/>
        <w:spacing w:before="120" w:after="120" w:line="276" w:lineRule="auto"/>
        <w:rPr>
          <w:rFonts w:eastAsia="Times New Roman" w:cs="Arial"/>
          <w:szCs w:val="22"/>
        </w:rPr>
      </w:pPr>
      <w:r w:rsidRPr="009A5F5E">
        <w:rPr>
          <w:rFonts w:eastAsia="Times New Roman" w:cs="Arial"/>
          <w:szCs w:val="22"/>
        </w:rPr>
        <w:t>The department may use a patient’s personal information to enable:</w:t>
      </w:r>
    </w:p>
    <w:p w14:paraId="60E5F4D7"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rPr>
          <w:szCs w:val="22"/>
        </w:rPr>
      </w:pPr>
      <w:r w:rsidRPr="009A5F5E">
        <w:rPr>
          <w:szCs w:val="22"/>
        </w:rPr>
        <w:t>MyMedicare program management, monitoring and reporting.</w:t>
      </w:r>
    </w:p>
    <w:p w14:paraId="70EEC2E8" w14:textId="3AD09C39"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rPr>
          <w:szCs w:val="22"/>
        </w:rPr>
      </w:pPr>
      <w:r w:rsidRPr="009A5F5E">
        <w:rPr>
          <w:szCs w:val="22"/>
        </w:rPr>
        <w:t xml:space="preserve">routine monitoring and reporting for MBS </w:t>
      </w:r>
      <w:r w:rsidR="005C34DA" w:rsidRPr="009A5F5E">
        <w:rPr>
          <w:rFonts w:cs="Arial"/>
          <w:szCs w:val="22"/>
        </w:rPr>
        <w:t xml:space="preserve">or DVA </w:t>
      </w:r>
      <w:r w:rsidRPr="009A5F5E">
        <w:rPr>
          <w:szCs w:val="22"/>
        </w:rPr>
        <w:t xml:space="preserve">claims, or </w:t>
      </w:r>
      <w:r w:rsidR="00781C8B" w:rsidRPr="009A5F5E">
        <w:rPr>
          <w:rFonts w:cs="Arial"/>
          <w:szCs w:val="22"/>
        </w:rPr>
        <w:t>GPACI</w:t>
      </w:r>
      <w:r w:rsidRPr="009A5F5E">
        <w:rPr>
          <w:szCs w:val="22"/>
        </w:rPr>
        <w:t xml:space="preserve"> payment</w:t>
      </w:r>
      <w:r w:rsidR="001C4B86" w:rsidRPr="009A5F5E">
        <w:rPr>
          <w:szCs w:val="22"/>
        </w:rPr>
        <w:t>s</w:t>
      </w:r>
    </w:p>
    <w:p w14:paraId="12B82037"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rPr>
          <w:szCs w:val="22"/>
        </w:rPr>
      </w:pPr>
      <w:r w:rsidRPr="009A5F5E">
        <w:rPr>
          <w:szCs w:val="22"/>
        </w:rPr>
        <w:t>policy analysis</w:t>
      </w:r>
    </w:p>
    <w:p w14:paraId="3CB8A10B"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rPr>
          <w:szCs w:val="22"/>
        </w:rPr>
      </w:pPr>
      <w:r w:rsidRPr="009A5F5E">
        <w:rPr>
          <w:szCs w:val="22"/>
        </w:rPr>
        <w:t>program compliance and audit</w:t>
      </w:r>
    </w:p>
    <w:p w14:paraId="1206EC47" w14:textId="77777777" w:rsidR="00817CB4" w:rsidRPr="009A5F5E" w:rsidRDefault="00817CB4" w:rsidP="00F85C8B">
      <w:pPr>
        <w:pStyle w:val="ListBullet"/>
        <w:numPr>
          <w:ilvl w:val="0"/>
          <w:numId w:val="10"/>
        </w:numPr>
        <w:tabs>
          <w:tab w:val="left" w:pos="340"/>
          <w:tab w:val="left" w:pos="680"/>
        </w:tabs>
        <w:spacing w:before="60" w:after="60" w:line="276" w:lineRule="auto"/>
        <w:ind w:left="360"/>
        <w:contextualSpacing w:val="0"/>
        <w:rPr>
          <w:szCs w:val="22"/>
        </w:rPr>
      </w:pPr>
      <w:r w:rsidRPr="009A5F5E">
        <w:rPr>
          <w:szCs w:val="22"/>
        </w:rPr>
        <w:t>evaluation and continuous improvement of the MyMedicare Program</w:t>
      </w:r>
    </w:p>
    <w:p w14:paraId="66138438" w14:textId="5850C606" w:rsidR="00B61289" w:rsidRPr="009A5F5E" w:rsidRDefault="00B61289" w:rsidP="52921BD6">
      <w:pPr>
        <w:pStyle w:val="ListBullet"/>
        <w:tabs>
          <w:tab w:val="clear" w:pos="360"/>
          <w:tab w:val="left" w:pos="340"/>
          <w:tab w:val="left" w:pos="680"/>
        </w:tabs>
        <w:spacing w:before="60" w:after="60" w:line="276" w:lineRule="auto"/>
        <w:rPr>
          <w:rFonts w:cs="Arial"/>
          <w:szCs w:val="22"/>
        </w:rPr>
      </w:pPr>
      <w:r w:rsidRPr="009A5F5E">
        <w:rPr>
          <w:rFonts w:cs="Arial"/>
          <w:szCs w:val="22"/>
        </w:rPr>
        <w:t>MBS payments, DVA payments, or incentives linked to MyMedicare registration including determining whether providers and practice</w:t>
      </w:r>
      <w:r w:rsidR="002559E9" w:rsidRPr="009A5F5E">
        <w:rPr>
          <w:rFonts w:cs="Arial"/>
          <w:szCs w:val="22"/>
        </w:rPr>
        <w:t>s</w:t>
      </w:r>
      <w:r w:rsidRPr="009A5F5E">
        <w:rPr>
          <w:rFonts w:cs="Arial"/>
          <w:szCs w:val="22"/>
        </w:rPr>
        <w:t xml:space="preserve"> are eligible for incentives or payments</w:t>
      </w:r>
    </w:p>
    <w:p w14:paraId="0332A677" w14:textId="3820E51A" w:rsidR="006E098A" w:rsidRPr="009A5F5E" w:rsidRDefault="00817CB4" w:rsidP="00F85C8B">
      <w:pPr>
        <w:pStyle w:val="ListBullet"/>
        <w:numPr>
          <w:ilvl w:val="0"/>
          <w:numId w:val="10"/>
        </w:numPr>
        <w:tabs>
          <w:tab w:val="left" w:pos="340"/>
          <w:tab w:val="left" w:pos="680"/>
        </w:tabs>
        <w:spacing w:before="60" w:after="60" w:line="276" w:lineRule="auto"/>
        <w:ind w:left="360"/>
        <w:contextualSpacing w:val="0"/>
        <w:rPr>
          <w:szCs w:val="22"/>
        </w:rPr>
      </w:pPr>
      <w:r w:rsidRPr="009A5F5E">
        <w:rPr>
          <w:szCs w:val="22"/>
        </w:rPr>
        <w:t xml:space="preserve">data sharing to inform policy and program management under secure data sharing arrangements within government (where authorised by the data custodian and in line with </w:t>
      </w:r>
      <w:r w:rsidR="000F7E57" w:rsidRPr="009A5F5E">
        <w:rPr>
          <w:rFonts w:cs="Arial"/>
          <w:szCs w:val="22"/>
        </w:rPr>
        <w:t xml:space="preserve">any </w:t>
      </w:r>
      <w:r w:rsidR="00C70663" w:rsidRPr="009A5F5E">
        <w:rPr>
          <w:rFonts w:cs="Arial"/>
          <w:szCs w:val="22"/>
        </w:rPr>
        <w:t>relevant</w:t>
      </w:r>
      <w:r w:rsidR="00C70663" w:rsidRPr="009A5F5E">
        <w:rPr>
          <w:szCs w:val="22"/>
        </w:rPr>
        <w:t xml:space="preserve"> </w:t>
      </w:r>
      <w:r w:rsidRPr="009A5F5E">
        <w:rPr>
          <w:szCs w:val="22"/>
        </w:rPr>
        <w:t>legislative authority).</w:t>
      </w:r>
    </w:p>
    <w:p w14:paraId="3417C910" w14:textId="046FAED0" w:rsidR="00D1512C" w:rsidRPr="009A5F5E" w:rsidRDefault="00D1512C" w:rsidP="0095781C">
      <w:pPr>
        <w:keepNext/>
        <w:spacing w:before="120" w:after="120" w:line="276" w:lineRule="auto"/>
        <w:rPr>
          <w:rFonts w:eastAsia="Times New Roman" w:cs="Arial"/>
          <w:szCs w:val="22"/>
        </w:rPr>
      </w:pPr>
      <w:r w:rsidRPr="009A5F5E">
        <w:rPr>
          <w:rFonts w:eastAsia="Times New Roman" w:cs="Arial"/>
          <w:szCs w:val="22"/>
        </w:rPr>
        <w:t>Services Australia uses personal information to:</w:t>
      </w:r>
    </w:p>
    <w:p w14:paraId="0F893DFC" w14:textId="2431B73A" w:rsidR="00D1512C" w:rsidRPr="009A5F5E" w:rsidRDefault="00553446" w:rsidP="004753FD">
      <w:pPr>
        <w:pStyle w:val="ListBullet"/>
        <w:spacing w:before="60" w:after="0" w:line="360" w:lineRule="auto"/>
        <w:ind w:left="357" w:hanging="357"/>
        <w:rPr>
          <w:lang w:eastAsia="en-AU"/>
        </w:rPr>
      </w:pPr>
      <w:r>
        <w:rPr>
          <w:szCs w:val="22"/>
        </w:rPr>
        <w:t>a</w:t>
      </w:r>
      <w:r w:rsidR="00D1512C" w:rsidRPr="009A5F5E">
        <w:rPr>
          <w:szCs w:val="22"/>
        </w:rPr>
        <w:t xml:space="preserve">ssess </w:t>
      </w:r>
      <w:r w:rsidR="001C5505" w:rsidRPr="009A5F5E">
        <w:rPr>
          <w:szCs w:val="22"/>
        </w:rPr>
        <w:t>a patient’s</w:t>
      </w:r>
      <w:r w:rsidR="00D1512C" w:rsidRPr="009A5F5E">
        <w:rPr>
          <w:szCs w:val="22"/>
        </w:rPr>
        <w:t xml:space="preserve"> eligibility for Medicare Benefits Schedule (MBS), General Practice Incentives</w:t>
      </w:r>
      <w:r w:rsidR="00D1512C" w:rsidRPr="009A5F5E">
        <w:rPr>
          <w:lang w:eastAsia="en-AU"/>
        </w:rPr>
        <w:t xml:space="preserve"> and DVA funded services</w:t>
      </w:r>
      <w:r w:rsidR="00D1512C" w:rsidRPr="009A5F5E">
        <w:rPr>
          <w:color w:val="FF0000"/>
          <w:lang w:eastAsia="en-AU"/>
        </w:rPr>
        <w:t xml:space="preserve"> </w:t>
      </w:r>
      <w:r w:rsidR="00D1512C" w:rsidRPr="009A5F5E">
        <w:rPr>
          <w:lang w:eastAsia="en-AU"/>
        </w:rPr>
        <w:t xml:space="preserve">linked to MyMedicare registration. </w:t>
      </w:r>
    </w:p>
    <w:p w14:paraId="44DBA510" w14:textId="32DAE165" w:rsidR="00817CB4" w:rsidRPr="009A5F5E" w:rsidRDefault="00817CB4" w:rsidP="00817CB4">
      <w:pPr>
        <w:spacing w:before="120" w:after="120" w:line="276" w:lineRule="auto"/>
        <w:rPr>
          <w:rFonts w:eastAsia="Times New Roman"/>
          <w:szCs w:val="22"/>
        </w:rPr>
      </w:pPr>
      <w:r w:rsidRPr="009A5F5E">
        <w:rPr>
          <w:rFonts w:eastAsia="Times New Roman"/>
          <w:szCs w:val="22"/>
        </w:rPr>
        <w:t xml:space="preserve">Further information </w:t>
      </w:r>
      <w:r w:rsidR="00B6709A" w:rsidRPr="009A5F5E">
        <w:rPr>
          <w:rFonts w:eastAsia="Times New Roman"/>
          <w:szCs w:val="22"/>
        </w:rPr>
        <w:t xml:space="preserve">about how the </w:t>
      </w:r>
      <w:r w:rsidRPr="009A5F5E">
        <w:rPr>
          <w:rFonts w:eastAsia="Times New Roman"/>
          <w:szCs w:val="22"/>
        </w:rPr>
        <w:t xml:space="preserve">Australian Government agencies involved with MyMedicare </w:t>
      </w:r>
      <w:r w:rsidR="00B6709A" w:rsidRPr="009A5F5E">
        <w:rPr>
          <w:rFonts w:eastAsia="Times New Roman"/>
          <w:szCs w:val="22"/>
        </w:rPr>
        <w:t>handle personal information is</w:t>
      </w:r>
      <w:r w:rsidRPr="009A5F5E">
        <w:rPr>
          <w:rFonts w:eastAsia="Times New Roman"/>
          <w:szCs w:val="22"/>
        </w:rPr>
        <w:t xml:space="preserve"> available from the following websites: </w:t>
      </w:r>
    </w:p>
    <w:p w14:paraId="39581EF8" w14:textId="77777777" w:rsidR="00817CB4" w:rsidRPr="009A5F5E" w:rsidRDefault="00817CB4" w:rsidP="003748EA">
      <w:pPr>
        <w:pStyle w:val="ListBullet"/>
        <w:rPr>
          <w:rFonts w:cs="Arial"/>
          <w:szCs w:val="22"/>
          <w:lang w:val="en"/>
        </w:rPr>
      </w:pPr>
      <w:hyperlink r:id="rId45" w:history="1">
        <w:r w:rsidRPr="009A5F5E">
          <w:rPr>
            <w:rStyle w:val="Hyperlink"/>
            <w:rFonts w:eastAsia="Arial" w:cs="Arial"/>
            <w:szCs w:val="22"/>
          </w:rPr>
          <w:t>Services Australia</w:t>
        </w:r>
      </w:hyperlink>
      <w:r w:rsidRPr="009A5F5E">
        <w:rPr>
          <w:rFonts w:cs="Arial"/>
          <w:szCs w:val="22"/>
          <w:lang w:val="en"/>
        </w:rPr>
        <w:t xml:space="preserve"> </w:t>
      </w:r>
    </w:p>
    <w:p w14:paraId="7F689E7E" w14:textId="77777777" w:rsidR="00F80CF2" w:rsidRPr="009A5F5E" w:rsidRDefault="00F80CF2" w:rsidP="003748EA">
      <w:pPr>
        <w:pStyle w:val="ListBullet"/>
        <w:rPr>
          <w:rFonts w:cs="Arial"/>
          <w:szCs w:val="22"/>
          <w:lang w:eastAsia="en-US"/>
        </w:rPr>
      </w:pPr>
      <w:hyperlink r:id="rId46" w:anchor=":~:text=DVA%20generally%20uses%20and%20discloses,authorised%20by%20the%20Privacy%20Act." w:history="1">
        <w:r w:rsidRPr="009A5F5E">
          <w:rPr>
            <w:rStyle w:val="Hyperlink"/>
            <w:rFonts w:eastAsia="Arial" w:cs="Arial"/>
            <w:szCs w:val="22"/>
          </w:rPr>
          <w:t>Department of Veterans’ Affairs</w:t>
        </w:r>
      </w:hyperlink>
      <w:r w:rsidRPr="009A5F5E">
        <w:rPr>
          <w:rFonts w:eastAsia="Arial" w:cs="Arial"/>
          <w:szCs w:val="22"/>
        </w:rPr>
        <w:t>.</w:t>
      </w:r>
    </w:p>
    <w:p w14:paraId="04A8E6DD" w14:textId="07935E0D" w:rsidR="00817CB4" w:rsidRPr="009A5F5E" w:rsidRDefault="00817CB4" w:rsidP="003748EA">
      <w:pPr>
        <w:pStyle w:val="ListBullet"/>
        <w:rPr>
          <w:rFonts w:eastAsia="Arial" w:cs="Arial"/>
          <w:szCs w:val="22"/>
        </w:rPr>
      </w:pPr>
      <w:hyperlink r:id="rId47" w:history="1">
        <w:r w:rsidRPr="009A5F5E">
          <w:rPr>
            <w:rStyle w:val="Hyperlink"/>
            <w:rFonts w:eastAsia="Arial" w:cs="Arial"/>
            <w:szCs w:val="22"/>
          </w:rPr>
          <w:t>Australian Digital Health Agency</w:t>
        </w:r>
      </w:hyperlink>
      <w:r w:rsidR="007D69FA" w:rsidRPr="009A5F5E">
        <w:rPr>
          <w:rStyle w:val="Hyperlink"/>
          <w:rFonts w:eastAsia="Arial" w:cs="Arial"/>
          <w:szCs w:val="22"/>
        </w:rPr>
        <w:t xml:space="preserve"> (ADHA)</w:t>
      </w:r>
    </w:p>
    <w:p w14:paraId="10EA646D" w14:textId="0D28F99D" w:rsidR="00E40C02" w:rsidRPr="009A5F5E" w:rsidRDefault="00E40C02" w:rsidP="0004758E">
      <w:r w:rsidRPr="009A5F5E">
        <w:lastRenderedPageBreak/>
        <w:t>If a patient makes a request via their My Health Record</w:t>
      </w:r>
      <w:r w:rsidR="007D69FA" w:rsidRPr="009A5F5E">
        <w:t xml:space="preserve"> (managed by ADH</w:t>
      </w:r>
      <w:r w:rsidR="001371EE" w:rsidRPr="009A5F5E">
        <w:t>A</w:t>
      </w:r>
      <w:r w:rsidR="007D69FA" w:rsidRPr="009A5F5E">
        <w:t>)</w:t>
      </w:r>
      <w:r w:rsidRPr="009A5F5E">
        <w:t>, Services Australia will provide information about them to the My Health Record system so that the name of their registered practice and GP will appear in their My Health Record if they choose to have it displayed.</w:t>
      </w:r>
    </w:p>
    <w:p w14:paraId="26FA0E80" w14:textId="77777777" w:rsidR="00A73DE2" w:rsidRPr="009A5F5E" w:rsidRDefault="00A73DE2" w:rsidP="00A73DE2">
      <w:pPr>
        <w:spacing w:before="120" w:after="120" w:line="276" w:lineRule="auto"/>
        <w:rPr>
          <w:rFonts w:eastAsia="Times New Roman"/>
          <w:i/>
          <w:iCs/>
        </w:rPr>
      </w:pPr>
      <w:r w:rsidRPr="009A5F5E">
        <w:rPr>
          <w:rFonts w:eastAsia="Times New Roman"/>
          <w:i/>
          <w:iCs/>
        </w:rPr>
        <w:t>Privacy notices</w:t>
      </w:r>
    </w:p>
    <w:p w14:paraId="2892B44E" w14:textId="446772A9" w:rsidR="00775BBF" w:rsidRPr="009A5F5E" w:rsidRDefault="00817CB4" w:rsidP="00817CB4">
      <w:pPr>
        <w:spacing w:before="120" w:after="120" w:line="276" w:lineRule="auto"/>
        <w:rPr>
          <w:rFonts w:eastAsia="Times New Roman"/>
          <w:szCs w:val="22"/>
        </w:rPr>
      </w:pPr>
      <w:r w:rsidRPr="009A5F5E">
        <w:rPr>
          <w:rFonts w:eastAsia="Times New Roman"/>
        </w:rPr>
        <w:t>A copy of the MyMedicare Privacy Notice can be found at the Department of Health</w:t>
      </w:r>
      <w:r w:rsidR="003455EF" w:rsidRPr="009A5F5E">
        <w:rPr>
          <w:rFonts w:eastAsia="Times New Roman"/>
        </w:rPr>
        <w:t>, Disability</w:t>
      </w:r>
      <w:r w:rsidRPr="009A5F5E">
        <w:rPr>
          <w:rFonts w:eastAsia="Times New Roman"/>
        </w:rPr>
        <w:t xml:space="preserve"> and Age</w:t>
      </w:r>
      <w:r w:rsidR="003455EF" w:rsidRPr="009A5F5E">
        <w:rPr>
          <w:rFonts w:eastAsia="Times New Roman"/>
        </w:rPr>
        <w:t>ing</w:t>
      </w:r>
      <w:r w:rsidRPr="009A5F5E">
        <w:rPr>
          <w:rFonts w:eastAsia="Times New Roman"/>
        </w:rPr>
        <w:t xml:space="preserve"> </w:t>
      </w:r>
      <w:hyperlink r:id="rId48" w:history="1">
        <w:r w:rsidRPr="009A5F5E">
          <w:rPr>
            <w:rFonts w:eastAsia="Times New Roman"/>
          </w:rPr>
          <w:t>website</w:t>
        </w:r>
      </w:hyperlink>
      <w:r w:rsidR="00DF4C0C" w:rsidRPr="009A5F5E">
        <w:rPr>
          <w:rFonts w:eastAsia="Times New Roman"/>
        </w:rPr>
        <w:t xml:space="preserve"> </w:t>
      </w:r>
      <w:hyperlink r:id="rId49" w:history="1">
        <w:r w:rsidR="00EA199C" w:rsidRPr="009A5F5E">
          <w:rPr>
            <w:rStyle w:val="Hyperlink"/>
            <w:rFonts w:eastAsia="Times New Roman"/>
            <w:szCs w:val="22"/>
          </w:rPr>
          <w:t>MyMedicare Privacy Notice.</w:t>
        </w:r>
      </w:hyperlink>
    </w:p>
    <w:p w14:paraId="3E33B702" w14:textId="398B1ADF" w:rsidR="00817CB4" w:rsidRPr="009A5F5E" w:rsidRDefault="005965A9" w:rsidP="00817CB4">
      <w:pPr>
        <w:spacing w:before="120" w:after="120" w:line="276" w:lineRule="auto"/>
        <w:rPr>
          <w:szCs w:val="22"/>
        </w:rPr>
      </w:pPr>
      <w:r w:rsidRPr="009A5F5E">
        <w:rPr>
          <w:rFonts w:eastAsia="Times New Roman"/>
          <w:szCs w:val="22"/>
        </w:rPr>
        <w:t xml:space="preserve">A copy of </w:t>
      </w:r>
      <w:r w:rsidR="00A60EA6" w:rsidRPr="009A5F5E">
        <w:rPr>
          <w:rFonts w:eastAsia="Times New Roman"/>
          <w:szCs w:val="22"/>
        </w:rPr>
        <w:t xml:space="preserve">Services Australia’s </w:t>
      </w:r>
      <w:r w:rsidR="00D5219D" w:rsidRPr="009A5F5E">
        <w:rPr>
          <w:rFonts w:eastAsia="Times New Roman"/>
          <w:szCs w:val="22"/>
        </w:rPr>
        <w:t xml:space="preserve">Organisation Register Privacy Notice can be found </w:t>
      </w:r>
      <w:r w:rsidR="00B7185F" w:rsidRPr="009A5F5E">
        <w:rPr>
          <w:rFonts w:eastAsia="Times New Roman"/>
          <w:szCs w:val="22"/>
        </w:rPr>
        <w:t>on the Services Australia website</w:t>
      </w:r>
      <w:r w:rsidR="00D5219D" w:rsidRPr="009A5F5E">
        <w:rPr>
          <w:rFonts w:eastAsia="Times New Roman"/>
          <w:szCs w:val="22"/>
        </w:rPr>
        <w:t xml:space="preserve">: </w:t>
      </w:r>
      <w:hyperlink r:id="rId50" w:history="1">
        <w:r w:rsidR="00D5219D" w:rsidRPr="009A5F5E">
          <w:rPr>
            <w:rStyle w:val="Hyperlink"/>
            <w:szCs w:val="22"/>
          </w:rPr>
          <w:t>Organisation Register for General Practitioners (GPs) and Health Professionals privacy notice</w:t>
        </w:r>
      </w:hyperlink>
      <w:r w:rsidR="00B7185F" w:rsidRPr="009A5F5E">
        <w:rPr>
          <w:szCs w:val="22"/>
        </w:rPr>
        <w:t>.</w:t>
      </w:r>
    </w:p>
    <w:p w14:paraId="78CAF8AE" w14:textId="77777777" w:rsidR="002E19F4" w:rsidRPr="009A5F5E" w:rsidRDefault="002E19F4" w:rsidP="002E19F4">
      <w:pPr>
        <w:spacing w:before="80"/>
      </w:pPr>
      <w:r w:rsidRPr="009A5F5E">
        <w:t xml:space="preserve">We treat your personal information according to the </w:t>
      </w:r>
      <w:hyperlink r:id="rId51" w:history="1">
        <w:r w:rsidRPr="009A5F5E">
          <w:rPr>
            <w:rStyle w:val="Hyperlink"/>
            <w:i/>
          </w:rPr>
          <w:t>Privacy Act 1988</w:t>
        </w:r>
      </w:hyperlink>
      <w:r w:rsidRPr="009A5F5E">
        <w:rPr>
          <w:i/>
        </w:rPr>
        <w:t xml:space="preserve"> </w:t>
      </w:r>
      <w:r w:rsidRPr="009A5F5E">
        <w:t>and the</w:t>
      </w:r>
      <w:r w:rsidRPr="009A5F5E">
        <w:rPr>
          <w:i/>
        </w:rPr>
        <w:t xml:space="preserve"> </w:t>
      </w:r>
      <w:hyperlink r:id="rId52" w:history="1">
        <w:r w:rsidRPr="009A5F5E">
          <w:rPr>
            <w:rStyle w:val="Hyperlink"/>
          </w:rPr>
          <w:t>Australian Privacy Principles</w:t>
        </w:r>
      </w:hyperlink>
      <w:r w:rsidRPr="009A5F5E">
        <w:rPr>
          <w:color w:val="0000FF"/>
        </w:rPr>
        <w:t xml:space="preserve">. </w:t>
      </w:r>
      <w:r w:rsidRPr="009A5F5E">
        <w:t xml:space="preserve">This includes letting you know: </w:t>
      </w:r>
    </w:p>
    <w:p w14:paraId="1DB31F21" w14:textId="77777777" w:rsidR="002E19F4" w:rsidRPr="009A5F5E" w:rsidRDefault="002E19F4" w:rsidP="00F85C8B">
      <w:pPr>
        <w:pStyle w:val="ListBullet"/>
        <w:numPr>
          <w:ilvl w:val="0"/>
          <w:numId w:val="18"/>
        </w:numPr>
        <w:spacing w:before="80"/>
        <w:ind w:left="714" w:hanging="357"/>
        <w:contextualSpacing w:val="0"/>
      </w:pPr>
      <w:r w:rsidRPr="009A5F5E">
        <w:t>what personal information we collect</w:t>
      </w:r>
    </w:p>
    <w:p w14:paraId="7BBDE876" w14:textId="77777777" w:rsidR="002E19F4" w:rsidRPr="009A5F5E" w:rsidRDefault="002E19F4" w:rsidP="00F85C8B">
      <w:pPr>
        <w:pStyle w:val="ListBullet"/>
        <w:numPr>
          <w:ilvl w:val="0"/>
          <w:numId w:val="18"/>
        </w:numPr>
        <w:spacing w:before="80"/>
        <w:ind w:left="714" w:hanging="357"/>
        <w:contextualSpacing w:val="0"/>
      </w:pPr>
      <w:r w:rsidRPr="009A5F5E">
        <w:t>why we collect your personal information, and</w:t>
      </w:r>
    </w:p>
    <w:p w14:paraId="3F8BEEE7" w14:textId="77777777" w:rsidR="002E19F4" w:rsidRPr="009A5F5E" w:rsidRDefault="002E19F4" w:rsidP="00F85C8B">
      <w:pPr>
        <w:pStyle w:val="ListBullet"/>
        <w:numPr>
          <w:ilvl w:val="0"/>
          <w:numId w:val="18"/>
        </w:numPr>
        <w:spacing w:before="80"/>
        <w:ind w:left="714" w:hanging="357"/>
        <w:contextualSpacing w:val="0"/>
      </w:pPr>
      <w:r w:rsidRPr="009A5F5E">
        <w:t>who we give your personal information to.</w:t>
      </w:r>
    </w:p>
    <w:p w14:paraId="7658ED74" w14:textId="77777777" w:rsidR="002E19F4" w:rsidRPr="009A5F5E" w:rsidRDefault="002E19F4" w:rsidP="002E19F4">
      <w:pPr>
        <w:spacing w:before="80"/>
      </w:pPr>
      <w:r w:rsidRPr="009A5F5E">
        <w:t>Your personal information can only be disclosed to someone else for the primary purpose for which it was collected unless an exemption applies.</w:t>
      </w:r>
    </w:p>
    <w:p w14:paraId="4C9A7DAA" w14:textId="77777777" w:rsidR="002E19F4" w:rsidRPr="009A5F5E" w:rsidRDefault="002E19F4" w:rsidP="002E19F4">
      <w:pPr>
        <w:spacing w:before="80"/>
      </w:pPr>
      <w:r w:rsidRPr="009A5F5E">
        <w:t>The Australian Government may also use and disclose information about grant applicants and grant recipients under this grant opportunity in any other Australian Government business or function. This includes disclosing grant information on GrantConnect as required for reporting purposes and giving information to the Australian Taxation Office for compliance purposes.</w:t>
      </w:r>
    </w:p>
    <w:p w14:paraId="5DD3CCC8" w14:textId="77777777" w:rsidR="002E19F4" w:rsidRPr="009A5F5E" w:rsidRDefault="002E19F4" w:rsidP="002E19F4">
      <w:pPr>
        <w:spacing w:before="80"/>
      </w:pPr>
      <w:r w:rsidRPr="009A5F5E">
        <w:t>We may share the information you give us with other Commonwealth entities for purposes including government administration, research or service delivery, according to Australian laws.</w:t>
      </w:r>
    </w:p>
    <w:p w14:paraId="2163EF52" w14:textId="77777777" w:rsidR="002E19F4" w:rsidRPr="009A5F5E" w:rsidRDefault="002E19F4" w:rsidP="00554484">
      <w:pPr>
        <w:spacing w:before="80" w:after="240"/>
      </w:pPr>
      <w:r w:rsidRPr="009A5F5E">
        <w:t xml:space="preserve">As part of your application, you declare your ability to comply with the </w:t>
      </w:r>
      <w:r w:rsidRPr="009A5F5E">
        <w:rPr>
          <w:i/>
        </w:rPr>
        <w:t xml:space="preserve">Privacy Act 1988 </w:t>
      </w:r>
      <w:r w:rsidRPr="009A5F5E">
        <w:rPr>
          <w:iCs/>
        </w:rPr>
        <w:t>(the Act)</w:t>
      </w:r>
      <w:r w:rsidRPr="009A5F5E">
        <w:t xml:space="preserve"> and the Australian Privacy Principles and impose the same privacy obligations on officers, employees, agents and subcontractors that you engage to assist with the activity, in respect of personal information you collect, use, store, or disclose in connection with the activity. Accordingly, you must not do anything, which if done by the department would breach an Australian Privacy Principle as defined in the Act.</w:t>
      </w:r>
    </w:p>
    <w:p w14:paraId="5A8B314D" w14:textId="77777777" w:rsidR="008A7008" w:rsidRPr="009A5F5E" w:rsidRDefault="008A7008" w:rsidP="008A7008">
      <w:pPr>
        <w:pStyle w:val="Guidelinessub"/>
        <w:rPr>
          <w:rFonts w:ascii="Arial" w:hAnsi="Arial"/>
          <w:bCs w:val="0"/>
          <w:color w:val="000000" w:themeColor="text1"/>
          <w:kern w:val="0"/>
          <w:sz w:val="24"/>
          <w:szCs w:val="26"/>
          <w:lang w:eastAsia="zh-CN"/>
          <w14:ligatures w14:val="none"/>
        </w:rPr>
      </w:pPr>
      <w:bookmarkStart w:id="430" w:name="_Toc212118250"/>
      <w:r w:rsidRPr="009A5F5E">
        <w:rPr>
          <w:rFonts w:ascii="Arial" w:hAnsi="Arial"/>
          <w:bCs w:val="0"/>
          <w:color w:val="000000" w:themeColor="text1"/>
          <w:kern w:val="0"/>
          <w:sz w:val="24"/>
          <w:szCs w:val="26"/>
          <w:lang w:eastAsia="zh-CN"/>
          <w14:ligatures w14:val="none"/>
        </w:rPr>
        <w:t>Evaluation</w:t>
      </w:r>
      <w:bookmarkEnd w:id="430"/>
    </w:p>
    <w:p w14:paraId="17C80192" w14:textId="58A15063" w:rsidR="00634CF2" w:rsidRPr="009A5F5E" w:rsidRDefault="00634CF2" w:rsidP="00634CF2">
      <w:pPr>
        <w:spacing w:before="80"/>
      </w:pPr>
      <w:r w:rsidRPr="009A5F5E">
        <w:t>We</w:t>
      </w:r>
      <w:r w:rsidRPr="009A5F5E">
        <w:rPr>
          <w:color w:val="0B365A" w:themeColor="accent3" w:themeShade="80"/>
        </w:rPr>
        <w:t xml:space="preserve"> </w:t>
      </w:r>
      <w:r w:rsidRPr="009A5F5E">
        <w:t xml:space="preserve">will evaluate </w:t>
      </w:r>
      <w:r w:rsidR="00462186">
        <w:t>GPACI</w:t>
      </w:r>
      <w:r>
        <w:t xml:space="preserve"> </w:t>
      </w:r>
      <w:r w:rsidRPr="009A5F5E">
        <w:t xml:space="preserve">to measure how well the outcomes and objectives have been achieved. We may use information from your </w:t>
      </w:r>
      <w:r w:rsidR="00C47885" w:rsidRPr="009A5F5E">
        <w:t>registration</w:t>
      </w:r>
      <w:r w:rsidRPr="009A5F5E">
        <w:t xml:space="preserve"> for this purpose. We may also interview you or ask you for more information to help us understand how the </w:t>
      </w:r>
      <w:r w:rsidR="00462186">
        <w:t>funding</w:t>
      </w:r>
      <w:r w:rsidRPr="009A5F5E">
        <w:t xml:space="preserve"> impacted you and to evaluate how effective the program </w:t>
      </w:r>
      <w:r w:rsidR="00660BA4">
        <w:t>is</w:t>
      </w:r>
      <w:r w:rsidR="00660BA4" w:rsidRPr="009A5F5E">
        <w:t xml:space="preserve"> </w:t>
      </w:r>
      <w:r w:rsidRPr="009A5F5E">
        <w:t>in achieving its outcomes.</w:t>
      </w:r>
    </w:p>
    <w:p w14:paraId="6EF0F3E9" w14:textId="7EEC5A3F" w:rsidR="00634CF2" w:rsidRPr="009A5F5E" w:rsidRDefault="00634CF2" w:rsidP="00634CF2">
      <w:pPr>
        <w:spacing w:before="80"/>
      </w:pPr>
      <w:r w:rsidRPr="009A5F5E">
        <w:t xml:space="preserve">We may contact you up to </w:t>
      </w:r>
      <w:r w:rsidRPr="009A5F5E">
        <w:rPr>
          <w:color w:val="auto"/>
        </w:rPr>
        <w:t>one</w:t>
      </w:r>
      <w:r w:rsidR="00C3798E" w:rsidRPr="009A5F5E">
        <w:rPr>
          <w:color w:val="auto"/>
        </w:rPr>
        <w:t xml:space="preserve"> </w:t>
      </w:r>
      <w:r w:rsidRPr="009A5F5E">
        <w:rPr>
          <w:color w:val="auto"/>
        </w:rPr>
        <w:t xml:space="preserve">year </w:t>
      </w:r>
      <w:r w:rsidRPr="009A5F5E">
        <w:t>after you</w:t>
      </w:r>
      <w:r w:rsidR="00837D93" w:rsidRPr="009A5F5E">
        <w:t xml:space="preserve"> opt-out of the </w:t>
      </w:r>
      <w:r w:rsidR="00781C8B" w:rsidRPr="009A5F5E">
        <w:t>GPACI</w:t>
      </w:r>
      <w:r w:rsidRPr="009A5F5E">
        <w:t xml:space="preserve"> for more information to assist with this evaluation. </w:t>
      </w:r>
    </w:p>
    <w:p w14:paraId="35723939" w14:textId="250544FC" w:rsidR="005E1BD3" w:rsidRPr="005E1BD3" w:rsidRDefault="005E1BD3" w:rsidP="005E1BD3">
      <w:pPr>
        <w:pStyle w:val="GuidelinesHeading"/>
      </w:pPr>
      <w:bookmarkStart w:id="431" w:name="_Toc179897886"/>
      <w:bookmarkStart w:id="432" w:name="_Toc212118251"/>
      <w:bookmarkStart w:id="433" w:name="_Toc167109457"/>
      <w:bookmarkStart w:id="434" w:name="_Toc170120036"/>
      <w:bookmarkStart w:id="435" w:name="_Toc170817177"/>
      <w:r w:rsidRPr="005E1BD3">
        <w:t>Freedom of information</w:t>
      </w:r>
      <w:bookmarkEnd w:id="431"/>
      <w:bookmarkEnd w:id="432"/>
    </w:p>
    <w:p w14:paraId="7A0A04CA" w14:textId="77777777" w:rsidR="005E1BD3" w:rsidRPr="00647622" w:rsidRDefault="005E1BD3" w:rsidP="005E1BD3">
      <w:pPr>
        <w:spacing w:before="80"/>
        <w:rPr>
          <w:rFonts w:cs="Arial"/>
          <w:i/>
          <w:iCs/>
          <w:sz w:val="21"/>
          <w:szCs w:val="21"/>
        </w:rPr>
      </w:pPr>
      <w:r w:rsidRPr="00647622">
        <w:rPr>
          <w:rFonts w:cs="Arial"/>
          <w:sz w:val="21"/>
          <w:szCs w:val="21"/>
        </w:rPr>
        <w:t xml:space="preserve">All documents in the possession of the Australian Government, including those about this grant opportunity, are subject to the </w:t>
      </w:r>
      <w:hyperlink r:id="rId53" w:history="1">
        <w:r w:rsidRPr="00647622">
          <w:rPr>
            <w:rStyle w:val="Hyperlink"/>
            <w:rFonts w:cs="Arial"/>
            <w:sz w:val="21"/>
            <w:szCs w:val="21"/>
          </w:rPr>
          <w:t>Freedom of Information Act 1982</w:t>
        </w:r>
      </w:hyperlink>
      <w:r w:rsidRPr="00647622">
        <w:rPr>
          <w:rFonts w:cs="Arial"/>
          <w:color w:val="0000FF"/>
          <w:sz w:val="21"/>
          <w:szCs w:val="21"/>
        </w:rPr>
        <w:t xml:space="preserve"> </w:t>
      </w:r>
      <w:r w:rsidRPr="00647622">
        <w:rPr>
          <w:rFonts w:cs="Arial"/>
          <w:sz w:val="21"/>
          <w:szCs w:val="21"/>
        </w:rPr>
        <w:t>(FOI Act)</w:t>
      </w:r>
      <w:r w:rsidRPr="00647622">
        <w:rPr>
          <w:rFonts w:cs="Arial"/>
          <w:i/>
          <w:iCs/>
          <w:sz w:val="21"/>
          <w:szCs w:val="21"/>
        </w:rPr>
        <w:t>.</w:t>
      </w:r>
    </w:p>
    <w:p w14:paraId="6D66A55A" w14:textId="77777777" w:rsidR="005E1BD3" w:rsidRPr="00647622" w:rsidRDefault="005E1BD3" w:rsidP="005E1BD3">
      <w:pPr>
        <w:spacing w:before="80"/>
        <w:rPr>
          <w:rFonts w:cs="Arial"/>
          <w:sz w:val="21"/>
          <w:szCs w:val="21"/>
        </w:rPr>
      </w:pPr>
      <w:r w:rsidRPr="00647622">
        <w:rPr>
          <w:rFonts w:cs="Arial"/>
          <w:sz w:val="21"/>
          <w:szCs w:val="21"/>
        </w:rPr>
        <w:lastRenderedPageBreak/>
        <w:t xml:space="preserve">The purpose of the FOI Act is to give members of the public rights of access to documents held by Australian Government entities. Under the FOI Act, members of the public can seek access to documents held by the Australian Government. Access may be refused if a document contains “exempt” material, such as commercially valuable information or the personal or business information of a third party. </w:t>
      </w:r>
    </w:p>
    <w:p w14:paraId="15E26429" w14:textId="77777777" w:rsidR="005E1BD3" w:rsidRPr="00647622" w:rsidRDefault="005E1BD3" w:rsidP="005E1BD3">
      <w:pPr>
        <w:spacing w:before="80"/>
        <w:rPr>
          <w:rFonts w:cs="Arial"/>
          <w:sz w:val="21"/>
          <w:szCs w:val="21"/>
        </w:rPr>
      </w:pPr>
      <w:r w:rsidRPr="00647622">
        <w:rPr>
          <w:rFonts w:cs="Arial"/>
          <w:sz w:val="21"/>
          <w:szCs w:val="21"/>
        </w:rPr>
        <w:t>All Freedom of Information requests must be referred to the Freedom of Information Coordinator in writing.</w:t>
      </w:r>
    </w:p>
    <w:p w14:paraId="2929331E" w14:textId="77777777" w:rsidR="005E1BD3" w:rsidRPr="00647622" w:rsidRDefault="005E1BD3" w:rsidP="005E1BD3">
      <w:pPr>
        <w:tabs>
          <w:tab w:val="left" w:pos="1418"/>
        </w:tabs>
        <w:spacing w:before="80"/>
        <w:ind w:left="1418" w:hanging="1418"/>
        <w:contextualSpacing/>
        <w:rPr>
          <w:rFonts w:cs="Arial"/>
          <w:sz w:val="21"/>
          <w:szCs w:val="21"/>
        </w:rPr>
      </w:pPr>
      <w:r w:rsidRPr="00647622">
        <w:rPr>
          <w:rFonts w:cs="Arial"/>
          <w:sz w:val="21"/>
          <w:szCs w:val="21"/>
        </w:rPr>
        <w:t>By mail:</w:t>
      </w:r>
      <w:r w:rsidRPr="00647622">
        <w:rPr>
          <w:rFonts w:cs="Arial"/>
          <w:sz w:val="21"/>
          <w:szCs w:val="21"/>
        </w:rPr>
        <w:tab/>
        <w:t>Freedom of Information Coordinator</w:t>
      </w:r>
    </w:p>
    <w:p w14:paraId="2C9ABE8C" w14:textId="77777777" w:rsidR="005E1BD3" w:rsidRPr="00647622" w:rsidRDefault="005E1BD3" w:rsidP="005E1BD3">
      <w:pPr>
        <w:tabs>
          <w:tab w:val="left" w:pos="1418"/>
        </w:tabs>
        <w:spacing w:before="80"/>
        <w:ind w:left="2836" w:hanging="1418"/>
        <w:rPr>
          <w:rFonts w:cs="Arial"/>
          <w:i/>
          <w:sz w:val="21"/>
          <w:szCs w:val="21"/>
        </w:rPr>
      </w:pPr>
      <w:r w:rsidRPr="00647622">
        <w:rPr>
          <w:rFonts w:cs="Arial"/>
          <w:i/>
          <w:sz w:val="21"/>
          <w:szCs w:val="21"/>
        </w:rPr>
        <w:t>FOI Unit</w:t>
      </w:r>
    </w:p>
    <w:p w14:paraId="478CC0A0" w14:textId="77777777" w:rsidR="005E1BD3" w:rsidRPr="00647622" w:rsidRDefault="005E1BD3" w:rsidP="005E1BD3">
      <w:pPr>
        <w:tabs>
          <w:tab w:val="left" w:pos="1418"/>
        </w:tabs>
        <w:spacing w:before="80"/>
        <w:ind w:left="2836" w:hanging="1418"/>
        <w:rPr>
          <w:rFonts w:cs="Arial"/>
          <w:i/>
          <w:sz w:val="21"/>
          <w:szCs w:val="21"/>
        </w:rPr>
      </w:pPr>
      <w:r w:rsidRPr="00647622">
        <w:rPr>
          <w:rFonts w:cs="Arial"/>
          <w:i/>
          <w:sz w:val="21"/>
          <w:szCs w:val="21"/>
        </w:rPr>
        <w:t>Department of Health, Disability and Ageing</w:t>
      </w:r>
    </w:p>
    <w:p w14:paraId="7DC683B3" w14:textId="77777777" w:rsidR="005E1BD3" w:rsidRPr="00647622" w:rsidRDefault="005E1BD3" w:rsidP="005E1BD3">
      <w:pPr>
        <w:tabs>
          <w:tab w:val="left" w:pos="1418"/>
        </w:tabs>
        <w:spacing w:before="80"/>
        <w:ind w:left="2836" w:hanging="1418"/>
        <w:rPr>
          <w:rFonts w:cs="Arial"/>
          <w:i/>
          <w:sz w:val="21"/>
          <w:szCs w:val="21"/>
        </w:rPr>
      </w:pPr>
      <w:r w:rsidRPr="00647622">
        <w:rPr>
          <w:rFonts w:cs="Arial"/>
          <w:i/>
          <w:sz w:val="21"/>
          <w:szCs w:val="21"/>
        </w:rPr>
        <w:t>GPO Box 9848</w:t>
      </w:r>
    </w:p>
    <w:p w14:paraId="43B77877" w14:textId="77777777" w:rsidR="005E1BD3" w:rsidRPr="00647622" w:rsidRDefault="005E1BD3" w:rsidP="005E1BD3">
      <w:pPr>
        <w:tabs>
          <w:tab w:val="left" w:pos="1418"/>
        </w:tabs>
        <w:spacing w:before="80"/>
        <w:ind w:left="2836" w:hanging="1418"/>
        <w:rPr>
          <w:rFonts w:cs="Arial"/>
          <w:color w:val="0B365A" w:themeColor="accent3" w:themeShade="80"/>
          <w:sz w:val="21"/>
          <w:szCs w:val="21"/>
        </w:rPr>
      </w:pPr>
      <w:r w:rsidRPr="00647622">
        <w:rPr>
          <w:rFonts w:cs="Arial"/>
          <w:i/>
          <w:sz w:val="21"/>
          <w:szCs w:val="21"/>
        </w:rPr>
        <w:t>CANBERRA ACT 2601</w:t>
      </w:r>
    </w:p>
    <w:p w14:paraId="7095529B" w14:textId="77777777" w:rsidR="005E1BD3" w:rsidRPr="00647622" w:rsidRDefault="005E1BD3" w:rsidP="005E1BD3">
      <w:pPr>
        <w:spacing w:before="80"/>
        <w:rPr>
          <w:rFonts w:cs="Arial"/>
          <w:b/>
          <w:color w:val="0000FF"/>
          <w:sz w:val="21"/>
          <w:szCs w:val="21"/>
        </w:rPr>
      </w:pPr>
      <w:r w:rsidRPr="00647622">
        <w:rPr>
          <w:rFonts w:cs="Arial"/>
          <w:sz w:val="21"/>
          <w:szCs w:val="21"/>
        </w:rPr>
        <w:t>By email:</w:t>
      </w:r>
      <w:r w:rsidRPr="00647622">
        <w:rPr>
          <w:rFonts w:cs="Arial"/>
          <w:sz w:val="21"/>
          <w:szCs w:val="21"/>
        </w:rPr>
        <w:tab/>
      </w:r>
      <w:hyperlink r:id="rId54" w:history="1">
        <w:r w:rsidRPr="00647622">
          <w:rPr>
            <w:rStyle w:val="Hyperlink"/>
            <w:rFonts w:cs="Arial"/>
            <w:sz w:val="21"/>
            <w:szCs w:val="21"/>
          </w:rPr>
          <w:t>foi@health.gov.au</w:t>
        </w:r>
      </w:hyperlink>
      <w:r w:rsidRPr="00647622">
        <w:rPr>
          <w:rFonts w:cs="Arial"/>
          <w:sz w:val="21"/>
          <w:szCs w:val="21"/>
        </w:rPr>
        <w:t xml:space="preserve"> </w:t>
      </w:r>
      <w:r w:rsidRPr="00647622">
        <w:rPr>
          <w:rFonts w:cs="Arial"/>
          <w:b/>
          <w:color w:val="0000FF"/>
          <w:sz w:val="21"/>
          <w:szCs w:val="21"/>
        </w:rPr>
        <w:t xml:space="preserve"> </w:t>
      </w:r>
    </w:p>
    <w:p w14:paraId="6100ACF4" w14:textId="77777777" w:rsidR="00817CB4" w:rsidRPr="009A5F5E" w:rsidRDefault="758819B6" w:rsidP="00946210">
      <w:pPr>
        <w:pStyle w:val="GuidelinesHeading"/>
      </w:pPr>
      <w:bookmarkStart w:id="436" w:name="_Toc212118252"/>
      <w:r w:rsidRPr="009A5F5E">
        <w:t>Disclaimer</w:t>
      </w:r>
      <w:bookmarkEnd w:id="433"/>
      <w:bookmarkEnd w:id="434"/>
      <w:bookmarkEnd w:id="435"/>
      <w:bookmarkEnd w:id="436"/>
    </w:p>
    <w:p w14:paraId="71F7F5B0" w14:textId="72B625F6" w:rsidR="00817CB4" w:rsidRPr="009A5F5E" w:rsidRDefault="00817CB4" w:rsidP="00817CB4">
      <w:pPr>
        <w:spacing w:before="120" w:after="120" w:line="276" w:lineRule="auto"/>
        <w:rPr>
          <w:rFonts w:eastAsia="Times New Roman"/>
        </w:rPr>
      </w:pPr>
      <w:r w:rsidRPr="009A5F5E">
        <w:rPr>
          <w:rFonts w:eastAsia="Times New Roman"/>
        </w:rPr>
        <w:t xml:space="preserve">These guidelines are the basis on which </w:t>
      </w:r>
      <w:r w:rsidR="00781C8B" w:rsidRPr="009A5F5E">
        <w:rPr>
          <w:rFonts w:eastAsia="Times New Roman"/>
        </w:rPr>
        <w:t>GPACI</w:t>
      </w:r>
      <w:r w:rsidRPr="009A5F5E" w:rsidDel="006F3282">
        <w:rPr>
          <w:rFonts w:eastAsia="Times New Roman"/>
        </w:rPr>
        <w:t xml:space="preserve"> </w:t>
      </w:r>
      <w:r w:rsidRPr="009A5F5E">
        <w:rPr>
          <w:rFonts w:eastAsia="Times New Roman"/>
        </w:rPr>
        <w:t xml:space="preserve">payments are made. While it is intended that the Australian Government will make payments as set out in these guidelines, the making of payments is at its sole discretion. </w:t>
      </w:r>
    </w:p>
    <w:p w14:paraId="5099541A" w14:textId="08E642D7" w:rsidR="00817CB4" w:rsidRPr="009A5F5E" w:rsidRDefault="00817CB4" w:rsidP="00817CB4">
      <w:pPr>
        <w:spacing w:before="120" w:after="120" w:line="276" w:lineRule="auto"/>
        <w:rPr>
          <w:rFonts w:eastAsia="Times New Roman"/>
        </w:rPr>
      </w:pPr>
      <w:r w:rsidRPr="009A5F5E">
        <w:rPr>
          <w:rFonts w:eastAsia="Times New Roman"/>
        </w:rPr>
        <w:t xml:space="preserve">The Australian Government may alter arrangements for the </w:t>
      </w:r>
      <w:r w:rsidR="00781C8B" w:rsidRPr="009A5F5E">
        <w:rPr>
          <w:rFonts w:eastAsia="Times New Roman"/>
        </w:rPr>
        <w:t>GPACI</w:t>
      </w:r>
      <w:r w:rsidRPr="009A5F5E" w:rsidDel="006F3282">
        <w:rPr>
          <w:rFonts w:eastAsia="Times New Roman"/>
        </w:rPr>
        <w:t xml:space="preserve"> </w:t>
      </w:r>
      <w:r w:rsidRPr="009A5F5E">
        <w:rPr>
          <w:rFonts w:eastAsia="Times New Roman"/>
        </w:rPr>
        <w:t>at any time and without notice.</w:t>
      </w:r>
    </w:p>
    <w:p w14:paraId="253C4A54" w14:textId="77777777" w:rsidR="00817CB4" w:rsidRPr="009A5F5E" w:rsidRDefault="00817CB4" w:rsidP="00817CB4">
      <w:pPr>
        <w:spacing w:before="120" w:after="120" w:line="276" w:lineRule="auto"/>
        <w:rPr>
          <w:rFonts w:eastAsia="Times New Roman"/>
        </w:rPr>
      </w:pPr>
      <w:r w:rsidRPr="009A5F5E">
        <w:rPr>
          <w:rFonts w:eastAsia="Times New Roman"/>
        </w:rPr>
        <w:t xml:space="preserve">The Australian Government does not accept any legal liability or responsibility for any injury, loss or damage incurred </w:t>
      </w:r>
      <w:proofErr w:type="gramStart"/>
      <w:r w:rsidRPr="009A5F5E">
        <w:rPr>
          <w:rFonts w:eastAsia="Times New Roman"/>
        </w:rPr>
        <w:t>by the use of</w:t>
      </w:r>
      <w:proofErr w:type="gramEnd"/>
      <w:r w:rsidRPr="009A5F5E">
        <w:rPr>
          <w:rFonts w:eastAsia="Times New Roman"/>
        </w:rPr>
        <w:t>, reliance on, or interpretation of the information provided in these guidelines.</w:t>
      </w:r>
      <w:bookmarkStart w:id="437" w:name="_Toc167109458"/>
      <w:bookmarkStart w:id="438" w:name="_Toc166066967"/>
      <w:bookmarkStart w:id="439" w:name="_Toc166068383"/>
      <w:bookmarkStart w:id="440" w:name="_Toc166068595"/>
      <w:bookmarkStart w:id="441" w:name="_Toc166069554"/>
      <w:bookmarkStart w:id="442" w:name="_Hlk165581837"/>
    </w:p>
    <w:p w14:paraId="14FC4D0A" w14:textId="77777777" w:rsidR="00817CB4" w:rsidRPr="009A5F5E" w:rsidRDefault="00817CB4" w:rsidP="0004758E">
      <w:r w:rsidRPr="009A5F5E">
        <w:br w:type="page"/>
      </w:r>
    </w:p>
    <w:p w14:paraId="3C1C0716" w14:textId="77777777" w:rsidR="00817CB4" w:rsidRPr="009A5F5E" w:rsidRDefault="758819B6" w:rsidP="009C1732">
      <w:pPr>
        <w:pStyle w:val="GuidelinesHeading"/>
      </w:pPr>
      <w:bookmarkStart w:id="443" w:name="_Toc170120038"/>
      <w:bookmarkStart w:id="444" w:name="_Toc170817179"/>
      <w:bookmarkStart w:id="445" w:name="_Toc212118253"/>
      <w:bookmarkEnd w:id="437"/>
      <w:r w:rsidRPr="009A5F5E">
        <w:lastRenderedPageBreak/>
        <w:t>Glossary of terms</w:t>
      </w:r>
      <w:bookmarkEnd w:id="443"/>
      <w:bookmarkEnd w:id="444"/>
      <w:bookmarkEnd w:id="445"/>
    </w:p>
    <w:tbl>
      <w:tblPr>
        <w:tblStyle w:val="DepartmentofHealthtable"/>
        <w:tblW w:w="9072" w:type="dxa"/>
        <w:tblLook w:val="04A0" w:firstRow="1" w:lastRow="0" w:firstColumn="1" w:lastColumn="0" w:noHBand="0" w:noVBand="1"/>
        <w:tblDescription w:val="Add Alt Text describing the content of the table"/>
      </w:tblPr>
      <w:tblGrid>
        <w:gridCol w:w="3261"/>
        <w:gridCol w:w="5811"/>
      </w:tblGrid>
      <w:tr w:rsidR="00817CB4" w:rsidRPr="009A5F5E" w14:paraId="17EC78E5" w14:textId="77777777" w:rsidTr="48E88A4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1" w:type="dxa"/>
          </w:tcPr>
          <w:p w14:paraId="1A48B0FC" w14:textId="77777777" w:rsidR="00817CB4" w:rsidRPr="009A5F5E" w:rsidRDefault="00817CB4" w:rsidP="0054375E">
            <w:pPr>
              <w:pStyle w:val="TableHeaderWhite"/>
            </w:pPr>
            <w:r w:rsidRPr="009A5F5E">
              <w:t>Term</w:t>
            </w:r>
          </w:p>
        </w:tc>
        <w:tc>
          <w:tcPr>
            <w:tcW w:w="5811" w:type="dxa"/>
          </w:tcPr>
          <w:p w14:paraId="71BA6CCA" w14:textId="77777777" w:rsidR="00817CB4" w:rsidRPr="009A5F5E" w:rsidRDefault="00817CB4" w:rsidP="0054375E">
            <w:pPr>
              <w:pStyle w:val="TableHeader"/>
              <w:cnfStyle w:val="100000000000" w:firstRow="1" w:lastRow="0" w:firstColumn="0" w:lastColumn="0" w:oddVBand="0" w:evenVBand="0" w:oddHBand="0" w:evenHBand="0" w:firstRowFirstColumn="0" w:firstRowLastColumn="0" w:lastRowFirstColumn="0" w:lastRowLastColumn="0"/>
            </w:pPr>
            <w:r w:rsidRPr="009A5F5E">
              <w:t xml:space="preserve">Definition </w:t>
            </w:r>
          </w:p>
        </w:tc>
      </w:tr>
      <w:tr w:rsidR="00817CB4" w:rsidRPr="009A5F5E" w14:paraId="595D05E6" w14:textId="77777777" w:rsidTr="48E88A4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65E6B83D" w14:textId="77777777" w:rsidR="00817CB4" w:rsidRPr="009A5F5E" w:rsidRDefault="00817CB4" w:rsidP="0054375E">
            <w:pPr>
              <w:pStyle w:val="ListBullet"/>
              <w:numPr>
                <w:ilvl w:val="0"/>
                <w:numId w:val="0"/>
              </w:numPr>
              <w:rPr>
                <w:szCs w:val="22"/>
              </w:rPr>
            </w:pPr>
            <w:r w:rsidRPr="009A5F5E">
              <w:rPr>
                <w:szCs w:val="22"/>
              </w:rPr>
              <w:t>Aboriginal Community Controlled Health Services</w:t>
            </w:r>
          </w:p>
        </w:tc>
        <w:tc>
          <w:tcPr>
            <w:tcW w:w="5811" w:type="dxa"/>
          </w:tcPr>
          <w:p w14:paraId="5F36EE33"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A primary health care service initiated and operated by the local Aboriginal community.</w:t>
            </w:r>
          </w:p>
        </w:tc>
      </w:tr>
      <w:tr w:rsidR="00817CB4" w:rsidRPr="009A5F5E" w14:paraId="0922C0E3" w14:textId="77777777" w:rsidTr="48E88A4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60B82D8E" w14:textId="77777777" w:rsidR="00817CB4" w:rsidRPr="009A5F5E" w:rsidRDefault="00817CB4" w:rsidP="0054375E">
            <w:pPr>
              <w:pStyle w:val="ListBullet"/>
              <w:numPr>
                <w:ilvl w:val="0"/>
                <w:numId w:val="0"/>
              </w:numPr>
              <w:rPr>
                <w:szCs w:val="22"/>
              </w:rPr>
            </w:pPr>
            <w:r w:rsidRPr="009A5F5E">
              <w:rPr>
                <w:szCs w:val="22"/>
              </w:rPr>
              <w:t>Aboriginal and Torres Strait Islander health practitioner</w:t>
            </w:r>
          </w:p>
        </w:tc>
        <w:tc>
          <w:tcPr>
            <w:tcW w:w="5811" w:type="dxa"/>
          </w:tcPr>
          <w:p w14:paraId="14B89B19" w14:textId="69C07DDB" w:rsidR="00817CB4" w:rsidRPr="009A5F5E" w:rsidRDefault="00817CB4" w:rsidP="0054375E">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Fonts w:ascii="Calibri" w:eastAsiaTheme="majorEastAsia" w:hAnsi="Calibri"/>
                <w:szCs w:val="22"/>
                <w:lang w:val="en-GB"/>
              </w:rPr>
            </w:pPr>
            <w:r w:rsidRPr="009A5F5E">
              <w:rPr>
                <w:rFonts w:eastAsiaTheme="majorEastAsia"/>
                <w:szCs w:val="22"/>
              </w:rPr>
              <w:t xml:space="preserve">As per the </w:t>
            </w:r>
            <w:r w:rsidRPr="009A5F5E">
              <w:rPr>
                <w:rStyle w:val="Emphasis"/>
              </w:rPr>
              <w:t>Australian Government Department of Health</w:t>
            </w:r>
            <w:r w:rsidR="003455EF" w:rsidRPr="009A5F5E">
              <w:rPr>
                <w:rStyle w:val="Emphasis"/>
              </w:rPr>
              <w:t xml:space="preserve">, Disability </w:t>
            </w:r>
            <w:r w:rsidRPr="009A5F5E">
              <w:rPr>
                <w:rStyle w:val="Emphasis"/>
              </w:rPr>
              <w:t>and Age</w:t>
            </w:r>
            <w:r w:rsidR="003455EF" w:rsidRPr="009A5F5E">
              <w:rPr>
                <w:rStyle w:val="Emphasis"/>
              </w:rPr>
              <w:t>ing</w:t>
            </w:r>
            <w:r w:rsidRPr="009A5F5E">
              <w:rPr>
                <w:rStyle w:val="Emphasis"/>
              </w:rPr>
              <w:t xml:space="preserve"> Medicare Benefits Schedule Book</w:t>
            </w:r>
            <w:r w:rsidRPr="009A5F5E">
              <w:rPr>
                <w:szCs w:val="22"/>
              </w:rPr>
              <w:t>, a person who has been registered as an Aboriginal and Torres Strait Islander health practitioner by the Aboriginal and Torres Strait Islander Health Practice Board of Australia and meets the Board's registration standards. The Aboriginal and Torres Strait Islander health practitioner must be employed or retained by a general practice, or by a health service that has an exemption to claim Medicare benefits under subsection 19(2) of the Health Insurance Act 1973.</w:t>
            </w:r>
            <w:r w:rsidRPr="009A5F5E">
              <w:rPr>
                <w:rFonts w:eastAsiaTheme="majorEastAsia"/>
              </w:rPr>
              <w:t xml:space="preserve">   </w:t>
            </w:r>
          </w:p>
        </w:tc>
      </w:tr>
      <w:tr w:rsidR="00817CB4" w:rsidRPr="009A5F5E" w14:paraId="2014D221" w14:textId="77777777" w:rsidTr="48E88A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1C46B08" w14:textId="77777777" w:rsidR="00817CB4" w:rsidRPr="009A5F5E" w:rsidRDefault="00817CB4" w:rsidP="00733FD8">
            <w:pPr>
              <w:pStyle w:val="Tabletextleft"/>
            </w:pPr>
            <w:r w:rsidRPr="009A5F5E">
              <w:t>Care team</w:t>
            </w:r>
          </w:p>
        </w:tc>
        <w:tc>
          <w:tcPr>
            <w:tcW w:w="5811" w:type="dxa"/>
          </w:tcPr>
          <w:p w14:paraId="474AEA8C" w14:textId="602AA7AB"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 xml:space="preserve">Eligible health professionals who deliver eligible services as part of </w:t>
            </w:r>
            <w:r w:rsidR="00781C8B" w:rsidRPr="009A5F5E">
              <w:t>GPACI</w:t>
            </w:r>
            <w:r w:rsidRPr="009A5F5E">
              <w:t xml:space="preserve"> under the direction and responsibility of the Responsible Provider. Members of a care team must all be delivering services at the same practice as the Responsible Provider, and where possible, be linked to the same practice in MyMedicare.</w:t>
            </w:r>
          </w:p>
        </w:tc>
      </w:tr>
      <w:tr w:rsidR="0016121C" w:rsidRPr="009A5F5E" w14:paraId="0CE42DFE"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77F9D8AD" w14:textId="77777777" w:rsidR="0016121C" w:rsidRPr="009A5F5E" w:rsidRDefault="0016121C">
            <w:pPr>
              <w:pStyle w:val="Tabletextleft"/>
            </w:pPr>
            <w:r w:rsidRPr="009A5F5E">
              <w:rPr>
                <w:rFonts w:cs="Arial"/>
                <w:i/>
              </w:rPr>
              <w:t>Commonwealth Grants Rules and Principles 2024 (</w:t>
            </w:r>
            <w:r w:rsidRPr="009A5F5E">
              <w:rPr>
                <w:rFonts w:cs="Arial"/>
                <w:iCs/>
              </w:rPr>
              <w:t>CGRPs)</w:t>
            </w:r>
            <w:r w:rsidRPr="009A5F5E">
              <w:rPr>
                <w:rStyle w:val="Hyperlink"/>
                <w:rFonts w:cs="Arial"/>
                <w:i/>
              </w:rPr>
              <w:t xml:space="preserve"> </w:t>
            </w:r>
          </w:p>
        </w:tc>
        <w:tc>
          <w:tcPr>
            <w:tcW w:w="5811" w:type="dxa"/>
          </w:tcPr>
          <w:p w14:paraId="46FA56E3" w14:textId="4C4F0E42" w:rsidR="0016121C" w:rsidRPr="009A5F5E" w:rsidRDefault="00555FAA">
            <w:pPr>
              <w:pStyle w:val="Tabletextleft"/>
              <w:cnfStyle w:val="000000010000" w:firstRow="0" w:lastRow="0" w:firstColumn="0" w:lastColumn="0" w:oddVBand="0" w:evenVBand="0" w:oddHBand="0" w:evenHBand="1" w:firstRowFirstColumn="0" w:firstRowLastColumn="0" w:lastRowFirstColumn="0" w:lastRowLastColumn="0"/>
            </w:pPr>
            <w:r w:rsidRPr="009A5F5E">
              <w:rPr>
                <w:lang w:eastAsia="en-AU"/>
              </w:rPr>
              <w:t xml:space="preserve">Establish </w:t>
            </w:r>
            <w:r w:rsidR="0016121C" w:rsidRPr="009A5F5E">
              <w:rPr>
                <w:lang w:eastAsia="en-AU"/>
              </w:rPr>
              <w:t xml:space="preserve">the Commonwealth grants policy framework and articulate the expectations for all non-corporate Commonwealth entities in relation to grants administration. The </w:t>
            </w:r>
            <w:hyperlink r:id="rId55" w:history="1">
              <w:r w:rsidR="0016121C" w:rsidRPr="009A5F5E">
                <w:rPr>
                  <w:rStyle w:val="Hyperlink"/>
                  <w:lang w:eastAsia="en-AU"/>
                </w:rPr>
                <w:t>CGRPs</w:t>
              </w:r>
            </w:hyperlink>
            <w:r w:rsidR="0016121C" w:rsidRPr="009A5F5E">
              <w:rPr>
                <w:lang w:eastAsia="en-AU"/>
              </w:rPr>
              <w:t xml:space="preserve"> contain the key legislative and policy requirements and explain the better practice principles of grants administration</w:t>
            </w:r>
          </w:p>
        </w:tc>
      </w:tr>
      <w:tr w:rsidR="0016121C" w:rsidRPr="009A5F5E" w14:paraId="5362A8F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28C50F7D" w14:textId="77777777" w:rsidR="0016121C" w:rsidRPr="009A5F5E" w:rsidRDefault="0016121C">
            <w:pPr>
              <w:pStyle w:val="Tabletextleft"/>
              <w:rPr>
                <w:rFonts w:cs="Arial"/>
                <w:i/>
              </w:rPr>
            </w:pPr>
            <w:r w:rsidRPr="009A5F5E">
              <w:rPr>
                <w:rFonts w:cs="Arial"/>
              </w:rPr>
              <w:t>Commonwealth Child Safe Framework</w:t>
            </w:r>
          </w:p>
        </w:tc>
        <w:tc>
          <w:tcPr>
            <w:tcW w:w="5811" w:type="dxa"/>
          </w:tcPr>
          <w:p w14:paraId="2AEFFA50" w14:textId="21FD4CDE" w:rsidR="0016121C" w:rsidRPr="009A5F5E" w:rsidRDefault="00555FAA">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9A5F5E">
              <w:rPr>
                <w:rFonts w:cs="Arial"/>
                <w:lang w:eastAsia="en-AU"/>
              </w:rPr>
              <w:t xml:space="preserve">In </w:t>
            </w:r>
            <w:r w:rsidR="0016121C" w:rsidRPr="009A5F5E">
              <w:rPr>
                <w:rFonts w:cs="Arial"/>
                <w:lang w:eastAsia="en-AU"/>
              </w:rPr>
              <w:t xml:space="preserve">response to the Royal Commission into Institutional Responses to Child Sex Abuse, the Australian Government has introduced the </w:t>
            </w:r>
            <w:hyperlink r:id="rId56" w:history="1">
              <w:r w:rsidR="0016121C" w:rsidRPr="007B749E">
                <w:rPr>
                  <w:rStyle w:val="Hyperlink"/>
                  <w:rFonts w:cs="Arial"/>
                  <w:lang w:eastAsia="en-AU"/>
                </w:rPr>
                <w:t>Commonwealth Child Safe Framework</w:t>
              </w:r>
            </w:hyperlink>
            <w:r w:rsidR="0016121C" w:rsidRPr="009A5F5E">
              <w:rPr>
                <w:rFonts w:cs="Arial"/>
                <w:lang w:eastAsia="en-AU"/>
              </w:rPr>
              <w:t>, a whole-of-government policy that sets minimum standards for creating and embedding a child safe culture and practice in Commonwealth entities</w:t>
            </w:r>
          </w:p>
        </w:tc>
      </w:tr>
      <w:tr w:rsidR="00817CB4" w:rsidRPr="009A5F5E" w14:paraId="175AA64F" w14:textId="77777777" w:rsidTr="48E88A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9CE0A96" w14:textId="77777777" w:rsidR="00817CB4" w:rsidRPr="009A5F5E" w:rsidRDefault="00817CB4" w:rsidP="00733FD8">
            <w:pPr>
              <w:pStyle w:val="Tabletextleft"/>
            </w:pPr>
            <w:r w:rsidRPr="009A5F5E">
              <w:t>General practice</w:t>
            </w:r>
          </w:p>
        </w:tc>
        <w:tc>
          <w:tcPr>
            <w:tcW w:w="5811" w:type="dxa"/>
          </w:tcPr>
          <w:p w14:paraId="50790B16"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General practice is defined by the RACGP Standards for general practices and must be an accredited service. For the purposes of accreditation as a general practice a site must:</w:t>
            </w:r>
          </w:p>
          <w:p w14:paraId="4EAB28BA" w14:textId="1DFF0BA5" w:rsidR="00817CB4" w:rsidRPr="009A5F5E" w:rsidRDefault="00817CB4" w:rsidP="00F85C8B">
            <w:pPr>
              <w:pStyle w:val="Tabletextleft"/>
              <w:numPr>
                <w:ilvl w:val="0"/>
                <w:numId w:val="12"/>
              </w:numPr>
              <w:cnfStyle w:val="000000010000" w:firstRow="0" w:lastRow="0" w:firstColumn="0" w:lastColumn="0" w:oddVBand="0" w:evenVBand="0" w:oddHBand="0" w:evenHBand="1" w:firstRowFirstColumn="0" w:firstRowLastColumn="0" w:lastRowFirstColumn="0" w:lastRowLastColumn="0"/>
            </w:pPr>
            <w:r w:rsidRPr="009A5F5E">
              <w:t xml:space="preserve">provide comprehensive, patient </w:t>
            </w:r>
            <w:r w:rsidR="00AD0B5D" w:rsidRPr="009A5F5E">
              <w:t>centred</w:t>
            </w:r>
            <w:r w:rsidRPr="009A5F5E">
              <w:t xml:space="preserve">, whole-person and continuous care; and </w:t>
            </w:r>
          </w:p>
          <w:p w14:paraId="17464A54" w14:textId="77777777" w:rsidR="00817CB4" w:rsidRPr="009A5F5E" w:rsidRDefault="00817CB4" w:rsidP="00F85C8B">
            <w:pPr>
              <w:pStyle w:val="Tabletextleft"/>
              <w:numPr>
                <w:ilvl w:val="0"/>
                <w:numId w:val="12"/>
              </w:numPr>
              <w:cnfStyle w:val="000000010000" w:firstRow="0" w:lastRow="0" w:firstColumn="0" w:lastColumn="0" w:oddVBand="0" w:evenVBand="0" w:oddHBand="0" w:evenHBand="1" w:firstRowFirstColumn="0" w:firstRowLastColumn="0" w:lastRowFirstColumn="0" w:lastRowLastColumn="0"/>
            </w:pPr>
            <w:r w:rsidRPr="009A5F5E">
              <w:t>its services must be predominantly* of a general practice nature.</w:t>
            </w:r>
          </w:p>
          <w:p w14:paraId="7E9E3B6C"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*More than 50 per cent of the practice’s general practitioners’ clinical time (i.e., collectively), and more than 50 per cent of services for which Medicare benefits are claimed or could be claimed (from the practice) are in general practice.</w:t>
            </w:r>
          </w:p>
        </w:tc>
      </w:tr>
      <w:tr w:rsidR="00817CB4" w:rsidRPr="009A5F5E" w14:paraId="4756B914" w14:textId="77777777" w:rsidTr="48E88A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BAAD2C9" w14:textId="77777777" w:rsidR="00817CB4" w:rsidRPr="009A5F5E" w:rsidRDefault="00817CB4" w:rsidP="00733FD8">
            <w:pPr>
              <w:pStyle w:val="Tabletextleft"/>
            </w:pPr>
            <w:r w:rsidRPr="009A5F5E">
              <w:lastRenderedPageBreak/>
              <w:t>General Practitioner</w:t>
            </w:r>
          </w:p>
        </w:tc>
        <w:tc>
          <w:tcPr>
            <w:tcW w:w="5811" w:type="dxa"/>
          </w:tcPr>
          <w:p w14:paraId="33651155"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GPs are doctors who have completed training in general practice.</w:t>
            </w:r>
          </w:p>
        </w:tc>
      </w:tr>
      <w:tr w:rsidR="00AD1E9E" w:rsidRPr="009A5F5E" w14:paraId="0F85DEAD" w14:textId="77777777" w:rsidTr="48E88A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13644A3" w14:textId="0D93F734" w:rsidR="00AD1E9E" w:rsidRPr="009A5F5E" w:rsidRDefault="00954701" w:rsidP="00AD1E9E">
            <w:pPr>
              <w:pStyle w:val="Tabletextleft"/>
            </w:pPr>
            <w:r w:rsidRPr="009A5F5E">
              <w:rPr>
                <w:rFonts w:cs="Arial"/>
                <w:lang w:eastAsia="en-AU"/>
              </w:rPr>
              <w:t xml:space="preserve">Grant </w:t>
            </w:r>
          </w:p>
        </w:tc>
        <w:tc>
          <w:tcPr>
            <w:tcW w:w="5811" w:type="dxa"/>
          </w:tcPr>
          <w:p w14:paraId="601CAD00" w14:textId="007F3493" w:rsidR="00AD1E9E" w:rsidRPr="009A5F5E" w:rsidRDefault="00555FAA" w:rsidP="00AD1E9E">
            <w:pPr>
              <w:shd w:val="clear" w:color="auto" w:fill="FFFFFF" w:themeFill="background1"/>
              <w:suppressAutoHyphens/>
              <w:spacing w:before="80" w:after="80"/>
              <w:cnfStyle w:val="000000010000" w:firstRow="0" w:lastRow="0" w:firstColumn="0" w:lastColumn="0" w:oddVBand="0" w:evenVBand="0" w:oddHBand="0" w:evenHBand="1" w:firstRowFirstColumn="0" w:firstRowLastColumn="0" w:lastRowFirstColumn="0" w:lastRowLastColumn="0"/>
              <w:rPr>
                <w:rFonts w:cs="Arial"/>
              </w:rPr>
            </w:pPr>
            <w:r w:rsidRPr="009A5F5E">
              <w:rPr>
                <w:rFonts w:cs="Arial"/>
              </w:rPr>
              <w:t xml:space="preserve">For </w:t>
            </w:r>
            <w:r w:rsidR="00AD1E9E" w:rsidRPr="009A5F5E">
              <w:rPr>
                <w:rFonts w:cs="Arial"/>
              </w:rPr>
              <w:t>the purposes of the CGRPs, a ‘grant’ is an arrangement for the provision of financial assistance by the Commonwealth or on behalf of the Commonwealth:</w:t>
            </w:r>
          </w:p>
          <w:p w14:paraId="4725BEE7" w14:textId="77777777" w:rsidR="00AD1E9E" w:rsidRPr="009A5F5E" w:rsidRDefault="00AD1E9E" w:rsidP="00F85C8B">
            <w:pPr>
              <w:pStyle w:val="NumberedList2"/>
              <w:numPr>
                <w:ilvl w:val="1"/>
                <w:numId w:val="19"/>
              </w:numPr>
              <w:shd w:val="clear" w:color="auto" w:fill="FFFFFF" w:themeFill="background1"/>
              <w:suppressAutoHyphens/>
              <w:spacing w:after="80" w:line="280" w:lineRule="atLeast"/>
              <w:ind w:left="284"/>
              <w:cnfStyle w:val="000000010000" w:firstRow="0" w:lastRow="0" w:firstColumn="0" w:lastColumn="0" w:oddVBand="0" w:evenVBand="0" w:oddHBand="0" w:evenHBand="1" w:firstRowFirstColumn="0" w:firstRowLastColumn="0" w:lastRowFirstColumn="0" w:lastRowLastColumn="0"/>
              <w:rPr>
                <w:rFonts w:cs="Arial"/>
              </w:rPr>
            </w:pPr>
            <w:r w:rsidRPr="009A5F5E">
              <w:rPr>
                <w:rFonts w:cs="Arial"/>
              </w:rPr>
              <w:t>under which relevant money</w:t>
            </w:r>
            <w:r w:rsidRPr="009A5F5E">
              <w:rPr>
                <w:rStyle w:val="FootnoteReference"/>
                <w:rFonts w:cs="Arial"/>
              </w:rPr>
              <w:footnoteReference w:id="12"/>
            </w:r>
            <w:r w:rsidRPr="009A5F5E">
              <w:rPr>
                <w:rFonts w:cs="Arial"/>
              </w:rPr>
              <w:t xml:space="preserve"> or other </w:t>
            </w:r>
            <w:hyperlink r:id="rId57" w:history="1">
              <w:r w:rsidRPr="009A5F5E">
                <w:rPr>
                  <w:rStyle w:val="Hyperlink"/>
                  <w:rFonts w:cs="Arial"/>
                </w:rPr>
                <w:t>Consolidated Revenue Fund (CRF)</w:t>
              </w:r>
            </w:hyperlink>
            <w:r w:rsidRPr="009A5F5E">
              <w:rPr>
                <w:rFonts w:cs="Arial"/>
              </w:rPr>
              <w:t xml:space="preserve"> money</w:t>
            </w:r>
            <w:r w:rsidRPr="009A5F5E">
              <w:rPr>
                <w:rStyle w:val="FootnoteReference"/>
                <w:rFonts w:cs="Arial"/>
              </w:rPr>
              <w:footnoteReference w:id="13"/>
            </w:r>
            <w:r w:rsidRPr="009A5F5E">
              <w:rPr>
                <w:rFonts w:cs="Arial"/>
              </w:rPr>
              <w:t xml:space="preserve"> is to be paid to a grantee other than the Commonwealth; and</w:t>
            </w:r>
          </w:p>
          <w:p w14:paraId="29F3F835" w14:textId="3072FA74" w:rsidR="00AD1E9E" w:rsidRPr="009A5F5E" w:rsidRDefault="00AD1E9E" w:rsidP="00DA431A">
            <w:pPr>
              <w:pStyle w:val="NumberedList2"/>
              <w:numPr>
                <w:ilvl w:val="1"/>
                <w:numId w:val="19"/>
              </w:numPr>
              <w:shd w:val="clear" w:color="auto" w:fill="FFFFFF" w:themeFill="background1"/>
              <w:suppressAutoHyphens/>
              <w:ind w:left="284"/>
              <w:cnfStyle w:val="000000010000" w:firstRow="0" w:lastRow="0" w:firstColumn="0" w:lastColumn="0" w:oddVBand="0" w:evenVBand="0" w:oddHBand="0" w:evenHBand="1" w:firstRowFirstColumn="0" w:firstRowLastColumn="0" w:lastRowFirstColumn="0" w:lastRowLastColumn="0"/>
            </w:pPr>
            <w:r w:rsidRPr="009A5F5E">
              <w:rPr>
                <w:rFonts w:cs="Arial"/>
              </w:rPr>
              <w:t>which is intended to help address one or more of the Australian Government’s policy outcomes while assisting the grantee achieve its objectives</w:t>
            </w:r>
            <w:r w:rsidR="00DA431A" w:rsidRPr="009A5F5E">
              <w:rPr>
                <w:rFonts w:cs="Arial"/>
              </w:rPr>
              <w:t>.</w:t>
            </w:r>
            <w:r w:rsidRPr="009A5F5E">
              <w:rPr>
                <w:rFonts w:cs="Arial"/>
              </w:rPr>
              <w:t xml:space="preserve"> </w:t>
            </w:r>
          </w:p>
        </w:tc>
      </w:tr>
      <w:tr w:rsidR="00AD1E9E" w:rsidRPr="009A5F5E" w14:paraId="7BA382FE" w14:textId="77777777" w:rsidTr="48E88A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4CF1EFA" w14:textId="7A9743A2" w:rsidR="00AD1E9E" w:rsidRPr="009A5F5E" w:rsidRDefault="00AD1E9E" w:rsidP="00AD1E9E">
            <w:pPr>
              <w:pStyle w:val="Tabletextleft"/>
            </w:pPr>
            <w:r w:rsidRPr="009A5F5E">
              <w:rPr>
                <w:rFonts w:cs="Arial"/>
              </w:rPr>
              <w:t>GrantConnect</w:t>
            </w:r>
          </w:p>
        </w:tc>
        <w:tc>
          <w:tcPr>
            <w:tcW w:w="5811" w:type="dxa"/>
          </w:tcPr>
          <w:p w14:paraId="48E45BD3" w14:textId="2B10A519" w:rsidR="00AD1E9E" w:rsidRPr="009A5F5E" w:rsidRDefault="00555FAA" w:rsidP="00AD1E9E">
            <w:pPr>
              <w:pStyle w:val="Tabletextleft"/>
              <w:cnfStyle w:val="000000100000" w:firstRow="0" w:lastRow="0" w:firstColumn="0" w:lastColumn="0" w:oddVBand="0" w:evenVBand="0" w:oddHBand="1" w:evenHBand="0" w:firstRowFirstColumn="0" w:firstRowLastColumn="0" w:lastRowFirstColumn="0" w:lastRowLastColumn="0"/>
            </w:pPr>
            <w:r w:rsidRPr="009A5F5E">
              <w:rPr>
                <w:rFonts w:cs="Arial"/>
              </w:rPr>
              <w:t xml:space="preserve">Is </w:t>
            </w:r>
            <w:r w:rsidR="00AD1E9E" w:rsidRPr="009A5F5E">
              <w:rPr>
                <w:rFonts w:cs="Arial"/>
              </w:rPr>
              <w:t>the Australian Government’s whole-of-government grants information system, which centralises the publication and reporting of Commonwealth grants in accordance with the CGRPs</w:t>
            </w:r>
          </w:p>
        </w:tc>
      </w:tr>
      <w:tr w:rsidR="00817CB4" w:rsidRPr="009A5F5E" w14:paraId="201A5167" w14:textId="77777777" w:rsidTr="48E88A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5070DE1" w14:textId="5C6E751B" w:rsidR="00817CB4" w:rsidRPr="009A5F5E" w:rsidRDefault="00817CB4" w:rsidP="00733FD8">
            <w:pPr>
              <w:pStyle w:val="Tabletextleft"/>
            </w:pPr>
            <w:r w:rsidRPr="009A5F5E">
              <w:t>Medicare Benefits Schedule</w:t>
            </w:r>
            <w:r w:rsidR="3D11BE49" w:rsidRPr="009A5F5E">
              <w:t xml:space="preserve"> (MBS</w:t>
            </w:r>
            <w:r w:rsidRPr="009A5F5E">
              <w:t xml:space="preserve">) </w:t>
            </w:r>
          </w:p>
        </w:tc>
        <w:tc>
          <w:tcPr>
            <w:tcW w:w="5811" w:type="dxa"/>
          </w:tcPr>
          <w:p w14:paraId="5AAC53DE"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 xml:space="preserve">A listing of the medical services subsidised by the Australian government, providing information on the amount Medicare will rebate for each service. </w:t>
            </w:r>
          </w:p>
        </w:tc>
      </w:tr>
      <w:tr w:rsidR="00817CB4" w:rsidRPr="009A5F5E" w14:paraId="2B670F48" w14:textId="77777777" w:rsidTr="48E88A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CB1A985" w14:textId="77777777" w:rsidR="00817CB4" w:rsidRPr="009A5F5E" w:rsidRDefault="00817CB4" w:rsidP="00733FD8">
            <w:pPr>
              <w:pStyle w:val="Tabletextleft"/>
            </w:pPr>
            <w:r w:rsidRPr="009A5F5E">
              <w:t xml:space="preserve">Modified Monash Model (MMM) </w:t>
            </w:r>
          </w:p>
        </w:tc>
        <w:tc>
          <w:tcPr>
            <w:tcW w:w="5811" w:type="dxa"/>
          </w:tcPr>
          <w:p w14:paraId="36C129A2"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 xml:space="preserve">A classification system that categorises locations in Australia based on geographical remoteness and population size, used to allocate healthcare resources and incentives. </w:t>
            </w:r>
          </w:p>
        </w:tc>
      </w:tr>
      <w:tr w:rsidR="00817CB4" w:rsidRPr="009A5F5E" w14:paraId="4EADBA03" w14:textId="77777777" w:rsidTr="48E88A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BC2186C" w14:textId="77777777" w:rsidR="00817CB4" w:rsidRPr="009A5F5E" w:rsidRDefault="00817CB4" w:rsidP="00733FD8">
            <w:pPr>
              <w:pStyle w:val="Tabletextleft"/>
            </w:pPr>
            <w:r w:rsidRPr="009A5F5E">
              <w:t xml:space="preserve">MyMedicare </w:t>
            </w:r>
          </w:p>
        </w:tc>
        <w:tc>
          <w:tcPr>
            <w:tcW w:w="5811" w:type="dxa"/>
          </w:tcPr>
          <w:p w14:paraId="502FA3DA"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 xml:space="preserve">A voluntary patient registration program aiming to formalise the relationship between patients, their general practice, GP, and primary care teams. </w:t>
            </w:r>
          </w:p>
        </w:tc>
      </w:tr>
      <w:tr w:rsidR="00AD1E9E" w:rsidRPr="009A5F5E" w14:paraId="297773CE" w14:textId="77777777" w:rsidTr="48E88A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2656C2D" w14:textId="37F1C919" w:rsidR="00AD1E9E" w:rsidRPr="009A5F5E" w:rsidRDefault="00AD1E9E" w:rsidP="00AD1E9E">
            <w:pPr>
              <w:pStyle w:val="Tabletextleft"/>
            </w:pPr>
            <w:r w:rsidRPr="009A5F5E">
              <w:rPr>
                <w:rFonts w:cs="Arial"/>
              </w:rPr>
              <w:t>National Redress Scheme</w:t>
            </w:r>
          </w:p>
        </w:tc>
        <w:tc>
          <w:tcPr>
            <w:tcW w:w="5811" w:type="dxa"/>
          </w:tcPr>
          <w:p w14:paraId="07F3A7C2" w14:textId="389A84AE" w:rsidR="00AD1E9E" w:rsidRPr="009A5F5E" w:rsidRDefault="00F636B5" w:rsidP="00AD1E9E">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Cs w:val="22"/>
              </w:rPr>
            </w:pPr>
            <w:r w:rsidRPr="009A5F5E">
              <w:rPr>
                <w:rFonts w:cs="Arial"/>
              </w:rPr>
              <w:t xml:space="preserve">The </w:t>
            </w:r>
            <w:hyperlink r:id="rId58" w:history="1">
              <w:r w:rsidR="00AD1E9E" w:rsidRPr="009A5F5E">
                <w:rPr>
                  <w:rStyle w:val="Hyperlink"/>
                  <w:rFonts w:cs="Arial"/>
                </w:rPr>
                <w:t>National Redress Scheme</w:t>
              </w:r>
            </w:hyperlink>
            <w:r w:rsidR="00AD1E9E" w:rsidRPr="009A5F5E">
              <w:rPr>
                <w:rFonts w:cs="Arial"/>
              </w:rPr>
              <w:t xml:space="preserve"> for Institutional Child Sexual Abuse Grant Connected Policy makes non-government institutions named in applications to the Scheme, or in the Royal Commission into Institutional Responses to Child Sexual Abuse, that do not join the Scheme ineligible for future Australian Government grant funding. The National Redress Scheme Grant Connected Policy came into effect on 1 January 2021.</w:t>
            </w:r>
          </w:p>
        </w:tc>
      </w:tr>
      <w:tr w:rsidR="00AD1E9E" w:rsidRPr="009A5F5E" w14:paraId="2CD9834A" w14:textId="77777777" w:rsidTr="48E88A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6A26464" w14:textId="4C6D939F" w:rsidR="00AD1E9E" w:rsidRPr="009A5F5E" w:rsidRDefault="00AD1E9E" w:rsidP="00AD1E9E">
            <w:pPr>
              <w:pStyle w:val="Tabletextleft"/>
            </w:pPr>
            <w:r w:rsidRPr="009A5F5E">
              <w:t>National Anti-Corruption Commission (NACC)</w:t>
            </w:r>
          </w:p>
        </w:tc>
        <w:tc>
          <w:tcPr>
            <w:tcW w:w="5811" w:type="dxa"/>
          </w:tcPr>
          <w:p w14:paraId="7EF2349E" w14:textId="22C51521" w:rsidR="00AD1E9E" w:rsidRPr="009A5F5E" w:rsidRDefault="00AD1E9E" w:rsidP="00AD1E9E">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szCs w:val="22"/>
              </w:rPr>
            </w:pPr>
            <w:r w:rsidRPr="009A5F5E">
              <w:t>The National Anti-Corruption Commission (NACC) is an independent Commonwealth agency. It detects, investigates and reports on serious or systemic corruption in the Commonwealth public sector. The Commission operates under the National Anti-Corruption Commission Act 2022.</w:t>
            </w:r>
          </w:p>
        </w:tc>
      </w:tr>
      <w:tr w:rsidR="00817CB4" w:rsidRPr="009A5F5E" w14:paraId="28D77A74" w14:textId="77777777" w:rsidTr="48E88A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9C5DA6E" w14:textId="77777777" w:rsidR="00817CB4" w:rsidRPr="009A5F5E" w:rsidRDefault="00817CB4" w:rsidP="00733FD8">
            <w:pPr>
              <w:pStyle w:val="Tabletextleft"/>
            </w:pPr>
            <w:r w:rsidRPr="009A5F5E">
              <w:lastRenderedPageBreak/>
              <w:t>Nurse Practitioner</w:t>
            </w:r>
          </w:p>
        </w:tc>
        <w:tc>
          <w:tcPr>
            <w:tcW w:w="5811" w:type="dxa"/>
          </w:tcPr>
          <w:p w14:paraId="3659A9E5" w14:textId="77777777" w:rsidR="00817CB4" w:rsidRPr="009A5F5E" w:rsidRDefault="00817CB4" w:rsidP="0054375E">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9A5F5E">
              <w:rPr>
                <w:szCs w:val="22"/>
              </w:rPr>
              <w:t xml:space="preserve">As per </w:t>
            </w:r>
            <w:r w:rsidRPr="009A5F5E">
              <w:rPr>
                <w:i/>
                <w:szCs w:val="22"/>
              </w:rPr>
              <w:t>Health Insurance Act 1973</w:t>
            </w:r>
            <w:r w:rsidRPr="009A5F5E">
              <w:rPr>
                <w:szCs w:val="22"/>
              </w:rPr>
              <w:t>, a person who is registered under the National Law in the nursing profession as a nurse practitioner</w:t>
            </w:r>
          </w:p>
        </w:tc>
      </w:tr>
      <w:tr w:rsidR="00817CB4" w:rsidRPr="009A5F5E" w14:paraId="6BA7116F" w14:textId="77777777" w:rsidTr="48E88A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D8179D2" w14:textId="77777777" w:rsidR="00817CB4" w:rsidRPr="009A5F5E" w:rsidRDefault="00817CB4" w:rsidP="00733FD8">
            <w:pPr>
              <w:pStyle w:val="Tabletextleft"/>
            </w:pPr>
            <w:r w:rsidRPr="009A5F5E">
              <w:t>Practice Nurse</w:t>
            </w:r>
          </w:p>
        </w:tc>
        <w:tc>
          <w:tcPr>
            <w:tcW w:w="5811" w:type="dxa"/>
          </w:tcPr>
          <w:p w14:paraId="1B2B6AA6"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 xml:space="preserve">As per </w:t>
            </w:r>
            <w:r w:rsidRPr="009A5F5E">
              <w:rPr>
                <w:rFonts w:eastAsiaTheme="minorHAnsi"/>
                <w:i/>
              </w:rPr>
              <w:t>Health Insurance (General Medical Services Table) Regulations 2021</w:t>
            </w:r>
            <w:r w:rsidRPr="009A5F5E">
              <w:t>,</w:t>
            </w:r>
            <w:r w:rsidRPr="009A5F5E">
              <w:rPr>
                <w:rFonts w:eastAsiaTheme="minorHAnsi"/>
              </w:rPr>
              <w:t xml:space="preserve"> a registered or an enrolled nurse who is employed by, or whose services are otherwise retained by, a general practice or by a health service to which a direction made under subsection 19(2) of the Act applies.</w:t>
            </w:r>
          </w:p>
        </w:tc>
      </w:tr>
      <w:tr w:rsidR="00817CB4" w:rsidRPr="009A5F5E" w14:paraId="0E02BCC0" w14:textId="77777777" w:rsidTr="48E88A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354B2D5" w14:textId="77777777" w:rsidR="00817CB4" w:rsidRPr="009A5F5E" w:rsidRDefault="00817CB4" w:rsidP="00733FD8">
            <w:pPr>
              <w:pStyle w:val="Tabletextleft"/>
            </w:pPr>
            <w:r w:rsidRPr="009A5F5E">
              <w:t>Residential Aged Care Home</w:t>
            </w:r>
          </w:p>
        </w:tc>
        <w:tc>
          <w:tcPr>
            <w:tcW w:w="5811" w:type="dxa"/>
          </w:tcPr>
          <w:p w14:paraId="635D513F"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 xml:space="preserve">Facilities providing accommodation and care for older people who can no longer live independently, </w:t>
            </w:r>
            <w:proofErr w:type="gramStart"/>
            <w:r w:rsidRPr="009A5F5E">
              <w:t>offering assistance</w:t>
            </w:r>
            <w:proofErr w:type="gramEnd"/>
            <w:r w:rsidRPr="009A5F5E">
              <w:t xml:space="preserve"> with daily activities, healthcare, and social support. </w:t>
            </w:r>
          </w:p>
        </w:tc>
      </w:tr>
      <w:tr w:rsidR="00817CB4" w:rsidRPr="009A5F5E" w14:paraId="7D7C1C40" w14:textId="77777777" w:rsidTr="48E88A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A0FDA95" w14:textId="77777777" w:rsidR="00817CB4" w:rsidRPr="009A5F5E" w:rsidRDefault="00817CB4" w:rsidP="00733FD8">
            <w:pPr>
              <w:pStyle w:val="Tabletextleft"/>
            </w:pPr>
            <w:r w:rsidRPr="009A5F5E">
              <w:t>Responsible Provider</w:t>
            </w:r>
          </w:p>
        </w:tc>
        <w:tc>
          <w:tcPr>
            <w:tcW w:w="5811" w:type="dxa"/>
          </w:tcPr>
          <w:p w14:paraId="6D414EE2" w14:textId="4853C73C"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Medical practitioner who holds an eligible speciality code, as outlined in Appendix 1</w:t>
            </w:r>
            <w:r w:rsidR="00F555EA" w:rsidRPr="009A5F5E">
              <w:t>7</w:t>
            </w:r>
            <w:r w:rsidRPr="009A5F5E">
              <w:t>.</w:t>
            </w:r>
            <w:r w:rsidR="00F555EA" w:rsidRPr="009A5F5E">
              <w:t>1</w:t>
            </w:r>
            <w:r w:rsidRPr="009A5F5E">
              <w:t xml:space="preserve">, and who for the purposes of the </w:t>
            </w:r>
            <w:r w:rsidR="00781C8B" w:rsidRPr="009A5F5E">
              <w:t>GPACI</w:t>
            </w:r>
            <w:r w:rsidRPr="009A5F5E">
              <w:t xml:space="preserve"> are responsible for coordinating the delivery of eligible services to an eligible patient</w:t>
            </w:r>
          </w:p>
        </w:tc>
      </w:tr>
      <w:tr w:rsidR="00817CB4" w:rsidRPr="009A5F5E" w14:paraId="50A053B0" w14:textId="77777777" w:rsidTr="48E88A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D54AFAC" w14:textId="77777777" w:rsidR="00817CB4" w:rsidRPr="009A5F5E" w:rsidRDefault="00817CB4" w:rsidP="00733FD8">
            <w:pPr>
              <w:pStyle w:val="Tabletextleft"/>
            </w:pPr>
            <w:r w:rsidRPr="009A5F5E">
              <w:t xml:space="preserve">Royal Commission into Aged Care Quality and Safety </w:t>
            </w:r>
          </w:p>
        </w:tc>
        <w:tc>
          <w:tcPr>
            <w:tcW w:w="5811" w:type="dxa"/>
          </w:tcPr>
          <w:p w14:paraId="54E42D07"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 xml:space="preserve">An investigation established to examine the quality of aged care services and the safety and wellbeing of recipients, resulting in recommendations for system-wide improvements. </w:t>
            </w:r>
          </w:p>
        </w:tc>
      </w:tr>
      <w:tr w:rsidR="00C0614D" w:rsidRPr="009A5F5E" w14:paraId="29ABCE9A" w14:textId="77777777" w:rsidTr="48E88A4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3A568B29" w14:textId="108D02B3" w:rsidR="00C0614D" w:rsidRPr="009A5F5E" w:rsidRDefault="00C0614D" w:rsidP="00C0614D">
            <w:pPr>
              <w:pStyle w:val="ListBullet"/>
              <w:numPr>
                <w:ilvl w:val="0"/>
                <w:numId w:val="0"/>
              </w:numPr>
              <w:rPr>
                <w:szCs w:val="22"/>
              </w:rPr>
            </w:pPr>
            <w:r w:rsidRPr="009A5F5E">
              <w:rPr>
                <w:rFonts w:cs="Arial"/>
                <w:szCs w:val="22"/>
              </w:rPr>
              <w:t>PBS Program</w:t>
            </w:r>
          </w:p>
        </w:tc>
        <w:tc>
          <w:tcPr>
            <w:tcW w:w="5811" w:type="dxa"/>
          </w:tcPr>
          <w:p w14:paraId="25257951" w14:textId="1AE0C8F7" w:rsidR="00C0614D" w:rsidRPr="009A5F5E" w:rsidRDefault="00F636B5" w:rsidP="00C0614D">
            <w:pPr>
              <w:pStyle w:val="Tabletextleft"/>
              <w:cnfStyle w:val="000000010000" w:firstRow="0" w:lastRow="0" w:firstColumn="0" w:lastColumn="0" w:oddVBand="0" w:evenVBand="0" w:oddHBand="0" w:evenHBand="1" w:firstRowFirstColumn="0" w:firstRowLastColumn="0" w:lastRowFirstColumn="0" w:lastRowLastColumn="0"/>
            </w:pPr>
            <w:r w:rsidRPr="009A5F5E">
              <w:rPr>
                <w:rFonts w:cs="Arial"/>
              </w:rPr>
              <w:t xml:space="preserve">Described </w:t>
            </w:r>
            <w:r w:rsidR="00C0614D" w:rsidRPr="009A5F5E">
              <w:rPr>
                <w:rFonts w:cs="Arial"/>
              </w:rPr>
              <w:t xml:space="preserve">within the entity’s </w:t>
            </w:r>
            <w:hyperlink r:id="rId59" w:history="1">
              <w:r w:rsidR="00C0614D" w:rsidRPr="009A5F5E">
                <w:rPr>
                  <w:rStyle w:val="Hyperlink"/>
                  <w:rFonts w:cs="Arial"/>
                </w:rPr>
                <w:t>Portfolio Budget Statement,</w:t>
              </w:r>
            </w:hyperlink>
            <w:r w:rsidR="00C0614D" w:rsidRPr="009A5F5E">
              <w:rPr>
                <w:rFonts w:cs="Arial"/>
              </w:rPr>
              <w:t xml:space="preserve"> PBS programs each link to a single outcome and provide transparency for funding decisions. These high-level PBS programs often comprise </w:t>
            </w:r>
            <w:proofErr w:type="gramStart"/>
            <w:r w:rsidR="00C0614D" w:rsidRPr="009A5F5E">
              <w:rPr>
                <w:rFonts w:cs="Arial"/>
              </w:rPr>
              <w:t>a number of</w:t>
            </w:r>
            <w:proofErr w:type="gramEnd"/>
            <w:r w:rsidR="00C0614D" w:rsidRPr="009A5F5E">
              <w:rPr>
                <w:rFonts w:cs="Arial"/>
              </w:rPr>
              <w:t xml:space="preserve"> lower </w:t>
            </w:r>
            <w:proofErr w:type="gramStart"/>
            <w:r w:rsidR="00C0614D" w:rsidRPr="009A5F5E">
              <w:rPr>
                <w:rFonts w:cs="Arial"/>
              </w:rPr>
              <w:t>level</w:t>
            </w:r>
            <w:proofErr w:type="gramEnd"/>
            <w:r w:rsidR="00C0614D" w:rsidRPr="009A5F5E">
              <w:rPr>
                <w:rFonts w:cs="Arial"/>
              </w:rPr>
              <w:t>, more publicly recognised programs, some of which will be Grant Programs. A PBS Program may have more than one Grant Program associated with it, and each of these may have one or more grant opportunities.</w:t>
            </w:r>
          </w:p>
        </w:tc>
      </w:tr>
      <w:tr w:rsidR="00C0614D" w:rsidRPr="009A5F5E" w14:paraId="6E61EF76" w14:textId="77777777" w:rsidTr="48E88A4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31B7613A" w14:textId="77777777" w:rsidR="00C0614D" w:rsidRPr="009A5F5E" w:rsidRDefault="00C0614D" w:rsidP="00C0614D">
            <w:pPr>
              <w:pStyle w:val="ListBullet"/>
              <w:numPr>
                <w:ilvl w:val="0"/>
                <w:numId w:val="0"/>
              </w:numPr>
              <w:rPr>
                <w:szCs w:val="22"/>
              </w:rPr>
            </w:pPr>
            <w:r w:rsidRPr="009A5F5E">
              <w:rPr>
                <w:szCs w:val="22"/>
              </w:rPr>
              <w:t>Primary Health Networks (PHNs)</w:t>
            </w:r>
          </w:p>
        </w:tc>
        <w:tc>
          <w:tcPr>
            <w:tcW w:w="5811" w:type="dxa"/>
          </w:tcPr>
          <w:p w14:paraId="6319C330" w14:textId="5C193383" w:rsidR="00C0614D" w:rsidRPr="009A5F5E" w:rsidRDefault="00C0614D" w:rsidP="00C0614D">
            <w:pPr>
              <w:pStyle w:val="Tabletextleft"/>
              <w:cnfStyle w:val="000000100000" w:firstRow="0" w:lastRow="0" w:firstColumn="0" w:lastColumn="0" w:oddVBand="0" w:evenVBand="0" w:oddHBand="1" w:evenHBand="0" w:firstRowFirstColumn="0" w:firstRowLastColumn="0" w:lastRowFirstColumn="0" w:lastRowLastColumn="0"/>
            </w:pPr>
            <w:r w:rsidRPr="009A5F5E">
              <w:t>Independent organisations that are funded by the Australian Government Department of Health, Disability and Ageing to manage health regions, assess the needs of their community and commission health services to support the delivery of coordinated health care.</w:t>
            </w:r>
          </w:p>
        </w:tc>
      </w:tr>
      <w:tr w:rsidR="00C0614D" w:rsidRPr="009A5F5E" w14:paraId="2FEFF343" w14:textId="77777777" w:rsidTr="009B183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450FEE93" w14:textId="77777777" w:rsidR="00C0614D" w:rsidRPr="009A5F5E" w:rsidRDefault="00C0614D" w:rsidP="00C0614D">
            <w:pPr>
              <w:pStyle w:val="Tabletextleft"/>
              <w:rPr>
                <w:rFonts w:cs="Arial"/>
              </w:rPr>
            </w:pPr>
            <w:r w:rsidRPr="009A5F5E">
              <w:rPr>
                <w:rFonts w:cs="Arial"/>
                <w:i/>
                <w:iCs/>
              </w:rPr>
              <w:t xml:space="preserve">Public Governance, Performance and Accountability Act 2013 </w:t>
            </w:r>
            <w:r w:rsidRPr="009A5F5E">
              <w:rPr>
                <w:rFonts w:cs="Arial"/>
              </w:rPr>
              <w:t>(PGPA Act)</w:t>
            </w:r>
          </w:p>
        </w:tc>
        <w:tc>
          <w:tcPr>
            <w:tcW w:w="5811" w:type="dxa"/>
          </w:tcPr>
          <w:p w14:paraId="0F4046FC" w14:textId="3C8A5AF0" w:rsidR="00C0614D" w:rsidRPr="009A5F5E" w:rsidRDefault="00F636B5" w:rsidP="00C0614D">
            <w:pPr>
              <w:shd w:val="clear" w:color="auto" w:fill="FFFFFF" w:themeFill="background1"/>
              <w:suppressAutoHyphens/>
              <w:spacing w:before="80" w:after="80"/>
              <w:cnfStyle w:val="000000010000" w:firstRow="0" w:lastRow="0" w:firstColumn="0" w:lastColumn="0" w:oddVBand="0" w:evenVBand="0" w:oddHBand="0" w:evenHBand="1" w:firstRowFirstColumn="0" w:firstRowLastColumn="0" w:lastRowFirstColumn="0" w:lastRowLastColumn="0"/>
              <w:rPr>
                <w:rFonts w:cs="Arial"/>
              </w:rPr>
            </w:pPr>
            <w:r w:rsidRPr="009A5F5E">
              <w:rPr>
                <w:rFonts w:cs="Arial"/>
              </w:rPr>
              <w:t xml:space="preserve">The </w:t>
            </w:r>
            <w:hyperlink r:id="rId60" w:history="1">
              <w:r w:rsidR="00C0614D" w:rsidRPr="009A5F5E">
                <w:rPr>
                  <w:rStyle w:val="Hyperlink"/>
                  <w:rFonts w:cs="Arial"/>
                </w:rPr>
                <w:t>PGPA Act</w:t>
              </w:r>
            </w:hyperlink>
            <w:r w:rsidR="00C0614D" w:rsidRPr="009A5F5E">
              <w:rPr>
                <w:rFonts w:cs="Arial"/>
                <w:color w:val="0000FF"/>
              </w:rPr>
              <w:t xml:space="preserve"> </w:t>
            </w:r>
            <w:r w:rsidR="00C0614D" w:rsidRPr="009A5F5E">
              <w:rPr>
                <w:rFonts w:cs="Arial"/>
              </w:rPr>
              <w:t xml:space="preserve">establishes a system of governance and accountability for public resources with an emphasis on planning, performance and reporting. It applies to all Commonwealth entities and Commonwealth companies. </w:t>
            </w:r>
          </w:p>
        </w:tc>
      </w:tr>
      <w:tr w:rsidR="00C0614D" w:rsidRPr="009A5F5E" w14:paraId="78711985" w14:textId="77777777" w:rsidTr="009B18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23541048" w14:textId="22CF6D4D" w:rsidR="00C0614D" w:rsidRPr="009A5F5E" w:rsidRDefault="00F636B5" w:rsidP="00C0614D">
            <w:pPr>
              <w:pStyle w:val="Tabletextleft"/>
              <w:rPr>
                <w:rFonts w:cs="Arial"/>
                <w:i/>
                <w:iCs/>
              </w:rPr>
            </w:pPr>
            <w:r w:rsidRPr="009A5F5E">
              <w:rPr>
                <w:rFonts w:cs="Arial"/>
              </w:rPr>
              <w:t xml:space="preserve">Value </w:t>
            </w:r>
            <w:r w:rsidR="00C0614D" w:rsidRPr="009A5F5E">
              <w:rPr>
                <w:rFonts w:cs="Arial"/>
              </w:rPr>
              <w:t>with money</w:t>
            </w:r>
          </w:p>
        </w:tc>
        <w:tc>
          <w:tcPr>
            <w:tcW w:w="5811" w:type="dxa"/>
          </w:tcPr>
          <w:p w14:paraId="6B0163CF" w14:textId="0AA0DAB9" w:rsidR="00C0614D" w:rsidRPr="009A5F5E" w:rsidRDefault="009A10AC" w:rsidP="00C0614D">
            <w:pPr>
              <w:shd w:val="clear" w:color="auto" w:fill="FFFFFF" w:themeFill="background1"/>
              <w:spacing w:before="80" w:after="80"/>
              <w:cnfStyle w:val="000000100000" w:firstRow="0" w:lastRow="0" w:firstColumn="0" w:lastColumn="0" w:oddVBand="0" w:evenVBand="0" w:oddHBand="1" w:evenHBand="0" w:firstRowFirstColumn="0" w:firstRowLastColumn="0" w:lastRowFirstColumn="0" w:lastRowLastColumn="0"/>
              <w:rPr>
                <w:rFonts w:cs="Arial"/>
              </w:rPr>
            </w:pPr>
            <w:bookmarkStart w:id="447" w:name="_Hlk80530439"/>
            <w:r w:rsidRPr="009A5F5E">
              <w:rPr>
                <w:rFonts w:cs="Arial"/>
              </w:rPr>
              <w:t>R</w:t>
            </w:r>
            <w:r w:rsidR="00C0614D" w:rsidRPr="009A5F5E">
              <w:rPr>
                <w:rFonts w:cs="Arial"/>
              </w:rPr>
              <w:t>efers to ‘value with relevant money’ which is a judgement based on the grant proposal representing an efficient, effective, economical and ethical use of public resources, and determined from a variety of considerations.</w:t>
            </w:r>
          </w:p>
          <w:bookmarkEnd w:id="447"/>
          <w:p w14:paraId="2F5EEB3F" w14:textId="77777777" w:rsidR="00C0614D" w:rsidRPr="009A5F5E" w:rsidRDefault="00C0614D" w:rsidP="00C0614D">
            <w:pPr>
              <w:shd w:val="clear" w:color="auto" w:fill="FFFFFF" w:themeFill="background1"/>
              <w:spacing w:before="80" w:after="80"/>
              <w:cnfStyle w:val="000000100000" w:firstRow="0" w:lastRow="0" w:firstColumn="0" w:lastColumn="0" w:oddVBand="0" w:evenVBand="0" w:oddHBand="1" w:evenHBand="0" w:firstRowFirstColumn="0" w:firstRowLastColumn="0" w:lastRowFirstColumn="0" w:lastRowLastColumn="0"/>
              <w:rPr>
                <w:rFonts w:cs="Arial"/>
              </w:rPr>
            </w:pPr>
            <w:r w:rsidRPr="009A5F5E">
              <w:rPr>
                <w:rFonts w:cs="Arial"/>
              </w:rPr>
              <w:lastRenderedPageBreak/>
              <w:t>When administering a grant opportunity, an official should consider the relevant financial and non-financial costs and benefits of each proposal including, but not limited to:</w:t>
            </w:r>
          </w:p>
          <w:p w14:paraId="67738ADA" w14:textId="77777777" w:rsidR="00C0614D" w:rsidRPr="009A5F5E" w:rsidRDefault="00C0614D" w:rsidP="00F85C8B">
            <w:pPr>
              <w:numPr>
                <w:ilvl w:val="0"/>
                <w:numId w:val="20"/>
              </w:numPr>
              <w:shd w:val="clear" w:color="auto" w:fill="FFFFFF" w:themeFill="background1"/>
              <w:spacing w:before="80" w:after="80"/>
              <w:ind w:left="342" w:hanging="342"/>
              <w:cnfStyle w:val="000000100000" w:firstRow="0" w:lastRow="0" w:firstColumn="0" w:lastColumn="0" w:oddVBand="0" w:evenVBand="0" w:oddHBand="1" w:evenHBand="0" w:firstRowFirstColumn="0" w:firstRowLastColumn="0" w:lastRowFirstColumn="0" w:lastRowLastColumn="0"/>
              <w:rPr>
                <w:rFonts w:cs="Arial"/>
              </w:rPr>
            </w:pPr>
            <w:r w:rsidRPr="009A5F5E">
              <w:rPr>
                <w:rFonts w:cs="Arial"/>
              </w:rPr>
              <w:t>the quality of the project proposal and activities</w:t>
            </w:r>
          </w:p>
          <w:p w14:paraId="56A2CB86" w14:textId="77777777" w:rsidR="00C0614D" w:rsidRPr="009A5F5E" w:rsidRDefault="00C0614D" w:rsidP="00F85C8B">
            <w:pPr>
              <w:numPr>
                <w:ilvl w:val="0"/>
                <w:numId w:val="20"/>
              </w:numPr>
              <w:shd w:val="clear" w:color="auto" w:fill="FFFFFF" w:themeFill="background1"/>
              <w:spacing w:before="80" w:after="80"/>
              <w:ind w:left="342" w:hanging="342"/>
              <w:cnfStyle w:val="000000100000" w:firstRow="0" w:lastRow="0" w:firstColumn="0" w:lastColumn="0" w:oddVBand="0" w:evenVBand="0" w:oddHBand="1" w:evenHBand="0" w:firstRowFirstColumn="0" w:firstRowLastColumn="0" w:lastRowFirstColumn="0" w:lastRowLastColumn="0"/>
              <w:rPr>
                <w:rFonts w:cs="Arial"/>
              </w:rPr>
            </w:pPr>
            <w:r w:rsidRPr="009A5F5E">
              <w:rPr>
                <w:rFonts w:cs="Arial"/>
              </w:rPr>
              <w:t>fitness for purpose of the proposal in contributing to government objectives</w:t>
            </w:r>
          </w:p>
          <w:p w14:paraId="3E66B6F6" w14:textId="77777777" w:rsidR="00C0614D" w:rsidRPr="009A5F5E" w:rsidRDefault="00C0614D" w:rsidP="00F85C8B">
            <w:pPr>
              <w:numPr>
                <w:ilvl w:val="0"/>
                <w:numId w:val="20"/>
              </w:numPr>
              <w:shd w:val="clear" w:color="auto" w:fill="FFFFFF" w:themeFill="background1"/>
              <w:spacing w:before="80" w:after="80"/>
              <w:ind w:left="342" w:hanging="342"/>
              <w:cnfStyle w:val="000000100000" w:firstRow="0" w:lastRow="0" w:firstColumn="0" w:lastColumn="0" w:oddVBand="0" w:evenVBand="0" w:oddHBand="1" w:evenHBand="0" w:firstRowFirstColumn="0" w:firstRowLastColumn="0" w:lastRowFirstColumn="0" w:lastRowLastColumn="0"/>
              <w:rPr>
                <w:rFonts w:cs="Arial"/>
              </w:rPr>
            </w:pPr>
            <w:r w:rsidRPr="009A5F5E">
              <w:rPr>
                <w:rFonts w:cs="Arial"/>
              </w:rPr>
              <w:t>that the absence of a grant is likely to prevent the grantee and government’s outcomes being achieved; and</w:t>
            </w:r>
          </w:p>
          <w:p w14:paraId="0585C8B2" w14:textId="77777777" w:rsidR="00C0614D" w:rsidRPr="009A5F5E" w:rsidRDefault="00C0614D" w:rsidP="00C0614D">
            <w:pPr>
              <w:shd w:val="clear" w:color="auto" w:fill="FFFFFF" w:themeFill="background1"/>
              <w:suppressAutoHyphens/>
              <w:spacing w:before="80" w:after="80"/>
              <w:cnfStyle w:val="000000100000" w:firstRow="0" w:lastRow="0" w:firstColumn="0" w:lastColumn="0" w:oddVBand="0" w:evenVBand="0" w:oddHBand="1" w:evenHBand="0" w:firstRowFirstColumn="0" w:firstRowLastColumn="0" w:lastRowFirstColumn="0" w:lastRowLastColumn="0"/>
              <w:rPr>
                <w:rFonts w:cs="Arial"/>
              </w:rPr>
            </w:pPr>
            <w:r w:rsidRPr="009A5F5E">
              <w:rPr>
                <w:rFonts w:cs="Arial"/>
              </w:rPr>
              <w:t>the potential grantee’s relevant experience and performance history.</w:t>
            </w:r>
          </w:p>
        </w:tc>
      </w:tr>
    </w:tbl>
    <w:p w14:paraId="3E2C78B4" w14:textId="77777777" w:rsidR="00817CB4" w:rsidRPr="009A5F5E" w:rsidRDefault="00817CB4" w:rsidP="00817CB4">
      <w:pPr>
        <w:spacing w:before="120" w:after="120" w:line="276" w:lineRule="auto"/>
        <w:rPr>
          <w:rFonts w:eastAsia="Times New Roman"/>
        </w:rPr>
      </w:pPr>
      <w:r w:rsidRPr="009A5F5E">
        <w:rPr>
          <w:rFonts w:eastAsia="Times New Roman"/>
        </w:rPr>
        <w:lastRenderedPageBreak/>
        <w:br w:type="page"/>
      </w:r>
    </w:p>
    <w:p w14:paraId="3D03B4A8" w14:textId="77777777" w:rsidR="00CC4444" w:rsidRPr="009A5F5E" w:rsidRDefault="00CC4444" w:rsidP="003B38DC">
      <w:pPr>
        <w:pStyle w:val="GuidelinesHeading"/>
      </w:pPr>
      <w:bookmarkStart w:id="448" w:name="_Toc212118254"/>
      <w:bookmarkStart w:id="449" w:name="_Toc167109459"/>
      <w:bookmarkStart w:id="450" w:name="_Toc170120039"/>
      <w:bookmarkStart w:id="451" w:name="_Toc170817180"/>
      <w:r w:rsidRPr="009A5F5E">
        <w:lastRenderedPageBreak/>
        <w:t>Appendix</w:t>
      </w:r>
      <w:bookmarkEnd w:id="448"/>
    </w:p>
    <w:p w14:paraId="4B1F6E87" w14:textId="4C128000" w:rsidR="00817CB4" w:rsidRPr="009A5F5E" w:rsidRDefault="00781C8B" w:rsidP="001F7637">
      <w:pPr>
        <w:pStyle w:val="Heading2"/>
      </w:pPr>
      <w:bookmarkStart w:id="452" w:name="_Toc212118255"/>
      <w:r w:rsidRPr="009A5F5E">
        <w:t>GPACI</w:t>
      </w:r>
      <w:r w:rsidR="758819B6" w:rsidRPr="009A5F5E">
        <w:t xml:space="preserve"> eligible specialty codes</w:t>
      </w:r>
      <w:bookmarkEnd w:id="438"/>
      <w:bookmarkEnd w:id="439"/>
      <w:bookmarkEnd w:id="440"/>
      <w:bookmarkEnd w:id="441"/>
      <w:bookmarkEnd w:id="449"/>
      <w:bookmarkEnd w:id="450"/>
      <w:bookmarkEnd w:id="451"/>
      <w:bookmarkEnd w:id="452"/>
    </w:p>
    <w:p w14:paraId="0FE0026B" w14:textId="77777777" w:rsidR="00817CB4" w:rsidRPr="009A5F5E" w:rsidRDefault="00817CB4" w:rsidP="00817CB4">
      <w:pPr>
        <w:spacing w:before="120" w:after="120" w:line="276" w:lineRule="auto"/>
        <w:rPr>
          <w:rFonts w:eastAsia="Times New Roman"/>
        </w:rPr>
      </w:pPr>
      <w:r w:rsidRPr="009A5F5E">
        <w:rPr>
          <w:rFonts w:eastAsia="Times New Roman"/>
        </w:rPr>
        <w:t>Version 1 – As of 8 May 2024</w:t>
      </w:r>
    </w:p>
    <w:tbl>
      <w:tblPr>
        <w:tblStyle w:val="DepartmentofHealthtable"/>
        <w:tblW w:w="10490" w:type="dxa"/>
        <w:tblInd w:w="-709" w:type="dxa"/>
        <w:tblLook w:val="04A0" w:firstRow="1" w:lastRow="0" w:firstColumn="1" w:lastColumn="0" w:noHBand="0" w:noVBand="1"/>
        <w:tblDescription w:val="Add Alt Text describing the content of the table"/>
      </w:tblPr>
      <w:tblGrid>
        <w:gridCol w:w="7"/>
        <w:gridCol w:w="1176"/>
        <w:gridCol w:w="3773"/>
        <w:gridCol w:w="1183"/>
        <w:gridCol w:w="4351"/>
      </w:tblGrid>
      <w:tr w:rsidR="00817CB4" w:rsidRPr="009A5F5E" w14:paraId="6A3C77CD" w14:textId="77777777" w:rsidTr="00F555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83" w:type="dxa"/>
            <w:gridSpan w:val="2"/>
          </w:tcPr>
          <w:p w14:paraId="1FC98064" w14:textId="77777777" w:rsidR="00817CB4" w:rsidRPr="009A5F5E" w:rsidRDefault="00817CB4" w:rsidP="0054375E">
            <w:pPr>
              <w:pStyle w:val="TableHeaderWhite"/>
              <w:rPr>
                <w:rFonts w:cs="Arial"/>
              </w:rPr>
            </w:pPr>
            <w:r w:rsidRPr="009A5F5E">
              <w:rPr>
                <w:rFonts w:cs="Arial"/>
              </w:rPr>
              <w:t>Specialty</w:t>
            </w:r>
          </w:p>
        </w:tc>
        <w:tc>
          <w:tcPr>
            <w:tcW w:w="3773" w:type="dxa"/>
          </w:tcPr>
          <w:p w14:paraId="104F34AD" w14:textId="77777777" w:rsidR="00817CB4" w:rsidRPr="009A5F5E" w:rsidRDefault="00817CB4" w:rsidP="0054375E">
            <w:pPr>
              <w:pStyle w:val="TableHeader"/>
              <w:cnfStyle w:val="100000000000" w:firstRow="1" w:lastRow="0" w:firstColumn="0" w:lastColumn="0" w:oddVBand="0" w:evenVBand="0" w:oddHBand="0" w:evenHBand="0" w:firstRowFirstColumn="0" w:firstRowLastColumn="0" w:lastRowFirstColumn="0" w:lastRowLastColumn="0"/>
              <w:rPr>
                <w:rFonts w:cs="Arial"/>
              </w:rPr>
            </w:pPr>
            <w:r w:rsidRPr="009A5F5E">
              <w:rPr>
                <w:rFonts w:cs="Arial"/>
              </w:rPr>
              <w:t>Description</w:t>
            </w:r>
          </w:p>
        </w:tc>
        <w:tc>
          <w:tcPr>
            <w:tcW w:w="1183" w:type="dxa"/>
          </w:tcPr>
          <w:p w14:paraId="49A49B1A" w14:textId="77777777" w:rsidR="00817CB4" w:rsidRPr="009A5F5E" w:rsidRDefault="00817CB4" w:rsidP="0054375E">
            <w:pPr>
              <w:pStyle w:val="TableHeader"/>
              <w:cnfStyle w:val="100000000000" w:firstRow="1" w:lastRow="0" w:firstColumn="0" w:lastColumn="0" w:oddVBand="0" w:evenVBand="0" w:oddHBand="0" w:evenHBand="0" w:firstRowFirstColumn="0" w:firstRowLastColumn="0" w:lastRowFirstColumn="0" w:lastRowLastColumn="0"/>
              <w:rPr>
                <w:rFonts w:cs="Arial"/>
              </w:rPr>
            </w:pPr>
            <w:r w:rsidRPr="009A5F5E">
              <w:rPr>
                <w:rFonts w:cs="Arial"/>
              </w:rPr>
              <w:t>Specialty</w:t>
            </w:r>
          </w:p>
        </w:tc>
        <w:tc>
          <w:tcPr>
            <w:tcW w:w="4351" w:type="dxa"/>
          </w:tcPr>
          <w:p w14:paraId="4ADF0E82" w14:textId="77777777" w:rsidR="00817CB4" w:rsidRPr="009A5F5E" w:rsidRDefault="00817CB4" w:rsidP="0054375E">
            <w:pPr>
              <w:pStyle w:val="TableHeader"/>
              <w:cnfStyle w:val="100000000000" w:firstRow="1" w:lastRow="0" w:firstColumn="0" w:lastColumn="0" w:oddVBand="0" w:evenVBand="0" w:oddHBand="0" w:evenHBand="0" w:firstRowFirstColumn="0" w:firstRowLastColumn="0" w:lastRowFirstColumn="0" w:lastRowLastColumn="0"/>
              <w:rPr>
                <w:rFonts w:cs="Arial"/>
              </w:rPr>
            </w:pPr>
            <w:r w:rsidRPr="009A5F5E">
              <w:rPr>
                <w:rFonts w:cs="Arial"/>
              </w:rPr>
              <w:t>Description</w:t>
            </w:r>
          </w:p>
        </w:tc>
      </w:tr>
      <w:tr w:rsidR="00817CB4" w:rsidRPr="009A5F5E" w14:paraId="4061FDD7" w14:textId="77777777" w:rsidTr="00F555EA">
        <w:trPr>
          <w:gridBefore w:val="1"/>
          <w:cnfStyle w:val="000000100000" w:firstRow="0" w:lastRow="0" w:firstColumn="0" w:lastColumn="0" w:oddVBand="0" w:evenVBand="0" w:oddHBand="1"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2CCCE6DD" w14:textId="77777777" w:rsidR="00817CB4" w:rsidRPr="009A5F5E" w:rsidRDefault="00817CB4" w:rsidP="00733FD8">
            <w:pPr>
              <w:pStyle w:val="Tabletextleft"/>
            </w:pPr>
            <w:r w:rsidRPr="009A5F5E">
              <w:t>104</w:t>
            </w:r>
          </w:p>
        </w:tc>
        <w:tc>
          <w:tcPr>
            <w:tcW w:w="3773" w:type="dxa"/>
          </w:tcPr>
          <w:p w14:paraId="4BC17BA2"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Other Health professional - pre 1/11/96</w:t>
            </w:r>
          </w:p>
        </w:tc>
        <w:tc>
          <w:tcPr>
            <w:tcW w:w="1183" w:type="dxa"/>
          </w:tcPr>
          <w:p w14:paraId="58B0DD67" w14:textId="77777777" w:rsidR="00817CB4" w:rsidRPr="009A5F5E"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9A5F5E">
              <w:t>450</w:t>
            </w:r>
          </w:p>
        </w:tc>
        <w:tc>
          <w:tcPr>
            <w:tcW w:w="4351" w:type="dxa"/>
          </w:tcPr>
          <w:p w14:paraId="142A934F" w14:textId="77777777" w:rsidR="00817CB4" w:rsidRPr="009A5F5E"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9A5F5E">
              <w:t>North Coast NSW GP Training</w:t>
            </w:r>
          </w:p>
        </w:tc>
      </w:tr>
      <w:tr w:rsidR="00817CB4" w:rsidRPr="009A5F5E" w14:paraId="0A3D72DB" w14:textId="77777777" w:rsidTr="00F555EA">
        <w:trPr>
          <w:gridBefore w:val="1"/>
          <w:cnfStyle w:val="000000010000" w:firstRow="0" w:lastRow="0" w:firstColumn="0" w:lastColumn="0" w:oddVBand="0" w:evenVBand="0" w:oddHBand="0" w:evenHBand="1"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0A53E72B" w14:textId="77777777" w:rsidR="00817CB4" w:rsidRPr="009A5F5E" w:rsidRDefault="00817CB4" w:rsidP="00733FD8">
            <w:pPr>
              <w:pStyle w:val="Tabletextleft"/>
            </w:pPr>
            <w:r w:rsidRPr="009A5F5E">
              <w:t>130</w:t>
            </w:r>
          </w:p>
        </w:tc>
        <w:tc>
          <w:tcPr>
            <w:tcW w:w="3773" w:type="dxa"/>
          </w:tcPr>
          <w:p w14:paraId="4FD809BA"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Vocational Register</w:t>
            </w:r>
          </w:p>
        </w:tc>
        <w:tc>
          <w:tcPr>
            <w:tcW w:w="1183" w:type="dxa"/>
          </w:tcPr>
          <w:p w14:paraId="2DFA0BBF" w14:textId="77777777" w:rsidR="00817CB4" w:rsidRPr="009A5F5E"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9A5F5E">
              <w:t>451</w:t>
            </w:r>
          </w:p>
        </w:tc>
        <w:tc>
          <w:tcPr>
            <w:tcW w:w="4351" w:type="dxa"/>
          </w:tcPr>
          <w:p w14:paraId="6CA17CCB" w14:textId="77777777" w:rsidR="00817CB4" w:rsidRPr="009A5F5E"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9A5F5E">
              <w:t>Victoria Felix Medical Education</w:t>
            </w:r>
          </w:p>
        </w:tc>
      </w:tr>
      <w:tr w:rsidR="00817CB4" w:rsidRPr="009A5F5E" w14:paraId="5E885A7B" w14:textId="77777777" w:rsidTr="00F555EA">
        <w:trPr>
          <w:gridBefore w:val="1"/>
          <w:cnfStyle w:val="000000100000" w:firstRow="0" w:lastRow="0" w:firstColumn="0" w:lastColumn="0" w:oddVBand="0" w:evenVBand="0" w:oddHBand="1"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726BFFD1" w14:textId="77777777" w:rsidR="00817CB4" w:rsidRPr="009A5F5E" w:rsidRDefault="00817CB4" w:rsidP="00733FD8">
            <w:pPr>
              <w:pStyle w:val="Tabletextleft"/>
            </w:pPr>
            <w:r w:rsidRPr="009A5F5E">
              <w:t>131</w:t>
            </w:r>
          </w:p>
        </w:tc>
        <w:tc>
          <w:tcPr>
            <w:tcW w:w="3773" w:type="dxa"/>
          </w:tcPr>
          <w:p w14:paraId="3441E0F9"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RACGP Trainee</w:t>
            </w:r>
          </w:p>
        </w:tc>
        <w:tc>
          <w:tcPr>
            <w:tcW w:w="1183" w:type="dxa"/>
          </w:tcPr>
          <w:p w14:paraId="5E608799" w14:textId="77777777" w:rsidR="00817CB4" w:rsidRPr="009A5F5E"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9A5F5E">
              <w:t>452</w:t>
            </w:r>
          </w:p>
        </w:tc>
        <w:tc>
          <w:tcPr>
            <w:tcW w:w="4351" w:type="dxa"/>
          </w:tcPr>
          <w:p w14:paraId="383EDBF0" w14:textId="77777777" w:rsidR="00817CB4" w:rsidRPr="009A5F5E"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9A5F5E">
              <w:t>Rural Health Ed/Dev West (RHEDWEST)</w:t>
            </w:r>
          </w:p>
        </w:tc>
      </w:tr>
      <w:tr w:rsidR="00817CB4" w:rsidRPr="009A5F5E" w14:paraId="2654A869" w14:textId="77777777" w:rsidTr="00F555EA">
        <w:trPr>
          <w:gridBefore w:val="1"/>
          <w:cnfStyle w:val="000000010000" w:firstRow="0" w:lastRow="0" w:firstColumn="0" w:lastColumn="0" w:oddVBand="0" w:evenVBand="0" w:oddHBand="0" w:evenHBand="1"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300407C9" w14:textId="77777777" w:rsidR="00817CB4" w:rsidRPr="009A5F5E" w:rsidRDefault="00817CB4" w:rsidP="00733FD8">
            <w:pPr>
              <w:pStyle w:val="Tabletextleft"/>
            </w:pPr>
            <w:r w:rsidRPr="009A5F5E">
              <w:t>132</w:t>
            </w:r>
          </w:p>
        </w:tc>
        <w:tc>
          <w:tcPr>
            <w:tcW w:w="3773" w:type="dxa"/>
          </w:tcPr>
          <w:p w14:paraId="25AB8176"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FRACGP</w:t>
            </w:r>
          </w:p>
        </w:tc>
        <w:tc>
          <w:tcPr>
            <w:tcW w:w="1183" w:type="dxa"/>
          </w:tcPr>
          <w:p w14:paraId="3F9264BC" w14:textId="77777777" w:rsidR="00817CB4" w:rsidRPr="009A5F5E"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9A5F5E">
              <w:t>453</w:t>
            </w:r>
          </w:p>
        </w:tc>
        <w:tc>
          <w:tcPr>
            <w:tcW w:w="4351" w:type="dxa"/>
          </w:tcPr>
          <w:p w14:paraId="6E2F441B" w14:textId="77777777" w:rsidR="00817CB4" w:rsidRPr="009A5F5E"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9A5F5E">
              <w:t xml:space="preserve">GPET - </w:t>
            </w:r>
            <w:proofErr w:type="spellStart"/>
            <w:r w:rsidRPr="009A5F5E">
              <w:t>GPlogic</w:t>
            </w:r>
            <w:proofErr w:type="spellEnd"/>
          </w:p>
        </w:tc>
      </w:tr>
      <w:tr w:rsidR="00817CB4" w:rsidRPr="009A5F5E" w14:paraId="46099841" w14:textId="77777777" w:rsidTr="00F555EA">
        <w:trPr>
          <w:gridBefore w:val="1"/>
          <w:cnfStyle w:val="000000100000" w:firstRow="0" w:lastRow="0" w:firstColumn="0" w:lastColumn="0" w:oddVBand="0" w:evenVBand="0" w:oddHBand="1"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18CD8D81" w14:textId="77777777" w:rsidR="00817CB4" w:rsidRPr="009A5F5E" w:rsidRDefault="00817CB4" w:rsidP="00733FD8">
            <w:pPr>
              <w:pStyle w:val="Tabletextleft"/>
            </w:pPr>
            <w:r w:rsidRPr="009A5F5E">
              <w:t>133</w:t>
            </w:r>
          </w:p>
        </w:tc>
        <w:tc>
          <w:tcPr>
            <w:tcW w:w="3773" w:type="dxa"/>
          </w:tcPr>
          <w:p w14:paraId="20BA3AAC"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RACGP Trainee Post 1/11/96</w:t>
            </w:r>
          </w:p>
        </w:tc>
        <w:tc>
          <w:tcPr>
            <w:tcW w:w="1183" w:type="dxa"/>
          </w:tcPr>
          <w:p w14:paraId="2369A3CA" w14:textId="77777777" w:rsidR="00817CB4" w:rsidRPr="009A5F5E"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9A5F5E">
              <w:t>454</w:t>
            </w:r>
          </w:p>
        </w:tc>
        <w:tc>
          <w:tcPr>
            <w:tcW w:w="4351" w:type="dxa"/>
          </w:tcPr>
          <w:p w14:paraId="26BD44EA" w14:textId="77777777" w:rsidR="00817CB4" w:rsidRPr="009A5F5E"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9A5F5E">
              <w:t>GPET - GP Synergy</w:t>
            </w:r>
          </w:p>
        </w:tc>
      </w:tr>
      <w:tr w:rsidR="00817CB4" w:rsidRPr="009A5F5E" w14:paraId="6088CA05" w14:textId="77777777" w:rsidTr="00F555EA">
        <w:trPr>
          <w:gridBefore w:val="1"/>
          <w:cnfStyle w:val="000000010000" w:firstRow="0" w:lastRow="0" w:firstColumn="0" w:lastColumn="0" w:oddVBand="0" w:evenVBand="0" w:oddHBand="0" w:evenHBand="1"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7922C7E2" w14:textId="77777777" w:rsidR="00817CB4" w:rsidRPr="009A5F5E" w:rsidRDefault="00817CB4" w:rsidP="00733FD8">
            <w:pPr>
              <w:pStyle w:val="Tabletextleft"/>
            </w:pPr>
            <w:r w:rsidRPr="009A5F5E">
              <w:t>134</w:t>
            </w:r>
          </w:p>
        </w:tc>
        <w:tc>
          <w:tcPr>
            <w:tcW w:w="3773" w:type="dxa"/>
          </w:tcPr>
          <w:p w14:paraId="465B13E0"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RACGP Trainee 1/1/99</w:t>
            </w:r>
          </w:p>
        </w:tc>
        <w:tc>
          <w:tcPr>
            <w:tcW w:w="1183" w:type="dxa"/>
          </w:tcPr>
          <w:p w14:paraId="2F164C12" w14:textId="77777777" w:rsidR="00817CB4" w:rsidRPr="009A5F5E"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9A5F5E">
              <w:t>455</w:t>
            </w:r>
          </w:p>
        </w:tc>
        <w:tc>
          <w:tcPr>
            <w:tcW w:w="4351" w:type="dxa"/>
          </w:tcPr>
          <w:p w14:paraId="05712443" w14:textId="77777777" w:rsidR="00817CB4" w:rsidRPr="009A5F5E"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9A5F5E">
              <w:t>GPET - Beyond Medical Education</w:t>
            </w:r>
          </w:p>
        </w:tc>
      </w:tr>
      <w:tr w:rsidR="00817CB4" w:rsidRPr="009A5F5E" w14:paraId="67E7CAFC" w14:textId="77777777" w:rsidTr="00F555EA">
        <w:trPr>
          <w:gridBefore w:val="1"/>
          <w:cnfStyle w:val="000000100000" w:firstRow="0" w:lastRow="0" w:firstColumn="0" w:lastColumn="0" w:oddVBand="0" w:evenVBand="0" w:oddHBand="1"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7ABB1E0B" w14:textId="77777777" w:rsidR="00817CB4" w:rsidRPr="009A5F5E" w:rsidRDefault="00817CB4" w:rsidP="00733FD8">
            <w:pPr>
              <w:pStyle w:val="Tabletextleft"/>
            </w:pPr>
            <w:r w:rsidRPr="009A5F5E">
              <w:t>176</w:t>
            </w:r>
          </w:p>
        </w:tc>
        <w:tc>
          <w:tcPr>
            <w:tcW w:w="3773" w:type="dxa"/>
          </w:tcPr>
          <w:p w14:paraId="777C9257"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Remote Vocational Training Scheme</w:t>
            </w:r>
          </w:p>
        </w:tc>
        <w:tc>
          <w:tcPr>
            <w:tcW w:w="1183" w:type="dxa"/>
          </w:tcPr>
          <w:p w14:paraId="010707AC" w14:textId="77777777" w:rsidR="00817CB4" w:rsidRPr="009A5F5E"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9A5F5E">
              <w:t>456</w:t>
            </w:r>
          </w:p>
        </w:tc>
        <w:tc>
          <w:tcPr>
            <w:tcW w:w="4351" w:type="dxa"/>
          </w:tcPr>
          <w:p w14:paraId="05BE12E7" w14:textId="77777777" w:rsidR="00817CB4" w:rsidRPr="009A5F5E"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9A5F5E">
              <w:t>GPET - Southern GP Training</w:t>
            </w:r>
          </w:p>
        </w:tc>
      </w:tr>
      <w:tr w:rsidR="00817CB4" w:rsidRPr="009A5F5E" w14:paraId="7A5CCF9C" w14:textId="77777777" w:rsidTr="00F555EA">
        <w:trPr>
          <w:gridBefore w:val="1"/>
          <w:cnfStyle w:val="000000010000" w:firstRow="0" w:lastRow="0" w:firstColumn="0" w:lastColumn="0" w:oddVBand="0" w:evenVBand="0" w:oddHBand="0" w:evenHBand="1"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42630B2F" w14:textId="77777777" w:rsidR="00817CB4" w:rsidRPr="009A5F5E" w:rsidRDefault="00817CB4" w:rsidP="00733FD8">
            <w:pPr>
              <w:pStyle w:val="Tabletextleft"/>
            </w:pPr>
            <w:r w:rsidRPr="009A5F5E">
              <w:t>177</w:t>
            </w:r>
          </w:p>
        </w:tc>
        <w:tc>
          <w:tcPr>
            <w:tcW w:w="3773" w:type="dxa"/>
          </w:tcPr>
          <w:p w14:paraId="6CB0D84C"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Queensland Country Relieving Program – QCRP</w:t>
            </w:r>
          </w:p>
        </w:tc>
        <w:tc>
          <w:tcPr>
            <w:tcW w:w="1183" w:type="dxa"/>
          </w:tcPr>
          <w:p w14:paraId="5766CDB9" w14:textId="77777777" w:rsidR="00817CB4" w:rsidRPr="009A5F5E"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9A5F5E">
              <w:t>457</w:t>
            </w:r>
          </w:p>
        </w:tc>
        <w:tc>
          <w:tcPr>
            <w:tcW w:w="4351" w:type="dxa"/>
          </w:tcPr>
          <w:p w14:paraId="1DEF24A0" w14:textId="77777777" w:rsidR="00817CB4" w:rsidRPr="009A5F5E"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9A5F5E">
              <w:t>GP Training - Murray City Country Coast</w:t>
            </w:r>
          </w:p>
        </w:tc>
      </w:tr>
      <w:tr w:rsidR="00817CB4" w:rsidRPr="009A5F5E" w14:paraId="5A137848" w14:textId="77777777" w:rsidTr="00F555EA">
        <w:trPr>
          <w:gridBefore w:val="1"/>
          <w:cnfStyle w:val="000000100000" w:firstRow="0" w:lastRow="0" w:firstColumn="0" w:lastColumn="0" w:oddVBand="0" w:evenVBand="0" w:oddHBand="1"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55958A6F" w14:textId="77777777" w:rsidR="00817CB4" w:rsidRPr="009A5F5E" w:rsidRDefault="00817CB4" w:rsidP="00733FD8">
            <w:pPr>
              <w:pStyle w:val="Tabletextleft"/>
            </w:pPr>
            <w:r w:rsidRPr="009A5F5E">
              <w:t>178</w:t>
            </w:r>
          </w:p>
        </w:tc>
        <w:tc>
          <w:tcPr>
            <w:tcW w:w="3773" w:type="dxa"/>
          </w:tcPr>
          <w:p w14:paraId="64EC9A6A"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Prevocational General Practice Placements Program</w:t>
            </w:r>
          </w:p>
        </w:tc>
        <w:tc>
          <w:tcPr>
            <w:tcW w:w="1183" w:type="dxa"/>
          </w:tcPr>
          <w:p w14:paraId="63ECC965" w14:textId="77777777" w:rsidR="00817CB4" w:rsidRPr="009A5F5E"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9A5F5E">
              <w:t>458</w:t>
            </w:r>
          </w:p>
        </w:tc>
        <w:tc>
          <w:tcPr>
            <w:tcW w:w="4351" w:type="dxa"/>
          </w:tcPr>
          <w:p w14:paraId="0DF70F52" w14:textId="77777777" w:rsidR="00817CB4" w:rsidRPr="009A5F5E"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9A5F5E">
              <w:t>GP Training - Eastern Victoria GP Training</w:t>
            </w:r>
          </w:p>
        </w:tc>
      </w:tr>
      <w:tr w:rsidR="00817CB4" w:rsidRPr="009A5F5E" w14:paraId="5CC2CAF2" w14:textId="77777777" w:rsidTr="00F555EA">
        <w:trPr>
          <w:gridBefore w:val="1"/>
          <w:cnfStyle w:val="000000010000" w:firstRow="0" w:lastRow="0" w:firstColumn="0" w:lastColumn="0" w:oddVBand="0" w:evenVBand="0" w:oddHBand="0" w:evenHBand="1"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37FA448A" w14:textId="77777777" w:rsidR="00817CB4" w:rsidRPr="009A5F5E" w:rsidRDefault="00817CB4" w:rsidP="00733FD8">
            <w:pPr>
              <w:pStyle w:val="Tabletextleft"/>
            </w:pPr>
            <w:r w:rsidRPr="009A5F5E">
              <w:t>179</w:t>
            </w:r>
          </w:p>
        </w:tc>
        <w:tc>
          <w:tcPr>
            <w:tcW w:w="3773" w:type="dxa"/>
          </w:tcPr>
          <w:p w14:paraId="17242891"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Special Approved Placements Program (SAPP)</w:t>
            </w:r>
          </w:p>
        </w:tc>
        <w:tc>
          <w:tcPr>
            <w:tcW w:w="1183" w:type="dxa"/>
          </w:tcPr>
          <w:p w14:paraId="6135129F" w14:textId="77777777" w:rsidR="00817CB4" w:rsidRPr="009A5F5E"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9A5F5E">
              <w:t>459</w:t>
            </w:r>
          </w:p>
        </w:tc>
        <w:tc>
          <w:tcPr>
            <w:tcW w:w="4351" w:type="dxa"/>
          </w:tcPr>
          <w:p w14:paraId="4C1856B2" w14:textId="77777777" w:rsidR="00817CB4" w:rsidRPr="009A5F5E"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9A5F5E">
              <w:t xml:space="preserve">GP Training - </w:t>
            </w:r>
            <w:proofErr w:type="gramStart"/>
            <w:r w:rsidRPr="009A5F5E">
              <w:t>South Eastern</w:t>
            </w:r>
            <w:proofErr w:type="gramEnd"/>
            <w:r w:rsidRPr="009A5F5E">
              <w:t xml:space="preserve"> Queensland</w:t>
            </w:r>
          </w:p>
        </w:tc>
      </w:tr>
      <w:tr w:rsidR="00817CB4" w:rsidRPr="009A5F5E" w14:paraId="69031675" w14:textId="77777777" w:rsidTr="00F555EA">
        <w:trPr>
          <w:gridBefore w:val="1"/>
          <w:cnfStyle w:val="000000100000" w:firstRow="0" w:lastRow="0" w:firstColumn="0" w:lastColumn="0" w:oddVBand="0" w:evenVBand="0" w:oddHBand="1"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37F08F6A" w14:textId="77777777" w:rsidR="00817CB4" w:rsidRPr="009A5F5E" w:rsidRDefault="00817CB4" w:rsidP="00733FD8">
            <w:pPr>
              <w:pStyle w:val="Tabletextleft"/>
            </w:pPr>
            <w:r w:rsidRPr="009A5F5E">
              <w:t>180</w:t>
            </w:r>
          </w:p>
        </w:tc>
        <w:tc>
          <w:tcPr>
            <w:tcW w:w="3773" w:type="dxa"/>
          </w:tcPr>
          <w:p w14:paraId="22BAA5C2"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Temporary Resident Doctor (TRD)</w:t>
            </w:r>
          </w:p>
        </w:tc>
        <w:tc>
          <w:tcPr>
            <w:tcW w:w="1183" w:type="dxa"/>
          </w:tcPr>
          <w:p w14:paraId="6D75CB8E" w14:textId="77777777" w:rsidR="00817CB4" w:rsidRPr="009A5F5E"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9A5F5E">
              <w:t>460</w:t>
            </w:r>
          </w:p>
        </w:tc>
        <w:tc>
          <w:tcPr>
            <w:tcW w:w="4351" w:type="dxa"/>
          </w:tcPr>
          <w:p w14:paraId="5B0EFCBF" w14:textId="77777777" w:rsidR="00817CB4" w:rsidRPr="009A5F5E"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9A5F5E">
              <w:t>GP Training - James Cook University</w:t>
            </w:r>
          </w:p>
        </w:tc>
      </w:tr>
      <w:tr w:rsidR="00817CB4" w:rsidRPr="009A5F5E" w14:paraId="204A802F" w14:textId="77777777" w:rsidTr="00F555EA">
        <w:trPr>
          <w:gridBefore w:val="1"/>
          <w:cnfStyle w:val="000000010000" w:firstRow="0" w:lastRow="0" w:firstColumn="0" w:lastColumn="0" w:oddVBand="0" w:evenVBand="0" w:oddHBand="0" w:evenHBand="1"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36817600" w14:textId="77777777" w:rsidR="00817CB4" w:rsidRPr="009A5F5E" w:rsidRDefault="00817CB4" w:rsidP="00733FD8">
            <w:pPr>
              <w:pStyle w:val="Tabletextleft"/>
            </w:pPr>
            <w:r w:rsidRPr="009A5F5E">
              <w:t>182</w:t>
            </w:r>
          </w:p>
        </w:tc>
        <w:tc>
          <w:tcPr>
            <w:tcW w:w="3773" w:type="dxa"/>
          </w:tcPr>
          <w:p w14:paraId="1F989C45"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Occupational Trainee (OT)</w:t>
            </w:r>
          </w:p>
        </w:tc>
        <w:tc>
          <w:tcPr>
            <w:tcW w:w="1183" w:type="dxa"/>
          </w:tcPr>
          <w:p w14:paraId="3CAFB45F" w14:textId="77777777" w:rsidR="00817CB4" w:rsidRPr="009A5F5E"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9A5F5E">
              <w:t>461</w:t>
            </w:r>
          </w:p>
        </w:tc>
        <w:tc>
          <w:tcPr>
            <w:tcW w:w="4351" w:type="dxa"/>
          </w:tcPr>
          <w:p w14:paraId="3BA767EB" w14:textId="77777777" w:rsidR="00817CB4" w:rsidRPr="009A5F5E"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9A5F5E">
              <w:t>GP Training - GP Synergy Ltd Western NSW</w:t>
            </w:r>
          </w:p>
        </w:tc>
      </w:tr>
      <w:tr w:rsidR="00817CB4" w:rsidRPr="009A5F5E" w14:paraId="1568750B" w14:textId="77777777" w:rsidTr="00F555EA">
        <w:trPr>
          <w:gridBefore w:val="1"/>
          <w:cnfStyle w:val="000000100000" w:firstRow="0" w:lastRow="0" w:firstColumn="0" w:lastColumn="0" w:oddVBand="0" w:evenVBand="0" w:oddHBand="1"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65244E6F" w14:textId="77777777" w:rsidR="00817CB4" w:rsidRPr="009A5F5E" w:rsidRDefault="00817CB4" w:rsidP="00733FD8">
            <w:pPr>
              <w:pStyle w:val="Tabletextleft"/>
            </w:pPr>
            <w:r w:rsidRPr="009A5F5E">
              <w:t>186</w:t>
            </w:r>
          </w:p>
        </w:tc>
        <w:tc>
          <w:tcPr>
            <w:tcW w:w="3773" w:type="dxa"/>
          </w:tcPr>
          <w:p w14:paraId="3CE1DD7A"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RURAL OTHER MEDICAL PRACTITIONER</w:t>
            </w:r>
          </w:p>
        </w:tc>
        <w:tc>
          <w:tcPr>
            <w:tcW w:w="1183" w:type="dxa"/>
          </w:tcPr>
          <w:p w14:paraId="3FFA7367" w14:textId="77777777" w:rsidR="00817CB4" w:rsidRPr="009A5F5E"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9A5F5E">
              <w:t>462</w:t>
            </w:r>
          </w:p>
        </w:tc>
        <w:tc>
          <w:tcPr>
            <w:tcW w:w="4351" w:type="dxa"/>
          </w:tcPr>
          <w:p w14:paraId="062A0758" w14:textId="77777777" w:rsidR="00817CB4" w:rsidRPr="009A5F5E"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9A5F5E">
              <w:t>GP Training - GP Synergy Ltd Lower Eastern NSW</w:t>
            </w:r>
          </w:p>
        </w:tc>
      </w:tr>
      <w:tr w:rsidR="00817CB4" w:rsidRPr="009A5F5E" w14:paraId="46C8EC4F" w14:textId="77777777" w:rsidTr="00F555EA">
        <w:trPr>
          <w:gridBefore w:val="1"/>
          <w:cnfStyle w:val="000000010000" w:firstRow="0" w:lastRow="0" w:firstColumn="0" w:lastColumn="0" w:oddVBand="0" w:evenVBand="0" w:oddHBand="0" w:evenHBand="1"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635ED1B4" w14:textId="77777777" w:rsidR="00817CB4" w:rsidRPr="009A5F5E" w:rsidRDefault="00817CB4" w:rsidP="00733FD8">
            <w:pPr>
              <w:pStyle w:val="Tabletextleft"/>
            </w:pPr>
            <w:r w:rsidRPr="009A5F5E">
              <w:t>188</w:t>
            </w:r>
          </w:p>
        </w:tc>
        <w:tc>
          <w:tcPr>
            <w:tcW w:w="3773" w:type="dxa"/>
          </w:tcPr>
          <w:p w14:paraId="479FD4C3"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proofErr w:type="spellStart"/>
            <w:r w:rsidRPr="009A5F5E">
              <w:t>MedicarePlus</w:t>
            </w:r>
            <w:proofErr w:type="spellEnd"/>
            <w:r w:rsidRPr="009A5F5E">
              <w:t xml:space="preserve"> OMPs Participation Program</w:t>
            </w:r>
          </w:p>
        </w:tc>
        <w:tc>
          <w:tcPr>
            <w:tcW w:w="1183" w:type="dxa"/>
          </w:tcPr>
          <w:p w14:paraId="59B205AB" w14:textId="77777777" w:rsidR="00817CB4" w:rsidRPr="009A5F5E"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9A5F5E">
              <w:t>463</w:t>
            </w:r>
          </w:p>
        </w:tc>
        <w:tc>
          <w:tcPr>
            <w:tcW w:w="4351" w:type="dxa"/>
          </w:tcPr>
          <w:p w14:paraId="1D90603E" w14:textId="77777777" w:rsidR="00817CB4" w:rsidRPr="009A5F5E"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9A5F5E">
              <w:t xml:space="preserve">GP Training - </w:t>
            </w:r>
            <w:proofErr w:type="spellStart"/>
            <w:r w:rsidRPr="009A5F5E">
              <w:t>GPEx</w:t>
            </w:r>
            <w:proofErr w:type="spellEnd"/>
          </w:p>
        </w:tc>
      </w:tr>
      <w:tr w:rsidR="00817CB4" w:rsidRPr="009A5F5E" w14:paraId="50A56622" w14:textId="77777777" w:rsidTr="00F555EA">
        <w:trPr>
          <w:gridBefore w:val="1"/>
          <w:cnfStyle w:val="000000100000" w:firstRow="0" w:lastRow="0" w:firstColumn="0" w:lastColumn="0" w:oddVBand="0" w:evenVBand="0" w:oddHBand="1"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251E7EF9" w14:textId="77777777" w:rsidR="00817CB4" w:rsidRPr="009A5F5E" w:rsidRDefault="00817CB4" w:rsidP="00733FD8">
            <w:pPr>
              <w:pStyle w:val="Tabletextleft"/>
            </w:pPr>
            <w:r w:rsidRPr="009A5F5E">
              <w:t>189</w:t>
            </w:r>
          </w:p>
        </w:tc>
        <w:tc>
          <w:tcPr>
            <w:tcW w:w="3773" w:type="dxa"/>
          </w:tcPr>
          <w:p w14:paraId="1DF9DBFE"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proofErr w:type="spellStart"/>
            <w:r w:rsidRPr="009A5F5E">
              <w:t>MedicarePlus</w:t>
            </w:r>
            <w:proofErr w:type="spellEnd"/>
            <w:r w:rsidRPr="009A5F5E">
              <w:t xml:space="preserve"> OMPs Ongoing &gt; 5 years Program</w:t>
            </w:r>
          </w:p>
        </w:tc>
        <w:tc>
          <w:tcPr>
            <w:tcW w:w="1183" w:type="dxa"/>
          </w:tcPr>
          <w:p w14:paraId="15796855" w14:textId="77777777" w:rsidR="00817CB4" w:rsidRPr="009A5F5E"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9A5F5E">
              <w:t>464</w:t>
            </w:r>
          </w:p>
        </w:tc>
        <w:tc>
          <w:tcPr>
            <w:tcW w:w="4351" w:type="dxa"/>
          </w:tcPr>
          <w:p w14:paraId="6DA43C2C" w14:textId="77777777" w:rsidR="00817CB4" w:rsidRPr="009A5F5E"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9A5F5E">
              <w:t>GP Training - Western Australia GPET</w:t>
            </w:r>
          </w:p>
        </w:tc>
      </w:tr>
      <w:tr w:rsidR="00817CB4" w:rsidRPr="009A5F5E" w14:paraId="25B09861" w14:textId="77777777" w:rsidTr="00F555EA">
        <w:trPr>
          <w:gridBefore w:val="1"/>
          <w:cnfStyle w:val="000000010000" w:firstRow="0" w:lastRow="0" w:firstColumn="0" w:lastColumn="0" w:oddVBand="0" w:evenVBand="0" w:oddHBand="0" w:evenHBand="1"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744C13D2" w14:textId="77777777" w:rsidR="00817CB4" w:rsidRPr="009A5F5E" w:rsidRDefault="00817CB4" w:rsidP="00733FD8">
            <w:pPr>
              <w:pStyle w:val="Tabletextleft"/>
            </w:pPr>
            <w:r w:rsidRPr="009A5F5E">
              <w:t>190</w:t>
            </w:r>
          </w:p>
        </w:tc>
        <w:tc>
          <w:tcPr>
            <w:tcW w:w="3773" w:type="dxa"/>
          </w:tcPr>
          <w:p w14:paraId="25A14797"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Local Rural/Remote Relief (RLRP)</w:t>
            </w:r>
          </w:p>
        </w:tc>
        <w:tc>
          <w:tcPr>
            <w:tcW w:w="1183" w:type="dxa"/>
          </w:tcPr>
          <w:p w14:paraId="37443FB3" w14:textId="77777777" w:rsidR="00817CB4" w:rsidRPr="009A5F5E"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9A5F5E">
              <w:t>465</w:t>
            </w:r>
          </w:p>
        </w:tc>
        <w:tc>
          <w:tcPr>
            <w:tcW w:w="4351" w:type="dxa"/>
          </w:tcPr>
          <w:p w14:paraId="504C99AE" w14:textId="77777777" w:rsidR="00817CB4" w:rsidRPr="009A5F5E"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9A5F5E">
              <w:t xml:space="preserve">GP Training - GP Synergy </w:t>
            </w:r>
            <w:proofErr w:type="gramStart"/>
            <w:r w:rsidRPr="009A5F5E">
              <w:t>North Eastern</w:t>
            </w:r>
            <w:proofErr w:type="gramEnd"/>
            <w:r w:rsidRPr="009A5F5E">
              <w:t xml:space="preserve"> NSW</w:t>
            </w:r>
          </w:p>
        </w:tc>
      </w:tr>
      <w:tr w:rsidR="00817CB4" w:rsidRPr="009A5F5E" w14:paraId="5D984174" w14:textId="77777777" w:rsidTr="00F555EA">
        <w:trPr>
          <w:gridBefore w:val="1"/>
          <w:cnfStyle w:val="000000100000" w:firstRow="0" w:lastRow="0" w:firstColumn="0" w:lastColumn="0" w:oddVBand="0" w:evenVBand="0" w:oddHBand="1"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02D297DC" w14:textId="77777777" w:rsidR="00817CB4" w:rsidRPr="009A5F5E" w:rsidRDefault="00817CB4" w:rsidP="00733FD8">
            <w:pPr>
              <w:pStyle w:val="Tabletextleft"/>
            </w:pPr>
            <w:r w:rsidRPr="009A5F5E">
              <w:t>194</w:t>
            </w:r>
          </w:p>
        </w:tc>
        <w:tc>
          <w:tcPr>
            <w:tcW w:w="3773" w:type="dxa"/>
          </w:tcPr>
          <w:p w14:paraId="6418857F"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AMDS Program Approved Placement</w:t>
            </w:r>
          </w:p>
        </w:tc>
        <w:tc>
          <w:tcPr>
            <w:tcW w:w="1183" w:type="dxa"/>
          </w:tcPr>
          <w:p w14:paraId="1BC64A49" w14:textId="77777777" w:rsidR="00817CB4" w:rsidRPr="009A5F5E"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9A5F5E">
              <w:t>466</w:t>
            </w:r>
          </w:p>
        </w:tc>
        <w:tc>
          <w:tcPr>
            <w:tcW w:w="4351" w:type="dxa"/>
          </w:tcPr>
          <w:p w14:paraId="211C8147" w14:textId="77777777" w:rsidR="00817CB4" w:rsidRPr="009A5F5E"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9A5F5E">
              <w:t>GP Training - Tasmanian GP Ed and Training</w:t>
            </w:r>
          </w:p>
        </w:tc>
      </w:tr>
      <w:tr w:rsidR="00817CB4" w:rsidRPr="009A5F5E" w14:paraId="1BDB046B" w14:textId="77777777" w:rsidTr="00F555EA">
        <w:trPr>
          <w:gridBefore w:val="1"/>
          <w:cnfStyle w:val="000000010000" w:firstRow="0" w:lastRow="0" w:firstColumn="0" w:lastColumn="0" w:oddVBand="0" w:evenVBand="0" w:oddHBand="0" w:evenHBand="1"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3513F5FA" w14:textId="77777777" w:rsidR="00817CB4" w:rsidRPr="009A5F5E" w:rsidRDefault="00817CB4" w:rsidP="00733FD8">
            <w:pPr>
              <w:pStyle w:val="Tabletextleft"/>
            </w:pPr>
            <w:r w:rsidRPr="009A5F5E">
              <w:t>196</w:t>
            </w:r>
          </w:p>
        </w:tc>
        <w:tc>
          <w:tcPr>
            <w:tcW w:w="3773" w:type="dxa"/>
          </w:tcPr>
          <w:p w14:paraId="59D054CE"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ACRRM Program Approved Placement</w:t>
            </w:r>
          </w:p>
        </w:tc>
        <w:tc>
          <w:tcPr>
            <w:tcW w:w="1183" w:type="dxa"/>
          </w:tcPr>
          <w:p w14:paraId="28524CA3" w14:textId="77777777" w:rsidR="00817CB4" w:rsidRPr="009A5F5E"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9A5F5E">
              <w:t>467</w:t>
            </w:r>
          </w:p>
        </w:tc>
        <w:tc>
          <w:tcPr>
            <w:tcW w:w="4351" w:type="dxa"/>
          </w:tcPr>
          <w:p w14:paraId="7852CEF8" w14:textId="77777777" w:rsidR="00817CB4" w:rsidRPr="009A5F5E"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9A5F5E">
              <w:t>GP Training - NT GP Education</w:t>
            </w:r>
          </w:p>
        </w:tc>
      </w:tr>
      <w:tr w:rsidR="00817CB4" w:rsidRPr="009A5F5E" w14:paraId="163519F6" w14:textId="77777777" w:rsidTr="00F555EA">
        <w:trPr>
          <w:gridBefore w:val="1"/>
          <w:cnfStyle w:val="000000100000" w:firstRow="0" w:lastRow="0" w:firstColumn="0" w:lastColumn="0" w:oddVBand="0" w:evenVBand="0" w:oddHBand="1"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3C454E52" w14:textId="77777777" w:rsidR="00817CB4" w:rsidRPr="009A5F5E" w:rsidRDefault="00817CB4" w:rsidP="00733FD8">
            <w:pPr>
              <w:pStyle w:val="Tabletextleft"/>
            </w:pPr>
            <w:r w:rsidRPr="009A5F5E">
              <w:t>197</w:t>
            </w:r>
          </w:p>
        </w:tc>
        <w:tc>
          <w:tcPr>
            <w:tcW w:w="3773" w:type="dxa"/>
          </w:tcPr>
          <w:p w14:paraId="49DA6446"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APED Program Approved Placement</w:t>
            </w:r>
          </w:p>
        </w:tc>
        <w:tc>
          <w:tcPr>
            <w:tcW w:w="1183" w:type="dxa"/>
          </w:tcPr>
          <w:p w14:paraId="5A45AC04" w14:textId="77777777" w:rsidR="00817CB4" w:rsidRPr="009A5F5E"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9A5F5E">
              <w:t>468</w:t>
            </w:r>
          </w:p>
        </w:tc>
        <w:tc>
          <w:tcPr>
            <w:tcW w:w="4351" w:type="dxa"/>
          </w:tcPr>
          <w:p w14:paraId="3DE50672" w14:textId="77777777" w:rsidR="00817CB4" w:rsidRPr="009A5F5E"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9A5F5E">
              <w:t>ACRRM - GP Pathway</w:t>
            </w:r>
          </w:p>
        </w:tc>
      </w:tr>
      <w:tr w:rsidR="00817CB4" w:rsidRPr="009A5F5E" w14:paraId="5F9E464C" w14:textId="77777777" w:rsidTr="00F555EA">
        <w:trPr>
          <w:gridBefore w:val="1"/>
          <w:cnfStyle w:val="000000010000" w:firstRow="0" w:lastRow="0" w:firstColumn="0" w:lastColumn="0" w:oddVBand="0" w:evenVBand="0" w:oddHBand="0" w:evenHBand="1"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0E319DFB" w14:textId="77777777" w:rsidR="00817CB4" w:rsidRPr="009A5F5E" w:rsidRDefault="00817CB4" w:rsidP="00733FD8">
            <w:pPr>
              <w:pStyle w:val="Tabletextleft"/>
            </w:pPr>
            <w:r w:rsidRPr="009A5F5E">
              <w:lastRenderedPageBreak/>
              <w:t>198</w:t>
            </w:r>
          </w:p>
        </w:tc>
        <w:tc>
          <w:tcPr>
            <w:tcW w:w="3773" w:type="dxa"/>
          </w:tcPr>
          <w:p w14:paraId="20864EB9"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Temporary Resident Other Medical Practitioners (TROMP) Program Approved Program</w:t>
            </w:r>
          </w:p>
        </w:tc>
        <w:tc>
          <w:tcPr>
            <w:tcW w:w="1183" w:type="dxa"/>
          </w:tcPr>
          <w:p w14:paraId="5B86CCF2" w14:textId="77777777" w:rsidR="00817CB4" w:rsidRPr="009A5F5E"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9A5F5E">
              <w:t>470</w:t>
            </w:r>
          </w:p>
        </w:tc>
        <w:tc>
          <w:tcPr>
            <w:tcW w:w="4351" w:type="dxa"/>
          </w:tcPr>
          <w:p w14:paraId="5D715387" w14:textId="77777777" w:rsidR="00817CB4" w:rsidRPr="009A5F5E"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9A5F5E">
              <w:t>ACRRM Fellowship Program - ACRRM</w:t>
            </w:r>
          </w:p>
        </w:tc>
      </w:tr>
      <w:tr w:rsidR="00817CB4" w:rsidRPr="009A5F5E" w14:paraId="7BF5B139" w14:textId="77777777" w:rsidTr="00F555EA">
        <w:trPr>
          <w:gridBefore w:val="1"/>
          <w:cnfStyle w:val="000000100000" w:firstRow="0" w:lastRow="0" w:firstColumn="0" w:lastColumn="0" w:oddVBand="0" w:evenVBand="0" w:oddHBand="1"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55FBACCC" w14:textId="77777777" w:rsidR="00817CB4" w:rsidRPr="009A5F5E" w:rsidRDefault="00817CB4" w:rsidP="00733FD8">
            <w:pPr>
              <w:pStyle w:val="Tabletextleft"/>
            </w:pPr>
            <w:r w:rsidRPr="009A5F5E">
              <w:t>199</w:t>
            </w:r>
          </w:p>
        </w:tc>
        <w:tc>
          <w:tcPr>
            <w:tcW w:w="3773" w:type="dxa"/>
          </w:tcPr>
          <w:p w14:paraId="3320EA1F"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AFTER HOURS OMPS PROGRAM</w:t>
            </w:r>
          </w:p>
        </w:tc>
        <w:tc>
          <w:tcPr>
            <w:tcW w:w="1183" w:type="dxa"/>
          </w:tcPr>
          <w:p w14:paraId="10C28334" w14:textId="77777777" w:rsidR="00817CB4" w:rsidRPr="009A5F5E"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9A5F5E">
              <w:t>471</w:t>
            </w:r>
          </w:p>
        </w:tc>
        <w:tc>
          <w:tcPr>
            <w:tcW w:w="4351" w:type="dxa"/>
          </w:tcPr>
          <w:p w14:paraId="11301080" w14:textId="77777777" w:rsidR="00817CB4" w:rsidRPr="009A5F5E"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9A5F5E">
              <w:t>AGPT - ACRRM</w:t>
            </w:r>
          </w:p>
        </w:tc>
      </w:tr>
      <w:tr w:rsidR="00817CB4" w:rsidRPr="009A5F5E" w14:paraId="2C787434" w14:textId="77777777" w:rsidTr="00F555EA">
        <w:trPr>
          <w:gridBefore w:val="1"/>
          <w:cnfStyle w:val="000000010000" w:firstRow="0" w:lastRow="0" w:firstColumn="0" w:lastColumn="0" w:oddVBand="0" w:evenVBand="0" w:oddHBand="0" w:evenHBand="1"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1B9CD6CA" w14:textId="77777777" w:rsidR="00817CB4" w:rsidRPr="009A5F5E" w:rsidRDefault="00817CB4" w:rsidP="00733FD8">
            <w:pPr>
              <w:pStyle w:val="Tabletextleft"/>
            </w:pPr>
            <w:r w:rsidRPr="009A5F5E">
              <w:t>430</w:t>
            </w:r>
          </w:p>
        </w:tc>
        <w:tc>
          <w:tcPr>
            <w:tcW w:w="3773" w:type="dxa"/>
          </w:tcPr>
          <w:p w14:paraId="6AE8B941"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GPEA/GPET</w:t>
            </w:r>
          </w:p>
        </w:tc>
        <w:tc>
          <w:tcPr>
            <w:tcW w:w="1183" w:type="dxa"/>
          </w:tcPr>
          <w:p w14:paraId="7D17E374" w14:textId="77777777" w:rsidR="00817CB4" w:rsidRPr="009A5F5E"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9A5F5E">
              <w:t>472</w:t>
            </w:r>
          </w:p>
        </w:tc>
        <w:tc>
          <w:tcPr>
            <w:tcW w:w="4351" w:type="dxa"/>
          </w:tcPr>
          <w:p w14:paraId="187DC843" w14:textId="77777777" w:rsidR="00817CB4" w:rsidRPr="009A5F5E"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9A5F5E">
              <w:t>ACRRM Independent Pathway post 1/1/2019</w:t>
            </w:r>
          </w:p>
        </w:tc>
      </w:tr>
      <w:tr w:rsidR="00817CB4" w:rsidRPr="009A5F5E" w14:paraId="0557E19C" w14:textId="77777777" w:rsidTr="00F555EA">
        <w:trPr>
          <w:gridBefore w:val="1"/>
          <w:cnfStyle w:val="000000100000" w:firstRow="0" w:lastRow="0" w:firstColumn="0" w:lastColumn="0" w:oddVBand="0" w:evenVBand="0" w:oddHBand="1"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240EBBC5" w14:textId="77777777" w:rsidR="00817CB4" w:rsidRPr="009A5F5E" w:rsidRDefault="00817CB4" w:rsidP="00733FD8">
            <w:pPr>
              <w:pStyle w:val="Tabletextleft"/>
            </w:pPr>
            <w:r w:rsidRPr="009A5F5E">
              <w:t>431</w:t>
            </w:r>
          </w:p>
        </w:tc>
        <w:tc>
          <w:tcPr>
            <w:tcW w:w="3773" w:type="dxa"/>
          </w:tcPr>
          <w:p w14:paraId="644635FA"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 xml:space="preserve">GPET Stuart - </w:t>
            </w:r>
            <w:proofErr w:type="spellStart"/>
            <w:r w:rsidRPr="009A5F5E">
              <w:t>Fleurieu</w:t>
            </w:r>
            <w:proofErr w:type="spellEnd"/>
            <w:r w:rsidRPr="009A5F5E">
              <w:t xml:space="preserve"> GP Training</w:t>
            </w:r>
          </w:p>
        </w:tc>
        <w:tc>
          <w:tcPr>
            <w:tcW w:w="1183" w:type="dxa"/>
          </w:tcPr>
          <w:p w14:paraId="7491A79C" w14:textId="77777777" w:rsidR="00817CB4" w:rsidRPr="009A5F5E"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9A5F5E">
              <w:t>473</w:t>
            </w:r>
          </w:p>
        </w:tc>
        <w:tc>
          <w:tcPr>
            <w:tcW w:w="4351" w:type="dxa"/>
          </w:tcPr>
          <w:p w14:paraId="12D80C2D" w14:textId="77777777" w:rsidR="00817CB4" w:rsidRPr="009A5F5E"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9A5F5E">
              <w:t>RVTS - ACRRM</w:t>
            </w:r>
          </w:p>
        </w:tc>
      </w:tr>
      <w:tr w:rsidR="00817CB4" w:rsidRPr="009A5F5E" w14:paraId="6CAB74B8" w14:textId="77777777" w:rsidTr="00F555EA">
        <w:trPr>
          <w:gridBefore w:val="1"/>
          <w:cnfStyle w:val="000000010000" w:firstRow="0" w:lastRow="0" w:firstColumn="0" w:lastColumn="0" w:oddVBand="0" w:evenVBand="0" w:oddHBand="0" w:evenHBand="1"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1776C72F" w14:textId="77777777" w:rsidR="00817CB4" w:rsidRPr="009A5F5E" w:rsidRDefault="00817CB4" w:rsidP="00733FD8">
            <w:pPr>
              <w:pStyle w:val="Tabletextleft"/>
            </w:pPr>
            <w:r w:rsidRPr="009A5F5E">
              <w:t>432</w:t>
            </w:r>
          </w:p>
        </w:tc>
        <w:tc>
          <w:tcPr>
            <w:tcW w:w="3773" w:type="dxa"/>
          </w:tcPr>
          <w:p w14:paraId="42C421AD"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GPET Training Valley to Coast</w:t>
            </w:r>
          </w:p>
        </w:tc>
        <w:tc>
          <w:tcPr>
            <w:tcW w:w="1183" w:type="dxa"/>
          </w:tcPr>
          <w:p w14:paraId="794CCE40" w14:textId="77777777" w:rsidR="00817CB4" w:rsidRPr="009A5F5E"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9A5F5E">
              <w:t>474</w:t>
            </w:r>
          </w:p>
        </w:tc>
        <w:tc>
          <w:tcPr>
            <w:tcW w:w="4351" w:type="dxa"/>
          </w:tcPr>
          <w:p w14:paraId="12915661" w14:textId="77777777" w:rsidR="00817CB4" w:rsidRPr="009A5F5E"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9A5F5E">
              <w:t>AGPT - RACGP</w:t>
            </w:r>
          </w:p>
        </w:tc>
      </w:tr>
      <w:tr w:rsidR="00817CB4" w:rsidRPr="009A5F5E" w14:paraId="2C466C0E" w14:textId="77777777" w:rsidTr="00F555EA">
        <w:trPr>
          <w:gridBefore w:val="1"/>
          <w:cnfStyle w:val="000000100000" w:firstRow="0" w:lastRow="0" w:firstColumn="0" w:lastColumn="0" w:oddVBand="0" w:evenVBand="0" w:oddHBand="1"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08A99A81" w14:textId="77777777" w:rsidR="00817CB4" w:rsidRPr="009A5F5E" w:rsidRDefault="00817CB4" w:rsidP="00733FD8">
            <w:pPr>
              <w:pStyle w:val="Tabletextleft"/>
            </w:pPr>
            <w:r w:rsidRPr="009A5F5E">
              <w:t>433</w:t>
            </w:r>
          </w:p>
        </w:tc>
        <w:tc>
          <w:tcPr>
            <w:tcW w:w="3773" w:type="dxa"/>
          </w:tcPr>
          <w:p w14:paraId="6D98EA74"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GPET Institute of GP Education</w:t>
            </w:r>
          </w:p>
        </w:tc>
        <w:tc>
          <w:tcPr>
            <w:tcW w:w="1183" w:type="dxa"/>
          </w:tcPr>
          <w:p w14:paraId="1E6748B2" w14:textId="77777777" w:rsidR="00817CB4" w:rsidRPr="009A5F5E"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9A5F5E">
              <w:t>475</w:t>
            </w:r>
          </w:p>
        </w:tc>
        <w:tc>
          <w:tcPr>
            <w:tcW w:w="4351" w:type="dxa"/>
          </w:tcPr>
          <w:p w14:paraId="7B5CA582" w14:textId="77777777" w:rsidR="00817CB4" w:rsidRPr="009A5F5E"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9A5F5E">
              <w:t>RVTS - RACGP</w:t>
            </w:r>
          </w:p>
        </w:tc>
      </w:tr>
      <w:tr w:rsidR="00817CB4" w:rsidRPr="009A5F5E" w14:paraId="56385EEA" w14:textId="77777777" w:rsidTr="00F555EA">
        <w:trPr>
          <w:gridBefore w:val="1"/>
          <w:cnfStyle w:val="000000010000" w:firstRow="0" w:lastRow="0" w:firstColumn="0" w:lastColumn="0" w:oddVBand="0" w:evenVBand="0" w:oddHBand="0" w:evenHBand="1"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24AC2A6E" w14:textId="77777777" w:rsidR="00817CB4" w:rsidRPr="009A5F5E" w:rsidRDefault="00817CB4" w:rsidP="00733FD8">
            <w:pPr>
              <w:pStyle w:val="Tabletextleft"/>
            </w:pPr>
            <w:r w:rsidRPr="009A5F5E">
              <w:t>434</w:t>
            </w:r>
          </w:p>
        </w:tc>
        <w:tc>
          <w:tcPr>
            <w:tcW w:w="3773" w:type="dxa"/>
          </w:tcPr>
          <w:p w14:paraId="7BE49387" w14:textId="2C56329C"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GPET Sydney Institu</w:t>
            </w:r>
            <w:r w:rsidR="00085E8E" w:rsidRPr="009A5F5E">
              <w:t>t</w:t>
            </w:r>
            <w:r w:rsidRPr="009A5F5E">
              <w:t>e of GP Ed</w:t>
            </w:r>
          </w:p>
        </w:tc>
        <w:tc>
          <w:tcPr>
            <w:tcW w:w="1183" w:type="dxa"/>
          </w:tcPr>
          <w:p w14:paraId="0AFC8C85" w14:textId="77777777" w:rsidR="00817CB4" w:rsidRPr="009A5F5E"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9A5F5E">
              <w:t>476</w:t>
            </w:r>
          </w:p>
        </w:tc>
        <w:tc>
          <w:tcPr>
            <w:tcW w:w="4351" w:type="dxa"/>
          </w:tcPr>
          <w:p w14:paraId="15A78224" w14:textId="77777777" w:rsidR="00817CB4" w:rsidRPr="009A5F5E"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9A5F5E">
              <w:t>RACGP Fellowship Program - RACGP</w:t>
            </w:r>
          </w:p>
        </w:tc>
      </w:tr>
      <w:tr w:rsidR="00817CB4" w:rsidRPr="009A5F5E" w14:paraId="608DCA07" w14:textId="77777777" w:rsidTr="00F555EA">
        <w:trPr>
          <w:gridBefore w:val="1"/>
          <w:cnfStyle w:val="000000100000" w:firstRow="0" w:lastRow="0" w:firstColumn="0" w:lastColumn="0" w:oddVBand="0" w:evenVBand="0" w:oddHBand="1"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4B9E2DEB" w14:textId="77777777" w:rsidR="00817CB4" w:rsidRPr="009A5F5E" w:rsidRDefault="00817CB4" w:rsidP="00733FD8">
            <w:pPr>
              <w:pStyle w:val="Tabletextleft"/>
            </w:pPr>
            <w:r w:rsidRPr="009A5F5E">
              <w:t>435</w:t>
            </w:r>
          </w:p>
        </w:tc>
        <w:tc>
          <w:tcPr>
            <w:tcW w:w="3773" w:type="dxa"/>
          </w:tcPr>
          <w:p w14:paraId="0E547454"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GPET Went West</w:t>
            </w:r>
          </w:p>
        </w:tc>
        <w:tc>
          <w:tcPr>
            <w:tcW w:w="1183" w:type="dxa"/>
          </w:tcPr>
          <w:p w14:paraId="58FF79D4" w14:textId="77777777" w:rsidR="00817CB4" w:rsidRPr="009A5F5E"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9A5F5E">
              <w:t>477</w:t>
            </w:r>
          </w:p>
        </w:tc>
        <w:tc>
          <w:tcPr>
            <w:tcW w:w="4351" w:type="dxa"/>
          </w:tcPr>
          <w:p w14:paraId="5BF1A683" w14:textId="77777777" w:rsidR="00817CB4" w:rsidRPr="009A5F5E"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9A5F5E">
              <w:t>ACRRM Fellowship Program - Health</w:t>
            </w:r>
          </w:p>
        </w:tc>
      </w:tr>
      <w:tr w:rsidR="00817CB4" w:rsidRPr="009A5F5E" w14:paraId="7A824F17" w14:textId="77777777" w:rsidTr="00F555EA">
        <w:trPr>
          <w:gridBefore w:val="1"/>
          <w:cnfStyle w:val="000000010000" w:firstRow="0" w:lastRow="0" w:firstColumn="0" w:lastColumn="0" w:oddVBand="0" w:evenVBand="0" w:oddHBand="0" w:evenHBand="1"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3A8C5199" w14:textId="77777777" w:rsidR="00817CB4" w:rsidRPr="009A5F5E" w:rsidRDefault="00817CB4" w:rsidP="00733FD8">
            <w:pPr>
              <w:pStyle w:val="Tabletextleft"/>
            </w:pPr>
            <w:r w:rsidRPr="009A5F5E">
              <w:t>436</w:t>
            </w:r>
          </w:p>
        </w:tc>
        <w:tc>
          <w:tcPr>
            <w:tcW w:w="3773" w:type="dxa"/>
          </w:tcPr>
          <w:p w14:paraId="3423395E"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GPET NT GP Education</w:t>
            </w:r>
          </w:p>
        </w:tc>
        <w:tc>
          <w:tcPr>
            <w:tcW w:w="1183" w:type="dxa"/>
          </w:tcPr>
          <w:p w14:paraId="465C9C5F" w14:textId="77777777" w:rsidR="00817CB4" w:rsidRPr="009A5F5E"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9A5F5E">
              <w:t>478</w:t>
            </w:r>
          </w:p>
        </w:tc>
        <w:tc>
          <w:tcPr>
            <w:tcW w:w="4351" w:type="dxa"/>
          </w:tcPr>
          <w:p w14:paraId="69E7BE74" w14:textId="77777777" w:rsidR="00817CB4" w:rsidRPr="009A5F5E"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9A5F5E">
              <w:t>RVTS - Health</w:t>
            </w:r>
          </w:p>
        </w:tc>
      </w:tr>
      <w:tr w:rsidR="00817CB4" w:rsidRPr="009A5F5E" w14:paraId="737BD518" w14:textId="77777777" w:rsidTr="00F555EA">
        <w:trPr>
          <w:gridBefore w:val="1"/>
          <w:cnfStyle w:val="000000100000" w:firstRow="0" w:lastRow="0" w:firstColumn="0" w:lastColumn="0" w:oddVBand="0" w:evenVBand="0" w:oddHBand="1"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74211538" w14:textId="77777777" w:rsidR="00817CB4" w:rsidRPr="009A5F5E" w:rsidRDefault="00817CB4" w:rsidP="00733FD8">
            <w:pPr>
              <w:pStyle w:val="Tabletextleft"/>
            </w:pPr>
            <w:r w:rsidRPr="009A5F5E">
              <w:t>437</w:t>
            </w:r>
          </w:p>
        </w:tc>
        <w:tc>
          <w:tcPr>
            <w:tcW w:w="3773" w:type="dxa"/>
          </w:tcPr>
          <w:p w14:paraId="34380CE4"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 xml:space="preserve">GPET Central and </w:t>
            </w:r>
            <w:proofErr w:type="spellStart"/>
            <w:r w:rsidRPr="009A5F5E">
              <w:t>Sthn</w:t>
            </w:r>
            <w:proofErr w:type="spellEnd"/>
            <w:r w:rsidRPr="009A5F5E">
              <w:t xml:space="preserve"> QLD</w:t>
            </w:r>
          </w:p>
        </w:tc>
        <w:tc>
          <w:tcPr>
            <w:tcW w:w="1183" w:type="dxa"/>
          </w:tcPr>
          <w:p w14:paraId="655350EE" w14:textId="77777777" w:rsidR="00817CB4" w:rsidRPr="009A5F5E"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9A5F5E">
              <w:t>479</w:t>
            </w:r>
          </w:p>
        </w:tc>
        <w:tc>
          <w:tcPr>
            <w:tcW w:w="4351" w:type="dxa"/>
          </w:tcPr>
          <w:p w14:paraId="4854ACF4" w14:textId="77777777" w:rsidR="00817CB4" w:rsidRPr="009A5F5E"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9A5F5E">
              <w:t>RACGP Fellowship Program - Health</w:t>
            </w:r>
          </w:p>
        </w:tc>
      </w:tr>
      <w:tr w:rsidR="00817CB4" w:rsidRPr="009A5F5E" w14:paraId="7F1F10E0" w14:textId="77777777" w:rsidTr="00F555EA">
        <w:trPr>
          <w:gridBefore w:val="1"/>
          <w:cnfStyle w:val="000000010000" w:firstRow="0" w:lastRow="0" w:firstColumn="0" w:lastColumn="0" w:oddVBand="0" w:evenVBand="0" w:oddHBand="0" w:evenHBand="1"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70AAEC5B" w14:textId="77777777" w:rsidR="00817CB4" w:rsidRPr="009A5F5E" w:rsidRDefault="00817CB4" w:rsidP="00733FD8">
            <w:pPr>
              <w:pStyle w:val="Tabletextleft"/>
            </w:pPr>
            <w:r w:rsidRPr="009A5F5E">
              <w:t>438</w:t>
            </w:r>
          </w:p>
        </w:tc>
        <w:tc>
          <w:tcPr>
            <w:tcW w:w="3773" w:type="dxa"/>
          </w:tcPr>
          <w:p w14:paraId="683A5BF6"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GPET Tropical Medical Education</w:t>
            </w:r>
          </w:p>
        </w:tc>
        <w:tc>
          <w:tcPr>
            <w:tcW w:w="1183" w:type="dxa"/>
          </w:tcPr>
          <w:p w14:paraId="21E6E4C7" w14:textId="77777777" w:rsidR="00817CB4" w:rsidRPr="009A5F5E"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9A5F5E">
              <w:t>480</w:t>
            </w:r>
          </w:p>
        </w:tc>
        <w:tc>
          <w:tcPr>
            <w:tcW w:w="4351" w:type="dxa"/>
          </w:tcPr>
          <w:p w14:paraId="31E37C29" w14:textId="77777777" w:rsidR="00817CB4" w:rsidRPr="009A5F5E"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9A5F5E">
              <w:t>MDRAP</w:t>
            </w:r>
          </w:p>
        </w:tc>
      </w:tr>
      <w:tr w:rsidR="00817CB4" w:rsidRPr="009A5F5E" w14:paraId="11846362" w14:textId="77777777" w:rsidTr="00F555EA">
        <w:trPr>
          <w:gridBefore w:val="1"/>
          <w:cnfStyle w:val="000000100000" w:firstRow="0" w:lastRow="0" w:firstColumn="0" w:lastColumn="0" w:oddVBand="0" w:evenVBand="0" w:oddHBand="1"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65D7555D" w14:textId="77777777" w:rsidR="00817CB4" w:rsidRPr="009A5F5E" w:rsidRDefault="00817CB4" w:rsidP="00733FD8">
            <w:pPr>
              <w:pStyle w:val="Tabletextleft"/>
            </w:pPr>
            <w:r w:rsidRPr="009A5F5E">
              <w:t>439</w:t>
            </w:r>
          </w:p>
        </w:tc>
        <w:tc>
          <w:tcPr>
            <w:tcW w:w="3773" w:type="dxa"/>
          </w:tcPr>
          <w:p w14:paraId="10F2B185"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GPET Rural and Regional QLD</w:t>
            </w:r>
          </w:p>
        </w:tc>
        <w:tc>
          <w:tcPr>
            <w:tcW w:w="1183" w:type="dxa"/>
          </w:tcPr>
          <w:p w14:paraId="499101E6" w14:textId="77777777" w:rsidR="00817CB4" w:rsidRPr="009A5F5E"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9A5F5E">
              <w:t>481</w:t>
            </w:r>
          </w:p>
        </w:tc>
        <w:tc>
          <w:tcPr>
            <w:tcW w:w="4351" w:type="dxa"/>
          </w:tcPr>
          <w:p w14:paraId="5B02B270" w14:textId="77777777" w:rsidR="00817CB4" w:rsidRPr="009A5F5E"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9A5F5E">
              <w:t xml:space="preserve">Pre Fellowship Program (PFP) </w:t>
            </w:r>
          </w:p>
        </w:tc>
      </w:tr>
      <w:tr w:rsidR="00817CB4" w:rsidRPr="009A5F5E" w14:paraId="49A1A873" w14:textId="77777777" w:rsidTr="00F555EA">
        <w:trPr>
          <w:gridBefore w:val="1"/>
          <w:cnfStyle w:val="000000010000" w:firstRow="0" w:lastRow="0" w:firstColumn="0" w:lastColumn="0" w:oddVBand="0" w:evenVBand="0" w:oddHBand="0" w:evenHBand="1"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1EE56146" w14:textId="77777777" w:rsidR="00817CB4" w:rsidRPr="009A5F5E" w:rsidRDefault="00817CB4" w:rsidP="00733FD8">
            <w:pPr>
              <w:pStyle w:val="Tabletextleft"/>
            </w:pPr>
            <w:r w:rsidRPr="009A5F5E">
              <w:t>440</w:t>
            </w:r>
          </w:p>
        </w:tc>
        <w:tc>
          <w:tcPr>
            <w:tcW w:w="3773" w:type="dxa"/>
          </w:tcPr>
          <w:p w14:paraId="60D17685"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GPET Adelaide to Outback</w:t>
            </w:r>
          </w:p>
        </w:tc>
        <w:tc>
          <w:tcPr>
            <w:tcW w:w="1183" w:type="dxa"/>
          </w:tcPr>
          <w:p w14:paraId="5EBCC014" w14:textId="77777777" w:rsidR="00817CB4" w:rsidRPr="009A5F5E"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9A5F5E">
              <w:t>483</w:t>
            </w:r>
          </w:p>
        </w:tc>
        <w:tc>
          <w:tcPr>
            <w:tcW w:w="4351" w:type="dxa"/>
          </w:tcPr>
          <w:p w14:paraId="0A21B176" w14:textId="77777777" w:rsidR="00817CB4" w:rsidRPr="009A5F5E"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9A5F5E">
              <w:t xml:space="preserve">GP Training-Murrumbidgee Local </w:t>
            </w:r>
            <w:proofErr w:type="spellStart"/>
            <w:r w:rsidRPr="009A5F5E">
              <w:t>Hlth</w:t>
            </w:r>
            <w:proofErr w:type="spellEnd"/>
            <w:r w:rsidRPr="009A5F5E">
              <w:t xml:space="preserve"> District Trial</w:t>
            </w:r>
          </w:p>
        </w:tc>
      </w:tr>
      <w:tr w:rsidR="00817CB4" w:rsidRPr="009A5F5E" w14:paraId="45DFDE15" w14:textId="77777777" w:rsidTr="00F555EA">
        <w:trPr>
          <w:gridBefore w:val="1"/>
          <w:cnfStyle w:val="000000100000" w:firstRow="0" w:lastRow="0" w:firstColumn="0" w:lastColumn="0" w:oddVBand="0" w:evenVBand="0" w:oddHBand="1"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59C8208A" w14:textId="77777777" w:rsidR="00817CB4" w:rsidRPr="009A5F5E" w:rsidRDefault="00817CB4" w:rsidP="00733FD8">
            <w:pPr>
              <w:pStyle w:val="Tabletextleft"/>
            </w:pPr>
            <w:r w:rsidRPr="009A5F5E">
              <w:t>441</w:t>
            </w:r>
          </w:p>
        </w:tc>
        <w:tc>
          <w:tcPr>
            <w:tcW w:w="3773" w:type="dxa"/>
          </w:tcPr>
          <w:p w14:paraId="6D952306"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GPET Tasmania GP Ed and Training</w:t>
            </w:r>
          </w:p>
        </w:tc>
        <w:tc>
          <w:tcPr>
            <w:tcW w:w="1183" w:type="dxa"/>
          </w:tcPr>
          <w:p w14:paraId="0D6D95AB" w14:textId="77777777" w:rsidR="00817CB4" w:rsidRPr="009A5F5E"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9A5F5E">
              <w:t>484</w:t>
            </w:r>
          </w:p>
        </w:tc>
        <w:tc>
          <w:tcPr>
            <w:tcW w:w="4351" w:type="dxa"/>
          </w:tcPr>
          <w:p w14:paraId="40137798" w14:textId="77777777" w:rsidR="00817CB4" w:rsidRPr="009A5F5E"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9A5F5E">
              <w:t>GP Training - Riverland Mallee Coorong LHN</w:t>
            </w:r>
          </w:p>
        </w:tc>
      </w:tr>
      <w:tr w:rsidR="00817CB4" w:rsidRPr="009A5F5E" w14:paraId="7730C15D" w14:textId="77777777" w:rsidTr="00F555EA">
        <w:trPr>
          <w:gridBefore w:val="1"/>
          <w:cnfStyle w:val="000000010000" w:firstRow="0" w:lastRow="0" w:firstColumn="0" w:lastColumn="0" w:oddVBand="0" w:evenVBand="0" w:oddHBand="0" w:evenHBand="1"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385799A1" w14:textId="77777777" w:rsidR="00817CB4" w:rsidRPr="009A5F5E" w:rsidRDefault="00817CB4" w:rsidP="00733FD8">
            <w:pPr>
              <w:pStyle w:val="Tabletextleft"/>
            </w:pPr>
            <w:r w:rsidRPr="009A5F5E">
              <w:t>442</w:t>
            </w:r>
          </w:p>
        </w:tc>
        <w:tc>
          <w:tcPr>
            <w:tcW w:w="3773" w:type="dxa"/>
          </w:tcPr>
          <w:p w14:paraId="13AD92B4"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GPET Gippsland</w:t>
            </w:r>
          </w:p>
        </w:tc>
        <w:tc>
          <w:tcPr>
            <w:tcW w:w="1183" w:type="dxa"/>
          </w:tcPr>
          <w:p w14:paraId="04E1B55F" w14:textId="77777777" w:rsidR="00817CB4" w:rsidRPr="009A5F5E"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9A5F5E">
              <w:t>485</w:t>
            </w:r>
          </w:p>
        </w:tc>
        <w:tc>
          <w:tcPr>
            <w:tcW w:w="4351" w:type="dxa"/>
          </w:tcPr>
          <w:p w14:paraId="61F7B6E8" w14:textId="77777777" w:rsidR="00817CB4" w:rsidRPr="009A5F5E"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9A5F5E">
              <w:t>ACRRM - Fellowship Programme</w:t>
            </w:r>
          </w:p>
        </w:tc>
      </w:tr>
      <w:tr w:rsidR="00817CB4" w:rsidRPr="009A5F5E" w14:paraId="07A92D29" w14:textId="77777777" w:rsidTr="00F555EA">
        <w:trPr>
          <w:gridBefore w:val="1"/>
          <w:cnfStyle w:val="000000100000" w:firstRow="0" w:lastRow="0" w:firstColumn="0" w:lastColumn="0" w:oddVBand="0" w:evenVBand="0" w:oddHBand="1"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2476F9E2" w14:textId="77777777" w:rsidR="00817CB4" w:rsidRPr="009A5F5E" w:rsidRDefault="00817CB4" w:rsidP="00733FD8">
            <w:pPr>
              <w:pStyle w:val="Tabletextleft"/>
            </w:pPr>
            <w:r w:rsidRPr="009A5F5E">
              <w:t>443</w:t>
            </w:r>
          </w:p>
        </w:tc>
        <w:tc>
          <w:tcPr>
            <w:tcW w:w="3773" w:type="dxa"/>
          </w:tcPr>
          <w:p w14:paraId="035D1890"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GPET Greater Green Triangle</w:t>
            </w:r>
          </w:p>
        </w:tc>
        <w:tc>
          <w:tcPr>
            <w:tcW w:w="1183" w:type="dxa"/>
          </w:tcPr>
          <w:p w14:paraId="25840E67" w14:textId="77777777" w:rsidR="00817CB4" w:rsidRPr="009A5F5E"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9A5F5E">
              <w:t>486</w:t>
            </w:r>
          </w:p>
        </w:tc>
        <w:tc>
          <w:tcPr>
            <w:tcW w:w="4351" w:type="dxa"/>
          </w:tcPr>
          <w:p w14:paraId="562940D6" w14:textId="77777777" w:rsidR="00817CB4" w:rsidRPr="009A5F5E"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9A5F5E">
              <w:t>RACGP - Fellowship Programme</w:t>
            </w:r>
          </w:p>
        </w:tc>
      </w:tr>
      <w:tr w:rsidR="00817CB4" w:rsidRPr="009A5F5E" w14:paraId="17CC1E27" w14:textId="77777777" w:rsidTr="00F555EA">
        <w:trPr>
          <w:gridBefore w:val="1"/>
          <w:cnfStyle w:val="000000010000" w:firstRow="0" w:lastRow="0" w:firstColumn="0" w:lastColumn="0" w:oddVBand="0" w:evenVBand="0" w:oddHBand="0" w:evenHBand="1"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00362217" w14:textId="77777777" w:rsidR="00817CB4" w:rsidRPr="009A5F5E" w:rsidRDefault="00817CB4" w:rsidP="00733FD8">
            <w:pPr>
              <w:pStyle w:val="Tabletextleft"/>
            </w:pPr>
            <w:r w:rsidRPr="009A5F5E">
              <w:t>444</w:t>
            </w:r>
          </w:p>
        </w:tc>
        <w:tc>
          <w:tcPr>
            <w:tcW w:w="3773" w:type="dxa"/>
          </w:tcPr>
          <w:p w14:paraId="37C67591"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GPET VIC Metropolitan Alliance</w:t>
            </w:r>
          </w:p>
        </w:tc>
        <w:tc>
          <w:tcPr>
            <w:tcW w:w="1183" w:type="dxa"/>
          </w:tcPr>
          <w:p w14:paraId="539911C5" w14:textId="77777777" w:rsidR="00817CB4" w:rsidRPr="009A5F5E"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9A5F5E">
              <w:t>530</w:t>
            </w:r>
          </w:p>
        </w:tc>
        <w:tc>
          <w:tcPr>
            <w:tcW w:w="4351" w:type="dxa"/>
          </w:tcPr>
          <w:p w14:paraId="324B8F7B" w14:textId="77777777" w:rsidR="00817CB4" w:rsidRPr="009A5F5E"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9A5F5E">
              <w:t>General Practitioner - Approved by Health</w:t>
            </w:r>
          </w:p>
        </w:tc>
      </w:tr>
      <w:tr w:rsidR="00817CB4" w:rsidRPr="009A5F5E" w14:paraId="7FA304BB" w14:textId="77777777" w:rsidTr="00F555EA">
        <w:trPr>
          <w:gridBefore w:val="1"/>
          <w:cnfStyle w:val="000000100000" w:firstRow="0" w:lastRow="0" w:firstColumn="0" w:lastColumn="0" w:oddVBand="0" w:evenVBand="0" w:oddHBand="1"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0CAD880D" w14:textId="77777777" w:rsidR="00817CB4" w:rsidRPr="009A5F5E" w:rsidRDefault="00817CB4" w:rsidP="00733FD8">
            <w:pPr>
              <w:pStyle w:val="Tabletextleft"/>
            </w:pPr>
            <w:r w:rsidRPr="009A5F5E">
              <w:t>445</w:t>
            </w:r>
          </w:p>
        </w:tc>
        <w:tc>
          <w:tcPr>
            <w:tcW w:w="3773" w:type="dxa"/>
          </w:tcPr>
          <w:p w14:paraId="784911F1"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GPET WA Ed and Training Alliance</w:t>
            </w:r>
          </w:p>
        </w:tc>
        <w:tc>
          <w:tcPr>
            <w:tcW w:w="1183" w:type="dxa"/>
          </w:tcPr>
          <w:p w14:paraId="264245BC" w14:textId="77777777" w:rsidR="00817CB4" w:rsidRPr="009A5F5E"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9A5F5E">
              <w:t>532</w:t>
            </w:r>
          </w:p>
        </w:tc>
        <w:tc>
          <w:tcPr>
            <w:tcW w:w="4351" w:type="dxa"/>
          </w:tcPr>
          <w:p w14:paraId="577A0873" w14:textId="77777777" w:rsidR="00817CB4" w:rsidRPr="009A5F5E"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9A5F5E">
              <w:t>Fellow of ACRRM</w:t>
            </w:r>
          </w:p>
        </w:tc>
      </w:tr>
      <w:tr w:rsidR="00817CB4" w:rsidRPr="009A5F5E" w14:paraId="1A23EC98" w14:textId="77777777" w:rsidTr="00F555EA">
        <w:trPr>
          <w:gridBefore w:val="1"/>
          <w:cnfStyle w:val="000000010000" w:firstRow="0" w:lastRow="0" w:firstColumn="0" w:lastColumn="0" w:oddVBand="0" w:evenVBand="0" w:oddHBand="0" w:evenHBand="1"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2BF97BC9" w14:textId="77777777" w:rsidR="00817CB4" w:rsidRPr="009A5F5E" w:rsidRDefault="00817CB4" w:rsidP="00733FD8">
            <w:pPr>
              <w:pStyle w:val="Tabletextleft"/>
            </w:pPr>
            <w:r w:rsidRPr="009A5F5E">
              <w:t>446</w:t>
            </w:r>
          </w:p>
        </w:tc>
        <w:tc>
          <w:tcPr>
            <w:tcW w:w="3773" w:type="dxa"/>
          </w:tcPr>
          <w:p w14:paraId="1D0E9F9E"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Bogong Regional Training Network</w:t>
            </w:r>
          </w:p>
        </w:tc>
        <w:tc>
          <w:tcPr>
            <w:tcW w:w="1183" w:type="dxa"/>
          </w:tcPr>
          <w:p w14:paraId="550E42D2" w14:textId="77777777" w:rsidR="00817CB4" w:rsidRPr="009A5F5E"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9A5F5E">
              <w:t>540</w:t>
            </w:r>
          </w:p>
        </w:tc>
        <w:tc>
          <w:tcPr>
            <w:tcW w:w="4351" w:type="dxa"/>
          </w:tcPr>
          <w:p w14:paraId="1F2644A3" w14:textId="77777777" w:rsidR="00817CB4" w:rsidRPr="009A5F5E"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9A5F5E">
              <w:t>Specialist General Practitioner</w:t>
            </w:r>
          </w:p>
        </w:tc>
      </w:tr>
      <w:tr w:rsidR="00817CB4" w:rsidRPr="009A5F5E" w14:paraId="19753806" w14:textId="77777777" w:rsidTr="00F555EA">
        <w:trPr>
          <w:gridBefore w:val="1"/>
          <w:cnfStyle w:val="000000100000" w:firstRow="0" w:lastRow="0" w:firstColumn="0" w:lastColumn="0" w:oddVBand="0" w:evenVBand="0" w:oddHBand="1"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6F3852B7" w14:textId="77777777" w:rsidR="00817CB4" w:rsidRPr="009A5F5E" w:rsidRDefault="00817CB4" w:rsidP="00733FD8">
            <w:pPr>
              <w:pStyle w:val="Tabletextleft"/>
            </w:pPr>
            <w:r w:rsidRPr="009A5F5E">
              <w:t>447</w:t>
            </w:r>
          </w:p>
        </w:tc>
        <w:tc>
          <w:tcPr>
            <w:tcW w:w="3773" w:type="dxa"/>
          </w:tcPr>
          <w:p w14:paraId="5ECA2BF7"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 xml:space="preserve">Central West Consortium Ltd </w:t>
            </w:r>
          </w:p>
        </w:tc>
        <w:tc>
          <w:tcPr>
            <w:tcW w:w="1183" w:type="dxa"/>
          </w:tcPr>
          <w:p w14:paraId="0D059BBE" w14:textId="77777777" w:rsidR="00817CB4" w:rsidRPr="009A5F5E"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9A5F5E">
              <w:t>615</w:t>
            </w:r>
          </w:p>
        </w:tc>
        <w:tc>
          <w:tcPr>
            <w:tcW w:w="4351" w:type="dxa"/>
          </w:tcPr>
          <w:p w14:paraId="2B3488EA" w14:textId="77777777" w:rsidR="00817CB4" w:rsidRPr="009A5F5E"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9A5F5E">
              <w:t>Outer Metro OMPs</w:t>
            </w:r>
          </w:p>
        </w:tc>
      </w:tr>
      <w:tr w:rsidR="00817CB4" w:rsidRPr="009A5F5E" w14:paraId="414D7365" w14:textId="77777777" w:rsidTr="00F555EA">
        <w:trPr>
          <w:gridBefore w:val="1"/>
          <w:cnfStyle w:val="000000010000" w:firstRow="0" w:lastRow="0" w:firstColumn="0" w:lastColumn="0" w:oddVBand="0" w:evenVBand="0" w:oddHBand="0" w:evenHBand="1"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40F30ECE" w14:textId="77777777" w:rsidR="00817CB4" w:rsidRPr="009A5F5E" w:rsidRDefault="00817CB4" w:rsidP="00733FD8">
            <w:pPr>
              <w:pStyle w:val="Tabletextleft"/>
            </w:pPr>
            <w:r w:rsidRPr="009A5F5E">
              <w:t>448</w:t>
            </w:r>
          </w:p>
        </w:tc>
        <w:tc>
          <w:tcPr>
            <w:tcW w:w="3773" w:type="dxa"/>
          </w:tcPr>
          <w:p w14:paraId="478BB965"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Coast City Country GP Training Inc</w:t>
            </w:r>
          </w:p>
        </w:tc>
        <w:tc>
          <w:tcPr>
            <w:tcW w:w="1183" w:type="dxa"/>
          </w:tcPr>
          <w:p w14:paraId="5654393F" w14:textId="77777777" w:rsidR="00817CB4" w:rsidRPr="009A5F5E"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9A5F5E">
              <w:t>616</w:t>
            </w:r>
          </w:p>
        </w:tc>
        <w:tc>
          <w:tcPr>
            <w:tcW w:w="4351" w:type="dxa"/>
          </w:tcPr>
          <w:p w14:paraId="782512C1" w14:textId="77777777" w:rsidR="00817CB4" w:rsidRPr="009A5F5E"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9A5F5E">
              <w:t>Outer Metro Specialist Trainees</w:t>
            </w:r>
          </w:p>
        </w:tc>
      </w:tr>
      <w:tr w:rsidR="00817CB4" w:rsidRPr="009A5F5E" w14:paraId="296FC8A5" w14:textId="77777777" w:rsidTr="00F555EA">
        <w:trPr>
          <w:gridBefore w:val="1"/>
          <w:cnfStyle w:val="000000100000" w:firstRow="0" w:lastRow="0" w:firstColumn="0" w:lastColumn="0" w:oddVBand="0" w:evenVBand="0" w:oddHBand="1"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1176" w:type="dxa"/>
          </w:tcPr>
          <w:p w14:paraId="5350B824" w14:textId="77777777" w:rsidR="00817CB4" w:rsidRPr="009A5F5E" w:rsidRDefault="00817CB4" w:rsidP="00733FD8">
            <w:pPr>
              <w:pStyle w:val="Tabletextleft"/>
            </w:pPr>
            <w:r w:rsidRPr="009A5F5E">
              <w:t>449</w:t>
            </w:r>
          </w:p>
        </w:tc>
        <w:tc>
          <w:tcPr>
            <w:tcW w:w="3773" w:type="dxa"/>
          </w:tcPr>
          <w:p w14:paraId="5AB51DBC"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New England Area Training Service P/L</w:t>
            </w:r>
          </w:p>
        </w:tc>
        <w:tc>
          <w:tcPr>
            <w:tcW w:w="1183" w:type="dxa"/>
          </w:tcPr>
          <w:p w14:paraId="71429B46" w14:textId="77777777" w:rsidR="00817CB4" w:rsidRPr="009A5F5E"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9A5F5E">
              <w:t>617</w:t>
            </w:r>
          </w:p>
        </w:tc>
        <w:tc>
          <w:tcPr>
            <w:tcW w:w="4351" w:type="dxa"/>
          </w:tcPr>
          <w:p w14:paraId="234BAE70" w14:textId="77777777" w:rsidR="00817CB4" w:rsidRPr="009A5F5E"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9A5F5E">
              <w:t xml:space="preserve">Metropolitan Workforce Support Program </w:t>
            </w:r>
          </w:p>
        </w:tc>
      </w:tr>
    </w:tbl>
    <w:p w14:paraId="4EEA890C" w14:textId="77777777" w:rsidR="00817CB4" w:rsidRPr="009A5F5E" w:rsidRDefault="00817CB4" w:rsidP="0004758E">
      <w:bookmarkStart w:id="453" w:name="_Toc166066968"/>
      <w:bookmarkStart w:id="454" w:name="_Toc166068384"/>
      <w:bookmarkStart w:id="455" w:name="_Toc166068596"/>
      <w:bookmarkStart w:id="456" w:name="_Toc166069555"/>
      <w:bookmarkStart w:id="457" w:name="_Toc167109460"/>
      <w:bookmarkStart w:id="458" w:name="_Hlk165582216"/>
      <w:bookmarkEnd w:id="442"/>
      <w:r w:rsidRPr="009A5F5E">
        <w:br w:type="page"/>
      </w:r>
    </w:p>
    <w:p w14:paraId="16988341" w14:textId="397C05A2" w:rsidR="00817CB4" w:rsidRPr="009A5F5E" w:rsidRDefault="00781C8B" w:rsidP="001F7637">
      <w:pPr>
        <w:pStyle w:val="Heading2"/>
      </w:pPr>
      <w:bookmarkStart w:id="459" w:name="_Toc170120040"/>
      <w:bookmarkStart w:id="460" w:name="_Toc170817181"/>
      <w:bookmarkStart w:id="461" w:name="_Toc212118256"/>
      <w:r w:rsidRPr="009A5F5E">
        <w:lastRenderedPageBreak/>
        <w:t>GPACI</w:t>
      </w:r>
      <w:r w:rsidR="758819B6" w:rsidRPr="009A5F5E">
        <w:t xml:space="preserve"> eligible </w:t>
      </w:r>
      <w:bookmarkEnd w:id="453"/>
      <w:bookmarkEnd w:id="454"/>
      <w:bookmarkEnd w:id="455"/>
      <w:bookmarkEnd w:id="456"/>
      <w:r w:rsidR="758819B6" w:rsidRPr="009A5F5E">
        <w:t>services</w:t>
      </w:r>
      <w:bookmarkEnd w:id="457"/>
      <w:bookmarkEnd w:id="459"/>
      <w:bookmarkEnd w:id="460"/>
      <w:bookmarkEnd w:id="461"/>
    </w:p>
    <w:p w14:paraId="73F00BAF" w14:textId="77777777" w:rsidR="00817CB4" w:rsidRPr="009A5F5E" w:rsidRDefault="00817CB4" w:rsidP="00817CB4">
      <w:pPr>
        <w:spacing w:before="120" w:after="120" w:line="276" w:lineRule="auto"/>
        <w:rPr>
          <w:rFonts w:eastAsia="Times New Roman"/>
        </w:rPr>
      </w:pPr>
      <w:r w:rsidRPr="009A5F5E">
        <w:rPr>
          <w:rFonts w:eastAsia="Times New Roman"/>
        </w:rPr>
        <w:t>Version 1 – As of 5 April 2024.</w:t>
      </w:r>
      <w:bookmarkStart w:id="462" w:name="_Toc166068597"/>
      <w:bookmarkStart w:id="463" w:name="_Toc166069556"/>
    </w:p>
    <w:p w14:paraId="5AFD25D2" w14:textId="77777777" w:rsidR="00817CB4" w:rsidRPr="009A5F5E" w:rsidRDefault="00817CB4" w:rsidP="00407AD1">
      <w:pPr>
        <w:pStyle w:val="Heading3"/>
      </w:pPr>
      <w:bookmarkStart w:id="464" w:name="_Toc170120041"/>
      <w:bookmarkStart w:id="465" w:name="_Toc172899525"/>
      <w:bookmarkStart w:id="466" w:name="_Toc172899598"/>
      <w:bookmarkStart w:id="467" w:name="_Toc170817182"/>
      <w:r w:rsidRPr="009A5F5E">
        <w:t>Eligible care planning services</w:t>
      </w:r>
      <w:bookmarkEnd w:id="462"/>
      <w:bookmarkEnd w:id="463"/>
      <w:bookmarkEnd w:id="464"/>
      <w:bookmarkEnd w:id="465"/>
      <w:bookmarkEnd w:id="466"/>
      <w:bookmarkEnd w:id="467"/>
    </w:p>
    <w:p w14:paraId="3CA0BCD6" w14:textId="65A339EC" w:rsidR="00817CB4" w:rsidRPr="009A5F5E" w:rsidRDefault="00817CB4" w:rsidP="00817CB4">
      <w:pPr>
        <w:spacing w:before="120" w:after="120" w:line="276" w:lineRule="auto"/>
        <w:rPr>
          <w:rFonts w:eastAsia="Times New Roman"/>
        </w:rPr>
      </w:pPr>
      <w:r w:rsidRPr="009A5F5E">
        <w:rPr>
          <w:rFonts w:eastAsia="Times New Roman"/>
        </w:rPr>
        <w:t xml:space="preserve">The following MBS items are considered eligible care planning services for the </w:t>
      </w:r>
      <w:r w:rsidR="00781C8B" w:rsidRPr="009A5F5E">
        <w:rPr>
          <w:rFonts w:eastAsia="Times New Roman"/>
        </w:rPr>
        <w:t>GPACI</w:t>
      </w:r>
    </w:p>
    <w:tbl>
      <w:tblPr>
        <w:tblStyle w:val="DepartmentofHealthtable"/>
        <w:tblW w:w="9072" w:type="dxa"/>
        <w:tblLook w:val="04A0" w:firstRow="1" w:lastRow="0" w:firstColumn="1" w:lastColumn="0" w:noHBand="0" w:noVBand="1"/>
        <w:tblDescription w:val="Add Alt Text describing the content of the table"/>
      </w:tblPr>
      <w:tblGrid>
        <w:gridCol w:w="4536"/>
        <w:gridCol w:w="4536"/>
      </w:tblGrid>
      <w:tr w:rsidR="00817CB4" w:rsidRPr="009A5F5E" w14:paraId="68EB8249" w14:textId="77777777" w:rsidTr="005437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6" w:type="dxa"/>
          </w:tcPr>
          <w:p w14:paraId="7D792585" w14:textId="77777777" w:rsidR="00817CB4" w:rsidRPr="009A5F5E" w:rsidRDefault="00817CB4" w:rsidP="0054375E">
            <w:pPr>
              <w:pStyle w:val="TableHeaderWhite"/>
            </w:pPr>
            <w:r w:rsidRPr="009A5F5E">
              <w:t>Care Category</w:t>
            </w:r>
          </w:p>
        </w:tc>
        <w:tc>
          <w:tcPr>
            <w:tcW w:w="4536" w:type="dxa"/>
          </w:tcPr>
          <w:p w14:paraId="2BA15FF8" w14:textId="77777777" w:rsidR="00817CB4" w:rsidRPr="009A5F5E" w:rsidRDefault="00817CB4" w:rsidP="0054375E">
            <w:pPr>
              <w:pStyle w:val="TableHeader"/>
              <w:cnfStyle w:val="100000000000" w:firstRow="1" w:lastRow="0" w:firstColumn="0" w:lastColumn="0" w:oddVBand="0" w:evenVBand="0" w:oddHBand="0" w:evenHBand="0" w:firstRowFirstColumn="0" w:firstRowLastColumn="0" w:lastRowFirstColumn="0" w:lastRowLastColumn="0"/>
            </w:pPr>
            <w:r w:rsidRPr="009A5F5E">
              <w:t>MBS Item Number</w:t>
            </w:r>
          </w:p>
        </w:tc>
      </w:tr>
      <w:tr w:rsidR="00817CB4" w:rsidRPr="009A5F5E" w14:paraId="02B329B3"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val="restart"/>
            <w:vAlign w:val="center"/>
          </w:tcPr>
          <w:p w14:paraId="2DF21884" w14:textId="77777777" w:rsidR="00817CB4" w:rsidRPr="009A5F5E" w:rsidRDefault="00817CB4" w:rsidP="00733FD8">
            <w:pPr>
              <w:pStyle w:val="Tabletextleft"/>
            </w:pPr>
            <w:r w:rsidRPr="009A5F5E">
              <w:t>Comprehensive medical assessment</w:t>
            </w:r>
          </w:p>
        </w:tc>
        <w:tc>
          <w:tcPr>
            <w:tcW w:w="4536" w:type="dxa"/>
          </w:tcPr>
          <w:p w14:paraId="3BA34C4E"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224</w:t>
            </w:r>
          </w:p>
        </w:tc>
      </w:tr>
      <w:tr w:rsidR="00817CB4" w:rsidRPr="009A5F5E" w14:paraId="0799F304"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vAlign w:val="center"/>
          </w:tcPr>
          <w:p w14:paraId="2E5377F1" w14:textId="77777777" w:rsidR="00817CB4" w:rsidRPr="009A5F5E" w:rsidRDefault="00817CB4" w:rsidP="00733FD8">
            <w:pPr>
              <w:pStyle w:val="Tabletextleft"/>
            </w:pPr>
          </w:p>
        </w:tc>
        <w:tc>
          <w:tcPr>
            <w:tcW w:w="4536" w:type="dxa"/>
          </w:tcPr>
          <w:p w14:paraId="532D3012"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225</w:t>
            </w:r>
          </w:p>
        </w:tc>
      </w:tr>
      <w:tr w:rsidR="00817CB4" w:rsidRPr="009A5F5E" w14:paraId="3D0AC826"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vAlign w:val="center"/>
          </w:tcPr>
          <w:p w14:paraId="380C9714" w14:textId="77777777" w:rsidR="00817CB4" w:rsidRPr="009A5F5E" w:rsidRDefault="00817CB4" w:rsidP="00733FD8">
            <w:pPr>
              <w:pStyle w:val="Tabletextleft"/>
            </w:pPr>
          </w:p>
        </w:tc>
        <w:tc>
          <w:tcPr>
            <w:tcW w:w="4536" w:type="dxa"/>
          </w:tcPr>
          <w:p w14:paraId="560C9DB3"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226</w:t>
            </w:r>
          </w:p>
        </w:tc>
      </w:tr>
      <w:tr w:rsidR="00817CB4" w:rsidRPr="009A5F5E" w14:paraId="582EAA69"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vAlign w:val="center"/>
          </w:tcPr>
          <w:p w14:paraId="61AD37C3" w14:textId="77777777" w:rsidR="00817CB4" w:rsidRPr="009A5F5E" w:rsidRDefault="00817CB4" w:rsidP="00733FD8">
            <w:pPr>
              <w:pStyle w:val="Tabletextleft"/>
            </w:pPr>
          </w:p>
        </w:tc>
        <w:tc>
          <w:tcPr>
            <w:tcW w:w="4536" w:type="dxa"/>
          </w:tcPr>
          <w:p w14:paraId="4D412B80"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227</w:t>
            </w:r>
          </w:p>
        </w:tc>
      </w:tr>
      <w:tr w:rsidR="00817CB4" w:rsidRPr="009A5F5E" w14:paraId="09C0509E"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vAlign w:val="center"/>
          </w:tcPr>
          <w:p w14:paraId="114C60FA" w14:textId="77777777" w:rsidR="00817CB4" w:rsidRPr="009A5F5E" w:rsidRDefault="00817CB4" w:rsidP="00733FD8">
            <w:pPr>
              <w:pStyle w:val="Tabletextleft"/>
            </w:pPr>
          </w:p>
        </w:tc>
        <w:tc>
          <w:tcPr>
            <w:tcW w:w="4536" w:type="dxa"/>
          </w:tcPr>
          <w:p w14:paraId="3A3120B3"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701</w:t>
            </w:r>
          </w:p>
        </w:tc>
      </w:tr>
      <w:tr w:rsidR="00817CB4" w:rsidRPr="009A5F5E" w14:paraId="2ADDD613"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vAlign w:val="center"/>
          </w:tcPr>
          <w:p w14:paraId="31E16BDB" w14:textId="77777777" w:rsidR="00817CB4" w:rsidRPr="009A5F5E" w:rsidRDefault="00817CB4" w:rsidP="00733FD8">
            <w:pPr>
              <w:pStyle w:val="Tabletextleft"/>
            </w:pPr>
          </w:p>
        </w:tc>
        <w:tc>
          <w:tcPr>
            <w:tcW w:w="4536" w:type="dxa"/>
          </w:tcPr>
          <w:p w14:paraId="2FF37BB7"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703</w:t>
            </w:r>
          </w:p>
        </w:tc>
      </w:tr>
      <w:tr w:rsidR="00817CB4" w:rsidRPr="009A5F5E" w14:paraId="3F7271A6"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vAlign w:val="center"/>
          </w:tcPr>
          <w:p w14:paraId="1B6A7264" w14:textId="77777777" w:rsidR="00817CB4" w:rsidRPr="009A5F5E" w:rsidRDefault="00817CB4" w:rsidP="00733FD8">
            <w:pPr>
              <w:pStyle w:val="Tabletextleft"/>
            </w:pPr>
          </w:p>
        </w:tc>
        <w:tc>
          <w:tcPr>
            <w:tcW w:w="4536" w:type="dxa"/>
          </w:tcPr>
          <w:p w14:paraId="5DB337D9"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705</w:t>
            </w:r>
          </w:p>
        </w:tc>
      </w:tr>
      <w:tr w:rsidR="00817CB4" w:rsidRPr="009A5F5E" w14:paraId="019F9CD9"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vAlign w:val="center"/>
          </w:tcPr>
          <w:p w14:paraId="247EC3C6" w14:textId="77777777" w:rsidR="00817CB4" w:rsidRPr="009A5F5E" w:rsidRDefault="00817CB4" w:rsidP="00733FD8">
            <w:pPr>
              <w:pStyle w:val="Tabletextleft"/>
            </w:pPr>
          </w:p>
        </w:tc>
        <w:tc>
          <w:tcPr>
            <w:tcW w:w="4536" w:type="dxa"/>
          </w:tcPr>
          <w:p w14:paraId="2E294DEF"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707</w:t>
            </w:r>
          </w:p>
        </w:tc>
      </w:tr>
      <w:tr w:rsidR="00817CB4" w:rsidRPr="009A5F5E" w14:paraId="4725C6EF"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val="restart"/>
            <w:vAlign w:val="center"/>
          </w:tcPr>
          <w:p w14:paraId="6350EE32" w14:textId="77777777" w:rsidR="00817CB4" w:rsidRPr="009A5F5E" w:rsidRDefault="00817CB4" w:rsidP="00733FD8">
            <w:pPr>
              <w:pStyle w:val="Tabletextleft"/>
            </w:pPr>
            <w:r w:rsidRPr="009A5F5E">
              <w:t>Contribution to, or review of, multidisciplinary care plan</w:t>
            </w:r>
          </w:p>
        </w:tc>
        <w:tc>
          <w:tcPr>
            <w:tcW w:w="4536" w:type="dxa"/>
          </w:tcPr>
          <w:p w14:paraId="32CEEB4D"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232</w:t>
            </w:r>
          </w:p>
        </w:tc>
      </w:tr>
      <w:tr w:rsidR="00817CB4" w:rsidRPr="009A5F5E" w14:paraId="40F1C4D1"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vAlign w:val="center"/>
          </w:tcPr>
          <w:p w14:paraId="0F4D9020" w14:textId="77777777" w:rsidR="00817CB4" w:rsidRPr="009A5F5E" w:rsidRDefault="00817CB4" w:rsidP="00733FD8">
            <w:pPr>
              <w:pStyle w:val="Tabletextleft"/>
            </w:pPr>
          </w:p>
        </w:tc>
        <w:tc>
          <w:tcPr>
            <w:tcW w:w="4536" w:type="dxa"/>
          </w:tcPr>
          <w:p w14:paraId="2D9ED22D"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731</w:t>
            </w:r>
          </w:p>
        </w:tc>
      </w:tr>
      <w:tr w:rsidR="00817CB4" w:rsidRPr="009A5F5E" w14:paraId="3451570E"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val="restart"/>
            <w:vAlign w:val="center"/>
          </w:tcPr>
          <w:p w14:paraId="16184FCF" w14:textId="77777777" w:rsidR="00817CB4" w:rsidRPr="009A5F5E" w:rsidRDefault="00817CB4" w:rsidP="00733FD8">
            <w:pPr>
              <w:pStyle w:val="Tabletextleft"/>
            </w:pPr>
            <w:r w:rsidRPr="009A5F5E">
              <w:t>Residential Medication Management Review</w:t>
            </w:r>
          </w:p>
        </w:tc>
        <w:tc>
          <w:tcPr>
            <w:tcW w:w="4536" w:type="dxa"/>
          </w:tcPr>
          <w:p w14:paraId="3DBA6F6C"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249</w:t>
            </w:r>
          </w:p>
        </w:tc>
      </w:tr>
      <w:tr w:rsidR="00817CB4" w:rsidRPr="009A5F5E" w14:paraId="5662E263"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vAlign w:val="center"/>
          </w:tcPr>
          <w:p w14:paraId="2F857F3E" w14:textId="77777777" w:rsidR="00817CB4" w:rsidRPr="009A5F5E" w:rsidRDefault="00817CB4" w:rsidP="00733FD8">
            <w:pPr>
              <w:pStyle w:val="Tabletextleft"/>
            </w:pPr>
          </w:p>
        </w:tc>
        <w:tc>
          <w:tcPr>
            <w:tcW w:w="4536" w:type="dxa"/>
          </w:tcPr>
          <w:p w14:paraId="2F6F281E"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903</w:t>
            </w:r>
          </w:p>
        </w:tc>
      </w:tr>
      <w:tr w:rsidR="00817CB4" w:rsidRPr="009A5F5E" w14:paraId="26052BC1"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val="restart"/>
            <w:vAlign w:val="center"/>
          </w:tcPr>
          <w:p w14:paraId="2A93C17D" w14:textId="77777777" w:rsidR="00817CB4" w:rsidRPr="009A5F5E" w:rsidRDefault="00817CB4" w:rsidP="00733FD8">
            <w:pPr>
              <w:pStyle w:val="Tabletextleft"/>
            </w:pPr>
            <w:r w:rsidRPr="009A5F5E">
              <w:t>Multidisciplinary care conference</w:t>
            </w:r>
          </w:p>
        </w:tc>
        <w:tc>
          <w:tcPr>
            <w:tcW w:w="4536" w:type="dxa"/>
          </w:tcPr>
          <w:p w14:paraId="0172A3DE"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235</w:t>
            </w:r>
          </w:p>
        </w:tc>
      </w:tr>
      <w:tr w:rsidR="00817CB4" w:rsidRPr="009A5F5E" w14:paraId="65C74A3F"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tcPr>
          <w:p w14:paraId="2F6C561E" w14:textId="77777777" w:rsidR="00817CB4" w:rsidRPr="009A5F5E" w:rsidRDefault="00817CB4" w:rsidP="00733FD8">
            <w:pPr>
              <w:pStyle w:val="Tabletextleft"/>
            </w:pPr>
          </w:p>
        </w:tc>
        <w:tc>
          <w:tcPr>
            <w:tcW w:w="4536" w:type="dxa"/>
          </w:tcPr>
          <w:p w14:paraId="6A309B6B"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236</w:t>
            </w:r>
          </w:p>
        </w:tc>
      </w:tr>
      <w:tr w:rsidR="00817CB4" w:rsidRPr="009A5F5E" w14:paraId="222D3382"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tcPr>
          <w:p w14:paraId="29784A79" w14:textId="77777777" w:rsidR="00817CB4" w:rsidRPr="009A5F5E" w:rsidRDefault="00817CB4" w:rsidP="00733FD8">
            <w:pPr>
              <w:pStyle w:val="Tabletextleft"/>
            </w:pPr>
          </w:p>
        </w:tc>
        <w:tc>
          <w:tcPr>
            <w:tcW w:w="4536" w:type="dxa"/>
          </w:tcPr>
          <w:p w14:paraId="06CDD9E7"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237</w:t>
            </w:r>
          </w:p>
        </w:tc>
      </w:tr>
      <w:tr w:rsidR="00817CB4" w:rsidRPr="009A5F5E" w14:paraId="6977B70E"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tcPr>
          <w:p w14:paraId="3B1DCBBB" w14:textId="77777777" w:rsidR="00817CB4" w:rsidRPr="009A5F5E" w:rsidRDefault="00817CB4" w:rsidP="00733FD8">
            <w:pPr>
              <w:pStyle w:val="Tabletextleft"/>
            </w:pPr>
          </w:p>
        </w:tc>
        <w:tc>
          <w:tcPr>
            <w:tcW w:w="4536" w:type="dxa"/>
          </w:tcPr>
          <w:p w14:paraId="011DA60B"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238</w:t>
            </w:r>
          </w:p>
        </w:tc>
      </w:tr>
      <w:tr w:rsidR="00817CB4" w:rsidRPr="009A5F5E" w14:paraId="44CDFF5A"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tcPr>
          <w:p w14:paraId="30B683BB" w14:textId="77777777" w:rsidR="00817CB4" w:rsidRPr="009A5F5E" w:rsidRDefault="00817CB4" w:rsidP="00733FD8">
            <w:pPr>
              <w:pStyle w:val="Tabletextleft"/>
            </w:pPr>
          </w:p>
        </w:tc>
        <w:tc>
          <w:tcPr>
            <w:tcW w:w="4536" w:type="dxa"/>
          </w:tcPr>
          <w:p w14:paraId="64E87499"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239</w:t>
            </w:r>
          </w:p>
        </w:tc>
      </w:tr>
      <w:tr w:rsidR="00817CB4" w:rsidRPr="009A5F5E" w14:paraId="156E8AA6"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tcPr>
          <w:p w14:paraId="2DC9FD82" w14:textId="77777777" w:rsidR="00817CB4" w:rsidRPr="009A5F5E" w:rsidRDefault="00817CB4" w:rsidP="00733FD8">
            <w:pPr>
              <w:pStyle w:val="Tabletextleft"/>
            </w:pPr>
          </w:p>
        </w:tc>
        <w:tc>
          <w:tcPr>
            <w:tcW w:w="4536" w:type="dxa"/>
          </w:tcPr>
          <w:p w14:paraId="390F2796"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240</w:t>
            </w:r>
          </w:p>
        </w:tc>
      </w:tr>
      <w:tr w:rsidR="00817CB4" w:rsidRPr="009A5F5E" w14:paraId="75E26EE0"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tcPr>
          <w:p w14:paraId="4CC9BE06" w14:textId="77777777" w:rsidR="00817CB4" w:rsidRPr="009A5F5E" w:rsidRDefault="00817CB4" w:rsidP="00733FD8">
            <w:pPr>
              <w:pStyle w:val="Tabletextleft"/>
            </w:pPr>
          </w:p>
        </w:tc>
        <w:tc>
          <w:tcPr>
            <w:tcW w:w="4536" w:type="dxa"/>
          </w:tcPr>
          <w:p w14:paraId="728BBD19"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735</w:t>
            </w:r>
          </w:p>
        </w:tc>
      </w:tr>
      <w:tr w:rsidR="00817CB4" w:rsidRPr="009A5F5E" w14:paraId="75C228A1"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tcPr>
          <w:p w14:paraId="0AC47EE4" w14:textId="77777777" w:rsidR="00817CB4" w:rsidRPr="009A5F5E" w:rsidRDefault="00817CB4" w:rsidP="00733FD8">
            <w:pPr>
              <w:pStyle w:val="Tabletextleft"/>
            </w:pPr>
          </w:p>
        </w:tc>
        <w:tc>
          <w:tcPr>
            <w:tcW w:w="4536" w:type="dxa"/>
          </w:tcPr>
          <w:p w14:paraId="2F449984"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739</w:t>
            </w:r>
          </w:p>
        </w:tc>
      </w:tr>
      <w:tr w:rsidR="00817CB4" w:rsidRPr="009A5F5E" w14:paraId="1BC38F1E"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tcPr>
          <w:p w14:paraId="349D93DD" w14:textId="77777777" w:rsidR="00817CB4" w:rsidRPr="009A5F5E" w:rsidRDefault="00817CB4" w:rsidP="00733FD8">
            <w:pPr>
              <w:pStyle w:val="Tabletextleft"/>
            </w:pPr>
          </w:p>
        </w:tc>
        <w:tc>
          <w:tcPr>
            <w:tcW w:w="4536" w:type="dxa"/>
          </w:tcPr>
          <w:p w14:paraId="1C3E4401"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743</w:t>
            </w:r>
          </w:p>
        </w:tc>
      </w:tr>
      <w:tr w:rsidR="00817CB4" w:rsidRPr="009A5F5E" w14:paraId="5C154C3F"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tcPr>
          <w:p w14:paraId="38562094" w14:textId="77777777" w:rsidR="00817CB4" w:rsidRPr="009A5F5E" w:rsidRDefault="00817CB4" w:rsidP="00733FD8">
            <w:pPr>
              <w:pStyle w:val="Tabletextleft"/>
            </w:pPr>
          </w:p>
        </w:tc>
        <w:tc>
          <w:tcPr>
            <w:tcW w:w="4536" w:type="dxa"/>
          </w:tcPr>
          <w:p w14:paraId="5B2CADD3"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747</w:t>
            </w:r>
          </w:p>
        </w:tc>
      </w:tr>
      <w:tr w:rsidR="00817CB4" w:rsidRPr="009A5F5E" w14:paraId="763E54DD"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tcPr>
          <w:p w14:paraId="381AE980" w14:textId="77777777" w:rsidR="00817CB4" w:rsidRPr="009A5F5E" w:rsidRDefault="00817CB4" w:rsidP="00733FD8">
            <w:pPr>
              <w:pStyle w:val="Tabletextleft"/>
            </w:pPr>
          </w:p>
        </w:tc>
        <w:tc>
          <w:tcPr>
            <w:tcW w:w="4536" w:type="dxa"/>
          </w:tcPr>
          <w:p w14:paraId="7B7C9A74"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750</w:t>
            </w:r>
          </w:p>
        </w:tc>
      </w:tr>
      <w:tr w:rsidR="00817CB4" w:rsidRPr="009A5F5E" w14:paraId="6F778663"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tcPr>
          <w:p w14:paraId="504AA4E2" w14:textId="77777777" w:rsidR="00817CB4" w:rsidRPr="009A5F5E" w:rsidRDefault="00817CB4" w:rsidP="00733FD8">
            <w:pPr>
              <w:pStyle w:val="Tabletextleft"/>
            </w:pPr>
          </w:p>
        </w:tc>
        <w:tc>
          <w:tcPr>
            <w:tcW w:w="4536" w:type="dxa"/>
          </w:tcPr>
          <w:p w14:paraId="5AA46304"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758</w:t>
            </w:r>
          </w:p>
        </w:tc>
      </w:tr>
    </w:tbl>
    <w:p w14:paraId="576B806B" w14:textId="7B4C7B35" w:rsidR="00817CB4" w:rsidRPr="009A5F5E" w:rsidRDefault="00817CB4" w:rsidP="00817CB4">
      <w:pPr>
        <w:keepNext/>
        <w:keepLines/>
        <w:spacing w:before="120" w:after="120" w:line="276" w:lineRule="auto"/>
        <w:rPr>
          <w:rFonts w:eastAsia="Times New Roman"/>
        </w:rPr>
      </w:pPr>
      <w:r w:rsidRPr="009A5F5E">
        <w:rPr>
          <w:rFonts w:eastAsia="Times New Roman"/>
        </w:rPr>
        <w:t xml:space="preserve">The following DVA item numbers are considered eligible care planning services for the </w:t>
      </w:r>
      <w:r w:rsidR="00781C8B" w:rsidRPr="009A5F5E">
        <w:rPr>
          <w:rFonts w:eastAsia="Times New Roman"/>
        </w:rPr>
        <w:t>GPACI</w:t>
      </w:r>
    </w:p>
    <w:tbl>
      <w:tblPr>
        <w:tblStyle w:val="DepartmentofHealthtable"/>
        <w:tblW w:w="9072" w:type="dxa"/>
        <w:tblLook w:val="04A0" w:firstRow="1" w:lastRow="0" w:firstColumn="1" w:lastColumn="0" w:noHBand="0" w:noVBand="1"/>
        <w:tblDescription w:val="Add Alt Text describing the content of the table"/>
      </w:tblPr>
      <w:tblGrid>
        <w:gridCol w:w="4536"/>
        <w:gridCol w:w="4536"/>
      </w:tblGrid>
      <w:tr w:rsidR="00817CB4" w:rsidRPr="009A5F5E" w14:paraId="47582831" w14:textId="77777777" w:rsidTr="005437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6" w:type="dxa"/>
          </w:tcPr>
          <w:p w14:paraId="522A7DD5" w14:textId="77777777" w:rsidR="00817CB4" w:rsidRPr="009A5F5E" w:rsidRDefault="00817CB4" w:rsidP="0054375E">
            <w:pPr>
              <w:pStyle w:val="TableHeaderWhite"/>
              <w:keepNext/>
              <w:keepLines/>
            </w:pPr>
            <w:r w:rsidRPr="009A5F5E">
              <w:t>Care Category</w:t>
            </w:r>
          </w:p>
        </w:tc>
        <w:tc>
          <w:tcPr>
            <w:tcW w:w="4536" w:type="dxa"/>
          </w:tcPr>
          <w:p w14:paraId="432A42F9" w14:textId="77777777" w:rsidR="00817CB4" w:rsidRPr="009A5F5E" w:rsidRDefault="00817CB4" w:rsidP="0054375E">
            <w:pPr>
              <w:pStyle w:val="TableHeader"/>
              <w:keepNext/>
              <w:keepLines/>
              <w:cnfStyle w:val="100000000000" w:firstRow="1" w:lastRow="0" w:firstColumn="0" w:lastColumn="0" w:oddVBand="0" w:evenVBand="0" w:oddHBand="0" w:evenHBand="0" w:firstRowFirstColumn="0" w:firstRowLastColumn="0" w:lastRowFirstColumn="0" w:lastRowLastColumn="0"/>
            </w:pPr>
            <w:r w:rsidRPr="009A5F5E">
              <w:t>DVA Item Number</w:t>
            </w:r>
          </w:p>
        </w:tc>
      </w:tr>
      <w:tr w:rsidR="00817CB4" w:rsidRPr="009A5F5E" w14:paraId="3D659BA1"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val="restart"/>
            <w:vAlign w:val="center"/>
          </w:tcPr>
          <w:p w14:paraId="1C0AC28F" w14:textId="77777777" w:rsidR="00817CB4" w:rsidRPr="009A5F5E" w:rsidRDefault="00817CB4" w:rsidP="00733FD8">
            <w:pPr>
              <w:pStyle w:val="Tabletextleft"/>
            </w:pPr>
            <w:r w:rsidRPr="009A5F5E">
              <w:t>Veteran Health Check</w:t>
            </w:r>
          </w:p>
        </w:tc>
        <w:tc>
          <w:tcPr>
            <w:tcW w:w="4536" w:type="dxa"/>
          </w:tcPr>
          <w:p w14:paraId="63D6AADC"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MT701</w:t>
            </w:r>
          </w:p>
        </w:tc>
      </w:tr>
      <w:tr w:rsidR="00817CB4" w:rsidRPr="009A5F5E" w14:paraId="2C9F5BDA"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tcPr>
          <w:p w14:paraId="7E1043EE" w14:textId="77777777" w:rsidR="00817CB4" w:rsidRPr="009A5F5E" w:rsidRDefault="00817CB4" w:rsidP="00733FD8">
            <w:pPr>
              <w:pStyle w:val="Tabletextleft"/>
            </w:pPr>
          </w:p>
        </w:tc>
        <w:tc>
          <w:tcPr>
            <w:tcW w:w="4536" w:type="dxa"/>
          </w:tcPr>
          <w:p w14:paraId="510AF680"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MT703</w:t>
            </w:r>
          </w:p>
        </w:tc>
      </w:tr>
      <w:tr w:rsidR="00817CB4" w:rsidRPr="009A5F5E" w14:paraId="5D3756FC"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tcPr>
          <w:p w14:paraId="78937B61" w14:textId="77777777" w:rsidR="00817CB4" w:rsidRPr="009A5F5E" w:rsidRDefault="00817CB4" w:rsidP="00733FD8">
            <w:pPr>
              <w:pStyle w:val="Tabletextleft"/>
            </w:pPr>
          </w:p>
        </w:tc>
        <w:tc>
          <w:tcPr>
            <w:tcW w:w="4536" w:type="dxa"/>
          </w:tcPr>
          <w:p w14:paraId="4CF1397D"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MT705</w:t>
            </w:r>
          </w:p>
        </w:tc>
      </w:tr>
      <w:tr w:rsidR="00817CB4" w:rsidRPr="009A5F5E" w14:paraId="3DB0F152"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tcPr>
          <w:p w14:paraId="2F10F4F0" w14:textId="77777777" w:rsidR="00817CB4" w:rsidRPr="009A5F5E" w:rsidRDefault="00817CB4" w:rsidP="00733FD8">
            <w:pPr>
              <w:pStyle w:val="Tabletextleft"/>
            </w:pPr>
          </w:p>
        </w:tc>
        <w:tc>
          <w:tcPr>
            <w:tcW w:w="4536" w:type="dxa"/>
          </w:tcPr>
          <w:p w14:paraId="38916A8A"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MT707</w:t>
            </w:r>
          </w:p>
        </w:tc>
      </w:tr>
    </w:tbl>
    <w:p w14:paraId="4826B1AD" w14:textId="77777777" w:rsidR="00817CB4" w:rsidRPr="009A5F5E" w:rsidRDefault="00817CB4" w:rsidP="00407AD1">
      <w:pPr>
        <w:pStyle w:val="Heading3"/>
      </w:pPr>
      <w:bookmarkStart w:id="468" w:name="_Toc166068598"/>
      <w:bookmarkStart w:id="469" w:name="_Toc166069557"/>
      <w:bookmarkStart w:id="470" w:name="_Toc170120042"/>
      <w:bookmarkStart w:id="471" w:name="_Toc172899526"/>
      <w:bookmarkStart w:id="472" w:name="_Toc172899599"/>
      <w:bookmarkStart w:id="473" w:name="_Toc170817183"/>
      <w:r w:rsidRPr="009A5F5E">
        <w:t>Eligible regular services</w:t>
      </w:r>
      <w:bookmarkEnd w:id="468"/>
      <w:bookmarkEnd w:id="469"/>
      <w:bookmarkEnd w:id="470"/>
      <w:bookmarkEnd w:id="471"/>
      <w:bookmarkEnd w:id="472"/>
      <w:bookmarkEnd w:id="473"/>
    </w:p>
    <w:p w14:paraId="0F7B205A" w14:textId="15815B1A" w:rsidR="00817CB4" w:rsidRPr="009A5F5E" w:rsidRDefault="00817CB4" w:rsidP="00817CB4">
      <w:pPr>
        <w:spacing w:before="120" w:after="120" w:line="276" w:lineRule="auto"/>
        <w:rPr>
          <w:rFonts w:eastAsia="Times New Roman"/>
        </w:rPr>
      </w:pPr>
      <w:r w:rsidRPr="009A5F5E">
        <w:rPr>
          <w:rFonts w:eastAsia="Times New Roman"/>
        </w:rPr>
        <w:t xml:space="preserve">The following MBS items are considered eligible regular services for the </w:t>
      </w:r>
      <w:r w:rsidR="00781C8B" w:rsidRPr="009A5F5E">
        <w:rPr>
          <w:rFonts w:eastAsia="Times New Roman"/>
        </w:rPr>
        <w:t>GPACI</w:t>
      </w:r>
      <w:r w:rsidRPr="009A5F5E">
        <w:rPr>
          <w:rFonts w:eastAsia="Times New Roman"/>
        </w:rPr>
        <w:t>.</w:t>
      </w:r>
    </w:p>
    <w:tbl>
      <w:tblPr>
        <w:tblStyle w:val="DepartmentofHealthtable"/>
        <w:tblW w:w="9072" w:type="dxa"/>
        <w:tblLook w:val="04A0" w:firstRow="1" w:lastRow="0" w:firstColumn="1" w:lastColumn="0" w:noHBand="0" w:noVBand="1"/>
        <w:tblDescription w:val="Add Alt Text describing the content of the table"/>
      </w:tblPr>
      <w:tblGrid>
        <w:gridCol w:w="4395"/>
        <w:gridCol w:w="4677"/>
      </w:tblGrid>
      <w:tr w:rsidR="00817CB4" w:rsidRPr="009A5F5E" w14:paraId="7267104E" w14:textId="77777777" w:rsidTr="005437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tcPr>
          <w:p w14:paraId="0194E2C2" w14:textId="77777777" w:rsidR="00817CB4" w:rsidRPr="009A5F5E" w:rsidRDefault="00817CB4" w:rsidP="0054375E">
            <w:pPr>
              <w:pStyle w:val="TableHeaderWhite"/>
            </w:pPr>
            <w:r w:rsidRPr="009A5F5E">
              <w:t>Care Category</w:t>
            </w:r>
          </w:p>
        </w:tc>
        <w:tc>
          <w:tcPr>
            <w:tcW w:w="4677" w:type="dxa"/>
          </w:tcPr>
          <w:p w14:paraId="47CBD995" w14:textId="77777777" w:rsidR="00817CB4" w:rsidRPr="009A5F5E" w:rsidRDefault="00817CB4" w:rsidP="0054375E">
            <w:pPr>
              <w:pStyle w:val="TableHeader"/>
              <w:cnfStyle w:val="100000000000" w:firstRow="1" w:lastRow="0" w:firstColumn="0" w:lastColumn="0" w:oddVBand="0" w:evenVBand="0" w:oddHBand="0" w:evenHBand="0" w:firstRowFirstColumn="0" w:firstRowLastColumn="0" w:lastRowFirstColumn="0" w:lastRowLastColumn="0"/>
            </w:pPr>
            <w:r w:rsidRPr="009A5F5E">
              <w:t>MBS Item Number</w:t>
            </w:r>
          </w:p>
        </w:tc>
      </w:tr>
      <w:tr w:rsidR="00817CB4" w:rsidRPr="009A5F5E" w14:paraId="5211F7C1"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val="restart"/>
            <w:vAlign w:val="center"/>
          </w:tcPr>
          <w:p w14:paraId="76E96A35" w14:textId="77777777" w:rsidR="00817CB4" w:rsidRPr="009A5F5E" w:rsidRDefault="00817CB4" w:rsidP="00733FD8">
            <w:pPr>
              <w:pStyle w:val="Tabletextleft"/>
            </w:pPr>
            <w:r w:rsidRPr="009A5F5E">
              <w:t>Attendance at a residential aged care home (B-E Consultation)</w:t>
            </w:r>
          </w:p>
        </w:tc>
        <w:tc>
          <w:tcPr>
            <w:tcW w:w="4677" w:type="dxa"/>
          </w:tcPr>
          <w:p w14:paraId="739C666A"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90035</w:t>
            </w:r>
          </w:p>
        </w:tc>
      </w:tr>
      <w:tr w:rsidR="00817CB4" w:rsidRPr="009A5F5E" w14:paraId="06E2FC1C"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165A7BB6" w14:textId="77777777" w:rsidR="00817CB4" w:rsidRPr="009A5F5E" w:rsidRDefault="00817CB4" w:rsidP="00733FD8">
            <w:pPr>
              <w:pStyle w:val="Tabletextleft"/>
            </w:pPr>
          </w:p>
        </w:tc>
        <w:tc>
          <w:tcPr>
            <w:tcW w:w="4677" w:type="dxa"/>
          </w:tcPr>
          <w:p w14:paraId="2848AB5E"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90043</w:t>
            </w:r>
          </w:p>
        </w:tc>
      </w:tr>
      <w:tr w:rsidR="00817CB4" w:rsidRPr="009A5F5E" w14:paraId="53BA3B72"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4CEE722C" w14:textId="77777777" w:rsidR="00817CB4" w:rsidRPr="009A5F5E" w:rsidRDefault="00817CB4" w:rsidP="00733FD8">
            <w:pPr>
              <w:pStyle w:val="Tabletextleft"/>
            </w:pPr>
          </w:p>
        </w:tc>
        <w:tc>
          <w:tcPr>
            <w:tcW w:w="4677" w:type="dxa"/>
          </w:tcPr>
          <w:p w14:paraId="729EDE12"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90051</w:t>
            </w:r>
          </w:p>
        </w:tc>
      </w:tr>
      <w:tr w:rsidR="00817CB4" w:rsidRPr="009A5F5E" w14:paraId="1130E808"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2A875543" w14:textId="77777777" w:rsidR="00817CB4" w:rsidRPr="009A5F5E" w:rsidRDefault="00817CB4" w:rsidP="00733FD8">
            <w:pPr>
              <w:pStyle w:val="Tabletextleft"/>
            </w:pPr>
          </w:p>
        </w:tc>
        <w:tc>
          <w:tcPr>
            <w:tcW w:w="4677" w:type="dxa"/>
          </w:tcPr>
          <w:p w14:paraId="24DEC4CE"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90054</w:t>
            </w:r>
          </w:p>
        </w:tc>
      </w:tr>
      <w:tr w:rsidR="00817CB4" w:rsidRPr="009A5F5E" w14:paraId="47249668"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1C42428A" w14:textId="77777777" w:rsidR="00817CB4" w:rsidRPr="009A5F5E" w:rsidRDefault="00817CB4" w:rsidP="00733FD8">
            <w:pPr>
              <w:pStyle w:val="Tabletextleft"/>
            </w:pPr>
          </w:p>
        </w:tc>
        <w:tc>
          <w:tcPr>
            <w:tcW w:w="4677" w:type="dxa"/>
          </w:tcPr>
          <w:p w14:paraId="34FF747C"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90093</w:t>
            </w:r>
          </w:p>
        </w:tc>
      </w:tr>
      <w:tr w:rsidR="00817CB4" w:rsidRPr="009A5F5E" w14:paraId="1CC12B91"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61AAFA0E" w14:textId="77777777" w:rsidR="00817CB4" w:rsidRPr="009A5F5E" w:rsidRDefault="00817CB4" w:rsidP="00733FD8">
            <w:pPr>
              <w:pStyle w:val="Tabletextleft"/>
            </w:pPr>
          </w:p>
        </w:tc>
        <w:tc>
          <w:tcPr>
            <w:tcW w:w="4677" w:type="dxa"/>
          </w:tcPr>
          <w:p w14:paraId="7747E8F6"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90095</w:t>
            </w:r>
          </w:p>
        </w:tc>
      </w:tr>
      <w:tr w:rsidR="00817CB4" w:rsidRPr="009A5F5E" w14:paraId="10C28191"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39B11971" w14:textId="77777777" w:rsidR="00817CB4" w:rsidRPr="009A5F5E" w:rsidRDefault="00817CB4" w:rsidP="00733FD8">
            <w:pPr>
              <w:pStyle w:val="Tabletextleft"/>
            </w:pPr>
          </w:p>
        </w:tc>
        <w:tc>
          <w:tcPr>
            <w:tcW w:w="4677" w:type="dxa"/>
          </w:tcPr>
          <w:p w14:paraId="5A29CDA1"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90096</w:t>
            </w:r>
          </w:p>
        </w:tc>
      </w:tr>
      <w:tr w:rsidR="00817CB4" w:rsidRPr="009A5F5E" w14:paraId="04F2A2C5"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10F1569E" w14:textId="77777777" w:rsidR="00817CB4" w:rsidRPr="009A5F5E" w:rsidRDefault="00817CB4" w:rsidP="00733FD8">
            <w:pPr>
              <w:pStyle w:val="Tabletextleft"/>
            </w:pPr>
          </w:p>
        </w:tc>
        <w:tc>
          <w:tcPr>
            <w:tcW w:w="4677" w:type="dxa"/>
          </w:tcPr>
          <w:p w14:paraId="1594B50E"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90098</w:t>
            </w:r>
          </w:p>
        </w:tc>
      </w:tr>
      <w:tr w:rsidR="00817CB4" w:rsidRPr="009A5F5E" w14:paraId="008F28CD"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6B5B1A62" w14:textId="77777777" w:rsidR="00817CB4" w:rsidRPr="009A5F5E" w:rsidRDefault="00817CB4" w:rsidP="00733FD8">
            <w:pPr>
              <w:pStyle w:val="Tabletextleft"/>
            </w:pPr>
          </w:p>
        </w:tc>
        <w:tc>
          <w:tcPr>
            <w:tcW w:w="4677" w:type="dxa"/>
          </w:tcPr>
          <w:p w14:paraId="211011FF"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90188</w:t>
            </w:r>
          </w:p>
        </w:tc>
      </w:tr>
      <w:tr w:rsidR="00817CB4" w:rsidRPr="009A5F5E" w14:paraId="16485286"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0F1CE6B0" w14:textId="77777777" w:rsidR="00817CB4" w:rsidRPr="009A5F5E" w:rsidRDefault="00817CB4" w:rsidP="00733FD8">
            <w:pPr>
              <w:pStyle w:val="Tabletextleft"/>
            </w:pPr>
          </w:p>
        </w:tc>
        <w:tc>
          <w:tcPr>
            <w:tcW w:w="4677" w:type="dxa"/>
          </w:tcPr>
          <w:p w14:paraId="62CAB9D7"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90202</w:t>
            </w:r>
          </w:p>
        </w:tc>
      </w:tr>
      <w:tr w:rsidR="00817CB4" w:rsidRPr="009A5F5E" w14:paraId="14E4E0C9"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6F929F91" w14:textId="77777777" w:rsidR="00817CB4" w:rsidRPr="009A5F5E" w:rsidRDefault="00817CB4" w:rsidP="00733FD8">
            <w:pPr>
              <w:pStyle w:val="Tabletextleft"/>
            </w:pPr>
          </w:p>
        </w:tc>
        <w:tc>
          <w:tcPr>
            <w:tcW w:w="4677" w:type="dxa"/>
          </w:tcPr>
          <w:p w14:paraId="6700630D"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90212</w:t>
            </w:r>
          </w:p>
        </w:tc>
      </w:tr>
      <w:tr w:rsidR="00817CB4" w:rsidRPr="009A5F5E" w14:paraId="6D5FBC7D"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2B904A8C" w14:textId="77777777" w:rsidR="00817CB4" w:rsidRPr="009A5F5E" w:rsidRDefault="00817CB4" w:rsidP="00733FD8">
            <w:pPr>
              <w:pStyle w:val="Tabletextleft"/>
            </w:pPr>
          </w:p>
        </w:tc>
        <w:tc>
          <w:tcPr>
            <w:tcW w:w="4677" w:type="dxa"/>
          </w:tcPr>
          <w:p w14:paraId="5988BA4B"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90215</w:t>
            </w:r>
          </w:p>
        </w:tc>
      </w:tr>
      <w:tr w:rsidR="00817CB4" w:rsidRPr="009A5F5E" w14:paraId="707EBD6A"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val="restart"/>
            <w:vAlign w:val="center"/>
          </w:tcPr>
          <w:p w14:paraId="0CCF012C" w14:textId="34FFA036" w:rsidR="00817CB4" w:rsidRPr="009A5F5E" w:rsidRDefault="00817CB4" w:rsidP="00733FD8">
            <w:pPr>
              <w:pStyle w:val="Tabletextleft"/>
            </w:pPr>
            <w:r w:rsidRPr="009A5F5E">
              <w:t>Practice nurse</w:t>
            </w:r>
            <w:r w:rsidR="3AE335CE" w:rsidRPr="009A5F5E">
              <w:t xml:space="preserve"> and</w:t>
            </w:r>
            <w:r w:rsidRPr="009A5F5E">
              <w:t xml:space="preserve"> Aboriginal and Torres Strait Islander health practitioner Services</w:t>
            </w:r>
          </w:p>
        </w:tc>
        <w:tc>
          <w:tcPr>
            <w:tcW w:w="4677" w:type="dxa"/>
          </w:tcPr>
          <w:p w14:paraId="7C6CAEE7"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10987</w:t>
            </w:r>
          </w:p>
        </w:tc>
      </w:tr>
      <w:tr w:rsidR="00817CB4" w:rsidRPr="009A5F5E" w14:paraId="009C8AA4"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4935821E" w14:textId="77777777" w:rsidR="00817CB4" w:rsidRPr="009A5F5E" w:rsidRDefault="00817CB4" w:rsidP="00733FD8">
            <w:pPr>
              <w:pStyle w:val="Tabletextleft"/>
            </w:pPr>
          </w:p>
        </w:tc>
        <w:tc>
          <w:tcPr>
            <w:tcW w:w="4677" w:type="dxa"/>
          </w:tcPr>
          <w:p w14:paraId="24CDA76B"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10997</w:t>
            </w:r>
          </w:p>
        </w:tc>
      </w:tr>
      <w:tr w:rsidR="00817CB4" w:rsidRPr="009A5F5E" w14:paraId="75BB6357"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val="restart"/>
            <w:vAlign w:val="center"/>
          </w:tcPr>
          <w:p w14:paraId="107F7618" w14:textId="77777777" w:rsidR="00817CB4" w:rsidRPr="009A5F5E" w:rsidRDefault="00817CB4" w:rsidP="00733FD8">
            <w:pPr>
              <w:pStyle w:val="Tabletextleft"/>
            </w:pPr>
            <w:r w:rsidRPr="009A5F5E">
              <w:t xml:space="preserve">Non-Urgent </w:t>
            </w:r>
            <w:proofErr w:type="gramStart"/>
            <w:r w:rsidRPr="009A5F5E">
              <w:t>After Hours</w:t>
            </w:r>
            <w:proofErr w:type="gramEnd"/>
            <w:r w:rsidRPr="009A5F5E">
              <w:t xml:space="preserve"> Attendance</w:t>
            </w:r>
          </w:p>
        </w:tc>
        <w:tc>
          <w:tcPr>
            <w:tcW w:w="4677" w:type="dxa"/>
          </w:tcPr>
          <w:p w14:paraId="04E23943"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776</w:t>
            </w:r>
          </w:p>
        </w:tc>
      </w:tr>
      <w:tr w:rsidR="00817CB4" w:rsidRPr="009A5F5E" w14:paraId="19BF7FC0"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30DEF84E" w14:textId="77777777" w:rsidR="00817CB4" w:rsidRPr="009A5F5E" w:rsidRDefault="00817CB4" w:rsidP="00733FD8">
            <w:pPr>
              <w:pStyle w:val="Tabletextleft"/>
            </w:pPr>
          </w:p>
        </w:tc>
        <w:tc>
          <w:tcPr>
            <w:tcW w:w="4677" w:type="dxa"/>
          </w:tcPr>
          <w:p w14:paraId="74E89596"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788</w:t>
            </w:r>
          </w:p>
        </w:tc>
      </w:tr>
      <w:tr w:rsidR="00817CB4" w:rsidRPr="009A5F5E" w14:paraId="42A04E3A"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62949DB9" w14:textId="77777777" w:rsidR="00817CB4" w:rsidRPr="009A5F5E" w:rsidRDefault="00817CB4" w:rsidP="00733FD8">
            <w:pPr>
              <w:pStyle w:val="Tabletextleft"/>
            </w:pPr>
          </w:p>
        </w:tc>
        <w:tc>
          <w:tcPr>
            <w:tcW w:w="4677" w:type="dxa"/>
          </w:tcPr>
          <w:p w14:paraId="7A73AC27"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789</w:t>
            </w:r>
          </w:p>
        </w:tc>
      </w:tr>
      <w:tr w:rsidR="00817CB4" w:rsidRPr="009A5F5E" w14:paraId="435AD2B8"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1AE5DCDE" w14:textId="77777777" w:rsidR="00817CB4" w:rsidRPr="009A5F5E" w:rsidRDefault="00817CB4" w:rsidP="00733FD8">
            <w:pPr>
              <w:pStyle w:val="Tabletextleft"/>
            </w:pPr>
          </w:p>
        </w:tc>
        <w:tc>
          <w:tcPr>
            <w:tcW w:w="4677" w:type="dxa"/>
          </w:tcPr>
          <w:p w14:paraId="7F56E34C"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2200</w:t>
            </w:r>
          </w:p>
        </w:tc>
      </w:tr>
      <w:tr w:rsidR="00817CB4" w:rsidRPr="009A5F5E" w14:paraId="456A95A8"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0E52BD48" w14:textId="77777777" w:rsidR="00817CB4" w:rsidRPr="009A5F5E" w:rsidRDefault="00817CB4" w:rsidP="00733FD8">
            <w:pPr>
              <w:pStyle w:val="Tabletextleft"/>
            </w:pPr>
          </w:p>
        </w:tc>
        <w:tc>
          <w:tcPr>
            <w:tcW w:w="4677" w:type="dxa"/>
          </w:tcPr>
          <w:p w14:paraId="17341DDE"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5028</w:t>
            </w:r>
          </w:p>
        </w:tc>
      </w:tr>
      <w:tr w:rsidR="00817CB4" w:rsidRPr="009A5F5E" w14:paraId="5B3098C8"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24FC16DD" w14:textId="77777777" w:rsidR="00817CB4" w:rsidRPr="009A5F5E" w:rsidRDefault="00817CB4" w:rsidP="00733FD8">
            <w:pPr>
              <w:pStyle w:val="Tabletextleft"/>
            </w:pPr>
          </w:p>
        </w:tc>
        <w:tc>
          <w:tcPr>
            <w:tcW w:w="4677" w:type="dxa"/>
          </w:tcPr>
          <w:p w14:paraId="7605E50A"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5049</w:t>
            </w:r>
          </w:p>
        </w:tc>
      </w:tr>
      <w:tr w:rsidR="00817CB4" w:rsidRPr="009A5F5E" w14:paraId="2A8622A0"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72621D13" w14:textId="77777777" w:rsidR="00817CB4" w:rsidRPr="009A5F5E" w:rsidRDefault="00817CB4" w:rsidP="00733FD8">
            <w:pPr>
              <w:pStyle w:val="Tabletextleft"/>
            </w:pPr>
          </w:p>
        </w:tc>
        <w:tc>
          <w:tcPr>
            <w:tcW w:w="4677" w:type="dxa"/>
          </w:tcPr>
          <w:p w14:paraId="39025BBD"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5067</w:t>
            </w:r>
          </w:p>
        </w:tc>
      </w:tr>
      <w:tr w:rsidR="00817CB4" w:rsidRPr="009A5F5E" w14:paraId="4CD061DB"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76EB1A1B" w14:textId="77777777" w:rsidR="00817CB4" w:rsidRPr="009A5F5E" w:rsidRDefault="00817CB4" w:rsidP="00733FD8">
            <w:pPr>
              <w:pStyle w:val="Tabletextleft"/>
            </w:pPr>
          </w:p>
        </w:tc>
        <w:tc>
          <w:tcPr>
            <w:tcW w:w="4677" w:type="dxa"/>
          </w:tcPr>
          <w:p w14:paraId="345570AD"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5077</w:t>
            </w:r>
          </w:p>
        </w:tc>
      </w:tr>
      <w:tr w:rsidR="00817CB4" w:rsidRPr="009A5F5E" w14:paraId="3129F4BF"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7146F38F" w14:textId="77777777" w:rsidR="00817CB4" w:rsidRPr="009A5F5E" w:rsidRDefault="00817CB4" w:rsidP="00733FD8">
            <w:pPr>
              <w:pStyle w:val="Tabletextleft"/>
            </w:pPr>
          </w:p>
        </w:tc>
        <w:tc>
          <w:tcPr>
            <w:tcW w:w="4677" w:type="dxa"/>
          </w:tcPr>
          <w:p w14:paraId="49FAAF75"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5262</w:t>
            </w:r>
          </w:p>
        </w:tc>
      </w:tr>
      <w:tr w:rsidR="00817CB4" w:rsidRPr="009A5F5E" w14:paraId="50D144B2"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319F03AD" w14:textId="77777777" w:rsidR="00817CB4" w:rsidRPr="009A5F5E" w:rsidRDefault="00817CB4" w:rsidP="00733FD8">
            <w:pPr>
              <w:pStyle w:val="Tabletextleft"/>
            </w:pPr>
          </w:p>
        </w:tc>
        <w:tc>
          <w:tcPr>
            <w:tcW w:w="4677" w:type="dxa"/>
          </w:tcPr>
          <w:p w14:paraId="3C5CD7D8"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5263</w:t>
            </w:r>
          </w:p>
        </w:tc>
      </w:tr>
      <w:tr w:rsidR="00817CB4" w:rsidRPr="009A5F5E" w14:paraId="4E557C9A"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07454898" w14:textId="77777777" w:rsidR="00817CB4" w:rsidRPr="009A5F5E" w:rsidRDefault="00817CB4" w:rsidP="00733FD8">
            <w:pPr>
              <w:pStyle w:val="Tabletextleft"/>
            </w:pPr>
          </w:p>
        </w:tc>
        <w:tc>
          <w:tcPr>
            <w:tcW w:w="4677" w:type="dxa"/>
          </w:tcPr>
          <w:p w14:paraId="07FEA03A"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5265</w:t>
            </w:r>
          </w:p>
        </w:tc>
      </w:tr>
      <w:tr w:rsidR="00817CB4" w:rsidRPr="009A5F5E" w14:paraId="1F30FCD8"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409A0E3D" w14:textId="77777777" w:rsidR="00817CB4" w:rsidRPr="009A5F5E" w:rsidRDefault="00817CB4" w:rsidP="00733FD8">
            <w:pPr>
              <w:pStyle w:val="Tabletextleft"/>
            </w:pPr>
          </w:p>
        </w:tc>
        <w:tc>
          <w:tcPr>
            <w:tcW w:w="4677" w:type="dxa"/>
          </w:tcPr>
          <w:p w14:paraId="71212262"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5267</w:t>
            </w:r>
          </w:p>
        </w:tc>
      </w:tr>
      <w:tr w:rsidR="00817CB4" w:rsidRPr="009A5F5E" w14:paraId="208FFD54"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val="restart"/>
            <w:vAlign w:val="center"/>
          </w:tcPr>
          <w:p w14:paraId="3560AC08" w14:textId="77777777" w:rsidR="00817CB4" w:rsidRPr="009A5F5E" w:rsidRDefault="00817CB4" w:rsidP="00733FD8">
            <w:pPr>
              <w:pStyle w:val="Tabletextleft"/>
            </w:pPr>
            <w:r w:rsidRPr="009A5F5E">
              <w:lastRenderedPageBreak/>
              <w:t>Nurse Practitioner Services</w:t>
            </w:r>
          </w:p>
        </w:tc>
        <w:tc>
          <w:tcPr>
            <w:tcW w:w="4677" w:type="dxa"/>
          </w:tcPr>
          <w:p w14:paraId="58B48645"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82205</w:t>
            </w:r>
          </w:p>
        </w:tc>
      </w:tr>
      <w:tr w:rsidR="00817CB4" w:rsidRPr="009A5F5E" w14:paraId="33610875"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4EF64772" w14:textId="77777777" w:rsidR="00817CB4" w:rsidRPr="009A5F5E" w:rsidRDefault="00817CB4" w:rsidP="00733FD8">
            <w:pPr>
              <w:pStyle w:val="Tabletextleft"/>
            </w:pPr>
          </w:p>
        </w:tc>
        <w:tc>
          <w:tcPr>
            <w:tcW w:w="4677" w:type="dxa"/>
          </w:tcPr>
          <w:p w14:paraId="591FC8A3"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82210</w:t>
            </w:r>
          </w:p>
        </w:tc>
      </w:tr>
      <w:tr w:rsidR="00817CB4" w:rsidRPr="009A5F5E" w14:paraId="206D0B9D"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2C8E31EB" w14:textId="77777777" w:rsidR="00817CB4" w:rsidRPr="009A5F5E" w:rsidRDefault="00817CB4" w:rsidP="00733FD8">
            <w:pPr>
              <w:pStyle w:val="Tabletextleft"/>
            </w:pPr>
          </w:p>
        </w:tc>
        <w:tc>
          <w:tcPr>
            <w:tcW w:w="4677" w:type="dxa"/>
          </w:tcPr>
          <w:p w14:paraId="661DCDCC"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82215</w:t>
            </w:r>
          </w:p>
        </w:tc>
      </w:tr>
    </w:tbl>
    <w:p w14:paraId="12634D38" w14:textId="77777777" w:rsidR="00817CB4" w:rsidRPr="009A5F5E" w:rsidRDefault="00817CB4" w:rsidP="00407AD1">
      <w:pPr>
        <w:pStyle w:val="Heading3"/>
      </w:pPr>
      <w:bookmarkStart w:id="474" w:name="_Toc166068599"/>
      <w:bookmarkStart w:id="475" w:name="_Toc166069558"/>
      <w:bookmarkStart w:id="476" w:name="_Toc170120043"/>
      <w:bookmarkStart w:id="477" w:name="_Toc172899527"/>
      <w:bookmarkStart w:id="478" w:name="_Toc172899600"/>
      <w:bookmarkStart w:id="479" w:name="_Toc170817184"/>
      <w:r w:rsidRPr="009A5F5E">
        <w:t>Eligible regular telehealth services</w:t>
      </w:r>
      <w:bookmarkEnd w:id="474"/>
      <w:bookmarkEnd w:id="475"/>
      <w:bookmarkEnd w:id="476"/>
      <w:bookmarkEnd w:id="477"/>
      <w:bookmarkEnd w:id="478"/>
      <w:bookmarkEnd w:id="479"/>
    </w:p>
    <w:p w14:paraId="06962641" w14:textId="31249C46" w:rsidR="00817CB4" w:rsidRPr="009A5F5E" w:rsidRDefault="00817CB4" w:rsidP="00817CB4">
      <w:pPr>
        <w:spacing w:before="120" w:after="120" w:line="276" w:lineRule="auto"/>
        <w:rPr>
          <w:rFonts w:eastAsia="Times New Roman"/>
        </w:rPr>
      </w:pPr>
      <w:r w:rsidRPr="009A5F5E">
        <w:rPr>
          <w:rFonts w:eastAsia="Times New Roman"/>
        </w:rPr>
        <w:t xml:space="preserve">The following MBS items are considered eligible regular services for practices located in MMM4-MMM7 for the </w:t>
      </w:r>
      <w:r w:rsidR="00781C8B" w:rsidRPr="009A5F5E">
        <w:rPr>
          <w:rFonts w:eastAsia="Times New Roman"/>
        </w:rPr>
        <w:t>GPACI</w:t>
      </w:r>
      <w:r w:rsidRPr="009A5F5E">
        <w:rPr>
          <w:rFonts w:eastAsia="Times New Roman"/>
        </w:rPr>
        <w:t>.</w:t>
      </w:r>
    </w:p>
    <w:tbl>
      <w:tblPr>
        <w:tblStyle w:val="DepartmentofHealthtable"/>
        <w:tblW w:w="9072" w:type="dxa"/>
        <w:tblLook w:val="04A0" w:firstRow="1" w:lastRow="0" w:firstColumn="1" w:lastColumn="0" w:noHBand="0" w:noVBand="1"/>
        <w:tblDescription w:val="Add Alt Text describing the content of the table"/>
      </w:tblPr>
      <w:tblGrid>
        <w:gridCol w:w="4395"/>
        <w:gridCol w:w="4677"/>
      </w:tblGrid>
      <w:tr w:rsidR="00817CB4" w:rsidRPr="009A5F5E" w14:paraId="189739B2" w14:textId="77777777" w:rsidTr="005437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tcPr>
          <w:p w14:paraId="494634F9" w14:textId="77777777" w:rsidR="00817CB4" w:rsidRPr="009A5F5E" w:rsidRDefault="00817CB4" w:rsidP="00574127">
            <w:pPr>
              <w:pStyle w:val="TableHeaderWhite"/>
            </w:pPr>
            <w:r w:rsidRPr="009A5F5E">
              <w:t>Care Category</w:t>
            </w:r>
          </w:p>
        </w:tc>
        <w:tc>
          <w:tcPr>
            <w:tcW w:w="4677" w:type="dxa"/>
          </w:tcPr>
          <w:p w14:paraId="256B187D" w14:textId="77777777" w:rsidR="00817CB4" w:rsidRPr="009A5F5E" w:rsidRDefault="00817CB4" w:rsidP="00574127">
            <w:pPr>
              <w:pStyle w:val="TableHeaderWhite"/>
              <w:cnfStyle w:val="100000000000" w:firstRow="1" w:lastRow="0" w:firstColumn="0" w:lastColumn="0" w:oddVBand="0" w:evenVBand="0" w:oddHBand="0" w:evenHBand="0" w:firstRowFirstColumn="0" w:firstRowLastColumn="0" w:lastRowFirstColumn="0" w:lastRowLastColumn="0"/>
            </w:pPr>
            <w:r w:rsidRPr="009A5F5E">
              <w:t>MBS Item Number</w:t>
            </w:r>
          </w:p>
        </w:tc>
      </w:tr>
      <w:tr w:rsidR="00817CB4" w:rsidRPr="009A5F5E" w14:paraId="546DF8ED"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val="restart"/>
            <w:vAlign w:val="center"/>
          </w:tcPr>
          <w:p w14:paraId="7C8D23AC" w14:textId="77777777" w:rsidR="00817CB4" w:rsidRPr="009A5F5E" w:rsidRDefault="00817CB4" w:rsidP="00733FD8">
            <w:pPr>
              <w:pStyle w:val="Tabletextleft"/>
            </w:pPr>
            <w:r w:rsidRPr="009A5F5E">
              <w:t>Telehealth Services</w:t>
            </w:r>
          </w:p>
        </w:tc>
        <w:tc>
          <w:tcPr>
            <w:tcW w:w="4677" w:type="dxa"/>
          </w:tcPr>
          <w:p w14:paraId="4D9E7EA9"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91800</w:t>
            </w:r>
          </w:p>
        </w:tc>
      </w:tr>
      <w:tr w:rsidR="00817CB4" w:rsidRPr="009A5F5E" w14:paraId="2775AB2F"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19F38CA5" w14:textId="77777777" w:rsidR="00817CB4" w:rsidRPr="009A5F5E" w:rsidRDefault="00817CB4" w:rsidP="00733FD8">
            <w:pPr>
              <w:pStyle w:val="Tabletextleft"/>
            </w:pPr>
          </w:p>
        </w:tc>
        <w:tc>
          <w:tcPr>
            <w:tcW w:w="4677" w:type="dxa"/>
          </w:tcPr>
          <w:p w14:paraId="2F6742AD"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91801</w:t>
            </w:r>
          </w:p>
        </w:tc>
      </w:tr>
      <w:tr w:rsidR="00817CB4" w:rsidRPr="009A5F5E" w14:paraId="788594D7"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6834F6B9" w14:textId="77777777" w:rsidR="00817CB4" w:rsidRPr="009A5F5E" w:rsidRDefault="00817CB4" w:rsidP="00733FD8">
            <w:pPr>
              <w:pStyle w:val="Tabletextleft"/>
            </w:pPr>
          </w:p>
        </w:tc>
        <w:tc>
          <w:tcPr>
            <w:tcW w:w="4677" w:type="dxa"/>
          </w:tcPr>
          <w:p w14:paraId="52EA1071"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91802</w:t>
            </w:r>
          </w:p>
        </w:tc>
      </w:tr>
      <w:tr w:rsidR="00817CB4" w:rsidRPr="009A5F5E" w14:paraId="120E6D1B"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37ABFB7C" w14:textId="77777777" w:rsidR="00817CB4" w:rsidRPr="009A5F5E" w:rsidRDefault="00817CB4" w:rsidP="00733FD8">
            <w:pPr>
              <w:pStyle w:val="Tabletextleft"/>
            </w:pPr>
          </w:p>
        </w:tc>
        <w:tc>
          <w:tcPr>
            <w:tcW w:w="4677" w:type="dxa"/>
          </w:tcPr>
          <w:p w14:paraId="5BDB95CB"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91803</w:t>
            </w:r>
          </w:p>
        </w:tc>
      </w:tr>
      <w:tr w:rsidR="00817CB4" w:rsidRPr="009A5F5E" w14:paraId="252BAE2C"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4E7C6EEA" w14:textId="77777777" w:rsidR="00817CB4" w:rsidRPr="009A5F5E" w:rsidRDefault="00817CB4" w:rsidP="00733FD8">
            <w:pPr>
              <w:pStyle w:val="Tabletextleft"/>
            </w:pPr>
          </w:p>
        </w:tc>
        <w:tc>
          <w:tcPr>
            <w:tcW w:w="4677" w:type="dxa"/>
          </w:tcPr>
          <w:p w14:paraId="16B7D323"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91804</w:t>
            </w:r>
          </w:p>
        </w:tc>
      </w:tr>
      <w:tr w:rsidR="00817CB4" w:rsidRPr="009A5F5E" w14:paraId="4A903A55"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17C59A44" w14:textId="77777777" w:rsidR="00817CB4" w:rsidRPr="009A5F5E" w:rsidRDefault="00817CB4" w:rsidP="00733FD8">
            <w:pPr>
              <w:pStyle w:val="Tabletextleft"/>
            </w:pPr>
          </w:p>
        </w:tc>
        <w:tc>
          <w:tcPr>
            <w:tcW w:w="4677" w:type="dxa"/>
          </w:tcPr>
          <w:p w14:paraId="12BBD2BC"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91805</w:t>
            </w:r>
          </w:p>
        </w:tc>
      </w:tr>
      <w:tr w:rsidR="00817CB4" w:rsidRPr="009A5F5E" w14:paraId="7AB3F947"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1A1AA606" w14:textId="77777777" w:rsidR="00817CB4" w:rsidRPr="009A5F5E" w:rsidRDefault="00817CB4" w:rsidP="00733FD8">
            <w:pPr>
              <w:pStyle w:val="Tabletextleft"/>
            </w:pPr>
          </w:p>
        </w:tc>
        <w:tc>
          <w:tcPr>
            <w:tcW w:w="4677" w:type="dxa"/>
          </w:tcPr>
          <w:p w14:paraId="0B5FF12D"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91806</w:t>
            </w:r>
          </w:p>
        </w:tc>
      </w:tr>
      <w:tr w:rsidR="00817CB4" w:rsidRPr="009A5F5E" w14:paraId="529FDEB7"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656EFFE4" w14:textId="77777777" w:rsidR="00817CB4" w:rsidRPr="009A5F5E" w:rsidRDefault="00817CB4" w:rsidP="00733FD8">
            <w:pPr>
              <w:pStyle w:val="Tabletextleft"/>
            </w:pPr>
          </w:p>
        </w:tc>
        <w:tc>
          <w:tcPr>
            <w:tcW w:w="4677" w:type="dxa"/>
          </w:tcPr>
          <w:p w14:paraId="6E5BCBA1"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91807</w:t>
            </w:r>
          </w:p>
        </w:tc>
      </w:tr>
      <w:tr w:rsidR="00817CB4" w:rsidRPr="009A5F5E" w14:paraId="369EA334"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5A2FFCCD" w14:textId="77777777" w:rsidR="00817CB4" w:rsidRPr="009A5F5E" w:rsidRDefault="00817CB4" w:rsidP="00733FD8">
            <w:pPr>
              <w:pStyle w:val="Tabletextleft"/>
            </w:pPr>
          </w:p>
        </w:tc>
        <w:tc>
          <w:tcPr>
            <w:tcW w:w="4677" w:type="dxa"/>
          </w:tcPr>
          <w:p w14:paraId="7E023B01"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91808</w:t>
            </w:r>
          </w:p>
        </w:tc>
      </w:tr>
      <w:tr w:rsidR="00817CB4" w:rsidRPr="009A5F5E" w14:paraId="2529DE3A"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7EE7D5E2" w14:textId="77777777" w:rsidR="00817CB4" w:rsidRPr="009A5F5E" w:rsidRDefault="00817CB4" w:rsidP="00733FD8">
            <w:pPr>
              <w:pStyle w:val="Tabletextleft"/>
            </w:pPr>
          </w:p>
        </w:tc>
        <w:tc>
          <w:tcPr>
            <w:tcW w:w="4677" w:type="dxa"/>
          </w:tcPr>
          <w:p w14:paraId="1F0530B2"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91891</w:t>
            </w:r>
          </w:p>
        </w:tc>
      </w:tr>
      <w:tr w:rsidR="00817CB4" w:rsidRPr="009A5F5E" w14:paraId="6451526C"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523F2E70" w14:textId="77777777" w:rsidR="00817CB4" w:rsidRPr="009A5F5E" w:rsidRDefault="00817CB4" w:rsidP="00733FD8">
            <w:pPr>
              <w:pStyle w:val="Tabletextleft"/>
            </w:pPr>
          </w:p>
        </w:tc>
        <w:tc>
          <w:tcPr>
            <w:tcW w:w="4677" w:type="dxa"/>
          </w:tcPr>
          <w:p w14:paraId="5CE55095"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91893</w:t>
            </w:r>
          </w:p>
        </w:tc>
      </w:tr>
      <w:tr w:rsidR="00817CB4" w:rsidRPr="009A5F5E" w14:paraId="7BF6B8CC"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1ED3E176" w14:textId="77777777" w:rsidR="00817CB4" w:rsidRPr="009A5F5E" w:rsidRDefault="00817CB4" w:rsidP="00733FD8">
            <w:pPr>
              <w:pStyle w:val="Tabletextleft"/>
            </w:pPr>
          </w:p>
        </w:tc>
        <w:tc>
          <w:tcPr>
            <w:tcW w:w="4677" w:type="dxa"/>
          </w:tcPr>
          <w:p w14:paraId="417D38BE"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91900</w:t>
            </w:r>
          </w:p>
        </w:tc>
      </w:tr>
      <w:tr w:rsidR="00817CB4" w:rsidRPr="009A5F5E" w14:paraId="0D147FA2"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431C59E7" w14:textId="77777777" w:rsidR="00817CB4" w:rsidRPr="009A5F5E" w:rsidRDefault="00817CB4" w:rsidP="00733FD8">
            <w:pPr>
              <w:pStyle w:val="Tabletextleft"/>
            </w:pPr>
          </w:p>
        </w:tc>
        <w:tc>
          <w:tcPr>
            <w:tcW w:w="4677" w:type="dxa"/>
          </w:tcPr>
          <w:p w14:paraId="31B1CD0F"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91903</w:t>
            </w:r>
          </w:p>
        </w:tc>
      </w:tr>
      <w:tr w:rsidR="00817CB4" w:rsidRPr="009A5F5E" w14:paraId="7FA1E48E"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667132C1" w14:textId="77777777" w:rsidR="00817CB4" w:rsidRPr="009A5F5E" w:rsidRDefault="00817CB4" w:rsidP="00733FD8">
            <w:pPr>
              <w:pStyle w:val="Tabletextleft"/>
            </w:pPr>
          </w:p>
        </w:tc>
        <w:tc>
          <w:tcPr>
            <w:tcW w:w="4677" w:type="dxa"/>
          </w:tcPr>
          <w:p w14:paraId="1FB50C34"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91906</w:t>
            </w:r>
          </w:p>
        </w:tc>
      </w:tr>
      <w:tr w:rsidR="00817CB4" w:rsidRPr="009A5F5E" w14:paraId="6AFA4AC1"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00CA083C" w14:textId="77777777" w:rsidR="00817CB4" w:rsidRPr="009A5F5E" w:rsidRDefault="00817CB4" w:rsidP="00733FD8">
            <w:pPr>
              <w:pStyle w:val="Tabletextleft"/>
            </w:pPr>
          </w:p>
        </w:tc>
        <w:tc>
          <w:tcPr>
            <w:tcW w:w="4677" w:type="dxa"/>
          </w:tcPr>
          <w:p w14:paraId="61AAA7F5"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91910</w:t>
            </w:r>
          </w:p>
        </w:tc>
      </w:tr>
      <w:tr w:rsidR="00817CB4" w:rsidRPr="009A5F5E" w14:paraId="5746882E"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1F12B0DF" w14:textId="77777777" w:rsidR="00817CB4" w:rsidRPr="009A5F5E" w:rsidRDefault="00817CB4" w:rsidP="00733FD8">
            <w:pPr>
              <w:pStyle w:val="Tabletextleft"/>
            </w:pPr>
          </w:p>
        </w:tc>
        <w:tc>
          <w:tcPr>
            <w:tcW w:w="4677" w:type="dxa"/>
          </w:tcPr>
          <w:p w14:paraId="2B181E13"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91913</w:t>
            </w:r>
          </w:p>
        </w:tc>
      </w:tr>
      <w:tr w:rsidR="00817CB4" w:rsidRPr="009A5F5E" w14:paraId="259B6A80"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47E33F47" w14:textId="77777777" w:rsidR="00817CB4" w:rsidRPr="009A5F5E" w:rsidRDefault="00817CB4" w:rsidP="00733FD8">
            <w:pPr>
              <w:pStyle w:val="Tabletextleft"/>
            </w:pPr>
          </w:p>
        </w:tc>
        <w:tc>
          <w:tcPr>
            <w:tcW w:w="4677" w:type="dxa"/>
          </w:tcPr>
          <w:p w14:paraId="73FF5637"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91916</w:t>
            </w:r>
          </w:p>
        </w:tc>
      </w:tr>
      <w:tr w:rsidR="00817CB4" w:rsidRPr="009A5F5E" w14:paraId="7DE4DA8D"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56518757" w14:textId="77777777" w:rsidR="00817CB4" w:rsidRPr="009A5F5E" w:rsidRDefault="00817CB4" w:rsidP="00733FD8">
            <w:pPr>
              <w:pStyle w:val="Tabletextleft"/>
            </w:pPr>
          </w:p>
        </w:tc>
        <w:tc>
          <w:tcPr>
            <w:tcW w:w="4677" w:type="dxa"/>
          </w:tcPr>
          <w:p w14:paraId="10C20274"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91920</w:t>
            </w:r>
          </w:p>
        </w:tc>
      </w:tr>
      <w:tr w:rsidR="00817CB4" w:rsidRPr="009A5F5E" w14:paraId="76987749"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4FA15F30" w14:textId="77777777" w:rsidR="00817CB4" w:rsidRPr="009A5F5E" w:rsidRDefault="00817CB4" w:rsidP="00733FD8">
            <w:pPr>
              <w:pStyle w:val="Tabletextleft"/>
            </w:pPr>
          </w:p>
        </w:tc>
        <w:tc>
          <w:tcPr>
            <w:tcW w:w="4677" w:type="dxa"/>
          </w:tcPr>
          <w:p w14:paraId="7CCD99F6"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91923</w:t>
            </w:r>
          </w:p>
        </w:tc>
      </w:tr>
      <w:tr w:rsidR="00817CB4" w:rsidRPr="009A5F5E" w14:paraId="3356F8E1"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tcPr>
          <w:p w14:paraId="522534B6" w14:textId="77777777" w:rsidR="00817CB4" w:rsidRPr="009A5F5E" w:rsidRDefault="00817CB4" w:rsidP="00733FD8">
            <w:pPr>
              <w:pStyle w:val="Tabletextleft"/>
            </w:pPr>
          </w:p>
        </w:tc>
        <w:tc>
          <w:tcPr>
            <w:tcW w:w="4677" w:type="dxa"/>
          </w:tcPr>
          <w:p w14:paraId="78641A6E"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91926</w:t>
            </w:r>
          </w:p>
        </w:tc>
      </w:tr>
    </w:tbl>
    <w:bookmarkEnd w:id="458"/>
    <w:p w14:paraId="6F9B73F4" w14:textId="1CFB4DB3" w:rsidR="00817CB4" w:rsidRPr="009A5F5E" w:rsidRDefault="00817CB4" w:rsidP="006E098A">
      <w:pPr>
        <w:spacing w:before="120" w:after="120" w:line="276" w:lineRule="auto"/>
        <w:rPr>
          <w:rFonts w:eastAsia="Times New Roman"/>
          <w:i/>
          <w:iCs/>
        </w:rPr>
      </w:pPr>
      <w:r w:rsidRPr="009A5F5E">
        <w:rPr>
          <w:rFonts w:eastAsia="Times New Roman"/>
          <w:i/>
          <w:iCs/>
        </w:rPr>
        <w:t xml:space="preserve">Please </w:t>
      </w:r>
      <w:proofErr w:type="gramStart"/>
      <w:r w:rsidRPr="009A5F5E">
        <w:rPr>
          <w:rFonts w:eastAsia="Times New Roman"/>
          <w:i/>
          <w:iCs/>
        </w:rPr>
        <w:t>note:</w:t>
      </w:r>
      <w:proofErr w:type="gramEnd"/>
      <w:r w:rsidRPr="009A5F5E">
        <w:rPr>
          <w:rFonts w:eastAsia="Times New Roman"/>
          <w:i/>
          <w:iCs/>
        </w:rPr>
        <w:t xml:space="preserve"> eligible services are subject to change. Servicing requirements </w:t>
      </w:r>
      <w:r w:rsidR="00262DE2" w:rsidRPr="009A5F5E">
        <w:rPr>
          <w:rFonts w:eastAsia="Times New Roman"/>
          <w:i/>
          <w:iCs/>
        </w:rPr>
        <w:t>are</w:t>
      </w:r>
      <w:r w:rsidRPr="009A5F5E">
        <w:rPr>
          <w:rFonts w:eastAsia="Times New Roman"/>
          <w:i/>
          <w:iCs/>
        </w:rPr>
        <w:t xml:space="preserve"> assessed against the eligible services at the time of assessment period.</w:t>
      </w:r>
      <w:r w:rsidR="006E098A" w:rsidRPr="009A5F5E">
        <w:rPr>
          <w:rFonts w:eastAsia="Times New Roman"/>
          <w:i/>
          <w:iCs/>
        </w:rPr>
        <w:t xml:space="preserve"> </w:t>
      </w:r>
    </w:p>
    <w:p w14:paraId="39BC5333" w14:textId="77777777" w:rsidR="00817CB4" w:rsidRPr="009A5F5E" w:rsidRDefault="758819B6" w:rsidP="001F7637">
      <w:pPr>
        <w:pStyle w:val="Heading2"/>
      </w:pPr>
      <w:bookmarkStart w:id="480" w:name="_Toc166066969"/>
      <w:bookmarkStart w:id="481" w:name="_Toc166068385"/>
      <w:bookmarkStart w:id="482" w:name="_Toc166068600"/>
      <w:bookmarkStart w:id="483" w:name="_Toc166069559"/>
      <w:bookmarkStart w:id="484" w:name="_Toc167109461"/>
      <w:bookmarkStart w:id="485" w:name="_Toc170120044"/>
      <w:bookmarkStart w:id="486" w:name="_Toc170817185"/>
      <w:bookmarkStart w:id="487" w:name="_Toc212118257"/>
      <w:r w:rsidRPr="009A5F5E">
        <w:t>Rural loading</w:t>
      </w:r>
      <w:bookmarkEnd w:id="480"/>
      <w:bookmarkEnd w:id="481"/>
      <w:bookmarkEnd w:id="482"/>
      <w:bookmarkEnd w:id="483"/>
      <w:bookmarkEnd w:id="484"/>
      <w:bookmarkEnd w:id="485"/>
      <w:bookmarkEnd w:id="486"/>
      <w:bookmarkEnd w:id="487"/>
    </w:p>
    <w:p w14:paraId="08D0933D" w14:textId="77777777" w:rsidR="00817CB4" w:rsidRPr="009A5F5E" w:rsidRDefault="00817CB4" w:rsidP="00817CB4">
      <w:pPr>
        <w:spacing w:before="120" w:after="120" w:line="276" w:lineRule="auto"/>
        <w:rPr>
          <w:rFonts w:eastAsia="Times New Roman"/>
        </w:rPr>
      </w:pPr>
      <w:r w:rsidRPr="009A5F5E">
        <w:rPr>
          <w:rFonts w:eastAsia="Times New Roman"/>
        </w:rPr>
        <w:t>Payment Rural Loadings per MMM region</w:t>
      </w:r>
    </w:p>
    <w:tbl>
      <w:tblPr>
        <w:tblStyle w:val="DepartmentofHealthtable"/>
        <w:tblW w:w="9072" w:type="dxa"/>
        <w:tblLook w:val="04A0" w:firstRow="1" w:lastRow="0" w:firstColumn="1" w:lastColumn="0" w:noHBand="0" w:noVBand="1"/>
        <w:tblDescription w:val="Add Alt Text describing the content of the table"/>
      </w:tblPr>
      <w:tblGrid>
        <w:gridCol w:w="4253"/>
        <w:gridCol w:w="4819"/>
      </w:tblGrid>
      <w:tr w:rsidR="00817CB4" w:rsidRPr="009A5F5E" w14:paraId="19C8155F" w14:textId="77777777" w:rsidTr="005437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53" w:type="dxa"/>
          </w:tcPr>
          <w:p w14:paraId="44AD381E" w14:textId="77777777" w:rsidR="00817CB4" w:rsidRPr="009A5F5E" w:rsidRDefault="00817CB4" w:rsidP="0054375E">
            <w:pPr>
              <w:pStyle w:val="TableHeaderWhite"/>
            </w:pPr>
            <w:r w:rsidRPr="009A5F5E">
              <w:lastRenderedPageBreak/>
              <w:t>MMM Region</w:t>
            </w:r>
          </w:p>
        </w:tc>
        <w:tc>
          <w:tcPr>
            <w:tcW w:w="4819" w:type="dxa"/>
          </w:tcPr>
          <w:p w14:paraId="444EB023" w14:textId="77777777" w:rsidR="00817CB4" w:rsidRPr="009A5F5E" w:rsidRDefault="00817CB4" w:rsidP="0054375E">
            <w:pPr>
              <w:pStyle w:val="TableHeader"/>
              <w:cnfStyle w:val="100000000000" w:firstRow="1" w:lastRow="0" w:firstColumn="0" w:lastColumn="0" w:oddVBand="0" w:evenVBand="0" w:oddHBand="0" w:evenHBand="0" w:firstRowFirstColumn="0" w:firstRowLastColumn="0" w:lastRowFirstColumn="0" w:lastRowLastColumn="0"/>
            </w:pPr>
            <w:r w:rsidRPr="009A5F5E">
              <w:t>Rural Loading</w:t>
            </w:r>
          </w:p>
        </w:tc>
      </w:tr>
      <w:tr w:rsidR="00817CB4" w:rsidRPr="009A5F5E" w14:paraId="06C7E90D"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2BE88B25" w14:textId="77777777" w:rsidR="00817CB4" w:rsidRPr="009A5F5E" w:rsidRDefault="00817CB4" w:rsidP="00733FD8">
            <w:pPr>
              <w:pStyle w:val="Tabletextleft"/>
            </w:pPr>
            <w:r w:rsidRPr="009A5F5E">
              <w:t>3</w:t>
            </w:r>
          </w:p>
        </w:tc>
        <w:tc>
          <w:tcPr>
            <w:tcW w:w="4819" w:type="dxa"/>
          </w:tcPr>
          <w:p w14:paraId="132ED5AC"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20%</w:t>
            </w:r>
          </w:p>
        </w:tc>
      </w:tr>
      <w:tr w:rsidR="00817CB4" w:rsidRPr="009A5F5E" w14:paraId="07F19887"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3E4448BA" w14:textId="77777777" w:rsidR="00817CB4" w:rsidRPr="009A5F5E" w:rsidRDefault="00817CB4" w:rsidP="00733FD8">
            <w:pPr>
              <w:pStyle w:val="Tabletextleft"/>
            </w:pPr>
            <w:r w:rsidRPr="009A5F5E">
              <w:t>4</w:t>
            </w:r>
          </w:p>
        </w:tc>
        <w:tc>
          <w:tcPr>
            <w:tcW w:w="4819" w:type="dxa"/>
          </w:tcPr>
          <w:p w14:paraId="5CA6D977"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30%</w:t>
            </w:r>
          </w:p>
        </w:tc>
      </w:tr>
      <w:tr w:rsidR="00817CB4" w:rsidRPr="009A5F5E" w14:paraId="644A674E"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5A7534E7" w14:textId="77777777" w:rsidR="00817CB4" w:rsidRPr="009A5F5E" w:rsidRDefault="00817CB4" w:rsidP="00733FD8">
            <w:pPr>
              <w:pStyle w:val="Tabletextleft"/>
            </w:pPr>
            <w:r w:rsidRPr="009A5F5E">
              <w:t>5</w:t>
            </w:r>
          </w:p>
        </w:tc>
        <w:tc>
          <w:tcPr>
            <w:tcW w:w="4819" w:type="dxa"/>
          </w:tcPr>
          <w:p w14:paraId="5D7B7528"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30%</w:t>
            </w:r>
          </w:p>
        </w:tc>
      </w:tr>
      <w:tr w:rsidR="00817CB4" w:rsidRPr="009A5F5E" w14:paraId="6432782B"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156A0B22" w14:textId="77777777" w:rsidR="00817CB4" w:rsidRPr="009A5F5E" w:rsidRDefault="00817CB4" w:rsidP="00733FD8">
            <w:pPr>
              <w:pStyle w:val="Tabletextleft"/>
            </w:pPr>
            <w:r w:rsidRPr="009A5F5E">
              <w:t>6</w:t>
            </w:r>
          </w:p>
        </w:tc>
        <w:tc>
          <w:tcPr>
            <w:tcW w:w="4819" w:type="dxa"/>
          </w:tcPr>
          <w:p w14:paraId="2039CB21"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50%</w:t>
            </w:r>
          </w:p>
        </w:tc>
      </w:tr>
      <w:tr w:rsidR="00817CB4" w:rsidRPr="009A5F5E" w14:paraId="6F218F40"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7F38F8E3" w14:textId="77777777" w:rsidR="00817CB4" w:rsidRPr="009A5F5E" w:rsidRDefault="00817CB4" w:rsidP="00733FD8">
            <w:pPr>
              <w:pStyle w:val="Tabletextleft"/>
            </w:pPr>
            <w:r w:rsidRPr="009A5F5E">
              <w:t>7</w:t>
            </w:r>
          </w:p>
        </w:tc>
        <w:tc>
          <w:tcPr>
            <w:tcW w:w="4819" w:type="dxa"/>
          </w:tcPr>
          <w:p w14:paraId="47B1128D"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50%</w:t>
            </w:r>
          </w:p>
        </w:tc>
      </w:tr>
    </w:tbl>
    <w:p w14:paraId="0652C828" w14:textId="77777777" w:rsidR="0004758E" w:rsidRPr="009A5F5E" w:rsidRDefault="0004758E">
      <w:pPr>
        <w:rPr>
          <w:rFonts w:eastAsia="Times New Roman"/>
        </w:rPr>
      </w:pPr>
      <w:bookmarkStart w:id="488" w:name="_Toc166068601"/>
      <w:bookmarkStart w:id="489" w:name="_Toc166069560"/>
      <w:bookmarkStart w:id="490" w:name="_Toc167109462"/>
      <w:r w:rsidRPr="009A5F5E">
        <w:rPr>
          <w:rFonts w:eastAsia="Times New Roman"/>
        </w:rPr>
        <w:br w:type="page"/>
      </w:r>
    </w:p>
    <w:p w14:paraId="02BB17B8" w14:textId="77777777" w:rsidR="00817CB4" w:rsidRPr="009A5F5E" w:rsidRDefault="758819B6" w:rsidP="001F7637">
      <w:pPr>
        <w:pStyle w:val="Heading2"/>
      </w:pPr>
      <w:bookmarkStart w:id="491" w:name="_Toc170120045"/>
      <w:bookmarkStart w:id="492" w:name="_Toc170817186"/>
      <w:bookmarkStart w:id="493" w:name="_Toc212118258"/>
      <w:r w:rsidRPr="009A5F5E">
        <w:lastRenderedPageBreak/>
        <w:t>Payment eligibility requirements per assessment period</w:t>
      </w:r>
      <w:bookmarkEnd w:id="488"/>
      <w:bookmarkEnd w:id="489"/>
      <w:bookmarkEnd w:id="490"/>
      <w:bookmarkEnd w:id="491"/>
      <w:bookmarkEnd w:id="492"/>
      <w:bookmarkEnd w:id="493"/>
    </w:p>
    <w:tbl>
      <w:tblPr>
        <w:tblStyle w:val="DepartmentofHealthtable"/>
        <w:tblW w:w="9072" w:type="dxa"/>
        <w:tblLook w:val="04A0" w:firstRow="1" w:lastRow="0" w:firstColumn="1" w:lastColumn="0" w:noHBand="0" w:noVBand="1"/>
        <w:tblDescription w:val="Add Alt Text describing the content of the table"/>
      </w:tblPr>
      <w:tblGrid>
        <w:gridCol w:w="1560"/>
        <w:gridCol w:w="7512"/>
      </w:tblGrid>
      <w:tr w:rsidR="00817CB4" w:rsidRPr="009A5F5E" w14:paraId="492E9164" w14:textId="77777777" w:rsidTr="005437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60" w:type="dxa"/>
          </w:tcPr>
          <w:p w14:paraId="5E89B04E" w14:textId="77777777" w:rsidR="00817CB4" w:rsidRPr="009A5F5E" w:rsidRDefault="00817CB4" w:rsidP="0054375E">
            <w:pPr>
              <w:pStyle w:val="TableHeaderWhite"/>
            </w:pPr>
            <w:r w:rsidRPr="009A5F5E">
              <w:t>Assessment Quarter</w:t>
            </w:r>
          </w:p>
        </w:tc>
        <w:tc>
          <w:tcPr>
            <w:tcW w:w="7512" w:type="dxa"/>
          </w:tcPr>
          <w:p w14:paraId="633D7E99" w14:textId="77777777" w:rsidR="00817CB4" w:rsidRPr="009A5F5E" w:rsidRDefault="00817CB4" w:rsidP="0054375E">
            <w:pPr>
              <w:pStyle w:val="TableHeader"/>
              <w:cnfStyle w:val="100000000000" w:firstRow="1" w:lastRow="0" w:firstColumn="0" w:lastColumn="0" w:oddVBand="0" w:evenVBand="0" w:oddHBand="0" w:evenHBand="0" w:firstRowFirstColumn="0" w:firstRowLastColumn="0" w:lastRowFirstColumn="0" w:lastRowLastColumn="0"/>
            </w:pPr>
            <w:r w:rsidRPr="009A5F5E">
              <w:t>Requirements</w:t>
            </w:r>
          </w:p>
        </w:tc>
      </w:tr>
      <w:tr w:rsidR="00817CB4" w:rsidRPr="009A5F5E" w14:paraId="55E40C08"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A8C930E" w14:textId="77777777" w:rsidR="00817CB4" w:rsidRPr="009A5F5E" w:rsidRDefault="00817CB4" w:rsidP="00733FD8">
            <w:pPr>
              <w:pStyle w:val="Tabletextleft"/>
            </w:pPr>
            <w:r w:rsidRPr="009A5F5E">
              <w:t xml:space="preserve">Quarter 1 </w:t>
            </w:r>
          </w:p>
        </w:tc>
        <w:tc>
          <w:tcPr>
            <w:tcW w:w="7512" w:type="dxa"/>
          </w:tcPr>
          <w:p w14:paraId="1DF23EE1"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To be eligible for payment at the end of assessment quarter 1, providers and practices must:</w:t>
            </w:r>
          </w:p>
          <w:p w14:paraId="7162F974" w14:textId="77777777" w:rsidR="00817CB4" w:rsidRPr="009A5F5E" w:rsidRDefault="00817CB4" w:rsidP="00F85C8B">
            <w:pPr>
              <w:pStyle w:val="Tabletextleft"/>
              <w:numPr>
                <w:ilvl w:val="0"/>
                <w:numId w:val="11"/>
              </w:numPr>
              <w:cnfStyle w:val="000000100000" w:firstRow="0" w:lastRow="0" w:firstColumn="0" w:lastColumn="0" w:oddVBand="0" w:evenVBand="0" w:oddHBand="1" w:evenHBand="0" w:firstRowFirstColumn="0" w:firstRowLastColumn="0" w:lastRowFirstColumn="0" w:lastRowLastColumn="0"/>
            </w:pPr>
            <w:r w:rsidRPr="009A5F5E">
              <w:t xml:space="preserve">meet the eligibility requirements. </w:t>
            </w:r>
          </w:p>
          <w:p w14:paraId="7D08CE6C" w14:textId="77777777" w:rsidR="00817CB4" w:rsidRPr="009A5F5E" w:rsidRDefault="00817CB4" w:rsidP="00F85C8B">
            <w:pPr>
              <w:pStyle w:val="Tabletextleft"/>
              <w:numPr>
                <w:ilvl w:val="0"/>
                <w:numId w:val="11"/>
              </w:numPr>
              <w:cnfStyle w:val="000000100000" w:firstRow="0" w:lastRow="0" w:firstColumn="0" w:lastColumn="0" w:oddVBand="0" w:evenVBand="0" w:oddHBand="1" w:evenHBand="0" w:firstRowFirstColumn="0" w:firstRowLastColumn="0" w:lastRowFirstColumn="0" w:lastRowLastColumn="0"/>
            </w:pPr>
            <w:r w:rsidRPr="009A5F5E">
              <w:t>provide the patient 2 eligible services in the assessment quarter, in separate calendar months, in accordance with the regular service and Responsible Provider requirements.</w:t>
            </w:r>
          </w:p>
        </w:tc>
      </w:tr>
      <w:tr w:rsidR="00817CB4" w:rsidRPr="009A5F5E" w14:paraId="615B14D4"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8AE600E" w14:textId="77777777" w:rsidR="00817CB4" w:rsidRPr="009A5F5E" w:rsidRDefault="00817CB4" w:rsidP="00733FD8">
            <w:pPr>
              <w:pStyle w:val="Tabletextleft"/>
            </w:pPr>
            <w:r w:rsidRPr="009A5F5E">
              <w:t>Quarter 2</w:t>
            </w:r>
          </w:p>
        </w:tc>
        <w:tc>
          <w:tcPr>
            <w:tcW w:w="7512" w:type="dxa"/>
          </w:tcPr>
          <w:p w14:paraId="44A7C80F"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To be eligible for payment at the end of assessment quarter 2, providers and practices must:</w:t>
            </w:r>
          </w:p>
          <w:p w14:paraId="73B2D285" w14:textId="77777777" w:rsidR="00817CB4" w:rsidRPr="009A5F5E" w:rsidRDefault="00817CB4" w:rsidP="00F85C8B">
            <w:pPr>
              <w:pStyle w:val="Tabletextleft"/>
              <w:numPr>
                <w:ilvl w:val="0"/>
                <w:numId w:val="11"/>
              </w:numPr>
              <w:cnfStyle w:val="000000010000" w:firstRow="0" w:lastRow="0" w:firstColumn="0" w:lastColumn="0" w:oddVBand="0" w:evenVBand="0" w:oddHBand="0" w:evenHBand="1" w:firstRowFirstColumn="0" w:firstRowLastColumn="0" w:lastRowFirstColumn="0" w:lastRowLastColumn="0"/>
            </w:pPr>
            <w:r w:rsidRPr="009A5F5E">
              <w:t xml:space="preserve">meet the eligibility requirements. </w:t>
            </w:r>
          </w:p>
          <w:p w14:paraId="2E4327D0" w14:textId="77777777" w:rsidR="00817CB4" w:rsidRPr="009A5F5E" w:rsidRDefault="00817CB4" w:rsidP="00F85C8B">
            <w:pPr>
              <w:pStyle w:val="Tabletextleft"/>
              <w:numPr>
                <w:ilvl w:val="0"/>
                <w:numId w:val="11"/>
              </w:numPr>
              <w:cnfStyle w:val="000000010000" w:firstRow="0" w:lastRow="0" w:firstColumn="0" w:lastColumn="0" w:oddVBand="0" w:evenVBand="0" w:oddHBand="0" w:evenHBand="1" w:firstRowFirstColumn="0" w:firstRowLastColumn="0" w:lastRowFirstColumn="0" w:lastRowLastColumn="0"/>
            </w:pPr>
            <w:r w:rsidRPr="009A5F5E">
              <w:t>provide the patient 2 eligible services in the assessment quarter, in separate calendar months, in accordance with the regular service and Responsible Provider requirements.</w:t>
            </w:r>
          </w:p>
        </w:tc>
      </w:tr>
      <w:tr w:rsidR="00817CB4" w:rsidRPr="009A5F5E" w14:paraId="5E9BA4AE" w14:textId="77777777" w:rsidTr="0054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E3AE0AE" w14:textId="77777777" w:rsidR="00817CB4" w:rsidRPr="009A5F5E" w:rsidRDefault="00817CB4" w:rsidP="00733FD8">
            <w:pPr>
              <w:pStyle w:val="Tabletextleft"/>
            </w:pPr>
            <w:r w:rsidRPr="009A5F5E">
              <w:t xml:space="preserve">Quarter 3 </w:t>
            </w:r>
          </w:p>
        </w:tc>
        <w:tc>
          <w:tcPr>
            <w:tcW w:w="7512" w:type="dxa"/>
          </w:tcPr>
          <w:p w14:paraId="33CA60FB" w14:textId="77777777" w:rsidR="00817CB4" w:rsidRPr="009A5F5E"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9A5F5E">
              <w:t>To be eligible for payment at the end of assessment quarter 3, providers and practices must:</w:t>
            </w:r>
          </w:p>
          <w:p w14:paraId="75F75B11" w14:textId="77777777" w:rsidR="00817CB4" w:rsidRPr="009A5F5E" w:rsidRDefault="00817CB4" w:rsidP="00F85C8B">
            <w:pPr>
              <w:pStyle w:val="Tabletextleft"/>
              <w:numPr>
                <w:ilvl w:val="0"/>
                <w:numId w:val="11"/>
              </w:numPr>
              <w:cnfStyle w:val="000000100000" w:firstRow="0" w:lastRow="0" w:firstColumn="0" w:lastColumn="0" w:oddVBand="0" w:evenVBand="0" w:oddHBand="1" w:evenHBand="0" w:firstRowFirstColumn="0" w:firstRowLastColumn="0" w:lastRowFirstColumn="0" w:lastRowLastColumn="0"/>
            </w:pPr>
            <w:r w:rsidRPr="009A5F5E">
              <w:t xml:space="preserve">meet the eligibility requirements. </w:t>
            </w:r>
          </w:p>
          <w:p w14:paraId="2D6D8BDF" w14:textId="77777777" w:rsidR="00817CB4" w:rsidRPr="009A5F5E" w:rsidRDefault="00817CB4" w:rsidP="00F85C8B">
            <w:pPr>
              <w:pStyle w:val="Tabletextleft"/>
              <w:numPr>
                <w:ilvl w:val="0"/>
                <w:numId w:val="11"/>
              </w:numPr>
              <w:cnfStyle w:val="000000100000" w:firstRow="0" w:lastRow="0" w:firstColumn="0" w:lastColumn="0" w:oddVBand="0" w:evenVBand="0" w:oddHBand="1" w:evenHBand="0" w:firstRowFirstColumn="0" w:firstRowLastColumn="0" w:lastRowFirstColumn="0" w:lastRowLastColumn="0"/>
            </w:pPr>
            <w:r w:rsidRPr="009A5F5E">
              <w:t>provide the patient 2 eligible services in the assessment quarter, in separate calendar months, in accordance with the regular service and Responsible Provider requirements.</w:t>
            </w:r>
          </w:p>
        </w:tc>
      </w:tr>
      <w:tr w:rsidR="00817CB4" w14:paraId="0BAE8448" w14:textId="77777777" w:rsidTr="0054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40989AB" w14:textId="77777777" w:rsidR="00817CB4" w:rsidRPr="009A5F5E" w:rsidRDefault="00817CB4" w:rsidP="00733FD8">
            <w:pPr>
              <w:pStyle w:val="Tabletextleft"/>
            </w:pPr>
            <w:r w:rsidRPr="009A5F5E">
              <w:t xml:space="preserve">Quarter 4 </w:t>
            </w:r>
          </w:p>
        </w:tc>
        <w:tc>
          <w:tcPr>
            <w:tcW w:w="7512" w:type="dxa"/>
          </w:tcPr>
          <w:p w14:paraId="4CF33286" w14:textId="77777777" w:rsidR="00817CB4" w:rsidRPr="009A5F5E"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9A5F5E">
              <w:t>To be eligible for payment at the end of assessment quarter 4, providers and practices must:</w:t>
            </w:r>
          </w:p>
          <w:p w14:paraId="28E60A82" w14:textId="77777777" w:rsidR="00817CB4" w:rsidRPr="009A5F5E" w:rsidRDefault="00817CB4" w:rsidP="00F85C8B">
            <w:pPr>
              <w:pStyle w:val="Tabletextleft"/>
              <w:numPr>
                <w:ilvl w:val="0"/>
                <w:numId w:val="11"/>
              </w:numPr>
              <w:cnfStyle w:val="000000010000" w:firstRow="0" w:lastRow="0" w:firstColumn="0" w:lastColumn="0" w:oddVBand="0" w:evenVBand="0" w:oddHBand="0" w:evenHBand="1" w:firstRowFirstColumn="0" w:firstRowLastColumn="0" w:lastRowFirstColumn="0" w:lastRowLastColumn="0"/>
            </w:pPr>
            <w:r w:rsidRPr="009A5F5E">
              <w:t xml:space="preserve">meet the eligibility requirements. </w:t>
            </w:r>
          </w:p>
          <w:p w14:paraId="1C2DF02D" w14:textId="77777777" w:rsidR="00817CB4" w:rsidRPr="009A5F5E" w:rsidRDefault="00817CB4" w:rsidP="00F85C8B">
            <w:pPr>
              <w:pStyle w:val="Tabletextleft"/>
              <w:numPr>
                <w:ilvl w:val="0"/>
                <w:numId w:val="11"/>
              </w:numPr>
              <w:cnfStyle w:val="000000010000" w:firstRow="0" w:lastRow="0" w:firstColumn="0" w:lastColumn="0" w:oddVBand="0" w:evenVBand="0" w:oddHBand="0" w:evenHBand="1" w:firstRowFirstColumn="0" w:firstRowLastColumn="0" w:lastRowFirstColumn="0" w:lastRowLastColumn="0"/>
            </w:pPr>
            <w:r w:rsidRPr="009A5F5E">
              <w:t xml:space="preserve">provide the patient 2 eligible services in the assessment quarter, in separate calendar months, in accordance with the regular service and Responsible Provider requirements. </w:t>
            </w:r>
          </w:p>
          <w:p w14:paraId="2963A4BF" w14:textId="77777777" w:rsidR="00817CB4" w:rsidRPr="009A5F5E" w:rsidRDefault="00817CB4" w:rsidP="00F85C8B">
            <w:pPr>
              <w:pStyle w:val="Tabletextleft"/>
              <w:numPr>
                <w:ilvl w:val="0"/>
                <w:numId w:val="11"/>
              </w:numPr>
              <w:cnfStyle w:val="000000010000" w:firstRow="0" w:lastRow="0" w:firstColumn="0" w:lastColumn="0" w:oddVBand="0" w:evenVBand="0" w:oddHBand="0" w:evenHBand="1" w:firstRowFirstColumn="0" w:firstRowLastColumn="0" w:lastRowFirstColumn="0" w:lastRowLastColumn="0"/>
            </w:pPr>
            <w:r w:rsidRPr="009A5F5E">
              <w:t>have provided a total of 8 eligible regular services over the 12-month assessment period and</w:t>
            </w:r>
          </w:p>
          <w:p w14:paraId="6EB40847" w14:textId="32BA803D" w:rsidR="00817CB4" w:rsidRPr="009A5F5E" w:rsidRDefault="00817CB4" w:rsidP="00F85C8B">
            <w:pPr>
              <w:pStyle w:val="Tabletextleft"/>
              <w:numPr>
                <w:ilvl w:val="0"/>
                <w:numId w:val="11"/>
              </w:numPr>
              <w:cnfStyle w:val="000000010000" w:firstRow="0" w:lastRow="0" w:firstColumn="0" w:lastColumn="0" w:oddVBand="0" w:evenVBand="0" w:oddHBand="0" w:evenHBand="1" w:firstRowFirstColumn="0" w:firstRowLastColumn="0" w:lastRowFirstColumn="0" w:lastRowLastColumn="0"/>
            </w:pPr>
            <w:r w:rsidRPr="009A5F5E">
              <w:t xml:space="preserve">have provided 2 eligible care planning </w:t>
            </w:r>
            <w:r w:rsidR="00545862" w:rsidRPr="009A5F5E">
              <w:t xml:space="preserve">services </w:t>
            </w:r>
            <w:r w:rsidRPr="009A5F5E">
              <w:t>over the 12-month assessment period</w:t>
            </w:r>
            <w:r w:rsidR="00F86910" w:rsidRPr="009A5F5E">
              <w:t>, both</w:t>
            </w:r>
            <w:r w:rsidRPr="009A5F5E">
              <w:t xml:space="preserve"> delivered by the Responsible Provider.</w:t>
            </w:r>
          </w:p>
        </w:tc>
      </w:tr>
    </w:tbl>
    <w:p w14:paraId="70768898" w14:textId="2072F732" w:rsidR="00DA5604" w:rsidRDefault="00DA5604" w:rsidP="009E30CD">
      <w:pPr>
        <w:jc w:val="center"/>
      </w:pPr>
    </w:p>
    <w:p w14:paraId="7581F76D" w14:textId="2EE15102" w:rsidR="00DA5604" w:rsidRDefault="00DA5604"/>
    <w:sectPr w:rsidR="00DA5604" w:rsidSect="00BD4E83">
      <w:pgSz w:w="11906" w:h="16838" w:code="9"/>
      <w:pgMar w:top="1134" w:right="1021" w:bottom="1701" w:left="1021" w:header="0"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E2663" w14:textId="77777777" w:rsidR="007A305D" w:rsidRDefault="007A305D" w:rsidP="00D560DC">
      <w:pPr>
        <w:spacing w:before="0" w:after="0" w:line="240" w:lineRule="auto"/>
      </w:pPr>
      <w:r>
        <w:separator/>
      </w:r>
    </w:p>
  </w:endnote>
  <w:endnote w:type="continuationSeparator" w:id="0">
    <w:p w14:paraId="013EF310" w14:textId="77777777" w:rsidR="007A305D" w:rsidRDefault="007A305D" w:rsidP="00D560DC">
      <w:pPr>
        <w:spacing w:before="0" w:after="0" w:line="240" w:lineRule="auto"/>
      </w:pPr>
      <w:r>
        <w:continuationSeparator/>
      </w:r>
    </w:p>
  </w:endnote>
  <w:endnote w:type="continuationNotice" w:id="1">
    <w:p w14:paraId="6CEA3664" w14:textId="77777777" w:rsidR="007A305D" w:rsidRDefault="007A305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179C" w14:textId="294952EC" w:rsidR="00D34931" w:rsidRDefault="003B60F6">
    <w:pPr>
      <w:pStyle w:val="Footer"/>
    </w:pPr>
    <w:r>
      <w:rPr>
        <w:noProof/>
      </w:rPr>
      <mc:AlternateContent>
        <mc:Choice Requires="wps">
          <w:drawing>
            <wp:anchor distT="0" distB="0" distL="0" distR="0" simplePos="0" relativeHeight="251658249" behindDoc="0" locked="0" layoutInCell="1" allowOverlap="1" wp14:anchorId="7CFEFBA7" wp14:editId="42A45EB6">
              <wp:simplePos x="635" y="635"/>
              <wp:positionH relativeFrom="page">
                <wp:align>center</wp:align>
              </wp:positionH>
              <wp:positionV relativeFrom="page">
                <wp:align>bottom</wp:align>
              </wp:positionV>
              <wp:extent cx="551815" cy="478155"/>
              <wp:effectExtent l="0" t="0" r="635" b="0"/>
              <wp:wrapNone/>
              <wp:docPr id="580018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8155"/>
                      </a:xfrm>
                      <a:prstGeom prst="rect">
                        <a:avLst/>
                      </a:prstGeom>
                      <a:noFill/>
                      <a:ln>
                        <a:noFill/>
                      </a:ln>
                    </wps:spPr>
                    <wps:txbx>
                      <w:txbxContent>
                        <w:p w14:paraId="4228A301" w14:textId="2C023B53" w:rsidR="003B60F6" w:rsidRPr="003B60F6" w:rsidRDefault="003B60F6" w:rsidP="003B60F6">
                          <w:pPr>
                            <w:spacing w:after="0"/>
                            <w:rPr>
                              <w:rFonts w:ascii="Calibri" w:eastAsia="Calibri" w:hAnsi="Calibri" w:cs="Calibri"/>
                              <w:noProof/>
                              <w:color w:val="FF0000"/>
                              <w:sz w:val="24"/>
                              <w:szCs w:val="24"/>
                            </w:rPr>
                          </w:pPr>
                          <w:r w:rsidRPr="003B60F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FEFBA7" id="_x0000_t202" coordsize="21600,21600" o:spt="202" path="m,l,21600r21600,l21600,xe">
              <v:stroke joinstyle="miter"/>
              <v:path gradientshapeok="t" o:connecttype="rect"/>
            </v:shapetype>
            <v:shape id="Text Box 5" o:spid="_x0000_s1027" type="#_x0000_t202" alt="OFFICIAL" style="position:absolute;margin-left:0;margin-top:0;width:43.45pt;height:37.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" filled="f" stroked="f">
              <v:textbox style="mso-fit-shape-to-text:t" inset="0,0,0,15pt">
                <w:txbxContent>
                  <w:p w14:paraId="4228A301" w14:textId="2C023B53" w:rsidR="003B60F6" w:rsidRPr="003B60F6" w:rsidRDefault="003B60F6" w:rsidP="003B60F6">
                    <w:pPr>
                      <w:spacing w:after="0"/>
                      <w:rPr>
                        <w:rFonts w:ascii="Calibri" w:eastAsia="Calibri" w:hAnsi="Calibri" w:cs="Calibri"/>
                        <w:noProof/>
                        <w:color w:val="FF0000"/>
                        <w:sz w:val="24"/>
                        <w:szCs w:val="24"/>
                      </w:rPr>
                    </w:pPr>
                    <w:r w:rsidRPr="003B60F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986E" w14:textId="660C79B5" w:rsidR="00D34931" w:rsidRPr="00FB2642" w:rsidRDefault="00D34931" w:rsidP="00FB2642">
    <w:pPr>
      <w:pStyle w:val="Footer"/>
    </w:pPr>
    <w:r>
      <w:rPr>
        <w:noProof/>
        <w:lang w:eastAsia="en-AU"/>
      </w:rPr>
      <mc:AlternateContent>
        <mc:Choice Requires="wps">
          <w:drawing>
            <wp:anchor distT="0" distB="0" distL="114300" distR="114300" simplePos="0" relativeHeight="251658242" behindDoc="0" locked="0" layoutInCell="1" allowOverlap="1" wp14:anchorId="248BA6ED" wp14:editId="07A5EFF2">
              <wp:simplePos x="0" y="0"/>
              <wp:positionH relativeFrom="page">
                <wp:posOffset>6480810</wp:posOffset>
              </wp:positionH>
              <wp:positionV relativeFrom="page">
                <wp:posOffset>9246235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28E72836" w14:textId="40C9F60D" w:rsidR="00D34931" w:rsidRDefault="00D34931" w:rsidP="00AF121B">
                          <w:pPr>
                            <w:jc w:val="right"/>
                          </w:pPr>
                          <w:r>
                            <w:fldChar w:fldCharType="begin"/>
                          </w:r>
                          <w:r>
                            <w:instrText xml:space="preserve"> PAGE   \* MERGEFORMAT </w:instrText>
                          </w:r>
                          <w:r>
                            <w:fldChar w:fldCharType="separate"/>
                          </w:r>
                          <w:r w:rsidR="00C50DEE">
                            <w:rPr>
                              <w:noProof/>
                            </w:rPr>
                            <w:t>7</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BA6ED" id="_x0000_t202" coordsize="21600,21600" o:spt="202" path="m,l,21600r21600,l21600,xe">
              <v:stroke joinstyle="miter"/>
              <v:path gradientshapeok="t" o:connecttype="rect"/>
            </v:shapetype>
            <v:shape id="Text Box 11" o:spid="_x0000_s1028" type="#_x0000_t202" alt="&quot;&quot;" style="position:absolute;margin-left:510.3pt;margin-top:728.05pt;width:85.05pt;height:36.8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" filled="f" stroked="f" strokeweight=".5pt">
              <v:textbox inset="0,0,18mm,5mm">
                <w:txbxContent>
                  <w:p w14:paraId="28E72836" w14:textId="40C9F60D" w:rsidR="00D34931" w:rsidRDefault="00D34931" w:rsidP="00AF121B">
                    <w:pPr>
                      <w:jc w:val="right"/>
                    </w:pPr>
                    <w:r>
                      <w:fldChar w:fldCharType="begin"/>
                    </w:r>
                    <w:r>
                      <w:instrText xml:space="preserve"> PAGE   \* MERGEFORMAT </w:instrText>
                    </w:r>
                    <w:r>
                      <w:fldChar w:fldCharType="separate"/>
                    </w:r>
                    <w:r w:rsidR="00C50DEE">
                      <w:rPr>
                        <w:noProof/>
                      </w:rPr>
                      <w:t>7</w:t>
                    </w:r>
                    <w:r>
                      <w:rPr>
                        <w:noProof/>
                      </w:rPr>
                      <w:fldChar w:fldCharType="end"/>
                    </w:r>
                  </w:p>
                </w:txbxContent>
              </v:textbox>
              <w10:wrap anchorx="page" anchory="page"/>
            </v:shape>
          </w:pict>
        </mc:Fallback>
      </mc:AlternateContent>
    </w:r>
    <w:r>
      <w:rPr>
        <w:noProof/>
        <w:lang w:eastAsia="en-AU"/>
      </w:rPr>
      <w:drawing>
        <wp:anchor distT="0" distB="0" distL="114300" distR="114300" simplePos="0" relativeHeight="251658244" behindDoc="1" locked="0" layoutInCell="1" allowOverlap="1" wp14:anchorId="3C045316" wp14:editId="34911129">
          <wp:simplePos x="0" y="0"/>
          <wp:positionH relativeFrom="page">
            <wp:posOffset>549</wp:posOffset>
          </wp:positionH>
          <wp:positionV relativeFrom="page">
            <wp:posOffset>9711038</wp:posOffset>
          </wp:positionV>
          <wp:extent cx="7559675" cy="979805"/>
          <wp:effectExtent l="0" t="0" r="0" b="0"/>
          <wp:wrapNone/>
          <wp:docPr id="632935762" name="Picture 6329357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t>General Practice in Aged Care Incentive Guidelines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E635" w14:textId="2B4260C1" w:rsidR="00D34931" w:rsidRDefault="003B60F6" w:rsidP="00F62279">
    <w:pPr>
      <w:ind w:left="284"/>
    </w:pPr>
    <w:r>
      <w:rPr>
        <w:noProof/>
        <w:lang w:eastAsia="en-AU"/>
      </w:rPr>
      <mc:AlternateContent>
        <mc:Choice Requires="wps">
          <w:drawing>
            <wp:anchor distT="0" distB="0" distL="0" distR="0" simplePos="0" relativeHeight="251658248" behindDoc="0" locked="0" layoutInCell="1" allowOverlap="1" wp14:anchorId="2C868D61" wp14:editId="478AAAC6">
              <wp:simplePos x="635" y="635"/>
              <wp:positionH relativeFrom="page">
                <wp:align>center</wp:align>
              </wp:positionH>
              <wp:positionV relativeFrom="page">
                <wp:align>bottom</wp:align>
              </wp:positionV>
              <wp:extent cx="551815" cy="478155"/>
              <wp:effectExtent l="0" t="0" r="635" b="0"/>
              <wp:wrapNone/>
              <wp:docPr id="108019157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8155"/>
                      </a:xfrm>
                      <a:prstGeom prst="rect">
                        <a:avLst/>
                      </a:prstGeom>
                      <a:noFill/>
                      <a:ln>
                        <a:noFill/>
                      </a:ln>
                    </wps:spPr>
                    <wps:txbx>
                      <w:txbxContent>
                        <w:p w14:paraId="7EE65150" w14:textId="64CA56DB" w:rsidR="003B60F6" w:rsidRPr="003B60F6" w:rsidRDefault="003B60F6" w:rsidP="003B60F6">
                          <w:pPr>
                            <w:spacing w:after="0"/>
                            <w:rPr>
                              <w:rFonts w:ascii="Calibri" w:eastAsia="Calibri" w:hAnsi="Calibri" w:cs="Calibri"/>
                              <w:noProof/>
                              <w:color w:val="FF0000"/>
                              <w:sz w:val="24"/>
                              <w:szCs w:val="24"/>
                            </w:rPr>
                          </w:pPr>
                          <w:r w:rsidRPr="003B60F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868D61" id="_x0000_t202" coordsize="21600,21600" o:spt="202" path="m,l,21600r21600,l21600,xe">
              <v:stroke joinstyle="miter"/>
              <v:path gradientshapeok="t" o:connecttype="rect"/>
            </v:shapetype>
            <v:shape id="Text Box 4" o:spid="_x0000_s1030" type="#_x0000_t202" alt="OFFICIAL" style="position:absolute;left:0;text-align:left;margin-left:0;margin-top:0;width:43.45pt;height:37.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QocDAIAABwEAAAOAAAAZHJzL2Uyb0RvYy54bWysU01v2zAMvQ/YfxB0X2wXy9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" filled="f" stroked="f">
              <v:textbox style="mso-fit-shape-to-text:t" inset="0,0,0,15pt">
                <w:txbxContent>
                  <w:p w14:paraId="7EE65150" w14:textId="64CA56DB" w:rsidR="003B60F6" w:rsidRPr="003B60F6" w:rsidRDefault="003B60F6" w:rsidP="003B60F6">
                    <w:pPr>
                      <w:spacing w:after="0"/>
                      <w:rPr>
                        <w:rFonts w:ascii="Calibri" w:eastAsia="Calibri" w:hAnsi="Calibri" w:cs="Calibri"/>
                        <w:noProof/>
                        <w:color w:val="FF0000"/>
                        <w:sz w:val="24"/>
                        <w:szCs w:val="24"/>
                      </w:rPr>
                    </w:pPr>
                    <w:r w:rsidRPr="003B60F6">
                      <w:rPr>
                        <w:rFonts w:ascii="Calibri" w:eastAsia="Calibri" w:hAnsi="Calibri" w:cs="Calibri"/>
                        <w:noProof/>
                        <w:color w:val="FF0000"/>
                        <w:sz w:val="24"/>
                        <w:szCs w:val="24"/>
                      </w:rPr>
                      <w:t>OFFICIAL</w:t>
                    </w:r>
                  </w:p>
                </w:txbxContent>
              </v:textbox>
              <w10:wrap anchorx="page" anchory="page"/>
            </v:shape>
          </w:pict>
        </mc:Fallback>
      </mc:AlternateContent>
    </w:r>
    <w:r w:rsidR="00D34931">
      <w:rPr>
        <w:noProof/>
        <w:lang w:eastAsia="en-AU"/>
      </w:rPr>
      <mc:AlternateContent>
        <mc:Choice Requires="wps">
          <w:drawing>
            <wp:anchor distT="0" distB="0" distL="114300" distR="114300" simplePos="0" relativeHeight="251658240" behindDoc="0" locked="0" layoutInCell="1" allowOverlap="1" wp14:anchorId="276ED6EB" wp14:editId="6237BDAD">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266D60E5" w14:textId="77777777" w:rsidR="00D34931" w:rsidRDefault="00D34931" w:rsidP="0039793D">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ED6EB" id="Text Box 20" o:spid="_x0000_s1031" type="#_x0000_t202" alt="&quot;&quot;" style="position:absolute;left:0;text-align:left;margin-left:510.3pt;margin-top:728.15pt;width:85pt;height:36.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" filled="f" stroked="f" strokeweight=".5pt">
              <v:textbox inset="0,0,18mm,5mm">
                <w:txbxContent>
                  <w:p w14:paraId="266D60E5" w14:textId="77777777" w:rsidR="00D34931" w:rsidRDefault="00D34931" w:rsidP="0039793D">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p w14:paraId="77F361EE" w14:textId="14E85751" w:rsidR="00D34931" w:rsidRPr="00C70717" w:rsidRDefault="00D34931" w:rsidP="00D560DC">
    <w:pPr>
      <w:pStyle w:val="Footer"/>
    </w:pPr>
    <w:r>
      <w:rPr>
        <w:noProof/>
        <w:lang w:eastAsia="en-AU"/>
      </w:rPr>
      <w:drawing>
        <wp:anchor distT="0" distB="0" distL="114300" distR="114300" simplePos="0" relativeHeight="251658241" behindDoc="1" locked="0" layoutInCell="1" allowOverlap="1" wp14:anchorId="0F747A8E" wp14:editId="028E51DC">
          <wp:simplePos x="0" y="0"/>
          <wp:positionH relativeFrom="page">
            <wp:posOffset>0</wp:posOffset>
          </wp:positionH>
          <wp:positionV relativeFrom="page">
            <wp:posOffset>9715963</wp:posOffset>
          </wp:positionV>
          <wp:extent cx="7559675" cy="979805"/>
          <wp:effectExtent l="0" t="0" r="0" b="0"/>
          <wp:wrapNone/>
          <wp:docPr id="1489969426" name="Picture 14899694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t>General Practice in Aged Care Incentive Guidelines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51163" w14:textId="77777777" w:rsidR="007A305D" w:rsidRDefault="007A305D" w:rsidP="00D560DC">
      <w:pPr>
        <w:spacing w:before="0" w:after="0" w:line="240" w:lineRule="auto"/>
      </w:pPr>
      <w:r>
        <w:separator/>
      </w:r>
    </w:p>
  </w:footnote>
  <w:footnote w:type="continuationSeparator" w:id="0">
    <w:p w14:paraId="163D4976" w14:textId="77777777" w:rsidR="007A305D" w:rsidRDefault="007A305D" w:rsidP="00D560DC">
      <w:pPr>
        <w:spacing w:before="0" w:after="0" w:line="240" w:lineRule="auto"/>
      </w:pPr>
      <w:r>
        <w:continuationSeparator/>
      </w:r>
    </w:p>
  </w:footnote>
  <w:footnote w:type="continuationNotice" w:id="1">
    <w:p w14:paraId="232612FB" w14:textId="77777777" w:rsidR="007A305D" w:rsidRPr="00FB2642" w:rsidRDefault="007A305D" w:rsidP="00FB2642">
      <w:pPr>
        <w:pStyle w:val="Footer"/>
      </w:pPr>
    </w:p>
  </w:footnote>
  <w:footnote w:id="2">
    <w:p w14:paraId="411574A1" w14:textId="77777777" w:rsidR="00D34931" w:rsidRPr="00BD4E83" w:rsidRDefault="00D34931" w:rsidP="00FB2642">
      <w:pPr>
        <w:pStyle w:val="FootnoteText"/>
        <w:rPr>
          <w:rFonts w:ascii="Arial" w:hAnsi="Arial" w:cs="Arial"/>
          <w:sz w:val="18"/>
          <w:szCs w:val="18"/>
        </w:rPr>
      </w:pPr>
      <w:r w:rsidRPr="00BD4E83">
        <w:rPr>
          <w:rStyle w:val="FootnoteReference"/>
          <w:rFonts w:ascii="Arial" w:hAnsi="Arial" w:cs="Arial"/>
          <w:sz w:val="18"/>
          <w:szCs w:val="18"/>
        </w:rPr>
        <w:footnoteRef/>
      </w:r>
      <w:r w:rsidRPr="00BD4E83">
        <w:rPr>
          <w:rFonts w:ascii="Arial" w:hAnsi="Arial" w:cs="Arial"/>
          <w:sz w:val="18"/>
          <w:szCs w:val="18"/>
        </w:rPr>
        <w:t xml:space="preserve"> Chiswell K et al. (2022) Australian Health Review 46(4), 414–420.</w:t>
      </w:r>
    </w:p>
  </w:footnote>
  <w:footnote w:id="3">
    <w:p w14:paraId="6F282059" w14:textId="77777777" w:rsidR="00D34931" w:rsidRDefault="00D34931" w:rsidP="00FB2642">
      <w:pPr>
        <w:pStyle w:val="FootnoteText"/>
      </w:pPr>
      <w:r w:rsidRPr="00BD4E83">
        <w:rPr>
          <w:rStyle w:val="FootnoteReference"/>
          <w:rFonts w:ascii="Arial" w:hAnsi="Arial" w:cs="Arial"/>
          <w:sz w:val="18"/>
          <w:szCs w:val="18"/>
        </w:rPr>
        <w:footnoteRef/>
      </w:r>
      <w:r w:rsidRPr="00BD4E83">
        <w:rPr>
          <w:rFonts w:ascii="Arial" w:hAnsi="Arial" w:cs="Arial"/>
          <w:sz w:val="18"/>
          <w:szCs w:val="18"/>
        </w:rPr>
        <w:t xml:space="preserve"> Maarsingh, O. R. et al (2016). Continuity of care in primary care and association with survival in older people: a 17-year prospective cohort study. The British journal of general practice</w:t>
      </w:r>
    </w:p>
  </w:footnote>
  <w:footnote w:id="4">
    <w:p w14:paraId="716DEAB1" w14:textId="7ACC25A3" w:rsidR="00D34931" w:rsidRPr="008F1E78" w:rsidRDefault="00D34931" w:rsidP="00817CB4">
      <w:pPr>
        <w:pStyle w:val="FootnoteText"/>
        <w:rPr>
          <w:rFonts w:ascii="Arial" w:hAnsi="Arial" w:cs="Arial"/>
        </w:rPr>
      </w:pPr>
      <w:r w:rsidRPr="008F1E78">
        <w:rPr>
          <w:rStyle w:val="FootnoteReference"/>
          <w:rFonts w:ascii="Arial" w:hAnsi="Arial" w:cs="Arial"/>
        </w:rPr>
        <w:footnoteRef/>
      </w:r>
      <w:r w:rsidRPr="008F1E78">
        <w:rPr>
          <w:rFonts w:ascii="Arial" w:hAnsi="Arial" w:cs="Arial"/>
        </w:rPr>
        <w:t xml:space="preserve"> </w:t>
      </w:r>
      <w:r w:rsidRPr="008F1E78">
        <w:rPr>
          <w:rFonts w:ascii="Arial" w:hAnsi="Arial" w:cs="Arial"/>
          <w:sz w:val="18"/>
          <w:szCs w:val="18"/>
        </w:rPr>
        <w:t xml:space="preserve">Known as GPACI in </w:t>
      </w:r>
      <w:r w:rsidRPr="008F1E78">
        <w:rPr>
          <w:rFonts w:ascii="Arial" w:eastAsia="Times New Roman" w:hAnsi="Arial" w:cs="Arial"/>
          <w:sz w:val="18"/>
          <w:szCs w:val="18"/>
        </w:rPr>
        <w:t>Health Professional Online Services (</w:t>
      </w:r>
      <w:r w:rsidRPr="008F1E78">
        <w:rPr>
          <w:rFonts w:ascii="Arial" w:hAnsi="Arial" w:cs="Arial"/>
          <w:sz w:val="18"/>
          <w:szCs w:val="18"/>
        </w:rPr>
        <w:t>HPOS).</w:t>
      </w:r>
    </w:p>
  </w:footnote>
  <w:footnote w:id="5">
    <w:p w14:paraId="20D18BF4" w14:textId="69EB1736" w:rsidR="00D34931" w:rsidRDefault="00D34931" w:rsidP="00817CB4">
      <w:pPr>
        <w:pStyle w:val="FootnoteText"/>
      </w:pPr>
      <w:r>
        <w:rPr>
          <w:rStyle w:val="FootnoteReference"/>
        </w:rPr>
        <w:footnoteRef/>
      </w:r>
      <w:r>
        <w:t xml:space="preserve"> </w:t>
      </w:r>
      <w:r>
        <w:rPr>
          <w:rFonts w:ascii="Arial" w:hAnsi="Arial"/>
          <w:sz w:val="18"/>
        </w:rPr>
        <w:t xml:space="preserve">Information kits and resources can be accessed at </w:t>
      </w:r>
      <w:hyperlink r:id="rId1" w:history="1">
        <w:r w:rsidRPr="00591C1B">
          <w:rPr>
            <w:rStyle w:val="Hyperlink"/>
            <w:sz w:val="18"/>
          </w:rPr>
          <w:t>health.gov.au/our-work/gpaci</w:t>
        </w:r>
      </w:hyperlink>
      <w:r>
        <w:rPr>
          <w:rFonts w:ascii="Arial" w:hAnsi="Arial"/>
          <w:sz w:val="18"/>
        </w:rPr>
        <w:t>.</w:t>
      </w:r>
    </w:p>
  </w:footnote>
  <w:footnote w:id="6">
    <w:p w14:paraId="21F2C8AA" w14:textId="72A5186E" w:rsidR="00D34931" w:rsidRPr="002D330A" w:rsidRDefault="00D34931" w:rsidP="00817CB4">
      <w:pPr>
        <w:pStyle w:val="FootnoteText"/>
        <w:rPr>
          <w:rFonts w:ascii="Arial" w:hAnsi="Arial"/>
          <w:sz w:val="18"/>
          <w:szCs w:val="18"/>
        </w:rPr>
      </w:pPr>
      <w:r w:rsidRPr="06F539DF">
        <w:rPr>
          <w:rStyle w:val="FootnoteReference"/>
          <w:rFonts w:ascii="Arial" w:hAnsi="Arial"/>
          <w:sz w:val="18"/>
          <w:szCs w:val="18"/>
        </w:rPr>
        <w:footnoteRef/>
      </w:r>
      <w:r w:rsidRPr="06F539DF">
        <w:rPr>
          <w:rFonts w:ascii="Arial" w:hAnsi="Arial"/>
          <w:sz w:val="18"/>
          <w:szCs w:val="18"/>
        </w:rPr>
        <w:t xml:space="preserve"> Refer to 2.3.2 for practice nurse and Aboriginal and Torres Strait Islander health practitioner requirements for this incentive.</w:t>
      </w:r>
    </w:p>
  </w:footnote>
  <w:footnote w:id="7">
    <w:p w14:paraId="7A08DDFF" w14:textId="77777777" w:rsidR="00D34931" w:rsidRDefault="00D34931" w:rsidP="00817CB4">
      <w:pPr>
        <w:pStyle w:val="FootnoteText"/>
      </w:pPr>
      <w:r w:rsidRPr="002D330A">
        <w:rPr>
          <w:rStyle w:val="FootnoteReference"/>
          <w:rFonts w:ascii="Arial" w:hAnsi="Arial"/>
          <w:sz w:val="18"/>
        </w:rPr>
        <w:footnoteRef/>
      </w:r>
      <w:r w:rsidRPr="002D330A">
        <w:rPr>
          <w:rFonts w:ascii="Arial" w:hAnsi="Arial"/>
          <w:sz w:val="18"/>
        </w:rPr>
        <w:t xml:space="preserve"> Residential aged care is for older people who can no longer live in their own home. It includes accommodation and personal care 24 hours a day, as well as access to nursing and general health care services.</w:t>
      </w:r>
    </w:p>
  </w:footnote>
  <w:footnote w:id="8">
    <w:p w14:paraId="41398156" w14:textId="77777777" w:rsidR="00D34931" w:rsidRPr="002D330A" w:rsidRDefault="00D34931" w:rsidP="00817CB4">
      <w:pPr>
        <w:pStyle w:val="FootnoteText"/>
        <w:rPr>
          <w:rFonts w:ascii="Arial" w:hAnsi="Arial"/>
        </w:rPr>
      </w:pPr>
      <w:r w:rsidRPr="002D330A">
        <w:rPr>
          <w:rStyle w:val="FootnoteReference"/>
          <w:rFonts w:ascii="Arial" w:hAnsi="Arial"/>
          <w:sz w:val="18"/>
        </w:rPr>
        <w:footnoteRef/>
      </w:r>
      <w:r w:rsidRPr="002D330A">
        <w:rPr>
          <w:rFonts w:ascii="Arial" w:hAnsi="Arial"/>
          <w:sz w:val="18"/>
        </w:rPr>
        <w:t xml:space="preserve"> More information on linking a Responsible Provider can be found at </w:t>
      </w:r>
      <w:hyperlink r:id="rId2" w:history="1">
        <w:r w:rsidRPr="002D330A">
          <w:rPr>
            <w:rStyle w:val="Hyperlink"/>
            <w:sz w:val="18"/>
          </w:rPr>
          <w:t>General Practice in Aged Care Incentive - Health professionals - Services Australia</w:t>
        </w:r>
      </w:hyperlink>
    </w:p>
  </w:footnote>
  <w:footnote w:id="9">
    <w:p w14:paraId="5623AA44" w14:textId="77777777" w:rsidR="00D34931" w:rsidRPr="004753FD" w:rsidRDefault="00D34931" w:rsidP="00817CB4">
      <w:pPr>
        <w:pStyle w:val="FootnoteText"/>
      </w:pPr>
      <w:r w:rsidRPr="004753FD">
        <w:footnoteRef/>
      </w:r>
      <w:r w:rsidRPr="004753FD">
        <w:t xml:space="preserve"> Any updates to these rates as a result of periodic indexation or review of rates will be updated in this document.</w:t>
      </w:r>
    </w:p>
  </w:footnote>
  <w:footnote w:id="10">
    <w:p w14:paraId="6510D8B4" w14:textId="77777777" w:rsidR="00D34931" w:rsidRPr="002F3958" w:rsidRDefault="00D34931" w:rsidP="005602A5">
      <w:pPr>
        <w:pStyle w:val="FootnoteText"/>
        <w:rPr>
          <w:rFonts w:ascii="Arial" w:hAnsi="Arial" w:cs="Arial"/>
        </w:rPr>
      </w:pPr>
      <w:r w:rsidRPr="002F3958">
        <w:rPr>
          <w:rFonts w:ascii="Arial" w:hAnsi="Arial" w:cs="Arial"/>
          <w:sz w:val="18"/>
          <w:szCs w:val="18"/>
        </w:rPr>
        <w:footnoteRef/>
      </w:r>
      <w:r w:rsidRPr="002F3958">
        <w:rPr>
          <w:rFonts w:ascii="Arial" w:hAnsi="Arial" w:cs="Arial"/>
          <w:sz w:val="18"/>
          <w:szCs w:val="18"/>
        </w:rPr>
        <w:t xml:space="preserve"> Alterations and addenda include but are not limited to corrections to currently published documents, changes to close dates/times and Frequently Asked Questions (FAQ) documents.</w:t>
      </w:r>
    </w:p>
  </w:footnote>
  <w:footnote w:id="11">
    <w:p w14:paraId="3147CD5E" w14:textId="1F673099" w:rsidR="00D34931" w:rsidRPr="002D330A" w:rsidRDefault="00D34931" w:rsidP="00817CB4">
      <w:pPr>
        <w:pStyle w:val="FootnoteText"/>
        <w:rPr>
          <w:rFonts w:ascii="Arial" w:hAnsi="Arial"/>
        </w:rPr>
      </w:pPr>
      <w:r w:rsidRPr="002D330A">
        <w:rPr>
          <w:rStyle w:val="FootnoteReference"/>
          <w:rFonts w:ascii="Arial" w:hAnsi="Arial"/>
          <w:sz w:val="18"/>
        </w:rPr>
        <w:footnoteRef/>
      </w:r>
      <w:r w:rsidRPr="002D330A">
        <w:rPr>
          <w:rFonts w:ascii="Arial" w:hAnsi="Arial"/>
          <w:sz w:val="18"/>
        </w:rPr>
        <w:t xml:space="preserve"> Review of Decision form </w:t>
      </w:r>
      <w:r>
        <w:rPr>
          <w:rFonts w:ascii="Arial" w:hAnsi="Arial"/>
          <w:sz w:val="18"/>
        </w:rPr>
        <w:t>is available</w:t>
      </w:r>
      <w:r w:rsidRPr="002D330A">
        <w:rPr>
          <w:rFonts w:ascii="Arial" w:hAnsi="Arial"/>
          <w:sz w:val="18"/>
        </w:rPr>
        <w:t xml:space="preserve"> on the Services Australia website</w:t>
      </w:r>
      <w:r>
        <w:rPr>
          <w:rFonts w:ascii="Arial" w:hAnsi="Arial"/>
          <w:sz w:val="18"/>
        </w:rPr>
        <w:t xml:space="preserve"> here:</w:t>
      </w:r>
      <w:r w:rsidRPr="00321911">
        <w:t xml:space="preserve"> </w:t>
      </w:r>
      <w:hyperlink r:id="rId3" w:history="1">
        <w:r w:rsidRPr="00321911">
          <w:rPr>
            <w:rStyle w:val="Hyperlink"/>
            <w:sz w:val="18"/>
          </w:rPr>
          <w:t>https://www.servicesaustralia.gov.au/ip034</w:t>
        </w:r>
      </w:hyperlink>
      <w:r>
        <w:rPr>
          <w:rFonts w:ascii="Arial" w:hAnsi="Arial"/>
          <w:sz w:val="18"/>
        </w:rPr>
        <w:t xml:space="preserve"> </w:t>
      </w:r>
    </w:p>
  </w:footnote>
  <w:footnote w:id="12">
    <w:p w14:paraId="03284B15" w14:textId="77777777" w:rsidR="00D34931" w:rsidRPr="00553446" w:rsidRDefault="00D34931" w:rsidP="009B183A">
      <w:pPr>
        <w:pStyle w:val="FootnoteText"/>
        <w:rPr>
          <w:rFonts w:ascii="Arial" w:hAnsi="Arial" w:cs="Arial"/>
          <w:sz w:val="18"/>
          <w:szCs w:val="18"/>
        </w:rPr>
      </w:pPr>
      <w:r w:rsidRPr="00553446">
        <w:rPr>
          <w:rStyle w:val="FootnoteReference"/>
          <w:rFonts w:ascii="Arial" w:hAnsi="Arial" w:cs="Arial"/>
          <w:sz w:val="18"/>
          <w:szCs w:val="18"/>
        </w:rPr>
        <w:footnoteRef/>
      </w:r>
      <w:r w:rsidRPr="00553446">
        <w:rPr>
          <w:rFonts w:ascii="Arial" w:hAnsi="Arial" w:cs="Arial"/>
          <w:sz w:val="18"/>
          <w:szCs w:val="18"/>
        </w:rPr>
        <w:t xml:space="preserve"> Relevant money is defined in the </w:t>
      </w:r>
      <w:bookmarkStart w:id="446" w:name="_Hlk80526341"/>
      <w:r w:rsidRPr="00553446">
        <w:rPr>
          <w:rFonts w:ascii="Arial" w:hAnsi="Arial" w:cs="Arial"/>
          <w:i/>
          <w:iCs/>
          <w:sz w:val="18"/>
          <w:szCs w:val="18"/>
        </w:rPr>
        <w:t xml:space="preserve">Public Governance, Performance and Accountability Act 2013 </w:t>
      </w:r>
      <w:r w:rsidRPr="00553446">
        <w:rPr>
          <w:rFonts w:ascii="Arial" w:hAnsi="Arial" w:cs="Arial"/>
          <w:sz w:val="18"/>
          <w:szCs w:val="18"/>
        </w:rPr>
        <w:t>(PGPA Act), chapter 1, section 8 Dictionary</w:t>
      </w:r>
      <w:bookmarkEnd w:id="446"/>
      <w:r w:rsidRPr="00553446">
        <w:rPr>
          <w:rFonts w:ascii="Arial" w:hAnsi="Arial" w:cs="Arial"/>
          <w:sz w:val="18"/>
          <w:szCs w:val="18"/>
        </w:rPr>
        <w:t>.</w:t>
      </w:r>
    </w:p>
  </w:footnote>
  <w:footnote w:id="13">
    <w:p w14:paraId="3BD52272" w14:textId="77777777" w:rsidR="00D34931" w:rsidRPr="007133C2" w:rsidRDefault="00D34931" w:rsidP="009B183A">
      <w:pPr>
        <w:pStyle w:val="FootnoteText"/>
      </w:pPr>
      <w:r w:rsidRPr="00553446">
        <w:rPr>
          <w:rStyle w:val="FootnoteReference"/>
          <w:rFonts w:ascii="Arial" w:hAnsi="Arial" w:cs="Arial"/>
          <w:sz w:val="18"/>
          <w:szCs w:val="18"/>
        </w:rPr>
        <w:footnoteRef/>
      </w:r>
      <w:r w:rsidRPr="00553446">
        <w:rPr>
          <w:rFonts w:ascii="Arial" w:hAnsi="Arial" w:cs="Arial"/>
          <w:sz w:val="18"/>
          <w:szCs w:val="18"/>
        </w:rPr>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F1D0" w14:textId="5CB39149" w:rsidR="00D34931" w:rsidRDefault="003B60F6">
    <w:pPr>
      <w:pStyle w:val="Header"/>
    </w:pPr>
    <w:r>
      <w:rPr>
        <w:noProof/>
      </w:rPr>
      <mc:AlternateContent>
        <mc:Choice Requires="wps">
          <w:drawing>
            <wp:anchor distT="0" distB="0" distL="0" distR="0" simplePos="0" relativeHeight="251658247" behindDoc="0" locked="0" layoutInCell="1" allowOverlap="1" wp14:anchorId="6FD972EF" wp14:editId="01CE335E">
              <wp:simplePos x="635" y="635"/>
              <wp:positionH relativeFrom="page">
                <wp:align>center</wp:align>
              </wp:positionH>
              <wp:positionV relativeFrom="page">
                <wp:align>top</wp:align>
              </wp:positionV>
              <wp:extent cx="551815" cy="478155"/>
              <wp:effectExtent l="0" t="0" r="635" b="17145"/>
              <wp:wrapNone/>
              <wp:docPr id="4682274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8155"/>
                      </a:xfrm>
                      <a:prstGeom prst="rect">
                        <a:avLst/>
                      </a:prstGeom>
                      <a:noFill/>
                      <a:ln>
                        <a:noFill/>
                      </a:ln>
                    </wps:spPr>
                    <wps:txbx>
                      <w:txbxContent>
                        <w:p w14:paraId="241BC8A3" w14:textId="58ECD44E" w:rsidR="003B60F6" w:rsidRPr="003B60F6" w:rsidRDefault="003B60F6" w:rsidP="003B60F6">
                          <w:pPr>
                            <w:spacing w:after="0"/>
                            <w:rPr>
                              <w:rFonts w:ascii="Calibri" w:eastAsia="Calibri" w:hAnsi="Calibri" w:cs="Calibri"/>
                              <w:noProof/>
                              <w:color w:val="FF0000"/>
                              <w:sz w:val="24"/>
                              <w:szCs w:val="24"/>
                            </w:rPr>
                          </w:pPr>
                          <w:r w:rsidRPr="003B60F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D972EF" id="_x0000_t202" coordsize="21600,21600" o:spt="202" path="m,l,21600r21600,l21600,xe">
              <v:stroke joinstyle="miter"/>
              <v:path gradientshapeok="t" o:connecttype="rect"/>
            </v:shapetype>
            <v:shape id="Text Box 2" o:spid="_x0000_s1026" type="#_x0000_t202" alt="OFFICIAL" style="position:absolute;margin-left:0;margin-top:0;width:43.45pt;height:37.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" filled="f" stroked="f">
              <v:textbox style="mso-fit-shape-to-text:t" inset="0,15pt,0,0">
                <w:txbxContent>
                  <w:p w14:paraId="241BC8A3" w14:textId="58ECD44E" w:rsidR="003B60F6" w:rsidRPr="003B60F6" w:rsidRDefault="003B60F6" w:rsidP="003B60F6">
                    <w:pPr>
                      <w:spacing w:after="0"/>
                      <w:rPr>
                        <w:rFonts w:ascii="Calibri" w:eastAsia="Calibri" w:hAnsi="Calibri" w:cs="Calibri"/>
                        <w:noProof/>
                        <w:color w:val="FF0000"/>
                        <w:sz w:val="24"/>
                        <w:szCs w:val="24"/>
                      </w:rPr>
                    </w:pPr>
                    <w:r w:rsidRPr="003B60F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C43" w14:textId="55891331" w:rsidR="00D34931" w:rsidRDefault="00D34931" w:rsidP="004963FC">
    <w:pPr>
      <w:pStyle w:val="Header"/>
      <w:spacing w:after="1400"/>
    </w:pPr>
    <w:r>
      <w:rPr>
        <w:noProof/>
        <w:lang w:eastAsia="en-AU"/>
      </w:rPr>
      <w:drawing>
        <wp:anchor distT="0" distB="0" distL="114300" distR="114300" simplePos="0" relativeHeight="251658245" behindDoc="1" locked="0" layoutInCell="1" allowOverlap="1" wp14:anchorId="077D4B83" wp14:editId="06B22D06">
          <wp:simplePos x="0" y="0"/>
          <wp:positionH relativeFrom="page">
            <wp:posOffset>0</wp:posOffset>
          </wp:positionH>
          <wp:positionV relativeFrom="page">
            <wp:posOffset>0</wp:posOffset>
          </wp:positionV>
          <wp:extent cx="7560000" cy="979200"/>
          <wp:effectExtent l="0" t="0" r="0" b="0"/>
          <wp:wrapNone/>
          <wp:docPr id="1002951108" name="Picture 1002951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7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7044" w14:textId="6647D0F3" w:rsidR="00D34931" w:rsidRPr="00D560DC" w:rsidRDefault="003B60F6" w:rsidP="004A500A">
    <w:pPr>
      <w:pStyle w:val="Header"/>
      <w:spacing w:after="1200"/>
    </w:pPr>
    <w:r>
      <w:rPr>
        <w:noProof/>
        <w:lang w:eastAsia="en-AU"/>
      </w:rPr>
      <mc:AlternateContent>
        <mc:Choice Requires="wps">
          <w:drawing>
            <wp:anchor distT="0" distB="0" distL="0" distR="0" simplePos="0" relativeHeight="251658246" behindDoc="0" locked="0" layoutInCell="1" allowOverlap="1" wp14:anchorId="6C27E473" wp14:editId="0E78EDF8">
              <wp:simplePos x="635" y="635"/>
              <wp:positionH relativeFrom="page">
                <wp:align>center</wp:align>
              </wp:positionH>
              <wp:positionV relativeFrom="page">
                <wp:align>top</wp:align>
              </wp:positionV>
              <wp:extent cx="551815" cy="478155"/>
              <wp:effectExtent l="0" t="0" r="635" b="17145"/>
              <wp:wrapNone/>
              <wp:docPr id="10227572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8155"/>
                      </a:xfrm>
                      <a:prstGeom prst="rect">
                        <a:avLst/>
                      </a:prstGeom>
                      <a:noFill/>
                      <a:ln>
                        <a:noFill/>
                      </a:ln>
                    </wps:spPr>
                    <wps:txbx>
                      <w:txbxContent>
                        <w:p w14:paraId="690C6A97" w14:textId="1C621C64" w:rsidR="003B60F6" w:rsidRPr="003B60F6" w:rsidRDefault="003B60F6" w:rsidP="003B60F6">
                          <w:pPr>
                            <w:spacing w:after="0"/>
                            <w:rPr>
                              <w:rFonts w:ascii="Calibri" w:eastAsia="Calibri" w:hAnsi="Calibri" w:cs="Calibri"/>
                              <w:noProof/>
                              <w:color w:val="FF0000"/>
                              <w:sz w:val="24"/>
                              <w:szCs w:val="24"/>
                            </w:rPr>
                          </w:pPr>
                          <w:r w:rsidRPr="003B60F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27E473" id="_x0000_t202" coordsize="21600,21600" o:spt="202" path="m,l,21600r21600,l21600,xe">
              <v:stroke joinstyle="miter"/>
              <v:path gradientshapeok="t" o:connecttype="rect"/>
            </v:shapetype>
            <v:shape id="Text Box 1" o:spid="_x0000_s1029" type="#_x0000_t202" alt="OFFICIAL" style="position:absolute;margin-left:0;margin-top:0;width:43.45pt;height:37.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" filled="f" stroked="f">
              <v:textbox style="mso-fit-shape-to-text:t" inset="0,15pt,0,0">
                <w:txbxContent>
                  <w:p w14:paraId="690C6A97" w14:textId="1C621C64" w:rsidR="003B60F6" w:rsidRPr="003B60F6" w:rsidRDefault="003B60F6" w:rsidP="003B60F6">
                    <w:pPr>
                      <w:spacing w:after="0"/>
                      <w:rPr>
                        <w:rFonts w:ascii="Calibri" w:eastAsia="Calibri" w:hAnsi="Calibri" w:cs="Calibri"/>
                        <w:noProof/>
                        <w:color w:val="FF0000"/>
                        <w:sz w:val="24"/>
                        <w:szCs w:val="24"/>
                      </w:rPr>
                    </w:pPr>
                    <w:r w:rsidRPr="003B60F6">
                      <w:rPr>
                        <w:rFonts w:ascii="Calibri" w:eastAsia="Calibri" w:hAnsi="Calibri" w:cs="Calibri"/>
                        <w:noProof/>
                        <w:color w:val="FF0000"/>
                        <w:sz w:val="24"/>
                        <w:szCs w:val="24"/>
                      </w:rPr>
                      <w:t>OFFICIAL</w:t>
                    </w:r>
                  </w:p>
                </w:txbxContent>
              </v:textbox>
              <w10:wrap anchorx="page" anchory="page"/>
            </v:shape>
          </w:pict>
        </mc:Fallback>
      </mc:AlternateContent>
    </w:r>
    <w:r w:rsidR="00D34931">
      <w:rPr>
        <w:noProof/>
        <w:lang w:eastAsia="en-AU"/>
      </w:rPr>
      <w:drawing>
        <wp:anchor distT="0" distB="0" distL="114300" distR="114300" simplePos="0" relativeHeight="251658243" behindDoc="1" locked="0" layoutInCell="1" allowOverlap="1" wp14:anchorId="59947BB6" wp14:editId="305AD374">
          <wp:simplePos x="0" y="0"/>
          <wp:positionH relativeFrom="page">
            <wp:posOffset>-2454</wp:posOffset>
          </wp:positionH>
          <wp:positionV relativeFrom="page">
            <wp:posOffset>5818</wp:posOffset>
          </wp:positionV>
          <wp:extent cx="7560000" cy="980000"/>
          <wp:effectExtent l="0" t="0" r="0" b="0"/>
          <wp:wrapNone/>
          <wp:docPr id="1844727959" name="Picture 18447279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3E4F77C"/>
    <w:lvl w:ilvl="0">
      <w:start w:val="1"/>
      <w:numFmt w:val="bullet"/>
      <w:pStyle w:val="ListBullet2"/>
      <w:lvlText w:val=""/>
      <w:lvlJc w:val="left"/>
      <w:pPr>
        <w:tabs>
          <w:tab w:val="num" w:pos="3479"/>
        </w:tabs>
        <w:ind w:left="3479" w:hanging="360"/>
      </w:pPr>
      <w:rPr>
        <w:rFonts w:ascii="Symbol" w:hAnsi="Symbol" w:hint="default"/>
      </w:rPr>
    </w:lvl>
  </w:abstractNum>
  <w:abstractNum w:abstractNumId="1" w15:restartNumberingAfterBreak="0">
    <w:nsid w:val="FFFFFF89"/>
    <w:multiLevelType w:val="singleLevel"/>
    <w:tmpl w:val="490CDA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A357B4"/>
    <w:multiLevelType w:val="multilevel"/>
    <w:tmpl w:val="E27E9296"/>
    <w:numStyleLink w:val="NumberedListStyle"/>
  </w:abstractNum>
  <w:abstractNum w:abstractNumId="3" w15:restartNumberingAfterBreak="0">
    <w:nsid w:val="19E17FFA"/>
    <w:multiLevelType w:val="multilevel"/>
    <w:tmpl w:val="F35A82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9646D7"/>
    <w:multiLevelType w:val="hybridMultilevel"/>
    <w:tmpl w:val="BC70B26E"/>
    <w:lvl w:ilvl="0" w:tplc="4D481F9C">
      <w:start w:val="1"/>
      <w:numFmt w:val="bullet"/>
      <w:pStyle w:val="Subheading-Guidelines"/>
      <w:lvlText w:val=""/>
      <w:lvlJc w:val="left"/>
      <w:pPr>
        <w:ind w:left="720" w:hanging="360"/>
      </w:pPr>
      <w:rPr>
        <w:rFonts w:ascii="Symbol" w:hAnsi="Symbol" w:hint="default"/>
      </w:rPr>
    </w:lvl>
    <w:lvl w:ilvl="1" w:tplc="0C090019" w:tentative="1">
      <w:start w:val="1"/>
      <w:numFmt w:val="lowerLetter"/>
      <w:pStyle w:val="Subheading-Guidelines"/>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2952A99"/>
    <w:multiLevelType w:val="hybridMultilevel"/>
    <w:tmpl w:val="DA044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357F0A07"/>
    <w:multiLevelType w:val="multilevel"/>
    <w:tmpl w:val="E0523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D4C00A"/>
    <w:multiLevelType w:val="hybridMultilevel"/>
    <w:tmpl w:val="0B6468B8"/>
    <w:lvl w:ilvl="0" w:tplc="D654E560">
      <w:start w:val="1"/>
      <w:numFmt w:val="bullet"/>
      <w:lvlText w:val=""/>
      <w:lvlJc w:val="left"/>
      <w:pPr>
        <w:ind w:left="720" w:hanging="360"/>
      </w:pPr>
      <w:rPr>
        <w:rFonts w:ascii="Symbol" w:hAnsi="Symbol" w:hint="default"/>
      </w:rPr>
    </w:lvl>
    <w:lvl w:ilvl="1" w:tplc="4728323A">
      <w:start w:val="1"/>
      <w:numFmt w:val="bullet"/>
      <w:lvlText w:val="o"/>
      <w:lvlJc w:val="left"/>
      <w:pPr>
        <w:ind w:left="1440" w:hanging="360"/>
      </w:pPr>
      <w:rPr>
        <w:rFonts w:ascii="Courier New" w:hAnsi="Courier New" w:hint="default"/>
      </w:rPr>
    </w:lvl>
    <w:lvl w:ilvl="2" w:tplc="65B67370">
      <w:start w:val="1"/>
      <w:numFmt w:val="bullet"/>
      <w:lvlText w:val=""/>
      <w:lvlJc w:val="left"/>
      <w:pPr>
        <w:ind w:left="2160" w:hanging="360"/>
      </w:pPr>
      <w:rPr>
        <w:rFonts w:ascii="Wingdings" w:hAnsi="Wingdings" w:hint="default"/>
      </w:rPr>
    </w:lvl>
    <w:lvl w:ilvl="3" w:tplc="322E65B2">
      <w:start w:val="1"/>
      <w:numFmt w:val="bullet"/>
      <w:lvlText w:val=""/>
      <w:lvlJc w:val="left"/>
      <w:pPr>
        <w:ind w:left="2880" w:hanging="360"/>
      </w:pPr>
      <w:rPr>
        <w:rFonts w:ascii="Symbol" w:hAnsi="Symbol" w:hint="default"/>
      </w:rPr>
    </w:lvl>
    <w:lvl w:ilvl="4" w:tplc="BD1EBB74">
      <w:start w:val="1"/>
      <w:numFmt w:val="bullet"/>
      <w:lvlText w:val="o"/>
      <w:lvlJc w:val="left"/>
      <w:pPr>
        <w:ind w:left="3600" w:hanging="360"/>
      </w:pPr>
      <w:rPr>
        <w:rFonts w:ascii="Courier New" w:hAnsi="Courier New" w:hint="default"/>
      </w:rPr>
    </w:lvl>
    <w:lvl w:ilvl="5" w:tplc="09124770">
      <w:start w:val="1"/>
      <w:numFmt w:val="bullet"/>
      <w:lvlText w:val=""/>
      <w:lvlJc w:val="left"/>
      <w:pPr>
        <w:ind w:left="4320" w:hanging="360"/>
      </w:pPr>
      <w:rPr>
        <w:rFonts w:ascii="Wingdings" w:hAnsi="Wingdings" w:hint="default"/>
      </w:rPr>
    </w:lvl>
    <w:lvl w:ilvl="6" w:tplc="1BACE164">
      <w:start w:val="1"/>
      <w:numFmt w:val="bullet"/>
      <w:lvlText w:val=""/>
      <w:lvlJc w:val="left"/>
      <w:pPr>
        <w:ind w:left="5040" w:hanging="360"/>
      </w:pPr>
      <w:rPr>
        <w:rFonts w:ascii="Symbol" w:hAnsi="Symbol" w:hint="default"/>
      </w:rPr>
    </w:lvl>
    <w:lvl w:ilvl="7" w:tplc="56428204">
      <w:start w:val="1"/>
      <w:numFmt w:val="bullet"/>
      <w:lvlText w:val="o"/>
      <w:lvlJc w:val="left"/>
      <w:pPr>
        <w:ind w:left="5760" w:hanging="360"/>
      </w:pPr>
      <w:rPr>
        <w:rFonts w:ascii="Courier New" w:hAnsi="Courier New" w:hint="default"/>
      </w:rPr>
    </w:lvl>
    <w:lvl w:ilvl="8" w:tplc="6908F36E">
      <w:start w:val="1"/>
      <w:numFmt w:val="bullet"/>
      <w:lvlText w:val=""/>
      <w:lvlJc w:val="left"/>
      <w:pPr>
        <w:ind w:left="6480" w:hanging="360"/>
      </w:pPr>
      <w:rPr>
        <w:rFonts w:ascii="Wingdings" w:hAnsi="Wingdings" w:hint="default"/>
      </w:rPr>
    </w:lvl>
  </w:abstractNum>
  <w:abstractNum w:abstractNumId="9" w15:restartNumberingAfterBreak="0">
    <w:nsid w:val="41A2DED2"/>
    <w:multiLevelType w:val="hybridMultilevel"/>
    <w:tmpl w:val="FFFFFFFF"/>
    <w:lvl w:ilvl="0" w:tplc="E3C0D886">
      <w:start w:val="1"/>
      <w:numFmt w:val="bullet"/>
      <w:lvlText w:val=""/>
      <w:lvlJc w:val="left"/>
      <w:pPr>
        <w:ind w:left="720" w:hanging="360"/>
      </w:pPr>
      <w:rPr>
        <w:rFonts w:ascii="Symbol" w:hAnsi="Symbol" w:hint="default"/>
      </w:rPr>
    </w:lvl>
    <w:lvl w:ilvl="1" w:tplc="2F0AD814">
      <w:start w:val="1"/>
      <w:numFmt w:val="bullet"/>
      <w:lvlText w:val="o"/>
      <w:lvlJc w:val="left"/>
      <w:pPr>
        <w:ind w:left="1440" w:hanging="360"/>
      </w:pPr>
      <w:rPr>
        <w:rFonts w:ascii="Courier New" w:hAnsi="Courier New" w:hint="default"/>
      </w:rPr>
    </w:lvl>
    <w:lvl w:ilvl="2" w:tplc="05A848FE">
      <w:start w:val="1"/>
      <w:numFmt w:val="bullet"/>
      <w:lvlText w:val=""/>
      <w:lvlJc w:val="left"/>
      <w:pPr>
        <w:ind w:left="2160" w:hanging="360"/>
      </w:pPr>
      <w:rPr>
        <w:rFonts w:ascii="Wingdings" w:hAnsi="Wingdings" w:hint="default"/>
      </w:rPr>
    </w:lvl>
    <w:lvl w:ilvl="3" w:tplc="AB72AA4E">
      <w:start w:val="1"/>
      <w:numFmt w:val="bullet"/>
      <w:lvlText w:val=""/>
      <w:lvlJc w:val="left"/>
      <w:pPr>
        <w:ind w:left="2880" w:hanging="360"/>
      </w:pPr>
      <w:rPr>
        <w:rFonts w:ascii="Symbol" w:hAnsi="Symbol" w:hint="default"/>
      </w:rPr>
    </w:lvl>
    <w:lvl w:ilvl="4" w:tplc="E4D45F26">
      <w:start w:val="1"/>
      <w:numFmt w:val="bullet"/>
      <w:lvlText w:val="o"/>
      <w:lvlJc w:val="left"/>
      <w:pPr>
        <w:ind w:left="3600" w:hanging="360"/>
      </w:pPr>
      <w:rPr>
        <w:rFonts w:ascii="Courier New" w:hAnsi="Courier New" w:hint="default"/>
      </w:rPr>
    </w:lvl>
    <w:lvl w:ilvl="5" w:tplc="B22AACAE">
      <w:start w:val="1"/>
      <w:numFmt w:val="bullet"/>
      <w:lvlText w:val=""/>
      <w:lvlJc w:val="left"/>
      <w:pPr>
        <w:ind w:left="4320" w:hanging="360"/>
      </w:pPr>
      <w:rPr>
        <w:rFonts w:ascii="Wingdings" w:hAnsi="Wingdings" w:hint="default"/>
      </w:rPr>
    </w:lvl>
    <w:lvl w:ilvl="6" w:tplc="0A64EA2A">
      <w:start w:val="1"/>
      <w:numFmt w:val="bullet"/>
      <w:lvlText w:val=""/>
      <w:lvlJc w:val="left"/>
      <w:pPr>
        <w:ind w:left="5040" w:hanging="360"/>
      </w:pPr>
      <w:rPr>
        <w:rFonts w:ascii="Symbol" w:hAnsi="Symbol" w:hint="default"/>
      </w:rPr>
    </w:lvl>
    <w:lvl w:ilvl="7" w:tplc="FFE227CA">
      <w:start w:val="1"/>
      <w:numFmt w:val="bullet"/>
      <w:lvlText w:val="o"/>
      <w:lvlJc w:val="left"/>
      <w:pPr>
        <w:ind w:left="5760" w:hanging="360"/>
      </w:pPr>
      <w:rPr>
        <w:rFonts w:ascii="Courier New" w:hAnsi="Courier New" w:hint="default"/>
      </w:rPr>
    </w:lvl>
    <w:lvl w:ilvl="8" w:tplc="EEACF2C0">
      <w:start w:val="1"/>
      <w:numFmt w:val="bullet"/>
      <w:lvlText w:val=""/>
      <w:lvlJc w:val="left"/>
      <w:pPr>
        <w:ind w:left="6480" w:hanging="360"/>
      </w:pPr>
      <w:rPr>
        <w:rFonts w:ascii="Wingdings" w:hAnsi="Wingdings" w:hint="default"/>
      </w:rPr>
    </w:lvl>
  </w:abstractNum>
  <w:abstractNum w:abstractNumId="10" w15:restartNumberingAfterBreak="0">
    <w:nsid w:val="42B3094E"/>
    <w:multiLevelType w:val="hybridMultilevel"/>
    <w:tmpl w:val="AF585126"/>
    <w:lvl w:ilvl="0" w:tplc="87C047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136759"/>
    <w:multiLevelType w:val="multilevel"/>
    <w:tmpl w:val="075A4D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BD5A56"/>
    <w:multiLevelType w:val="hybridMultilevel"/>
    <w:tmpl w:val="DB1AECD4"/>
    <w:lvl w:ilvl="0" w:tplc="8A36A97C">
      <w:start w:val="1"/>
      <w:numFmt w:val="decimal"/>
      <w:pStyle w:val="Guidelinessub-sub"/>
      <w:lvlText w:val="%1.1.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pStyle w:val="Guidelinessub-sub"/>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2733DE1"/>
    <w:multiLevelType w:val="hybridMultilevel"/>
    <w:tmpl w:val="FEC6860C"/>
    <w:lvl w:ilvl="0" w:tplc="D5060890">
      <w:start w:val="1"/>
      <w:numFmt w:val="decimal"/>
      <w:lvlText w:val="%1."/>
      <w:lvlJc w:val="left"/>
      <w:pPr>
        <w:ind w:left="936" w:hanging="360"/>
      </w:pPr>
      <w:rPr>
        <w:rFonts w:hint="default"/>
      </w:rPr>
    </w:lvl>
    <w:lvl w:ilvl="1" w:tplc="0C090019" w:tentative="1">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14" w15:restartNumberingAfterBreak="0">
    <w:nsid w:val="557F21B1"/>
    <w:multiLevelType w:val="hybridMultilevel"/>
    <w:tmpl w:val="9C5E4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A885E10"/>
    <w:multiLevelType w:val="hybridMultilevel"/>
    <w:tmpl w:val="9E2A3B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E02532"/>
    <w:multiLevelType w:val="multilevel"/>
    <w:tmpl w:val="E27E9296"/>
    <w:styleLink w:val="NumberedListStyle"/>
    <w:lvl w:ilvl="0">
      <w:start w:val="1"/>
      <w:numFmt w:val="decimal"/>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61FD650A"/>
    <w:multiLevelType w:val="hybridMultilevel"/>
    <w:tmpl w:val="E8D83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834FAC"/>
    <w:multiLevelType w:val="hybridMultilevel"/>
    <w:tmpl w:val="83BC2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AB77F6"/>
    <w:multiLevelType w:val="hybridMultilevel"/>
    <w:tmpl w:val="21FC3692"/>
    <w:lvl w:ilvl="0" w:tplc="D514FA24">
      <w:start w:val="1"/>
      <w:numFmt w:val="bullet"/>
      <w:lvlText w:val=""/>
      <w:lvlJc w:val="left"/>
      <w:pPr>
        <w:ind w:left="720" w:hanging="360"/>
      </w:pPr>
      <w:rPr>
        <w:rFonts w:ascii="Symbol" w:hAnsi="Symbol" w:hint="default"/>
      </w:rPr>
    </w:lvl>
    <w:lvl w:ilvl="1" w:tplc="E9CCD68E">
      <w:start w:val="1"/>
      <w:numFmt w:val="bullet"/>
      <w:lvlText w:val="o"/>
      <w:lvlJc w:val="left"/>
      <w:pPr>
        <w:ind w:left="1440" w:hanging="360"/>
      </w:pPr>
      <w:rPr>
        <w:rFonts w:ascii="Courier New" w:hAnsi="Courier New" w:hint="default"/>
      </w:rPr>
    </w:lvl>
    <w:lvl w:ilvl="2" w:tplc="C338D0D4">
      <w:start w:val="1"/>
      <w:numFmt w:val="bullet"/>
      <w:lvlText w:val=""/>
      <w:lvlJc w:val="left"/>
      <w:pPr>
        <w:ind w:left="2160" w:hanging="360"/>
      </w:pPr>
      <w:rPr>
        <w:rFonts w:ascii="Wingdings" w:hAnsi="Wingdings" w:hint="default"/>
      </w:rPr>
    </w:lvl>
    <w:lvl w:ilvl="3" w:tplc="F6909CF0">
      <w:start w:val="1"/>
      <w:numFmt w:val="bullet"/>
      <w:lvlText w:val=""/>
      <w:lvlJc w:val="left"/>
      <w:pPr>
        <w:ind w:left="2880" w:hanging="360"/>
      </w:pPr>
      <w:rPr>
        <w:rFonts w:ascii="Symbol" w:hAnsi="Symbol" w:hint="default"/>
      </w:rPr>
    </w:lvl>
    <w:lvl w:ilvl="4" w:tplc="263C2182">
      <w:start w:val="1"/>
      <w:numFmt w:val="bullet"/>
      <w:lvlText w:val="o"/>
      <w:lvlJc w:val="left"/>
      <w:pPr>
        <w:ind w:left="3600" w:hanging="360"/>
      </w:pPr>
      <w:rPr>
        <w:rFonts w:ascii="Courier New" w:hAnsi="Courier New" w:hint="default"/>
      </w:rPr>
    </w:lvl>
    <w:lvl w:ilvl="5" w:tplc="ED86E55C">
      <w:start w:val="1"/>
      <w:numFmt w:val="bullet"/>
      <w:lvlText w:val=""/>
      <w:lvlJc w:val="left"/>
      <w:pPr>
        <w:ind w:left="4320" w:hanging="360"/>
      </w:pPr>
      <w:rPr>
        <w:rFonts w:ascii="Wingdings" w:hAnsi="Wingdings" w:hint="default"/>
      </w:rPr>
    </w:lvl>
    <w:lvl w:ilvl="6" w:tplc="86945A4E">
      <w:start w:val="1"/>
      <w:numFmt w:val="bullet"/>
      <w:lvlText w:val=""/>
      <w:lvlJc w:val="left"/>
      <w:pPr>
        <w:ind w:left="5040" w:hanging="360"/>
      </w:pPr>
      <w:rPr>
        <w:rFonts w:ascii="Symbol" w:hAnsi="Symbol" w:hint="default"/>
      </w:rPr>
    </w:lvl>
    <w:lvl w:ilvl="7" w:tplc="C9EE37B6">
      <w:start w:val="1"/>
      <w:numFmt w:val="bullet"/>
      <w:lvlText w:val="o"/>
      <w:lvlJc w:val="left"/>
      <w:pPr>
        <w:ind w:left="5760" w:hanging="360"/>
      </w:pPr>
      <w:rPr>
        <w:rFonts w:ascii="Courier New" w:hAnsi="Courier New" w:hint="default"/>
      </w:rPr>
    </w:lvl>
    <w:lvl w:ilvl="8" w:tplc="D400A82C">
      <w:start w:val="1"/>
      <w:numFmt w:val="bullet"/>
      <w:lvlText w:val=""/>
      <w:lvlJc w:val="left"/>
      <w:pPr>
        <w:ind w:left="6480" w:hanging="360"/>
      </w:pPr>
      <w:rPr>
        <w:rFonts w:ascii="Wingdings" w:hAnsi="Wingdings" w:hint="default"/>
      </w:rPr>
    </w:lvl>
  </w:abstractNum>
  <w:abstractNum w:abstractNumId="21" w15:restartNumberingAfterBreak="0">
    <w:nsid w:val="77BB0F97"/>
    <w:multiLevelType w:val="multilevel"/>
    <w:tmpl w:val="A9D4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CB3ACC"/>
    <w:multiLevelType w:val="multilevel"/>
    <w:tmpl w:val="F9A6DFEE"/>
    <w:lvl w:ilvl="0">
      <w:start w:val="1"/>
      <w:numFmt w:val="decimal"/>
      <w:pStyle w:val="Heading1"/>
      <w:lvlText w:val="%1"/>
      <w:lvlJc w:val="left"/>
      <w:pPr>
        <w:ind w:left="432" w:hanging="432"/>
      </w:pPr>
    </w:lvl>
    <w:lvl w:ilvl="1">
      <w:start w:val="1"/>
      <w:numFmt w:val="decimal"/>
      <w:pStyle w:val="Heading2"/>
      <w:lvlText w:val="%1.%2"/>
      <w:lvlJc w:val="left"/>
      <w:pPr>
        <w:ind w:left="1144" w:hanging="576"/>
      </w:pPr>
      <w:rPr>
        <w:rFonts w:ascii="Arial" w:hAnsi="Arial" w:cs="Arial" w:hint="default"/>
        <w:b/>
        <w:bCs/>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029259501">
    <w:abstractNumId w:val="9"/>
  </w:num>
  <w:num w:numId="2" w16cid:durableId="1012410745">
    <w:abstractNumId w:val="20"/>
  </w:num>
  <w:num w:numId="3" w16cid:durableId="198081693">
    <w:abstractNumId w:val="8"/>
  </w:num>
  <w:num w:numId="4" w16cid:durableId="340552521">
    <w:abstractNumId w:val="23"/>
  </w:num>
  <w:num w:numId="5" w16cid:durableId="1047996287">
    <w:abstractNumId w:val="17"/>
  </w:num>
  <w:num w:numId="6" w16cid:durableId="1040519457">
    <w:abstractNumId w:val="1"/>
  </w:num>
  <w:num w:numId="7" w16cid:durableId="1983540394">
    <w:abstractNumId w:val="2"/>
  </w:num>
  <w:num w:numId="8" w16cid:durableId="990057138">
    <w:abstractNumId w:val="4"/>
  </w:num>
  <w:num w:numId="9" w16cid:durableId="1944875722">
    <w:abstractNumId w:val="12"/>
  </w:num>
  <w:num w:numId="10" w16cid:durableId="601491847">
    <w:abstractNumId w:val="19"/>
  </w:num>
  <w:num w:numId="11" w16cid:durableId="1774324563">
    <w:abstractNumId w:val="16"/>
  </w:num>
  <w:num w:numId="12" w16cid:durableId="554583292">
    <w:abstractNumId w:val="5"/>
  </w:num>
  <w:num w:numId="13" w16cid:durableId="141428754">
    <w:abstractNumId w:val="0"/>
  </w:num>
  <w:num w:numId="14" w16cid:durableId="1175219351">
    <w:abstractNumId w:val="22"/>
  </w:num>
  <w:num w:numId="15" w16cid:durableId="1958292231">
    <w:abstractNumId w:val="10"/>
  </w:num>
  <w:num w:numId="16" w16cid:durableId="531654289">
    <w:abstractNumId w:val="18"/>
  </w:num>
  <w:num w:numId="17" w16cid:durableId="483354229">
    <w:abstractNumId w:val="21"/>
  </w:num>
  <w:num w:numId="18" w16cid:durableId="1843811716">
    <w:abstractNumId w:val="14"/>
  </w:num>
  <w:num w:numId="19" w16cid:durableId="8241317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6569602">
    <w:abstractNumId w:val="15"/>
  </w:num>
  <w:num w:numId="21" w16cid:durableId="1579054477">
    <w:abstractNumId w:val="2"/>
  </w:num>
  <w:num w:numId="22" w16cid:durableId="1748114172">
    <w:abstractNumId w:val="22"/>
  </w:num>
  <w:num w:numId="23" w16cid:durableId="1047921801">
    <w:abstractNumId w:val="22"/>
  </w:num>
  <w:num w:numId="24" w16cid:durableId="1119035708">
    <w:abstractNumId w:val="22"/>
  </w:num>
  <w:num w:numId="25" w16cid:durableId="1698849191">
    <w:abstractNumId w:val="3"/>
  </w:num>
  <w:num w:numId="26" w16cid:durableId="1794245265">
    <w:abstractNumId w:val="11"/>
  </w:num>
  <w:num w:numId="27" w16cid:durableId="1624773485">
    <w:abstractNumId w:val="22"/>
  </w:num>
  <w:num w:numId="28" w16cid:durableId="1211922631">
    <w:abstractNumId w:val="7"/>
  </w:num>
  <w:num w:numId="29" w16cid:durableId="16359243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71E"/>
    <w:rsid w:val="00000761"/>
    <w:rsid w:val="00000C72"/>
    <w:rsid w:val="000010AB"/>
    <w:rsid w:val="00007FF4"/>
    <w:rsid w:val="00017597"/>
    <w:rsid w:val="00021032"/>
    <w:rsid w:val="00021550"/>
    <w:rsid w:val="00023358"/>
    <w:rsid w:val="00027AA2"/>
    <w:rsid w:val="00027E66"/>
    <w:rsid w:val="000305A9"/>
    <w:rsid w:val="00031696"/>
    <w:rsid w:val="00031946"/>
    <w:rsid w:val="0003434C"/>
    <w:rsid w:val="00036BA4"/>
    <w:rsid w:val="00036DCE"/>
    <w:rsid w:val="00041A20"/>
    <w:rsid w:val="00041D97"/>
    <w:rsid w:val="000421AA"/>
    <w:rsid w:val="000422D0"/>
    <w:rsid w:val="00044AF6"/>
    <w:rsid w:val="000453E0"/>
    <w:rsid w:val="00046DA3"/>
    <w:rsid w:val="0004715E"/>
    <w:rsid w:val="000472D9"/>
    <w:rsid w:val="0004758E"/>
    <w:rsid w:val="0005037E"/>
    <w:rsid w:val="000508A0"/>
    <w:rsid w:val="000529FC"/>
    <w:rsid w:val="00052E2A"/>
    <w:rsid w:val="000531B4"/>
    <w:rsid w:val="00054A67"/>
    <w:rsid w:val="00054AC2"/>
    <w:rsid w:val="0005783D"/>
    <w:rsid w:val="000579A8"/>
    <w:rsid w:val="00061D6A"/>
    <w:rsid w:val="000622D7"/>
    <w:rsid w:val="000653E7"/>
    <w:rsid w:val="00066B01"/>
    <w:rsid w:val="00066C2D"/>
    <w:rsid w:val="00067DFE"/>
    <w:rsid w:val="00070327"/>
    <w:rsid w:val="00072B00"/>
    <w:rsid w:val="00073057"/>
    <w:rsid w:val="0007537D"/>
    <w:rsid w:val="00075A63"/>
    <w:rsid w:val="00076633"/>
    <w:rsid w:val="00082701"/>
    <w:rsid w:val="000834B2"/>
    <w:rsid w:val="00085583"/>
    <w:rsid w:val="00085E8E"/>
    <w:rsid w:val="000907DF"/>
    <w:rsid w:val="00091FEA"/>
    <w:rsid w:val="000929A2"/>
    <w:rsid w:val="000A100E"/>
    <w:rsid w:val="000A2FA5"/>
    <w:rsid w:val="000A4227"/>
    <w:rsid w:val="000A4A52"/>
    <w:rsid w:val="000A5856"/>
    <w:rsid w:val="000A75C6"/>
    <w:rsid w:val="000B18A7"/>
    <w:rsid w:val="000B2713"/>
    <w:rsid w:val="000C2971"/>
    <w:rsid w:val="000C442C"/>
    <w:rsid w:val="000C7739"/>
    <w:rsid w:val="000D14CC"/>
    <w:rsid w:val="000D1667"/>
    <w:rsid w:val="000D1B5A"/>
    <w:rsid w:val="000D1E26"/>
    <w:rsid w:val="000D2FD7"/>
    <w:rsid w:val="000D5409"/>
    <w:rsid w:val="000D6124"/>
    <w:rsid w:val="000D6993"/>
    <w:rsid w:val="000D7895"/>
    <w:rsid w:val="000D7B99"/>
    <w:rsid w:val="000E00E5"/>
    <w:rsid w:val="000E28AC"/>
    <w:rsid w:val="000E3D51"/>
    <w:rsid w:val="000E5553"/>
    <w:rsid w:val="000E74E8"/>
    <w:rsid w:val="000F0FAD"/>
    <w:rsid w:val="000F309A"/>
    <w:rsid w:val="000F3D2B"/>
    <w:rsid w:val="000F7E57"/>
    <w:rsid w:val="00101371"/>
    <w:rsid w:val="001034F2"/>
    <w:rsid w:val="001064D2"/>
    <w:rsid w:val="00106D94"/>
    <w:rsid w:val="00113A18"/>
    <w:rsid w:val="001150D6"/>
    <w:rsid w:val="00117E0F"/>
    <w:rsid w:val="00122339"/>
    <w:rsid w:val="0013026A"/>
    <w:rsid w:val="0013308D"/>
    <w:rsid w:val="001341B2"/>
    <w:rsid w:val="001344D2"/>
    <w:rsid w:val="00136D84"/>
    <w:rsid w:val="001371EE"/>
    <w:rsid w:val="001418CB"/>
    <w:rsid w:val="00145135"/>
    <w:rsid w:val="0014788B"/>
    <w:rsid w:val="001500CD"/>
    <w:rsid w:val="0015064D"/>
    <w:rsid w:val="0015064E"/>
    <w:rsid w:val="00154FCD"/>
    <w:rsid w:val="00156D2A"/>
    <w:rsid w:val="00157834"/>
    <w:rsid w:val="00160A31"/>
    <w:rsid w:val="0016121C"/>
    <w:rsid w:val="001628B5"/>
    <w:rsid w:val="00163226"/>
    <w:rsid w:val="00163DAF"/>
    <w:rsid w:val="00164666"/>
    <w:rsid w:val="00176877"/>
    <w:rsid w:val="0018180F"/>
    <w:rsid w:val="00181D36"/>
    <w:rsid w:val="00185858"/>
    <w:rsid w:val="00186074"/>
    <w:rsid w:val="00192F53"/>
    <w:rsid w:val="00193288"/>
    <w:rsid w:val="00193E54"/>
    <w:rsid w:val="00197EC9"/>
    <w:rsid w:val="001A0A4E"/>
    <w:rsid w:val="001A1506"/>
    <w:rsid w:val="001A1A69"/>
    <w:rsid w:val="001A1BDF"/>
    <w:rsid w:val="001A2AC5"/>
    <w:rsid w:val="001A34B8"/>
    <w:rsid w:val="001B0861"/>
    <w:rsid w:val="001B08A8"/>
    <w:rsid w:val="001B2032"/>
    <w:rsid w:val="001B2D22"/>
    <w:rsid w:val="001B3342"/>
    <w:rsid w:val="001B3980"/>
    <w:rsid w:val="001B476D"/>
    <w:rsid w:val="001B5A52"/>
    <w:rsid w:val="001C1697"/>
    <w:rsid w:val="001C1804"/>
    <w:rsid w:val="001C1AC5"/>
    <w:rsid w:val="001C1FDA"/>
    <w:rsid w:val="001C4B86"/>
    <w:rsid w:val="001C5505"/>
    <w:rsid w:val="001C5733"/>
    <w:rsid w:val="001C5AA2"/>
    <w:rsid w:val="001C710F"/>
    <w:rsid w:val="001D1E44"/>
    <w:rsid w:val="001D4A12"/>
    <w:rsid w:val="001D6DC6"/>
    <w:rsid w:val="001D75DB"/>
    <w:rsid w:val="001E0DBC"/>
    <w:rsid w:val="001E169F"/>
    <w:rsid w:val="001E3443"/>
    <w:rsid w:val="001E3929"/>
    <w:rsid w:val="001F060E"/>
    <w:rsid w:val="001F2BCD"/>
    <w:rsid w:val="001F3B55"/>
    <w:rsid w:val="001F4A2F"/>
    <w:rsid w:val="001F6DD5"/>
    <w:rsid w:val="001F7637"/>
    <w:rsid w:val="002002ED"/>
    <w:rsid w:val="00202CB9"/>
    <w:rsid w:val="0020604C"/>
    <w:rsid w:val="002104B0"/>
    <w:rsid w:val="00210F51"/>
    <w:rsid w:val="00212673"/>
    <w:rsid w:val="002137BC"/>
    <w:rsid w:val="00213887"/>
    <w:rsid w:val="00220581"/>
    <w:rsid w:val="002318A8"/>
    <w:rsid w:val="00236676"/>
    <w:rsid w:val="00240AC5"/>
    <w:rsid w:val="00242054"/>
    <w:rsid w:val="00245406"/>
    <w:rsid w:val="002470C5"/>
    <w:rsid w:val="002475F5"/>
    <w:rsid w:val="002507AA"/>
    <w:rsid w:val="002509AB"/>
    <w:rsid w:val="00250C48"/>
    <w:rsid w:val="00252A50"/>
    <w:rsid w:val="0025374D"/>
    <w:rsid w:val="002559E9"/>
    <w:rsid w:val="00255BF0"/>
    <w:rsid w:val="0026058A"/>
    <w:rsid w:val="0026086E"/>
    <w:rsid w:val="00262DE2"/>
    <w:rsid w:val="00263237"/>
    <w:rsid w:val="00263F49"/>
    <w:rsid w:val="00263F8C"/>
    <w:rsid w:val="0026428D"/>
    <w:rsid w:val="002656F0"/>
    <w:rsid w:val="002679AE"/>
    <w:rsid w:val="00273FCB"/>
    <w:rsid w:val="0027574F"/>
    <w:rsid w:val="00275D36"/>
    <w:rsid w:val="00276BD4"/>
    <w:rsid w:val="002775CF"/>
    <w:rsid w:val="00277781"/>
    <w:rsid w:val="00281B26"/>
    <w:rsid w:val="00282865"/>
    <w:rsid w:val="002906C8"/>
    <w:rsid w:val="002923F0"/>
    <w:rsid w:val="002947BB"/>
    <w:rsid w:val="002A12B1"/>
    <w:rsid w:val="002A1ADB"/>
    <w:rsid w:val="002A5F4D"/>
    <w:rsid w:val="002A64AD"/>
    <w:rsid w:val="002A6AE7"/>
    <w:rsid w:val="002A77A4"/>
    <w:rsid w:val="002B0EBD"/>
    <w:rsid w:val="002B43A2"/>
    <w:rsid w:val="002B5E7A"/>
    <w:rsid w:val="002C1737"/>
    <w:rsid w:val="002C26E8"/>
    <w:rsid w:val="002C299F"/>
    <w:rsid w:val="002C2AFF"/>
    <w:rsid w:val="002C2E8D"/>
    <w:rsid w:val="002C2E9F"/>
    <w:rsid w:val="002C44AE"/>
    <w:rsid w:val="002C4563"/>
    <w:rsid w:val="002C52F2"/>
    <w:rsid w:val="002C75D3"/>
    <w:rsid w:val="002D27AE"/>
    <w:rsid w:val="002D330A"/>
    <w:rsid w:val="002D3D57"/>
    <w:rsid w:val="002D51DF"/>
    <w:rsid w:val="002D57E0"/>
    <w:rsid w:val="002E0048"/>
    <w:rsid w:val="002E19F4"/>
    <w:rsid w:val="002E30EB"/>
    <w:rsid w:val="002E36EB"/>
    <w:rsid w:val="002E51E6"/>
    <w:rsid w:val="002F14DF"/>
    <w:rsid w:val="002F3958"/>
    <w:rsid w:val="002F3B2B"/>
    <w:rsid w:val="002F48FF"/>
    <w:rsid w:val="002F4D67"/>
    <w:rsid w:val="002F5B29"/>
    <w:rsid w:val="002F6494"/>
    <w:rsid w:val="00300594"/>
    <w:rsid w:val="003031E3"/>
    <w:rsid w:val="0030344A"/>
    <w:rsid w:val="00303EDA"/>
    <w:rsid w:val="00305960"/>
    <w:rsid w:val="003073A1"/>
    <w:rsid w:val="003130A3"/>
    <w:rsid w:val="003131FC"/>
    <w:rsid w:val="00313523"/>
    <w:rsid w:val="003143B8"/>
    <w:rsid w:val="00315CFF"/>
    <w:rsid w:val="00316F81"/>
    <w:rsid w:val="003177F1"/>
    <w:rsid w:val="00321911"/>
    <w:rsid w:val="00321D27"/>
    <w:rsid w:val="00322EDF"/>
    <w:rsid w:val="00334029"/>
    <w:rsid w:val="003341DA"/>
    <w:rsid w:val="003357EC"/>
    <w:rsid w:val="003361B3"/>
    <w:rsid w:val="003367BD"/>
    <w:rsid w:val="00336959"/>
    <w:rsid w:val="00337D46"/>
    <w:rsid w:val="00340F7C"/>
    <w:rsid w:val="00342B68"/>
    <w:rsid w:val="00343238"/>
    <w:rsid w:val="00344527"/>
    <w:rsid w:val="00344BA4"/>
    <w:rsid w:val="003455EF"/>
    <w:rsid w:val="0034591A"/>
    <w:rsid w:val="00345969"/>
    <w:rsid w:val="00347758"/>
    <w:rsid w:val="00350C47"/>
    <w:rsid w:val="00352348"/>
    <w:rsid w:val="00367453"/>
    <w:rsid w:val="003748EA"/>
    <w:rsid w:val="003775BE"/>
    <w:rsid w:val="003800E1"/>
    <w:rsid w:val="00380A1B"/>
    <w:rsid w:val="00383DD7"/>
    <w:rsid w:val="003921BA"/>
    <w:rsid w:val="003932FC"/>
    <w:rsid w:val="003943B9"/>
    <w:rsid w:val="00394A87"/>
    <w:rsid w:val="003971BC"/>
    <w:rsid w:val="0039793D"/>
    <w:rsid w:val="003A0189"/>
    <w:rsid w:val="003A0DD2"/>
    <w:rsid w:val="003A18B8"/>
    <w:rsid w:val="003B1A93"/>
    <w:rsid w:val="003B215C"/>
    <w:rsid w:val="003B253D"/>
    <w:rsid w:val="003B36D9"/>
    <w:rsid w:val="003B38DC"/>
    <w:rsid w:val="003B3EDB"/>
    <w:rsid w:val="003B60F6"/>
    <w:rsid w:val="003B67DD"/>
    <w:rsid w:val="003B6B03"/>
    <w:rsid w:val="003B7466"/>
    <w:rsid w:val="003C5CA0"/>
    <w:rsid w:val="003D41B1"/>
    <w:rsid w:val="003D4D89"/>
    <w:rsid w:val="003E14C3"/>
    <w:rsid w:val="003E2157"/>
    <w:rsid w:val="003E2CCB"/>
    <w:rsid w:val="003E4BFC"/>
    <w:rsid w:val="003E624E"/>
    <w:rsid w:val="003E6CE1"/>
    <w:rsid w:val="003F1BFF"/>
    <w:rsid w:val="003F3B0D"/>
    <w:rsid w:val="003F4B94"/>
    <w:rsid w:val="003F4FB3"/>
    <w:rsid w:val="003F6BE1"/>
    <w:rsid w:val="003F6E9A"/>
    <w:rsid w:val="003F7C6F"/>
    <w:rsid w:val="00404453"/>
    <w:rsid w:val="00407AD1"/>
    <w:rsid w:val="00407F81"/>
    <w:rsid w:val="00410797"/>
    <w:rsid w:val="004108D1"/>
    <w:rsid w:val="0041233C"/>
    <w:rsid w:val="00413233"/>
    <w:rsid w:val="00415C2F"/>
    <w:rsid w:val="004168F2"/>
    <w:rsid w:val="00416968"/>
    <w:rsid w:val="0041737E"/>
    <w:rsid w:val="00425AE3"/>
    <w:rsid w:val="00432A99"/>
    <w:rsid w:val="004330FA"/>
    <w:rsid w:val="00434F1F"/>
    <w:rsid w:val="00435D39"/>
    <w:rsid w:val="004409BD"/>
    <w:rsid w:val="004413DF"/>
    <w:rsid w:val="00442693"/>
    <w:rsid w:val="00443B47"/>
    <w:rsid w:val="00443DAC"/>
    <w:rsid w:val="0044569E"/>
    <w:rsid w:val="004467EB"/>
    <w:rsid w:val="00446E3C"/>
    <w:rsid w:val="00447163"/>
    <w:rsid w:val="004479EB"/>
    <w:rsid w:val="0045183E"/>
    <w:rsid w:val="004518B5"/>
    <w:rsid w:val="00453019"/>
    <w:rsid w:val="00453161"/>
    <w:rsid w:val="004534C0"/>
    <w:rsid w:val="00453A58"/>
    <w:rsid w:val="00454900"/>
    <w:rsid w:val="00454C89"/>
    <w:rsid w:val="0045764A"/>
    <w:rsid w:val="00462186"/>
    <w:rsid w:val="004642C4"/>
    <w:rsid w:val="00472573"/>
    <w:rsid w:val="004753FD"/>
    <w:rsid w:val="00477109"/>
    <w:rsid w:val="004820BE"/>
    <w:rsid w:val="004855AB"/>
    <w:rsid w:val="00486CC6"/>
    <w:rsid w:val="00490381"/>
    <w:rsid w:val="00490986"/>
    <w:rsid w:val="00490CA0"/>
    <w:rsid w:val="004963FC"/>
    <w:rsid w:val="004A165C"/>
    <w:rsid w:val="004A1E4C"/>
    <w:rsid w:val="004A500A"/>
    <w:rsid w:val="004A50C4"/>
    <w:rsid w:val="004A5A80"/>
    <w:rsid w:val="004A7434"/>
    <w:rsid w:val="004B00DC"/>
    <w:rsid w:val="004B11BF"/>
    <w:rsid w:val="004B3D3F"/>
    <w:rsid w:val="004B59E8"/>
    <w:rsid w:val="004C05FD"/>
    <w:rsid w:val="004C1DCF"/>
    <w:rsid w:val="004C3B53"/>
    <w:rsid w:val="004C55E2"/>
    <w:rsid w:val="004C7058"/>
    <w:rsid w:val="004D0EE7"/>
    <w:rsid w:val="004D531D"/>
    <w:rsid w:val="004E08D8"/>
    <w:rsid w:val="004E0D92"/>
    <w:rsid w:val="004E0FEC"/>
    <w:rsid w:val="004E2E0F"/>
    <w:rsid w:val="004E39F7"/>
    <w:rsid w:val="004E431C"/>
    <w:rsid w:val="004E540A"/>
    <w:rsid w:val="004E6190"/>
    <w:rsid w:val="004F0BDC"/>
    <w:rsid w:val="004F1806"/>
    <w:rsid w:val="004F1FC6"/>
    <w:rsid w:val="004F21F2"/>
    <w:rsid w:val="004F273D"/>
    <w:rsid w:val="004F2D0F"/>
    <w:rsid w:val="004F5C62"/>
    <w:rsid w:val="004F5E86"/>
    <w:rsid w:val="004F6045"/>
    <w:rsid w:val="004F6F2F"/>
    <w:rsid w:val="004F74B7"/>
    <w:rsid w:val="004F7944"/>
    <w:rsid w:val="005010F9"/>
    <w:rsid w:val="005032C7"/>
    <w:rsid w:val="00504744"/>
    <w:rsid w:val="00505894"/>
    <w:rsid w:val="00505CD0"/>
    <w:rsid w:val="00510FF7"/>
    <w:rsid w:val="00514718"/>
    <w:rsid w:val="00516A24"/>
    <w:rsid w:val="00516F3D"/>
    <w:rsid w:val="00521DA6"/>
    <w:rsid w:val="00521F62"/>
    <w:rsid w:val="00523D78"/>
    <w:rsid w:val="00524A5D"/>
    <w:rsid w:val="00524B9A"/>
    <w:rsid w:val="0052586C"/>
    <w:rsid w:val="00526078"/>
    <w:rsid w:val="00526204"/>
    <w:rsid w:val="00526DC3"/>
    <w:rsid w:val="0052709D"/>
    <w:rsid w:val="00527501"/>
    <w:rsid w:val="00527D37"/>
    <w:rsid w:val="00531417"/>
    <w:rsid w:val="00531C8E"/>
    <w:rsid w:val="00534F06"/>
    <w:rsid w:val="0053585A"/>
    <w:rsid w:val="00535C06"/>
    <w:rsid w:val="00537CBE"/>
    <w:rsid w:val="00540754"/>
    <w:rsid w:val="005428F5"/>
    <w:rsid w:val="0054375E"/>
    <w:rsid w:val="00545862"/>
    <w:rsid w:val="005466E9"/>
    <w:rsid w:val="0054797C"/>
    <w:rsid w:val="00550BF7"/>
    <w:rsid w:val="00553446"/>
    <w:rsid w:val="00554484"/>
    <w:rsid w:val="00555FAA"/>
    <w:rsid w:val="005602A5"/>
    <w:rsid w:val="00560B5D"/>
    <w:rsid w:val="00560EE3"/>
    <w:rsid w:val="00562D56"/>
    <w:rsid w:val="00564BB4"/>
    <w:rsid w:val="00565AA5"/>
    <w:rsid w:val="0056662D"/>
    <w:rsid w:val="005666EB"/>
    <w:rsid w:val="00567A0A"/>
    <w:rsid w:val="00574127"/>
    <w:rsid w:val="00580116"/>
    <w:rsid w:val="005808FF"/>
    <w:rsid w:val="00583355"/>
    <w:rsid w:val="00584371"/>
    <w:rsid w:val="00586022"/>
    <w:rsid w:val="00586FC8"/>
    <w:rsid w:val="00590922"/>
    <w:rsid w:val="00590BC5"/>
    <w:rsid w:val="00591C1B"/>
    <w:rsid w:val="005958B1"/>
    <w:rsid w:val="005965A9"/>
    <w:rsid w:val="005A2362"/>
    <w:rsid w:val="005A33F6"/>
    <w:rsid w:val="005A3445"/>
    <w:rsid w:val="005A36A2"/>
    <w:rsid w:val="005B5111"/>
    <w:rsid w:val="005C0586"/>
    <w:rsid w:val="005C34DA"/>
    <w:rsid w:val="005C4F1C"/>
    <w:rsid w:val="005C6B2D"/>
    <w:rsid w:val="005C6CAE"/>
    <w:rsid w:val="005D0585"/>
    <w:rsid w:val="005D097F"/>
    <w:rsid w:val="005D23A6"/>
    <w:rsid w:val="005D2DE6"/>
    <w:rsid w:val="005D46A4"/>
    <w:rsid w:val="005D54F6"/>
    <w:rsid w:val="005D65AE"/>
    <w:rsid w:val="005D779A"/>
    <w:rsid w:val="005D78B6"/>
    <w:rsid w:val="005E0C7F"/>
    <w:rsid w:val="005E0F8B"/>
    <w:rsid w:val="005E1BD3"/>
    <w:rsid w:val="005E234C"/>
    <w:rsid w:val="005E5E90"/>
    <w:rsid w:val="005E6016"/>
    <w:rsid w:val="005E69D5"/>
    <w:rsid w:val="005F00EE"/>
    <w:rsid w:val="005F6D2B"/>
    <w:rsid w:val="006015C8"/>
    <w:rsid w:val="00601B4C"/>
    <w:rsid w:val="0060291B"/>
    <w:rsid w:val="00602C44"/>
    <w:rsid w:val="00603541"/>
    <w:rsid w:val="00607190"/>
    <w:rsid w:val="006079A8"/>
    <w:rsid w:val="00610298"/>
    <w:rsid w:val="006138C2"/>
    <w:rsid w:val="00614404"/>
    <w:rsid w:val="00623C3B"/>
    <w:rsid w:val="006325EB"/>
    <w:rsid w:val="00633F22"/>
    <w:rsid w:val="006345EE"/>
    <w:rsid w:val="00634CF2"/>
    <w:rsid w:val="00634F27"/>
    <w:rsid w:val="006351EE"/>
    <w:rsid w:val="00635A19"/>
    <w:rsid w:val="0063624D"/>
    <w:rsid w:val="00640A87"/>
    <w:rsid w:val="0064371C"/>
    <w:rsid w:val="0064586F"/>
    <w:rsid w:val="00646807"/>
    <w:rsid w:val="0064767F"/>
    <w:rsid w:val="006502F5"/>
    <w:rsid w:val="006522EE"/>
    <w:rsid w:val="006528D6"/>
    <w:rsid w:val="006550B3"/>
    <w:rsid w:val="00657A73"/>
    <w:rsid w:val="00657D05"/>
    <w:rsid w:val="00660BA4"/>
    <w:rsid w:val="006611CE"/>
    <w:rsid w:val="00665780"/>
    <w:rsid w:val="0066697A"/>
    <w:rsid w:val="00670F06"/>
    <w:rsid w:val="00671186"/>
    <w:rsid w:val="00682E31"/>
    <w:rsid w:val="006835B5"/>
    <w:rsid w:val="0068662E"/>
    <w:rsid w:val="00687EA6"/>
    <w:rsid w:val="006919FD"/>
    <w:rsid w:val="00696B86"/>
    <w:rsid w:val="0069723B"/>
    <w:rsid w:val="00697674"/>
    <w:rsid w:val="00697C12"/>
    <w:rsid w:val="006A08E4"/>
    <w:rsid w:val="006A2EA6"/>
    <w:rsid w:val="006A7D31"/>
    <w:rsid w:val="006B279C"/>
    <w:rsid w:val="006B301D"/>
    <w:rsid w:val="006B3E68"/>
    <w:rsid w:val="006B466A"/>
    <w:rsid w:val="006B4CBE"/>
    <w:rsid w:val="006B5789"/>
    <w:rsid w:val="006C123C"/>
    <w:rsid w:val="006C23F1"/>
    <w:rsid w:val="006C29F7"/>
    <w:rsid w:val="006C689E"/>
    <w:rsid w:val="006C74AB"/>
    <w:rsid w:val="006C794F"/>
    <w:rsid w:val="006D0867"/>
    <w:rsid w:val="006D342F"/>
    <w:rsid w:val="006D5A96"/>
    <w:rsid w:val="006E098A"/>
    <w:rsid w:val="006E248D"/>
    <w:rsid w:val="006E3D50"/>
    <w:rsid w:val="006E4D6C"/>
    <w:rsid w:val="006E7B1A"/>
    <w:rsid w:val="006E7F79"/>
    <w:rsid w:val="006F28ED"/>
    <w:rsid w:val="006F5099"/>
    <w:rsid w:val="006F56C2"/>
    <w:rsid w:val="00700B40"/>
    <w:rsid w:val="00703E99"/>
    <w:rsid w:val="00704A01"/>
    <w:rsid w:val="00705243"/>
    <w:rsid w:val="007136E0"/>
    <w:rsid w:val="007148D0"/>
    <w:rsid w:val="00715052"/>
    <w:rsid w:val="00715574"/>
    <w:rsid w:val="00715DA2"/>
    <w:rsid w:val="00723430"/>
    <w:rsid w:val="007234A5"/>
    <w:rsid w:val="00726EAF"/>
    <w:rsid w:val="00730E31"/>
    <w:rsid w:val="007317B2"/>
    <w:rsid w:val="00731B8B"/>
    <w:rsid w:val="00733FD8"/>
    <w:rsid w:val="00734A7F"/>
    <w:rsid w:val="00742EF7"/>
    <w:rsid w:val="0074307A"/>
    <w:rsid w:val="00745E65"/>
    <w:rsid w:val="00751A30"/>
    <w:rsid w:val="0075212F"/>
    <w:rsid w:val="007553DA"/>
    <w:rsid w:val="007569DF"/>
    <w:rsid w:val="0075773D"/>
    <w:rsid w:val="00761C80"/>
    <w:rsid w:val="00762EB0"/>
    <w:rsid w:val="00763634"/>
    <w:rsid w:val="00763F21"/>
    <w:rsid w:val="00764138"/>
    <w:rsid w:val="007661CA"/>
    <w:rsid w:val="00770826"/>
    <w:rsid w:val="00770D9D"/>
    <w:rsid w:val="007715E3"/>
    <w:rsid w:val="00771B47"/>
    <w:rsid w:val="00771C1A"/>
    <w:rsid w:val="00775AE7"/>
    <w:rsid w:val="00775BBF"/>
    <w:rsid w:val="0077746F"/>
    <w:rsid w:val="00780703"/>
    <w:rsid w:val="0078094D"/>
    <w:rsid w:val="00780969"/>
    <w:rsid w:val="00781C8B"/>
    <w:rsid w:val="00786F39"/>
    <w:rsid w:val="00787D87"/>
    <w:rsid w:val="00792ADB"/>
    <w:rsid w:val="007932D7"/>
    <w:rsid w:val="00794FDC"/>
    <w:rsid w:val="00795B68"/>
    <w:rsid w:val="00797C5F"/>
    <w:rsid w:val="007A1806"/>
    <w:rsid w:val="007A305D"/>
    <w:rsid w:val="007A33CE"/>
    <w:rsid w:val="007A64A7"/>
    <w:rsid w:val="007A6561"/>
    <w:rsid w:val="007A767D"/>
    <w:rsid w:val="007A7D32"/>
    <w:rsid w:val="007A7E8E"/>
    <w:rsid w:val="007B0499"/>
    <w:rsid w:val="007B0ECD"/>
    <w:rsid w:val="007B11E2"/>
    <w:rsid w:val="007B1C53"/>
    <w:rsid w:val="007B4244"/>
    <w:rsid w:val="007B4343"/>
    <w:rsid w:val="007B52F9"/>
    <w:rsid w:val="007B53BF"/>
    <w:rsid w:val="007B5D58"/>
    <w:rsid w:val="007B6E0F"/>
    <w:rsid w:val="007B749E"/>
    <w:rsid w:val="007C28CD"/>
    <w:rsid w:val="007C3AAC"/>
    <w:rsid w:val="007C4B28"/>
    <w:rsid w:val="007C5EEE"/>
    <w:rsid w:val="007D0CDC"/>
    <w:rsid w:val="007D54E8"/>
    <w:rsid w:val="007D69FA"/>
    <w:rsid w:val="007E11A1"/>
    <w:rsid w:val="007E6397"/>
    <w:rsid w:val="007F3E18"/>
    <w:rsid w:val="007F7DF2"/>
    <w:rsid w:val="0080047B"/>
    <w:rsid w:val="0080053F"/>
    <w:rsid w:val="00802E21"/>
    <w:rsid w:val="00804A11"/>
    <w:rsid w:val="00806D12"/>
    <w:rsid w:val="00806DE7"/>
    <w:rsid w:val="00813935"/>
    <w:rsid w:val="00813F1F"/>
    <w:rsid w:val="0081532E"/>
    <w:rsid w:val="00816EE9"/>
    <w:rsid w:val="00817CB4"/>
    <w:rsid w:val="00823F73"/>
    <w:rsid w:val="00824E4F"/>
    <w:rsid w:val="008271D6"/>
    <w:rsid w:val="0083049A"/>
    <w:rsid w:val="008304C6"/>
    <w:rsid w:val="00830C81"/>
    <w:rsid w:val="0083396B"/>
    <w:rsid w:val="00833ACC"/>
    <w:rsid w:val="0083445F"/>
    <w:rsid w:val="00834D51"/>
    <w:rsid w:val="00836B8B"/>
    <w:rsid w:val="00837B40"/>
    <w:rsid w:val="00837D93"/>
    <w:rsid w:val="00838EE8"/>
    <w:rsid w:val="0084094B"/>
    <w:rsid w:val="008409A9"/>
    <w:rsid w:val="0084246A"/>
    <w:rsid w:val="00842924"/>
    <w:rsid w:val="00844530"/>
    <w:rsid w:val="00845E13"/>
    <w:rsid w:val="00846EDB"/>
    <w:rsid w:val="00847B98"/>
    <w:rsid w:val="008507E9"/>
    <w:rsid w:val="00852807"/>
    <w:rsid w:val="00853B77"/>
    <w:rsid w:val="00857598"/>
    <w:rsid w:val="00861E2A"/>
    <w:rsid w:val="00863A1C"/>
    <w:rsid w:val="00865061"/>
    <w:rsid w:val="00865346"/>
    <w:rsid w:val="00866183"/>
    <w:rsid w:val="008726E2"/>
    <w:rsid w:val="008746BA"/>
    <w:rsid w:val="00874EF2"/>
    <w:rsid w:val="00875639"/>
    <w:rsid w:val="00877DEB"/>
    <w:rsid w:val="0088040F"/>
    <w:rsid w:val="00881978"/>
    <w:rsid w:val="00881ED6"/>
    <w:rsid w:val="008855EE"/>
    <w:rsid w:val="00891C26"/>
    <w:rsid w:val="008942F1"/>
    <w:rsid w:val="00897205"/>
    <w:rsid w:val="008A340B"/>
    <w:rsid w:val="008A3632"/>
    <w:rsid w:val="008A3EAE"/>
    <w:rsid w:val="008A4BFA"/>
    <w:rsid w:val="008A7008"/>
    <w:rsid w:val="008B3461"/>
    <w:rsid w:val="008B4562"/>
    <w:rsid w:val="008B6204"/>
    <w:rsid w:val="008B7647"/>
    <w:rsid w:val="008B78C9"/>
    <w:rsid w:val="008C0136"/>
    <w:rsid w:val="008C5C61"/>
    <w:rsid w:val="008C5F74"/>
    <w:rsid w:val="008C7023"/>
    <w:rsid w:val="008D23EF"/>
    <w:rsid w:val="008D425F"/>
    <w:rsid w:val="008E2331"/>
    <w:rsid w:val="008E7D5F"/>
    <w:rsid w:val="008F1E78"/>
    <w:rsid w:val="008F47E0"/>
    <w:rsid w:val="008F618A"/>
    <w:rsid w:val="00900050"/>
    <w:rsid w:val="009006D0"/>
    <w:rsid w:val="00900CEB"/>
    <w:rsid w:val="00901119"/>
    <w:rsid w:val="00902018"/>
    <w:rsid w:val="00903288"/>
    <w:rsid w:val="00903373"/>
    <w:rsid w:val="00904F63"/>
    <w:rsid w:val="009050F9"/>
    <w:rsid w:val="00907C22"/>
    <w:rsid w:val="00910999"/>
    <w:rsid w:val="00911E12"/>
    <w:rsid w:val="00912F7D"/>
    <w:rsid w:val="00914B07"/>
    <w:rsid w:val="009175A9"/>
    <w:rsid w:val="009211F6"/>
    <w:rsid w:val="00921640"/>
    <w:rsid w:val="009218C0"/>
    <w:rsid w:val="00922830"/>
    <w:rsid w:val="009314D5"/>
    <w:rsid w:val="009327FE"/>
    <w:rsid w:val="00932BD0"/>
    <w:rsid w:val="009372F0"/>
    <w:rsid w:val="00940547"/>
    <w:rsid w:val="00941206"/>
    <w:rsid w:val="0094136F"/>
    <w:rsid w:val="009426C5"/>
    <w:rsid w:val="00943F11"/>
    <w:rsid w:val="00944692"/>
    <w:rsid w:val="009459BC"/>
    <w:rsid w:val="00946210"/>
    <w:rsid w:val="00952F67"/>
    <w:rsid w:val="00953018"/>
    <w:rsid w:val="00954701"/>
    <w:rsid w:val="0095530D"/>
    <w:rsid w:val="0095781C"/>
    <w:rsid w:val="00957DE4"/>
    <w:rsid w:val="00960B61"/>
    <w:rsid w:val="00962544"/>
    <w:rsid w:val="009672A1"/>
    <w:rsid w:val="00970DF1"/>
    <w:rsid w:val="0097310B"/>
    <w:rsid w:val="00975E3D"/>
    <w:rsid w:val="009832F1"/>
    <w:rsid w:val="00987E1B"/>
    <w:rsid w:val="00990D77"/>
    <w:rsid w:val="00991C6D"/>
    <w:rsid w:val="009920E6"/>
    <w:rsid w:val="0099320F"/>
    <w:rsid w:val="00993FBF"/>
    <w:rsid w:val="0099443C"/>
    <w:rsid w:val="009A10AC"/>
    <w:rsid w:val="009A1806"/>
    <w:rsid w:val="009A499A"/>
    <w:rsid w:val="009A5535"/>
    <w:rsid w:val="009A5F5E"/>
    <w:rsid w:val="009B02F7"/>
    <w:rsid w:val="009B183A"/>
    <w:rsid w:val="009B4DAF"/>
    <w:rsid w:val="009B4DE2"/>
    <w:rsid w:val="009C01BF"/>
    <w:rsid w:val="009C1732"/>
    <w:rsid w:val="009C2416"/>
    <w:rsid w:val="009C2EA1"/>
    <w:rsid w:val="009C50BF"/>
    <w:rsid w:val="009C57A9"/>
    <w:rsid w:val="009C5E31"/>
    <w:rsid w:val="009C662B"/>
    <w:rsid w:val="009C6827"/>
    <w:rsid w:val="009C69C4"/>
    <w:rsid w:val="009C7843"/>
    <w:rsid w:val="009D0ED8"/>
    <w:rsid w:val="009D3A40"/>
    <w:rsid w:val="009D5069"/>
    <w:rsid w:val="009D7758"/>
    <w:rsid w:val="009E30CD"/>
    <w:rsid w:val="009E3426"/>
    <w:rsid w:val="009E3820"/>
    <w:rsid w:val="009E3EE8"/>
    <w:rsid w:val="009E4BC1"/>
    <w:rsid w:val="009E7701"/>
    <w:rsid w:val="009F2119"/>
    <w:rsid w:val="009F327F"/>
    <w:rsid w:val="009F3ABD"/>
    <w:rsid w:val="009F55B3"/>
    <w:rsid w:val="009F5B87"/>
    <w:rsid w:val="009F72B9"/>
    <w:rsid w:val="009F7433"/>
    <w:rsid w:val="009F7725"/>
    <w:rsid w:val="009F7EE1"/>
    <w:rsid w:val="00A02796"/>
    <w:rsid w:val="00A02BB7"/>
    <w:rsid w:val="00A069F0"/>
    <w:rsid w:val="00A07045"/>
    <w:rsid w:val="00A11E4B"/>
    <w:rsid w:val="00A12576"/>
    <w:rsid w:val="00A174E3"/>
    <w:rsid w:val="00A17BC6"/>
    <w:rsid w:val="00A213B6"/>
    <w:rsid w:val="00A23858"/>
    <w:rsid w:val="00A2470F"/>
    <w:rsid w:val="00A26266"/>
    <w:rsid w:val="00A34D47"/>
    <w:rsid w:val="00A41A05"/>
    <w:rsid w:val="00A43B64"/>
    <w:rsid w:val="00A45274"/>
    <w:rsid w:val="00A47417"/>
    <w:rsid w:val="00A47E36"/>
    <w:rsid w:val="00A5101E"/>
    <w:rsid w:val="00A5235D"/>
    <w:rsid w:val="00A54B3A"/>
    <w:rsid w:val="00A57FEB"/>
    <w:rsid w:val="00A60EA6"/>
    <w:rsid w:val="00A60F91"/>
    <w:rsid w:val="00A615A2"/>
    <w:rsid w:val="00A62134"/>
    <w:rsid w:val="00A63B52"/>
    <w:rsid w:val="00A63DC2"/>
    <w:rsid w:val="00A65F4D"/>
    <w:rsid w:val="00A66E29"/>
    <w:rsid w:val="00A67B60"/>
    <w:rsid w:val="00A73DE2"/>
    <w:rsid w:val="00A74D1F"/>
    <w:rsid w:val="00A7583E"/>
    <w:rsid w:val="00A7743A"/>
    <w:rsid w:val="00A7E710"/>
    <w:rsid w:val="00A804F9"/>
    <w:rsid w:val="00A83212"/>
    <w:rsid w:val="00A84933"/>
    <w:rsid w:val="00A9141E"/>
    <w:rsid w:val="00A9171E"/>
    <w:rsid w:val="00A920B1"/>
    <w:rsid w:val="00A96442"/>
    <w:rsid w:val="00AA3395"/>
    <w:rsid w:val="00AB0AE2"/>
    <w:rsid w:val="00AB16B8"/>
    <w:rsid w:val="00AB1766"/>
    <w:rsid w:val="00AB51A2"/>
    <w:rsid w:val="00AB76A4"/>
    <w:rsid w:val="00AB77E5"/>
    <w:rsid w:val="00AC2228"/>
    <w:rsid w:val="00AC2284"/>
    <w:rsid w:val="00AC461F"/>
    <w:rsid w:val="00AC58B6"/>
    <w:rsid w:val="00AC67A3"/>
    <w:rsid w:val="00AC6EF7"/>
    <w:rsid w:val="00AC785A"/>
    <w:rsid w:val="00AD0B5D"/>
    <w:rsid w:val="00AD181B"/>
    <w:rsid w:val="00AD1E9E"/>
    <w:rsid w:val="00AD2CD8"/>
    <w:rsid w:val="00AD34CE"/>
    <w:rsid w:val="00AE0074"/>
    <w:rsid w:val="00AE219D"/>
    <w:rsid w:val="00AE25A8"/>
    <w:rsid w:val="00AF121B"/>
    <w:rsid w:val="00AF3007"/>
    <w:rsid w:val="00AF517F"/>
    <w:rsid w:val="00AF71F9"/>
    <w:rsid w:val="00B020C3"/>
    <w:rsid w:val="00B055C6"/>
    <w:rsid w:val="00B06344"/>
    <w:rsid w:val="00B06660"/>
    <w:rsid w:val="00B10CAD"/>
    <w:rsid w:val="00B11EC3"/>
    <w:rsid w:val="00B12E0F"/>
    <w:rsid w:val="00B1781C"/>
    <w:rsid w:val="00B25633"/>
    <w:rsid w:val="00B32381"/>
    <w:rsid w:val="00B349F8"/>
    <w:rsid w:val="00B36215"/>
    <w:rsid w:val="00B36C42"/>
    <w:rsid w:val="00B50E5E"/>
    <w:rsid w:val="00B51CBA"/>
    <w:rsid w:val="00B52D4D"/>
    <w:rsid w:val="00B531EA"/>
    <w:rsid w:val="00B539D6"/>
    <w:rsid w:val="00B5524B"/>
    <w:rsid w:val="00B562D1"/>
    <w:rsid w:val="00B60083"/>
    <w:rsid w:val="00B61289"/>
    <w:rsid w:val="00B612DA"/>
    <w:rsid w:val="00B6709A"/>
    <w:rsid w:val="00B7185F"/>
    <w:rsid w:val="00B72570"/>
    <w:rsid w:val="00B75E8B"/>
    <w:rsid w:val="00B81686"/>
    <w:rsid w:val="00B8573D"/>
    <w:rsid w:val="00B93104"/>
    <w:rsid w:val="00B972D4"/>
    <w:rsid w:val="00BA12DE"/>
    <w:rsid w:val="00BA204C"/>
    <w:rsid w:val="00BA2F26"/>
    <w:rsid w:val="00BA343F"/>
    <w:rsid w:val="00BA37BE"/>
    <w:rsid w:val="00BA457F"/>
    <w:rsid w:val="00BA4643"/>
    <w:rsid w:val="00BA4C2B"/>
    <w:rsid w:val="00BA5228"/>
    <w:rsid w:val="00BA5440"/>
    <w:rsid w:val="00BB06FD"/>
    <w:rsid w:val="00BB290C"/>
    <w:rsid w:val="00BB451E"/>
    <w:rsid w:val="00BB4DFF"/>
    <w:rsid w:val="00BB5BA7"/>
    <w:rsid w:val="00BC2448"/>
    <w:rsid w:val="00BC38F0"/>
    <w:rsid w:val="00BC3DC0"/>
    <w:rsid w:val="00BC4092"/>
    <w:rsid w:val="00BC562F"/>
    <w:rsid w:val="00BC6D89"/>
    <w:rsid w:val="00BD3DF1"/>
    <w:rsid w:val="00BD4E83"/>
    <w:rsid w:val="00BD5959"/>
    <w:rsid w:val="00BD5BCE"/>
    <w:rsid w:val="00BD6E18"/>
    <w:rsid w:val="00BD6F44"/>
    <w:rsid w:val="00BD6FE5"/>
    <w:rsid w:val="00BD7ABE"/>
    <w:rsid w:val="00BE2DB8"/>
    <w:rsid w:val="00BE3EC9"/>
    <w:rsid w:val="00BE457B"/>
    <w:rsid w:val="00BE479A"/>
    <w:rsid w:val="00BE48E5"/>
    <w:rsid w:val="00BE6863"/>
    <w:rsid w:val="00BF1962"/>
    <w:rsid w:val="00BF1D52"/>
    <w:rsid w:val="00BF6C5B"/>
    <w:rsid w:val="00BF6E34"/>
    <w:rsid w:val="00BF7BBF"/>
    <w:rsid w:val="00BF7E12"/>
    <w:rsid w:val="00BF7E5A"/>
    <w:rsid w:val="00C0198F"/>
    <w:rsid w:val="00C01A3A"/>
    <w:rsid w:val="00C05398"/>
    <w:rsid w:val="00C054F6"/>
    <w:rsid w:val="00C0614D"/>
    <w:rsid w:val="00C064DE"/>
    <w:rsid w:val="00C07BC2"/>
    <w:rsid w:val="00C07C6F"/>
    <w:rsid w:val="00C108C7"/>
    <w:rsid w:val="00C11533"/>
    <w:rsid w:val="00C1181F"/>
    <w:rsid w:val="00C119EC"/>
    <w:rsid w:val="00C11B55"/>
    <w:rsid w:val="00C1552D"/>
    <w:rsid w:val="00C20265"/>
    <w:rsid w:val="00C20E4A"/>
    <w:rsid w:val="00C2270D"/>
    <w:rsid w:val="00C23B1C"/>
    <w:rsid w:val="00C25FA6"/>
    <w:rsid w:val="00C27397"/>
    <w:rsid w:val="00C27B6D"/>
    <w:rsid w:val="00C307B0"/>
    <w:rsid w:val="00C31658"/>
    <w:rsid w:val="00C32DE9"/>
    <w:rsid w:val="00C3471B"/>
    <w:rsid w:val="00C36093"/>
    <w:rsid w:val="00C3798E"/>
    <w:rsid w:val="00C427DE"/>
    <w:rsid w:val="00C42D31"/>
    <w:rsid w:val="00C4692B"/>
    <w:rsid w:val="00C47885"/>
    <w:rsid w:val="00C50DEE"/>
    <w:rsid w:val="00C53941"/>
    <w:rsid w:val="00C545CB"/>
    <w:rsid w:val="00C548E8"/>
    <w:rsid w:val="00C55709"/>
    <w:rsid w:val="00C55D54"/>
    <w:rsid w:val="00C56B78"/>
    <w:rsid w:val="00C579DD"/>
    <w:rsid w:val="00C607AE"/>
    <w:rsid w:val="00C63F62"/>
    <w:rsid w:val="00C65ADD"/>
    <w:rsid w:val="00C70663"/>
    <w:rsid w:val="00C70717"/>
    <w:rsid w:val="00C72181"/>
    <w:rsid w:val="00C72C7A"/>
    <w:rsid w:val="00C74562"/>
    <w:rsid w:val="00C75563"/>
    <w:rsid w:val="00C766DE"/>
    <w:rsid w:val="00C8169D"/>
    <w:rsid w:val="00C817AF"/>
    <w:rsid w:val="00C82AC7"/>
    <w:rsid w:val="00C82C3A"/>
    <w:rsid w:val="00C83DC8"/>
    <w:rsid w:val="00C8751C"/>
    <w:rsid w:val="00C875A0"/>
    <w:rsid w:val="00C8785C"/>
    <w:rsid w:val="00C904A6"/>
    <w:rsid w:val="00C947F8"/>
    <w:rsid w:val="00C94CBD"/>
    <w:rsid w:val="00C94D26"/>
    <w:rsid w:val="00C97DF2"/>
    <w:rsid w:val="00CA0A48"/>
    <w:rsid w:val="00CA1DC8"/>
    <w:rsid w:val="00CA2CF5"/>
    <w:rsid w:val="00CA4DAE"/>
    <w:rsid w:val="00CA7840"/>
    <w:rsid w:val="00CB020B"/>
    <w:rsid w:val="00CB2655"/>
    <w:rsid w:val="00CB27F9"/>
    <w:rsid w:val="00CB33BA"/>
    <w:rsid w:val="00CB4B0B"/>
    <w:rsid w:val="00CB79ED"/>
    <w:rsid w:val="00CC19F4"/>
    <w:rsid w:val="00CC1D47"/>
    <w:rsid w:val="00CC307E"/>
    <w:rsid w:val="00CC4444"/>
    <w:rsid w:val="00CC6291"/>
    <w:rsid w:val="00CD0C09"/>
    <w:rsid w:val="00CD1DEF"/>
    <w:rsid w:val="00CD517C"/>
    <w:rsid w:val="00CD676F"/>
    <w:rsid w:val="00CD7D59"/>
    <w:rsid w:val="00CE297C"/>
    <w:rsid w:val="00CE2FAC"/>
    <w:rsid w:val="00CE3147"/>
    <w:rsid w:val="00CE3554"/>
    <w:rsid w:val="00CE3858"/>
    <w:rsid w:val="00CE4B12"/>
    <w:rsid w:val="00CE660C"/>
    <w:rsid w:val="00CE7B7A"/>
    <w:rsid w:val="00CF0C5C"/>
    <w:rsid w:val="00CF1133"/>
    <w:rsid w:val="00CF116E"/>
    <w:rsid w:val="00CF2B9F"/>
    <w:rsid w:val="00CF31A8"/>
    <w:rsid w:val="00CF40FC"/>
    <w:rsid w:val="00D002AD"/>
    <w:rsid w:val="00D013C0"/>
    <w:rsid w:val="00D03056"/>
    <w:rsid w:val="00D0445F"/>
    <w:rsid w:val="00D06969"/>
    <w:rsid w:val="00D06FDA"/>
    <w:rsid w:val="00D11558"/>
    <w:rsid w:val="00D1334D"/>
    <w:rsid w:val="00D1512C"/>
    <w:rsid w:val="00D161D7"/>
    <w:rsid w:val="00D163B3"/>
    <w:rsid w:val="00D20182"/>
    <w:rsid w:val="00D22BC3"/>
    <w:rsid w:val="00D258F1"/>
    <w:rsid w:val="00D266DC"/>
    <w:rsid w:val="00D3109A"/>
    <w:rsid w:val="00D342DA"/>
    <w:rsid w:val="00D34931"/>
    <w:rsid w:val="00D42CBC"/>
    <w:rsid w:val="00D43D9C"/>
    <w:rsid w:val="00D462AA"/>
    <w:rsid w:val="00D4755B"/>
    <w:rsid w:val="00D50739"/>
    <w:rsid w:val="00D51793"/>
    <w:rsid w:val="00D5219D"/>
    <w:rsid w:val="00D53981"/>
    <w:rsid w:val="00D548FC"/>
    <w:rsid w:val="00D560DC"/>
    <w:rsid w:val="00D571DC"/>
    <w:rsid w:val="00D626A4"/>
    <w:rsid w:val="00D65171"/>
    <w:rsid w:val="00D67D1B"/>
    <w:rsid w:val="00D73012"/>
    <w:rsid w:val="00D757A2"/>
    <w:rsid w:val="00D7687E"/>
    <w:rsid w:val="00D8102A"/>
    <w:rsid w:val="00D82F66"/>
    <w:rsid w:val="00D83C95"/>
    <w:rsid w:val="00D84A24"/>
    <w:rsid w:val="00D85B6B"/>
    <w:rsid w:val="00D86E0F"/>
    <w:rsid w:val="00D87308"/>
    <w:rsid w:val="00D95232"/>
    <w:rsid w:val="00D95FF6"/>
    <w:rsid w:val="00D96CAD"/>
    <w:rsid w:val="00DA0159"/>
    <w:rsid w:val="00DA083B"/>
    <w:rsid w:val="00DA18C9"/>
    <w:rsid w:val="00DA190E"/>
    <w:rsid w:val="00DA431A"/>
    <w:rsid w:val="00DA440C"/>
    <w:rsid w:val="00DA45A4"/>
    <w:rsid w:val="00DA5604"/>
    <w:rsid w:val="00DA56A8"/>
    <w:rsid w:val="00DB0470"/>
    <w:rsid w:val="00DB307D"/>
    <w:rsid w:val="00DB3612"/>
    <w:rsid w:val="00DB3C5A"/>
    <w:rsid w:val="00DB56DA"/>
    <w:rsid w:val="00DB5904"/>
    <w:rsid w:val="00DB5D01"/>
    <w:rsid w:val="00DB786A"/>
    <w:rsid w:val="00DC7AD7"/>
    <w:rsid w:val="00DD3E30"/>
    <w:rsid w:val="00DD5626"/>
    <w:rsid w:val="00DE0B73"/>
    <w:rsid w:val="00DE23F3"/>
    <w:rsid w:val="00DE404B"/>
    <w:rsid w:val="00DE6EE4"/>
    <w:rsid w:val="00DE6FFF"/>
    <w:rsid w:val="00DF0068"/>
    <w:rsid w:val="00DF1120"/>
    <w:rsid w:val="00DF4C0C"/>
    <w:rsid w:val="00DF627D"/>
    <w:rsid w:val="00DF666F"/>
    <w:rsid w:val="00E00AB4"/>
    <w:rsid w:val="00E0199B"/>
    <w:rsid w:val="00E04F9E"/>
    <w:rsid w:val="00E06927"/>
    <w:rsid w:val="00E06FAF"/>
    <w:rsid w:val="00E074E9"/>
    <w:rsid w:val="00E07874"/>
    <w:rsid w:val="00E1018F"/>
    <w:rsid w:val="00E106E2"/>
    <w:rsid w:val="00E204D9"/>
    <w:rsid w:val="00E220B4"/>
    <w:rsid w:val="00E235B8"/>
    <w:rsid w:val="00E23780"/>
    <w:rsid w:val="00E239E9"/>
    <w:rsid w:val="00E259CC"/>
    <w:rsid w:val="00E32A38"/>
    <w:rsid w:val="00E32FFD"/>
    <w:rsid w:val="00E33B33"/>
    <w:rsid w:val="00E34AC2"/>
    <w:rsid w:val="00E4066D"/>
    <w:rsid w:val="00E40C02"/>
    <w:rsid w:val="00E4133F"/>
    <w:rsid w:val="00E43BF5"/>
    <w:rsid w:val="00E47880"/>
    <w:rsid w:val="00E47EE2"/>
    <w:rsid w:val="00E51988"/>
    <w:rsid w:val="00E52AE5"/>
    <w:rsid w:val="00E549DA"/>
    <w:rsid w:val="00E55068"/>
    <w:rsid w:val="00E57135"/>
    <w:rsid w:val="00E61B4A"/>
    <w:rsid w:val="00E62A5E"/>
    <w:rsid w:val="00E64760"/>
    <w:rsid w:val="00E65022"/>
    <w:rsid w:val="00E6738F"/>
    <w:rsid w:val="00E67419"/>
    <w:rsid w:val="00E71EDE"/>
    <w:rsid w:val="00E73508"/>
    <w:rsid w:val="00E73918"/>
    <w:rsid w:val="00E74098"/>
    <w:rsid w:val="00E759D8"/>
    <w:rsid w:val="00E76BE3"/>
    <w:rsid w:val="00E77D9C"/>
    <w:rsid w:val="00E77F3D"/>
    <w:rsid w:val="00E80DEC"/>
    <w:rsid w:val="00E8382E"/>
    <w:rsid w:val="00E924C2"/>
    <w:rsid w:val="00E97A62"/>
    <w:rsid w:val="00E97ACB"/>
    <w:rsid w:val="00E97D38"/>
    <w:rsid w:val="00EA1813"/>
    <w:rsid w:val="00EA199C"/>
    <w:rsid w:val="00EA23A1"/>
    <w:rsid w:val="00EA3214"/>
    <w:rsid w:val="00EA3907"/>
    <w:rsid w:val="00EA446F"/>
    <w:rsid w:val="00EA79FE"/>
    <w:rsid w:val="00EB01E7"/>
    <w:rsid w:val="00EC53E4"/>
    <w:rsid w:val="00EC61B5"/>
    <w:rsid w:val="00ED1EBA"/>
    <w:rsid w:val="00ED1FB8"/>
    <w:rsid w:val="00ED24C1"/>
    <w:rsid w:val="00ED28F0"/>
    <w:rsid w:val="00ED2F56"/>
    <w:rsid w:val="00ED4947"/>
    <w:rsid w:val="00EE0551"/>
    <w:rsid w:val="00EE325E"/>
    <w:rsid w:val="00EE45C1"/>
    <w:rsid w:val="00EE46FC"/>
    <w:rsid w:val="00EE5CD1"/>
    <w:rsid w:val="00EF10C4"/>
    <w:rsid w:val="00EF11E7"/>
    <w:rsid w:val="00EF16B7"/>
    <w:rsid w:val="00EF21BF"/>
    <w:rsid w:val="00EF550A"/>
    <w:rsid w:val="00F019FC"/>
    <w:rsid w:val="00F020C3"/>
    <w:rsid w:val="00F03E7F"/>
    <w:rsid w:val="00F07202"/>
    <w:rsid w:val="00F078A1"/>
    <w:rsid w:val="00F13807"/>
    <w:rsid w:val="00F15680"/>
    <w:rsid w:val="00F176FC"/>
    <w:rsid w:val="00F209A4"/>
    <w:rsid w:val="00F25729"/>
    <w:rsid w:val="00F2798D"/>
    <w:rsid w:val="00F321E8"/>
    <w:rsid w:val="00F37052"/>
    <w:rsid w:val="00F40528"/>
    <w:rsid w:val="00F40A35"/>
    <w:rsid w:val="00F43205"/>
    <w:rsid w:val="00F43535"/>
    <w:rsid w:val="00F47101"/>
    <w:rsid w:val="00F510AE"/>
    <w:rsid w:val="00F51DA1"/>
    <w:rsid w:val="00F52282"/>
    <w:rsid w:val="00F52C02"/>
    <w:rsid w:val="00F555B9"/>
    <w:rsid w:val="00F555EA"/>
    <w:rsid w:val="00F55C4F"/>
    <w:rsid w:val="00F55E8C"/>
    <w:rsid w:val="00F57682"/>
    <w:rsid w:val="00F61584"/>
    <w:rsid w:val="00F62215"/>
    <w:rsid w:val="00F62279"/>
    <w:rsid w:val="00F636B5"/>
    <w:rsid w:val="00F64FDB"/>
    <w:rsid w:val="00F66425"/>
    <w:rsid w:val="00F6688D"/>
    <w:rsid w:val="00F66979"/>
    <w:rsid w:val="00F704ED"/>
    <w:rsid w:val="00F73BB9"/>
    <w:rsid w:val="00F74780"/>
    <w:rsid w:val="00F762D9"/>
    <w:rsid w:val="00F80CF2"/>
    <w:rsid w:val="00F81D60"/>
    <w:rsid w:val="00F82202"/>
    <w:rsid w:val="00F83B31"/>
    <w:rsid w:val="00F85C8B"/>
    <w:rsid w:val="00F86910"/>
    <w:rsid w:val="00F90FE9"/>
    <w:rsid w:val="00F94804"/>
    <w:rsid w:val="00F9599E"/>
    <w:rsid w:val="00F959DC"/>
    <w:rsid w:val="00F971FC"/>
    <w:rsid w:val="00FA01E8"/>
    <w:rsid w:val="00FA18A5"/>
    <w:rsid w:val="00FA2923"/>
    <w:rsid w:val="00FA3109"/>
    <w:rsid w:val="00FA7DBD"/>
    <w:rsid w:val="00FB1D7F"/>
    <w:rsid w:val="00FB206B"/>
    <w:rsid w:val="00FB2642"/>
    <w:rsid w:val="00FB2CA1"/>
    <w:rsid w:val="00FB3044"/>
    <w:rsid w:val="00FB5668"/>
    <w:rsid w:val="00FB7C1E"/>
    <w:rsid w:val="00FC054C"/>
    <w:rsid w:val="00FC48ED"/>
    <w:rsid w:val="00FC4A1C"/>
    <w:rsid w:val="00FC7110"/>
    <w:rsid w:val="00FC7E2C"/>
    <w:rsid w:val="00FD4E53"/>
    <w:rsid w:val="00FE095A"/>
    <w:rsid w:val="00FE3042"/>
    <w:rsid w:val="00FE777C"/>
    <w:rsid w:val="00FF1EF5"/>
    <w:rsid w:val="00FF1F02"/>
    <w:rsid w:val="00FF2EB2"/>
    <w:rsid w:val="00FF46F0"/>
    <w:rsid w:val="00FF5DFB"/>
    <w:rsid w:val="00FF6E67"/>
    <w:rsid w:val="00FF7EE7"/>
    <w:rsid w:val="01907493"/>
    <w:rsid w:val="01A5E781"/>
    <w:rsid w:val="01FEA597"/>
    <w:rsid w:val="0200F8A0"/>
    <w:rsid w:val="021FB859"/>
    <w:rsid w:val="043CC02C"/>
    <w:rsid w:val="04F84827"/>
    <w:rsid w:val="0506C396"/>
    <w:rsid w:val="051A0BA2"/>
    <w:rsid w:val="057BE849"/>
    <w:rsid w:val="057F75DB"/>
    <w:rsid w:val="06F539DF"/>
    <w:rsid w:val="0701BDD3"/>
    <w:rsid w:val="07467B6B"/>
    <w:rsid w:val="074E7396"/>
    <w:rsid w:val="077918BD"/>
    <w:rsid w:val="0956EF38"/>
    <w:rsid w:val="09A601D2"/>
    <w:rsid w:val="0B1116CB"/>
    <w:rsid w:val="0C2C0D73"/>
    <w:rsid w:val="0C49676C"/>
    <w:rsid w:val="0D1BE610"/>
    <w:rsid w:val="0D2F62E7"/>
    <w:rsid w:val="0D758223"/>
    <w:rsid w:val="0E64BF2E"/>
    <w:rsid w:val="0E651148"/>
    <w:rsid w:val="0EE82E43"/>
    <w:rsid w:val="107F1291"/>
    <w:rsid w:val="11D61358"/>
    <w:rsid w:val="12E6EA9A"/>
    <w:rsid w:val="13308644"/>
    <w:rsid w:val="16AD2284"/>
    <w:rsid w:val="172DB50F"/>
    <w:rsid w:val="17FFBDBB"/>
    <w:rsid w:val="1849D650"/>
    <w:rsid w:val="186410BD"/>
    <w:rsid w:val="18A16787"/>
    <w:rsid w:val="18D229B5"/>
    <w:rsid w:val="19AF495F"/>
    <w:rsid w:val="1B1EF41F"/>
    <w:rsid w:val="1B711999"/>
    <w:rsid w:val="1BC39CD5"/>
    <w:rsid w:val="1C5D9688"/>
    <w:rsid w:val="1C674926"/>
    <w:rsid w:val="1CCFEC6B"/>
    <w:rsid w:val="1D981D66"/>
    <w:rsid w:val="1E12C82B"/>
    <w:rsid w:val="1F1089CE"/>
    <w:rsid w:val="1FB0D124"/>
    <w:rsid w:val="20D2B792"/>
    <w:rsid w:val="20DF21E0"/>
    <w:rsid w:val="218C89E1"/>
    <w:rsid w:val="222305F3"/>
    <w:rsid w:val="236FB3B4"/>
    <w:rsid w:val="23CD3B75"/>
    <w:rsid w:val="255863BC"/>
    <w:rsid w:val="255A3588"/>
    <w:rsid w:val="25D496A4"/>
    <w:rsid w:val="266C9583"/>
    <w:rsid w:val="272DD76A"/>
    <w:rsid w:val="27A3BE2A"/>
    <w:rsid w:val="28237367"/>
    <w:rsid w:val="28431FAC"/>
    <w:rsid w:val="28BC9C39"/>
    <w:rsid w:val="29ABB0FB"/>
    <w:rsid w:val="29CC364A"/>
    <w:rsid w:val="2BDFC4DB"/>
    <w:rsid w:val="2CC9399E"/>
    <w:rsid w:val="2D276389"/>
    <w:rsid w:val="2E599495"/>
    <w:rsid w:val="2ED24941"/>
    <w:rsid w:val="2F031D07"/>
    <w:rsid w:val="2F6FDE8A"/>
    <w:rsid w:val="2FB90E03"/>
    <w:rsid w:val="30F5C24D"/>
    <w:rsid w:val="332CE0C9"/>
    <w:rsid w:val="335B68FA"/>
    <w:rsid w:val="33D932CE"/>
    <w:rsid w:val="34B78B37"/>
    <w:rsid w:val="35027882"/>
    <w:rsid w:val="3506FF6F"/>
    <w:rsid w:val="354075C9"/>
    <w:rsid w:val="36624C04"/>
    <w:rsid w:val="36B4E279"/>
    <w:rsid w:val="38127EB5"/>
    <w:rsid w:val="384EE084"/>
    <w:rsid w:val="38E54BC9"/>
    <w:rsid w:val="39475517"/>
    <w:rsid w:val="39A8EA05"/>
    <w:rsid w:val="3A4C9976"/>
    <w:rsid w:val="3AE335CE"/>
    <w:rsid w:val="3C89BA62"/>
    <w:rsid w:val="3CE3C4DB"/>
    <w:rsid w:val="3CEB2293"/>
    <w:rsid w:val="3D11BE49"/>
    <w:rsid w:val="3DCC3A59"/>
    <w:rsid w:val="3DFE26FF"/>
    <w:rsid w:val="3E27C393"/>
    <w:rsid w:val="3F71DDC5"/>
    <w:rsid w:val="40677501"/>
    <w:rsid w:val="40C1853A"/>
    <w:rsid w:val="42FAD398"/>
    <w:rsid w:val="43C670D6"/>
    <w:rsid w:val="43FF2915"/>
    <w:rsid w:val="4560B0A3"/>
    <w:rsid w:val="45734FF4"/>
    <w:rsid w:val="45980704"/>
    <w:rsid w:val="46662631"/>
    <w:rsid w:val="46C09FBD"/>
    <w:rsid w:val="473B5230"/>
    <w:rsid w:val="47C6F409"/>
    <w:rsid w:val="4837684C"/>
    <w:rsid w:val="484D3009"/>
    <w:rsid w:val="4856AEA2"/>
    <w:rsid w:val="48AC9D8F"/>
    <w:rsid w:val="48DCD9C8"/>
    <w:rsid w:val="48E88A4B"/>
    <w:rsid w:val="4A23B0EE"/>
    <w:rsid w:val="4A9607EF"/>
    <w:rsid w:val="4AC2C1DD"/>
    <w:rsid w:val="4B27A58F"/>
    <w:rsid w:val="4B397000"/>
    <w:rsid w:val="4B70314C"/>
    <w:rsid w:val="4BA015C2"/>
    <w:rsid w:val="4BBC1D5C"/>
    <w:rsid w:val="4BCE849E"/>
    <w:rsid w:val="4C0C4B1A"/>
    <w:rsid w:val="4C2F4DD2"/>
    <w:rsid w:val="4C5C4943"/>
    <w:rsid w:val="4CB9F7B6"/>
    <w:rsid w:val="4E82DB3A"/>
    <w:rsid w:val="4EBD6C81"/>
    <w:rsid w:val="4ECCC20A"/>
    <w:rsid w:val="4F00F907"/>
    <w:rsid w:val="4F1CAE69"/>
    <w:rsid w:val="500B93C8"/>
    <w:rsid w:val="501F3044"/>
    <w:rsid w:val="50B97B13"/>
    <w:rsid w:val="519447DD"/>
    <w:rsid w:val="521E779C"/>
    <w:rsid w:val="52921BD6"/>
    <w:rsid w:val="52F7025F"/>
    <w:rsid w:val="53332CAF"/>
    <w:rsid w:val="55A6824A"/>
    <w:rsid w:val="55FBF8C4"/>
    <w:rsid w:val="56883FF0"/>
    <w:rsid w:val="570F4736"/>
    <w:rsid w:val="57DC1BDE"/>
    <w:rsid w:val="57DFF98C"/>
    <w:rsid w:val="59102E0E"/>
    <w:rsid w:val="59E75E0B"/>
    <w:rsid w:val="5BECC123"/>
    <w:rsid w:val="5D32BF21"/>
    <w:rsid w:val="5D8C9C4A"/>
    <w:rsid w:val="5E540BEB"/>
    <w:rsid w:val="5EC26359"/>
    <w:rsid w:val="6026C2AE"/>
    <w:rsid w:val="61027E77"/>
    <w:rsid w:val="6283F5B9"/>
    <w:rsid w:val="62C8D34A"/>
    <w:rsid w:val="62E90BB0"/>
    <w:rsid w:val="641BB827"/>
    <w:rsid w:val="65A30CA4"/>
    <w:rsid w:val="65FC33C2"/>
    <w:rsid w:val="66AD7F8B"/>
    <w:rsid w:val="66BD3FC4"/>
    <w:rsid w:val="66E26986"/>
    <w:rsid w:val="67112BE7"/>
    <w:rsid w:val="67621AB9"/>
    <w:rsid w:val="689366F2"/>
    <w:rsid w:val="68C6A0FD"/>
    <w:rsid w:val="690F3BC6"/>
    <w:rsid w:val="69119CEE"/>
    <w:rsid w:val="694C9327"/>
    <w:rsid w:val="697D6514"/>
    <w:rsid w:val="6987A52A"/>
    <w:rsid w:val="6A6B09AA"/>
    <w:rsid w:val="6BC5CC54"/>
    <w:rsid w:val="6C4AE996"/>
    <w:rsid w:val="6C676D6E"/>
    <w:rsid w:val="6D8BD6E7"/>
    <w:rsid w:val="6E519E1C"/>
    <w:rsid w:val="6E9A5A30"/>
    <w:rsid w:val="6F20E253"/>
    <w:rsid w:val="6F7EC06A"/>
    <w:rsid w:val="7049E01A"/>
    <w:rsid w:val="71869B17"/>
    <w:rsid w:val="71D755E2"/>
    <w:rsid w:val="72ABDD59"/>
    <w:rsid w:val="72BBB057"/>
    <w:rsid w:val="7331392C"/>
    <w:rsid w:val="7400F3FA"/>
    <w:rsid w:val="74767268"/>
    <w:rsid w:val="74AB177F"/>
    <w:rsid w:val="74D6E314"/>
    <w:rsid w:val="7503AEDF"/>
    <w:rsid w:val="752075C9"/>
    <w:rsid w:val="7538CE27"/>
    <w:rsid w:val="758819B6"/>
    <w:rsid w:val="76FD8D63"/>
    <w:rsid w:val="77449750"/>
    <w:rsid w:val="7757D844"/>
    <w:rsid w:val="776EFE72"/>
    <w:rsid w:val="77862924"/>
    <w:rsid w:val="7A0ABBFA"/>
    <w:rsid w:val="7B11D855"/>
    <w:rsid w:val="7C419F4F"/>
    <w:rsid w:val="7CD1E1C3"/>
    <w:rsid w:val="7D5D7FFB"/>
    <w:rsid w:val="7D82FC04"/>
    <w:rsid w:val="7DB152FA"/>
    <w:rsid w:val="7F19C62E"/>
    <w:rsid w:val="7F839AA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1F114"/>
  <w15:chartTrackingRefBased/>
  <w15:docId w15:val="{91F381CD-37EF-4E24-AD63-B7FDECBF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642"/>
    <w:rPr>
      <w:rFonts w:ascii="Arial" w:hAnsi="Arial"/>
      <w:sz w:val="22"/>
    </w:rPr>
  </w:style>
  <w:style w:type="paragraph" w:styleId="Heading1">
    <w:name w:val="heading 1"/>
    <w:basedOn w:val="Normal"/>
    <w:next w:val="Normal"/>
    <w:link w:val="Heading1Char"/>
    <w:qFormat/>
    <w:rsid w:val="001F7637"/>
    <w:pPr>
      <w:keepNext/>
      <w:keepLines/>
      <w:numPr>
        <w:numId w:val="14"/>
      </w:numPr>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nhideWhenUsed/>
    <w:qFormat/>
    <w:rsid w:val="00BE6863"/>
    <w:pPr>
      <w:numPr>
        <w:ilvl w:val="1"/>
      </w:numPr>
      <w:spacing w:before="120" w:after="120" w:line="340" w:lineRule="atLeast"/>
      <w:ind w:left="576"/>
      <w:outlineLvl w:val="1"/>
    </w:pPr>
    <w:rPr>
      <w:sz w:val="24"/>
      <w:szCs w:val="26"/>
    </w:rPr>
  </w:style>
  <w:style w:type="paragraph" w:styleId="Heading3">
    <w:name w:val="heading 3"/>
    <w:basedOn w:val="Heading2"/>
    <w:next w:val="Normal"/>
    <w:link w:val="Heading3Char"/>
    <w:unhideWhenUsed/>
    <w:qFormat/>
    <w:rsid w:val="00407AD1"/>
    <w:pPr>
      <w:numPr>
        <w:ilvl w:val="2"/>
      </w:numPr>
      <w:spacing w:line="280" w:lineRule="atLeast"/>
      <w:outlineLvl w:val="2"/>
    </w:pPr>
    <w:rPr>
      <w:szCs w:val="24"/>
    </w:rPr>
  </w:style>
  <w:style w:type="paragraph" w:styleId="Heading4">
    <w:name w:val="heading 4"/>
    <w:basedOn w:val="Heading3"/>
    <w:next w:val="Normal"/>
    <w:link w:val="Heading4Char"/>
    <w:uiPriority w:val="9"/>
    <w:unhideWhenUsed/>
    <w:qFormat/>
    <w:rsid w:val="00F64FDB"/>
    <w:pPr>
      <w:numPr>
        <w:ilvl w:val="3"/>
      </w:num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numPr>
        <w:ilvl w:val="4"/>
      </w:num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numPr>
        <w:ilvl w:val="5"/>
        <w:numId w:val="14"/>
      </w:numPr>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numPr>
        <w:ilvl w:val="6"/>
        <w:numId w:val="14"/>
      </w:numPr>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numPr>
        <w:ilvl w:val="7"/>
        <w:numId w:val="14"/>
      </w:numPr>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numPr>
        <w:ilvl w:val="8"/>
        <w:numId w:val="14"/>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574127"/>
    <w:rPr>
      <w:rFonts w:ascii="Arial" w:hAnsi="Arial"/>
      <w:b/>
      <w:bCs/>
      <w:sz w:val="22"/>
    </w:rPr>
  </w:style>
  <w:style w:type="paragraph" w:styleId="Header">
    <w:name w:val="header"/>
    <w:basedOn w:val="Normal"/>
    <w:link w:val="HeaderChar"/>
    <w:unhideWhenUsed/>
    <w:qFormat/>
    <w:rsid w:val="00D560DC"/>
    <w:pPr>
      <w:spacing w:before="0" w:after="0"/>
    </w:pPr>
  </w:style>
  <w:style w:type="character" w:customStyle="1" w:styleId="HeaderChar">
    <w:name w:val="Header Char"/>
    <w:basedOn w:val="DefaultParagraphFont"/>
    <w:link w:val="Header"/>
    <w:rsid w:val="00D560DC"/>
    <w:rPr>
      <w:rFonts w:ascii="Arial" w:hAnsi="Arial"/>
    </w:rPr>
  </w:style>
  <w:style w:type="paragraph" w:styleId="Footer">
    <w:name w:val="footer"/>
    <w:basedOn w:val="Normal"/>
    <w:link w:val="FooterChar"/>
    <w:uiPriority w:val="99"/>
    <w:unhideWhenUsed/>
    <w:qFormat/>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qFormat/>
    <w:rsid w:val="00F64FDB"/>
    <w:pPr>
      <w:numPr>
        <w:numId w:val="0"/>
      </w:numPr>
      <w:spacing w:before="0" w:after="320" w:line="560" w:lineRule="atLeast"/>
      <w:ind w:left="576" w:hanging="576"/>
    </w:pPr>
    <w:rPr>
      <w:color w:val="212A4C" w:themeColor="text2"/>
      <w:sz w:val="44"/>
      <w:szCs w:val="22"/>
    </w:rPr>
  </w:style>
  <w:style w:type="character" w:customStyle="1" w:styleId="SubtitleChar">
    <w:name w:val="Subtitle Char"/>
    <w:basedOn w:val="DefaultParagraphFont"/>
    <w:link w:val="Subtitle"/>
    <w:rsid w:val="00F64FDB"/>
    <w:rPr>
      <w:rFonts w:ascii="Arial" w:eastAsiaTheme="majorEastAsia" w:hAnsi="Arial" w:cstheme="majorBidi"/>
      <w:b/>
      <w:color w:val="212A4C" w:themeColor="text2"/>
      <w:sz w:val="44"/>
      <w:szCs w:val="22"/>
    </w:rPr>
  </w:style>
  <w:style w:type="paragraph" w:styleId="Title">
    <w:name w:val="Title"/>
    <w:next w:val="Normal"/>
    <w:link w:val="TitleChar"/>
    <w:qFormat/>
    <w:rsid w:val="0004758E"/>
    <w:pPr>
      <w:spacing w:before="0" w:after="0" w:line="240" w:lineRule="auto"/>
      <w:contextualSpacing/>
    </w:pPr>
    <w:rPr>
      <w:rFonts w:ascii="Arial" w:eastAsiaTheme="majorEastAsia" w:hAnsi="Arial" w:cstheme="majorBidi"/>
      <w:b/>
      <w:color w:val="3F4A75"/>
      <w:spacing w:val="-10"/>
      <w:kern w:val="28"/>
      <w:sz w:val="48"/>
      <w:szCs w:val="52"/>
      <w:lang w:eastAsia="en-US"/>
    </w:rPr>
  </w:style>
  <w:style w:type="character" w:customStyle="1" w:styleId="TitleChar">
    <w:name w:val="Title Char"/>
    <w:basedOn w:val="DefaultParagraphFont"/>
    <w:link w:val="Title"/>
    <w:rsid w:val="0004758E"/>
    <w:rPr>
      <w:rFonts w:ascii="Arial" w:eastAsiaTheme="majorEastAsia" w:hAnsi="Arial" w:cstheme="majorBidi"/>
      <w:b/>
      <w:color w:val="3F4A75"/>
      <w:spacing w:val="-10"/>
      <w:kern w:val="28"/>
      <w:sz w:val="48"/>
      <w:szCs w:val="52"/>
      <w:lang w:eastAsia="en-US"/>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rsid w:val="00BE6863"/>
    <w:rPr>
      <w:rFonts w:ascii="Arial" w:eastAsiaTheme="majorEastAsia" w:hAnsi="Arial" w:cstheme="majorBidi"/>
      <w:b/>
      <w:sz w:val="24"/>
      <w:szCs w:val="26"/>
    </w:rPr>
  </w:style>
  <w:style w:type="character" w:customStyle="1" w:styleId="Heading1Char">
    <w:name w:val="Heading 1 Char"/>
    <w:basedOn w:val="DefaultParagraphFont"/>
    <w:link w:val="Heading1"/>
    <w:rsid w:val="0004758E"/>
    <w:rPr>
      <w:rFonts w:ascii="Arial" w:eastAsiaTheme="majorEastAsia" w:hAnsi="Arial" w:cstheme="majorBidi"/>
      <w:b/>
      <w:sz w:val="32"/>
      <w:szCs w:val="32"/>
    </w:rPr>
  </w:style>
  <w:style w:type="character" w:customStyle="1" w:styleId="Heading3Char">
    <w:name w:val="Heading 3 Char"/>
    <w:basedOn w:val="DefaultParagraphFont"/>
    <w:link w:val="Heading3"/>
    <w:rsid w:val="00407AD1"/>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8A340B"/>
    <w:rPr>
      <w:rFonts w:ascii="Arial" w:eastAsiaTheme="majorEastAsia" w:hAnsi="Arial" w:cstheme="majorBidi"/>
      <w:iCs/>
      <w:color w:val="212A4C" w:themeColor="text2"/>
      <w:szCs w:val="24"/>
    </w:rPr>
  </w:style>
  <w:style w:type="paragraph" w:customStyle="1" w:styleId="Bullet1">
    <w:name w:val="Bullet 1"/>
    <w:basedOn w:val="Normal"/>
    <w:uiPriority w:val="2"/>
    <w:qFormat/>
    <w:rsid w:val="00061D6A"/>
    <w:pPr>
      <w:numPr>
        <w:numId w:val="4"/>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4"/>
      </w:numPr>
    </w:pPr>
  </w:style>
  <w:style w:type="paragraph" w:customStyle="1" w:styleId="NumberedList2">
    <w:name w:val="Numbered List 2"/>
    <w:basedOn w:val="Normal"/>
    <w:uiPriority w:val="2"/>
    <w:qFormat/>
    <w:rsid w:val="00574127"/>
    <w:pPr>
      <w:numPr>
        <w:ilvl w:val="1"/>
        <w:numId w:val="7"/>
      </w:numPr>
      <w:spacing w:before="80"/>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Arial" w:eastAsiaTheme="majorEastAsia" w:hAnsi="Arial" w:cstheme="majorBidi"/>
      <w:b/>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5"/>
      </w:numPr>
    </w:pPr>
  </w:style>
  <w:style w:type="table" w:styleId="TableGrid">
    <w:name w:val="Table Grid"/>
    <w:basedOn w:val="TableNormal"/>
    <w:uiPriority w:val="5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nhideWhenUsed/>
    <w:qFormat/>
    <w:rsid w:val="00E0199B"/>
    <w:pPr>
      <w:numPr>
        <w:numId w:val="6"/>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link w:val="NoSpacingChar"/>
    <w:uiPriority w:val="1"/>
    <w:qFormat/>
    <w:rsid w:val="00F62279"/>
    <w:pPr>
      <w:spacing w:before="0" w:after="0"/>
    </w:pPr>
    <w:rPr>
      <w:rFonts w:ascii="Arial" w:hAnsi="Arial"/>
    </w:rPr>
  </w:style>
  <w:style w:type="paragraph" w:styleId="TOCHeading">
    <w:name w:val="TOC Heading"/>
    <w:next w:val="Normal"/>
    <w:uiPriority w:val="39"/>
    <w:unhideWhenUsed/>
    <w:qFormat/>
    <w:rsid w:val="0004758E"/>
    <w:pPr>
      <w:spacing w:before="720"/>
    </w:pPr>
    <w:rPr>
      <w:rFonts w:ascii="Arial" w:eastAsiaTheme="majorEastAsia" w:hAnsi="Arial" w:cstheme="majorBidi"/>
      <w:b/>
      <w:sz w:val="32"/>
      <w:szCs w:val="32"/>
    </w:r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qFormat/>
    <w:rsid w:val="0004758E"/>
    <w:rPr>
      <w:rFonts w:ascii="Arial" w:hAnsi="Arial"/>
      <w:color w:val="176CB5" w:themeColor="accent3"/>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customStyle="1" w:styleId="SmartLink1">
    <w:name w:val="SmartLink1"/>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2"/>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2"/>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customStyle="1" w:styleId="Guidelinessub">
    <w:name w:val="Guidelines sub"/>
    <w:basedOn w:val="Heading2"/>
    <w:link w:val="GuidelinessubChar"/>
    <w:qFormat/>
    <w:rsid w:val="00817CB4"/>
    <w:pPr>
      <w:spacing w:before="40" w:after="0" w:line="259" w:lineRule="auto"/>
    </w:pPr>
    <w:rPr>
      <w:rFonts w:asciiTheme="minorHAnsi" w:hAnsiTheme="minorHAnsi"/>
      <w:bCs/>
      <w:color w:val="264F90" w:themeColor="accent2"/>
      <w:kern w:val="2"/>
      <w:sz w:val="28"/>
      <w:szCs w:val="28"/>
      <w:lang w:eastAsia="en-US"/>
      <w14:ligatures w14:val="standardContextual"/>
    </w:rPr>
  </w:style>
  <w:style w:type="paragraph" w:styleId="ListParagraph">
    <w:name w:val="List Paragraph"/>
    <w:aliases w:val="Bullet point,Recommendation,List Paragraph1,List Paragraph11,L,CV text,Table text,F5 List Paragraph,Dot pt,Colorful List - Accent 11,No Spacing1,List Paragraph Char Char Char,Indicator Text,Numbered Para 1,Bullet Points,1 heading"/>
    <w:basedOn w:val="Normal"/>
    <w:link w:val="ListParagraphChar"/>
    <w:uiPriority w:val="34"/>
    <w:qFormat/>
    <w:rsid w:val="00817CB4"/>
    <w:pPr>
      <w:spacing w:before="0" w:after="160" w:line="259" w:lineRule="auto"/>
      <w:ind w:left="720"/>
      <w:contextualSpacing/>
    </w:pPr>
    <w:rPr>
      <w:rFonts w:asciiTheme="minorHAnsi" w:eastAsiaTheme="minorHAnsi" w:hAnsiTheme="minorHAnsi" w:cs="Times New Roman"/>
      <w:color w:val="auto"/>
      <w:kern w:val="2"/>
      <w:szCs w:val="24"/>
      <w:lang w:eastAsia="en-US"/>
      <w14:ligatures w14:val="standardContextual"/>
    </w:rPr>
  </w:style>
  <w:style w:type="character" w:styleId="CommentReference">
    <w:name w:val="annotation reference"/>
    <w:basedOn w:val="DefaultParagraphFont"/>
    <w:unhideWhenUsed/>
    <w:rsid w:val="00817CB4"/>
    <w:rPr>
      <w:sz w:val="16"/>
      <w:szCs w:val="16"/>
    </w:rPr>
  </w:style>
  <w:style w:type="paragraph" w:styleId="CommentText">
    <w:name w:val="annotation text"/>
    <w:basedOn w:val="Normal"/>
    <w:link w:val="CommentTextChar"/>
    <w:unhideWhenUsed/>
    <w:rsid w:val="00817CB4"/>
    <w:pPr>
      <w:spacing w:before="0" w:after="160" w:line="240" w:lineRule="auto"/>
    </w:pPr>
    <w:rPr>
      <w:rFonts w:asciiTheme="minorHAnsi" w:eastAsiaTheme="minorHAnsi" w:hAnsiTheme="minorHAnsi" w:cs="Times New Roman"/>
      <w:color w:val="auto"/>
      <w:kern w:val="2"/>
      <w:sz w:val="20"/>
      <w:lang w:eastAsia="en-US"/>
      <w14:ligatures w14:val="standardContextual"/>
    </w:rPr>
  </w:style>
  <w:style w:type="character" w:customStyle="1" w:styleId="CommentTextChar">
    <w:name w:val="Comment Text Char"/>
    <w:basedOn w:val="DefaultParagraphFont"/>
    <w:link w:val="CommentText"/>
    <w:rsid w:val="00817CB4"/>
    <w:rPr>
      <w:rFonts w:eastAsiaTheme="minorHAnsi" w:cs="Times New Roman"/>
      <w:color w:val="auto"/>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817CB4"/>
    <w:rPr>
      <w:b/>
      <w:bCs/>
    </w:rPr>
  </w:style>
  <w:style w:type="character" w:customStyle="1" w:styleId="CommentSubjectChar">
    <w:name w:val="Comment Subject Char"/>
    <w:basedOn w:val="CommentTextChar"/>
    <w:link w:val="CommentSubject"/>
    <w:uiPriority w:val="99"/>
    <w:semiHidden/>
    <w:rsid w:val="00817CB4"/>
    <w:rPr>
      <w:rFonts w:eastAsiaTheme="minorHAnsi" w:cs="Times New Roman"/>
      <w:b/>
      <w:bCs/>
      <w:color w:val="auto"/>
      <w:kern w:val="2"/>
      <w:lang w:eastAsia="en-US"/>
      <w14:ligatures w14:val="standardContextual"/>
    </w:rPr>
  </w:style>
  <w:style w:type="paragraph" w:customStyle="1" w:styleId="paragraph">
    <w:name w:val="paragraph"/>
    <w:basedOn w:val="Normal"/>
    <w:rsid w:val="00817CB4"/>
    <w:pPr>
      <w:spacing w:before="100" w:beforeAutospacing="1" w:after="100" w:afterAutospacing="1" w:line="240" w:lineRule="auto"/>
    </w:pPr>
    <w:rPr>
      <w:rFonts w:ascii="Times New Roman" w:eastAsia="Times New Roman" w:hAnsi="Times New Roman" w:cs="Times New Roman"/>
      <w:color w:val="auto"/>
      <w:szCs w:val="24"/>
      <w:lang w:eastAsia="en-AU"/>
    </w:rPr>
  </w:style>
  <w:style w:type="paragraph" w:styleId="NormalWeb">
    <w:name w:val="Normal (Web)"/>
    <w:basedOn w:val="Normal"/>
    <w:uiPriority w:val="99"/>
    <w:unhideWhenUsed/>
    <w:rsid w:val="00817CB4"/>
    <w:pPr>
      <w:spacing w:before="100" w:beforeAutospacing="1" w:after="100" w:afterAutospacing="1" w:line="240" w:lineRule="auto"/>
    </w:pPr>
    <w:rPr>
      <w:rFonts w:ascii="Times New Roman" w:eastAsia="Times New Roman" w:hAnsi="Times New Roman" w:cs="Times New Roman"/>
      <w:color w:val="auto"/>
      <w:szCs w:val="24"/>
      <w:lang w:eastAsia="en-AU"/>
    </w:rPr>
  </w:style>
  <w:style w:type="paragraph" w:styleId="TOC3">
    <w:name w:val="toc 3"/>
    <w:basedOn w:val="Normal"/>
    <w:next w:val="Normal"/>
    <w:autoRedefine/>
    <w:uiPriority w:val="39"/>
    <w:unhideWhenUsed/>
    <w:rsid w:val="00817CB4"/>
    <w:pPr>
      <w:spacing w:before="0" w:after="0" w:line="259" w:lineRule="auto"/>
      <w:ind w:left="480"/>
    </w:pPr>
    <w:rPr>
      <w:rFonts w:asciiTheme="minorHAnsi" w:eastAsiaTheme="minorHAnsi" w:hAnsiTheme="minorHAnsi" w:cstheme="minorHAnsi"/>
      <w:i/>
      <w:iCs/>
      <w:color w:val="auto"/>
      <w:kern w:val="2"/>
      <w:sz w:val="20"/>
      <w:lang w:eastAsia="en-US"/>
      <w14:ligatures w14:val="standardContextual"/>
    </w:rPr>
  </w:style>
  <w:style w:type="paragraph" w:styleId="Revision">
    <w:name w:val="Revision"/>
    <w:hidden/>
    <w:uiPriority w:val="99"/>
    <w:semiHidden/>
    <w:rsid w:val="00817CB4"/>
    <w:pPr>
      <w:spacing w:before="0" w:after="0" w:line="240" w:lineRule="auto"/>
    </w:pPr>
    <w:rPr>
      <w:rFonts w:eastAsiaTheme="minorHAnsi" w:cs="Times New Roman"/>
      <w:color w:val="auto"/>
      <w:kern w:val="2"/>
      <w:sz w:val="24"/>
      <w:szCs w:val="24"/>
      <w:lang w:eastAsia="en-US"/>
      <w14:ligatures w14:val="standardContextual"/>
    </w:rPr>
  </w:style>
  <w:style w:type="paragraph" w:styleId="FootnoteText">
    <w:name w:val="footnote text"/>
    <w:basedOn w:val="Normal"/>
    <w:link w:val="FootnoteTextChar"/>
    <w:uiPriority w:val="99"/>
    <w:unhideWhenUsed/>
    <w:qFormat/>
    <w:rsid w:val="00817CB4"/>
    <w:pPr>
      <w:spacing w:before="0" w:after="0" w:line="240" w:lineRule="auto"/>
    </w:pPr>
    <w:rPr>
      <w:rFonts w:asciiTheme="minorHAnsi" w:eastAsiaTheme="minorHAnsi" w:hAnsiTheme="minorHAnsi" w:cs="Times New Roman"/>
      <w:color w:val="auto"/>
      <w:kern w:val="2"/>
      <w:sz w:val="20"/>
      <w:lang w:eastAsia="en-US"/>
      <w14:ligatures w14:val="standardContextual"/>
    </w:rPr>
  </w:style>
  <w:style w:type="character" w:customStyle="1" w:styleId="FootnoteTextChar">
    <w:name w:val="Footnote Text Char"/>
    <w:basedOn w:val="DefaultParagraphFont"/>
    <w:link w:val="FootnoteText"/>
    <w:uiPriority w:val="99"/>
    <w:rsid w:val="00817CB4"/>
    <w:rPr>
      <w:rFonts w:eastAsiaTheme="minorHAnsi" w:cs="Times New Roman"/>
      <w:color w:val="auto"/>
      <w:kern w:val="2"/>
      <w:lang w:eastAsia="en-US"/>
      <w14:ligatures w14:val="standardContextual"/>
    </w:rPr>
  </w:style>
  <w:style w:type="character" w:styleId="FootnoteReference">
    <w:name w:val="footnote reference"/>
    <w:basedOn w:val="DefaultParagraphFont"/>
    <w:uiPriority w:val="99"/>
    <w:unhideWhenUsed/>
    <w:rsid w:val="00817CB4"/>
    <w:rPr>
      <w:vertAlign w:val="superscript"/>
    </w:rPr>
  </w:style>
  <w:style w:type="paragraph" w:customStyle="1" w:styleId="Paragraphtext">
    <w:name w:val="Paragraph text"/>
    <w:basedOn w:val="Normal"/>
    <w:qFormat/>
    <w:rsid w:val="00817CB4"/>
    <w:pPr>
      <w:spacing w:before="120" w:after="60" w:line="240" w:lineRule="auto"/>
    </w:pPr>
    <w:rPr>
      <w:rFonts w:eastAsia="Times New Roman" w:cs="Times New Roman"/>
      <w:sz w:val="21"/>
      <w:szCs w:val="24"/>
      <w:lang w:eastAsia="en-US"/>
    </w:rPr>
  </w:style>
  <w:style w:type="character" w:customStyle="1" w:styleId="ListParagraphChar">
    <w:name w:val="List Paragraph Char"/>
    <w:aliases w:val="Bullet point Char,Recommendation Char,List Paragraph1 Char,List Paragraph11 Char,L Char,CV text Char,Table text Char,F5 List Paragraph Char,Dot pt Char,Colorful List - Accent 11 Char,No Spacing1 Char,Indicator Text Char"/>
    <w:basedOn w:val="DefaultParagraphFont"/>
    <w:link w:val="ListParagraph"/>
    <w:uiPriority w:val="34"/>
    <w:qFormat/>
    <w:rsid w:val="00817CB4"/>
    <w:rPr>
      <w:rFonts w:eastAsiaTheme="minorHAnsi" w:cs="Times New Roman"/>
      <w:color w:val="auto"/>
      <w:kern w:val="2"/>
      <w:sz w:val="24"/>
      <w:szCs w:val="24"/>
      <w:lang w:eastAsia="en-US"/>
      <w14:ligatures w14:val="standardContextual"/>
    </w:rPr>
  </w:style>
  <w:style w:type="paragraph" w:styleId="TOC4">
    <w:name w:val="toc 4"/>
    <w:basedOn w:val="Normal"/>
    <w:next w:val="Normal"/>
    <w:autoRedefine/>
    <w:uiPriority w:val="39"/>
    <w:unhideWhenUsed/>
    <w:rsid w:val="00817CB4"/>
    <w:pPr>
      <w:spacing w:before="0" w:after="0" w:line="259" w:lineRule="auto"/>
      <w:ind w:left="720"/>
    </w:pPr>
    <w:rPr>
      <w:rFonts w:asciiTheme="minorHAnsi" w:eastAsiaTheme="minorHAnsi" w:hAnsiTheme="minorHAnsi" w:cstheme="minorHAnsi"/>
      <w:color w:val="auto"/>
      <w:kern w:val="2"/>
      <w:sz w:val="18"/>
      <w:szCs w:val="18"/>
      <w:lang w:eastAsia="en-US"/>
      <w14:ligatures w14:val="standardContextual"/>
    </w:rPr>
  </w:style>
  <w:style w:type="paragraph" w:styleId="TOC5">
    <w:name w:val="toc 5"/>
    <w:basedOn w:val="Normal"/>
    <w:next w:val="Normal"/>
    <w:autoRedefine/>
    <w:uiPriority w:val="39"/>
    <w:unhideWhenUsed/>
    <w:rsid w:val="00817CB4"/>
    <w:pPr>
      <w:spacing w:before="0" w:after="0" w:line="259" w:lineRule="auto"/>
      <w:ind w:left="960"/>
    </w:pPr>
    <w:rPr>
      <w:rFonts w:asciiTheme="minorHAnsi" w:eastAsiaTheme="minorHAnsi" w:hAnsiTheme="minorHAnsi" w:cstheme="minorHAnsi"/>
      <w:color w:val="auto"/>
      <w:kern w:val="2"/>
      <w:sz w:val="18"/>
      <w:szCs w:val="18"/>
      <w:lang w:eastAsia="en-US"/>
      <w14:ligatures w14:val="standardContextual"/>
    </w:rPr>
  </w:style>
  <w:style w:type="paragraph" w:styleId="TOC6">
    <w:name w:val="toc 6"/>
    <w:basedOn w:val="Normal"/>
    <w:next w:val="Normal"/>
    <w:autoRedefine/>
    <w:uiPriority w:val="39"/>
    <w:unhideWhenUsed/>
    <w:rsid w:val="00817CB4"/>
    <w:pPr>
      <w:spacing w:before="0" w:after="0" w:line="259" w:lineRule="auto"/>
      <w:ind w:left="1200"/>
    </w:pPr>
    <w:rPr>
      <w:rFonts w:asciiTheme="minorHAnsi" w:eastAsiaTheme="minorHAnsi" w:hAnsiTheme="minorHAnsi" w:cstheme="minorHAnsi"/>
      <w:color w:val="auto"/>
      <w:kern w:val="2"/>
      <w:sz w:val="18"/>
      <w:szCs w:val="18"/>
      <w:lang w:eastAsia="en-US"/>
      <w14:ligatures w14:val="standardContextual"/>
    </w:rPr>
  </w:style>
  <w:style w:type="paragraph" w:styleId="TOC7">
    <w:name w:val="toc 7"/>
    <w:basedOn w:val="Normal"/>
    <w:next w:val="Normal"/>
    <w:autoRedefine/>
    <w:uiPriority w:val="39"/>
    <w:unhideWhenUsed/>
    <w:rsid w:val="00817CB4"/>
    <w:pPr>
      <w:spacing w:before="0" w:after="0" w:line="259" w:lineRule="auto"/>
      <w:ind w:left="1440"/>
    </w:pPr>
    <w:rPr>
      <w:rFonts w:asciiTheme="minorHAnsi" w:eastAsiaTheme="minorHAnsi" w:hAnsiTheme="minorHAnsi" w:cstheme="minorHAnsi"/>
      <w:color w:val="auto"/>
      <w:kern w:val="2"/>
      <w:sz w:val="18"/>
      <w:szCs w:val="18"/>
      <w:lang w:eastAsia="en-US"/>
      <w14:ligatures w14:val="standardContextual"/>
    </w:rPr>
  </w:style>
  <w:style w:type="paragraph" w:styleId="TOC8">
    <w:name w:val="toc 8"/>
    <w:basedOn w:val="Normal"/>
    <w:next w:val="Normal"/>
    <w:autoRedefine/>
    <w:uiPriority w:val="39"/>
    <w:unhideWhenUsed/>
    <w:rsid w:val="00817CB4"/>
    <w:pPr>
      <w:spacing w:before="0" w:after="0" w:line="259" w:lineRule="auto"/>
      <w:ind w:left="1680"/>
    </w:pPr>
    <w:rPr>
      <w:rFonts w:asciiTheme="minorHAnsi" w:eastAsiaTheme="minorHAnsi" w:hAnsiTheme="minorHAnsi" w:cstheme="minorHAnsi"/>
      <w:color w:val="auto"/>
      <w:kern w:val="2"/>
      <w:sz w:val="18"/>
      <w:szCs w:val="18"/>
      <w:lang w:eastAsia="en-US"/>
      <w14:ligatures w14:val="standardContextual"/>
    </w:rPr>
  </w:style>
  <w:style w:type="paragraph" w:styleId="TOC9">
    <w:name w:val="toc 9"/>
    <w:basedOn w:val="Normal"/>
    <w:next w:val="Normal"/>
    <w:autoRedefine/>
    <w:uiPriority w:val="39"/>
    <w:unhideWhenUsed/>
    <w:rsid w:val="00817CB4"/>
    <w:pPr>
      <w:spacing w:before="0" w:after="0" w:line="259" w:lineRule="auto"/>
      <w:ind w:left="1920"/>
    </w:pPr>
    <w:rPr>
      <w:rFonts w:asciiTheme="minorHAnsi" w:eastAsiaTheme="minorHAnsi" w:hAnsiTheme="minorHAnsi" w:cstheme="minorHAnsi"/>
      <w:color w:val="auto"/>
      <w:kern w:val="2"/>
      <w:sz w:val="18"/>
      <w:szCs w:val="18"/>
      <w:lang w:eastAsia="en-US"/>
      <w14:ligatures w14:val="standardContextual"/>
    </w:rPr>
  </w:style>
  <w:style w:type="paragraph" w:customStyle="1" w:styleId="GuidelinesHeading">
    <w:name w:val="Guidelines Heading"/>
    <w:basedOn w:val="Heading1"/>
    <w:link w:val="GuidelinesHeadingChar"/>
    <w:qFormat/>
    <w:rsid w:val="00817CB4"/>
    <w:pPr>
      <w:spacing w:before="240" w:after="0" w:line="259" w:lineRule="auto"/>
    </w:pPr>
    <w:rPr>
      <w:rFonts w:cstheme="minorHAnsi"/>
      <w:bCs/>
      <w:color w:val="212A4C" w:themeColor="accent1"/>
      <w:kern w:val="2"/>
      <w:sz w:val="28"/>
      <w:szCs w:val="28"/>
      <w:lang w:eastAsia="en-US"/>
      <w14:ligatures w14:val="standardContextual"/>
    </w:rPr>
  </w:style>
  <w:style w:type="character" w:customStyle="1" w:styleId="GuidelinesHeadingChar">
    <w:name w:val="Guidelines Heading Char"/>
    <w:basedOn w:val="Heading1Char"/>
    <w:link w:val="GuidelinesHeading"/>
    <w:rsid w:val="00817CB4"/>
    <w:rPr>
      <w:rFonts w:ascii="Arial" w:eastAsiaTheme="majorEastAsia" w:hAnsi="Arial" w:cstheme="minorHAnsi"/>
      <w:b/>
      <w:bCs/>
      <w:color w:val="212A4C" w:themeColor="accent1"/>
      <w:kern w:val="2"/>
      <w:sz w:val="28"/>
      <w:szCs w:val="28"/>
      <w:lang w:eastAsia="en-US"/>
      <w14:ligatures w14:val="standardContextual"/>
    </w:rPr>
  </w:style>
  <w:style w:type="paragraph" w:customStyle="1" w:styleId="Guidelines2">
    <w:name w:val="Guidelines 2"/>
    <w:basedOn w:val="Normal"/>
    <w:link w:val="Guidelines2Char"/>
    <w:qFormat/>
    <w:rsid w:val="00FC7110"/>
    <w:pPr>
      <w:spacing w:before="240" w:after="60" w:line="240" w:lineRule="auto"/>
      <w:ind w:left="792" w:hanging="432"/>
      <w:contextualSpacing/>
    </w:pPr>
    <w:rPr>
      <w:rFonts w:eastAsiaTheme="minorHAnsi" w:cs="Arial"/>
      <w:color w:val="358189"/>
      <w:kern w:val="2"/>
      <w:sz w:val="28"/>
      <w:szCs w:val="28"/>
      <w:lang w:eastAsia="en-US"/>
      <w14:ligatures w14:val="standardContextual"/>
    </w:rPr>
  </w:style>
  <w:style w:type="character" w:customStyle="1" w:styleId="Guidelines2Char">
    <w:name w:val="Guidelines 2 Char"/>
    <w:basedOn w:val="DefaultParagraphFont"/>
    <w:link w:val="Guidelines2"/>
    <w:rsid w:val="00FC7110"/>
    <w:rPr>
      <w:rFonts w:ascii="Arial" w:eastAsiaTheme="minorHAnsi" w:hAnsi="Arial" w:cs="Arial"/>
      <w:color w:val="358189"/>
      <w:kern w:val="2"/>
      <w:sz w:val="28"/>
      <w:szCs w:val="28"/>
      <w:lang w:eastAsia="en-US"/>
      <w14:ligatures w14:val="standardContextual"/>
    </w:rPr>
  </w:style>
  <w:style w:type="character" w:customStyle="1" w:styleId="GuidelinessubChar">
    <w:name w:val="Guidelines sub Char"/>
    <w:basedOn w:val="ListParagraphChar"/>
    <w:link w:val="Guidelinessub"/>
    <w:rsid w:val="00817CB4"/>
    <w:rPr>
      <w:rFonts w:eastAsiaTheme="majorEastAsia" w:cstheme="majorBidi"/>
      <w:b/>
      <w:bCs/>
      <w:color w:val="264F90" w:themeColor="accent2"/>
      <w:kern w:val="2"/>
      <w:sz w:val="28"/>
      <w:szCs w:val="28"/>
      <w:lang w:eastAsia="en-US"/>
      <w14:ligatures w14:val="standardContextual"/>
    </w:rPr>
  </w:style>
  <w:style w:type="paragraph" w:customStyle="1" w:styleId="Guidelinessub-sub">
    <w:name w:val="Guidelines sub-sub"/>
    <w:basedOn w:val="Heading3"/>
    <w:link w:val="Guidelinessub-subChar"/>
    <w:qFormat/>
    <w:rsid w:val="00817CB4"/>
    <w:pPr>
      <w:numPr>
        <w:numId w:val="9"/>
      </w:numPr>
      <w:spacing w:before="40" w:after="0" w:line="259" w:lineRule="auto"/>
    </w:pPr>
    <w:rPr>
      <w:b w:val="0"/>
      <w:color w:val="212A4C" w:themeColor="accent1"/>
      <w:kern w:val="2"/>
      <w:lang w:eastAsia="en-US"/>
      <w14:ligatures w14:val="standardContextual"/>
    </w:rPr>
  </w:style>
  <w:style w:type="character" w:customStyle="1" w:styleId="Guidelinessub-subChar">
    <w:name w:val="Guidelines sub-sub Char"/>
    <w:basedOn w:val="DefaultParagraphFont"/>
    <w:link w:val="Guidelinessub-sub"/>
    <w:rsid w:val="00FC7110"/>
    <w:rPr>
      <w:rFonts w:ascii="Arial" w:eastAsiaTheme="majorEastAsia" w:hAnsi="Arial" w:cstheme="majorBidi"/>
      <w:color w:val="212A4C" w:themeColor="accent1"/>
      <w:kern w:val="2"/>
      <w:sz w:val="24"/>
      <w:szCs w:val="24"/>
      <w:lang w:eastAsia="en-US"/>
      <w14:ligatures w14:val="standardContextual"/>
    </w:rPr>
  </w:style>
  <w:style w:type="paragraph" w:customStyle="1" w:styleId="Headingguidelines">
    <w:name w:val="Heading guidelines"/>
    <w:basedOn w:val="Heading1"/>
    <w:link w:val="HeadingguidelinesChar"/>
    <w:qFormat/>
    <w:rsid w:val="00817CB4"/>
    <w:pPr>
      <w:spacing w:before="240" w:after="0" w:line="259" w:lineRule="auto"/>
      <w:ind w:left="420" w:hanging="420"/>
    </w:pPr>
    <w:rPr>
      <w:rFonts w:eastAsia="Times New Roman" w:cs="Arial"/>
      <w:bCs/>
      <w:color w:val="3F4A75"/>
      <w:kern w:val="28"/>
      <w:sz w:val="36"/>
      <w:szCs w:val="28"/>
      <w:lang w:eastAsia="en-US"/>
    </w:rPr>
  </w:style>
  <w:style w:type="character" w:customStyle="1" w:styleId="HeadingguidelinesChar">
    <w:name w:val="Heading guidelines Char"/>
    <w:basedOn w:val="Heading1Char"/>
    <w:link w:val="Headingguidelines"/>
    <w:rsid w:val="00817CB4"/>
    <w:rPr>
      <w:rFonts w:ascii="Arial" w:eastAsia="Times New Roman" w:hAnsi="Arial" w:cs="Arial"/>
      <w:b/>
      <w:bCs/>
      <w:color w:val="3F4A75"/>
      <w:kern w:val="28"/>
      <w:sz w:val="36"/>
      <w:szCs w:val="28"/>
      <w:lang w:eastAsia="en-US"/>
    </w:rPr>
  </w:style>
  <w:style w:type="paragraph" w:customStyle="1" w:styleId="Subheading-Guidelines">
    <w:name w:val="Sub heading - Guidelines"/>
    <w:basedOn w:val="Heading2"/>
    <w:link w:val="Subheading-GuidelinesChar"/>
    <w:qFormat/>
    <w:rsid w:val="00817CB4"/>
    <w:pPr>
      <w:numPr>
        <w:numId w:val="8"/>
      </w:numPr>
      <w:spacing w:before="40" w:after="0" w:line="259" w:lineRule="auto"/>
    </w:pPr>
    <w:rPr>
      <w:b w:val="0"/>
      <w:bCs/>
      <w:color w:val="264F90" w:themeColor="accent2"/>
      <w:kern w:val="2"/>
      <w:sz w:val="28"/>
      <w:szCs w:val="28"/>
      <w:lang w:eastAsia="en-US"/>
      <w14:ligatures w14:val="standardContextual"/>
    </w:rPr>
  </w:style>
  <w:style w:type="character" w:customStyle="1" w:styleId="Subheading-GuidelinesChar">
    <w:name w:val="Sub heading - Guidelines Char"/>
    <w:basedOn w:val="GuidelinessubChar"/>
    <w:link w:val="Subheading-Guidelines"/>
    <w:rsid w:val="00817CB4"/>
    <w:rPr>
      <w:rFonts w:ascii="Arial" w:eastAsiaTheme="majorEastAsia" w:hAnsi="Arial" w:cstheme="majorBidi"/>
      <w:b w:val="0"/>
      <w:bCs/>
      <w:color w:val="264F90" w:themeColor="accent2"/>
      <w:kern w:val="2"/>
      <w:sz w:val="28"/>
      <w:szCs w:val="28"/>
      <w:lang w:eastAsia="en-US"/>
      <w14:ligatures w14:val="standardContextual"/>
    </w:rPr>
  </w:style>
  <w:style w:type="character" w:customStyle="1" w:styleId="StyleArial10pt">
    <w:name w:val="Style Arial 10 pt"/>
    <w:basedOn w:val="DefaultParagraphFont"/>
    <w:uiPriority w:val="99"/>
    <w:rsid w:val="00817CB4"/>
    <w:rPr>
      <w:rFonts w:ascii="Arial" w:hAnsi="Arial" w:cs="Arial" w:hint="default"/>
    </w:rPr>
  </w:style>
  <w:style w:type="character" w:customStyle="1" w:styleId="Mention1">
    <w:name w:val="Mention1"/>
    <w:basedOn w:val="DefaultParagraphFont"/>
    <w:uiPriority w:val="99"/>
    <w:unhideWhenUsed/>
    <w:rsid w:val="00817CB4"/>
    <w:rPr>
      <w:color w:val="2B579A"/>
      <w:shd w:val="clear" w:color="auto" w:fill="E1DFDD"/>
    </w:rPr>
  </w:style>
  <w:style w:type="paragraph" w:customStyle="1" w:styleId="URL">
    <w:name w:val="URL"/>
    <w:basedOn w:val="Normal"/>
    <w:rsid w:val="00817CB4"/>
    <w:pPr>
      <w:spacing w:before="3120" w:after="120" w:line="276" w:lineRule="auto"/>
      <w:jc w:val="center"/>
    </w:pPr>
    <w:rPr>
      <w:rFonts w:eastAsia="Times New Roman" w:cs="Times New Roman"/>
      <w:b/>
      <w:bCs/>
      <w:lang w:eastAsia="en-US"/>
    </w:rPr>
  </w:style>
  <w:style w:type="character" w:customStyle="1" w:styleId="NoSpacingChar">
    <w:name w:val="No Spacing Char"/>
    <w:basedOn w:val="DefaultParagraphFont"/>
    <w:link w:val="NoSpacing"/>
    <w:uiPriority w:val="1"/>
    <w:rsid w:val="00817CB4"/>
    <w:rPr>
      <w:rFonts w:ascii="Arial" w:hAnsi="Arial"/>
    </w:rPr>
  </w:style>
  <w:style w:type="paragraph" w:customStyle="1" w:styleId="TableHeaderWhite">
    <w:name w:val="Table Header White"/>
    <w:basedOn w:val="Normal"/>
    <w:next w:val="Normal"/>
    <w:qFormat/>
    <w:rsid w:val="00817CB4"/>
    <w:pPr>
      <w:spacing w:before="80" w:line="276" w:lineRule="auto"/>
    </w:pPr>
    <w:rPr>
      <w:rFonts w:eastAsia="Cambria" w:cs="Times New Roman"/>
      <w:b/>
      <w:color w:val="FFFFFF" w:themeColor="background1"/>
      <w:szCs w:val="22"/>
      <w:lang w:val="en-US" w:eastAsia="en-US"/>
    </w:rPr>
  </w:style>
  <w:style w:type="paragraph" w:customStyle="1" w:styleId="Tabletextleft">
    <w:name w:val="Table text left"/>
    <w:autoRedefine/>
    <w:qFormat/>
    <w:locked/>
    <w:rsid w:val="00733FD8"/>
    <w:pPr>
      <w:spacing w:before="60" w:after="60" w:line="240" w:lineRule="auto"/>
    </w:pPr>
    <w:rPr>
      <w:rFonts w:ascii="Arial" w:eastAsia="Times New Roman" w:hAnsi="Arial" w:cs="Times New Roman"/>
      <w:sz w:val="22"/>
      <w:szCs w:val="22"/>
      <w:lang w:eastAsia="en-US"/>
    </w:rPr>
  </w:style>
  <w:style w:type="paragraph" w:customStyle="1" w:styleId="TableHeader">
    <w:name w:val="Table Header"/>
    <w:basedOn w:val="Normal"/>
    <w:next w:val="Tabletextleft"/>
    <w:qFormat/>
    <w:rsid w:val="00817CB4"/>
    <w:pPr>
      <w:spacing w:before="80" w:line="276" w:lineRule="auto"/>
    </w:pPr>
    <w:rPr>
      <w:rFonts w:eastAsia="Cambria" w:cs="Times New Roman"/>
      <w:b/>
      <w:color w:val="FFFFFF" w:themeColor="background1"/>
      <w:szCs w:val="22"/>
      <w:lang w:val="en-US" w:eastAsia="en-US"/>
    </w:rPr>
  </w:style>
  <w:style w:type="table" w:customStyle="1" w:styleId="DepartmentofHealthtable">
    <w:name w:val="Department of Health table"/>
    <w:basedOn w:val="TableNormal"/>
    <w:uiPriority w:val="99"/>
    <w:rsid w:val="00817CB4"/>
    <w:pPr>
      <w:spacing w:before="0" w:after="0" w:line="240" w:lineRule="auto"/>
    </w:pPr>
    <w:rPr>
      <w:rFonts w:ascii="Arial" w:eastAsia="Times New Roman" w:hAnsi="Arial" w:cs="Times New Roman"/>
      <w:sz w:val="21"/>
      <w:lang w:eastAsia="en-AU"/>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extright">
    <w:name w:val="Table text right"/>
    <w:basedOn w:val="Tabletextleft"/>
    <w:rsid w:val="00817CB4"/>
    <w:pPr>
      <w:jc w:val="right"/>
    </w:pPr>
  </w:style>
  <w:style w:type="paragraph" w:customStyle="1" w:styleId="Tabletextcentre">
    <w:name w:val="Table text centre"/>
    <w:basedOn w:val="Tabletextleft"/>
    <w:rsid w:val="00817CB4"/>
    <w:pPr>
      <w:jc w:val="center"/>
    </w:pPr>
  </w:style>
  <w:style w:type="paragraph" w:styleId="ListBullet2">
    <w:name w:val="List Bullet 2"/>
    <w:basedOn w:val="Normal"/>
    <w:uiPriority w:val="99"/>
    <w:unhideWhenUsed/>
    <w:rsid w:val="003748EA"/>
    <w:pPr>
      <w:numPr>
        <w:numId w:val="13"/>
      </w:numPr>
      <w:ind w:left="360"/>
      <w:contextualSpacing/>
    </w:pPr>
  </w:style>
  <w:style w:type="character" w:customStyle="1" w:styleId="FootnoteTextChar1">
    <w:name w:val="Footnote Text Char1"/>
    <w:basedOn w:val="DefaultParagraphFont"/>
    <w:uiPriority w:val="97"/>
    <w:rsid w:val="007B6E0F"/>
    <w:rPr>
      <w:sz w:val="16"/>
    </w:rPr>
  </w:style>
  <w:style w:type="paragraph" w:customStyle="1" w:styleId="highlightedtext">
    <w:name w:val="highlighted text"/>
    <w:basedOn w:val="Normal"/>
    <w:link w:val="highlightedtextChar"/>
    <w:qFormat/>
    <w:rsid w:val="008F618A"/>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b/>
      <w:iCs/>
      <w:color w:val="0B365A" w:themeColor="accent3" w:themeShade="80"/>
      <w:szCs w:val="22"/>
      <w:lang w:eastAsia="en-US"/>
    </w:rPr>
  </w:style>
  <w:style w:type="character" w:customStyle="1" w:styleId="highlightedtextChar">
    <w:name w:val="highlighted text Char"/>
    <w:basedOn w:val="DefaultParagraphFont"/>
    <w:link w:val="highlightedtext"/>
    <w:rsid w:val="008F618A"/>
    <w:rPr>
      <w:rFonts w:eastAsiaTheme="minorHAnsi"/>
      <w:b/>
      <w:iCs/>
      <w:color w:val="0B365A" w:themeColor="accent3" w:themeShade="80"/>
      <w:sz w:val="22"/>
      <w:szCs w:val="22"/>
      <w:lang w:eastAsia="en-US"/>
    </w:rPr>
  </w:style>
  <w:style w:type="paragraph" w:customStyle="1" w:styleId="7TemplateInstructions">
    <w:name w:val="7. Template Instructions"/>
    <w:basedOn w:val="Normal"/>
    <w:qFormat/>
    <w:rsid w:val="001F4A2F"/>
    <w:pPr>
      <w:pBdr>
        <w:top w:val="single" w:sz="4" w:space="4" w:color="E6E6E6" w:themeColor="background2"/>
        <w:left w:val="single" w:sz="4" w:space="0" w:color="E6E6E6" w:themeColor="background2"/>
        <w:bottom w:val="single" w:sz="4" w:space="4" w:color="E6E6E6" w:themeColor="background2"/>
        <w:right w:val="single" w:sz="4" w:space="0" w:color="E6E6E6" w:themeColor="background2"/>
      </w:pBdr>
      <w:shd w:val="clear" w:color="auto" w:fill="E6E6E6" w:themeFill="background2"/>
      <w:suppressAutoHyphens/>
      <w:spacing w:before="0" w:after="0" w:line="0" w:lineRule="atLeast"/>
    </w:pPr>
    <w:rPr>
      <w:rFonts w:eastAsiaTheme="minorHAnsi"/>
      <w:iCs/>
      <w:color w:val="auto"/>
      <w:sz w:val="20"/>
      <w:szCs w:val="22"/>
      <w:lang w:eastAsia="en-US"/>
    </w:rPr>
  </w:style>
  <w:style w:type="paragraph" w:customStyle="1" w:styleId="NumberedList1">
    <w:name w:val="Numbered List 1"/>
    <w:basedOn w:val="Normal"/>
    <w:uiPriority w:val="2"/>
    <w:qFormat/>
    <w:rsid w:val="009B183A"/>
    <w:pPr>
      <w:tabs>
        <w:tab w:val="num" w:pos="360"/>
      </w:tabs>
      <w:spacing w:before="80" w:after="160" w:line="259" w:lineRule="auto"/>
    </w:pPr>
    <w:rPr>
      <w:rFonts w:asciiTheme="minorHAnsi" w:hAnsiTheme="minorHAnsi"/>
      <w:color w:val="auto"/>
      <w:szCs w:val="22"/>
    </w:rPr>
  </w:style>
  <w:style w:type="paragraph" w:styleId="BalloonText">
    <w:name w:val="Balloon Text"/>
    <w:basedOn w:val="Normal"/>
    <w:link w:val="BalloonTextChar"/>
    <w:uiPriority w:val="99"/>
    <w:semiHidden/>
    <w:unhideWhenUsed/>
    <w:rsid w:val="00D3493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931"/>
    <w:rPr>
      <w:rFonts w:ascii="Segoe UI" w:hAnsi="Segoe UI" w:cs="Segoe UI"/>
      <w:sz w:val="18"/>
      <w:szCs w:val="18"/>
    </w:rPr>
  </w:style>
  <w:style w:type="character" w:styleId="UnresolvedMention">
    <w:name w:val="Unresolved Mention"/>
    <w:basedOn w:val="DefaultParagraphFont"/>
    <w:uiPriority w:val="99"/>
    <w:semiHidden/>
    <w:unhideWhenUsed/>
    <w:rsid w:val="002E36EB"/>
    <w:rPr>
      <w:color w:val="605E5C"/>
      <w:shd w:val="clear" w:color="auto" w:fill="E1DFDD"/>
    </w:rPr>
  </w:style>
  <w:style w:type="character" w:customStyle="1" w:styleId="normaltextrun">
    <w:name w:val="normaltextrun"/>
    <w:basedOn w:val="DefaultParagraphFont"/>
    <w:rsid w:val="00F321E8"/>
  </w:style>
  <w:style w:type="character" w:customStyle="1" w:styleId="eop">
    <w:name w:val="eop"/>
    <w:basedOn w:val="DefaultParagraphFont"/>
    <w:rsid w:val="00F32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4329">
      <w:bodyDiv w:val="1"/>
      <w:marLeft w:val="0"/>
      <w:marRight w:val="0"/>
      <w:marTop w:val="0"/>
      <w:marBottom w:val="0"/>
      <w:divBdr>
        <w:top w:val="none" w:sz="0" w:space="0" w:color="auto"/>
        <w:left w:val="none" w:sz="0" w:space="0" w:color="auto"/>
        <w:bottom w:val="none" w:sz="0" w:space="0" w:color="auto"/>
        <w:right w:val="none" w:sz="0" w:space="0" w:color="auto"/>
      </w:divBdr>
      <w:divsChild>
        <w:div w:id="165635647">
          <w:marLeft w:val="0"/>
          <w:marRight w:val="0"/>
          <w:marTop w:val="0"/>
          <w:marBottom w:val="0"/>
          <w:divBdr>
            <w:top w:val="none" w:sz="0" w:space="0" w:color="auto"/>
            <w:left w:val="none" w:sz="0" w:space="0" w:color="auto"/>
            <w:bottom w:val="none" w:sz="0" w:space="0" w:color="auto"/>
            <w:right w:val="none" w:sz="0" w:space="0" w:color="auto"/>
          </w:divBdr>
        </w:div>
        <w:div w:id="428939277">
          <w:marLeft w:val="0"/>
          <w:marRight w:val="0"/>
          <w:marTop w:val="0"/>
          <w:marBottom w:val="0"/>
          <w:divBdr>
            <w:top w:val="none" w:sz="0" w:space="0" w:color="auto"/>
            <w:left w:val="none" w:sz="0" w:space="0" w:color="auto"/>
            <w:bottom w:val="none" w:sz="0" w:space="0" w:color="auto"/>
            <w:right w:val="none" w:sz="0" w:space="0" w:color="auto"/>
          </w:divBdr>
        </w:div>
        <w:div w:id="433790746">
          <w:marLeft w:val="0"/>
          <w:marRight w:val="0"/>
          <w:marTop w:val="0"/>
          <w:marBottom w:val="0"/>
          <w:divBdr>
            <w:top w:val="none" w:sz="0" w:space="0" w:color="auto"/>
            <w:left w:val="none" w:sz="0" w:space="0" w:color="auto"/>
            <w:bottom w:val="none" w:sz="0" w:space="0" w:color="auto"/>
            <w:right w:val="none" w:sz="0" w:space="0" w:color="auto"/>
          </w:divBdr>
        </w:div>
        <w:div w:id="616715830">
          <w:marLeft w:val="0"/>
          <w:marRight w:val="0"/>
          <w:marTop w:val="0"/>
          <w:marBottom w:val="0"/>
          <w:divBdr>
            <w:top w:val="none" w:sz="0" w:space="0" w:color="auto"/>
            <w:left w:val="none" w:sz="0" w:space="0" w:color="auto"/>
            <w:bottom w:val="none" w:sz="0" w:space="0" w:color="auto"/>
            <w:right w:val="none" w:sz="0" w:space="0" w:color="auto"/>
          </w:divBdr>
        </w:div>
        <w:div w:id="619653293">
          <w:marLeft w:val="0"/>
          <w:marRight w:val="0"/>
          <w:marTop w:val="0"/>
          <w:marBottom w:val="0"/>
          <w:divBdr>
            <w:top w:val="none" w:sz="0" w:space="0" w:color="auto"/>
            <w:left w:val="none" w:sz="0" w:space="0" w:color="auto"/>
            <w:bottom w:val="none" w:sz="0" w:space="0" w:color="auto"/>
            <w:right w:val="none" w:sz="0" w:space="0" w:color="auto"/>
          </w:divBdr>
        </w:div>
        <w:div w:id="741373112">
          <w:marLeft w:val="0"/>
          <w:marRight w:val="0"/>
          <w:marTop w:val="0"/>
          <w:marBottom w:val="0"/>
          <w:divBdr>
            <w:top w:val="none" w:sz="0" w:space="0" w:color="auto"/>
            <w:left w:val="none" w:sz="0" w:space="0" w:color="auto"/>
            <w:bottom w:val="none" w:sz="0" w:space="0" w:color="auto"/>
            <w:right w:val="none" w:sz="0" w:space="0" w:color="auto"/>
          </w:divBdr>
        </w:div>
        <w:div w:id="790054458">
          <w:marLeft w:val="0"/>
          <w:marRight w:val="0"/>
          <w:marTop w:val="0"/>
          <w:marBottom w:val="0"/>
          <w:divBdr>
            <w:top w:val="none" w:sz="0" w:space="0" w:color="auto"/>
            <w:left w:val="none" w:sz="0" w:space="0" w:color="auto"/>
            <w:bottom w:val="none" w:sz="0" w:space="0" w:color="auto"/>
            <w:right w:val="none" w:sz="0" w:space="0" w:color="auto"/>
          </w:divBdr>
        </w:div>
        <w:div w:id="793864623">
          <w:marLeft w:val="0"/>
          <w:marRight w:val="0"/>
          <w:marTop w:val="0"/>
          <w:marBottom w:val="0"/>
          <w:divBdr>
            <w:top w:val="none" w:sz="0" w:space="0" w:color="auto"/>
            <w:left w:val="none" w:sz="0" w:space="0" w:color="auto"/>
            <w:bottom w:val="none" w:sz="0" w:space="0" w:color="auto"/>
            <w:right w:val="none" w:sz="0" w:space="0" w:color="auto"/>
          </w:divBdr>
        </w:div>
        <w:div w:id="862981953">
          <w:marLeft w:val="0"/>
          <w:marRight w:val="0"/>
          <w:marTop w:val="0"/>
          <w:marBottom w:val="0"/>
          <w:divBdr>
            <w:top w:val="none" w:sz="0" w:space="0" w:color="auto"/>
            <w:left w:val="none" w:sz="0" w:space="0" w:color="auto"/>
            <w:bottom w:val="none" w:sz="0" w:space="0" w:color="auto"/>
            <w:right w:val="none" w:sz="0" w:space="0" w:color="auto"/>
          </w:divBdr>
        </w:div>
        <w:div w:id="881984380">
          <w:marLeft w:val="0"/>
          <w:marRight w:val="0"/>
          <w:marTop w:val="0"/>
          <w:marBottom w:val="0"/>
          <w:divBdr>
            <w:top w:val="none" w:sz="0" w:space="0" w:color="auto"/>
            <w:left w:val="none" w:sz="0" w:space="0" w:color="auto"/>
            <w:bottom w:val="none" w:sz="0" w:space="0" w:color="auto"/>
            <w:right w:val="none" w:sz="0" w:space="0" w:color="auto"/>
          </w:divBdr>
        </w:div>
        <w:div w:id="929392435">
          <w:marLeft w:val="0"/>
          <w:marRight w:val="0"/>
          <w:marTop w:val="0"/>
          <w:marBottom w:val="0"/>
          <w:divBdr>
            <w:top w:val="none" w:sz="0" w:space="0" w:color="auto"/>
            <w:left w:val="none" w:sz="0" w:space="0" w:color="auto"/>
            <w:bottom w:val="none" w:sz="0" w:space="0" w:color="auto"/>
            <w:right w:val="none" w:sz="0" w:space="0" w:color="auto"/>
          </w:divBdr>
        </w:div>
        <w:div w:id="1022248532">
          <w:marLeft w:val="0"/>
          <w:marRight w:val="0"/>
          <w:marTop w:val="0"/>
          <w:marBottom w:val="0"/>
          <w:divBdr>
            <w:top w:val="none" w:sz="0" w:space="0" w:color="auto"/>
            <w:left w:val="none" w:sz="0" w:space="0" w:color="auto"/>
            <w:bottom w:val="none" w:sz="0" w:space="0" w:color="auto"/>
            <w:right w:val="none" w:sz="0" w:space="0" w:color="auto"/>
          </w:divBdr>
        </w:div>
        <w:div w:id="1230994951">
          <w:marLeft w:val="0"/>
          <w:marRight w:val="0"/>
          <w:marTop w:val="0"/>
          <w:marBottom w:val="0"/>
          <w:divBdr>
            <w:top w:val="none" w:sz="0" w:space="0" w:color="auto"/>
            <w:left w:val="none" w:sz="0" w:space="0" w:color="auto"/>
            <w:bottom w:val="none" w:sz="0" w:space="0" w:color="auto"/>
            <w:right w:val="none" w:sz="0" w:space="0" w:color="auto"/>
          </w:divBdr>
          <w:divsChild>
            <w:div w:id="237062632">
              <w:marLeft w:val="0"/>
              <w:marRight w:val="0"/>
              <w:marTop w:val="0"/>
              <w:marBottom w:val="0"/>
              <w:divBdr>
                <w:top w:val="none" w:sz="0" w:space="0" w:color="auto"/>
                <w:left w:val="none" w:sz="0" w:space="0" w:color="auto"/>
                <w:bottom w:val="none" w:sz="0" w:space="0" w:color="auto"/>
                <w:right w:val="none" w:sz="0" w:space="0" w:color="auto"/>
              </w:divBdr>
            </w:div>
            <w:div w:id="639921134">
              <w:marLeft w:val="0"/>
              <w:marRight w:val="0"/>
              <w:marTop w:val="0"/>
              <w:marBottom w:val="0"/>
              <w:divBdr>
                <w:top w:val="none" w:sz="0" w:space="0" w:color="auto"/>
                <w:left w:val="none" w:sz="0" w:space="0" w:color="auto"/>
                <w:bottom w:val="none" w:sz="0" w:space="0" w:color="auto"/>
                <w:right w:val="none" w:sz="0" w:space="0" w:color="auto"/>
              </w:divBdr>
            </w:div>
            <w:div w:id="669910829">
              <w:marLeft w:val="0"/>
              <w:marRight w:val="0"/>
              <w:marTop w:val="0"/>
              <w:marBottom w:val="0"/>
              <w:divBdr>
                <w:top w:val="none" w:sz="0" w:space="0" w:color="auto"/>
                <w:left w:val="none" w:sz="0" w:space="0" w:color="auto"/>
                <w:bottom w:val="none" w:sz="0" w:space="0" w:color="auto"/>
                <w:right w:val="none" w:sz="0" w:space="0" w:color="auto"/>
              </w:divBdr>
            </w:div>
            <w:div w:id="723405603">
              <w:marLeft w:val="0"/>
              <w:marRight w:val="0"/>
              <w:marTop w:val="0"/>
              <w:marBottom w:val="0"/>
              <w:divBdr>
                <w:top w:val="none" w:sz="0" w:space="0" w:color="auto"/>
                <w:left w:val="none" w:sz="0" w:space="0" w:color="auto"/>
                <w:bottom w:val="none" w:sz="0" w:space="0" w:color="auto"/>
                <w:right w:val="none" w:sz="0" w:space="0" w:color="auto"/>
              </w:divBdr>
            </w:div>
            <w:div w:id="754207334">
              <w:marLeft w:val="0"/>
              <w:marRight w:val="0"/>
              <w:marTop w:val="0"/>
              <w:marBottom w:val="0"/>
              <w:divBdr>
                <w:top w:val="none" w:sz="0" w:space="0" w:color="auto"/>
                <w:left w:val="none" w:sz="0" w:space="0" w:color="auto"/>
                <w:bottom w:val="none" w:sz="0" w:space="0" w:color="auto"/>
                <w:right w:val="none" w:sz="0" w:space="0" w:color="auto"/>
              </w:divBdr>
            </w:div>
            <w:div w:id="1471628088">
              <w:marLeft w:val="0"/>
              <w:marRight w:val="0"/>
              <w:marTop w:val="0"/>
              <w:marBottom w:val="0"/>
              <w:divBdr>
                <w:top w:val="none" w:sz="0" w:space="0" w:color="auto"/>
                <w:left w:val="none" w:sz="0" w:space="0" w:color="auto"/>
                <w:bottom w:val="none" w:sz="0" w:space="0" w:color="auto"/>
                <w:right w:val="none" w:sz="0" w:space="0" w:color="auto"/>
              </w:divBdr>
            </w:div>
            <w:div w:id="1505631623">
              <w:marLeft w:val="0"/>
              <w:marRight w:val="0"/>
              <w:marTop w:val="0"/>
              <w:marBottom w:val="0"/>
              <w:divBdr>
                <w:top w:val="none" w:sz="0" w:space="0" w:color="auto"/>
                <w:left w:val="none" w:sz="0" w:space="0" w:color="auto"/>
                <w:bottom w:val="none" w:sz="0" w:space="0" w:color="auto"/>
                <w:right w:val="none" w:sz="0" w:space="0" w:color="auto"/>
              </w:divBdr>
            </w:div>
            <w:div w:id="1526600281">
              <w:marLeft w:val="0"/>
              <w:marRight w:val="0"/>
              <w:marTop w:val="0"/>
              <w:marBottom w:val="0"/>
              <w:divBdr>
                <w:top w:val="none" w:sz="0" w:space="0" w:color="auto"/>
                <w:left w:val="none" w:sz="0" w:space="0" w:color="auto"/>
                <w:bottom w:val="none" w:sz="0" w:space="0" w:color="auto"/>
                <w:right w:val="none" w:sz="0" w:space="0" w:color="auto"/>
              </w:divBdr>
            </w:div>
            <w:div w:id="1539928840">
              <w:marLeft w:val="0"/>
              <w:marRight w:val="0"/>
              <w:marTop w:val="0"/>
              <w:marBottom w:val="0"/>
              <w:divBdr>
                <w:top w:val="none" w:sz="0" w:space="0" w:color="auto"/>
                <w:left w:val="none" w:sz="0" w:space="0" w:color="auto"/>
                <w:bottom w:val="none" w:sz="0" w:space="0" w:color="auto"/>
                <w:right w:val="none" w:sz="0" w:space="0" w:color="auto"/>
              </w:divBdr>
            </w:div>
            <w:div w:id="1682195923">
              <w:marLeft w:val="0"/>
              <w:marRight w:val="0"/>
              <w:marTop w:val="0"/>
              <w:marBottom w:val="0"/>
              <w:divBdr>
                <w:top w:val="none" w:sz="0" w:space="0" w:color="auto"/>
                <w:left w:val="none" w:sz="0" w:space="0" w:color="auto"/>
                <w:bottom w:val="none" w:sz="0" w:space="0" w:color="auto"/>
                <w:right w:val="none" w:sz="0" w:space="0" w:color="auto"/>
              </w:divBdr>
            </w:div>
            <w:div w:id="1758549939">
              <w:marLeft w:val="0"/>
              <w:marRight w:val="0"/>
              <w:marTop w:val="0"/>
              <w:marBottom w:val="0"/>
              <w:divBdr>
                <w:top w:val="none" w:sz="0" w:space="0" w:color="auto"/>
                <w:left w:val="none" w:sz="0" w:space="0" w:color="auto"/>
                <w:bottom w:val="none" w:sz="0" w:space="0" w:color="auto"/>
                <w:right w:val="none" w:sz="0" w:space="0" w:color="auto"/>
              </w:divBdr>
            </w:div>
          </w:divsChild>
        </w:div>
        <w:div w:id="1703936818">
          <w:marLeft w:val="0"/>
          <w:marRight w:val="0"/>
          <w:marTop w:val="0"/>
          <w:marBottom w:val="0"/>
          <w:divBdr>
            <w:top w:val="none" w:sz="0" w:space="0" w:color="auto"/>
            <w:left w:val="none" w:sz="0" w:space="0" w:color="auto"/>
            <w:bottom w:val="none" w:sz="0" w:space="0" w:color="auto"/>
            <w:right w:val="none" w:sz="0" w:space="0" w:color="auto"/>
          </w:divBdr>
        </w:div>
        <w:div w:id="1868639787">
          <w:marLeft w:val="0"/>
          <w:marRight w:val="0"/>
          <w:marTop w:val="0"/>
          <w:marBottom w:val="0"/>
          <w:divBdr>
            <w:top w:val="none" w:sz="0" w:space="0" w:color="auto"/>
            <w:left w:val="none" w:sz="0" w:space="0" w:color="auto"/>
            <w:bottom w:val="none" w:sz="0" w:space="0" w:color="auto"/>
            <w:right w:val="none" w:sz="0" w:space="0" w:color="auto"/>
          </w:divBdr>
        </w:div>
      </w:divsChild>
    </w:div>
    <w:div w:id="384958760">
      <w:bodyDiv w:val="1"/>
      <w:marLeft w:val="0"/>
      <w:marRight w:val="0"/>
      <w:marTop w:val="0"/>
      <w:marBottom w:val="0"/>
      <w:divBdr>
        <w:top w:val="none" w:sz="0" w:space="0" w:color="auto"/>
        <w:left w:val="none" w:sz="0" w:space="0" w:color="auto"/>
        <w:bottom w:val="none" w:sz="0" w:space="0" w:color="auto"/>
        <w:right w:val="none" w:sz="0" w:space="0" w:color="auto"/>
      </w:divBdr>
    </w:div>
    <w:div w:id="427847440">
      <w:bodyDiv w:val="1"/>
      <w:marLeft w:val="0"/>
      <w:marRight w:val="0"/>
      <w:marTop w:val="0"/>
      <w:marBottom w:val="0"/>
      <w:divBdr>
        <w:top w:val="none" w:sz="0" w:space="0" w:color="auto"/>
        <w:left w:val="none" w:sz="0" w:space="0" w:color="auto"/>
        <w:bottom w:val="none" w:sz="0" w:space="0" w:color="auto"/>
        <w:right w:val="none" w:sz="0" w:space="0" w:color="auto"/>
      </w:divBdr>
    </w:div>
    <w:div w:id="443118461">
      <w:bodyDiv w:val="1"/>
      <w:marLeft w:val="0"/>
      <w:marRight w:val="0"/>
      <w:marTop w:val="0"/>
      <w:marBottom w:val="0"/>
      <w:divBdr>
        <w:top w:val="none" w:sz="0" w:space="0" w:color="auto"/>
        <w:left w:val="none" w:sz="0" w:space="0" w:color="auto"/>
        <w:bottom w:val="none" w:sz="0" w:space="0" w:color="auto"/>
        <w:right w:val="none" w:sz="0" w:space="0" w:color="auto"/>
      </w:divBdr>
    </w:div>
    <w:div w:id="461465326">
      <w:bodyDiv w:val="1"/>
      <w:marLeft w:val="0"/>
      <w:marRight w:val="0"/>
      <w:marTop w:val="0"/>
      <w:marBottom w:val="0"/>
      <w:divBdr>
        <w:top w:val="none" w:sz="0" w:space="0" w:color="auto"/>
        <w:left w:val="none" w:sz="0" w:space="0" w:color="auto"/>
        <w:bottom w:val="none" w:sz="0" w:space="0" w:color="auto"/>
        <w:right w:val="none" w:sz="0" w:space="0" w:color="auto"/>
      </w:divBdr>
    </w:div>
    <w:div w:id="600995363">
      <w:bodyDiv w:val="1"/>
      <w:marLeft w:val="0"/>
      <w:marRight w:val="0"/>
      <w:marTop w:val="0"/>
      <w:marBottom w:val="0"/>
      <w:divBdr>
        <w:top w:val="none" w:sz="0" w:space="0" w:color="auto"/>
        <w:left w:val="none" w:sz="0" w:space="0" w:color="auto"/>
        <w:bottom w:val="none" w:sz="0" w:space="0" w:color="auto"/>
        <w:right w:val="none" w:sz="0" w:space="0" w:color="auto"/>
      </w:divBdr>
    </w:div>
    <w:div w:id="621035922">
      <w:bodyDiv w:val="1"/>
      <w:marLeft w:val="0"/>
      <w:marRight w:val="0"/>
      <w:marTop w:val="0"/>
      <w:marBottom w:val="0"/>
      <w:divBdr>
        <w:top w:val="none" w:sz="0" w:space="0" w:color="auto"/>
        <w:left w:val="none" w:sz="0" w:space="0" w:color="auto"/>
        <w:bottom w:val="none" w:sz="0" w:space="0" w:color="auto"/>
        <w:right w:val="none" w:sz="0" w:space="0" w:color="auto"/>
      </w:divBdr>
    </w:div>
    <w:div w:id="677970763">
      <w:bodyDiv w:val="1"/>
      <w:marLeft w:val="0"/>
      <w:marRight w:val="0"/>
      <w:marTop w:val="0"/>
      <w:marBottom w:val="0"/>
      <w:divBdr>
        <w:top w:val="none" w:sz="0" w:space="0" w:color="auto"/>
        <w:left w:val="none" w:sz="0" w:space="0" w:color="auto"/>
        <w:bottom w:val="none" w:sz="0" w:space="0" w:color="auto"/>
        <w:right w:val="none" w:sz="0" w:space="0" w:color="auto"/>
      </w:divBdr>
    </w:div>
    <w:div w:id="723721952">
      <w:bodyDiv w:val="1"/>
      <w:marLeft w:val="0"/>
      <w:marRight w:val="0"/>
      <w:marTop w:val="0"/>
      <w:marBottom w:val="0"/>
      <w:divBdr>
        <w:top w:val="none" w:sz="0" w:space="0" w:color="auto"/>
        <w:left w:val="none" w:sz="0" w:space="0" w:color="auto"/>
        <w:bottom w:val="none" w:sz="0" w:space="0" w:color="auto"/>
        <w:right w:val="none" w:sz="0" w:space="0" w:color="auto"/>
      </w:divBdr>
    </w:div>
    <w:div w:id="875236642">
      <w:bodyDiv w:val="1"/>
      <w:marLeft w:val="0"/>
      <w:marRight w:val="0"/>
      <w:marTop w:val="0"/>
      <w:marBottom w:val="0"/>
      <w:divBdr>
        <w:top w:val="none" w:sz="0" w:space="0" w:color="auto"/>
        <w:left w:val="none" w:sz="0" w:space="0" w:color="auto"/>
        <w:bottom w:val="none" w:sz="0" w:space="0" w:color="auto"/>
        <w:right w:val="none" w:sz="0" w:space="0" w:color="auto"/>
      </w:divBdr>
    </w:div>
    <w:div w:id="897394893">
      <w:bodyDiv w:val="1"/>
      <w:marLeft w:val="0"/>
      <w:marRight w:val="0"/>
      <w:marTop w:val="0"/>
      <w:marBottom w:val="0"/>
      <w:divBdr>
        <w:top w:val="none" w:sz="0" w:space="0" w:color="auto"/>
        <w:left w:val="none" w:sz="0" w:space="0" w:color="auto"/>
        <w:bottom w:val="none" w:sz="0" w:space="0" w:color="auto"/>
        <w:right w:val="none" w:sz="0" w:space="0" w:color="auto"/>
      </w:divBdr>
    </w:div>
    <w:div w:id="924268725">
      <w:bodyDiv w:val="1"/>
      <w:marLeft w:val="0"/>
      <w:marRight w:val="0"/>
      <w:marTop w:val="0"/>
      <w:marBottom w:val="0"/>
      <w:divBdr>
        <w:top w:val="none" w:sz="0" w:space="0" w:color="auto"/>
        <w:left w:val="none" w:sz="0" w:space="0" w:color="auto"/>
        <w:bottom w:val="none" w:sz="0" w:space="0" w:color="auto"/>
        <w:right w:val="none" w:sz="0" w:space="0" w:color="auto"/>
      </w:divBdr>
    </w:div>
    <w:div w:id="939070973">
      <w:bodyDiv w:val="1"/>
      <w:marLeft w:val="0"/>
      <w:marRight w:val="0"/>
      <w:marTop w:val="0"/>
      <w:marBottom w:val="0"/>
      <w:divBdr>
        <w:top w:val="none" w:sz="0" w:space="0" w:color="auto"/>
        <w:left w:val="none" w:sz="0" w:space="0" w:color="auto"/>
        <w:bottom w:val="none" w:sz="0" w:space="0" w:color="auto"/>
        <w:right w:val="none" w:sz="0" w:space="0" w:color="auto"/>
      </w:divBdr>
    </w:div>
    <w:div w:id="1121415963">
      <w:bodyDiv w:val="1"/>
      <w:marLeft w:val="0"/>
      <w:marRight w:val="0"/>
      <w:marTop w:val="0"/>
      <w:marBottom w:val="0"/>
      <w:divBdr>
        <w:top w:val="none" w:sz="0" w:space="0" w:color="auto"/>
        <w:left w:val="none" w:sz="0" w:space="0" w:color="auto"/>
        <w:bottom w:val="none" w:sz="0" w:space="0" w:color="auto"/>
        <w:right w:val="none" w:sz="0" w:space="0" w:color="auto"/>
      </w:divBdr>
    </w:div>
    <w:div w:id="1344045051">
      <w:bodyDiv w:val="1"/>
      <w:marLeft w:val="0"/>
      <w:marRight w:val="0"/>
      <w:marTop w:val="0"/>
      <w:marBottom w:val="0"/>
      <w:divBdr>
        <w:top w:val="none" w:sz="0" w:space="0" w:color="auto"/>
        <w:left w:val="none" w:sz="0" w:space="0" w:color="auto"/>
        <w:bottom w:val="none" w:sz="0" w:space="0" w:color="auto"/>
        <w:right w:val="none" w:sz="0" w:space="0" w:color="auto"/>
      </w:divBdr>
    </w:div>
    <w:div w:id="1395280529">
      <w:bodyDiv w:val="1"/>
      <w:marLeft w:val="0"/>
      <w:marRight w:val="0"/>
      <w:marTop w:val="0"/>
      <w:marBottom w:val="0"/>
      <w:divBdr>
        <w:top w:val="none" w:sz="0" w:space="0" w:color="auto"/>
        <w:left w:val="none" w:sz="0" w:space="0" w:color="auto"/>
        <w:bottom w:val="none" w:sz="0" w:space="0" w:color="auto"/>
        <w:right w:val="none" w:sz="0" w:space="0" w:color="auto"/>
      </w:divBdr>
    </w:div>
    <w:div w:id="1422485586">
      <w:bodyDiv w:val="1"/>
      <w:marLeft w:val="0"/>
      <w:marRight w:val="0"/>
      <w:marTop w:val="0"/>
      <w:marBottom w:val="0"/>
      <w:divBdr>
        <w:top w:val="none" w:sz="0" w:space="0" w:color="auto"/>
        <w:left w:val="none" w:sz="0" w:space="0" w:color="auto"/>
        <w:bottom w:val="none" w:sz="0" w:space="0" w:color="auto"/>
        <w:right w:val="none" w:sz="0" w:space="0" w:color="auto"/>
      </w:divBdr>
    </w:div>
    <w:div w:id="1576434565">
      <w:bodyDiv w:val="1"/>
      <w:marLeft w:val="0"/>
      <w:marRight w:val="0"/>
      <w:marTop w:val="0"/>
      <w:marBottom w:val="0"/>
      <w:divBdr>
        <w:top w:val="none" w:sz="0" w:space="0" w:color="auto"/>
        <w:left w:val="none" w:sz="0" w:space="0" w:color="auto"/>
        <w:bottom w:val="none" w:sz="0" w:space="0" w:color="auto"/>
        <w:right w:val="none" w:sz="0" w:space="0" w:color="auto"/>
      </w:divBdr>
    </w:div>
    <w:div w:id="1594361217">
      <w:bodyDiv w:val="1"/>
      <w:marLeft w:val="0"/>
      <w:marRight w:val="0"/>
      <w:marTop w:val="0"/>
      <w:marBottom w:val="0"/>
      <w:divBdr>
        <w:top w:val="none" w:sz="0" w:space="0" w:color="auto"/>
        <w:left w:val="none" w:sz="0" w:space="0" w:color="auto"/>
        <w:bottom w:val="none" w:sz="0" w:space="0" w:color="auto"/>
        <w:right w:val="none" w:sz="0" w:space="0" w:color="auto"/>
      </w:divBdr>
    </w:div>
    <w:div w:id="1649674298">
      <w:bodyDiv w:val="1"/>
      <w:marLeft w:val="0"/>
      <w:marRight w:val="0"/>
      <w:marTop w:val="0"/>
      <w:marBottom w:val="0"/>
      <w:divBdr>
        <w:top w:val="none" w:sz="0" w:space="0" w:color="auto"/>
        <w:left w:val="none" w:sz="0" w:space="0" w:color="auto"/>
        <w:bottom w:val="none" w:sz="0" w:space="0" w:color="auto"/>
        <w:right w:val="none" w:sz="0" w:space="0" w:color="auto"/>
      </w:divBdr>
    </w:div>
    <w:div w:id="1696271721">
      <w:bodyDiv w:val="1"/>
      <w:marLeft w:val="0"/>
      <w:marRight w:val="0"/>
      <w:marTop w:val="0"/>
      <w:marBottom w:val="0"/>
      <w:divBdr>
        <w:top w:val="none" w:sz="0" w:space="0" w:color="auto"/>
        <w:left w:val="none" w:sz="0" w:space="0" w:color="auto"/>
        <w:bottom w:val="none" w:sz="0" w:space="0" w:color="auto"/>
        <w:right w:val="none" w:sz="0" w:space="0" w:color="auto"/>
      </w:divBdr>
    </w:div>
    <w:div w:id="1698383217">
      <w:bodyDiv w:val="1"/>
      <w:marLeft w:val="0"/>
      <w:marRight w:val="0"/>
      <w:marTop w:val="0"/>
      <w:marBottom w:val="0"/>
      <w:divBdr>
        <w:top w:val="none" w:sz="0" w:space="0" w:color="auto"/>
        <w:left w:val="none" w:sz="0" w:space="0" w:color="auto"/>
        <w:bottom w:val="none" w:sz="0" w:space="0" w:color="auto"/>
        <w:right w:val="none" w:sz="0" w:space="0" w:color="auto"/>
      </w:divBdr>
    </w:div>
    <w:div w:id="1836535240">
      <w:bodyDiv w:val="1"/>
      <w:marLeft w:val="0"/>
      <w:marRight w:val="0"/>
      <w:marTop w:val="0"/>
      <w:marBottom w:val="0"/>
      <w:divBdr>
        <w:top w:val="none" w:sz="0" w:space="0" w:color="auto"/>
        <w:left w:val="none" w:sz="0" w:space="0" w:color="auto"/>
        <w:bottom w:val="none" w:sz="0" w:space="0" w:color="auto"/>
        <w:right w:val="none" w:sz="0" w:space="0" w:color="auto"/>
      </w:divBdr>
    </w:div>
    <w:div w:id="195929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nationalredress.gov.au/" TargetMode="External"/><Relationship Id="rId26" Type="http://schemas.openxmlformats.org/officeDocument/2006/relationships/hyperlink" Target="https://www.legislation.gov.au/F2024L00854/asmade/text" TargetMode="External"/><Relationship Id="rId39" Type="http://schemas.openxmlformats.org/officeDocument/2006/relationships/hyperlink" Target="https://www.apsc.gov.au/publication/aps-values-and-code-conduct-practice/section-5-conflict-interest" TargetMode="External"/><Relationship Id="rId21" Type="http://schemas.openxmlformats.org/officeDocument/2006/relationships/hyperlink" Target="https://www.ato.gov.au/businesses-and-organisations/preparing-lodging-and-paying/reports-and-returns/taxable-payments-annual-report" TargetMode="External"/><Relationship Id="rId34" Type="http://schemas.openxmlformats.org/officeDocument/2006/relationships/hyperlink" Target="https://www.servicesaustralia.gov.au/mymedicare-incentives?context=20" TargetMode="External"/><Relationship Id="rId42" Type="http://schemas.openxmlformats.org/officeDocument/2006/relationships/hyperlink" Target="https://www.apsc.gov.au/working-aps/integrity/integrity-resources/declaration-interests" TargetMode="External"/><Relationship Id="rId47" Type="http://schemas.openxmlformats.org/officeDocument/2006/relationships/hyperlink" Target="https://www.digitalhealth.gov.au/about-us/policies-privacy-and-reporting/privacy-policy" TargetMode="External"/><Relationship Id="rId50" Type="http://schemas.openxmlformats.org/officeDocument/2006/relationships/hyperlink" Target="https://www.servicesaustralia.gov.au/organisation-register-for-general-practitioners-gps-and-health-professionals-privacy-notice?context=22" TargetMode="External"/><Relationship Id="rId55" Type="http://schemas.openxmlformats.org/officeDocument/2006/relationships/hyperlink" Target="https://www.legislation.gov.au/F2024L00854/asmade/text"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hildsafety.gov.au/resources/commonwealth-child-safe-framework-policy-document" TargetMode="External"/><Relationship Id="rId29" Type="http://schemas.openxmlformats.org/officeDocument/2006/relationships/hyperlink" Target="https://www.legislation.gov.au/C2022A00088/latest/text" TargetMode="External"/><Relationship Id="rId41" Type="http://schemas.openxmlformats.org/officeDocument/2006/relationships/hyperlink" Target="https://www.legislation.gov.au/Series/C2004A00538" TargetMode="External"/><Relationship Id="rId54" Type="http://schemas.openxmlformats.org/officeDocument/2006/relationships/hyperlink" Target="mailto:foi@health.gov.au"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gov.au/our-work/mymedicare" TargetMode="External"/><Relationship Id="rId32" Type="http://schemas.openxmlformats.org/officeDocument/2006/relationships/hyperlink" Target="mailto:MyMedicare@Health.gov.au" TargetMode="External"/><Relationship Id="rId37" Type="http://schemas.openxmlformats.org/officeDocument/2006/relationships/hyperlink" Target="mailto:ombudsman@ombudsman.gov.au" TargetMode="External"/><Relationship Id="rId40" Type="http://schemas.openxmlformats.org/officeDocument/2006/relationships/hyperlink" Target="http://www8.austlii.edu.au/cgi-bin/viewdoc/au/legis/cth/consol_act/psa1999152/s13.html" TargetMode="External"/><Relationship Id="rId45" Type="http://schemas.openxmlformats.org/officeDocument/2006/relationships/hyperlink" Target="https://www.servicesaustralia.gov.au/your-right-to-privacy?context=1" TargetMode="External"/><Relationship Id="rId53" Type="http://schemas.openxmlformats.org/officeDocument/2006/relationships/hyperlink" Target="https://www.legislation.gov.au/Series/C2004A02562" TargetMode="External"/><Relationship Id="rId58" Type="http://schemas.openxmlformats.org/officeDocument/2006/relationships/hyperlink" Target="https://www.nationalredress.gov.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ealth.gov.au/resources/publications/general-practice-in-aged-care-incentive-program-guidelines-2024?language=en" TargetMode="External"/><Relationship Id="rId28" Type="http://schemas.openxmlformats.org/officeDocument/2006/relationships/hyperlink" Target="https://www.health.gov.au/our-work/supporting-living-organ-donors-program" TargetMode="External"/><Relationship Id="rId36" Type="http://schemas.openxmlformats.org/officeDocument/2006/relationships/hyperlink" Target="https://www.ombudsman.gov.au/" TargetMode="External"/><Relationship Id="rId49" Type="http://schemas.openxmlformats.org/officeDocument/2006/relationships/hyperlink" Target="https://www.health.gov.au/sites/default/files/2024-04/mymedicare-privacy-notice_0.pdf" TargetMode="External"/><Relationship Id="rId57" Type="http://schemas.openxmlformats.org/officeDocument/2006/relationships/hyperlink" Target="https://www.finance.gov.au/government/managing-commonwealth-resources/managing-money-property/managing-money/other-consolidated-revenue-fund-crf-money"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gov.au/resources/publications/mymedicare-program-guidelines?language=en" TargetMode="External"/><Relationship Id="rId31" Type="http://schemas.openxmlformats.org/officeDocument/2006/relationships/hyperlink" Target="https://www.nacc.gov.au/resource-centre/nacc-fact-sheets" TargetMode="External"/><Relationship Id="rId44" Type="http://schemas.openxmlformats.org/officeDocument/2006/relationships/hyperlink" Target="https://www.oaic.gov.au/privacy-law/privacy-act/australian-privacy-principles" TargetMode="External"/><Relationship Id="rId52" Type="http://schemas.openxmlformats.org/officeDocument/2006/relationships/hyperlink" Target="https://www.oaic.gov.au/privacy/australian-privacy-principles" TargetMode="External"/><Relationship Id="rId60" Type="http://schemas.openxmlformats.org/officeDocument/2006/relationships/hyperlink" Target="https://www.finance.gov.au/government/managing-commonwealth-resources/pgpa-legislation-associated-instruments-and-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grants.gov.au/" TargetMode="External"/><Relationship Id="rId27" Type="http://schemas.openxmlformats.org/officeDocument/2006/relationships/hyperlink" Target="https://www.grants.gov.au/" TargetMode="External"/><Relationship Id="rId30" Type="http://schemas.openxmlformats.org/officeDocument/2006/relationships/hyperlink" Target="https://www.legislation.gov.au/C2022A00088/latest/text" TargetMode="External"/><Relationship Id="rId35" Type="http://schemas.openxmlformats.org/officeDocument/2006/relationships/hyperlink" Target="https://www.health.gov.au/about-us/what-we-do/grants-and-tenders?utm_source=health.gov.au&amp;utm_medium=callout-auto-custom&amp;utm_campaign=digital_transformation" TargetMode="External"/><Relationship Id="rId43" Type="http://schemas.openxmlformats.org/officeDocument/2006/relationships/hyperlink" Target="https://www.legislation.gov.au/C2004A03712/latest/versions" TargetMode="External"/><Relationship Id="rId48" Type="http://schemas.openxmlformats.org/officeDocument/2006/relationships/hyperlink" Target="https://www.health.gov.au/resources/publications/mymedicare-privacy-notice?language=en" TargetMode="External"/><Relationship Id="rId56" Type="http://schemas.openxmlformats.org/officeDocument/2006/relationships/hyperlink" Target="https://www.childsafety.gov.au/resources/commonwealth-child-safe-framework-policy-document" TargetMode="External"/><Relationship Id="rId8" Type="http://schemas.openxmlformats.org/officeDocument/2006/relationships/webSettings" Target="webSettings.xml"/><Relationship Id="rId51" Type="http://schemas.openxmlformats.org/officeDocument/2006/relationships/hyperlink" Target="https://www.legislation.gov.au/Series/C2004A03712"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health.gov.au/our-work/mymedicare/practices-and-providers" TargetMode="External"/><Relationship Id="rId25" Type="http://schemas.openxmlformats.org/officeDocument/2006/relationships/hyperlink" Target="http://www8.austlii.edu.au/cgi-bin/viewdoc/au/legis/cth/consol_act/cca1995115/sch1.html" TargetMode="External"/><Relationship Id="rId33" Type="http://schemas.openxmlformats.org/officeDocument/2006/relationships/hyperlink" Target="https://www.health.gov.au/our-work/gpaci" TargetMode="External"/><Relationship Id="rId38" Type="http://schemas.openxmlformats.org/officeDocument/2006/relationships/hyperlink" Target="https://www.ombudsman.gov.au/" TargetMode="External"/><Relationship Id="rId46" Type="http://schemas.openxmlformats.org/officeDocument/2006/relationships/hyperlink" Target="https://www.dva.gov.au/about/overview/legal-resources/dva-privacy-policy" TargetMode="External"/><Relationship Id="rId59" Type="http://schemas.openxmlformats.org/officeDocument/2006/relationships/hyperlink" Target="https://archive.budget.gov.au/index.ht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servicesaustralia.gov.au/ip034" TargetMode="External"/><Relationship Id="rId2" Type="http://schemas.openxmlformats.org/officeDocument/2006/relationships/hyperlink" Target="https://www.servicesaustralia.gov.au/general-practice-aged-care-incentive?context=20" TargetMode="External"/><Relationship Id="rId1" Type="http://schemas.openxmlformats.org/officeDocument/2006/relationships/hyperlink" Target="https://www.health.gov.au/our-work/gpac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1169D5C2A3DC4497ABEA1DD5312E77"/>
        <w:category>
          <w:name w:val="General"/>
          <w:gallery w:val="placeholder"/>
        </w:category>
        <w:types>
          <w:type w:val="bbPlcHdr"/>
        </w:types>
        <w:behaviors>
          <w:behavior w:val="content"/>
        </w:behaviors>
        <w:guid w:val="{A62B231F-8E91-1B47-9D00-9007B5C77FEA}"/>
      </w:docPartPr>
      <w:docPartBody>
        <w:p w:rsidR="007572C0" w:rsidRDefault="00962544">
          <w:pPr>
            <w:pStyle w:val="F71169D5C2A3DC4497ABEA1DD5312E77"/>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47F"/>
    <w:rsid w:val="00076024"/>
    <w:rsid w:val="00085A55"/>
    <w:rsid w:val="000A75C6"/>
    <w:rsid w:val="00154F23"/>
    <w:rsid w:val="0018180F"/>
    <w:rsid w:val="00192F53"/>
    <w:rsid w:val="001A282B"/>
    <w:rsid w:val="001B3980"/>
    <w:rsid w:val="001B688A"/>
    <w:rsid w:val="001C1FDA"/>
    <w:rsid w:val="002507AA"/>
    <w:rsid w:val="00253DB2"/>
    <w:rsid w:val="002B42BD"/>
    <w:rsid w:val="003361B3"/>
    <w:rsid w:val="00345969"/>
    <w:rsid w:val="00347D36"/>
    <w:rsid w:val="0036718F"/>
    <w:rsid w:val="00382080"/>
    <w:rsid w:val="003C73A4"/>
    <w:rsid w:val="003F01CD"/>
    <w:rsid w:val="003F6C32"/>
    <w:rsid w:val="00407F81"/>
    <w:rsid w:val="00480642"/>
    <w:rsid w:val="0048168A"/>
    <w:rsid w:val="004926C9"/>
    <w:rsid w:val="004D2072"/>
    <w:rsid w:val="00510FF7"/>
    <w:rsid w:val="0052544E"/>
    <w:rsid w:val="00526078"/>
    <w:rsid w:val="00526204"/>
    <w:rsid w:val="00537CBE"/>
    <w:rsid w:val="00540754"/>
    <w:rsid w:val="005520B3"/>
    <w:rsid w:val="00594BAB"/>
    <w:rsid w:val="005A7873"/>
    <w:rsid w:val="005D097F"/>
    <w:rsid w:val="00601B4C"/>
    <w:rsid w:val="006068F1"/>
    <w:rsid w:val="00623C3B"/>
    <w:rsid w:val="006325EB"/>
    <w:rsid w:val="006415A1"/>
    <w:rsid w:val="00644380"/>
    <w:rsid w:val="006528D6"/>
    <w:rsid w:val="0066697A"/>
    <w:rsid w:val="00667708"/>
    <w:rsid w:val="006A0C49"/>
    <w:rsid w:val="006B301D"/>
    <w:rsid w:val="007572C0"/>
    <w:rsid w:val="00771A17"/>
    <w:rsid w:val="00792ADB"/>
    <w:rsid w:val="007A7D32"/>
    <w:rsid w:val="007D25A6"/>
    <w:rsid w:val="007F147F"/>
    <w:rsid w:val="00800002"/>
    <w:rsid w:val="00805F40"/>
    <w:rsid w:val="0086735C"/>
    <w:rsid w:val="00875EE0"/>
    <w:rsid w:val="00881ED6"/>
    <w:rsid w:val="008A211C"/>
    <w:rsid w:val="008A4BFA"/>
    <w:rsid w:val="008B5516"/>
    <w:rsid w:val="008F47E0"/>
    <w:rsid w:val="00923AF6"/>
    <w:rsid w:val="00944692"/>
    <w:rsid w:val="009624A4"/>
    <w:rsid w:val="00962544"/>
    <w:rsid w:val="009738A8"/>
    <w:rsid w:val="00975E3D"/>
    <w:rsid w:val="00976ED1"/>
    <w:rsid w:val="0097729C"/>
    <w:rsid w:val="00981EFC"/>
    <w:rsid w:val="009B1328"/>
    <w:rsid w:val="009C2416"/>
    <w:rsid w:val="009C7843"/>
    <w:rsid w:val="009E3193"/>
    <w:rsid w:val="009F3830"/>
    <w:rsid w:val="00A17BC6"/>
    <w:rsid w:val="00A249CB"/>
    <w:rsid w:val="00A34973"/>
    <w:rsid w:val="00A7583E"/>
    <w:rsid w:val="00A86899"/>
    <w:rsid w:val="00A9141E"/>
    <w:rsid w:val="00A93C4E"/>
    <w:rsid w:val="00AA5FA0"/>
    <w:rsid w:val="00AB1B36"/>
    <w:rsid w:val="00AD2F0A"/>
    <w:rsid w:val="00B25633"/>
    <w:rsid w:val="00B9135C"/>
    <w:rsid w:val="00BA4333"/>
    <w:rsid w:val="00BD6FE5"/>
    <w:rsid w:val="00BE479A"/>
    <w:rsid w:val="00C07BC2"/>
    <w:rsid w:val="00C12F09"/>
    <w:rsid w:val="00C22DA0"/>
    <w:rsid w:val="00C27B6D"/>
    <w:rsid w:val="00C40814"/>
    <w:rsid w:val="00C427DE"/>
    <w:rsid w:val="00C875A0"/>
    <w:rsid w:val="00CA3FAD"/>
    <w:rsid w:val="00CD5698"/>
    <w:rsid w:val="00CE660C"/>
    <w:rsid w:val="00D82F66"/>
    <w:rsid w:val="00DA1962"/>
    <w:rsid w:val="00DB3C5A"/>
    <w:rsid w:val="00DB5364"/>
    <w:rsid w:val="00DE07F9"/>
    <w:rsid w:val="00E51988"/>
    <w:rsid w:val="00EC6923"/>
    <w:rsid w:val="00EE1764"/>
    <w:rsid w:val="00EE1D10"/>
    <w:rsid w:val="00F12D78"/>
    <w:rsid w:val="00F37052"/>
    <w:rsid w:val="00F51C66"/>
    <w:rsid w:val="00F96BD5"/>
    <w:rsid w:val="00FA5BAC"/>
    <w:rsid w:val="00FC4036"/>
    <w:rsid w:val="00FD253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1169D5C2A3DC4497ABEA1DD5312E77">
    <w:name w:val="F71169D5C2A3DC4497ABEA1DD5312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232c9b-fb38-491e-9f42-90b10a4142af">
      <Terms xmlns="http://schemas.microsoft.com/office/infopath/2007/PartnerControls"/>
    </lcf76f155ced4ddcb4097134ff3c332f>
    <TaxCatchAll xmlns="242084dd-14b9-463f-a6c3-2381bd238f3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7484FDF23DF94AB4CE0FCFEA8F10B6" ma:contentTypeVersion="11" ma:contentTypeDescription="Create a new document." ma:contentTypeScope="" ma:versionID="085e982b7957a1ef461e8f4ede3653f4">
  <xsd:schema xmlns:xsd="http://www.w3.org/2001/XMLSchema" xmlns:xs="http://www.w3.org/2001/XMLSchema" xmlns:p="http://schemas.microsoft.com/office/2006/metadata/properties" xmlns:ns2="0a232c9b-fb38-491e-9f42-90b10a4142af" xmlns:ns3="242084dd-14b9-463f-a6c3-2381bd238f36" targetNamespace="http://schemas.microsoft.com/office/2006/metadata/properties" ma:root="true" ma:fieldsID="c838690f65e4dbf88a0e2aea837f2a6f" ns2:_="" ns3:_="">
    <xsd:import namespace="0a232c9b-fb38-491e-9f42-90b10a4142af"/>
    <xsd:import namespace="242084dd-14b9-463f-a6c3-2381bd238f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32c9b-fb38-491e-9f42-90b10a414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084dd-14b9-463f-a6c3-2381bd238f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7fae0b-8fde-40d3-b8ba-2cbb0834ad54}" ma:internalName="TaxCatchAll" ma:showField="CatchAllData" ma:web="242084dd-14b9-463f-a6c3-2381bd238f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C46B9-71BA-4114-AF20-7B6514AAEE7B}">
  <ds:schemaRefs>
    <ds:schemaRef ds:uri="http://schemas.microsoft.com/office/2006/metadata/properties"/>
    <ds:schemaRef ds:uri="http://schemas.microsoft.com/office/infopath/2007/PartnerControls"/>
    <ds:schemaRef ds:uri="0a232c9b-fb38-491e-9f42-90b10a4142af"/>
    <ds:schemaRef ds:uri="242084dd-14b9-463f-a6c3-2381bd238f36"/>
  </ds:schemaRefs>
</ds:datastoreItem>
</file>

<file path=customXml/itemProps2.xml><?xml version="1.0" encoding="utf-8"?>
<ds:datastoreItem xmlns:ds="http://schemas.openxmlformats.org/officeDocument/2006/customXml" ds:itemID="{CCBA5E74-06FD-42F2-A553-47238A91CCDA}">
  <ds:schemaRefs>
    <ds:schemaRef ds:uri="http://schemas.openxmlformats.org/officeDocument/2006/bibliography"/>
  </ds:schemaRefs>
</ds:datastoreItem>
</file>

<file path=customXml/itemProps3.xml><?xml version="1.0" encoding="utf-8"?>
<ds:datastoreItem xmlns:ds="http://schemas.openxmlformats.org/officeDocument/2006/customXml" ds:itemID="{D58427DD-31CC-4478-9152-877A989C59FE}">
  <ds:schemaRefs>
    <ds:schemaRef ds:uri="http://schemas.microsoft.com/sharepoint/v3/contenttype/forms"/>
  </ds:schemaRefs>
</ds:datastoreItem>
</file>

<file path=customXml/itemProps4.xml><?xml version="1.0" encoding="utf-8"?>
<ds:datastoreItem xmlns:ds="http://schemas.openxmlformats.org/officeDocument/2006/customXml" ds:itemID="{F5686D6C-F824-44E9-9AA1-D108CF2D2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32c9b-fb38-491e-9f42-90b10a4142af"/>
    <ds:schemaRef ds:uri="242084dd-14b9-463f-a6c3-2381bd238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0cdab9-3592-4269-8944-10949a3bf55a}" enabled="1" method="Privileged" siteId="{311f614e-2687-4905-bb5c-f592370e0d41}"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32</Pages>
  <Words>8966</Words>
  <Characters>54963</Characters>
  <Application>Microsoft Office Word</Application>
  <DocSecurity>0</DocSecurity>
  <Lines>999</Lines>
  <Paragraphs>524</Paragraphs>
  <ScaleCrop>false</ScaleCrop>
  <HeadingPairs>
    <vt:vector size="2" baseType="variant">
      <vt:variant>
        <vt:lpstr>Title</vt:lpstr>
      </vt:variant>
      <vt:variant>
        <vt:i4>1</vt:i4>
      </vt:variant>
    </vt:vector>
  </HeadingPairs>
  <TitlesOfParts>
    <vt:vector size="1" baseType="lpstr">
      <vt:lpstr>General Practice in Aged Care Incentive Guidelines</vt:lpstr>
    </vt:vector>
  </TitlesOfParts>
  <Manager/>
  <Company/>
  <LinksUpToDate>false</LinksUpToDate>
  <CharactersWithSpaces>63405</CharactersWithSpaces>
  <SharedDoc>false</SharedDoc>
  <HyperlinkBase/>
  <HLinks>
    <vt:vector size="564" baseType="variant">
      <vt:variant>
        <vt:i4>2621502</vt:i4>
      </vt:variant>
      <vt:variant>
        <vt:i4>411</vt:i4>
      </vt:variant>
      <vt:variant>
        <vt:i4>0</vt:i4>
      </vt:variant>
      <vt:variant>
        <vt:i4>5</vt:i4>
      </vt:variant>
      <vt:variant>
        <vt:lpwstr>https://www.finance.gov.au/government/managing-commonwealth-resources/pgpa-legislation-associated-instruments-and-policies</vt:lpwstr>
      </vt:variant>
      <vt:variant>
        <vt:lpwstr/>
      </vt:variant>
      <vt:variant>
        <vt:i4>3866666</vt:i4>
      </vt:variant>
      <vt:variant>
        <vt:i4>408</vt:i4>
      </vt:variant>
      <vt:variant>
        <vt:i4>0</vt:i4>
      </vt:variant>
      <vt:variant>
        <vt:i4>5</vt:i4>
      </vt:variant>
      <vt:variant>
        <vt:lpwstr>https://archive.budget.gov.au/index.htm</vt:lpwstr>
      </vt:variant>
      <vt:variant>
        <vt:lpwstr/>
      </vt:variant>
      <vt:variant>
        <vt:i4>3932196</vt:i4>
      </vt:variant>
      <vt:variant>
        <vt:i4>405</vt:i4>
      </vt:variant>
      <vt:variant>
        <vt:i4>0</vt:i4>
      </vt:variant>
      <vt:variant>
        <vt:i4>5</vt:i4>
      </vt:variant>
      <vt:variant>
        <vt:lpwstr>https://www.nationalredress.gov.au/</vt:lpwstr>
      </vt:variant>
      <vt:variant>
        <vt:lpwstr/>
      </vt:variant>
      <vt:variant>
        <vt:i4>2359403</vt:i4>
      </vt:variant>
      <vt:variant>
        <vt:i4>402</vt:i4>
      </vt:variant>
      <vt:variant>
        <vt:i4>0</vt:i4>
      </vt:variant>
      <vt:variant>
        <vt:i4>5</vt:i4>
      </vt:variant>
      <vt:variant>
        <vt:lpwstr>https://www.finance.gov.au/government/managing-commonwealth-resources/managing-money-property/managing-money/other-consolidated-revenue-fund-crf-money</vt:lpwstr>
      </vt:variant>
      <vt:variant>
        <vt:lpwstr/>
      </vt:variant>
      <vt:variant>
        <vt:i4>7274537</vt:i4>
      </vt:variant>
      <vt:variant>
        <vt:i4>399</vt:i4>
      </vt:variant>
      <vt:variant>
        <vt:i4>0</vt:i4>
      </vt:variant>
      <vt:variant>
        <vt:i4>5</vt:i4>
      </vt:variant>
      <vt:variant>
        <vt:lpwstr>https://www.childsafety.gov.au/resources/commonwealth-child-safe-framework-policy-document</vt:lpwstr>
      </vt:variant>
      <vt:variant>
        <vt:lpwstr/>
      </vt:variant>
      <vt:variant>
        <vt:i4>2162748</vt:i4>
      </vt:variant>
      <vt:variant>
        <vt:i4>396</vt:i4>
      </vt:variant>
      <vt:variant>
        <vt:i4>0</vt:i4>
      </vt:variant>
      <vt:variant>
        <vt:i4>5</vt:i4>
      </vt:variant>
      <vt:variant>
        <vt:lpwstr>https://www.legislation.gov.au/F2024L00854/asmade/text</vt:lpwstr>
      </vt:variant>
      <vt:variant>
        <vt:lpwstr/>
      </vt:variant>
      <vt:variant>
        <vt:i4>655476</vt:i4>
      </vt:variant>
      <vt:variant>
        <vt:i4>393</vt:i4>
      </vt:variant>
      <vt:variant>
        <vt:i4>0</vt:i4>
      </vt:variant>
      <vt:variant>
        <vt:i4>5</vt:i4>
      </vt:variant>
      <vt:variant>
        <vt:lpwstr>mailto:foi@health.gov.au</vt:lpwstr>
      </vt:variant>
      <vt:variant>
        <vt:lpwstr/>
      </vt:variant>
      <vt:variant>
        <vt:i4>327708</vt:i4>
      </vt:variant>
      <vt:variant>
        <vt:i4>390</vt:i4>
      </vt:variant>
      <vt:variant>
        <vt:i4>0</vt:i4>
      </vt:variant>
      <vt:variant>
        <vt:i4>5</vt:i4>
      </vt:variant>
      <vt:variant>
        <vt:lpwstr>https://www.legislation.gov.au/Series/C2004A02562</vt:lpwstr>
      </vt:variant>
      <vt:variant>
        <vt:lpwstr/>
      </vt:variant>
      <vt:variant>
        <vt:i4>5505102</vt:i4>
      </vt:variant>
      <vt:variant>
        <vt:i4>387</vt:i4>
      </vt:variant>
      <vt:variant>
        <vt:i4>0</vt:i4>
      </vt:variant>
      <vt:variant>
        <vt:i4>5</vt:i4>
      </vt:variant>
      <vt:variant>
        <vt:lpwstr>https://www.oaic.gov.au/privacy/australian-privacy-principles</vt:lpwstr>
      </vt:variant>
      <vt:variant>
        <vt:lpwstr/>
      </vt:variant>
      <vt:variant>
        <vt:i4>196638</vt:i4>
      </vt:variant>
      <vt:variant>
        <vt:i4>384</vt:i4>
      </vt:variant>
      <vt:variant>
        <vt:i4>0</vt:i4>
      </vt:variant>
      <vt:variant>
        <vt:i4>5</vt:i4>
      </vt:variant>
      <vt:variant>
        <vt:lpwstr>https://www.legislation.gov.au/Series/C2004A03712</vt:lpwstr>
      </vt:variant>
      <vt:variant>
        <vt:lpwstr/>
      </vt:variant>
      <vt:variant>
        <vt:i4>8192113</vt:i4>
      </vt:variant>
      <vt:variant>
        <vt:i4>381</vt:i4>
      </vt:variant>
      <vt:variant>
        <vt:i4>0</vt:i4>
      </vt:variant>
      <vt:variant>
        <vt:i4>5</vt:i4>
      </vt:variant>
      <vt:variant>
        <vt:lpwstr>https://www.servicesaustralia.gov.au/organisation-register-for-general-practitioners-gps-and-health-professionals-privacy-notice?context=22</vt:lpwstr>
      </vt:variant>
      <vt:variant>
        <vt:lpwstr/>
      </vt:variant>
      <vt:variant>
        <vt:i4>3538945</vt:i4>
      </vt:variant>
      <vt:variant>
        <vt:i4>378</vt:i4>
      </vt:variant>
      <vt:variant>
        <vt:i4>0</vt:i4>
      </vt:variant>
      <vt:variant>
        <vt:i4>5</vt:i4>
      </vt:variant>
      <vt:variant>
        <vt:lpwstr>https://www.health.gov.au/sites/default/files/2024-04/mymedicare-privacy-notice_0.pdf</vt:lpwstr>
      </vt:variant>
      <vt:variant>
        <vt:lpwstr/>
      </vt:variant>
      <vt:variant>
        <vt:i4>6553632</vt:i4>
      </vt:variant>
      <vt:variant>
        <vt:i4>375</vt:i4>
      </vt:variant>
      <vt:variant>
        <vt:i4>0</vt:i4>
      </vt:variant>
      <vt:variant>
        <vt:i4>5</vt:i4>
      </vt:variant>
      <vt:variant>
        <vt:lpwstr>https://www.health.gov.au/resources/publications/mymedicare-privacy-notice?language=en</vt:lpwstr>
      </vt:variant>
      <vt:variant>
        <vt:lpwstr/>
      </vt:variant>
      <vt:variant>
        <vt:i4>7733345</vt:i4>
      </vt:variant>
      <vt:variant>
        <vt:i4>372</vt:i4>
      </vt:variant>
      <vt:variant>
        <vt:i4>0</vt:i4>
      </vt:variant>
      <vt:variant>
        <vt:i4>5</vt:i4>
      </vt:variant>
      <vt:variant>
        <vt:lpwstr>https://www.digitalhealth.gov.au/about-us/policies-privacy-and-reporting/privacy-policy</vt:lpwstr>
      </vt:variant>
      <vt:variant>
        <vt:lpwstr/>
      </vt:variant>
      <vt:variant>
        <vt:i4>7995449</vt:i4>
      </vt:variant>
      <vt:variant>
        <vt:i4>369</vt:i4>
      </vt:variant>
      <vt:variant>
        <vt:i4>0</vt:i4>
      </vt:variant>
      <vt:variant>
        <vt:i4>5</vt:i4>
      </vt:variant>
      <vt:variant>
        <vt:lpwstr>https://www.dva.gov.au/about/overview/legal-resources/dva-privacy-policy</vt:lpwstr>
      </vt:variant>
      <vt:variant>
        <vt:lpwstr>:~:text=DVA%20generally%20uses%20and%20discloses,authorised%20by%20the%20Privacy%20Act.</vt:lpwstr>
      </vt:variant>
      <vt:variant>
        <vt:i4>1441884</vt:i4>
      </vt:variant>
      <vt:variant>
        <vt:i4>366</vt:i4>
      </vt:variant>
      <vt:variant>
        <vt:i4>0</vt:i4>
      </vt:variant>
      <vt:variant>
        <vt:i4>5</vt:i4>
      </vt:variant>
      <vt:variant>
        <vt:lpwstr>https://www.servicesaustralia.gov.au/your-right-to-privacy?context=1</vt:lpwstr>
      </vt:variant>
      <vt:variant>
        <vt:lpwstr/>
      </vt:variant>
      <vt:variant>
        <vt:i4>1966145</vt:i4>
      </vt:variant>
      <vt:variant>
        <vt:i4>363</vt:i4>
      </vt:variant>
      <vt:variant>
        <vt:i4>0</vt:i4>
      </vt:variant>
      <vt:variant>
        <vt:i4>5</vt:i4>
      </vt:variant>
      <vt:variant>
        <vt:lpwstr>https://www.oaic.gov.au/privacy-law/privacy-act/australian-privacy-principles</vt:lpwstr>
      </vt:variant>
      <vt:variant>
        <vt:lpwstr/>
      </vt:variant>
      <vt:variant>
        <vt:i4>3473468</vt:i4>
      </vt:variant>
      <vt:variant>
        <vt:i4>360</vt:i4>
      </vt:variant>
      <vt:variant>
        <vt:i4>0</vt:i4>
      </vt:variant>
      <vt:variant>
        <vt:i4>5</vt:i4>
      </vt:variant>
      <vt:variant>
        <vt:lpwstr>https://www.legislation.gov.au/C2004A03712/latest/versions</vt:lpwstr>
      </vt:variant>
      <vt:variant>
        <vt:lpwstr/>
      </vt:variant>
      <vt:variant>
        <vt:i4>8060969</vt:i4>
      </vt:variant>
      <vt:variant>
        <vt:i4>357</vt:i4>
      </vt:variant>
      <vt:variant>
        <vt:i4>0</vt:i4>
      </vt:variant>
      <vt:variant>
        <vt:i4>5</vt:i4>
      </vt:variant>
      <vt:variant>
        <vt:lpwstr>https://www.apsc.gov.au/working-aps/integrity/integrity-resources/declaration-interests</vt:lpwstr>
      </vt:variant>
      <vt:variant>
        <vt:lpwstr/>
      </vt:variant>
      <vt:variant>
        <vt:i4>131100</vt:i4>
      </vt:variant>
      <vt:variant>
        <vt:i4>354</vt:i4>
      </vt:variant>
      <vt:variant>
        <vt:i4>0</vt:i4>
      </vt:variant>
      <vt:variant>
        <vt:i4>5</vt:i4>
      </vt:variant>
      <vt:variant>
        <vt:lpwstr>https://www.legislation.gov.au/Series/C2004A00538</vt:lpwstr>
      </vt:variant>
      <vt:variant>
        <vt:lpwstr/>
      </vt:variant>
      <vt:variant>
        <vt:i4>3211287</vt:i4>
      </vt:variant>
      <vt:variant>
        <vt:i4>351</vt:i4>
      </vt:variant>
      <vt:variant>
        <vt:i4>0</vt:i4>
      </vt:variant>
      <vt:variant>
        <vt:i4>5</vt:i4>
      </vt:variant>
      <vt:variant>
        <vt:lpwstr>http://www8.austlii.edu.au/cgi-bin/viewdoc/au/legis/cth/consol_act/psa1999152/s13.html</vt:lpwstr>
      </vt:variant>
      <vt:variant>
        <vt:lpwstr/>
      </vt:variant>
      <vt:variant>
        <vt:i4>1048591</vt:i4>
      </vt:variant>
      <vt:variant>
        <vt:i4>348</vt:i4>
      </vt:variant>
      <vt:variant>
        <vt:i4>0</vt:i4>
      </vt:variant>
      <vt:variant>
        <vt:i4>5</vt:i4>
      </vt:variant>
      <vt:variant>
        <vt:lpwstr>https://www.apsc.gov.au/publication/aps-values-and-code-conduct-practice/section-5-conflict-interest</vt:lpwstr>
      </vt:variant>
      <vt:variant>
        <vt:lpwstr/>
      </vt:variant>
      <vt:variant>
        <vt:i4>5767258</vt:i4>
      </vt:variant>
      <vt:variant>
        <vt:i4>345</vt:i4>
      </vt:variant>
      <vt:variant>
        <vt:i4>0</vt:i4>
      </vt:variant>
      <vt:variant>
        <vt:i4>5</vt:i4>
      </vt:variant>
      <vt:variant>
        <vt:lpwstr>https://www.ombudsman.gov.au/</vt:lpwstr>
      </vt:variant>
      <vt:variant>
        <vt:lpwstr/>
      </vt:variant>
      <vt:variant>
        <vt:i4>1179749</vt:i4>
      </vt:variant>
      <vt:variant>
        <vt:i4>342</vt:i4>
      </vt:variant>
      <vt:variant>
        <vt:i4>0</vt:i4>
      </vt:variant>
      <vt:variant>
        <vt:i4>5</vt:i4>
      </vt:variant>
      <vt:variant>
        <vt:lpwstr>mailto:ombudsman@ombudsman.gov.au</vt:lpwstr>
      </vt:variant>
      <vt:variant>
        <vt:lpwstr/>
      </vt:variant>
      <vt:variant>
        <vt:i4>5767258</vt:i4>
      </vt:variant>
      <vt:variant>
        <vt:i4>339</vt:i4>
      </vt:variant>
      <vt:variant>
        <vt:i4>0</vt:i4>
      </vt:variant>
      <vt:variant>
        <vt:i4>5</vt:i4>
      </vt:variant>
      <vt:variant>
        <vt:lpwstr>https://www.ombudsman.gov.au/</vt:lpwstr>
      </vt:variant>
      <vt:variant>
        <vt:lpwstr/>
      </vt:variant>
      <vt:variant>
        <vt:i4>4980828</vt:i4>
      </vt:variant>
      <vt:variant>
        <vt:i4>336</vt:i4>
      </vt:variant>
      <vt:variant>
        <vt:i4>0</vt:i4>
      </vt:variant>
      <vt:variant>
        <vt:i4>5</vt:i4>
      </vt:variant>
      <vt:variant>
        <vt:lpwstr>https://www.health.gov.au/about-us/what-we-do/grants-and-tenders?utm_source=health.gov.au&amp;utm_medium=callout-auto-custom&amp;utm_campaign=digital_transformation</vt:lpwstr>
      </vt:variant>
      <vt:variant>
        <vt:lpwstr/>
      </vt:variant>
      <vt:variant>
        <vt:i4>5505031</vt:i4>
      </vt:variant>
      <vt:variant>
        <vt:i4>333</vt:i4>
      </vt:variant>
      <vt:variant>
        <vt:i4>0</vt:i4>
      </vt:variant>
      <vt:variant>
        <vt:i4>5</vt:i4>
      </vt:variant>
      <vt:variant>
        <vt:lpwstr>https://www.servicesaustralia.gov.au/mymedicare-incentives?context=20</vt:lpwstr>
      </vt:variant>
      <vt:variant>
        <vt:lpwstr/>
      </vt:variant>
      <vt:variant>
        <vt:i4>4521987</vt:i4>
      </vt:variant>
      <vt:variant>
        <vt:i4>330</vt:i4>
      </vt:variant>
      <vt:variant>
        <vt:i4>0</vt:i4>
      </vt:variant>
      <vt:variant>
        <vt:i4>5</vt:i4>
      </vt:variant>
      <vt:variant>
        <vt:lpwstr>https://www.health.gov.au/our-work/gpaci</vt:lpwstr>
      </vt:variant>
      <vt:variant>
        <vt:lpwstr/>
      </vt:variant>
      <vt:variant>
        <vt:i4>4587561</vt:i4>
      </vt:variant>
      <vt:variant>
        <vt:i4>327</vt:i4>
      </vt:variant>
      <vt:variant>
        <vt:i4>0</vt:i4>
      </vt:variant>
      <vt:variant>
        <vt:i4>5</vt:i4>
      </vt:variant>
      <vt:variant>
        <vt:lpwstr>mailto:MyMedicare@Health.gov.au</vt:lpwstr>
      </vt:variant>
      <vt:variant>
        <vt:lpwstr/>
      </vt:variant>
      <vt:variant>
        <vt:i4>786510</vt:i4>
      </vt:variant>
      <vt:variant>
        <vt:i4>324</vt:i4>
      </vt:variant>
      <vt:variant>
        <vt:i4>0</vt:i4>
      </vt:variant>
      <vt:variant>
        <vt:i4>5</vt:i4>
      </vt:variant>
      <vt:variant>
        <vt:lpwstr>https://www.nacc.gov.au/resource-centre/nacc-fact-sheets</vt:lpwstr>
      </vt:variant>
      <vt:variant>
        <vt:lpwstr/>
      </vt:variant>
      <vt:variant>
        <vt:i4>2424891</vt:i4>
      </vt:variant>
      <vt:variant>
        <vt:i4>321</vt:i4>
      </vt:variant>
      <vt:variant>
        <vt:i4>0</vt:i4>
      </vt:variant>
      <vt:variant>
        <vt:i4>5</vt:i4>
      </vt:variant>
      <vt:variant>
        <vt:lpwstr>https://www.legislation.gov.au/C2022A00088/latest/text</vt:lpwstr>
      </vt:variant>
      <vt:variant>
        <vt:lpwstr/>
      </vt:variant>
      <vt:variant>
        <vt:i4>2424891</vt:i4>
      </vt:variant>
      <vt:variant>
        <vt:i4>318</vt:i4>
      </vt:variant>
      <vt:variant>
        <vt:i4>0</vt:i4>
      </vt:variant>
      <vt:variant>
        <vt:i4>5</vt:i4>
      </vt:variant>
      <vt:variant>
        <vt:lpwstr>https://www.legislation.gov.au/C2022A00088/latest/text</vt:lpwstr>
      </vt:variant>
      <vt:variant>
        <vt:lpwstr/>
      </vt:variant>
      <vt:variant>
        <vt:i4>2162748</vt:i4>
      </vt:variant>
      <vt:variant>
        <vt:i4>315</vt:i4>
      </vt:variant>
      <vt:variant>
        <vt:i4>0</vt:i4>
      </vt:variant>
      <vt:variant>
        <vt:i4>5</vt:i4>
      </vt:variant>
      <vt:variant>
        <vt:lpwstr>https://www.legislation.gov.au/F2024L00854/asmade/text</vt:lpwstr>
      </vt:variant>
      <vt:variant>
        <vt:lpwstr/>
      </vt:variant>
      <vt:variant>
        <vt:i4>5308432</vt:i4>
      </vt:variant>
      <vt:variant>
        <vt:i4>312</vt:i4>
      </vt:variant>
      <vt:variant>
        <vt:i4>0</vt:i4>
      </vt:variant>
      <vt:variant>
        <vt:i4>5</vt:i4>
      </vt:variant>
      <vt:variant>
        <vt:lpwstr>https://www.health.gov.au/our-work/supporting-living-organ-donors-program</vt:lpwstr>
      </vt:variant>
      <vt:variant>
        <vt:lpwstr/>
      </vt:variant>
      <vt:variant>
        <vt:i4>7864360</vt:i4>
      </vt:variant>
      <vt:variant>
        <vt:i4>309</vt:i4>
      </vt:variant>
      <vt:variant>
        <vt:i4>0</vt:i4>
      </vt:variant>
      <vt:variant>
        <vt:i4>5</vt:i4>
      </vt:variant>
      <vt:variant>
        <vt:lpwstr>https://www.grants.gov.au/</vt:lpwstr>
      </vt:variant>
      <vt:variant>
        <vt:lpwstr/>
      </vt:variant>
      <vt:variant>
        <vt:i4>2162748</vt:i4>
      </vt:variant>
      <vt:variant>
        <vt:i4>306</vt:i4>
      </vt:variant>
      <vt:variant>
        <vt:i4>0</vt:i4>
      </vt:variant>
      <vt:variant>
        <vt:i4>5</vt:i4>
      </vt:variant>
      <vt:variant>
        <vt:lpwstr>https://www.legislation.gov.au/F2024L00854/asmade/text</vt:lpwstr>
      </vt:variant>
      <vt:variant>
        <vt:lpwstr/>
      </vt:variant>
      <vt:variant>
        <vt:i4>7995396</vt:i4>
      </vt:variant>
      <vt:variant>
        <vt:i4>303</vt:i4>
      </vt:variant>
      <vt:variant>
        <vt:i4>0</vt:i4>
      </vt:variant>
      <vt:variant>
        <vt:i4>5</vt:i4>
      </vt:variant>
      <vt:variant>
        <vt:lpwstr>http://www8.austlii.edu.au/cgi-bin/viewdoc/au/legis/cth/consol_act/cca1995115/sch1.html</vt:lpwstr>
      </vt:variant>
      <vt:variant>
        <vt:lpwstr/>
      </vt:variant>
      <vt:variant>
        <vt:i4>6225924</vt:i4>
      </vt:variant>
      <vt:variant>
        <vt:i4>300</vt:i4>
      </vt:variant>
      <vt:variant>
        <vt:i4>0</vt:i4>
      </vt:variant>
      <vt:variant>
        <vt:i4>5</vt:i4>
      </vt:variant>
      <vt:variant>
        <vt:lpwstr>https://www.health.gov.au/our-work/mymedicare</vt:lpwstr>
      </vt:variant>
      <vt:variant>
        <vt:lpwstr/>
      </vt:variant>
      <vt:variant>
        <vt:i4>4980766</vt:i4>
      </vt:variant>
      <vt:variant>
        <vt:i4>297</vt:i4>
      </vt:variant>
      <vt:variant>
        <vt:i4>0</vt:i4>
      </vt:variant>
      <vt:variant>
        <vt:i4>5</vt:i4>
      </vt:variant>
      <vt:variant>
        <vt:lpwstr>https://www.health.gov.au/resources/publications/general-practice-in-aged-care-incentive-program-guidelines-2024?language=en</vt:lpwstr>
      </vt:variant>
      <vt:variant>
        <vt:lpwstr/>
      </vt:variant>
      <vt:variant>
        <vt:i4>7864360</vt:i4>
      </vt:variant>
      <vt:variant>
        <vt:i4>294</vt:i4>
      </vt:variant>
      <vt:variant>
        <vt:i4>0</vt:i4>
      </vt:variant>
      <vt:variant>
        <vt:i4>5</vt:i4>
      </vt:variant>
      <vt:variant>
        <vt:lpwstr>https://www.grants.gov.au/</vt:lpwstr>
      </vt:variant>
      <vt:variant>
        <vt:lpwstr/>
      </vt:variant>
      <vt:variant>
        <vt:i4>8257657</vt:i4>
      </vt:variant>
      <vt:variant>
        <vt:i4>291</vt:i4>
      </vt:variant>
      <vt:variant>
        <vt:i4>0</vt:i4>
      </vt:variant>
      <vt:variant>
        <vt:i4>5</vt:i4>
      </vt:variant>
      <vt:variant>
        <vt:lpwstr>https://www.ato.gov.au/businesses-and-organisations/preparing-lodging-and-paying/reports-and-returns/taxable-payments-annual-report</vt:lpwstr>
      </vt:variant>
      <vt:variant>
        <vt:lpwstr/>
      </vt:variant>
      <vt:variant>
        <vt:i4>7274537</vt:i4>
      </vt:variant>
      <vt:variant>
        <vt:i4>288</vt:i4>
      </vt:variant>
      <vt:variant>
        <vt:i4>0</vt:i4>
      </vt:variant>
      <vt:variant>
        <vt:i4>5</vt:i4>
      </vt:variant>
      <vt:variant>
        <vt:lpwstr>https://www.childsafety.gov.au/resources/commonwealth-child-safe-framework-policy-document</vt:lpwstr>
      </vt:variant>
      <vt:variant>
        <vt:lpwstr/>
      </vt:variant>
      <vt:variant>
        <vt:i4>7602239</vt:i4>
      </vt:variant>
      <vt:variant>
        <vt:i4>285</vt:i4>
      </vt:variant>
      <vt:variant>
        <vt:i4>0</vt:i4>
      </vt:variant>
      <vt:variant>
        <vt:i4>5</vt:i4>
      </vt:variant>
      <vt:variant>
        <vt:lpwstr>https://www.health.gov.au/resources/publications/mymedicare-program-guidelines?language=en</vt:lpwstr>
      </vt:variant>
      <vt:variant>
        <vt:lpwstr/>
      </vt:variant>
      <vt:variant>
        <vt:i4>3932196</vt:i4>
      </vt:variant>
      <vt:variant>
        <vt:i4>282</vt:i4>
      </vt:variant>
      <vt:variant>
        <vt:i4>0</vt:i4>
      </vt:variant>
      <vt:variant>
        <vt:i4>5</vt:i4>
      </vt:variant>
      <vt:variant>
        <vt:lpwstr>https://www.nationalredress.gov.au/</vt:lpwstr>
      </vt:variant>
      <vt:variant>
        <vt:lpwstr/>
      </vt:variant>
      <vt:variant>
        <vt:i4>6291559</vt:i4>
      </vt:variant>
      <vt:variant>
        <vt:i4>279</vt:i4>
      </vt:variant>
      <vt:variant>
        <vt:i4>0</vt:i4>
      </vt:variant>
      <vt:variant>
        <vt:i4>5</vt:i4>
      </vt:variant>
      <vt:variant>
        <vt:lpwstr>https://www.health.gov.au/our-work/mymedicare/practices-and-providers</vt:lpwstr>
      </vt:variant>
      <vt:variant>
        <vt:lpwstr>eligibility</vt:lpwstr>
      </vt:variant>
      <vt:variant>
        <vt:i4>1835059</vt:i4>
      </vt:variant>
      <vt:variant>
        <vt:i4>272</vt:i4>
      </vt:variant>
      <vt:variant>
        <vt:i4>0</vt:i4>
      </vt:variant>
      <vt:variant>
        <vt:i4>5</vt:i4>
      </vt:variant>
      <vt:variant>
        <vt:lpwstr/>
      </vt:variant>
      <vt:variant>
        <vt:lpwstr>_Toc211852508</vt:lpwstr>
      </vt:variant>
      <vt:variant>
        <vt:i4>1835059</vt:i4>
      </vt:variant>
      <vt:variant>
        <vt:i4>266</vt:i4>
      </vt:variant>
      <vt:variant>
        <vt:i4>0</vt:i4>
      </vt:variant>
      <vt:variant>
        <vt:i4>5</vt:i4>
      </vt:variant>
      <vt:variant>
        <vt:lpwstr/>
      </vt:variant>
      <vt:variant>
        <vt:lpwstr>_Toc211852507</vt:lpwstr>
      </vt:variant>
      <vt:variant>
        <vt:i4>1835059</vt:i4>
      </vt:variant>
      <vt:variant>
        <vt:i4>260</vt:i4>
      </vt:variant>
      <vt:variant>
        <vt:i4>0</vt:i4>
      </vt:variant>
      <vt:variant>
        <vt:i4>5</vt:i4>
      </vt:variant>
      <vt:variant>
        <vt:lpwstr/>
      </vt:variant>
      <vt:variant>
        <vt:lpwstr>_Toc211852506</vt:lpwstr>
      </vt:variant>
      <vt:variant>
        <vt:i4>1835059</vt:i4>
      </vt:variant>
      <vt:variant>
        <vt:i4>254</vt:i4>
      </vt:variant>
      <vt:variant>
        <vt:i4>0</vt:i4>
      </vt:variant>
      <vt:variant>
        <vt:i4>5</vt:i4>
      </vt:variant>
      <vt:variant>
        <vt:lpwstr/>
      </vt:variant>
      <vt:variant>
        <vt:lpwstr>_Toc211852505</vt:lpwstr>
      </vt:variant>
      <vt:variant>
        <vt:i4>1835059</vt:i4>
      </vt:variant>
      <vt:variant>
        <vt:i4>248</vt:i4>
      </vt:variant>
      <vt:variant>
        <vt:i4>0</vt:i4>
      </vt:variant>
      <vt:variant>
        <vt:i4>5</vt:i4>
      </vt:variant>
      <vt:variant>
        <vt:lpwstr/>
      </vt:variant>
      <vt:variant>
        <vt:lpwstr>_Toc211852504</vt:lpwstr>
      </vt:variant>
      <vt:variant>
        <vt:i4>1835059</vt:i4>
      </vt:variant>
      <vt:variant>
        <vt:i4>242</vt:i4>
      </vt:variant>
      <vt:variant>
        <vt:i4>0</vt:i4>
      </vt:variant>
      <vt:variant>
        <vt:i4>5</vt:i4>
      </vt:variant>
      <vt:variant>
        <vt:lpwstr/>
      </vt:variant>
      <vt:variant>
        <vt:lpwstr>_Toc211852503</vt:lpwstr>
      </vt:variant>
      <vt:variant>
        <vt:i4>1835059</vt:i4>
      </vt:variant>
      <vt:variant>
        <vt:i4>236</vt:i4>
      </vt:variant>
      <vt:variant>
        <vt:i4>0</vt:i4>
      </vt:variant>
      <vt:variant>
        <vt:i4>5</vt:i4>
      </vt:variant>
      <vt:variant>
        <vt:lpwstr/>
      </vt:variant>
      <vt:variant>
        <vt:lpwstr>_Toc211852502</vt:lpwstr>
      </vt:variant>
      <vt:variant>
        <vt:i4>1835059</vt:i4>
      </vt:variant>
      <vt:variant>
        <vt:i4>230</vt:i4>
      </vt:variant>
      <vt:variant>
        <vt:i4>0</vt:i4>
      </vt:variant>
      <vt:variant>
        <vt:i4>5</vt:i4>
      </vt:variant>
      <vt:variant>
        <vt:lpwstr/>
      </vt:variant>
      <vt:variant>
        <vt:lpwstr>_Toc211852501</vt:lpwstr>
      </vt:variant>
      <vt:variant>
        <vt:i4>1835059</vt:i4>
      </vt:variant>
      <vt:variant>
        <vt:i4>224</vt:i4>
      </vt:variant>
      <vt:variant>
        <vt:i4>0</vt:i4>
      </vt:variant>
      <vt:variant>
        <vt:i4>5</vt:i4>
      </vt:variant>
      <vt:variant>
        <vt:lpwstr/>
      </vt:variant>
      <vt:variant>
        <vt:lpwstr>_Toc211852500</vt:lpwstr>
      </vt:variant>
      <vt:variant>
        <vt:i4>1376306</vt:i4>
      </vt:variant>
      <vt:variant>
        <vt:i4>218</vt:i4>
      </vt:variant>
      <vt:variant>
        <vt:i4>0</vt:i4>
      </vt:variant>
      <vt:variant>
        <vt:i4>5</vt:i4>
      </vt:variant>
      <vt:variant>
        <vt:lpwstr/>
      </vt:variant>
      <vt:variant>
        <vt:lpwstr>_Toc211852499</vt:lpwstr>
      </vt:variant>
      <vt:variant>
        <vt:i4>1376306</vt:i4>
      </vt:variant>
      <vt:variant>
        <vt:i4>212</vt:i4>
      </vt:variant>
      <vt:variant>
        <vt:i4>0</vt:i4>
      </vt:variant>
      <vt:variant>
        <vt:i4>5</vt:i4>
      </vt:variant>
      <vt:variant>
        <vt:lpwstr/>
      </vt:variant>
      <vt:variant>
        <vt:lpwstr>_Toc211852498</vt:lpwstr>
      </vt:variant>
      <vt:variant>
        <vt:i4>1376306</vt:i4>
      </vt:variant>
      <vt:variant>
        <vt:i4>206</vt:i4>
      </vt:variant>
      <vt:variant>
        <vt:i4>0</vt:i4>
      </vt:variant>
      <vt:variant>
        <vt:i4>5</vt:i4>
      </vt:variant>
      <vt:variant>
        <vt:lpwstr/>
      </vt:variant>
      <vt:variant>
        <vt:lpwstr>_Toc211852497</vt:lpwstr>
      </vt:variant>
      <vt:variant>
        <vt:i4>1376306</vt:i4>
      </vt:variant>
      <vt:variant>
        <vt:i4>200</vt:i4>
      </vt:variant>
      <vt:variant>
        <vt:i4>0</vt:i4>
      </vt:variant>
      <vt:variant>
        <vt:i4>5</vt:i4>
      </vt:variant>
      <vt:variant>
        <vt:lpwstr/>
      </vt:variant>
      <vt:variant>
        <vt:lpwstr>_Toc211852496</vt:lpwstr>
      </vt:variant>
      <vt:variant>
        <vt:i4>1376306</vt:i4>
      </vt:variant>
      <vt:variant>
        <vt:i4>194</vt:i4>
      </vt:variant>
      <vt:variant>
        <vt:i4>0</vt:i4>
      </vt:variant>
      <vt:variant>
        <vt:i4>5</vt:i4>
      </vt:variant>
      <vt:variant>
        <vt:lpwstr/>
      </vt:variant>
      <vt:variant>
        <vt:lpwstr>_Toc211852495</vt:lpwstr>
      </vt:variant>
      <vt:variant>
        <vt:i4>1376306</vt:i4>
      </vt:variant>
      <vt:variant>
        <vt:i4>188</vt:i4>
      </vt:variant>
      <vt:variant>
        <vt:i4>0</vt:i4>
      </vt:variant>
      <vt:variant>
        <vt:i4>5</vt:i4>
      </vt:variant>
      <vt:variant>
        <vt:lpwstr/>
      </vt:variant>
      <vt:variant>
        <vt:lpwstr>_Toc211852494</vt:lpwstr>
      </vt:variant>
      <vt:variant>
        <vt:i4>1376306</vt:i4>
      </vt:variant>
      <vt:variant>
        <vt:i4>182</vt:i4>
      </vt:variant>
      <vt:variant>
        <vt:i4>0</vt:i4>
      </vt:variant>
      <vt:variant>
        <vt:i4>5</vt:i4>
      </vt:variant>
      <vt:variant>
        <vt:lpwstr/>
      </vt:variant>
      <vt:variant>
        <vt:lpwstr>_Toc211852493</vt:lpwstr>
      </vt:variant>
      <vt:variant>
        <vt:i4>1376306</vt:i4>
      </vt:variant>
      <vt:variant>
        <vt:i4>176</vt:i4>
      </vt:variant>
      <vt:variant>
        <vt:i4>0</vt:i4>
      </vt:variant>
      <vt:variant>
        <vt:i4>5</vt:i4>
      </vt:variant>
      <vt:variant>
        <vt:lpwstr/>
      </vt:variant>
      <vt:variant>
        <vt:lpwstr>_Toc211852492</vt:lpwstr>
      </vt:variant>
      <vt:variant>
        <vt:i4>1376306</vt:i4>
      </vt:variant>
      <vt:variant>
        <vt:i4>170</vt:i4>
      </vt:variant>
      <vt:variant>
        <vt:i4>0</vt:i4>
      </vt:variant>
      <vt:variant>
        <vt:i4>5</vt:i4>
      </vt:variant>
      <vt:variant>
        <vt:lpwstr/>
      </vt:variant>
      <vt:variant>
        <vt:lpwstr>_Toc211852491</vt:lpwstr>
      </vt:variant>
      <vt:variant>
        <vt:i4>1376306</vt:i4>
      </vt:variant>
      <vt:variant>
        <vt:i4>164</vt:i4>
      </vt:variant>
      <vt:variant>
        <vt:i4>0</vt:i4>
      </vt:variant>
      <vt:variant>
        <vt:i4>5</vt:i4>
      </vt:variant>
      <vt:variant>
        <vt:lpwstr/>
      </vt:variant>
      <vt:variant>
        <vt:lpwstr>_Toc211852490</vt:lpwstr>
      </vt:variant>
      <vt:variant>
        <vt:i4>1310770</vt:i4>
      </vt:variant>
      <vt:variant>
        <vt:i4>158</vt:i4>
      </vt:variant>
      <vt:variant>
        <vt:i4>0</vt:i4>
      </vt:variant>
      <vt:variant>
        <vt:i4>5</vt:i4>
      </vt:variant>
      <vt:variant>
        <vt:lpwstr/>
      </vt:variant>
      <vt:variant>
        <vt:lpwstr>_Toc211852489</vt:lpwstr>
      </vt:variant>
      <vt:variant>
        <vt:i4>1310770</vt:i4>
      </vt:variant>
      <vt:variant>
        <vt:i4>152</vt:i4>
      </vt:variant>
      <vt:variant>
        <vt:i4>0</vt:i4>
      </vt:variant>
      <vt:variant>
        <vt:i4>5</vt:i4>
      </vt:variant>
      <vt:variant>
        <vt:lpwstr/>
      </vt:variant>
      <vt:variant>
        <vt:lpwstr>_Toc211852488</vt:lpwstr>
      </vt:variant>
      <vt:variant>
        <vt:i4>1310770</vt:i4>
      </vt:variant>
      <vt:variant>
        <vt:i4>146</vt:i4>
      </vt:variant>
      <vt:variant>
        <vt:i4>0</vt:i4>
      </vt:variant>
      <vt:variant>
        <vt:i4>5</vt:i4>
      </vt:variant>
      <vt:variant>
        <vt:lpwstr/>
      </vt:variant>
      <vt:variant>
        <vt:lpwstr>_Toc211852487</vt:lpwstr>
      </vt:variant>
      <vt:variant>
        <vt:i4>1310770</vt:i4>
      </vt:variant>
      <vt:variant>
        <vt:i4>140</vt:i4>
      </vt:variant>
      <vt:variant>
        <vt:i4>0</vt:i4>
      </vt:variant>
      <vt:variant>
        <vt:i4>5</vt:i4>
      </vt:variant>
      <vt:variant>
        <vt:lpwstr/>
      </vt:variant>
      <vt:variant>
        <vt:lpwstr>_Toc211852486</vt:lpwstr>
      </vt:variant>
      <vt:variant>
        <vt:i4>1310770</vt:i4>
      </vt:variant>
      <vt:variant>
        <vt:i4>134</vt:i4>
      </vt:variant>
      <vt:variant>
        <vt:i4>0</vt:i4>
      </vt:variant>
      <vt:variant>
        <vt:i4>5</vt:i4>
      </vt:variant>
      <vt:variant>
        <vt:lpwstr/>
      </vt:variant>
      <vt:variant>
        <vt:lpwstr>_Toc211852485</vt:lpwstr>
      </vt:variant>
      <vt:variant>
        <vt:i4>1310770</vt:i4>
      </vt:variant>
      <vt:variant>
        <vt:i4>128</vt:i4>
      </vt:variant>
      <vt:variant>
        <vt:i4>0</vt:i4>
      </vt:variant>
      <vt:variant>
        <vt:i4>5</vt:i4>
      </vt:variant>
      <vt:variant>
        <vt:lpwstr/>
      </vt:variant>
      <vt:variant>
        <vt:lpwstr>_Toc211852484</vt:lpwstr>
      </vt:variant>
      <vt:variant>
        <vt:i4>1310770</vt:i4>
      </vt:variant>
      <vt:variant>
        <vt:i4>122</vt:i4>
      </vt:variant>
      <vt:variant>
        <vt:i4>0</vt:i4>
      </vt:variant>
      <vt:variant>
        <vt:i4>5</vt:i4>
      </vt:variant>
      <vt:variant>
        <vt:lpwstr/>
      </vt:variant>
      <vt:variant>
        <vt:lpwstr>_Toc211852483</vt:lpwstr>
      </vt:variant>
      <vt:variant>
        <vt:i4>1310770</vt:i4>
      </vt:variant>
      <vt:variant>
        <vt:i4>116</vt:i4>
      </vt:variant>
      <vt:variant>
        <vt:i4>0</vt:i4>
      </vt:variant>
      <vt:variant>
        <vt:i4>5</vt:i4>
      </vt:variant>
      <vt:variant>
        <vt:lpwstr/>
      </vt:variant>
      <vt:variant>
        <vt:lpwstr>_Toc211852482</vt:lpwstr>
      </vt:variant>
      <vt:variant>
        <vt:i4>1310770</vt:i4>
      </vt:variant>
      <vt:variant>
        <vt:i4>110</vt:i4>
      </vt:variant>
      <vt:variant>
        <vt:i4>0</vt:i4>
      </vt:variant>
      <vt:variant>
        <vt:i4>5</vt:i4>
      </vt:variant>
      <vt:variant>
        <vt:lpwstr/>
      </vt:variant>
      <vt:variant>
        <vt:lpwstr>_Toc211852481</vt:lpwstr>
      </vt:variant>
      <vt:variant>
        <vt:i4>1310770</vt:i4>
      </vt:variant>
      <vt:variant>
        <vt:i4>104</vt:i4>
      </vt:variant>
      <vt:variant>
        <vt:i4>0</vt:i4>
      </vt:variant>
      <vt:variant>
        <vt:i4>5</vt:i4>
      </vt:variant>
      <vt:variant>
        <vt:lpwstr/>
      </vt:variant>
      <vt:variant>
        <vt:lpwstr>_Toc211852480</vt:lpwstr>
      </vt:variant>
      <vt:variant>
        <vt:i4>1769522</vt:i4>
      </vt:variant>
      <vt:variant>
        <vt:i4>98</vt:i4>
      </vt:variant>
      <vt:variant>
        <vt:i4>0</vt:i4>
      </vt:variant>
      <vt:variant>
        <vt:i4>5</vt:i4>
      </vt:variant>
      <vt:variant>
        <vt:lpwstr/>
      </vt:variant>
      <vt:variant>
        <vt:lpwstr>_Toc211852479</vt:lpwstr>
      </vt:variant>
      <vt:variant>
        <vt:i4>1769522</vt:i4>
      </vt:variant>
      <vt:variant>
        <vt:i4>92</vt:i4>
      </vt:variant>
      <vt:variant>
        <vt:i4>0</vt:i4>
      </vt:variant>
      <vt:variant>
        <vt:i4>5</vt:i4>
      </vt:variant>
      <vt:variant>
        <vt:lpwstr/>
      </vt:variant>
      <vt:variant>
        <vt:lpwstr>_Toc211852478</vt:lpwstr>
      </vt:variant>
      <vt:variant>
        <vt:i4>1769522</vt:i4>
      </vt:variant>
      <vt:variant>
        <vt:i4>86</vt:i4>
      </vt:variant>
      <vt:variant>
        <vt:i4>0</vt:i4>
      </vt:variant>
      <vt:variant>
        <vt:i4>5</vt:i4>
      </vt:variant>
      <vt:variant>
        <vt:lpwstr/>
      </vt:variant>
      <vt:variant>
        <vt:lpwstr>_Toc211852477</vt:lpwstr>
      </vt:variant>
      <vt:variant>
        <vt:i4>1769522</vt:i4>
      </vt:variant>
      <vt:variant>
        <vt:i4>80</vt:i4>
      </vt:variant>
      <vt:variant>
        <vt:i4>0</vt:i4>
      </vt:variant>
      <vt:variant>
        <vt:i4>5</vt:i4>
      </vt:variant>
      <vt:variant>
        <vt:lpwstr/>
      </vt:variant>
      <vt:variant>
        <vt:lpwstr>_Toc211852476</vt:lpwstr>
      </vt:variant>
      <vt:variant>
        <vt:i4>1769522</vt:i4>
      </vt:variant>
      <vt:variant>
        <vt:i4>74</vt:i4>
      </vt:variant>
      <vt:variant>
        <vt:i4>0</vt:i4>
      </vt:variant>
      <vt:variant>
        <vt:i4>5</vt:i4>
      </vt:variant>
      <vt:variant>
        <vt:lpwstr/>
      </vt:variant>
      <vt:variant>
        <vt:lpwstr>_Toc211852475</vt:lpwstr>
      </vt:variant>
      <vt:variant>
        <vt:i4>1769522</vt:i4>
      </vt:variant>
      <vt:variant>
        <vt:i4>68</vt:i4>
      </vt:variant>
      <vt:variant>
        <vt:i4>0</vt:i4>
      </vt:variant>
      <vt:variant>
        <vt:i4>5</vt:i4>
      </vt:variant>
      <vt:variant>
        <vt:lpwstr/>
      </vt:variant>
      <vt:variant>
        <vt:lpwstr>_Toc211852474</vt:lpwstr>
      </vt:variant>
      <vt:variant>
        <vt:i4>1769522</vt:i4>
      </vt:variant>
      <vt:variant>
        <vt:i4>62</vt:i4>
      </vt:variant>
      <vt:variant>
        <vt:i4>0</vt:i4>
      </vt:variant>
      <vt:variant>
        <vt:i4>5</vt:i4>
      </vt:variant>
      <vt:variant>
        <vt:lpwstr/>
      </vt:variant>
      <vt:variant>
        <vt:lpwstr>_Toc211852473</vt:lpwstr>
      </vt:variant>
      <vt:variant>
        <vt:i4>1769522</vt:i4>
      </vt:variant>
      <vt:variant>
        <vt:i4>56</vt:i4>
      </vt:variant>
      <vt:variant>
        <vt:i4>0</vt:i4>
      </vt:variant>
      <vt:variant>
        <vt:i4>5</vt:i4>
      </vt:variant>
      <vt:variant>
        <vt:lpwstr/>
      </vt:variant>
      <vt:variant>
        <vt:lpwstr>_Toc211852472</vt:lpwstr>
      </vt:variant>
      <vt:variant>
        <vt:i4>1769522</vt:i4>
      </vt:variant>
      <vt:variant>
        <vt:i4>50</vt:i4>
      </vt:variant>
      <vt:variant>
        <vt:i4>0</vt:i4>
      </vt:variant>
      <vt:variant>
        <vt:i4>5</vt:i4>
      </vt:variant>
      <vt:variant>
        <vt:lpwstr/>
      </vt:variant>
      <vt:variant>
        <vt:lpwstr>_Toc211852471</vt:lpwstr>
      </vt:variant>
      <vt:variant>
        <vt:i4>1769522</vt:i4>
      </vt:variant>
      <vt:variant>
        <vt:i4>44</vt:i4>
      </vt:variant>
      <vt:variant>
        <vt:i4>0</vt:i4>
      </vt:variant>
      <vt:variant>
        <vt:i4>5</vt:i4>
      </vt:variant>
      <vt:variant>
        <vt:lpwstr/>
      </vt:variant>
      <vt:variant>
        <vt:lpwstr>_Toc211852470</vt:lpwstr>
      </vt:variant>
      <vt:variant>
        <vt:i4>1703986</vt:i4>
      </vt:variant>
      <vt:variant>
        <vt:i4>38</vt:i4>
      </vt:variant>
      <vt:variant>
        <vt:i4>0</vt:i4>
      </vt:variant>
      <vt:variant>
        <vt:i4>5</vt:i4>
      </vt:variant>
      <vt:variant>
        <vt:lpwstr/>
      </vt:variant>
      <vt:variant>
        <vt:lpwstr>_Toc211852469</vt:lpwstr>
      </vt:variant>
      <vt:variant>
        <vt:i4>1703986</vt:i4>
      </vt:variant>
      <vt:variant>
        <vt:i4>32</vt:i4>
      </vt:variant>
      <vt:variant>
        <vt:i4>0</vt:i4>
      </vt:variant>
      <vt:variant>
        <vt:i4>5</vt:i4>
      </vt:variant>
      <vt:variant>
        <vt:lpwstr/>
      </vt:variant>
      <vt:variant>
        <vt:lpwstr>_Toc211852468</vt:lpwstr>
      </vt:variant>
      <vt:variant>
        <vt:i4>1703986</vt:i4>
      </vt:variant>
      <vt:variant>
        <vt:i4>26</vt:i4>
      </vt:variant>
      <vt:variant>
        <vt:i4>0</vt:i4>
      </vt:variant>
      <vt:variant>
        <vt:i4>5</vt:i4>
      </vt:variant>
      <vt:variant>
        <vt:lpwstr/>
      </vt:variant>
      <vt:variant>
        <vt:lpwstr>_Toc211852467</vt:lpwstr>
      </vt:variant>
      <vt:variant>
        <vt:i4>1703986</vt:i4>
      </vt:variant>
      <vt:variant>
        <vt:i4>20</vt:i4>
      </vt:variant>
      <vt:variant>
        <vt:i4>0</vt:i4>
      </vt:variant>
      <vt:variant>
        <vt:i4>5</vt:i4>
      </vt:variant>
      <vt:variant>
        <vt:lpwstr/>
      </vt:variant>
      <vt:variant>
        <vt:lpwstr>_Toc211852466</vt:lpwstr>
      </vt:variant>
      <vt:variant>
        <vt:i4>1703986</vt:i4>
      </vt:variant>
      <vt:variant>
        <vt:i4>14</vt:i4>
      </vt:variant>
      <vt:variant>
        <vt:i4>0</vt:i4>
      </vt:variant>
      <vt:variant>
        <vt:i4>5</vt:i4>
      </vt:variant>
      <vt:variant>
        <vt:lpwstr/>
      </vt:variant>
      <vt:variant>
        <vt:lpwstr>_Toc211852465</vt:lpwstr>
      </vt:variant>
      <vt:variant>
        <vt:i4>1703986</vt:i4>
      </vt:variant>
      <vt:variant>
        <vt:i4>8</vt:i4>
      </vt:variant>
      <vt:variant>
        <vt:i4>0</vt:i4>
      </vt:variant>
      <vt:variant>
        <vt:i4>5</vt:i4>
      </vt:variant>
      <vt:variant>
        <vt:lpwstr/>
      </vt:variant>
      <vt:variant>
        <vt:lpwstr>_Toc211852464</vt:lpwstr>
      </vt:variant>
      <vt:variant>
        <vt:i4>1703986</vt:i4>
      </vt:variant>
      <vt:variant>
        <vt:i4>2</vt:i4>
      </vt:variant>
      <vt:variant>
        <vt:i4>0</vt:i4>
      </vt:variant>
      <vt:variant>
        <vt:i4>5</vt:i4>
      </vt:variant>
      <vt:variant>
        <vt:lpwstr/>
      </vt:variant>
      <vt:variant>
        <vt:lpwstr>_Toc211852463</vt:lpwstr>
      </vt:variant>
      <vt:variant>
        <vt:i4>3473468</vt:i4>
      </vt:variant>
      <vt:variant>
        <vt:i4>6</vt:i4>
      </vt:variant>
      <vt:variant>
        <vt:i4>0</vt:i4>
      </vt:variant>
      <vt:variant>
        <vt:i4>5</vt:i4>
      </vt:variant>
      <vt:variant>
        <vt:lpwstr>https://www.servicesaustralia.gov.au/ip034</vt:lpwstr>
      </vt:variant>
      <vt:variant>
        <vt:lpwstr/>
      </vt:variant>
      <vt:variant>
        <vt:i4>196677</vt:i4>
      </vt:variant>
      <vt:variant>
        <vt:i4>3</vt:i4>
      </vt:variant>
      <vt:variant>
        <vt:i4>0</vt:i4>
      </vt:variant>
      <vt:variant>
        <vt:i4>5</vt:i4>
      </vt:variant>
      <vt:variant>
        <vt:lpwstr>https://www.servicesaustralia.gov.au/general-practice-aged-care-incentive?context=20</vt:lpwstr>
      </vt:variant>
      <vt:variant>
        <vt:lpwstr/>
      </vt:variant>
      <vt:variant>
        <vt:i4>4521987</vt:i4>
      </vt:variant>
      <vt:variant>
        <vt:i4>0</vt:i4>
      </vt:variant>
      <vt:variant>
        <vt:i4>0</vt:i4>
      </vt:variant>
      <vt:variant>
        <vt:i4>5</vt:i4>
      </vt:variant>
      <vt:variant>
        <vt:lpwstr>https://www.health.gov.au/our-work/gpaci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Practice in Aged Care Incentive Guidelines</dc:title>
  <dc:subject>MyMedicare</dc:subject>
  <dc:creator>Australian Government Department of Health, Disability and Ageing</dc:creator>
  <cp:keywords>Aged care;General Practice</cp:keywords>
  <dc:description/>
  <cp:revision>3</cp:revision>
  <cp:lastPrinted>2025-10-23T02:27:00Z</cp:lastPrinted>
  <dcterms:created xsi:type="dcterms:W3CDTF">2025-10-27T06:26:00Z</dcterms:created>
  <dcterms:modified xsi:type="dcterms:W3CDTF">2025-10-28T03:43:00Z</dcterms:modified>
  <cp:category/>
</cp:coreProperties>
</file>