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184C1" w14:textId="5B29B8B0" w:rsidR="00751A23" w:rsidRDefault="00244F8A" w:rsidP="00751A23">
      <w:pPr>
        <w:pStyle w:val="Title"/>
      </w:pPr>
      <w:r>
        <w:t xml:space="preserve">Emissions </w:t>
      </w:r>
      <w:r w:rsidR="6F7C08E7">
        <w:t>R</w:t>
      </w:r>
      <w:r>
        <w:t>eduction Plan</w:t>
      </w:r>
    </w:p>
    <w:p w14:paraId="364ECD6F" w14:textId="7C45997E" w:rsidR="00751A23" w:rsidRDefault="00244F8A" w:rsidP="00751A23">
      <w:pPr>
        <w:pStyle w:val="Subtitle"/>
        <w:sectPr w:rsidR="00751A23" w:rsidSect="00D45D94">
          <w:headerReference w:type="even" r:id="rId11"/>
          <w:footerReference w:type="even" r:id="rId12"/>
          <w:footerReference w:type="default" r:id="rId13"/>
          <w:headerReference w:type="first" r:id="rId14"/>
          <w:type w:val="continuous"/>
          <w:pgSz w:w="11906" w:h="16838"/>
          <w:pgMar w:top="1701" w:right="1418" w:bottom="1418" w:left="1418" w:header="850" w:footer="709" w:gutter="0"/>
          <w:cols w:space="708"/>
          <w:titlePg/>
          <w:docGrid w:linePitch="360"/>
        </w:sectPr>
      </w:pPr>
      <w:r>
        <w:t>2025-20</w:t>
      </w:r>
      <w:r w:rsidR="00A250C8">
        <w:t>26</w:t>
      </w:r>
    </w:p>
    <w:sdt>
      <w:sdtPr>
        <w:id w:val="1633127521"/>
        <w:docPartObj>
          <w:docPartGallery w:val="Table of Contents"/>
          <w:docPartUnique/>
        </w:docPartObj>
      </w:sdtPr>
      <w:sdtEndPr>
        <w:rPr>
          <w:rFonts w:ascii="Arial" w:eastAsia="Times New Roman" w:hAnsi="Arial" w:cs="Times New Roman"/>
          <w:b w:val="0"/>
          <w:color w:val="000000" w:themeColor="text1"/>
          <w:sz w:val="22"/>
          <w:szCs w:val="24"/>
          <w:lang w:val="en-AU"/>
        </w:rPr>
      </w:sdtEndPr>
      <w:sdtContent>
        <w:p w14:paraId="12A85A2F" w14:textId="47C6CCCD" w:rsidR="00BC47CB" w:rsidRDefault="00BC47CB">
          <w:pPr>
            <w:pStyle w:val="TOCHeading"/>
          </w:pPr>
          <w:r>
            <w:t>Contents</w:t>
          </w:r>
        </w:p>
        <w:p w14:paraId="0143295B" w14:textId="52D174B2" w:rsidR="00020691" w:rsidRDefault="00BC47CB">
          <w:pPr>
            <w:pStyle w:val="TOC1"/>
            <w:rPr>
              <w:rFonts w:asciiTheme="minorHAnsi" w:eastAsiaTheme="minorEastAsia" w:hAnsiTheme="minorHAnsi" w:cstheme="minorBidi"/>
              <w:noProof/>
              <w:color w:val="auto"/>
              <w:kern w:val="2"/>
              <w:sz w:val="24"/>
              <w:lang w:eastAsia="ja-JP"/>
              <w14:ligatures w14:val="standardContextual"/>
            </w:rPr>
          </w:pPr>
          <w:r w:rsidRPr="00020691">
            <w:fldChar w:fldCharType="begin"/>
          </w:r>
          <w:r w:rsidRPr="00020691">
            <w:instrText xml:space="preserve"> TOC \o "1-3" \h \z \u </w:instrText>
          </w:r>
          <w:r w:rsidRPr="00020691">
            <w:fldChar w:fldCharType="separate"/>
          </w:r>
          <w:hyperlink w:anchor="_Toc212044889" w:history="1">
            <w:r w:rsidR="00020691" w:rsidRPr="005224D1">
              <w:rPr>
                <w:rStyle w:val="Hyperlink"/>
                <w:noProof/>
              </w:rPr>
              <w:t>Acknowledgement of Country</w:t>
            </w:r>
            <w:r w:rsidR="00020691">
              <w:rPr>
                <w:noProof/>
                <w:webHidden/>
              </w:rPr>
              <w:tab/>
            </w:r>
            <w:r w:rsidR="00020691">
              <w:rPr>
                <w:noProof/>
                <w:webHidden/>
              </w:rPr>
              <w:fldChar w:fldCharType="begin"/>
            </w:r>
            <w:r w:rsidR="00020691">
              <w:rPr>
                <w:noProof/>
                <w:webHidden/>
              </w:rPr>
              <w:instrText xml:space="preserve"> PAGEREF _Toc212044889 \h </w:instrText>
            </w:r>
            <w:r w:rsidR="00020691">
              <w:rPr>
                <w:noProof/>
                <w:webHidden/>
              </w:rPr>
            </w:r>
            <w:r w:rsidR="00020691">
              <w:rPr>
                <w:noProof/>
                <w:webHidden/>
              </w:rPr>
              <w:fldChar w:fldCharType="separate"/>
            </w:r>
            <w:r w:rsidR="00C37B4A">
              <w:rPr>
                <w:noProof/>
                <w:webHidden/>
              </w:rPr>
              <w:t>2</w:t>
            </w:r>
            <w:r w:rsidR="00020691">
              <w:rPr>
                <w:noProof/>
                <w:webHidden/>
              </w:rPr>
              <w:fldChar w:fldCharType="end"/>
            </w:r>
          </w:hyperlink>
        </w:p>
        <w:p w14:paraId="08963685" w14:textId="7A5CD5EA" w:rsidR="00020691" w:rsidRDefault="00020691">
          <w:pPr>
            <w:pStyle w:val="TOC1"/>
            <w:rPr>
              <w:rFonts w:asciiTheme="minorHAnsi" w:eastAsiaTheme="minorEastAsia" w:hAnsiTheme="minorHAnsi" w:cstheme="minorBidi"/>
              <w:noProof/>
              <w:color w:val="auto"/>
              <w:kern w:val="2"/>
              <w:sz w:val="24"/>
              <w:lang w:eastAsia="ja-JP"/>
              <w14:ligatures w14:val="standardContextual"/>
            </w:rPr>
          </w:pPr>
          <w:hyperlink w:anchor="_Toc212044890" w:history="1">
            <w:r w:rsidRPr="005224D1">
              <w:rPr>
                <w:rStyle w:val="Hyperlink"/>
                <w:noProof/>
              </w:rPr>
              <w:t>Accountable Authority Sign Off</w:t>
            </w:r>
            <w:r>
              <w:rPr>
                <w:noProof/>
                <w:webHidden/>
              </w:rPr>
              <w:tab/>
            </w:r>
            <w:r>
              <w:rPr>
                <w:noProof/>
                <w:webHidden/>
              </w:rPr>
              <w:fldChar w:fldCharType="begin"/>
            </w:r>
            <w:r>
              <w:rPr>
                <w:noProof/>
                <w:webHidden/>
              </w:rPr>
              <w:instrText xml:space="preserve"> PAGEREF _Toc212044890 \h </w:instrText>
            </w:r>
            <w:r>
              <w:rPr>
                <w:noProof/>
                <w:webHidden/>
              </w:rPr>
            </w:r>
            <w:r>
              <w:rPr>
                <w:noProof/>
                <w:webHidden/>
              </w:rPr>
              <w:fldChar w:fldCharType="separate"/>
            </w:r>
            <w:r w:rsidR="00C37B4A">
              <w:rPr>
                <w:noProof/>
                <w:webHidden/>
              </w:rPr>
              <w:t>3</w:t>
            </w:r>
            <w:r>
              <w:rPr>
                <w:noProof/>
                <w:webHidden/>
              </w:rPr>
              <w:fldChar w:fldCharType="end"/>
            </w:r>
          </w:hyperlink>
        </w:p>
        <w:p w14:paraId="05B6311C" w14:textId="26016A42" w:rsidR="00020691" w:rsidRDefault="00020691">
          <w:pPr>
            <w:pStyle w:val="TOC1"/>
            <w:rPr>
              <w:rFonts w:asciiTheme="minorHAnsi" w:eastAsiaTheme="minorEastAsia" w:hAnsiTheme="minorHAnsi" w:cstheme="minorBidi"/>
              <w:noProof/>
              <w:color w:val="auto"/>
              <w:kern w:val="2"/>
              <w:sz w:val="24"/>
              <w:lang w:eastAsia="ja-JP"/>
              <w14:ligatures w14:val="standardContextual"/>
            </w:rPr>
          </w:pPr>
          <w:hyperlink w:anchor="_Toc212044891" w:history="1">
            <w:r w:rsidRPr="005224D1">
              <w:rPr>
                <w:rStyle w:val="Hyperlink"/>
                <w:noProof/>
              </w:rPr>
              <w:t>Emissions Reduction Plan</w:t>
            </w:r>
            <w:r>
              <w:rPr>
                <w:noProof/>
                <w:webHidden/>
              </w:rPr>
              <w:tab/>
            </w:r>
            <w:r>
              <w:rPr>
                <w:noProof/>
                <w:webHidden/>
              </w:rPr>
              <w:fldChar w:fldCharType="begin"/>
            </w:r>
            <w:r>
              <w:rPr>
                <w:noProof/>
                <w:webHidden/>
              </w:rPr>
              <w:instrText xml:space="preserve"> PAGEREF _Toc212044891 \h </w:instrText>
            </w:r>
            <w:r>
              <w:rPr>
                <w:noProof/>
                <w:webHidden/>
              </w:rPr>
            </w:r>
            <w:r>
              <w:rPr>
                <w:noProof/>
                <w:webHidden/>
              </w:rPr>
              <w:fldChar w:fldCharType="separate"/>
            </w:r>
            <w:r w:rsidR="00C37B4A">
              <w:rPr>
                <w:noProof/>
                <w:webHidden/>
              </w:rPr>
              <w:t>4</w:t>
            </w:r>
            <w:r>
              <w:rPr>
                <w:noProof/>
                <w:webHidden/>
              </w:rPr>
              <w:fldChar w:fldCharType="end"/>
            </w:r>
          </w:hyperlink>
        </w:p>
        <w:p w14:paraId="3986C545" w14:textId="4945B8D5" w:rsidR="00020691" w:rsidRDefault="00020691">
          <w:pPr>
            <w:pStyle w:val="TOC2"/>
            <w:tabs>
              <w:tab w:val="right" w:leader="dot" w:pos="9402"/>
            </w:tabs>
            <w:rPr>
              <w:rFonts w:asciiTheme="minorHAnsi" w:eastAsiaTheme="minorEastAsia" w:hAnsiTheme="minorHAnsi" w:cstheme="minorBidi"/>
              <w:noProof/>
              <w:color w:val="auto"/>
              <w:kern w:val="2"/>
              <w:sz w:val="24"/>
              <w:lang w:eastAsia="ja-JP"/>
              <w14:ligatures w14:val="standardContextual"/>
            </w:rPr>
          </w:pPr>
          <w:hyperlink w:anchor="_Toc212044892" w:history="1">
            <w:r w:rsidRPr="005224D1">
              <w:rPr>
                <w:rStyle w:val="Hyperlink"/>
                <w:noProof/>
              </w:rPr>
              <w:t>Purpose</w:t>
            </w:r>
            <w:r>
              <w:rPr>
                <w:noProof/>
                <w:webHidden/>
              </w:rPr>
              <w:tab/>
            </w:r>
            <w:r>
              <w:rPr>
                <w:noProof/>
                <w:webHidden/>
              </w:rPr>
              <w:fldChar w:fldCharType="begin"/>
            </w:r>
            <w:r>
              <w:rPr>
                <w:noProof/>
                <w:webHidden/>
              </w:rPr>
              <w:instrText xml:space="preserve"> PAGEREF _Toc212044892 \h </w:instrText>
            </w:r>
            <w:r>
              <w:rPr>
                <w:noProof/>
                <w:webHidden/>
              </w:rPr>
            </w:r>
            <w:r>
              <w:rPr>
                <w:noProof/>
                <w:webHidden/>
              </w:rPr>
              <w:fldChar w:fldCharType="separate"/>
            </w:r>
            <w:r w:rsidR="00C37B4A">
              <w:rPr>
                <w:noProof/>
                <w:webHidden/>
              </w:rPr>
              <w:t>4</w:t>
            </w:r>
            <w:r>
              <w:rPr>
                <w:noProof/>
                <w:webHidden/>
              </w:rPr>
              <w:fldChar w:fldCharType="end"/>
            </w:r>
          </w:hyperlink>
        </w:p>
        <w:p w14:paraId="024AABD8" w14:textId="68F29617" w:rsidR="00020691" w:rsidRDefault="00020691">
          <w:pPr>
            <w:pStyle w:val="TOC2"/>
            <w:tabs>
              <w:tab w:val="right" w:leader="dot" w:pos="9402"/>
            </w:tabs>
            <w:rPr>
              <w:rFonts w:asciiTheme="minorHAnsi" w:eastAsiaTheme="minorEastAsia" w:hAnsiTheme="minorHAnsi" w:cstheme="minorBidi"/>
              <w:noProof/>
              <w:color w:val="auto"/>
              <w:kern w:val="2"/>
              <w:sz w:val="24"/>
              <w:lang w:eastAsia="ja-JP"/>
              <w14:ligatures w14:val="standardContextual"/>
            </w:rPr>
          </w:pPr>
          <w:hyperlink w:anchor="_Toc212044893" w:history="1">
            <w:r w:rsidRPr="005224D1">
              <w:rPr>
                <w:rStyle w:val="Hyperlink"/>
                <w:noProof/>
              </w:rPr>
              <w:t>The Department’s operational context</w:t>
            </w:r>
            <w:r>
              <w:rPr>
                <w:noProof/>
                <w:webHidden/>
              </w:rPr>
              <w:tab/>
            </w:r>
            <w:r>
              <w:rPr>
                <w:noProof/>
                <w:webHidden/>
              </w:rPr>
              <w:fldChar w:fldCharType="begin"/>
            </w:r>
            <w:r>
              <w:rPr>
                <w:noProof/>
                <w:webHidden/>
              </w:rPr>
              <w:instrText xml:space="preserve"> PAGEREF _Toc212044893 \h </w:instrText>
            </w:r>
            <w:r>
              <w:rPr>
                <w:noProof/>
                <w:webHidden/>
              </w:rPr>
            </w:r>
            <w:r>
              <w:rPr>
                <w:noProof/>
                <w:webHidden/>
              </w:rPr>
              <w:fldChar w:fldCharType="separate"/>
            </w:r>
            <w:r w:rsidR="00C37B4A">
              <w:rPr>
                <w:noProof/>
                <w:webHidden/>
              </w:rPr>
              <w:t>4</w:t>
            </w:r>
            <w:r>
              <w:rPr>
                <w:noProof/>
                <w:webHidden/>
              </w:rPr>
              <w:fldChar w:fldCharType="end"/>
            </w:r>
          </w:hyperlink>
        </w:p>
        <w:p w14:paraId="05AF2915" w14:textId="47CDABAF" w:rsidR="00020691" w:rsidRDefault="00020691">
          <w:pPr>
            <w:pStyle w:val="TOC2"/>
            <w:tabs>
              <w:tab w:val="right" w:leader="dot" w:pos="9402"/>
            </w:tabs>
            <w:rPr>
              <w:rFonts w:asciiTheme="minorHAnsi" w:eastAsiaTheme="minorEastAsia" w:hAnsiTheme="minorHAnsi" w:cstheme="minorBidi"/>
              <w:noProof/>
              <w:color w:val="auto"/>
              <w:kern w:val="2"/>
              <w:sz w:val="24"/>
              <w:lang w:eastAsia="ja-JP"/>
              <w14:ligatures w14:val="standardContextual"/>
            </w:rPr>
          </w:pPr>
          <w:hyperlink w:anchor="_Toc212044894" w:history="1">
            <w:r w:rsidRPr="005224D1">
              <w:rPr>
                <w:rStyle w:val="Hyperlink"/>
                <w:noProof/>
              </w:rPr>
              <w:t>Baseline Emissions</w:t>
            </w:r>
            <w:r>
              <w:rPr>
                <w:noProof/>
                <w:webHidden/>
              </w:rPr>
              <w:tab/>
            </w:r>
            <w:r>
              <w:rPr>
                <w:noProof/>
                <w:webHidden/>
              </w:rPr>
              <w:fldChar w:fldCharType="begin"/>
            </w:r>
            <w:r>
              <w:rPr>
                <w:noProof/>
                <w:webHidden/>
              </w:rPr>
              <w:instrText xml:space="preserve"> PAGEREF _Toc212044894 \h </w:instrText>
            </w:r>
            <w:r>
              <w:rPr>
                <w:noProof/>
                <w:webHidden/>
              </w:rPr>
            </w:r>
            <w:r>
              <w:rPr>
                <w:noProof/>
                <w:webHidden/>
              </w:rPr>
              <w:fldChar w:fldCharType="separate"/>
            </w:r>
            <w:r w:rsidR="00C37B4A">
              <w:rPr>
                <w:noProof/>
                <w:webHidden/>
              </w:rPr>
              <w:t>5</w:t>
            </w:r>
            <w:r>
              <w:rPr>
                <w:noProof/>
                <w:webHidden/>
              </w:rPr>
              <w:fldChar w:fldCharType="end"/>
            </w:r>
          </w:hyperlink>
        </w:p>
        <w:p w14:paraId="2BC7B32B" w14:textId="1392AA65" w:rsidR="00020691" w:rsidRDefault="00020691">
          <w:pPr>
            <w:pStyle w:val="TOC2"/>
            <w:tabs>
              <w:tab w:val="right" w:leader="dot" w:pos="9402"/>
            </w:tabs>
            <w:rPr>
              <w:rFonts w:asciiTheme="minorHAnsi" w:eastAsiaTheme="minorEastAsia" w:hAnsiTheme="minorHAnsi" w:cstheme="minorBidi"/>
              <w:noProof/>
              <w:color w:val="auto"/>
              <w:kern w:val="2"/>
              <w:sz w:val="24"/>
              <w:lang w:eastAsia="ja-JP"/>
              <w14:ligatures w14:val="standardContextual"/>
            </w:rPr>
          </w:pPr>
          <w:hyperlink w:anchor="_Toc212044895" w:history="1">
            <w:r w:rsidRPr="005224D1">
              <w:rPr>
                <w:rStyle w:val="Hyperlink"/>
                <w:noProof/>
              </w:rPr>
              <w:t>Time Series Consistency</w:t>
            </w:r>
            <w:r>
              <w:rPr>
                <w:noProof/>
                <w:webHidden/>
              </w:rPr>
              <w:tab/>
            </w:r>
            <w:r>
              <w:rPr>
                <w:noProof/>
                <w:webHidden/>
              </w:rPr>
              <w:fldChar w:fldCharType="begin"/>
            </w:r>
            <w:r>
              <w:rPr>
                <w:noProof/>
                <w:webHidden/>
              </w:rPr>
              <w:instrText xml:space="preserve"> PAGEREF _Toc212044895 \h </w:instrText>
            </w:r>
            <w:r>
              <w:rPr>
                <w:noProof/>
                <w:webHidden/>
              </w:rPr>
            </w:r>
            <w:r>
              <w:rPr>
                <w:noProof/>
                <w:webHidden/>
              </w:rPr>
              <w:fldChar w:fldCharType="separate"/>
            </w:r>
            <w:r w:rsidR="00C37B4A">
              <w:rPr>
                <w:noProof/>
                <w:webHidden/>
              </w:rPr>
              <w:t>6</w:t>
            </w:r>
            <w:r>
              <w:rPr>
                <w:noProof/>
                <w:webHidden/>
              </w:rPr>
              <w:fldChar w:fldCharType="end"/>
            </w:r>
          </w:hyperlink>
        </w:p>
        <w:p w14:paraId="27314D5C" w14:textId="14CAF6B2" w:rsidR="00020691" w:rsidRDefault="00020691">
          <w:pPr>
            <w:pStyle w:val="TOC2"/>
            <w:tabs>
              <w:tab w:val="right" w:leader="dot" w:pos="9402"/>
            </w:tabs>
            <w:rPr>
              <w:rFonts w:asciiTheme="minorHAnsi" w:eastAsiaTheme="minorEastAsia" w:hAnsiTheme="minorHAnsi" w:cstheme="minorBidi"/>
              <w:noProof/>
              <w:color w:val="auto"/>
              <w:kern w:val="2"/>
              <w:sz w:val="24"/>
              <w:lang w:eastAsia="ja-JP"/>
              <w14:ligatures w14:val="standardContextual"/>
            </w:rPr>
          </w:pPr>
          <w:hyperlink w:anchor="_Toc212044896" w:history="1">
            <w:r w:rsidRPr="005224D1">
              <w:rPr>
                <w:rStyle w:val="Hyperlink"/>
                <w:noProof/>
              </w:rPr>
              <w:t>Methodological Consistency and Transparency</w:t>
            </w:r>
            <w:r>
              <w:rPr>
                <w:noProof/>
                <w:webHidden/>
              </w:rPr>
              <w:tab/>
            </w:r>
            <w:r>
              <w:rPr>
                <w:noProof/>
                <w:webHidden/>
              </w:rPr>
              <w:fldChar w:fldCharType="begin"/>
            </w:r>
            <w:r>
              <w:rPr>
                <w:noProof/>
                <w:webHidden/>
              </w:rPr>
              <w:instrText xml:space="preserve"> PAGEREF _Toc212044896 \h </w:instrText>
            </w:r>
            <w:r>
              <w:rPr>
                <w:noProof/>
                <w:webHidden/>
              </w:rPr>
            </w:r>
            <w:r>
              <w:rPr>
                <w:noProof/>
                <w:webHidden/>
              </w:rPr>
              <w:fldChar w:fldCharType="separate"/>
            </w:r>
            <w:r w:rsidR="00C37B4A">
              <w:rPr>
                <w:noProof/>
                <w:webHidden/>
              </w:rPr>
              <w:t>6</w:t>
            </w:r>
            <w:r>
              <w:rPr>
                <w:noProof/>
                <w:webHidden/>
              </w:rPr>
              <w:fldChar w:fldCharType="end"/>
            </w:r>
          </w:hyperlink>
        </w:p>
        <w:p w14:paraId="2971775C" w14:textId="08FD55B2" w:rsidR="00020691" w:rsidRDefault="00020691">
          <w:pPr>
            <w:pStyle w:val="TOC2"/>
            <w:tabs>
              <w:tab w:val="right" w:leader="dot" w:pos="9402"/>
            </w:tabs>
            <w:rPr>
              <w:rFonts w:asciiTheme="minorHAnsi" w:eastAsiaTheme="minorEastAsia" w:hAnsiTheme="minorHAnsi" w:cstheme="minorBidi"/>
              <w:noProof/>
              <w:color w:val="auto"/>
              <w:kern w:val="2"/>
              <w:sz w:val="24"/>
              <w:lang w:eastAsia="ja-JP"/>
              <w14:ligatures w14:val="standardContextual"/>
            </w:rPr>
          </w:pPr>
          <w:hyperlink w:anchor="_Toc212044897" w:history="1">
            <w:r w:rsidRPr="005224D1">
              <w:rPr>
                <w:rStyle w:val="Hyperlink"/>
                <w:noProof/>
              </w:rPr>
              <w:t>Continuous Improvement</w:t>
            </w:r>
            <w:r>
              <w:rPr>
                <w:noProof/>
                <w:webHidden/>
              </w:rPr>
              <w:tab/>
            </w:r>
            <w:r>
              <w:rPr>
                <w:noProof/>
                <w:webHidden/>
              </w:rPr>
              <w:fldChar w:fldCharType="begin"/>
            </w:r>
            <w:r>
              <w:rPr>
                <w:noProof/>
                <w:webHidden/>
              </w:rPr>
              <w:instrText xml:space="preserve"> PAGEREF _Toc212044897 \h </w:instrText>
            </w:r>
            <w:r>
              <w:rPr>
                <w:noProof/>
                <w:webHidden/>
              </w:rPr>
            </w:r>
            <w:r>
              <w:rPr>
                <w:noProof/>
                <w:webHidden/>
              </w:rPr>
              <w:fldChar w:fldCharType="separate"/>
            </w:r>
            <w:r w:rsidR="00C37B4A">
              <w:rPr>
                <w:noProof/>
                <w:webHidden/>
              </w:rPr>
              <w:t>6</w:t>
            </w:r>
            <w:r>
              <w:rPr>
                <w:noProof/>
                <w:webHidden/>
              </w:rPr>
              <w:fldChar w:fldCharType="end"/>
            </w:r>
          </w:hyperlink>
        </w:p>
        <w:p w14:paraId="00FCD7B5" w14:textId="556DAF8A" w:rsidR="00020691" w:rsidRDefault="00020691">
          <w:pPr>
            <w:pStyle w:val="TOC2"/>
            <w:tabs>
              <w:tab w:val="right" w:leader="dot" w:pos="9402"/>
            </w:tabs>
            <w:rPr>
              <w:rFonts w:asciiTheme="minorHAnsi" w:eastAsiaTheme="minorEastAsia" w:hAnsiTheme="minorHAnsi" w:cstheme="minorBidi"/>
              <w:noProof/>
              <w:color w:val="auto"/>
              <w:kern w:val="2"/>
              <w:sz w:val="24"/>
              <w:lang w:eastAsia="ja-JP"/>
              <w14:ligatures w14:val="standardContextual"/>
            </w:rPr>
          </w:pPr>
          <w:hyperlink w:anchor="_Toc212044898" w:history="1">
            <w:r w:rsidRPr="005224D1">
              <w:rPr>
                <w:rStyle w:val="Hyperlink"/>
                <w:noProof/>
              </w:rPr>
              <w:t>Engagement</w:t>
            </w:r>
            <w:r>
              <w:rPr>
                <w:noProof/>
                <w:webHidden/>
              </w:rPr>
              <w:tab/>
            </w:r>
            <w:r>
              <w:rPr>
                <w:noProof/>
                <w:webHidden/>
              </w:rPr>
              <w:fldChar w:fldCharType="begin"/>
            </w:r>
            <w:r>
              <w:rPr>
                <w:noProof/>
                <w:webHidden/>
              </w:rPr>
              <w:instrText xml:space="preserve"> PAGEREF _Toc212044898 \h </w:instrText>
            </w:r>
            <w:r>
              <w:rPr>
                <w:noProof/>
                <w:webHidden/>
              </w:rPr>
            </w:r>
            <w:r>
              <w:rPr>
                <w:noProof/>
                <w:webHidden/>
              </w:rPr>
              <w:fldChar w:fldCharType="separate"/>
            </w:r>
            <w:r w:rsidR="00C37B4A">
              <w:rPr>
                <w:noProof/>
                <w:webHidden/>
              </w:rPr>
              <w:t>6</w:t>
            </w:r>
            <w:r>
              <w:rPr>
                <w:noProof/>
                <w:webHidden/>
              </w:rPr>
              <w:fldChar w:fldCharType="end"/>
            </w:r>
          </w:hyperlink>
        </w:p>
        <w:p w14:paraId="7EEBFD53" w14:textId="0E3D19D3" w:rsidR="00020691" w:rsidRDefault="00020691">
          <w:pPr>
            <w:pStyle w:val="TOC2"/>
            <w:tabs>
              <w:tab w:val="right" w:leader="dot" w:pos="9402"/>
            </w:tabs>
            <w:rPr>
              <w:rFonts w:asciiTheme="minorHAnsi" w:eastAsiaTheme="minorEastAsia" w:hAnsiTheme="minorHAnsi" w:cstheme="minorBidi"/>
              <w:noProof/>
              <w:color w:val="auto"/>
              <w:kern w:val="2"/>
              <w:sz w:val="24"/>
              <w:lang w:eastAsia="ja-JP"/>
              <w14:ligatures w14:val="standardContextual"/>
            </w:rPr>
          </w:pPr>
          <w:hyperlink w:anchor="_Toc212044899" w:history="1">
            <w:r w:rsidRPr="005224D1">
              <w:rPr>
                <w:rStyle w:val="Hyperlink"/>
                <w:noProof/>
              </w:rPr>
              <w:t>Emissions Reduction Targets</w:t>
            </w:r>
            <w:r>
              <w:rPr>
                <w:noProof/>
                <w:webHidden/>
              </w:rPr>
              <w:tab/>
            </w:r>
            <w:r>
              <w:rPr>
                <w:noProof/>
                <w:webHidden/>
              </w:rPr>
              <w:fldChar w:fldCharType="begin"/>
            </w:r>
            <w:r>
              <w:rPr>
                <w:noProof/>
                <w:webHidden/>
              </w:rPr>
              <w:instrText xml:space="preserve"> PAGEREF _Toc212044899 \h </w:instrText>
            </w:r>
            <w:r>
              <w:rPr>
                <w:noProof/>
                <w:webHidden/>
              </w:rPr>
            </w:r>
            <w:r>
              <w:rPr>
                <w:noProof/>
                <w:webHidden/>
              </w:rPr>
              <w:fldChar w:fldCharType="separate"/>
            </w:r>
            <w:r w:rsidR="00C37B4A">
              <w:rPr>
                <w:noProof/>
                <w:webHidden/>
              </w:rPr>
              <w:t>7</w:t>
            </w:r>
            <w:r>
              <w:rPr>
                <w:noProof/>
                <w:webHidden/>
              </w:rPr>
              <w:fldChar w:fldCharType="end"/>
            </w:r>
          </w:hyperlink>
        </w:p>
        <w:p w14:paraId="3E62550C" w14:textId="7D274148" w:rsidR="00020691" w:rsidRDefault="00020691">
          <w:pPr>
            <w:pStyle w:val="TOC3"/>
            <w:tabs>
              <w:tab w:val="right" w:leader="dot" w:pos="9402"/>
            </w:tabs>
            <w:rPr>
              <w:rFonts w:asciiTheme="minorHAnsi" w:eastAsiaTheme="minorEastAsia" w:hAnsiTheme="minorHAnsi" w:cstheme="minorBidi"/>
              <w:noProof/>
              <w:color w:val="auto"/>
              <w:kern w:val="2"/>
              <w:sz w:val="24"/>
              <w:lang w:eastAsia="ja-JP"/>
              <w14:ligatures w14:val="standardContextual"/>
            </w:rPr>
          </w:pPr>
          <w:hyperlink w:anchor="_Toc212044900" w:history="1">
            <w:r w:rsidRPr="005224D1">
              <w:rPr>
                <w:rStyle w:val="Hyperlink"/>
                <w:noProof/>
              </w:rPr>
              <w:t>Key Achievements</w:t>
            </w:r>
            <w:r>
              <w:rPr>
                <w:noProof/>
                <w:webHidden/>
              </w:rPr>
              <w:tab/>
            </w:r>
            <w:r>
              <w:rPr>
                <w:noProof/>
                <w:webHidden/>
              </w:rPr>
              <w:fldChar w:fldCharType="begin"/>
            </w:r>
            <w:r>
              <w:rPr>
                <w:noProof/>
                <w:webHidden/>
              </w:rPr>
              <w:instrText xml:space="preserve"> PAGEREF _Toc212044900 \h </w:instrText>
            </w:r>
            <w:r>
              <w:rPr>
                <w:noProof/>
                <w:webHidden/>
              </w:rPr>
            </w:r>
            <w:r>
              <w:rPr>
                <w:noProof/>
                <w:webHidden/>
              </w:rPr>
              <w:fldChar w:fldCharType="separate"/>
            </w:r>
            <w:r w:rsidR="00C37B4A">
              <w:rPr>
                <w:noProof/>
                <w:webHidden/>
              </w:rPr>
              <w:t>8</w:t>
            </w:r>
            <w:r>
              <w:rPr>
                <w:noProof/>
                <w:webHidden/>
              </w:rPr>
              <w:fldChar w:fldCharType="end"/>
            </w:r>
          </w:hyperlink>
        </w:p>
        <w:p w14:paraId="5D658CBE" w14:textId="356AEA1F" w:rsidR="00020691" w:rsidRDefault="00020691">
          <w:pPr>
            <w:pStyle w:val="TOC2"/>
            <w:tabs>
              <w:tab w:val="right" w:leader="dot" w:pos="9402"/>
            </w:tabs>
            <w:rPr>
              <w:rFonts w:asciiTheme="minorHAnsi" w:eastAsiaTheme="minorEastAsia" w:hAnsiTheme="minorHAnsi" w:cstheme="minorBidi"/>
              <w:noProof/>
              <w:color w:val="auto"/>
              <w:kern w:val="2"/>
              <w:sz w:val="24"/>
              <w:lang w:eastAsia="ja-JP"/>
              <w14:ligatures w14:val="standardContextual"/>
            </w:rPr>
          </w:pPr>
          <w:hyperlink w:anchor="_Toc212044901" w:history="1">
            <w:r w:rsidRPr="005224D1">
              <w:rPr>
                <w:rStyle w:val="Hyperlink"/>
                <w:noProof/>
              </w:rPr>
              <w:t>Priorities and Actions</w:t>
            </w:r>
            <w:r>
              <w:rPr>
                <w:noProof/>
                <w:webHidden/>
              </w:rPr>
              <w:tab/>
            </w:r>
            <w:r>
              <w:rPr>
                <w:noProof/>
                <w:webHidden/>
              </w:rPr>
              <w:fldChar w:fldCharType="begin"/>
            </w:r>
            <w:r>
              <w:rPr>
                <w:noProof/>
                <w:webHidden/>
              </w:rPr>
              <w:instrText xml:space="preserve"> PAGEREF _Toc212044901 \h </w:instrText>
            </w:r>
            <w:r>
              <w:rPr>
                <w:noProof/>
                <w:webHidden/>
              </w:rPr>
            </w:r>
            <w:r>
              <w:rPr>
                <w:noProof/>
                <w:webHidden/>
              </w:rPr>
              <w:fldChar w:fldCharType="separate"/>
            </w:r>
            <w:r w:rsidR="00C37B4A">
              <w:rPr>
                <w:noProof/>
                <w:webHidden/>
              </w:rPr>
              <w:t>9</w:t>
            </w:r>
            <w:r>
              <w:rPr>
                <w:noProof/>
                <w:webHidden/>
              </w:rPr>
              <w:fldChar w:fldCharType="end"/>
            </w:r>
          </w:hyperlink>
        </w:p>
        <w:p w14:paraId="5F9874D2" w14:textId="1BD537A2" w:rsidR="00BC47CB" w:rsidRDefault="00BC47CB" w:rsidP="00020691">
          <w:r w:rsidRPr="00020691">
            <w:fldChar w:fldCharType="end"/>
          </w:r>
        </w:p>
      </w:sdtContent>
    </w:sdt>
    <w:p w14:paraId="656B30DF" w14:textId="7ED76767" w:rsidR="00E309A9" w:rsidRPr="00BC47CB" w:rsidRDefault="00E309A9" w:rsidP="00BC47CB">
      <w:pPr>
        <w:rPr>
          <w:rFonts w:eastAsia="MS Gothic"/>
        </w:rPr>
        <w:sectPr w:rsidR="00E309A9" w:rsidRPr="00BC47CB" w:rsidSect="00E309A9">
          <w:headerReference w:type="even" r:id="rId15"/>
          <w:footerReference w:type="default" r:id="rId16"/>
          <w:headerReference w:type="first" r:id="rId17"/>
          <w:pgSz w:w="11906" w:h="16838"/>
          <w:pgMar w:top="1701" w:right="1247" w:bottom="1247" w:left="1247" w:header="709" w:footer="709" w:gutter="0"/>
          <w:pgNumType w:fmt="lowerRoman" w:start="1"/>
          <w:cols w:space="708"/>
          <w:docGrid w:linePitch="360"/>
        </w:sectPr>
      </w:pPr>
    </w:p>
    <w:p w14:paraId="24F9EF38" w14:textId="5598335C" w:rsidR="00CE6502" w:rsidRDefault="00DA20F4" w:rsidP="003D2D88">
      <w:pPr>
        <w:pStyle w:val="Heading1"/>
      </w:pPr>
      <w:bookmarkStart w:id="0" w:name="_Toc212044807"/>
      <w:bookmarkStart w:id="1" w:name="_Toc212044889"/>
      <w:r>
        <w:lastRenderedPageBreak/>
        <w:t>Acknowledgement of Country</w:t>
      </w:r>
      <w:bookmarkEnd w:id="0"/>
      <w:bookmarkEnd w:id="1"/>
    </w:p>
    <w:p w14:paraId="2AEE5C92" w14:textId="04676027" w:rsidR="00373FE3" w:rsidRPr="00020691" w:rsidRDefault="00373FE3" w:rsidP="003616FB">
      <w:r w:rsidRPr="009A7F5A">
        <w:t>The Department of Health</w:t>
      </w:r>
      <w:r>
        <w:t xml:space="preserve">, Disability and Ageing </w:t>
      </w:r>
      <w:r w:rsidRPr="009A7F5A">
        <w:t>acknowledges the Traditional Owners and custodians of the lands on which we work, and we pay our respects to their Elders past, present and emerging.</w:t>
      </w:r>
    </w:p>
    <w:p w14:paraId="3DBB63FF" w14:textId="77777777" w:rsidR="00373FE3" w:rsidRDefault="00373FE3" w:rsidP="00373FE3"/>
    <w:p w14:paraId="6B5E7202" w14:textId="77777777" w:rsidR="00373FE3" w:rsidRDefault="00373FE3" w:rsidP="00373FE3">
      <w:pPr>
        <w:sectPr w:rsidR="00373FE3" w:rsidSect="00A74345">
          <w:headerReference w:type="default" r:id="rId18"/>
          <w:footerReference w:type="default" r:id="rId19"/>
          <w:pgSz w:w="11906" w:h="16838"/>
          <w:pgMar w:top="1701" w:right="1418" w:bottom="1418" w:left="1418" w:header="709" w:footer="709" w:gutter="0"/>
          <w:cols w:space="708"/>
          <w:docGrid w:linePitch="360"/>
        </w:sectPr>
      </w:pPr>
    </w:p>
    <w:p w14:paraId="023D75D3" w14:textId="77777777" w:rsidR="00F81003" w:rsidRPr="003616FB" w:rsidRDefault="00F81003" w:rsidP="003616FB">
      <w:pPr>
        <w:pStyle w:val="Heading1"/>
      </w:pPr>
      <w:bookmarkStart w:id="2" w:name="_Toc212044808"/>
      <w:bookmarkStart w:id="3" w:name="_Toc212044890"/>
      <w:r w:rsidRPr="003616FB">
        <w:lastRenderedPageBreak/>
        <w:t>Accountable Authority Sign Off</w:t>
      </w:r>
      <w:bookmarkEnd w:id="2"/>
      <w:bookmarkEnd w:id="3"/>
    </w:p>
    <w:p w14:paraId="0ADDD24F" w14:textId="77777777" w:rsidR="00F81003" w:rsidRDefault="00F81003" w:rsidP="00E01DA4">
      <w:r>
        <w:t xml:space="preserve">The Australian Government released the Net Zero in Government Operations Strategy in November 2023, setting out the overall approach and action required by Commonwealth entities to achieve the APS Net Zero 2030 target. </w:t>
      </w:r>
    </w:p>
    <w:p w14:paraId="7AD9CC15" w14:textId="77777777" w:rsidR="00F81003" w:rsidRDefault="00F81003" w:rsidP="00E01DA4">
      <w:r>
        <w:t xml:space="preserve">The Net Zero in Government Operations Strategy represents a strong commitment by the Australian Government to lead by example on emissions reduction and contribute to the decarbonisation of Australia’s economy. </w:t>
      </w:r>
    </w:p>
    <w:p w14:paraId="107738FC" w14:textId="0335EA02" w:rsidR="00F81003" w:rsidRDefault="00F81003" w:rsidP="00E01DA4">
      <w:r>
        <w:t>The Department of Health</w:t>
      </w:r>
      <w:r w:rsidR="1882C722">
        <w:t>, Disability</w:t>
      </w:r>
      <w:r>
        <w:t xml:space="preserve"> </w:t>
      </w:r>
      <w:r w:rsidR="39883A7F">
        <w:t>and</w:t>
      </w:r>
      <w:r>
        <w:t xml:space="preserve"> Age</w:t>
      </w:r>
      <w:r w:rsidR="5907405E">
        <w:t>ing</w:t>
      </w:r>
      <w:r>
        <w:t xml:space="preserve"> (the Department) is committed to implementing the Government’s APS Net Zero in Government Operations Strategy and the APS Net Zero 2030 target in full.</w:t>
      </w:r>
    </w:p>
    <w:p w14:paraId="33C0ADB3" w14:textId="6F3F90A4" w:rsidR="00F81003" w:rsidRDefault="00F81003" w:rsidP="00E01DA4">
      <w:r>
        <w:t xml:space="preserve">This Emissions Reduction Plan describes the priorities and </w:t>
      </w:r>
      <w:r w:rsidR="00B71930">
        <w:t xml:space="preserve">key </w:t>
      </w:r>
      <w:r>
        <w:t>action</w:t>
      </w:r>
      <w:r w:rsidR="006576E7">
        <w:t>s</w:t>
      </w:r>
      <w:r>
        <w:t xml:space="preserve"> the Department is taking to reduce our operational emissions and contribute to the APS Net Zero 2030 target.</w:t>
      </w:r>
    </w:p>
    <w:p w14:paraId="01D46CFF" w14:textId="4CBBB4F1" w:rsidR="00F81003" w:rsidRDefault="002D2E61" w:rsidP="00F81003">
      <w:r>
        <w:rPr>
          <w:noProof/>
        </w:rPr>
        <mc:AlternateContent>
          <mc:Choice Requires="wpi">
            <w:drawing>
              <wp:inline distT="0" distB="0" distL="0" distR="0" wp14:anchorId="47E51811" wp14:editId="23E6DBAD">
                <wp:extent cx="1275480" cy="534960"/>
                <wp:effectExtent l="38100" t="38100" r="39370" b="36830"/>
                <wp:docPr id="943372389" name="Ink 2" descr="Signature of Rachel Balmanno&#10;Chief Operating Officer&#10;Department of Health, Disability and Ageing&#10;"/>
                <wp:cNvGraphicFramePr/>
                <a:graphic xmlns:a="http://schemas.openxmlformats.org/drawingml/2006/main">
                  <a:graphicData uri="http://schemas.microsoft.com/office/word/2010/wordprocessingInk">
                    <w14:contentPart bwMode="auto" r:id="rId20">
                      <w14:nvContentPartPr>
                        <w14:cNvContentPartPr/>
                      </w14:nvContentPartPr>
                      <w14:xfrm>
                        <a:off x="0" y="0"/>
                        <a:ext cx="1275480" cy="534960"/>
                      </w14:xfrm>
                    </w14:contentPart>
                  </a:graphicData>
                </a:graphic>
              </wp:inline>
            </w:drawing>
          </mc:Choice>
          <mc:Fallback>
            <w:pict>
              <v:shapetype w14:anchorId="0A4359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i1025" type="#_x0000_t75" alt="Signature of Rachel Balmanno&#10;Chief Operating Officer&#10;Department of Health, Disability and Ageing&#10;" style="width:101.15pt;height:42.8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">
                <v:imagedata r:id="rId21" o:title="Signature of Rachel Balmanno&#10;Chief Operating Officer&#10;Department of Health, Disability and Ageing&#10;"/>
              </v:shape>
            </w:pict>
          </mc:Fallback>
        </mc:AlternateContent>
      </w:r>
    </w:p>
    <w:p w14:paraId="5D05D601" w14:textId="77777777" w:rsidR="006576E7" w:rsidRDefault="006576E7" w:rsidP="00DF3147">
      <w:r>
        <w:t xml:space="preserve">Rachel </w:t>
      </w:r>
      <w:proofErr w:type="spellStart"/>
      <w:r>
        <w:t>Balmanno</w:t>
      </w:r>
      <w:proofErr w:type="spellEnd"/>
    </w:p>
    <w:p w14:paraId="5EEB5C9E" w14:textId="21C5792A" w:rsidR="00F81003" w:rsidRPr="00B71930" w:rsidRDefault="00F81003" w:rsidP="00DF3147">
      <w:r>
        <w:t xml:space="preserve">Chief </w:t>
      </w:r>
      <w:r w:rsidR="7F74D4B7">
        <w:t>Operating</w:t>
      </w:r>
      <w:r>
        <w:t xml:space="preserve"> </w:t>
      </w:r>
      <w:r w:rsidRPr="00B71930">
        <w:t>Officer</w:t>
      </w:r>
    </w:p>
    <w:p w14:paraId="064D14BC" w14:textId="3ADD7C0A" w:rsidR="00F81003" w:rsidRPr="00B71930" w:rsidRDefault="00B71930" w:rsidP="00DF3147">
      <w:r w:rsidRPr="00B71930">
        <w:t>Department of Health</w:t>
      </w:r>
      <w:r w:rsidRPr="00020691">
        <w:t>, Disability and Ageing</w:t>
      </w:r>
    </w:p>
    <w:p w14:paraId="56212306" w14:textId="0AD08E26" w:rsidR="00F81003" w:rsidRPr="006F09CC" w:rsidRDefault="7EEE853F" w:rsidP="00DF3147">
      <w:r>
        <w:t>26</w:t>
      </w:r>
      <w:r w:rsidR="00C6320C">
        <w:t xml:space="preserve"> </w:t>
      </w:r>
      <w:r w:rsidR="00F81003">
        <w:t>September 2025</w:t>
      </w:r>
    </w:p>
    <w:p w14:paraId="3F0CDBF1" w14:textId="77777777" w:rsidR="00373FE3" w:rsidRDefault="00373FE3" w:rsidP="00373FE3"/>
    <w:p w14:paraId="3C0C8435" w14:textId="77777777" w:rsidR="00727560" w:rsidRDefault="00727560" w:rsidP="00373FE3">
      <w:pPr>
        <w:sectPr w:rsidR="00727560" w:rsidSect="00A74345">
          <w:pgSz w:w="11906" w:h="16838"/>
          <w:pgMar w:top="1701" w:right="1418" w:bottom="1418" w:left="1418" w:header="709" w:footer="709" w:gutter="0"/>
          <w:cols w:space="708"/>
          <w:docGrid w:linePitch="360"/>
        </w:sectPr>
      </w:pPr>
    </w:p>
    <w:p w14:paraId="5D1C716D" w14:textId="6FE0FB12" w:rsidR="00727560" w:rsidRDefault="00727560" w:rsidP="00727560">
      <w:pPr>
        <w:pStyle w:val="Heading1"/>
      </w:pPr>
      <w:bookmarkStart w:id="4" w:name="_Toc212044809"/>
      <w:bookmarkStart w:id="5" w:name="_Toc212044891"/>
      <w:r>
        <w:lastRenderedPageBreak/>
        <w:t>Emissions Reduction Plan</w:t>
      </w:r>
      <w:bookmarkEnd w:id="4"/>
      <w:bookmarkEnd w:id="5"/>
    </w:p>
    <w:p w14:paraId="73B49511" w14:textId="69FE742A" w:rsidR="00CE6502" w:rsidRDefault="003D58A7" w:rsidP="00E01DA4">
      <w:pPr>
        <w:pStyle w:val="Heading2"/>
      </w:pPr>
      <w:bookmarkStart w:id="6" w:name="_Toc212044810"/>
      <w:bookmarkStart w:id="7" w:name="_Toc212044892"/>
      <w:r>
        <w:t>Purpose</w:t>
      </w:r>
      <w:bookmarkEnd w:id="6"/>
      <w:bookmarkEnd w:id="7"/>
    </w:p>
    <w:p w14:paraId="67497306" w14:textId="77777777" w:rsidR="00524256" w:rsidRPr="00E01DA4" w:rsidRDefault="00524256" w:rsidP="00E01DA4">
      <w:r w:rsidRPr="00E01DA4">
        <w:t>This iteration of the Emissions Reduction Plan builds on the successes and lessons learned during the 2024–25 reporting period and sets a forward-looking agenda to guide the Department’s contribution to net zero emissions by 2030. It reflects a maturing approach to emissions reduction, aligning with the Australian Government’s Net Zero in Government Operations Strategy, developed by the Department of Finance.</w:t>
      </w:r>
    </w:p>
    <w:p w14:paraId="1E7F7E8B" w14:textId="6FACC4FB" w:rsidR="00524256" w:rsidRPr="00E01DA4" w:rsidRDefault="00524256" w:rsidP="00E01DA4">
      <w:r w:rsidRPr="00E01DA4">
        <w:t xml:space="preserve">The Strategy outlines the Government’s commitment to achieving net zero greenhouse gas emissions from its operations by 2030 and reinstates public emissions reporting. In response, this </w:t>
      </w:r>
      <w:r w:rsidR="4D55531D" w:rsidRPr="00E01DA4">
        <w:t>p</w:t>
      </w:r>
      <w:r w:rsidRPr="00E01DA4">
        <w:t>lan details how the Department will continue to reduce emissions through targeted activities and initiatives, incorporating both existing priorities and new actions identified through recent experience.</w:t>
      </w:r>
    </w:p>
    <w:p w14:paraId="079AD7D4" w14:textId="36DE7ABE" w:rsidR="00524256" w:rsidRPr="00E01DA4" w:rsidRDefault="00524256" w:rsidP="00E01DA4">
      <w:r w:rsidRPr="00E01DA4">
        <w:t xml:space="preserve">Developed in accordance with the Strategy, associated guidance, and reporting standards, the Plan supports the Department’s role in the whole-of-government effort to meet the APS Net Zero 2030 target. It includes scope 1 and scope 2 emissions from activities across Australia and its </w:t>
      </w:r>
      <w:r w:rsidR="00D07ADB" w:rsidRPr="00E01DA4">
        <w:t>territories and</w:t>
      </w:r>
      <w:r w:rsidRPr="00E01DA4">
        <w:t xml:space="preserve"> applies to the Department in its entirety.</w:t>
      </w:r>
    </w:p>
    <w:p w14:paraId="1211296B" w14:textId="42F695C5" w:rsidR="00D07ADB" w:rsidRPr="00E01DA4" w:rsidRDefault="00524256" w:rsidP="00E01DA4">
      <w:r w:rsidRPr="00E01DA4">
        <w:t>By focusing on emissions within our operational control, this Plan aims to drive meaningful reductions while embedding sustainability into core business practices. It also sets the foundation for future planning cycles, ensuring the Department remains on track to meet its 2030 commitments.</w:t>
      </w:r>
    </w:p>
    <w:p w14:paraId="08A8FE8C" w14:textId="352CD02F" w:rsidR="00B5585D" w:rsidRDefault="00B5585D" w:rsidP="00E01DA4">
      <w:pPr>
        <w:pStyle w:val="Heading2"/>
      </w:pPr>
      <w:bookmarkStart w:id="8" w:name="_Toc212044811"/>
      <w:bookmarkStart w:id="9" w:name="_Toc212044893"/>
      <w:r>
        <w:t>The Department’s operational context</w:t>
      </w:r>
      <w:bookmarkEnd w:id="8"/>
      <w:bookmarkEnd w:id="9"/>
    </w:p>
    <w:p w14:paraId="617ED774" w14:textId="0EEEDF2E" w:rsidR="00D710C9" w:rsidRPr="00E01DA4" w:rsidRDefault="0028318D" w:rsidP="002D5D83">
      <w:pPr>
        <w:rPr>
          <w:rFonts w:eastAsia="Arial"/>
        </w:rPr>
      </w:pPr>
      <w:r w:rsidRPr="00D4575A">
        <w:rPr>
          <w:rFonts w:eastAsia="Arial"/>
        </w:rPr>
        <w:t>The Department maintains a national presence across all Australian states and territories</w:t>
      </w:r>
      <w:r w:rsidR="00C03364" w:rsidRPr="00D4575A">
        <w:rPr>
          <w:rFonts w:eastAsia="Arial"/>
        </w:rPr>
        <w:t xml:space="preserve"> and a</w:t>
      </w:r>
      <w:r w:rsidR="00145534" w:rsidRPr="00D4575A">
        <w:rPr>
          <w:rFonts w:eastAsia="Arial"/>
        </w:rPr>
        <w:t xml:space="preserve"> </w:t>
      </w:r>
      <w:r w:rsidRPr="00E01DA4">
        <w:rPr>
          <w:rFonts w:eastAsia="Arial"/>
        </w:rPr>
        <w:t>workforce comprising approximately 10,308</w:t>
      </w:r>
      <w:r w:rsidR="00994BCD" w:rsidRPr="00E01DA4">
        <w:rPr>
          <w:rFonts w:eastAsia="Arial"/>
        </w:rPr>
        <w:footnoteReference w:id="2"/>
      </w:r>
      <w:r w:rsidRPr="00E01DA4">
        <w:rPr>
          <w:rFonts w:eastAsia="Arial"/>
        </w:rPr>
        <w:t xml:space="preserve"> personnel, including contractors. </w:t>
      </w:r>
      <w:r w:rsidR="00D710C9" w:rsidRPr="00E01DA4">
        <w:rPr>
          <w:rFonts w:eastAsia="Arial"/>
        </w:rPr>
        <w:t xml:space="preserve">This represents </w:t>
      </w:r>
      <w:r w:rsidR="006C2DAA" w:rsidRPr="00E01DA4">
        <w:rPr>
          <w:rFonts w:eastAsia="Arial"/>
        </w:rPr>
        <w:t xml:space="preserve">workforce </w:t>
      </w:r>
      <w:r w:rsidR="00D710C9" w:rsidRPr="00E01DA4">
        <w:rPr>
          <w:rFonts w:eastAsia="Arial"/>
        </w:rPr>
        <w:t>growth of approximately 6% compared to the previous year.</w:t>
      </w:r>
    </w:p>
    <w:p w14:paraId="39153306" w14:textId="27BBACAB" w:rsidR="00A56E96" w:rsidRPr="00E01DA4" w:rsidRDefault="00A56E96" w:rsidP="002D5D83">
      <w:pPr>
        <w:rPr>
          <w:rFonts w:eastAsia="Arial"/>
        </w:rPr>
      </w:pPr>
      <w:r w:rsidRPr="00E01DA4">
        <w:rPr>
          <w:rFonts w:eastAsia="Arial"/>
        </w:rPr>
        <w:t xml:space="preserve">Our facilities include </w:t>
      </w:r>
      <w:r w:rsidR="00A908B8" w:rsidRPr="00E01DA4">
        <w:rPr>
          <w:rFonts w:eastAsia="Arial"/>
        </w:rPr>
        <w:t>1</w:t>
      </w:r>
      <w:r w:rsidR="0078098E" w:rsidRPr="00E01DA4">
        <w:rPr>
          <w:rFonts w:eastAsia="Arial"/>
        </w:rPr>
        <w:t>7</w:t>
      </w:r>
      <w:r w:rsidRPr="00E01DA4">
        <w:rPr>
          <w:rFonts w:eastAsia="Arial"/>
        </w:rPr>
        <w:t xml:space="preserve"> office spaces within a mix of sole-tenanted and multi-tenanted buildings. </w:t>
      </w:r>
      <w:r w:rsidR="00E80AEC" w:rsidRPr="00E01DA4">
        <w:rPr>
          <w:rFonts w:eastAsia="Arial"/>
        </w:rPr>
        <w:t xml:space="preserve">Included in </w:t>
      </w:r>
      <w:r w:rsidR="00ED072C" w:rsidRPr="00E01DA4">
        <w:rPr>
          <w:rFonts w:eastAsia="Arial"/>
        </w:rPr>
        <w:t>our</w:t>
      </w:r>
      <w:r w:rsidR="00E80AEC" w:rsidRPr="00E01DA4">
        <w:rPr>
          <w:rFonts w:eastAsia="Arial"/>
        </w:rPr>
        <w:t xml:space="preserve"> footprint are several regional locations and a specialised laboratory</w:t>
      </w:r>
      <w:r w:rsidR="00ED072C" w:rsidRPr="00E01DA4">
        <w:rPr>
          <w:rFonts w:eastAsia="Arial"/>
        </w:rPr>
        <w:t xml:space="preserve">. This presents unique operational challenges that add complexity to our emissions reduction </w:t>
      </w:r>
      <w:r w:rsidR="006379F6" w:rsidRPr="00E01DA4">
        <w:rPr>
          <w:rFonts w:eastAsia="Arial"/>
        </w:rPr>
        <w:t>approach</w:t>
      </w:r>
      <w:r w:rsidR="00ED072C" w:rsidRPr="00E01DA4">
        <w:rPr>
          <w:rFonts w:eastAsia="Arial"/>
        </w:rPr>
        <w:t>.</w:t>
      </w:r>
    </w:p>
    <w:p w14:paraId="38147621" w14:textId="5AFC77DC" w:rsidR="00712228" w:rsidRPr="002D5D83" w:rsidRDefault="00712228" w:rsidP="002D5D83">
      <w:pPr>
        <w:rPr>
          <w:rFonts w:eastAsia="Arial"/>
        </w:rPr>
      </w:pPr>
      <w:r w:rsidRPr="00712228">
        <w:rPr>
          <w:rFonts w:eastAsia="Arial"/>
        </w:rPr>
        <w:t xml:space="preserve">The Department shares tenancy arrangements and provides corporate services to several agencies and statutory office holders within its portfolio. In collaboration with these entities, </w:t>
      </w:r>
      <w:r w:rsidR="00171C1F" w:rsidRPr="00171C1F">
        <w:rPr>
          <w:rFonts w:eastAsia="Arial"/>
        </w:rPr>
        <w:t>the Department is actively progressing net-zero emissions pathways aligned with the objectives of the strategy. Key initiatives undertaken include:</w:t>
      </w:r>
    </w:p>
    <w:p w14:paraId="04049740" w14:textId="45E775D1" w:rsidR="00712228" w:rsidRPr="00354039" w:rsidRDefault="006379F6" w:rsidP="00354039">
      <w:pPr>
        <w:pStyle w:val="ListBullet"/>
      </w:pPr>
      <w:r w:rsidRPr="00354039">
        <w:t>c</w:t>
      </w:r>
      <w:r w:rsidR="00712228" w:rsidRPr="00354039">
        <w:t>onsolidating leased premises, with a preference for energy-efficient buildings in new lease agreements and the integration of sustainable design principles into workspace planning</w:t>
      </w:r>
    </w:p>
    <w:p w14:paraId="3F2B1BC3" w14:textId="16E4B630" w:rsidR="00712228" w:rsidRPr="00354039" w:rsidRDefault="006379F6" w:rsidP="00354039">
      <w:pPr>
        <w:pStyle w:val="ListBullet"/>
      </w:pPr>
      <w:r w:rsidRPr="00354039">
        <w:t>o</w:t>
      </w:r>
      <w:r w:rsidR="00712228" w:rsidRPr="00354039">
        <w:t>ptimising the vehicle fleet, including the transition to low-emission and electric vehicles</w:t>
      </w:r>
      <w:r w:rsidRPr="00354039">
        <w:t>, and</w:t>
      </w:r>
    </w:p>
    <w:p w14:paraId="46C07A74" w14:textId="075A2CD5" w:rsidR="00712228" w:rsidRPr="00354039" w:rsidRDefault="006379F6" w:rsidP="00354039">
      <w:pPr>
        <w:pStyle w:val="ListBullet"/>
      </w:pPr>
      <w:r w:rsidRPr="00354039">
        <w:t>i</w:t>
      </w:r>
      <w:r w:rsidR="00712228" w:rsidRPr="00354039">
        <w:t>mplementing measures to reduce waste across operations</w:t>
      </w:r>
      <w:r w:rsidRPr="00354039">
        <w:t>.</w:t>
      </w:r>
    </w:p>
    <w:p w14:paraId="16D19D09" w14:textId="2C8BBD0B" w:rsidR="0031391E" w:rsidRPr="00D4575A" w:rsidRDefault="0031391E" w:rsidP="002D5D83">
      <w:pPr>
        <w:rPr>
          <w:rFonts w:eastAsia="Arial"/>
        </w:rPr>
      </w:pPr>
      <w:r w:rsidRPr="00D4575A">
        <w:rPr>
          <w:rFonts w:eastAsia="Arial"/>
        </w:rPr>
        <w:lastRenderedPageBreak/>
        <w:t xml:space="preserve">Several changes in the Department’s operating environment influenced emissions reduction initiatives during the </w:t>
      </w:r>
      <w:r w:rsidR="00445E83" w:rsidRPr="00D4575A">
        <w:rPr>
          <w:rFonts w:eastAsia="Arial"/>
        </w:rPr>
        <w:t>previous</w:t>
      </w:r>
      <w:r w:rsidRPr="00D4575A">
        <w:rPr>
          <w:rFonts w:eastAsia="Arial"/>
        </w:rPr>
        <w:t xml:space="preserve"> period. These included:</w:t>
      </w:r>
    </w:p>
    <w:p w14:paraId="57DEA023" w14:textId="7FE2F327" w:rsidR="0031391E" w:rsidRPr="00354039" w:rsidRDefault="00445E83" w:rsidP="00354039">
      <w:pPr>
        <w:pStyle w:val="ListBullet"/>
      </w:pPr>
      <w:r w:rsidRPr="00354039">
        <w:t>a</w:t>
      </w:r>
      <w:r w:rsidR="0031391E" w:rsidRPr="00354039">
        <w:t xml:space="preserve">n increase in personnel, including a broader dispersion to regional areas, which introduced new </w:t>
      </w:r>
      <w:proofErr w:type="gramStart"/>
      <w:r w:rsidR="0031391E" w:rsidRPr="00354039">
        <w:t>logistical</w:t>
      </w:r>
      <w:proofErr w:type="gramEnd"/>
      <w:r w:rsidR="0031391E" w:rsidRPr="00354039">
        <w:t xml:space="preserve"> and infrastructure demands</w:t>
      </w:r>
      <w:r w:rsidRPr="00354039">
        <w:t>, and</w:t>
      </w:r>
    </w:p>
    <w:p w14:paraId="12B24CA4" w14:textId="7DC6F1D8" w:rsidR="0031391E" w:rsidRPr="00354039" w:rsidRDefault="00445E83" w:rsidP="00354039">
      <w:pPr>
        <w:pStyle w:val="ListBullet"/>
      </w:pPr>
      <w:r w:rsidRPr="00354039">
        <w:t>a</w:t>
      </w:r>
      <w:r w:rsidR="0031391E" w:rsidRPr="00354039">
        <w:t>n expansion of the vehicle fleet, with eight additional vehicles acquired—four of which were diesel—to meet operational needs in regional locations where EV charging infrastructure remains limited.</w:t>
      </w:r>
    </w:p>
    <w:p w14:paraId="4C2F896D" w14:textId="0919337F" w:rsidR="00521797" w:rsidRDefault="00521797" w:rsidP="00E01DA4">
      <w:pPr>
        <w:pStyle w:val="Heading2"/>
      </w:pPr>
      <w:bookmarkStart w:id="10" w:name="_Toc212044812"/>
      <w:bookmarkStart w:id="11" w:name="_Toc212044894"/>
      <w:r>
        <w:t>Baseline Emissions</w:t>
      </w:r>
      <w:bookmarkEnd w:id="10"/>
      <w:bookmarkEnd w:id="11"/>
    </w:p>
    <w:p w14:paraId="7B6A22A4" w14:textId="11E6DA54" w:rsidR="00616E1F" w:rsidRPr="00D4575A" w:rsidRDefault="00616E1F" w:rsidP="002D5D83">
      <w:pPr>
        <w:rPr>
          <w:rFonts w:eastAsia="Arial"/>
        </w:rPr>
      </w:pPr>
      <w:r w:rsidRPr="00D4575A">
        <w:rPr>
          <w:rFonts w:eastAsia="Arial"/>
        </w:rPr>
        <w:t>In alignment with the Australian Public Service (APS) Net Zero Strategy, the Department has established baseline emissions using data from the 2022–23 financial year. These baseline emissions represent the greenhouse gases produced prior to the implementation of targeted emissions reduction strategies and serve as the reference point against which progress will be measured.</w:t>
      </w:r>
    </w:p>
    <w:p w14:paraId="7E1AB86F" w14:textId="7C1DA2CC" w:rsidR="001529A4" w:rsidRPr="00020691" w:rsidRDefault="001529A4" w:rsidP="00020691">
      <w:pPr>
        <w:pStyle w:val="Caption"/>
      </w:pPr>
      <w:r w:rsidRPr="00020691">
        <w:t xml:space="preserve">Table: </w:t>
      </w:r>
      <w:r w:rsidR="00C4241F" w:rsidRPr="00020691">
        <w:t>B</w:t>
      </w:r>
      <w:r w:rsidRPr="00020691">
        <w:t xml:space="preserve">aseline emissions </w:t>
      </w:r>
      <w:r w:rsidR="00A97B7A" w:rsidRPr="00020691">
        <w:t xml:space="preserve">2022-23 </w:t>
      </w:r>
      <w:r w:rsidRPr="00020691">
        <w:t>data</w:t>
      </w:r>
    </w:p>
    <w:tbl>
      <w:tblPr>
        <w:tblW w:w="0" w:type="auto"/>
        <w:tblLook w:val="04A0" w:firstRow="1" w:lastRow="0" w:firstColumn="1" w:lastColumn="0" w:noHBand="0" w:noVBand="1"/>
      </w:tblPr>
      <w:tblGrid>
        <w:gridCol w:w="2538"/>
        <w:gridCol w:w="6532"/>
      </w:tblGrid>
      <w:tr w:rsidR="001529A4" w:rsidRPr="00121D4A" w14:paraId="76D4C1B8" w14:textId="77777777">
        <w:trPr>
          <w:trHeight w:val="412"/>
        </w:trPr>
        <w:tc>
          <w:tcPr>
            <w:tcW w:w="2552" w:type="dxa"/>
            <w:tcBorders>
              <w:top w:val="single" w:sz="12" w:space="0" w:color="359D9A"/>
              <w:left w:val="nil"/>
              <w:bottom w:val="single" w:sz="8" w:space="0" w:color="000000"/>
              <w:right w:val="nil"/>
            </w:tcBorders>
            <w:shd w:val="clear" w:color="auto" w:fill="78D1CE"/>
            <w:hideMark/>
          </w:tcPr>
          <w:p w14:paraId="62227A73" w14:textId="77777777" w:rsidR="001529A4" w:rsidRPr="00D4575A" w:rsidRDefault="001529A4" w:rsidP="002D5D83">
            <w:pPr>
              <w:rPr>
                <w:rFonts w:eastAsia="Arial"/>
              </w:rPr>
            </w:pPr>
            <w:r w:rsidRPr="00D4575A">
              <w:rPr>
                <w:rFonts w:eastAsia="Arial"/>
              </w:rPr>
              <w:t>Baseline year</w:t>
            </w:r>
          </w:p>
        </w:tc>
        <w:tc>
          <w:tcPr>
            <w:tcW w:w="6583" w:type="dxa"/>
            <w:tcBorders>
              <w:top w:val="single" w:sz="12" w:space="0" w:color="359D9A"/>
              <w:left w:val="nil"/>
              <w:bottom w:val="single" w:sz="8" w:space="0" w:color="000000"/>
              <w:right w:val="nil"/>
            </w:tcBorders>
            <w:shd w:val="clear" w:color="auto" w:fill="D2F0EF"/>
            <w:hideMark/>
          </w:tcPr>
          <w:p w14:paraId="5FC07EFE" w14:textId="77777777" w:rsidR="001529A4" w:rsidRPr="00121D4A" w:rsidRDefault="001529A4">
            <w:pPr>
              <w:rPr>
                <w:rFonts w:eastAsia="Arial" w:cs="Arial"/>
                <w:color w:val="000000"/>
                <w:szCs w:val="22"/>
              </w:rPr>
            </w:pPr>
            <w:r w:rsidRPr="002D5D83">
              <w:rPr>
                <w:rFonts w:eastAsia="Arial"/>
              </w:rPr>
              <w:t xml:space="preserve">Financial year 2022-23 – </w:t>
            </w:r>
            <w:r w:rsidRPr="00D4575A">
              <w:rPr>
                <w:rStyle w:val="Strong"/>
                <w:rFonts w:eastAsia="Arial"/>
              </w:rPr>
              <w:t>location based</w:t>
            </w:r>
          </w:p>
        </w:tc>
      </w:tr>
      <w:tr w:rsidR="001529A4" w:rsidRPr="00121D4A" w14:paraId="5CE2D3B0" w14:textId="77777777">
        <w:trPr>
          <w:trHeight w:val="407"/>
        </w:trPr>
        <w:tc>
          <w:tcPr>
            <w:tcW w:w="2552" w:type="dxa"/>
            <w:tcBorders>
              <w:top w:val="nil"/>
              <w:left w:val="nil"/>
              <w:bottom w:val="single" w:sz="8" w:space="0" w:color="000000"/>
              <w:right w:val="nil"/>
            </w:tcBorders>
            <w:shd w:val="clear" w:color="auto" w:fill="78D1CE"/>
            <w:hideMark/>
          </w:tcPr>
          <w:p w14:paraId="5B189BD0" w14:textId="77777777" w:rsidR="001529A4" w:rsidRPr="00D4575A" w:rsidRDefault="001529A4" w:rsidP="002D5D83">
            <w:pPr>
              <w:rPr>
                <w:rFonts w:eastAsia="Arial"/>
              </w:rPr>
            </w:pPr>
            <w:r w:rsidRPr="00D4575A">
              <w:rPr>
                <w:rFonts w:eastAsia="Arial"/>
              </w:rPr>
              <w:t>Scope 1 emissions</w:t>
            </w:r>
          </w:p>
        </w:tc>
        <w:tc>
          <w:tcPr>
            <w:tcW w:w="6583" w:type="dxa"/>
            <w:tcBorders>
              <w:top w:val="nil"/>
              <w:left w:val="nil"/>
              <w:bottom w:val="single" w:sz="8" w:space="0" w:color="000000"/>
              <w:right w:val="nil"/>
            </w:tcBorders>
            <w:shd w:val="clear" w:color="auto" w:fill="D2F0EF"/>
            <w:hideMark/>
          </w:tcPr>
          <w:p w14:paraId="5A1E7106" w14:textId="77777777" w:rsidR="001529A4" w:rsidRPr="00121D4A" w:rsidRDefault="001529A4">
            <w:pPr>
              <w:rPr>
                <w:rFonts w:eastAsia="Arial" w:cs="Arial"/>
                <w:color w:val="000000"/>
                <w:szCs w:val="22"/>
              </w:rPr>
            </w:pPr>
            <w:r w:rsidRPr="002D5D83">
              <w:rPr>
                <w:rFonts w:eastAsia="Arial"/>
              </w:rPr>
              <w:t>736,448 kg CO</w:t>
            </w:r>
            <w:r w:rsidRPr="00D4575A">
              <w:rPr>
                <w:rFonts w:eastAsia="Arial"/>
                <w:vertAlign w:val="subscript"/>
              </w:rPr>
              <w:t>2</w:t>
            </w:r>
            <w:r w:rsidRPr="002D5D83">
              <w:rPr>
                <w:rFonts w:eastAsia="Arial"/>
              </w:rPr>
              <w:t>e</w:t>
            </w:r>
          </w:p>
        </w:tc>
      </w:tr>
      <w:tr w:rsidR="001529A4" w:rsidRPr="00121D4A" w14:paraId="336E06BF" w14:textId="77777777">
        <w:trPr>
          <w:trHeight w:val="407"/>
        </w:trPr>
        <w:tc>
          <w:tcPr>
            <w:tcW w:w="2552" w:type="dxa"/>
            <w:tcBorders>
              <w:top w:val="nil"/>
              <w:left w:val="nil"/>
              <w:bottom w:val="single" w:sz="8" w:space="0" w:color="000000"/>
              <w:right w:val="nil"/>
            </w:tcBorders>
            <w:shd w:val="clear" w:color="auto" w:fill="78D1CE"/>
            <w:hideMark/>
          </w:tcPr>
          <w:p w14:paraId="04DFDEFB" w14:textId="77777777" w:rsidR="001529A4" w:rsidRPr="00D4575A" w:rsidRDefault="001529A4" w:rsidP="002D5D83">
            <w:pPr>
              <w:rPr>
                <w:rFonts w:eastAsia="Arial"/>
              </w:rPr>
            </w:pPr>
            <w:r w:rsidRPr="00D4575A">
              <w:rPr>
                <w:rFonts w:eastAsia="Arial"/>
              </w:rPr>
              <w:t>Scope 2 emissions</w:t>
            </w:r>
          </w:p>
        </w:tc>
        <w:tc>
          <w:tcPr>
            <w:tcW w:w="6583" w:type="dxa"/>
            <w:tcBorders>
              <w:top w:val="nil"/>
              <w:left w:val="nil"/>
              <w:bottom w:val="single" w:sz="8" w:space="0" w:color="000000"/>
              <w:right w:val="nil"/>
            </w:tcBorders>
            <w:shd w:val="clear" w:color="auto" w:fill="D2F0EF"/>
            <w:hideMark/>
          </w:tcPr>
          <w:p w14:paraId="1B7A0712" w14:textId="77777777" w:rsidR="001529A4" w:rsidRPr="00121D4A" w:rsidRDefault="001529A4">
            <w:pPr>
              <w:rPr>
                <w:rFonts w:eastAsia="Arial" w:cs="Arial"/>
                <w:color w:val="000000"/>
                <w:szCs w:val="22"/>
              </w:rPr>
            </w:pPr>
            <w:r w:rsidRPr="002D5D83">
              <w:rPr>
                <w:rFonts w:eastAsia="Arial"/>
              </w:rPr>
              <w:t>4,819,297 kg CO</w:t>
            </w:r>
            <w:r w:rsidRPr="00D4575A">
              <w:rPr>
                <w:rFonts w:eastAsia="Arial"/>
                <w:vertAlign w:val="subscript"/>
              </w:rPr>
              <w:t>2</w:t>
            </w:r>
            <w:r w:rsidRPr="002D5D83">
              <w:rPr>
                <w:rFonts w:eastAsia="Arial"/>
              </w:rPr>
              <w:t>e</w:t>
            </w:r>
          </w:p>
        </w:tc>
      </w:tr>
      <w:tr w:rsidR="001529A4" w:rsidRPr="00121D4A" w14:paraId="4E5CEB7B" w14:textId="77777777">
        <w:trPr>
          <w:trHeight w:val="398"/>
        </w:trPr>
        <w:tc>
          <w:tcPr>
            <w:tcW w:w="2552" w:type="dxa"/>
            <w:shd w:val="clear" w:color="auto" w:fill="78D1CE"/>
            <w:hideMark/>
          </w:tcPr>
          <w:p w14:paraId="1F05929F" w14:textId="77777777" w:rsidR="001529A4" w:rsidRPr="00D4575A" w:rsidRDefault="001529A4" w:rsidP="002D5D83">
            <w:pPr>
              <w:rPr>
                <w:rFonts w:eastAsia="Arial"/>
              </w:rPr>
            </w:pPr>
            <w:r w:rsidRPr="00D4575A">
              <w:rPr>
                <w:rFonts w:eastAsia="Arial"/>
              </w:rPr>
              <w:t>Total emissions</w:t>
            </w:r>
          </w:p>
        </w:tc>
        <w:tc>
          <w:tcPr>
            <w:tcW w:w="6583" w:type="dxa"/>
            <w:shd w:val="clear" w:color="auto" w:fill="D2F0EF"/>
            <w:hideMark/>
          </w:tcPr>
          <w:p w14:paraId="33D6B14F" w14:textId="77777777" w:rsidR="001529A4" w:rsidRPr="00121D4A" w:rsidRDefault="001529A4">
            <w:pPr>
              <w:rPr>
                <w:rFonts w:eastAsia="Arial" w:cs="Arial"/>
                <w:color w:val="000000"/>
                <w:szCs w:val="22"/>
              </w:rPr>
            </w:pPr>
            <w:r w:rsidRPr="002D5D83">
              <w:rPr>
                <w:rFonts w:eastAsia="Arial"/>
              </w:rPr>
              <w:t>5,555,745 kg CO</w:t>
            </w:r>
            <w:r w:rsidRPr="00D4575A">
              <w:rPr>
                <w:rFonts w:eastAsia="Arial"/>
                <w:vertAlign w:val="subscript"/>
              </w:rPr>
              <w:t>2</w:t>
            </w:r>
            <w:r w:rsidRPr="002D5D83">
              <w:rPr>
                <w:rFonts w:eastAsia="Arial"/>
              </w:rPr>
              <w:t>e</w:t>
            </w:r>
          </w:p>
        </w:tc>
      </w:tr>
    </w:tbl>
    <w:p w14:paraId="5DC2A7F8" w14:textId="77777777" w:rsidR="001529A4" w:rsidRPr="00D4575A" w:rsidRDefault="001529A4" w:rsidP="002D5D83">
      <w:pPr>
        <w:rPr>
          <w:rFonts w:eastAsia="Arial"/>
        </w:rPr>
      </w:pPr>
    </w:p>
    <w:tbl>
      <w:tblPr>
        <w:tblW w:w="0" w:type="auto"/>
        <w:tblLook w:val="04A0" w:firstRow="1" w:lastRow="0" w:firstColumn="1" w:lastColumn="0" w:noHBand="0" w:noVBand="1"/>
      </w:tblPr>
      <w:tblGrid>
        <w:gridCol w:w="2552"/>
        <w:gridCol w:w="6464"/>
      </w:tblGrid>
      <w:tr w:rsidR="001529A4" w:rsidRPr="00121D4A" w14:paraId="2D17126F" w14:textId="77777777">
        <w:trPr>
          <w:trHeight w:val="445"/>
        </w:trPr>
        <w:tc>
          <w:tcPr>
            <w:tcW w:w="2552" w:type="dxa"/>
            <w:tcBorders>
              <w:top w:val="single" w:sz="12" w:space="0" w:color="359D9A"/>
              <w:left w:val="nil"/>
              <w:bottom w:val="single" w:sz="8" w:space="0" w:color="000000"/>
              <w:right w:val="nil"/>
            </w:tcBorders>
            <w:shd w:val="clear" w:color="auto" w:fill="78D1CE"/>
            <w:hideMark/>
          </w:tcPr>
          <w:p w14:paraId="0FB2D094" w14:textId="77777777" w:rsidR="001529A4" w:rsidRPr="00D4575A" w:rsidRDefault="001529A4" w:rsidP="002D5D83">
            <w:pPr>
              <w:rPr>
                <w:rFonts w:eastAsia="Arial"/>
              </w:rPr>
            </w:pPr>
            <w:r w:rsidRPr="00D4575A">
              <w:rPr>
                <w:rFonts w:eastAsia="Arial"/>
              </w:rPr>
              <w:t>Baseline year</w:t>
            </w:r>
          </w:p>
        </w:tc>
        <w:tc>
          <w:tcPr>
            <w:tcW w:w="6464" w:type="dxa"/>
            <w:tcBorders>
              <w:top w:val="single" w:sz="12" w:space="0" w:color="359D9A"/>
              <w:left w:val="nil"/>
              <w:bottom w:val="single" w:sz="8" w:space="0" w:color="000000"/>
              <w:right w:val="nil"/>
            </w:tcBorders>
            <w:shd w:val="clear" w:color="auto" w:fill="D2F0EF"/>
            <w:hideMark/>
          </w:tcPr>
          <w:p w14:paraId="59F87E6D" w14:textId="77777777" w:rsidR="001529A4" w:rsidRPr="00121D4A" w:rsidRDefault="001529A4">
            <w:pPr>
              <w:rPr>
                <w:rFonts w:eastAsia="Arial" w:cs="Arial"/>
                <w:color w:val="000000"/>
                <w:szCs w:val="22"/>
              </w:rPr>
            </w:pPr>
            <w:r w:rsidRPr="002D5D83">
              <w:rPr>
                <w:rFonts w:eastAsia="Arial"/>
              </w:rPr>
              <w:t xml:space="preserve">Financial year 2022-23 – </w:t>
            </w:r>
            <w:r w:rsidRPr="00D4575A">
              <w:rPr>
                <w:rStyle w:val="Strong"/>
                <w:rFonts w:eastAsia="Arial"/>
              </w:rPr>
              <w:t>market based</w:t>
            </w:r>
          </w:p>
        </w:tc>
      </w:tr>
      <w:tr w:rsidR="001529A4" w:rsidRPr="00121D4A" w14:paraId="2F0CC542" w14:textId="77777777">
        <w:trPr>
          <w:trHeight w:val="440"/>
        </w:trPr>
        <w:tc>
          <w:tcPr>
            <w:tcW w:w="2552" w:type="dxa"/>
            <w:tcBorders>
              <w:top w:val="nil"/>
              <w:left w:val="nil"/>
              <w:bottom w:val="single" w:sz="8" w:space="0" w:color="000000"/>
              <w:right w:val="nil"/>
            </w:tcBorders>
            <w:shd w:val="clear" w:color="auto" w:fill="78D1CE"/>
            <w:hideMark/>
          </w:tcPr>
          <w:p w14:paraId="692B094F" w14:textId="77777777" w:rsidR="001529A4" w:rsidRPr="00D4575A" w:rsidRDefault="001529A4" w:rsidP="002D5D83">
            <w:pPr>
              <w:rPr>
                <w:rFonts w:eastAsia="Arial"/>
              </w:rPr>
            </w:pPr>
            <w:r w:rsidRPr="00D4575A">
              <w:rPr>
                <w:rFonts w:eastAsia="Arial"/>
              </w:rPr>
              <w:t>Scope 1 emissions</w:t>
            </w:r>
          </w:p>
        </w:tc>
        <w:tc>
          <w:tcPr>
            <w:tcW w:w="6464" w:type="dxa"/>
            <w:tcBorders>
              <w:top w:val="nil"/>
              <w:left w:val="nil"/>
              <w:bottom w:val="single" w:sz="8" w:space="0" w:color="000000"/>
              <w:right w:val="nil"/>
            </w:tcBorders>
            <w:shd w:val="clear" w:color="auto" w:fill="D2F0EF"/>
            <w:hideMark/>
          </w:tcPr>
          <w:p w14:paraId="33110580" w14:textId="77777777" w:rsidR="001529A4" w:rsidRPr="00121D4A" w:rsidRDefault="001529A4">
            <w:pPr>
              <w:rPr>
                <w:rFonts w:eastAsia="Arial" w:cs="Arial"/>
                <w:color w:val="000000"/>
                <w:szCs w:val="22"/>
              </w:rPr>
            </w:pPr>
            <w:r w:rsidRPr="002D5D83">
              <w:rPr>
                <w:rFonts w:eastAsia="Arial"/>
              </w:rPr>
              <w:t> 736,448 kg CO</w:t>
            </w:r>
            <w:r w:rsidRPr="00D4575A">
              <w:rPr>
                <w:rFonts w:eastAsia="Arial"/>
                <w:vertAlign w:val="subscript"/>
              </w:rPr>
              <w:t>2</w:t>
            </w:r>
            <w:r w:rsidRPr="002D5D83">
              <w:rPr>
                <w:rFonts w:eastAsia="Arial"/>
              </w:rPr>
              <w:t>e</w:t>
            </w:r>
          </w:p>
        </w:tc>
      </w:tr>
      <w:tr w:rsidR="001529A4" w:rsidRPr="00121D4A" w14:paraId="0E0A7BF6" w14:textId="77777777">
        <w:trPr>
          <w:trHeight w:val="440"/>
        </w:trPr>
        <w:tc>
          <w:tcPr>
            <w:tcW w:w="2552" w:type="dxa"/>
            <w:tcBorders>
              <w:top w:val="nil"/>
              <w:left w:val="nil"/>
              <w:bottom w:val="single" w:sz="8" w:space="0" w:color="000000"/>
              <w:right w:val="nil"/>
            </w:tcBorders>
            <w:shd w:val="clear" w:color="auto" w:fill="78D1CE"/>
            <w:hideMark/>
          </w:tcPr>
          <w:p w14:paraId="17F852F0" w14:textId="77777777" w:rsidR="001529A4" w:rsidRPr="00D4575A" w:rsidRDefault="001529A4" w:rsidP="002D5D83">
            <w:pPr>
              <w:rPr>
                <w:rFonts w:eastAsia="Arial"/>
              </w:rPr>
            </w:pPr>
            <w:r w:rsidRPr="00D4575A">
              <w:rPr>
                <w:rFonts w:eastAsia="Arial"/>
              </w:rPr>
              <w:t>Scope 2 emissions</w:t>
            </w:r>
          </w:p>
        </w:tc>
        <w:tc>
          <w:tcPr>
            <w:tcW w:w="6464" w:type="dxa"/>
            <w:tcBorders>
              <w:top w:val="nil"/>
              <w:left w:val="nil"/>
              <w:bottom w:val="single" w:sz="8" w:space="0" w:color="000000"/>
              <w:right w:val="nil"/>
            </w:tcBorders>
            <w:shd w:val="clear" w:color="auto" w:fill="D2F0EF"/>
            <w:hideMark/>
          </w:tcPr>
          <w:p w14:paraId="2C92927C" w14:textId="77777777" w:rsidR="001529A4" w:rsidRPr="00121D4A" w:rsidRDefault="001529A4">
            <w:pPr>
              <w:rPr>
                <w:rFonts w:eastAsia="Arial" w:cs="Arial"/>
                <w:color w:val="000000"/>
                <w:szCs w:val="22"/>
              </w:rPr>
            </w:pPr>
            <w:r w:rsidRPr="002D5D83">
              <w:rPr>
                <w:rFonts w:eastAsia="Arial"/>
              </w:rPr>
              <w:t> 1,021,183 kg CO</w:t>
            </w:r>
            <w:r w:rsidRPr="00D4575A">
              <w:rPr>
                <w:rFonts w:eastAsia="Arial"/>
                <w:vertAlign w:val="subscript"/>
              </w:rPr>
              <w:t>2</w:t>
            </w:r>
            <w:r w:rsidRPr="002D5D83">
              <w:rPr>
                <w:rFonts w:eastAsia="Arial"/>
              </w:rPr>
              <w:t>e</w:t>
            </w:r>
          </w:p>
        </w:tc>
      </w:tr>
      <w:tr w:rsidR="001529A4" w:rsidRPr="00121D4A" w14:paraId="1924C85A" w14:textId="77777777">
        <w:trPr>
          <w:trHeight w:val="430"/>
        </w:trPr>
        <w:tc>
          <w:tcPr>
            <w:tcW w:w="2552" w:type="dxa"/>
            <w:shd w:val="clear" w:color="auto" w:fill="78D1CE"/>
            <w:hideMark/>
          </w:tcPr>
          <w:p w14:paraId="434248D6" w14:textId="77777777" w:rsidR="001529A4" w:rsidRPr="00D4575A" w:rsidRDefault="001529A4" w:rsidP="002D5D83">
            <w:pPr>
              <w:rPr>
                <w:rFonts w:eastAsia="Arial"/>
              </w:rPr>
            </w:pPr>
            <w:r w:rsidRPr="00D4575A">
              <w:rPr>
                <w:rFonts w:eastAsia="Arial"/>
              </w:rPr>
              <w:t>Total emissions</w:t>
            </w:r>
          </w:p>
        </w:tc>
        <w:tc>
          <w:tcPr>
            <w:tcW w:w="6464" w:type="dxa"/>
            <w:shd w:val="clear" w:color="auto" w:fill="D2F0EF"/>
            <w:hideMark/>
          </w:tcPr>
          <w:p w14:paraId="60F1039F" w14:textId="77777777" w:rsidR="001529A4" w:rsidRPr="00121D4A" w:rsidRDefault="001529A4">
            <w:pPr>
              <w:rPr>
                <w:rFonts w:eastAsia="Arial" w:cs="Arial"/>
                <w:color w:val="000000"/>
                <w:szCs w:val="22"/>
              </w:rPr>
            </w:pPr>
            <w:r w:rsidRPr="002D5D83">
              <w:rPr>
                <w:rFonts w:eastAsia="Arial"/>
              </w:rPr>
              <w:t>1,757,631 kg CO</w:t>
            </w:r>
            <w:r w:rsidRPr="00D4575A">
              <w:rPr>
                <w:rFonts w:eastAsia="Arial"/>
                <w:vertAlign w:val="subscript"/>
              </w:rPr>
              <w:t>2</w:t>
            </w:r>
            <w:r w:rsidRPr="002D5D83">
              <w:rPr>
                <w:rFonts w:eastAsia="Arial"/>
              </w:rPr>
              <w:t>e</w:t>
            </w:r>
          </w:p>
        </w:tc>
      </w:tr>
    </w:tbl>
    <w:p w14:paraId="2A3A4D07" w14:textId="6A6EB8AF" w:rsidR="00616E1F" w:rsidRPr="00D4575A" w:rsidRDefault="00616E1F" w:rsidP="002D5D83">
      <w:pPr>
        <w:rPr>
          <w:rFonts w:eastAsia="Arial"/>
        </w:rPr>
      </w:pPr>
      <w:r w:rsidRPr="00D4575A">
        <w:rPr>
          <w:rFonts w:eastAsia="Arial"/>
        </w:rPr>
        <w:t>For the 2024–25 reporting period, the Department’s emissions profile focuses on Scope 1 and Scope 2 emissions.</w:t>
      </w:r>
    </w:p>
    <w:p w14:paraId="252DA14D" w14:textId="77777777" w:rsidR="00616E1F" w:rsidRPr="00354039" w:rsidRDefault="00616E1F" w:rsidP="00354039">
      <w:pPr>
        <w:pStyle w:val="ListBullet"/>
      </w:pPr>
      <w:r w:rsidRPr="00354039">
        <w:t>Scope 1 emissions refer to direct greenhouse gas emissions from sources owned or controlled by the Department (e.g. fuel combustion in vehicles).</w:t>
      </w:r>
    </w:p>
    <w:p w14:paraId="6291CE4D" w14:textId="6BF91300" w:rsidR="00616E1F" w:rsidRPr="00354039" w:rsidRDefault="00616E1F" w:rsidP="00354039">
      <w:pPr>
        <w:pStyle w:val="ListBullet"/>
      </w:pPr>
      <w:r w:rsidRPr="00354039">
        <w:t>Scope 2 emissions are indirect emissions resulting from the consumption of purchased electricity, heating, cooling, or steam.</w:t>
      </w:r>
      <w:r w:rsidR="00D22B10" w:rsidRPr="00354039">
        <w:t xml:space="preserve"> </w:t>
      </w:r>
    </w:p>
    <w:p w14:paraId="0EA45D2E" w14:textId="77777777" w:rsidR="00616E1F" w:rsidRPr="00D4575A" w:rsidRDefault="00616E1F" w:rsidP="002D5D83">
      <w:pPr>
        <w:rPr>
          <w:rFonts w:eastAsia="Arial"/>
        </w:rPr>
      </w:pPr>
      <w:r w:rsidRPr="00D4575A">
        <w:rPr>
          <w:rFonts w:eastAsia="Arial"/>
        </w:rPr>
        <w:t>Electricity-related emissions have been calculated using the location-based method, in accordance with APS reporting guidance.</w:t>
      </w:r>
    </w:p>
    <w:p w14:paraId="59F936A5" w14:textId="79F0BCA7" w:rsidR="00D22B10" w:rsidRPr="00D4575A" w:rsidRDefault="00D22B10" w:rsidP="002D5D83">
      <w:pPr>
        <w:rPr>
          <w:rFonts w:eastAsia="Arial"/>
        </w:rPr>
      </w:pPr>
      <w:r w:rsidRPr="00D4575A">
        <w:rPr>
          <w:rFonts w:eastAsia="Arial"/>
        </w:rPr>
        <w:t xml:space="preserve">In addition to Scope 1 and 2 emissions, the Department has also begun collecting and reporting data on selected Scope 3 emissions, specifically those associated with business travel (including domestic flights, accommodation, and hire car usage) and waste generation. While comprehensive Scope 3 reporting is not included in </w:t>
      </w:r>
      <w:r w:rsidR="002B3896" w:rsidRPr="00D4575A">
        <w:rPr>
          <w:rFonts w:eastAsia="Arial"/>
        </w:rPr>
        <w:t>this</w:t>
      </w:r>
      <w:r w:rsidRPr="00D4575A">
        <w:rPr>
          <w:rFonts w:eastAsia="Arial"/>
        </w:rPr>
        <w:t xml:space="preserve"> plan, these categories have </w:t>
      </w:r>
      <w:r w:rsidRPr="00D4575A">
        <w:rPr>
          <w:rFonts w:eastAsia="Arial"/>
        </w:rPr>
        <w:lastRenderedPageBreak/>
        <w:t>been incorporated to support improved transparency and readiness for future reporting cycles as data quality and availability improve.</w:t>
      </w:r>
    </w:p>
    <w:p w14:paraId="7CB0D6A2" w14:textId="5713BE06" w:rsidR="00464CF8" w:rsidRDefault="00817A1E" w:rsidP="00E01DA4">
      <w:pPr>
        <w:pStyle w:val="Heading2"/>
      </w:pPr>
      <w:bookmarkStart w:id="12" w:name="_Toc212044813"/>
      <w:bookmarkStart w:id="13" w:name="_Toc212044895"/>
      <w:r>
        <w:t>Time Series Consistency</w:t>
      </w:r>
      <w:bookmarkEnd w:id="12"/>
      <w:bookmarkEnd w:id="13"/>
    </w:p>
    <w:p w14:paraId="2E4FF82F" w14:textId="45554685" w:rsidR="00817A1E" w:rsidRPr="00E01DA4" w:rsidRDefault="001223EE" w:rsidP="002D5D83">
      <w:pPr>
        <w:rPr>
          <w:rFonts w:eastAsia="Arial"/>
        </w:rPr>
      </w:pPr>
      <w:r w:rsidRPr="00E01DA4">
        <w:rPr>
          <w:rFonts w:eastAsia="Arial"/>
        </w:rPr>
        <w:t>Tracking emissions trends and assessing the impact of reduction strategies is essential for understanding progress over time. To ensure consistency and comparability across reporting periods, the Department will continue to use the Department of Finance Emissions Reporting Tool as its primary mechanism for calculating and reporting emissions data. This approach supports uniform data collection and analysis year-on-year.</w:t>
      </w:r>
    </w:p>
    <w:p w14:paraId="5D5AFB22" w14:textId="29DFBD1C" w:rsidR="00817A1E" w:rsidRDefault="005227B0" w:rsidP="00E01DA4">
      <w:pPr>
        <w:pStyle w:val="Heading2"/>
      </w:pPr>
      <w:bookmarkStart w:id="14" w:name="_Toc212044814"/>
      <w:bookmarkStart w:id="15" w:name="_Toc212044896"/>
      <w:r w:rsidRPr="005227B0">
        <w:t>Methodological Consistency and Transparency</w:t>
      </w:r>
      <w:bookmarkEnd w:id="14"/>
      <w:bookmarkEnd w:id="15"/>
    </w:p>
    <w:p w14:paraId="68B6BAFF" w14:textId="77777777" w:rsidR="006567A0" w:rsidRPr="00E01DA4" w:rsidRDefault="006567A0" w:rsidP="002D5D83">
      <w:pPr>
        <w:rPr>
          <w:rFonts w:eastAsia="Arial"/>
        </w:rPr>
      </w:pPr>
      <w:r w:rsidRPr="00E01DA4">
        <w:rPr>
          <w:rFonts w:eastAsia="Arial"/>
        </w:rPr>
        <w:t>Confidence in time-series consistency is underpinned by the transparent and rigorous documentation of methodologies, data sources, and assumptions used to estimate emissions. These details will be outlined in the Department’s Net Zero in Government Operations Annual Progress Reports.</w:t>
      </w:r>
    </w:p>
    <w:p w14:paraId="4FC540FD" w14:textId="7AE379CB" w:rsidR="00817A1E" w:rsidRPr="00E01DA4" w:rsidRDefault="006567A0" w:rsidP="002D5D83">
      <w:pPr>
        <w:rPr>
          <w:rFonts w:eastAsia="Arial"/>
        </w:rPr>
      </w:pPr>
      <w:r w:rsidRPr="00E01DA4">
        <w:rPr>
          <w:rFonts w:eastAsia="Arial"/>
        </w:rPr>
        <w:t>The Department remains committed to best practice in emissions accounting, drawing on established frameworks such as the Greenhouse Gas Protocol, the National Greenhouse and Energy Reporting (NGER) Scheme, and other relevant standards. The use of the Department of Finance Emissions Reporting Tool ensures alignment with whole-of-government reporting requirements and facilitates consistent application of emissions factors and calculation methods.</w:t>
      </w:r>
    </w:p>
    <w:p w14:paraId="02E9BA09" w14:textId="77777777" w:rsidR="00F44DF9" w:rsidRPr="00E01DA4" w:rsidRDefault="00F44DF9" w:rsidP="00E01DA4">
      <w:pPr>
        <w:pStyle w:val="Heading2"/>
      </w:pPr>
      <w:bookmarkStart w:id="16" w:name="_Toc212044815"/>
      <w:bookmarkStart w:id="17" w:name="_Toc212044897"/>
      <w:r w:rsidRPr="00E01DA4">
        <w:t>Continuous Improvement</w:t>
      </w:r>
      <w:bookmarkEnd w:id="16"/>
      <w:bookmarkEnd w:id="17"/>
    </w:p>
    <w:p w14:paraId="3837FA04" w14:textId="79EF503B" w:rsidR="00BB54B6" w:rsidRPr="002D5D83" w:rsidRDefault="00BB54B6" w:rsidP="002D5D83">
      <w:pPr>
        <w:rPr>
          <w:rFonts w:eastAsia="Arial"/>
        </w:rPr>
      </w:pPr>
      <w:r w:rsidRPr="00BB54B6">
        <w:rPr>
          <w:rFonts w:eastAsia="Arial"/>
        </w:rPr>
        <w:t xml:space="preserve">The </w:t>
      </w:r>
      <w:r w:rsidRPr="00E01DA4">
        <w:rPr>
          <w:rFonts w:eastAsia="Arial"/>
        </w:rPr>
        <w:t>Department</w:t>
      </w:r>
      <w:r w:rsidRPr="00BB54B6">
        <w:rPr>
          <w:rFonts w:eastAsia="Arial"/>
        </w:rPr>
        <w:t xml:space="preserve"> continues to strengthen the accuracy and transparency of its emissions reporting. Building on previous efforts, we are progressively adopting advanced data collection technologies, conducting regular audits, and aligning our practices with recognised international standards. This </w:t>
      </w:r>
      <w:r w:rsidR="00C60B6B">
        <w:rPr>
          <w:rFonts w:eastAsia="Arial"/>
        </w:rPr>
        <w:t xml:space="preserve">reflects </w:t>
      </w:r>
      <w:r w:rsidRPr="00BB54B6">
        <w:rPr>
          <w:rFonts w:eastAsia="Arial"/>
        </w:rPr>
        <w:t xml:space="preserve">our commitment to continuous improvement and </w:t>
      </w:r>
      <w:r w:rsidR="00C60B6B">
        <w:rPr>
          <w:rFonts w:eastAsia="Arial"/>
        </w:rPr>
        <w:t>supports</w:t>
      </w:r>
      <w:r w:rsidRPr="00BB54B6">
        <w:rPr>
          <w:rFonts w:eastAsia="Arial"/>
        </w:rPr>
        <w:t xml:space="preserve"> our role in assisting portfolio agencies to reduce emissions and advance sustainability outcomes.</w:t>
      </w:r>
    </w:p>
    <w:p w14:paraId="566DCE58" w14:textId="45DC871B" w:rsidR="00FB25D5" w:rsidRPr="00D4575A" w:rsidRDefault="00823A91" w:rsidP="00E01DA4">
      <w:pPr>
        <w:pStyle w:val="Heading2"/>
      </w:pPr>
      <w:bookmarkStart w:id="18" w:name="_Toc212044816"/>
      <w:bookmarkStart w:id="19" w:name="_Toc212044898"/>
      <w:r>
        <w:t>Engagement</w:t>
      </w:r>
      <w:bookmarkEnd w:id="18"/>
      <w:bookmarkEnd w:id="19"/>
    </w:p>
    <w:p w14:paraId="74C57A1D" w14:textId="2B28E3A1" w:rsidR="00865E6C" w:rsidRPr="00E01DA4" w:rsidRDefault="00865E6C" w:rsidP="002D5D83">
      <w:pPr>
        <w:rPr>
          <w:rFonts w:eastAsia="Arial"/>
        </w:rPr>
      </w:pPr>
      <w:r w:rsidRPr="00E01DA4">
        <w:rPr>
          <w:rFonts w:eastAsia="Arial"/>
        </w:rPr>
        <w:t>In developing this plan, the Department engaged with key external and internal stakeholders to ensure alignment with whole-of-government strategies and operational requirements. This included collaboration with:</w:t>
      </w:r>
    </w:p>
    <w:p w14:paraId="32C265D0" w14:textId="4B205D3B" w:rsidR="00865E6C" w:rsidRPr="00354039" w:rsidRDefault="00865E6C" w:rsidP="00354039">
      <w:pPr>
        <w:pStyle w:val="ListBullet"/>
      </w:pPr>
      <w:r w:rsidRPr="00354039">
        <w:t>Department of Finance - Climate Action in Government Operations Team: to ensure alignment with the Net Zero in Government Operations Strategy and the Commonwealth Climate Disclosure requirements</w:t>
      </w:r>
    </w:p>
    <w:p w14:paraId="4674EA27" w14:textId="77777777" w:rsidR="007905D0" w:rsidRPr="00354039" w:rsidRDefault="007905D0" w:rsidP="00354039">
      <w:pPr>
        <w:pStyle w:val="ListBullet"/>
      </w:pPr>
      <w:r w:rsidRPr="00354039">
        <w:t>Whole-of-Australian-Government Property Service Provider – Evolve FM</w:t>
      </w:r>
    </w:p>
    <w:p w14:paraId="549FB2BF" w14:textId="77777777" w:rsidR="007905D0" w:rsidRPr="00354039" w:rsidRDefault="007905D0" w:rsidP="00354039">
      <w:pPr>
        <w:pStyle w:val="ListBullet"/>
      </w:pPr>
      <w:r w:rsidRPr="00354039">
        <w:t>National Mental Health Commission (NMHC)</w:t>
      </w:r>
    </w:p>
    <w:p w14:paraId="3AF34991" w14:textId="77777777" w:rsidR="007E3491" w:rsidRPr="00354039" w:rsidRDefault="00002546" w:rsidP="00354039">
      <w:pPr>
        <w:pStyle w:val="ListBullet"/>
      </w:pPr>
      <w:r w:rsidRPr="00354039">
        <w:t>Department of Health, Disability and Ageing</w:t>
      </w:r>
    </w:p>
    <w:p w14:paraId="0219E4C4" w14:textId="77777777" w:rsidR="007E3491" w:rsidRPr="00354039" w:rsidRDefault="00865E6C" w:rsidP="00DF3147">
      <w:pPr>
        <w:pStyle w:val="ListBullet2"/>
      </w:pPr>
      <w:r w:rsidRPr="00354039">
        <w:t>Fleet Team: to explore options for transitioning to low-emissions vehicles</w:t>
      </w:r>
    </w:p>
    <w:p w14:paraId="77BA7188" w14:textId="2BF32523" w:rsidR="008A7BD7" w:rsidRPr="00354039" w:rsidRDefault="00865E6C" w:rsidP="00DF3147">
      <w:pPr>
        <w:pStyle w:val="ListBullet2"/>
      </w:pPr>
      <w:r w:rsidRPr="00354039">
        <w:t xml:space="preserve">Travel Team: to identify opportunities for reducing emissions associated with </w:t>
      </w:r>
      <w:r w:rsidR="007E3491" w:rsidRPr="00354039">
        <w:t>business</w:t>
      </w:r>
      <w:r w:rsidRPr="00354039">
        <w:t xml:space="preserve"> travel</w:t>
      </w:r>
    </w:p>
    <w:p w14:paraId="6B8E2DC3" w14:textId="46A2827B" w:rsidR="00865E6C" w:rsidRPr="00E01DA4" w:rsidRDefault="00993338" w:rsidP="002D5D83">
      <w:pPr>
        <w:rPr>
          <w:rFonts w:eastAsia="Arial"/>
        </w:rPr>
      </w:pPr>
      <w:r w:rsidRPr="00E01DA4">
        <w:rPr>
          <w:rFonts w:eastAsia="Arial"/>
        </w:rPr>
        <w:lastRenderedPageBreak/>
        <w:t>These engagements have informed the development of practical and strategic measures to support the Department’s contribution to the APS Net Zero 2030 target.</w:t>
      </w:r>
    </w:p>
    <w:p w14:paraId="29D95191" w14:textId="799C760F" w:rsidR="0081180E" w:rsidRDefault="0081180E" w:rsidP="00E01DA4">
      <w:pPr>
        <w:pStyle w:val="Heading2"/>
      </w:pPr>
      <w:bookmarkStart w:id="20" w:name="_Toc212044817"/>
      <w:bookmarkStart w:id="21" w:name="_Toc212044899"/>
      <w:r>
        <w:t>Emissions Reduction</w:t>
      </w:r>
      <w:r w:rsidR="00461C61">
        <w:t xml:space="preserve"> Targets</w:t>
      </w:r>
      <w:bookmarkEnd w:id="20"/>
      <w:bookmarkEnd w:id="21"/>
    </w:p>
    <w:p w14:paraId="76191597" w14:textId="3E674290" w:rsidR="004938F3" w:rsidRPr="00E01DA4" w:rsidRDefault="004938F3" w:rsidP="002D5D83">
      <w:pPr>
        <w:rPr>
          <w:rFonts w:eastAsia="Arial"/>
        </w:rPr>
      </w:pPr>
      <w:r w:rsidRPr="00E01DA4">
        <w:rPr>
          <w:rFonts w:eastAsia="Arial"/>
        </w:rPr>
        <w:t xml:space="preserve">The Department is committed to achieving the APS Net Zero 2030 target, in line with the Net Zero in Government Operations Strategy. This target applies to all </w:t>
      </w:r>
      <w:r w:rsidR="00B64E73" w:rsidRPr="00E01DA4">
        <w:rPr>
          <w:rFonts w:eastAsia="Arial"/>
        </w:rPr>
        <w:t>S</w:t>
      </w:r>
      <w:r w:rsidRPr="00E01DA4">
        <w:rPr>
          <w:rFonts w:eastAsia="Arial"/>
        </w:rPr>
        <w:t>cope 1 and 2 emissions across our operations within Australia and its territories.</w:t>
      </w:r>
    </w:p>
    <w:p w14:paraId="279807F6" w14:textId="446D1DD7" w:rsidR="004938F3" w:rsidRPr="00E01DA4" w:rsidRDefault="004938F3" w:rsidP="002D5D83">
      <w:pPr>
        <w:rPr>
          <w:rFonts w:eastAsia="Arial"/>
        </w:rPr>
      </w:pPr>
      <w:r w:rsidRPr="00E01DA4">
        <w:rPr>
          <w:rFonts w:eastAsia="Arial"/>
        </w:rPr>
        <w:t xml:space="preserve">While our implementation plan outlines indicative opportunities for emissions reduction, it is important to note the pace and extent of change are influenced by factors beyond our direct control. These include </w:t>
      </w:r>
      <w:r w:rsidR="00EC2E6D" w:rsidRPr="00E01DA4">
        <w:rPr>
          <w:rFonts w:eastAsia="Arial"/>
        </w:rPr>
        <w:t xml:space="preserve">funding allocation, </w:t>
      </w:r>
      <w:r w:rsidRPr="00E01DA4">
        <w:rPr>
          <w:rFonts w:eastAsia="Arial"/>
        </w:rPr>
        <w:t xml:space="preserve">centralised policy settings, whole-of-government arrangements, </w:t>
      </w:r>
      <w:r w:rsidR="00225293" w:rsidRPr="00E01DA4">
        <w:rPr>
          <w:rFonts w:eastAsia="Arial"/>
        </w:rPr>
        <w:t xml:space="preserve">limited data ownership </w:t>
      </w:r>
      <w:r w:rsidR="00557FD1" w:rsidRPr="00E01DA4">
        <w:rPr>
          <w:rFonts w:eastAsia="Arial"/>
        </w:rPr>
        <w:t xml:space="preserve">and </w:t>
      </w:r>
      <w:r w:rsidRPr="00E01DA4">
        <w:rPr>
          <w:rFonts w:eastAsia="Arial"/>
        </w:rPr>
        <w:t>external infrastructure and market conditions. As such, the projected reductions should be viewed as indicative rather than definitive, reflecting potential rather than guaranteed outcomes.</w:t>
      </w:r>
    </w:p>
    <w:p w14:paraId="61F13EA1" w14:textId="7B11EAC4" w:rsidR="00827C86" w:rsidRPr="00E01DA4" w:rsidRDefault="004165E9" w:rsidP="002D5D83">
      <w:pPr>
        <w:rPr>
          <w:rFonts w:eastAsia="Arial"/>
        </w:rPr>
      </w:pPr>
      <w:r w:rsidRPr="00E01DA4">
        <w:rPr>
          <w:rFonts w:eastAsia="Arial"/>
        </w:rPr>
        <w:t>Despite these constraints, the Department remains committed to meaningful action and actively contributes to whole-of-government efforts to reduce emissions and transition toward more sustainable operations. This is achieved through our Emissions Reduction Plan (ERP), robust governance arrangements, and active participation in cross-agency forums that help influence external factors beyond our direct control.</w:t>
      </w:r>
    </w:p>
    <w:p w14:paraId="01D2B479" w14:textId="77777777" w:rsidR="002D693D" w:rsidRPr="00D4575A" w:rsidRDefault="002D693D" w:rsidP="002D5D83">
      <w:pPr>
        <w:rPr>
          <w:rFonts w:eastAsia="Arial"/>
        </w:rPr>
      </w:pPr>
      <w:r w:rsidRPr="00D4575A">
        <w:rPr>
          <w:rFonts w:eastAsia="Arial"/>
        </w:rPr>
        <w:br w:type="page"/>
      </w:r>
    </w:p>
    <w:p w14:paraId="75653C62" w14:textId="4422B050" w:rsidR="009A5A0A" w:rsidRPr="00E01DA4" w:rsidRDefault="009A5A0A" w:rsidP="00E01DA4">
      <w:pPr>
        <w:pStyle w:val="Heading3"/>
      </w:pPr>
      <w:bookmarkStart w:id="22" w:name="_Toc212044900"/>
      <w:r w:rsidRPr="00E01DA4">
        <w:lastRenderedPageBreak/>
        <w:t>Key Achievements</w:t>
      </w:r>
      <w:bookmarkEnd w:id="22"/>
    </w:p>
    <w:p w14:paraId="2A01D298" w14:textId="3A06A93E" w:rsidR="008E2B28" w:rsidRPr="00E01DA4" w:rsidRDefault="00AF5904" w:rsidP="002D5D83">
      <w:pPr>
        <w:rPr>
          <w:rFonts w:eastAsia="Arial"/>
        </w:rPr>
      </w:pPr>
      <w:r w:rsidRPr="00E01DA4">
        <w:rPr>
          <w:rFonts w:eastAsia="Arial"/>
        </w:rPr>
        <w:t>In 2024–25, the Department strengthen</w:t>
      </w:r>
      <w:r w:rsidR="0033237E" w:rsidRPr="00E01DA4">
        <w:rPr>
          <w:rFonts w:eastAsia="Arial"/>
        </w:rPr>
        <w:t>ed</w:t>
      </w:r>
      <w:r w:rsidRPr="00E01DA4">
        <w:rPr>
          <w:rFonts w:eastAsia="Arial"/>
        </w:rPr>
        <w:t xml:space="preserve"> its contribution to the APS Net Zero Strategy </w:t>
      </w:r>
      <w:r w:rsidR="00D73314" w:rsidRPr="00E01DA4">
        <w:rPr>
          <w:rFonts w:eastAsia="Arial"/>
        </w:rPr>
        <w:t xml:space="preserve">across </w:t>
      </w:r>
      <w:r w:rsidR="00704AA3" w:rsidRPr="00E01DA4">
        <w:rPr>
          <w:rFonts w:eastAsia="Arial"/>
        </w:rPr>
        <w:t xml:space="preserve">all </w:t>
      </w:r>
      <w:r w:rsidR="00D73314" w:rsidRPr="00E01DA4">
        <w:rPr>
          <w:rFonts w:eastAsia="Arial"/>
        </w:rPr>
        <w:t>Scopes</w:t>
      </w:r>
      <w:r w:rsidR="33C3D984" w:rsidRPr="00E01DA4">
        <w:rPr>
          <w:rFonts w:eastAsia="Arial"/>
        </w:rPr>
        <w:t>.</w:t>
      </w:r>
      <w:r w:rsidR="00704AA3" w:rsidRPr="00E01DA4">
        <w:rPr>
          <w:rFonts w:eastAsia="Arial"/>
        </w:rPr>
        <w:t xml:space="preserve"> Key achievements for Scope</w:t>
      </w:r>
      <w:r w:rsidR="00C65730" w:rsidRPr="00E01DA4">
        <w:rPr>
          <w:rFonts w:eastAsia="Arial"/>
        </w:rPr>
        <w:t>s</w:t>
      </w:r>
      <w:r w:rsidR="00D73314" w:rsidRPr="00E01DA4">
        <w:rPr>
          <w:rFonts w:eastAsia="Arial"/>
        </w:rPr>
        <w:t xml:space="preserve"> 1</w:t>
      </w:r>
      <w:r w:rsidR="00861965" w:rsidRPr="00E01DA4">
        <w:rPr>
          <w:rFonts w:eastAsia="Arial"/>
        </w:rPr>
        <w:t xml:space="preserve"> and</w:t>
      </w:r>
      <w:r w:rsidR="00D73314" w:rsidRPr="00E01DA4">
        <w:rPr>
          <w:rFonts w:eastAsia="Arial"/>
        </w:rPr>
        <w:t xml:space="preserve"> 2</w:t>
      </w:r>
      <w:r w:rsidR="00C65730" w:rsidRPr="00E01DA4">
        <w:rPr>
          <w:rFonts w:eastAsia="Arial"/>
        </w:rPr>
        <w:t xml:space="preserve"> are</w:t>
      </w:r>
      <w:r w:rsidRPr="00E01DA4">
        <w:rPr>
          <w:rFonts w:eastAsia="Arial"/>
        </w:rPr>
        <w:t>:</w:t>
      </w:r>
    </w:p>
    <w:p w14:paraId="379C69BC" w14:textId="71666FFE" w:rsidR="00D85BCD" w:rsidRPr="00D4575A" w:rsidRDefault="00D85BCD" w:rsidP="002D5D83">
      <w:pPr>
        <w:rPr>
          <w:rFonts w:eastAsia="Arial"/>
        </w:rPr>
      </w:pPr>
      <w:r w:rsidRPr="00D4575A">
        <w:rPr>
          <w:rFonts w:eastAsia="Arial"/>
        </w:rPr>
        <w:t>Scope 1</w:t>
      </w:r>
    </w:p>
    <w:tbl>
      <w:tblPr>
        <w:tblStyle w:val="TableGrid"/>
        <w:tblW w:w="9071" w:type="dxa"/>
        <w:jc w:val="center"/>
        <w:tblLook w:val="04A0" w:firstRow="1" w:lastRow="0" w:firstColumn="1" w:lastColumn="0" w:noHBand="0" w:noVBand="1"/>
      </w:tblPr>
      <w:tblGrid>
        <w:gridCol w:w="3969"/>
        <w:gridCol w:w="5102"/>
      </w:tblGrid>
      <w:tr w:rsidR="005C247F" w:rsidRPr="00121D4A" w14:paraId="1E6F1567" w14:textId="77777777" w:rsidTr="003616FB">
        <w:trPr>
          <w:cnfStyle w:val="100000000000" w:firstRow="1" w:lastRow="0" w:firstColumn="0" w:lastColumn="0" w:oddVBand="0" w:evenVBand="0" w:oddHBand="0" w:evenHBand="0" w:firstRowFirstColumn="0" w:firstRowLastColumn="0" w:lastRowFirstColumn="0" w:lastRowLastColumn="0"/>
          <w:trHeight w:val="407"/>
          <w:tblHeader/>
          <w:jc w:val="center"/>
        </w:trPr>
        <w:tc>
          <w:tcPr>
            <w:tcW w:w="3969" w:type="dxa"/>
          </w:tcPr>
          <w:p w14:paraId="61D7004D" w14:textId="2850790B" w:rsidR="005C247F" w:rsidRPr="00D4575A" w:rsidRDefault="005C247F" w:rsidP="003616FB">
            <w:pPr>
              <w:pStyle w:val="TableHeader"/>
            </w:pPr>
            <w:r w:rsidRPr="00D4575A">
              <w:t>TARGET</w:t>
            </w:r>
          </w:p>
        </w:tc>
        <w:tc>
          <w:tcPr>
            <w:tcW w:w="5102" w:type="dxa"/>
          </w:tcPr>
          <w:p w14:paraId="10336324" w14:textId="6E261E92" w:rsidR="005C247F" w:rsidRPr="00D4575A" w:rsidRDefault="005C247F" w:rsidP="003616FB">
            <w:pPr>
              <w:pStyle w:val="TableHeader"/>
            </w:pPr>
            <w:r w:rsidRPr="00D4575A">
              <w:t>OUTCOME</w:t>
            </w:r>
          </w:p>
        </w:tc>
      </w:tr>
      <w:tr w:rsidR="004A25E6" w:rsidRPr="00121D4A" w14:paraId="46CC3630" w14:textId="77777777" w:rsidTr="003616FB">
        <w:trPr>
          <w:trHeight w:val="407"/>
          <w:jc w:val="center"/>
        </w:trPr>
        <w:tc>
          <w:tcPr>
            <w:tcW w:w="3969" w:type="dxa"/>
            <w:hideMark/>
          </w:tcPr>
          <w:p w14:paraId="5527FB4F" w14:textId="207DB047" w:rsidR="002659A4" w:rsidRPr="003616FB" w:rsidRDefault="00D85BCD" w:rsidP="00E01DA4">
            <w:pPr>
              <w:pStyle w:val="Tabletextleft"/>
            </w:pPr>
            <w:r w:rsidRPr="00D4575A">
              <w:t>Migrate to Whole-of-Australian-Government (</w:t>
            </w:r>
            <w:proofErr w:type="spellStart"/>
            <w:r w:rsidRPr="00D4575A">
              <w:t>WoAG</w:t>
            </w:r>
            <w:proofErr w:type="spellEnd"/>
            <w:r w:rsidRPr="00D4575A">
              <w:t>) electricity arrangements as they are rolled out, and existing contracts cease.</w:t>
            </w:r>
          </w:p>
        </w:tc>
        <w:tc>
          <w:tcPr>
            <w:tcW w:w="5102" w:type="dxa"/>
          </w:tcPr>
          <w:p w14:paraId="79E0F963" w14:textId="4B635647" w:rsidR="00C92BF9" w:rsidRPr="00D85BCD" w:rsidRDefault="00E75ED8" w:rsidP="00E01DA4">
            <w:pPr>
              <w:pStyle w:val="Tablelistbullet"/>
            </w:pPr>
            <w:r>
              <w:t xml:space="preserve">Exploratory work has commenced noting </w:t>
            </w:r>
            <w:proofErr w:type="spellStart"/>
            <w:r>
              <w:t>WoAG</w:t>
            </w:r>
            <w:proofErr w:type="spellEnd"/>
            <w:r>
              <w:t xml:space="preserve"> </w:t>
            </w:r>
            <w:r w:rsidR="005F6EF1">
              <w:t xml:space="preserve">electricity </w:t>
            </w:r>
            <w:r w:rsidR="0092549B">
              <w:t>arrangements have been delayed by Department of Finance until 2026.</w:t>
            </w:r>
          </w:p>
        </w:tc>
      </w:tr>
      <w:tr w:rsidR="00D85BCD" w:rsidRPr="00121D4A" w14:paraId="26115E1F" w14:textId="77777777" w:rsidTr="003616FB">
        <w:trPr>
          <w:trHeight w:val="407"/>
          <w:jc w:val="center"/>
        </w:trPr>
        <w:tc>
          <w:tcPr>
            <w:tcW w:w="3969" w:type="dxa"/>
          </w:tcPr>
          <w:p w14:paraId="2EA8484D" w14:textId="41BF43BD" w:rsidR="00D85BCD" w:rsidRPr="00D4575A" w:rsidRDefault="00D85BCD" w:rsidP="00E01DA4">
            <w:pPr>
              <w:pStyle w:val="Tabletextleft"/>
            </w:pPr>
            <w:r w:rsidRPr="00D4575A">
              <w:t>Preference for all-electric buildings and include Green Lease Schedules (GLS) when entering leases</w:t>
            </w:r>
            <w:r w:rsidR="005C247F" w:rsidRPr="00D4575A">
              <w:t>.</w:t>
            </w:r>
          </w:p>
        </w:tc>
        <w:tc>
          <w:tcPr>
            <w:tcW w:w="5102" w:type="dxa"/>
          </w:tcPr>
          <w:p w14:paraId="0E4F7EEF" w14:textId="06E368CF" w:rsidR="00D85BCD" w:rsidRPr="00E91715" w:rsidRDefault="00D85BCD" w:rsidP="00E01DA4">
            <w:pPr>
              <w:pStyle w:val="Tablelistbullet"/>
            </w:pPr>
            <w:r w:rsidRPr="04F01DDA">
              <w:t xml:space="preserve">All tenancies are within sites that are fully electric, except for </w:t>
            </w:r>
            <w:r w:rsidR="4979B184" w:rsidRPr="04F01DDA">
              <w:t xml:space="preserve">the </w:t>
            </w:r>
            <w:r w:rsidRPr="04F01DDA">
              <w:t>laborator</w:t>
            </w:r>
            <w:r w:rsidR="717218FF" w:rsidRPr="04F01DDA">
              <w:t>y</w:t>
            </w:r>
            <w:r w:rsidRPr="04F01DDA">
              <w:t xml:space="preserve"> that require</w:t>
            </w:r>
            <w:r w:rsidR="545D7A6F" w:rsidRPr="04F01DDA">
              <w:t>s</w:t>
            </w:r>
            <w:r w:rsidRPr="04F01DDA">
              <w:t xml:space="preserve"> gas for operational purposes.</w:t>
            </w:r>
          </w:p>
          <w:p w14:paraId="1AC558D7" w14:textId="77777777" w:rsidR="00D85BCD" w:rsidRDefault="00D85BCD" w:rsidP="00E01DA4">
            <w:pPr>
              <w:pStyle w:val="Tablelistbullet"/>
            </w:pPr>
            <w:r w:rsidRPr="00D86925">
              <w:t>Our current data centre is powered by zero-carbon electricity.</w:t>
            </w:r>
          </w:p>
          <w:p w14:paraId="1FEDE48F" w14:textId="77777777" w:rsidR="00D85BCD" w:rsidRPr="00215717" w:rsidRDefault="00D85BCD" w:rsidP="00E01DA4">
            <w:pPr>
              <w:pStyle w:val="Tablelistbullet"/>
            </w:pPr>
            <w:r w:rsidRPr="00D86874">
              <w:t xml:space="preserve">Eligible </w:t>
            </w:r>
            <w:r>
              <w:t>buildings</w:t>
            </w:r>
            <w:r w:rsidRPr="00D86874">
              <w:t xml:space="preserve"> were assessed using the NABERS tool and achieved or exceeded the minimum 4.5-star rating.</w:t>
            </w:r>
          </w:p>
          <w:p w14:paraId="08EA782F" w14:textId="474B11E6" w:rsidR="00D85BCD" w:rsidRPr="00D85BCD" w:rsidRDefault="00D85BCD" w:rsidP="00E01DA4">
            <w:pPr>
              <w:pStyle w:val="Tablelistbullet"/>
            </w:pPr>
            <w:r w:rsidRPr="00D86874">
              <w:t xml:space="preserve">A new lease </w:t>
            </w:r>
            <w:r>
              <w:t xml:space="preserve">was </w:t>
            </w:r>
            <w:r w:rsidRPr="00D86874">
              <w:t xml:space="preserve">signed in Brisbane </w:t>
            </w:r>
            <w:r>
              <w:t xml:space="preserve">and </w:t>
            </w:r>
            <w:r w:rsidRPr="00D86874">
              <w:t>included a Green Lease Schedule (GLS)</w:t>
            </w:r>
            <w:r>
              <w:t>.</w:t>
            </w:r>
          </w:p>
        </w:tc>
      </w:tr>
    </w:tbl>
    <w:p w14:paraId="6A7BB6EB" w14:textId="594727AB" w:rsidR="005C247F" w:rsidRPr="00D4575A" w:rsidRDefault="005C247F" w:rsidP="002D5D83">
      <w:r w:rsidRPr="00D4575A">
        <w:rPr>
          <w:rFonts w:eastAsia="Arial"/>
        </w:rPr>
        <w:t>Scope 2</w:t>
      </w:r>
    </w:p>
    <w:tbl>
      <w:tblPr>
        <w:tblStyle w:val="TableGrid"/>
        <w:tblW w:w="9071" w:type="dxa"/>
        <w:jc w:val="center"/>
        <w:tblLook w:val="04A0" w:firstRow="1" w:lastRow="0" w:firstColumn="1" w:lastColumn="0" w:noHBand="0" w:noVBand="1"/>
      </w:tblPr>
      <w:tblGrid>
        <w:gridCol w:w="3969"/>
        <w:gridCol w:w="5102"/>
      </w:tblGrid>
      <w:tr w:rsidR="005C247F" w:rsidRPr="00121D4A" w14:paraId="30231E4D" w14:textId="77777777" w:rsidTr="00D4575A">
        <w:trPr>
          <w:cnfStyle w:val="100000000000" w:firstRow="1" w:lastRow="0" w:firstColumn="0" w:lastColumn="0" w:oddVBand="0" w:evenVBand="0" w:oddHBand="0" w:evenHBand="0" w:firstRowFirstColumn="0" w:firstRowLastColumn="0" w:lastRowFirstColumn="0" w:lastRowLastColumn="0"/>
          <w:trHeight w:val="407"/>
          <w:tblHeader/>
          <w:jc w:val="center"/>
        </w:trPr>
        <w:tc>
          <w:tcPr>
            <w:tcW w:w="3969" w:type="dxa"/>
          </w:tcPr>
          <w:p w14:paraId="3119F995" w14:textId="77777777" w:rsidR="005C247F" w:rsidRPr="00D4575A" w:rsidRDefault="005C247F" w:rsidP="003616FB">
            <w:pPr>
              <w:pStyle w:val="TableHeader"/>
            </w:pPr>
            <w:r w:rsidRPr="00D4575A">
              <w:t>TARGET</w:t>
            </w:r>
          </w:p>
        </w:tc>
        <w:tc>
          <w:tcPr>
            <w:tcW w:w="5102" w:type="dxa"/>
          </w:tcPr>
          <w:p w14:paraId="4C889E06" w14:textId="77777777" w:rsidR="005C247F" w:rsidRPr="00D4575A" w:rsidRDefault="005C247F" w:rsidP="003616FB">
            <w:pPr>
              <w:pStyle w:val="TableHeader"/>
            </w:pPr>
            <w:r w:rsidRPr="00D4575A">
              <w:t>OUTCOME</w:t>
            </w:r>
          </w:p>
        </w:tc>
      </w:tr>
      <w:tr w:rsidR="00D85BCD" w:rsidRPr="00121D4A" w14:paraId="708BD407" w14:textId="77777777" w:rsidTr="00D85BCD">
        <w:trPr>
          <w:trHeight w:val="407"/>
          <w:jc w:val="center"/>
        </w:trPr>
        <w:tc>
          <w:tcPr>
            <w:tcW w:w="3969" w:type="dxa"/>
          </w:tcPr>
          <w:p w14:paraId="6F2F44B9" w14:textId="5ADF3659" w:rsidR="00D85BCD" w:rsidRPr="00D4575A" w:rsidRDefault="00D85BCD" w:rsidP="00E01DA4">
            <w:pPr>
              <w:pStyle w:val="Tabletextleft"/>
            </w:pPr>
            <w:r w:rsidRPr="00D4575A">
              <w:t>Transition fleet vehicles to no/low emissions vehicles: 25% of new fleet orders by 1 July 2023; 50% by 1 July 2024 and 75% by 1 July 2025.</w:t>
            </w:r>
          </w:p>
        </w:tc>
        <w:tc>
          <w:tcPr>
            <w:tcW w:w="5102" w:type="dxa"/>
          </w:tcPr>
          <w:p w14:paraId="036C65D8" w14:textId="21F25726" w:rsidR="00D85BCD" w:rsidRDefault="00D85BCD" w:rsidP="00E01DA4">
            <w:pPr>
              <w:pStyle w:val="Tablelistbullet"/>
            </w:pPr>
            <w:r>
              <w:t xml:space="preserve">The </w:t>
            </w:r>
            <w:r w:rsidRPr="00F233E1">
              <w:t xml:space="preserve">target of 75% of new vehicle orders in 2024–25 </w:t>
            </w:r>
            <w:r>
              <w:t>being</w:t>
            </w:r>
            <w:r w:rsidRPr="00F233E1">
              <w:t xml:space="preserve"> low-emission models</w:t>
            </w:r>
            <w:r>
              <w:t xml:space="preserve"> has been met</w:t>
            </w:r>
            <w:r w:rsidRPr="00F233E1">
              <w:t>. The Department is progressing well toward its fleet electrification objectives</w:t>
            </w:r>
            <w:r>
              <w:t xml:space="preserve"> with the </w:t>
            </w:r>
            <w:r w:rsidRPr="00F233E1">
              <w:t>fleet currently compris</w:t>
            </w:r>
            <w:r>
              <w:t>ing</w:t>
            </w:r>
            <w:r w:rsidRPr="00F233E1">
              <w:t xml:space="preserve"> 71% no or low-emission vehicles</w:t>
            </w:r>
            <w:r>
              <w:t xml:space="preserve">. It </w:t>
            </w:r>
            <w:r w:rsidRPr="00F233E1">
              <w:t>is on track to reach 88% by year-end.</w:t>
            </w:r>
          </w:p>
        </w:tc>
      </w:tr>
      <w:tr w:rsidR="004A25E6" w:rsidRPr="00121D4A" w14:paraId="1E23FC8F" w14:textId="77777777" w:rsidTr="00D85BCD">
        <w:trPr>
          <w:trHeight w:val="407"/>
          <w:jc w:val="center"/>
        </w:trPr>
        <w:tc>
          <w:tcPr>
            <w:tcW w:w="3969" w:type="dxa"/>
            <w:hideMark/>
          </w:tcPr>
          <w:p w14:paraId="2347A695" w14:textId="7678FA36" w:rsidR="002659A4" w:rsidRPr="00D4575A" w:rsidRDefault="005C247F" w:rsidP="00E01DA4">
            <w:pPr>
              <w:pStyle w:val="Tabletextleft"/>
            </w:pPr>
            <w:r w:rsidRPr="00D4575A">
              <w:t>From 1 January 2025 office spaces with allocated parking should support EV charging if electric fleet vehicles are on site (where possible), in accordance with the Charging Plan 2024.</w:t>
            </w:r>
          </w:p>
        </w:tc>
        <w:tc>
          <w:tcPr>
            <w:tcW w:w="5102" w:type="dxa"/>
          </w:tcPr>
          <w:p w14:paraId="0ECE5F20" w14:textId="47204FE1" w:rsidR="001D2290" w:rsidRPr="005C247F" w:rsidRDefault="00384C64" w:rsidP="00E01DA4">
            <w:pPr>
              <w:pStyle w:val="Tablelistbullet"/>
            </w:pPr>
            <w:r w:rsidRPr="04F01DDA">
              <w:t xml:space="preserve">Fleet Strategy and </w:t>
            </w:r>
            <w:r w:rsidR="5F001291" w:rsidRPr="04F01DDA">
              <w:t>Chargin</w:t>
            </w:r>
            <w:r w:rsidR="55871A9E" w:rsidRPr="04F01DDA">
              <w:t>g</w:t>
            </w:r>
            <w:r w:rsidRPr="04F01DDA">
              <w:t xml:space="preserve"> Plan in place. </w:t>
            </w:r>
            <w:r w:rsidR="00663A38" w:rsidRPr="04F01DDA">
              <w:t xml:space="preserve">EV charging infrastructure is currently available at one of our 17 sites, located in Perth. </w:t>
            </w:r>
            <w:r w:rsidR="00305E0C" w:rsidRPr="04F01DDA">
              <w:t>W</w:t>
            </w:r>
            <w:r w:rsidR="00DE07CB" w:rsidRPr="04F01DDA">
              <w:t>e continue to engage with building owners at other sites.</w:t>
            </w:r>
          </w:p>
        </w:tc>
      </w:tr>
      <w:tr w:rsidR="005C247F" w:rsidRPr="00121D4A" w14:paraId="3BDED4D8" w14:textId="77777777" w:rsidTr="00D85BCD">
        <w:trPr>
          <w:trHeight w:val="407"/>
          <w:jc w:val="center"/>
        </w:trPr>
        <w:tc>
          <w:tcPr>
            <w:tcW w:w="3969" w:type="dxa"/>
          </w:tcPr>
          <w:p w14:paraId="698198C7" w14:textId="690B216E" w:rsidR="005C247F" w:rsidRPr="003616FB" w:rsidRDefault="005C247F" w:rsidP="00E01DA4">
            <w:pPr>
              <w:pStyle w:val="Tabletextleft"/>
            </w:pPr>
            <w:r w:rsidRPr="003616FB">
              <w:t>Office spaces &gt;1000m2 purchased, leased, constructed, or refurbished must have separate electricity metering.</w:t>
            </w:r>
          </w:p>
        </w:tc>
        <w:tc>
          <w:tcPr>
            <w:tcW w:w="5102" w:type="dxa"/>
          </w:tcPr>
          <w:p w14:paraId="2BCEE974" w14:textId="6EB30C85" w:rsidR="005C247F" w:rsidRDefault="005C247F" w:rsidP="00E01DA4">
            <w:pPr>
              <w:pStyle w:val="Tablelistbullet"/>
            </w:pPr>
            <w:r>
              <w:t xml:space="preserve">All relevant sites have separate </w:t>
            </w:r>
            <w:r w:rsidRPr="001D2290">
              <w:t>electricity metering.</w:t>
            </w:r>
          </w:p>
        </w:tc>
      </w:tr>
    </w:tbl>
    <w:p w14:paraId="6F16B176" w14:textId="01C7F9F7" w:rsidR="00E01DA4" w:rsidRDefault="00861965" w:rsidP="002D5D83">
      <w:pPr>
        <w:rPr>
          <w:rFonts w:eastAsia="Arial"/>
        </w:rPr>
      </w:pPr>
      <w:r w:rsidRPr="00E01DA4">
        <w:rPr>
          <w:rFonts w:eastAsia="Arial"/>
        </w:rPr>
        <w:t>Supporting our pathway to net zero are further actions under Scope 3</w:t>
      </w:r>
      <w:r w:rsidR="00704AA3" w:rsidRPr="00E01DA4">
        <w:rPr>
          <w:rFonts w:eastAsia="Arial"/>
        </w:rPr>
        <w:t xml:space="preserve"> which </w:t>
      </w:r>
      <w:r w:rsidRPr="00E01DA4">
        <w:rPr>
          <w:rFonts w:eastAsia="Arial"/>
        </w:rPr>
        <w:t xml:space="preserve">look to integrate climate action into core operations and decision-making. </w:t>
      </w:r>
      <w:r w:rsidR="002D693D" w:rsidRPr="00E01DA4">
        <w:rPr>
          <w:rFonts w:eastAsia="Arial"/>
        </w:rPr>
        <w:t>This includes</w:t>
      </w:r>
      <w:r w:rsidRPr="00E01DA4">
        <w:rPr>
          <w:rFonts w:eastAsia="Arial"/>
        </w:rPr>
        <w:t xml:space="preserve"> refining strategic oversight, embedding sustainability into procurement practices, enhancing data reporting, and strengthening staff capability and engagement.</w:t>
      </w:r>
      <w:r w:rsidR="00E01DA4">
        <w:rPr>
          <w:rFonts w:eastAsia="Arial"/>
        </w:rPr>
        <w:br w:type="page"/>
      </w:r>
    </w:p>
    <w:p w14:paraId="6AB29D3C" w14:textId="0BFF3029" w:rsidR="00861965" w:rsidRPr="00E01DA4" w:rsidRDefault="00704AA3" w:rsidP="002D5D83">
      <w:pPr>
        <w:rPr>
          <w:rFonts w:eastAsia="Arial"/>
        </w:rPr>
      </w:pPr>
      <w:r w:rsidRPr="00E01DA4">
        <w:rPr>
          <w:rFonts w:eastAsia="Arial"/>
        </w:rPr>
        <w:lastRenderedPageBreak/>
        <w:t>Key achievements in this area include:</w:t>
      </w:r>
    </w:p>
    <w:p w14:paraId="4BACC062" w14:textId="7D0A338F" w:rsidR="0033237E" w:rsidRPr="00D4575A" w:rsidRDefault="005C247F" w:rsidP="002D5D83">
      <w:r w:rsidRPr="00D4575A">
        <w:rPr>
          <w:rFonts w:eastAsia="Arial"/>
        </w:rPr>
        <w:t>Scope 3</w:t>
      </w:r>
    </w:p>
    <w:tbl>
      <w:tblPr>
        <w:tblStyle w:val="TableGrid"/>
        <w:tblW w:w="9071" w:type="dxa"/>
        <w:tblLook w:val="0400" w:firstRow="0" w:lastRow="0" w:firstColumn="0" w:lastColumn="0" w:noHBand="0" w:noVBand="1"/>
      </w:tblPr>
      <w:tblGrid>
        <w:gridCol w:w="2268"/>
        <w:gridCol w:w="6803"/>
      </w:tblGrid>
      <w:tr w:rsidR="00B64E73" w:rsidRPr="00121D4A" w14:paraId="0DE4671B" w14:textId="77777777" w:rsidTr="00D4575A">
        <w:trPr>
          <w:trHeight w:val="398"/>
        </w:trPr>
        <w:tc>
          <w:tcPr>
            <w:tcW w:w="2268" w:type="dxa"/>
            <w:hideMark/>
          </w:tcPr>
          <w:p w14:paraId="659CBAAF" w14:textId="65AC6A5F" w:rsidR="002659A4" w:rsidRPr="00D4575A" w:rsidRDefault="005C247F" w:rsidP="00E01DA4">
            <w:pPr>
              <w:pStyle w:val="Tabletextleft"/>
            </w:pPr>
            <w:r w:rsidRPr="00D4575A">
              <w:t>Lease consolidation</w:t>
            </w:r>
          </w:p>
        </w:tc>
        <w:tc>
          <w:tcPr>
            <w:tcW w:w="6803" w:type="dxa"/>
          </w:tcPr>
          <w:p w14:paraId="48B2C961" w14:textId="4B1832B7" w:rsidR="002659A4" w:rsidRPr="00D4575A" w:rsidRDefault="009F1831" w:rsidP="00E01DA4">
            <w:pPr>
              <w:pStyle w:val="Tabletextleft"/>
            </w:pPr>
            <w:r w:rsidRPr="00D4575A">
              <w:t>The New Ways of Working (NWOW) Program</w:t>
            </w:r>
            <w:r w:rsidR="00B369C1" w:rsidRPr="00D4575A">
              <w:t xml:space="preserve"> </w:t>
            </w:r>
            <w:r w:rsidRPr="00D4575A">
              <w:t xml:space="preserve">continued to consolidate tenancies </w:t>
            </w:r>
            <w:r w:rsidR="002C4208" w:rsidRPr="00D4575A">
              <w:t>and embed</w:t>
            </w:r>
            <w:r w:rsidRPr="00D4575A">
              <w:t xml:space="preserve"> sustainable design principles into office refurbishments and fit outs. NWOW </w:t>
            </w:r>
            <w:r w:rsidR="00350942" w:rsidRPr="00D4575A">
              <w:t>was</w:t>
            </w:r>
            <w:r w:rsidRPr="00D4575A">
              <w:t xml:space="preserve"> successfully implemented across sites in Brisbane and Surry Hills. In Woden, staff transitioned into the Yaradhang Building, enabling the decommissioning of Scarborough House. These changes resulted in a combined reduction in Net Leased Area of approximately 17,000sqm, supporting both operational efficiency and environmental sustainability.</w:t>
            </w:r>
          </w:p>
        </w:tc>
      </w:tr>
      <w:tr w:rsidR="00B64E73" w:rsidRPr="00121D4A" w14:paraId="65DAE001" w14:textId="77777777" w:rsidTr="00D4575A">
        <w:trPr>
          <w:trHeight w:val="398"/>
        </w:trPr>
        <w:tc>
          <w:tcPr>
            <w:tcW w:w="2268" w:type="dxa"/>
          </w:tcPr>
          <w:p w14:paraId="71FA9CA2" w14:textId="3B334399" w:rsidR="005C247F" w:rsidRDefault="005C247F" w:rsidP="00E01DA4">
            <w:pPr>
              <w:pStyle w:val="Tabletextleft"/>
            </w:pPr>
            <w:r w:rsidRPr="006159AF">
              <w:t>Waste management</w:t>
            </w:r>
          </w:p>
        </w:tc>
        <w:tc>
          <w:tcPr>
            <w:tcW w:w="6803" w:type="dxa"/>
          </w:tcPr>
          <w:p w14:paraId="3657EAE3" w14:textId="0E1F461E" w:rsidR="005C247F" w:rsidRPr="00113ED2" w:rsidRDefault="005C247F" w:rsidP="00E01DA4">
            <w:pPr>
              <w:pStyle w:val="Tabletextleft"/>
            </w:pPr>
            <w:r w:rsidRPr="00113ED2">
              <w:t xml:space="preserve">A strong emphasis on staff education to improve waste disposal practices, better recycling outcomes and more efficient overall waste management. </w:t>
            </w:r>
            <w:r w:rsidR="002D693D">
              <w:t>The Department</w:t>
            </w:r>
            <w:r w:rsidRPr="00113ED2">
              <w:t xml:space="preserve"> explored opportunities to enhance our waste data systems and will continue assessing innovative tools to support smarter, more sustainable waste management practices.</w:t>
            </w:r>
          </w:p>
        </w:tc>
      </w:tr>
      <w:tr w:rsidR="00B64E73" w:rsidRPr="00121D4A" w14:paraId="3D86BE13" w14:textId="77777777" w:rsidTr="00D4575A">
        <w:trPr>
          <w:trHeight w:val="398"/>
        </w:trPr>
        <w:tc>
          <w:tcPr>
            <w:tcW w:w="2268" w:type="dxa"/>
          </w:tcPr>
          <w:p w14:paraId="4D26400F" w14:textId="0E63F203" w:rsidR="005C247F" w:rsidRDefault="00113ED2" w:rsidP="00E01DA4">
            <w:pPr>
              <w:pStyle w:val="Tabletextleft"/>
            </w:pPr>
            <w:r w:rsidRPr="006159AF">
              <w:t>Sustainable travel</w:t>
            </w:r>
          </w:p>
        </w:tc>
        <w:tc>
          <w:tcPr>
            <w:tcW w:w="6803" w:type="dxa"/>
          </w:tcPr>
          <w:p w14:paraId="4F7458FD" w14:textId="0D5A8865" w:rsidR="005C247F" w:rsidRPr="00113ED2" w:rsidRDefault="00113ED2" w:rsidP="00E01DA4">
            <w:pPr>
              <w:pStyle w:val="Tabletextleft"/>
            </w:pPr>
            <w:r w:rsidRPr="00113ED2">
              <w:t>Travel policies were reviewed to identify opportunities for embedding sustainability into booking practices. Enhancements to training w</w:t>
            </w:r>
            <w:r w:rsidR="002D693D">
              <w:t>ere</w:t>
            </w:r>
            <w:r w:rsidRPr="00113ED2">
              <w:t xml:space="preserve"> explored to better integrate sustainability principles to support environmentally conscious travel decisions.</w:t>
            </w:r>
          </w:p>
        </w:tc>
      </w:tr>
      <w:tr w:rsidR="00B64E73" w:rsidRPr="00121D4A" w14:paraId="7A84D77B" w14:textId="77777777" w:rsidTr="00D4575A">
        <w:trPr>
          <w:trHeight w:val="398"/>
        </w:trPr>
        <w:tc>
          <w:tcPr>
            <w:tcW w:w="2268" w:type="dxa"/>
          </w:tcPr>
          <w:p w14:paraId="20C8BD78" w14:textId="658EB929" w:rsidR="005C247F" w:rsidRDefault="00113ED2" w:rsidP="00E01DA4">
            <w:pPr>
              <w:pStyle w:val="Tabletextleft"/>
            </w:pPr>
            <w:r w:rsidRPr="00034C61">
              <w:t>Climate-related governance</w:t>
            </w:r>
          </w:p>
        </w:tc>
        <w:tc>
          <w:tcPr>
            <w:tcW w:w="6803" w:type="dxa"/>
          </w:tcPr>
          <w:p w14:paraId="50196D59" w14:textId="1B067700" w:rsidR="005C247F" w:rsidRPr="00113ED2" w:rsidRDefault="00113ED2" w:rsidP="00E01DA4">
            <w:pPr>
              <w:pStyle w:val="Tabletextleft"/>
            </w:pPr>
            <w:r w:rsidRPr="00113ED2">
              <w:t>The Net Zero and Climate Risk Committee (NZCRC) was established to oversee implementation of the 2024–25 Action Plan and ensure strategic alignment with objectives of the Strategy.</w:t>
            </w:r>
          </w:p>
        </w:tc>
      </w:tr>
      <w:tr w:rsidR="00B64E73" w:rsidRPr="00121D4A" w14:paraId="5F63A880" w14:textId="77777777" w:rsidTr="00D4575A">
        <w:trPr>
          <w:trHeight w:val="398"/>
        </w:trPr>
        <w:tc>
          <w:tcPr>
            <w:tcW w:w="2268" w:type="dxa"/>
          </w:tcPr>
          <w:p w14:paraId="35852548" w14:textId="6D31727C" w:rsidR="00113ED2" w:rsidRPr="00034C61" w:rsidRDefault="00113ED2" w:rsidP="00E01DA4">
            <w:pPr>
              <w:pStyle w:val="Tabletextleft"/>
            </w:pPr>
            <w:r w:rsidRPr="008875C7">
              <w:t>Emissions data and reporting</w:t>
            </w:r>
          </w:p>
        </w:tc>
        <w:tc>
          <w:tcPr>
            <w:tcW w:w="6803" w:type="dxa"/>
          </w:tcPr>
          <w:p w14:paraId="4FF404A9" w14:textId="0884A824" w:rsidR="00113ED2" w:rsidRPr="00113ED2" w:rsidRDefault="00113ED2" w:rsidP="00E01DA4">
            <w:pPr>
              <w:pStyle w:val="Tabletextleft"/>
            </w:pPr>
            <w:r>
              <w:t>P</w:t>
            </w:r>
            <w:r w:rsidRPr="008875C7">
              <w:t>rocesses were reviewed and streamlined to enhance both accuracy and transparency. This work is ongoing, with further exploration into data management systems to support more robust and efficient reporting.</w:t>
            </w:r>
          </w:p>
        </w:tc>
      </w:tr>
      <w:tr w:rsidR="00B64E73" w:rsidRPr="00121D4A" w14:paraId="6445C091" w14:textId="77777777" w:rsidTr="00D4575A">
        <w:trPr>
          <w:trHeight w:val="398"/>
        </w:trPr>
        <w:tc>
          <w:tcPr>
            <w:tcW w:w="2268" w:type="dxa"/>
          </w:tcPr>
          <w:p w14:paraId="50777DF0" w14:textId="7B045A3F" w:rsidR="00113ED2" w:rsidRPr="008875C7" w:rsidRDefault="00113ED2" w:rsidP="00E01DA4">
            <w:pPr>
              <w:pStyle w:val="Tabletextleft"/>
            </w:pPr>
            <w:r w:rsidRPr="008875C7">
              <w:t>Staff capability and engagement</w:t>
            </w:r>
          </w:p>
        </w:tc>
        <w:tc>
          <w:tcPr>
            <w:tcW w:w="6803" w:type="dxa"/>
          </w:tcPr>
          <w:p w14:paraId="13274319" w14:textId="178056AC" w:rsidR="00113ED2" w:rsidRDefault="00113ED2" w:rsidP="00E01DA4">
            <w:pPr>
              <w:pStyle w:val="Tabletextleft"/>
            </w:pPr>
            <w:r w:rsidRPr="008875C7">
              <w:t>Staff engagement was uplifted through improved tools of engagement, collaboration with the Enviro Club, participation in initiatives such as Earth Hour, cross-agency partnerships, and promotion of climate-related training.</w:t>
            </w:r>
          </w:p>
        </w:tc>
      </w:tr>
    </w:tbl>
    <w:p w14:paraId="56B3A418" w14:textId="75A83052" w:rsidR="002F04E6" w:rsidRPr="002D5D83" w:rsidRDefault="00997BDE" w:rsidP="00E01DA4">
      <w:pPr>
        <w:rPr>
          <w:rFonts w:eastAsia="Arial"/>
        </w:rPr>
      </w:pPr>
      <w:r w:rsidRPr="002D5D83">
        <w:rPr>
          <w:rFonts w:eastAsia="Arial"/>
        </w:rPr>
        <w:t xml:space="preserve">Our Greenhouse Gas (GHG) emissions for 2024-25 </w:t>
      </w:r>
      <w:r w:rsidR="00FB7F20" w:rsidRPr="002D5D83">
        <w:rPr>
          <w:rFonts w:eastAsia="Arial"/>
        </w:rPr>
        <w:t>decreased by</w:t>
      </w:r>
      <w:r w:rsidRPr="002D5D83">
        <w:rPr>
          <w:rFonts w:eastAsia="Arial"/>
        </w:rPr>
        <w:t xml:space="preserve"> approximately 13.6%, indicating progress in emissions reduction efforts. Further detail about our GHG emissions is available in our </w:t>
      </w:r>
      <w:hyperlink r:id="rId22" w:history="1">
        <w:r w:rsidRPr="002D5D83">
          <w:rPr>
            <w:rFonts w:eastAsia="Arial"/>
          </w:rPr>
          <w:t>Annual Report</w:t>
        </w:r>
      </w:hyperlink>
      <w:r w:rsidRPr="002D5D83">
        <w:rPr>
          <w:rFonts w:eastAsia="Arial"/>
        </w:rPr>
        <w:t>.</w:t>
      </w:r>
    </w:p>
    <w:p w14:paraId="0252B54F" w14:textId="72AD3460" w:rsidR="002E13BC" w:rsidRPr="00E01DA4" w:rsidRDefault="00A43C53" w:rsidP="00E01DA4">
      <w:pPr>
        <w:pStyle w:val="Heading2"/>
      </w:pPr>
      <w:bookmarkStart w:id="23" w:name="_Toc212044818"/>
      <w:bookmarkStart w:id="24" w:name="_Toc212044901"/>
      <w:r w:rsidRPr="00E01DA4">
        <w:t>Priorities and Action</w:t>
      </w:r>
      <w:r w:rsidR="00CE14DC" w:rsidRPr="00E01DA4">
        <w:t>s</w:t>
      </w:r>
      <w:bookmarkEnd w:id="23"/>
      <w:bookmarkEnd w:id="24"/>
    </w:p>
    <w:p w14:paraId="226C46D9" w14:textId="5E48B2BA" w:rsidR="00F62990" w:rsidRPr="00E01DA4" w:rsidRDefault="00CA4D84" w:rsidP="002D5D83">
      <w:pPr>
        <w:rPr>
          <w:rFonts w:eastAsia="Arial"/>
        </w:rPr>
      </w:pPr>
      <w:r w:rsidRPr="00E01DA4">
        <w:rPr>
          <w:rFonts w:eastAsia="Arial"/>
        </w:rPr>
        <w:t xml:space="preserve">Moving forward the department </w:t>
      </w:r>
      <w:r w:rsidR="00990F7B" w:rsidRPr="00E01DA4">
        <w:rPr>
          <w:rFonts w:eastAsia="Arial"/>
        </w:rPr>
        <w:t xml:space="preserve">aims to </w:t>
      </w:r>
      <w:r w:rsidRPr="00E01DA4">
        <w:rPr>
          <w:rFonts w:eastAsia="Arial"/>
        </w:rPr>
        <w:t>consolidat</w:t>
      </w:r>
      <w:r w:rsidR="00763B9B" w:rsidRPr="00E01DA4">
        <w:rPr>
          <w:rFonts w:eastAsia="Arial"/>
        </w:rPr>
        <w:t>e</w:t>
      </w:r>
      <w:r w:rsidRPr="00E01DA4">
        <w:rPr>
          <w:rFonts w:eastAsia="Arial"/>
        </w:rPr>
        <w:t xml:space="preserve"> gains</w:t>
      </w:r>
      <w:r w:rsidR="0046333E" w:rsidRPr="00E01DA4">
        <w:rPr>
          <w:rFonts w:eastAsia="Arial"/>
        </w:rPr>
        <w:t xml:space="preserve"> and</w:t>
      </w:r>
      <w:r w:rsidRPr="00E01DA4">
        <w:rPr>
          <w:rFonts w:eastAsia="Arial"/>
        </w:rPr>
        <w:t xml:space="preserve"> identify solutions to overcome barriers accelerat</w:t>
      </w:r>
      <w:r w:rsidR="00CC3203" w:rsidRPr="00E01DA4">
        <w:rPr>
          <w:rFonts w:eastAsia="Arial"/>
        </w:rPr>
        <w:t>ing</w:t>
      </w:r>
      <w:r w:rsidRPr="00E01DA4">
        <w:rPr>
          <w:rFonts w:eastAsia="Arial"/>
        </w:rPr>
        <w:t xml:space="preserve"> </w:t>
      </w:r>
      <w:r w:rsidR="00890117" w:rsidRPr="00E01DA4">
        <w:rPr>
          <w:rFonts w:eastAsia="Arial"/>
        </w:rPr>
        <w:t xml:space="preserve">our </w:t>
      </w:r>
      <w:r w:rsidRPr="00E01DA4">
        <w:rPr>
          <w:rFonts w:eastAsia="Arial"/>
        </w:rPr>
        <w:t>progress toward net zero</w:t>
      </w:r>
      <w:r w:rsidR="00890117" w:rsidRPr="00E01DA4">
        <w:rPr>
          <w:rFonts w:eastAsia="Arial"/>
        </w:rPr>
        <w:t>.</w:t>
      </w:r>
      <w:r w:rsidRPr="00D4575A">
        <w:rPr>
          <w:rFonts w:eastAsia="Arial"/>
        </w:rPr>
        <w:t xml:space="preserve"> </w:t>
      </w:r>
      <w:r w:rsidR="00CC3203" w:rsidRPr="00D4575A">
        <w:rPr>
          <w:rFonts w:eastAsia="Arial"/>
        </w:rPr>
        <w:t xml:space="preserve">In 2025–26 </w:t>
      </w:r>
      <w:r w:rsidR="007C2556" w:rsidRPr="00D4575A">
        <w:rPr>
          <w:rFonts w:eastAsia="Arial"/>
        </w:rPr>
        <w:t>we</w:t>
      </w:r>
      <w:r w:rsidR="00CC3203" w:rsidRPr="00E01DA4">
        <w:rPr>
          <w:rFonts w:eastAsia="Arial"/>
        </w:rPr>
        <w:t xml:space="preserve"> con</w:t>
      </w:r>
      <w:r w:rsidR="00F25579" w:rsidRPr="00E01DA4">
        <w:rPr>
          <w:rFonts w:eastAsia="Arial"/>
        </w:rPr>
        <w:t xml:space="preserve">tinue a </w:t>
      </w:r>
      <w:r w:rsidR="00CC3203" w:rsidRPr="00E01DA4">
        <w:rPr>
          <w:rFonts w:eastAsia="Arial"/>
        </w:rPr>
        <w:t xml:space="preserve">focus on emissions reduction related activities in the </w:t>
      </w:r>
      <w:r w:rsidR="00082217" w:rsidRPr="00D4575A">
        <w:rPr>
          <w:rFonts w:eastAsia="Arial"/>
        </w:rPr>
        <w:t>priority areas</w:t>
      </w:r>
      <w:r w:rsidR="00CC3203" w:rsidRPr="00D4575A">
        <w:rPr>
          <w:rFonts w:eastAsia="Arial"/>
        </w:rPr>
        <w:t xml:space="preserve"> of Building, Energy and Fleet.</w:t>
      </w:r>
    </w:p>
    <w:p w14:paraId="5CB4E013" w14:textId="5F13A01D" w:rsidR="00E55418" w:rsidRPr="00E01DA4" w:rsidRDefault="00E55418" w:rsidP="002D5D83">
      <w:pPr>
        <w:rPr>
          <w:rFonts w:eastAsia="Arial"/>
        </w:rPr>
      </w:pPr>
      <w:r w:rsidRPr="00E01DA4">
        <w:rPr>
          <w:rFonts w:eastAsia="Arial"/>
        </w:rPr>
        <w:t xml:space="preserve">The following </w:t>
      </w:r>
      <w:r w:rsidR="2F730AD1" w:rsidRPr="00E01DA4">
        <w:rPr>
          <w:rFonts w:eastAsia="Arial"/>
        </w:rPr>
        <w:t>t</w:t>
      </w:r>
      <w:r w:rsidR="008878AB" w:rsidRPr="00E01DA4">
        <w:rPr>
          <w:rFonts w:eastAsia="Arial"/>
        </w:rPr>
        <w:t>able</w:t>
      </w:r>
      <w:r w:rsidRPr="00E01DA4">
        <w:rPr>
          <w:rFonts w:eastAsia="Arial"/>
        </w:rPr>
        <w:t xml:space="preserve"> identifies actions</w:t>
      </w:r>
      <w:r w:rsidR="00310F92" w:rsidRPr="00E01DA4">
        <w:rPr>
          <w:rFonts w:eastAsia="Arial"/>
        </w:rPr>
        <w:t>,</w:t>
      </w:r>
      <w:r w:rsidRPr="00E01DA4">
        <w:rPr>
          <w:rFonts w:eastAsia="Arial"/>
        </w:rPr>
        <w:t xml:space="preserve"> </w:t>
      </w:r>
      <w:r w:rsidR="00BC2900" w:rsidRPr="00E01DA4">
        <w:rPr>
          <w:rFonts w:eastAsia="Arial"/>
        </w:rPr>
        <w:t xml:space="preserve">their </w:t>
      </w:r>
      <w:r w:rsidRPr="00E01DA4">
        <w:rPr>
          <w:rFonts w:eastAsia="Arial"/>
        </w:rPr>
        <w:t>delivery timeframe</w:t>
      </w:r>
      <w:r w:rsidR="008878AB" w:rsidRPr="00E01DA4">
        <w:rPr>
          <w:rFonts w:eastAsia="Arial"/>
        </w:rPr>
        <w:t>s</w:t>
      </w:r>
      <w:r w:rsidR="00D24CD6" w:rsidRPr="00E01DA4">
        <w:rPr>
          <w:rFonts w:eastAsia="Arial"/>
        </w:rPr>
        <w:t xml:space="preserve"> and status</w:t>
      </w:r>
      <w:r w:rsidRPr="00E01DA4">
        <w:rPr>
          <w:rFonts w:eastAsia="Arial"/>
        </w:rPr>
        <w:t xml:space="preserve"> </w:t>
      </w:r>
      <w:r w:rsidR="00861965" w:rsidRPr="00E01DA4">
        <w:rPr>
          <w:rFonts w:eastAsia="Arial"/>
        </w:rPr>
        <w:t xml:space="preserve">up </w:t>
      </w:r>
      <w:r w:rsidRPr="00E01DA4">
        <w:rPr>
          <w:rFonts w:eastAsia="Arial"/>
        </w:rPr>
        <w:t>to 2030</w:t>
      </w:r>
      <w:r w:rsidR="004C5049" w:rsidRPr="00E01DA4">
        <w:rPr>
          <w:rFonts w:eastAsia="Arial"/>
        </w:rPr>
        <w:t>.</w:t>
      </w:r>
      <w:r w:rsidR="00E96E34" w:rsidRPr="00E01DA4">
        <w:rPr>
          <w:rFonts w:eastAsia="Arial"/>
        </w:rPr>
        <w:t xml:space="preserve"> </w:t>
      </w:r>
      <w:r w:rsidR="41C78ED0" w:rsidRPr="00E01DA4">
        <w:rPr>
          <w:rFonts w:eastAsia="Arial"/>
        </w:rPr>
        <w:t>Priority</w:t>
      </w:r>
      <w:r w:rsidR="009B56EB" w:rsidRPr="00E01DA4">
        <w:rPr>
          <w:rFonts w:eastAsia="Arial"/>
        </w:rPr>
        <w:t xml:space="preserve"> is given to </w:t>
      </w:r>
      <w:r w:rsidRPr="00E01DA4">
        <w:rPr>
          <w:rFonts w:eastAsia="Arial"/>
        </w:rPr>
        <w:t>actions with the highest</w:t>
      </w:r>
      <w:r w:rsidR="009B56EB" w:rsidRPr="00E01DA4">
        <w:rPr>
          <w:rFonts w:eastAsia="Arial"/>
        </w:rPr>
        <w:t xml:space="preserve"> </w:t>
      </w:r>
      <w:r w:rsidRPr="00E01DA4">
        <w:rPr>
          <w:rFonts w:eastAsia="Arial"/>
        </w:rPr>
        <w:t>emissions reduction impact to assist in meeting the 2030 target date.</w:t>
      </w:r>
    </w:p>
    <w:p w14:paraId="2B25F18D" w14:textId="395E5707" w:rsidR="00E55418" w:rsidRPr="00E01DA4" w:rsidRDefault="009B56EB" w:rsidP="002D5D83">
      <w:pPr>
        <w:rPr>
          <w:rFonts w:eastAsia="Arial"/>
        </w:rPr>
      </w:pPr>
      <w:r w:rsidRPr="00E01DA4">
        <w:rPr>
          <w:rFonts w:eastAsia="Arial"/>
        </w:rPr>
        <w:t>E</w:t>
      </w:r>
      <w:r w:rsidR="00E55418" w:rsidRPr="00E01DA4">
        <w:rPr>
          <w:rFonts w:eastAsia="Arial"/>
        </w:rPr>
        <w:t xml:space="preserve">ach action has </w:t>
      </w:r>
      <w:r w:rsidR="00A54249" w:rsidRPr="00E01DA4">
        <w:rPr>
          <w:rFonts w:eastAsia="Arial"/>
        </w:rPr>
        <w:t xml:space="preserve">also </w:t>
      </w:r>
      <w:r w:rsidR="00E55418" w:rsidRPr="00E01DA4">
        <w:rPr>
          <w:rFonts w:eastAsia="Arial"/>
        </w:rPr>
        <w:t xml:space="preserve">been </w:t>
      </w:r>
      <w:r w:rsidR="00E577CE" w:rsidRPr="00E01DA4">
        <w:rPr>
          <w:rFonts w:eastAsia="Arial"/>
        </w:rPr>
        <w:t>identified</w:t>
      </w:r>
      <w:r w:rsidR="00E55418" w:rsidRPr="00E01DA4">
        <w:rPr>
          <w:rFonts w:eastAsia="Arial"/>
        </w:rPr>
        <w:t xml:space="preserve"> as to whether it </w:t>
      </w:r>
      <w:r w:rsidR="00721753" w:rsidRPr="00E01DA4">
        <w:rPr>
          <w:rFonts w:eastAsia="Arial"/>
        </w:rPr>
        <w:t xml:space="preserve">may </w:t>
      </w:r>
      <w:r w:rsidR="00E55418" w:rsidRPr="00E01DA4">
        <w:rPr>
          <w:rFonts w:eastAsia="Arial"/>
        </w:rPr>
        <w:t xml:space="preserve">directly </w:t>
      </w:r>
      <w:r w:rsidR="00721753" w:rsidRPr="00E01DA4">
        <w:rPr>
          <w:rFonts w:eastAsia="Arial"/>
        </w:rPr>
        <w:t xml:space="preserve">impact, influence or innovate </w:t>
      </w:r>
      <w:r w:rsidR="007D6C9D" w:rsidRPr="00E01DA4">
        <w:rPr>
          <w:rFonts w:eastAsia="Arial"/>
        </w:rPr>
        <w:t>greenhouse gas</w:t>
      </w:r>
      <w:r w:rsidR="00E55418" w:rsidRPr="00E01DA4">
        <w:rPr>
          <w:rFonts w:eastAsia="Arial"/>
        </w:rPr>
        <w:t xml:space="preserve"> emissions</w:t>
      </w:r>
      <w:r w:rsidR="00721753" w:rsidRPr="00E01DA4">
        <w:rPr>
          <w:rFonts w:eastAsia="Arial"/>
        </w:rPr>
        <w:t xml:space="preserve"> reduction</w:t>
      </w:r>
      <w:r w:rsidR="007B73D5" w:rsidRPr="00E01DA4">
        <w:rPr>
          <w:rFonts w:eastAsia="Arial"/>
        </w:rPr>
        <w:t>:</w:t>
      </w:r>
    </w:p>
    <w:tbl>
      <w:tblPr>
        <w:tblW w:w="8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747"/>
      </w:tblGrid>
      <w:tr w:rsidR="00F24932" w:rsidRPr="00F24932" w14:paraId="32CBA9C4" w14:textId="77777777" w:rsidTr="00F24932">
        <w:trPr>
          <w:trHeight w:val="344"/>
        </w:trPr>
        <w:tc>
          <w:tcPr>
            <w:tcW w:w="1357" w:type="dxa"/>
            <w:vAlign w:val="center"/>
            <w:hideMark/>
          </w:tcPr>
          <w:p w14:paraId="2D7618E2" w14:textId="77777777" w:rsidR="00F24932" w:rsidRPr="00354039" w:rsidRDefault="00F24932" w:rsidP="00E01DA4">
            <w:pPr>
              <w:pStyle w:val="Tabletextleft"/>
            </w:pPr>
            <w:r w:rsidRPr="00354039">
              <w:t>Impact</w:t>
            </w:r>
          </w:p>
        </w:tc>
        <w:tc>
          <w:tcPr>
            <w:tcW w:w="6747" w:type="dxa"/>
            <w:vAlign w:val="center"/>
            <w:hideMark/>
          </w:tcPr>
          <w:p w14:paraId="325CF264" w14:textId="25731036" w:rsidR="00F24932" w:rsidRPr="00354039" w:rsidRDefault="00F24932" w:rsidP="00E01DA4">
            <w:pPr>
              <w:pStyle w:val="Tabletextleft"/>
            </w:pPr>
            <w:r w:rsidRPr="00354039">
              <w:t>Represents direct emissions reduction or sustainability outcomes.</w:t>
            </w:r>
          </w:p>
        </w:tc>
      </w:tr>
      <w:tr w:rsidR="00F24932" w:rsidRPr="00F24932" w14:paraId="7801F378" w14:textId="77777777" w:rsidTr="00F24932">
        <w:trPr>
          <w:trHeight w:val="344"/>
        </w:trPr>
        <w:tc>
          <w:tcPr>
            <w:tcW w:w="1357" w:type="dxa"/>
            <w:vAlign w:val="center"/>
            <w:hideMark/>
          </w:tcPr>
          <w:p w14:paraId="4A3C89F6" w14:textId="77777777" w:rsidR="00F24932" w:rsidRPr="00354039" w:rsidRDefault="00F24932" w:rsidP="00E01DA4">
            <w:pPr>
              <w:pStyle w:val="Tabletextleft"/>
            </w:pPr>
            <w:r w:rsidRPr="00354039">
              <w:t>Influence</w:t>
            </w:r>
          </w:p>
        </w:tc>
        <w:tc>
          <w:tcPr>
            <w:tcW w:w="6747" w:type="dxa"/>
            <w:vAlign w:val="center"/>
            <w:hideMark/>
          </w:tcPr>
          <w:p w14:paraId="0F98E7D1" w14:textId="77777777" w:rsidR="00F24932" w:rsidRPr="00354039" w:rsidRDefault="00F24932" w:rsidP="00E01DA4">
            <w:pPr>
              <w:pStyle w:val="Tabletextleft"/>
            </w:pPr>
            <w:r w:rsidRPr="00354039">
              <w:t>Indicates cultural, behavioural, or policy change.</w:t>
            </w:r>
          </w:p>
        </w:tc>
      </w:tr>
      <w:tr w:rsidR="00F24932" w:rsidRPr="00F24932" w14:paraId="480ECBAD" w14:textId="77777777" w:rsidTr="00F24932">
        <w:trPr>
          <w:trHeight w:val="344"/>
        </w:trPr>
        <w:tc>
          <w:tcPr>
            <w:tcW w:w="1357" w:type="dxa"/>
            <w:vAlign w:val="center"/>
            <w:hideMark/>
          </w:tcPr>
          <w:p w14:paraId="7DE64BC9" w14:textId="77777777" w:rsidR="00F24932" w:rsidRPr="00354039" w:rsidRDefault="00F24932" w:rsidP="00E01DA4">
            <w:pPr>
              <w:pStyle w:val="Tabletextleft"/>
            </w:pPr>
            <w:r w:rsidRPr="00354039">
              <w:t>Innovate</w:t>
            </w:r>
          </w:p>
        </w:tc>
        <w:tc>
          <w:tcPr>
            <w:tcW w:w="6747" w:type="dxa"/>
            <w:vAlign w:val="center"/>
            <w:hideMark/>
          </w:tcPr>
          <w:p w14:paraId="32281DDF" w14:textId="77777777" w:rsidR="00F24932" w:rsidRPr="00354039" w:rsidRDefault="00F24932" w:rsidP="00E01DA4">
            <w:pPr>
              <w:pStyle w:val="Tabletextleft"/>
            </w:pPr>
            <w:r w:rsidRPr="00354039">
              <w:t>Symbolises new ideas, technologies, or pilot initiatives.</w:t>
            </w:r>
          </w:p>
        </w:tc>
      </w:tr>
    </w:tbl>
    <w:p w14:paraId="012FAC9E" w14:textId="77777777" w:rsidR="00721753" w:rsidRPr="00E01DA4" w:rsidRDefault="00721753" w:rsidP="002D5D83">
      <w:pPr>
        <w:rPr>
          <w:rFonts w:eastAsia="Arial"/>
        </w:rPr>
      </w:pPr>
    </w:p>
    <w:p w14:paraId="667197F6" w14:textId="77777777" w:rsidR="008536E4" w:rsidRPr="00E01DA4" w:rsidRDefault="008536E4" w:rsidP="002D5D83">
      <w:pPr>
        <w:rPr>
          <w:rFonts w:eastAsia="Arial"/>
        </w:rPr>
        <w:sectPr w:rsidR="008536E4" w:rsidRPr="00E01DA4" w:rsidSect="00E01DA4">
          <w:pgSz w:w="11906" w:h="16838"/>
          <w:pgMar w:top="993" w:right="1418" w:bottom="1418" w:left="1418" w:header="568" w:footer="283" w:gutter="0"/>
          <w:cols w:space="708"/>
          <w:docGrid w:linePitch="360"/>
        </w:sectPr>
      </w:pPr>
    </w:p>
    <w:tbl>
      <w:tblPr>
        <w:tblStyle w:val="TableGrid"/>
        <w:tblW w:w="1431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63"/>
        <w:gridCol w:w="5430"/>
        <w:gridCol w:w="871"/>
        <w:gridCol w:w="1123"/>
        <w:gridCol w:w="1229"/>
        <w:gridCol w:w="617"/>
        <w:gridCol w:w="617"/>
        <w:gridCol w:w="617"/>
        <w:gridCol w:w="617"/>
        <w:gridCol w:w="617"/>
        <w:gridCol w:w="617"/>
        <w:gridCol w:w="1397"/>
      </w:tblGrid>
      <w:tr w:rsidR="00E75ED8" w:rsidRPr="00C047BB" w14:paraId="721293A6" w14:textId="3DFF1AEC" w:rsidTr="00354039">
        <w:trPr>
          <w:cnfStyle w:val="100000000000" w:firstRow="1" w:lastRow="0" w:firstColumn="0" w:lastColumn="0" w:oddVBand="0" w:evenVBand="0" w:oddHBand="0" w:evenHBand="0" w:firstRowFirstColumn="0" w:firstRowLastColumn="0" w:lastRowFirstColumn="0" w:lastRowLastColumn="0"/>
          <w:trHeight w:val="300"/>
          <w:tblHeader/>
          <w:jc w:val="center"/>
        </w:trPr>
        <w:tc>
          <w:tcPr>
            <w:tcW w:w="567" w:type="dxa"/>
            <w:shd w:val="clear" w:color="auto" w:fill="D9D9D9" w:themeFill="background1" w:themeFillShade="D9"/>
            <w:vAlign w:val="center"/>
          </w:tcPr>
          <w:p w14:paraId="6E5FCABE" w14:textId="0C787D5A" w:rsidR="00A95A18" w:rsidRPr="00354039" w:rsidRDefault="00927EFD" w:rsidP="00354039">
            <w:pPr>
              <w:pStyle w:val="TableHeader"/>
            </w:pPr>
            <w:r w:rsidRPr="00354039">
              <w:lastRenderedPageBreak/>
              <w:t>#</w:t>
            </w:r>
          </w:p>
        </w:tc>
        <w:tc>
          <w:tcPr>
            <w:tcW w:w="5640" w:type="dxa"/>
            <w:shd w:val="clear" w:color="auto" w:fill="D9D9D9" w:themeFill="background1" w:themeFillShade="D9"/>
            <w:vAlign w:val="center"/>
          </w:tcPr>
          <w:p w14:paraId="688F336E" w14:textId="4C50EF89" w:rsidR="00A95A18" w:rsidRPr="00354039" w:rsidRDefault="00A95A18" w:rsidP="00354039">
            <w:pPr>
              <w:pStyle w:val="TableHeader"/>
            </w:pPr>
            <w:r w:rsidRPr="00354039">
              <w:t>PRIORITY AREA 1: BUILDING</w:t>
            </w:r>
          </w:p>
        </w:tc>
        <w:tc>
          <w:tcPr>
            <w:tcW w:w="877" w:type="dxa"/>
            <w:shd w:val="clear" w:color="auto" w:fill="D9D9D9" w:themeFill="background1" w:themeFillShade="D9"/>
            <w:vAlign w:val="center"/>
          </w:tcPr>
          <w:p w14:paraId="16F97A97" w14:textId="0CFCA572" w:rsidR="00A95A18" w:rsidRPr="00354039" w:rsidRDefault="00A95A18" w:rsidP="00354039">
            <w:pPr>
              <w:pStyle w:val="TableHeader"/>
            </w:pPr>
            <w:r w:rsidRPr="00354039">
              <w:t>Scope</w:t>
            </w:r>
          </w:p>
        </w:tc>
        <w:tc>
          <w:tcPr>
            <w:tcW w:w="1133" w:type="dxa"/>
            <w:shd w:val="clear" w:color="auto" w:fill="D9D9D9" w:themeFill="background1" w:themeFillShade="D9"/>
            <w:vAlign w:val="center"/>
          </w:tcPr>
          <w:p w14:paraId="58B4E710" w14:textId="338F2E8C" w:rsidR="00A95A18" w:rsidRPr="00354039" w:rsidRDefault="00A95A18" w:rsidP="00354039">
            <w:pPr>
              <w:pStyle w:val="TableHeader"/>
            </w:pPr>
            <w:r w:rsidRPr="00354039">
              <w:t>Action type</w:t>
            </w:r>
          </w:p>
        </w:tc>
        <w:tc>
          <w:tcPr>
            <w:tcW w:w="1247" w:type="dxa"/>
            <w:tcBorders>
              <w:right w:val="dashed" w:sz="4" w:space="0" w:color="auto"/>
            </w:tcBorders>
            <w:shd w:val="clear" w:color="auto" w:fill="D9D9D9" w:themeFill="background1" w:themeFillShade="D9"/>
            <w:vAlign w:val="center"/>
          </w:tcPr>
          <w:p w14:paraId="2F11446E" w14:textId="54E811BD" w:rsidR="00A95A18" w:rsidRPr="00354039" w:rsidRDefault="00A95A18" w:rsidP="00354039">
            <w:pPr>
              <w:pStyle w:val="TableHeader"/>
            </w:pPr>
            <w:r w:rsidRPr="00354039">
              <w:t>Owner</w:t>
            </w:r>
          </w:p>
        </w:tc>
        <w:tc>
          <w:tcPr>
            <w:tcW w:w="572" w:type="dxa"/>
            <w:tcBorders>
              <w:left w:val="dashed" w:sz="4" w:space="0" w:color="auto"/>
              <w:right w:val="dashed" w:sz="4" w:space="0" w:color="auto"/>
            </w:tcBorders>
            <w:shd w:val="clear" w:color="auto" w:fill="D9D9D9" w:themeFill="background1" w:themeFillShade="D9"/>
            <w:vAlign w:val="center"/>
          </w:tcPr>
          <w:p w14:paraId="447AEDDA" w14:textId="34F0519D" w:rsidR="00A95A18" w:rsidRPr="00354039" w:rsidRDefault="00A95A18" w:rsidP="00354039">
            <w:pPr>
              <w:pStyle w:val="TableHeader"/>
            </w:pPr>
            <w:r w:rsidRPr="00354039">
              <w:t>2024</w:t>
            </w:r>
          </w:p>
        </w:tc>
        <w:tc>
          <w:tcPr>
            <w:tcW w:w="572" w:type="dxa"/>
            <w:tcBorders>
              <w:left w:val="dashed" w:sz="4" w:space="0" w:color="auto"/>
              <w:right w:val="dashed" w:sz="4" w:space="0" w:color="auto"/>
            </w:tcBorders>
            <w:shd w:val="clear" w:color="auto" w:fill="D9D9D9" w:themeFill="background1" w:themeFillShade="D9"/>
            <w:vAlign w:val="center"/>
          </w:tcPr>
          <w:p w14:paraId="3B039F62" w14:textId="7A294C21" w:rsidR="00A95A18" w:rsidRPr="00354039" w:rsidRDefault="00A95A18" w:rsidP="00354039">
            <w:pPr>
              <w:pStyle w:val="TableHeader"/>
            </w:pPr>
            <w:r w:rsidRPr="00354039">
              <w:t>2025</w:t>
            </w:r>
          </w:p>
        </w:tc>
        <w:tc>
          <w:tcPr>
            <w:tcW w:w="572" w:type="dxa"/>
            <w:tcBorders>
              <w:left w:val="dashed" w:sz="4" w:space="0" w:color="auto"/>
              <w:right w:val="dashed" w:sz="4" w:space="0" w:color="auto"/>
            </w:tcBorders>
            <w:shd w:val="clear" w:color="auto" w:fill="D9D9D9" w:themeFill="background1" w:themeFillShade="D9"/>
            <w:vAlign w:val="center"/>
          </w:tcPr>
          <w:p w14:paraId="15064E9E" w14:textId="3311FD17" w:rsidR="00A95A18" w:rsidRPr="00354039" w:rsidRDefault="00A95A18" w:rsidP="00354039">
            <w:pPr>
              <w:pStyle w:val="TableHeader"/>
            </w:pPr>
            <w:r w:rsidRPr="00354039">
              <w:t>2026</w:t>
            </w:r>
          </w:p>
        </w:tc>
        <w:tc>
          <w:tcPr>
            <w:tcW w:w="572" w:type="dxa"/>
            <w:tcBorders>
              <w:left w:val="dashed" w:sz="4" w:space="0" w:color="auto"/>
              <w:right w:val="dashed" w:sz="4" w:space="0" w:color="auto"/>
            </w:tcBorders>
            <w:shd w:val="clear" w:color="auto" w:fill="D9D9D9" w:themeFill="background1" w:themeFillShade="D9"/>
            <w:vAlign w:val="center"/>
          </w:tcPr>
          <w:p w14:paraId="2E02B8F9" w14:textId="3138E076" w:rsidR="00A95A18" w:rsidRPr="00354039" w:rsidRDefault="00A95A18" w:rsidP="00354039">
            <w:pPr>
              <w:pStyle w:val="TableHeader"/>
            </w:pPr>
            <w:r w:rsidRPr="00354039">
              <w:t>2027</w:t>
            </w:r>
          </w:p>
        </w:tc>
        <w:tc>
          <w:tcPr>
            <w:tcW w:w="572" w:type="dxa"/>
            <w:tcBorders>
              <w:left w:val="dashed" w:sz="4" w:space="0" w:color="auto"/>
              <w:right w:val="dashed" w:sz="4" w:space="0" w:color="auto"/>
            </w:tcBorders>
            <w:shd w:val="clear" w:color="auto" w:fill="D9D9D9" w:themeFill="background1" w:themeFillShade="D9"/>
            <w:vAlign w:val="center"/>
          </w:tcPr>
          <w:p w14:paraId="397EFD6D" w14:textId="71FC8BB2" w:rsidR="00A95A18" w:rsidRPr="00354039" w:rsidRDefault="00A95A18" w:rsidP="00354039">
            <w:pPr>
              <w:pStyle w:val="TableHeader"/>
            </w:pPr>
            <w:r w:rsidRPr="00354039">
              <w:t>2028</w:t>
            </w:r>
          </w:p>
        </w:tc>
        <w:tc>
          <w:tcPr>
            <w:tcW w:w="574" w:type="dxa"/>
            <w:tcBorders>
              <w:left w:val="dashed" w:sz="4" w:space="0" w:color="auto"/>
              <w:right w:val="dashed" w:sz="4" w:space="0" w:color="auto"/>
            </w:tcBorders>
            <w:shd w:val="clear" w:color="auto" w:fill="D9D9D9" w:themeFill="background1" w:themeFillShade="D9"/>
            <w:vAlign w:val="center"/>
          </w:tcPr>
          <w:p w14:paraId="57CD17B0" w14:textId="51D0BC58" w:rsidR="00A95A18" w:rsidRPr="00354039" w:rsidRDefault="00A95A18" w:rsidP="00354039">
            <w:pPr>
              <w:pStyle w:val="TableHeader"/>
            </w:pPr>
            <w:r w:rsidRPr="00354039">
              <w:t>2029</w:t>
            </w:r>
          </w:p>
        </w:tc>
        <w:tc>
          <w:tcPr>
            <w:tcW w:w="1417" w:type="dxa"/>
            <w:tcBorders>
              <w:left w:val="dashed" w:sz="4" w:space="0" w:color="auto"/>
            </w:tcBorders>
            <w:shd w:val="clear" w:color="auto" w:fill="D9D9D9" w:themeFill="background1" w:themeFillShade="D9"/>
          </w:tcPr>
          <w:p w14:paraId="7EB8ACDE" w14:textId="1593690E" w:rsidR="00A95A18" w:rsidRPr="00354039" w:rsidRDefault="00A95A18" w:rsidP="00354039">
            <w:pPr>
              <w:pStyle w:val="TableHeader"/>
            </w:pPr>
            <w:r w:rsidRPr="00354039">
              <w:t>Status</w:t>
            </w:r>
          </w:p>
        </w:tc>
      </w:tr>
      <w:tr w:rsidR="00A95A18" w:rsidRPr="005F4A8A" w14:paraId="7D9A33A3" w14:textId="45D9AE54" w:rsidTr="5177C3CF">
        <w:trPr>
          <w:trHeight w:val="300"/>
          <w:jc w:val="center"/>
        </w:trPr>
        <w:tc>
          <w:tcPr>
            <w:tcW w:w="567" w:type="dxa"/>
          </w:tcPr>
          <w:p w14:paraId="419B4E16" w14:textId="269CBE75" w:rsidR="00A95A18" w:rsidRPr="00D4575A" w:rsidRDefault="00A95A18" w:rsidP="00E01DA4">
            <w:pPr>
              <w:pStyle w:val="Tabletextleft"/>
            </w:pPr>
            <w:r w:rsidRPr="00D4575A">
              <w:t>1.1</w:t>
            </w:r>
          </w:p>
        </w:tc>
        <w:tc>
          <w:tcPr>
            <w:tcW w:w="5640" w:type="dxa"/>
          </w:tcPr>
          <w:p w14:paraId="2326F1D5" w14:textId="35A16FB7" w:rsidR="00A95A18" w:rsidRPr="00D4575A" w:rsidRDefault="00A95A18" w:rsidP="00E01DA4">
            <w:pPr>
              <w:pStyle w:val="Tabletextleft"/>
            </w:pPr>
            <w:r w:rsidRPr="00D4575A">
              <w:t>From 1 July 2024 preference for all-electric buildings when entering leases. This includes Green Lease Schedules (GLS) for all leased properties with an NLA of &gt;1000m2 and minimum 4-year lease term.</w:t>
            </w:r>
            <w:r w:rsidR="00533286" w:rsidRPr="00D4575A">
              <w:t xml:space="preserve"> </w:t>
            </w:r>
            <w:r w:rsidR="00533286" w:rsidRPr="00DF3147">
              <w:rPr>
                <w:rStyle w:val="TabletextemphasisChar"/>
              </w:rPr>
              <w:t>Ongoing for future leases</w:t>
            </w:r>
          </w:p>
        </w:tc>
        <w:tc>
          <w:tcPr>
            <w:tcW w:w="877" w:type="dxa"/>
            <w:vAlign w:val="center"/>
          </w:tcPr>
          <w:p w14:paraId="2FAD6F51" w14:textId="1FF75C1D" w:rsidR="00A95A18" w:rsidRPr="00D4575A" w:rsidRDefault="00C41A49" w:rsidP="00C10634">
            <w:pPr>
              <w:pStyle w:val="Tabletextcentre"/>
              <w:rPr>
                <w:lang w:eastAsia="en-AU"/>
              </w:rPr>
            </w:pPr>
            <w:r w:rsidRPr="00D4575A">
              <w:rPr>
                <w:lang w:eastAsia="en-AU"/>
              </w:rPr>
              <w:t>1 &amp; 2</w:t>
            </w:r>
          </w:p>
        </w:tc>
        <w:tc>
          <w:tcPr>
            <w:tcW w:w="1133" w:type="dxa"/>
            <w:vAlign w:val="center"/>
          </w:tcPr>
          <w:p w14:paraId="1257AFFC" w14:textId="5AB9027A" w:rsidR="00CA5FBF" w:rsidRPr="00D4575A" w:rsidRDefault="00A95A18" w:rsidP="00CA5FBF">
            <w:pPr>
              <w:pStyle w:val="Tabletextcentre"/>
              <w:rPr>
                <w:lang w:eastAsia="en-AU"/>
              </w:rPr>
            </w:pPr>
            <w:r w:rsidRPr="00D4575A">
              <w:rPr>
                <w:lang w:eastAsia="en-AU"/>
              </w:rPr>
              <w:t>Impact</w:t>
            </w:r>
            <w:r w:rsidR="00CA5FBF">
              <w:rPr>
                <w:noProof/>
              </w:rPr>
              <w:t xml:space="preserve"> </w:t>
            </w:r>
            <w:r w:rsidR="00CA5FBF">
              <w:rPr>
                <w:noProof/>
              </w:rPr>
              <w:drawing>
                <wp:inline distT="0" distB="0" distL="0" distR="0" wp14:anchorId="06A0DE56" wp14:editId="597C26C8">
                  <wp:extent cx="252000" cy="276707"/>
                  <wp:effectExtent l="0" t="0" r="0" b="0"/>
                  <wp:docPr id="2445198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19871" name="Picture 1">
                            <a:extLst>
                              <a:ext uri="{C183D7F6-B498-43B3-948B-1728B52AA6E4}">
                                <adec:decorative xmlns:adec="http://schemas.microsoft.com/office/drawing/2017/decorative" val="1"/>
                              </a:ext>
                            </a:extLst>
                          </pic:cNvPr>
                          <pic:cNvPicPr/>
                        </pic:nvPicPr>
                        <pic:blipFill>
                          <a:blip r:embed="rId23"/>
                          <a:stretch>
                            <a:fillRect/>
                          </a:stretch>
                        </pic:blipFill>
                        <pic:spPr>
                          <a:xfrm>
                            <a:off x="0" y="0"/>
                            <a:ext cx="252000" cy="276707"/>
                          </a:xfrm>
                          <a:prstGeom prst="rect">
                            <a:avLst/>
                          </a:prstGeom>
                        </pic:spPr>
                      </pic:pic>
                    </a:graphicData>
                  </a:graphic>
                </wp:inline>
              </w:drawing>
            </w:r>
          </w:p>
          <w:p w14:paraId="2818324D" w14:textId="7026E5F4" w:rsidR="00A95A18" w:rsidRPr="00CA5FBF" w:rsidRDefault="00A95A18" w:rsidP="00CA5FBF">
            <w:pPr>
              <w:pStyle w:val="Index8"/>
              <w:rPr>
                <w:rFonts w:eastAsia="Arial"/>
              </w:rPr>
            </w:pPr>
          </w:p>
        </w:tc>
        <w:tc>
          <w:tcPr>
            <w:tcW w:w="1247" w:type="dxa"/>
            <w:tcBorders>
              <w:right w:val="dashed" w:sz="4" w:space="0" w:color="auto"/>
            </w:tcBorders>
            <w:vAlign w:val="center"/>
          </w:tcPr>
          <w:p w14:paraId="434E771C" w14:textId="7B255646" w:rsidR="00A95A18" w:rsidRPr="00E01DA4" w:rsidRDefault="00A95A18" w:rsidP="00E01DA4">
            <w:pPr>
              <w:pStyle w:val="Tabletextcentre"/>
            </w:pPr>
            <w:r w:rsidRPr="00E01DA4">
              <w:t>Leasing</w:t>
            </w:r>
          </w:p>
        </w:tc>
        <w:tc>
          <w:tcPr>
            <w:tcW w:w="572" w:type="dxa"/>
            <w:tcBorders>
              <w:left w:val="dashed" w:sz="4" w:space="0" w:color="auto"/>
              <w:right w:val="dashed" w:sz="4" w:space="0" w:color="auto"/>
            </w:tcBorders>
          </w:tcPr>
          <w:p w14:paraId="343C3D6C" w14:textId="4FAF9B1E" w:rsidR="00A95A18" w:rsidRPr="00354039" w:rsidRDefault="00A95A18" w:rsidP="002D5D83">
            <w:pPr>
              <w:rPr>
                <w:rFonts w:eastAsia="Arial"/>
              </w:rPr>
            </w:pPr>
            <w:r w:rsidRPr="00354039">
              <w:rPr>
                <w:rFonts w:eastAsia="Arial"/>
              </w:rPr>
              <mc:AlternateContent>
                <mc:Choice Requires="wps">
                  <w:drawing>
                    <wp:anchor distT="0" distB="0" distL="114300" distR="114300" simplePos="0" relativeHeight="251658240" behindDoc="0" locked="0" layoutInCell="1" allowOverlap="1" wp14:anchorId="0A8BED55" wp14:editId="6A864174">
                      <wp:simplePos x="0" y="0"/>
                      <wp:positionH relativeFrom="column">
                        <wp:posOffset>92075</wp:posOffset>
                      </wp:positionH>
                      <wp:positionV relativeFrom="paragraph">
                        <wp:posOffset>321945</wp:posOffset>
                      </wp:positionV>
                      <wp:extent cx="366341" cy="0"/>
                      <wp:effectExtent l="38100" t="38100" r="72390" b="95250"/>
                      <wp:wrapNone/>
                      <wp:docPr id="8705782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6341"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C14BC" id="Straight Connector 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25.35pt" to="36.1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" strokecolor="#358189 [3205]" strokeweight="2pt">
                      <v:shadow on="t" color="black" opacity="24903f" origin=",.5" offset="0,.55556mm"/>
                    </v:line>
                  </w:pict>
                </mc:Fallback>
              </mc:AlternateContent>
            </w:r>
          </w:p>
        </w:tc>
        <w:tc>
          <w:tcPr>
            <w:tcW w:w="572" w:type="dxa"/>
            <w:tcBorders>
              <w:left w:val="dashed" w:sz="4" w:space="0" w:color="auto"/>
              <w:right w:val="dashed" w:sz="4" w:space="0" w:color="auto"/>
            </w:tcBorders>
          </w:tcPr>
          <w:p w14:paraId="060D2052" w14:textId="5BA26E2E" w:rsidR="00A95A18" w:rsidRPr="00354039" w:rsidRDefault="00A95A18" w:rsidP="002D5D83">
            <w:pPr>
              <w:rPr>
                <w:rFonts w:eastAsia="Arial"/>
              </w:rPr>
            </w:pPr>
            <w:r w:rsidRPr="00354039">
              <w:rPr>
                <w:rFonts w:eastAsia="Arial"/>
              </w:rPr>
              <mc:AlternateContent>
                <mc:Choice Requires="wps">
                  <w:drawing>
                    <wp:anchor distT="0" distB="0" distL="114300" distR="114300" simplePos="0" relativeHeight="251658241" behindDoc="0" locked="0" layoutInCell="1" allowOverlap="1" wp14:anchorId="6DF7405B" wp14:editId="3B89F587">
                      <wp:simplePos x="0" y="0"/>
                      <wp:positionH relativeFrom="column">
                        <wp:posOffset>132715</wp:posOffset>
                      </wp:positionH>
                      <wp:positionV relativeFrom="paragraph">
                        <wp:posOffset>329565</wp:posOffset>
                      </wp:positionV>
                      <wp:extent cx="1571625" cy="0"/>
                      <wp:effectExtent l="0" t="0" r="0" b="0"/>
                      <wp:wrapNone/>
                      <wp:docPr id="194700324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571625" cy="0"/>
                              </a:xfrm>
                              <a:prstGeom prst="line">
                                <a:avLst/>
                              </a:prstGeom>
                              <a:ln w="19050"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E1AC7" id="Straight Connector 1"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25.95pt" to="134.2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" strokecolor="#358189 [3205]" strokeweight="1.5pt">
                      <v:stroke dashstyle="dash"/>
                    </v:line>
                  </w:pict>
                </mc:Fallback>
              </mc:AlternateContent>
            </w:r>
          </w:p>
        </w:tc>
        <w:tc>
          <w:tcPr>
            <w:tcW w:w="572" w:type="dxa"/>
            <w:tcBorders>
              <w:left w:val="dashed" w:sz="4" w:space="0" w:color="auto"/>
              <w:right w:val="dashed" w:sz="4" w:space="0" w:color="auto"/>
            </w:tcBorders>
          </w:tcPr>
          <w:p w14:paraId="409D933A" w14:textId="1EBDF38B" w:rsidR="00A95A18" w:rsidRPr="006432AB" w:rsidRDefault="00A95A18" w:rsidP="00D746EA">
            <w:pPr>
              <w:rPr>
                <w:rFonts w:eastAsia="Arial" w:cs="Arial"/>
                <w:color w:val="000000"/>
                <w:sz w:val="16"/>
                <w:szCs w:val="16"/>
              </w:rPr>
            </w:pPr>
          </w:p>
        </w:tc>
        <w:tc>
          <w:tcPr>
            <w:tcW w:w="572" w:type="dxa"/>
            <w:tcBorders>
              <w:left w:val="dashed" w:sz="4" w:space="0" w:color="auto"/>
              <w:right w:val="dashed" w:sz="4" w:space="0" w:color="auto"/>
            </w:tcBorders>
          </w:tcPr>
          <w:p w14:paraId="7825DCB4" w14:textId="77777777" w:rsidR="00A95A18" w:rsidRPr="006432AB" w:rsidRDefault="00A95A18" w:rsidP="00D746EA">
            <w:pPr>
              <w:rPr>
                <w:rFonts w:eastAsia="Arial" w:cs="Arial"/>
                <w:color w:val="000000"/>
                <w:sz w:val="16"/>
                <w:szCs w:val="16"/>
              </w:rPr>
            </w:pPr>
          </w:p>
        </w:tc>
        <w:tc>
          <w:tcPr>
            <w:tcW w:w="572" w:type="dxa"/>
            <w:tcBorders>
              <w:left w:val="dashed" w:sz="4" w:space="0" w:color="auto"/>
              <w:right w:val="dashed" w:sz="4" w:space="0" w:color="auto"/>
            </w:tcBorders>
          </w:tcPr>
          <w:p w14:paraId="5F90CDEA" w14:textId="70E9928C" w:rsidR="00A95A18" w:rsidRPr="006432AB" w:rsidRDefault="00A95A18" w:rsidP="00D746EA">
            <w:pPr>
              <w:rPr>
                <w:rFonts w:eastAsia="Arial" w:cs="Arial"/>
                <w:color w:val="000000"/>
                <w:sz w:val="16"/>
                <w:szCs w:val="16"/>
              </w:rPr>
            </w:pPr>
          </w:p>
        </w:tc>
        <w:tc>
          <w:tcPr>
            <w:tcW w:w="574" w:type="dxa"/>
            <w:tcBorders>
              <w:left w:val="dashed" w:sz="4" w:space="0" w:color="auto"/>
              <w:right w:val="dashed" w:sz="4" w:space="0" w:color="auto"/>
            </w:tcBorders>
          </w:tcPr>
          <w:p w14:paraId="513872D5" w14:textId="77777777" w:rsidR="00A95A18" w:rsidRPr="006432AB" w:rsidRDefault="00A95A18" w:rsidP="00D746EA">
            <w:pPr>
              <w:rPr>
                <w:rFonts w:eastAsia="Arial" w:cs="Arial"/>
                <w:color w:val="000000"/>
                <w:sz w:val="16"/>
                <w:szCs w:val="16"/>
              </w:rPr>
            </w:pPr>
          </w:p>
        </w:tc>
        <w:tc>
          <w:tcPr>
            <w:tcW w:w="1417" w:type="dxa"/>
            <w:tcBorders>
              <w:left w:val="dashed" w:sz="4" w:space="0" w:color="auto"/>
            </w:tcBorders>
            <w:vAlign w:val="center"/>
          </w:tcPr>
          <w:p w14:paraId="4B019F89" w14:textId="347F120F" w:rsidR="00D25E3C" w:rsidRPr="00E01DA4" w:rsidRDefault="00EF7B65" w:rsidP="00E01DA4">
            <w:pPr>
              <w:pStyle w:val="Tabletextcentre"/>
            </w:pPr>
            <w:r w:rsidRPr="00E01DA4">
              <w:t>Met</w:t>
            </w:r>
          </w:p>
        </w:tc>
      </w:tr>
      <w:tr w:rsidR="00A95A18" w:rsidRPr="005F4A8A" w14:paraId="576F12B1" w14:textId="4C0D10ED" w:rsidTr="5177C3CF">
        <w:trPr>
          <w:trHeight w:val="300"/>
          <w:jc w:val="center"/>
        </w:trPr>
        <w:tc>
          <w:tcPr>
            <w:tcW w:w="567" w:type="dxa"/>
          </w:tcPr>
          <w:p w14:paraId="3941BC12" w14:textId="0C9561BE" w:rsidR="00A95A18" w:rsidRPr="00D4575A" w:rsidRDefault="00A95A18" w:rsidP="00E01DA4">
            <w:pPr>
              <w:pStyle w:val="Tabletextleft"/>
            </w:pPr>
            <w:r w:rsidRPr="00D4575A">
              <w:t>1.2</w:t>
            </w:r>
          </w:p>
        </w:tc>
        <w:tc>
          <w:tcPr>
            <w:tcW w:w="5640" w:type="dxa"/>
          </w:tcPr>
          <w:p w14:paraId="7E22A8D7" w14:textId="5A852AC6" w:rsidR="00D86874" w:rsidRPr="00D4575A" w:rsidRDefault="00A95A18" w:rsidP="00E01DA4">
            <w:pPr>
              <w:pStyle w:val="Tabletextleft"/>
            </w:pPr>
            <w:r w:rsidRPr="00D4575A">
              <w:t>From 1 July 2025 ensure all office refurbishments within an office space of &gt;1000m2 leased for a minimum of 4+ years will achieve 5.5-star NABERS energy rating for metropolitan sites and 4.5-star rating for regional sites.</w:t>
            </w:r>
            <w:r w:rsidR="00D86874" w:rsidRPr="00D4575A">
              <w:t xml:space="preserve"> </w:t>
            </w:r>
            <w:r w:rsidR="005B513D" w:rsidRPr="00D4575A">
              <w:t>N</w:t>
            </w:r>
            <w:r w:rsidR="00D86874" w:rsidRPr="00D4575A">
              <w:t>ew data centres (outside panel arrangements) must achieve 5-star NABERS Energy or equivalent.</w:t>
            </w:r>
          </w:p>
          <w:p w14:paraId="0CD54388" w14:textId="051135AD" w:rsidR="00A95A18" w:rsidRPr="00D86874" w:rsidRDefault="00A95A18" w:rsidP="00D4575A">
            <w:pPr>
              <w:pStyle w:val="Tabletextemphasis"/>
            </w:pPr>
            <w:r w:rsidRPr="001E35D8">
              <w:t>Annual audits will be undertaken to ensure compliance with NABERS energy ratings and</w:t>
            </w:r>
            <w:r>
              <w:t xml:space="preserve"> to</w:t>
            </w:r>
            <w:r w:rsidRPr="001E35D8">
              <w:t xml:space="preserve"> identify energy efficiency solutions for implementation</w:t>
            </w:r>
            <w:r w:rsidR="00D86874">
              <w:t>.</w:t>
            </w:r>
          </w:p>
        </w:tc>
        <w:tc>
          <w:tcPr>
            <w:tcW w:w="877" w:type="dxa"/>
            <w:vAlign w:val="center"/>
          </w:tcPr>
          <w:p w14:paraId="74A565A5" w14:textId="23AC74E1" w:rsidR="00A95A18" w:rsidRPr="00D4575A" w:rsidRDefault="00CF4F32" w:rsidP="00C10634">
            <w:pPr>
              <w:pStyle w:val="Tabletextcentre"/>
              <w:rPr>
                <w:lang w:eastAsia="en-AU"/>
              </w:rPr>
            </w:pPr>
            <w:r w:rsidRPr="00D4575A">
              <w:rPr>
                <w:lang w:eastAsia="en-AU"/>
              </w:rPr>
              <w:t>1 &amp; 2</w:t>
            </w:r>
          </w:p>
        </w:tc>
        <w:tc>
          <w:tcPr>
            <w:tcW w:w="1133" w:type="dxa"/>
            <w:vAlign w:val="center"/>
          </w:tcPr>
          <w:p w14:paraId="42561667" w14:textId="77777777" w:rsidR="00CA5FBF" w:rsidRDefault="00A95A18" w:rsidP="00CA5FBF">
            <w:pPr>
              <w:pStyle w:val="Tabletextcentre"/>
            </w:pPr>
            <w:r w:rsidRPr="00D4575A">
              <w:rPr>
                <w:lang w:eastAsia="en-AU"/>
              </w:rPr>
              <w:t>Impact</w:t>
            </w:r>
          </w:p>
          <w:p w14:paraId="6C8C7013" w14:textId="2F4DC499" w:rsidR="001374E4" w:rsidRPr="00CA5FBF" w:rsidRDefault="00CA5FBF" w:rsidP="00CA5FBF">
            <w:pPr>
              <w:pStyle w:val="Tabletextcentre"/>
              <w:rPr>
                <w:lang w:eastAsia="en-AU"/>
              </w:rPr>
            </w:pPr>
            <w:r>
              <w:rPr>
                <w:noProof/>
              </w:rPr>
              <w:drawing>
                <wp:inline distT="0" distB="0" distL="0" distR="0" wp14:anchorId="557BEEE8" wp14:editId="0AE8A1C6">
                  <wp:extent cx="252000" cy="276707"/>
                  <wp:effectExtent l="0" t="0" r="0" b="0"/>
                  <wp:docPr id="3229261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26136" name="Picture 1">
                            <a:extLst>
                              <a:ext uri="{C183D7F6-B498-43B3-948B-1728B52AA6E4}">
                                <adec:decorative xmlns:adec="http://schemas.microsoft.com/office/drawing/2017/decorative" val="1"/>
                              </a:ext>
                            </a:extLst>
                          </pic:cNvPr>
                          <pic:cNvPicPr/>
                        </pic:nvPicPr>
                        <pic:blipFill>
                          <a:blip r:embed="rId23"/>
                          <a:stretch>
                            <a:fillRect/>
                          </a:stretch>
                        </pic:blipFill>
                        <pic:spPr>
                          <a:xfrm>
                            <a:off x="0" y="0"/>
                            <a:ext cx="252000" cy="276707"/>
                          </a:xfrm>
                          <a:prstGeom prst="rect">
                            <a:avLst/>
                          </a:prstGeom>
                        </pic:spPr>
                      </pic:pic>
                    </a:graphicData>
                  </a:graphic>
                </wp:inline>
              </w:drawing>
            </w:r>
          </w:p>
        </w:tc>
        <w:tc>
          <w:tcPr>
            <w:tcW w:w="1247" w:type="dxa"/>
            <w:tcBorders>
              <w:right w:val="dashed" w:sz="4" w:space="0" w:color="auto"/>
            </w:tcBorders>
            <w:vAlign w:val="center"/>
          </w:tcPr>
          <w:p w14:paraId="62B48788" w14:textId="1DCB60BC" w:rsidR="00A95A18" w:rsidRPr="00E01DA4" w:rsidRDefault="00A95A18" w:rsidP="00E01DA4">
            <w:pPr>
              <w:pStyle w:val="Tabletextcentre"/>
            </w:pPr>
            <w:r w:rsidRPr="00E01DA4">
              <w:t>Property</w:t>
            </w:r>
          </w:p>
        </w:tc>
        <w:tc>
          <w:tcPr>
            <w:tcW w:w="572" w:type="dxa"/>
            <w:tcBorders>
              <w:left w:val="dashed" w:sz="4" w:space="0" w:color="auto"/>
              <w:right w:val="dashed" w:sz="4" w:space="0" w:color="auto"/>
            </w:tcBorders>
          </w:tcPr>
          <w:p w14:paraId="42C04559" w14:textId="36B22AB3" w:rsidR="00A95A18" w:rsidRPr="00354039" w:rsidRDefault="00337997" w:rsidP="002D5D83">
            <w:pPr>
              <w:rPr>
                <w:rFonts w:eastAsia="Arial"/>
              </w:rPr>
            </w:pPr>
            <w:r w:rsidRPr="00354039">
              <w:rPr>
                <w:rFonts w:eastAsia="Arial"/>
              </w:rPr>
              <mc:AlternateContent>
                <mc:Choice Requires="wps">
                  <w:drawing>
                    <wp:anchor distT="0" distB="0" distL="114300" distR="114300" simplePos="0" relativeHeight="251658242" behindDoc="0" locked="0" layoutInCell="1" allowOverlap="1" wp14:anchorId="5AEFCE78" wp14:editId="369D1595">
                      <wp:simplePos x="0" y="0"/>
                      <wp:positionH relativeFrom="column">
                        <wp:posOffset>124460</wp:posOffset>
                      </wp:positionH>
                      <wp:positionV relativeFrom="paragraph">
                        <wp:posOffset>561975</wp:posOffset>
                      </wp:positionV>
                      <wp:extent cx="1979930" cy="9525"/>
                      <wp:effectExtent l="38100" t="38100" r="77470" b="85725"/>
                      <wp:wrapNone/>
                      <wp:docPr id="210711154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979930" cy="952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D43D2" id="Straight Connector 1" o:spid="_x0000_s1026" alt="&quot;&quot;"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44.25pt" to="165.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" strokecolor="#358189 [3205]" strokeweight="2pt">
                      <v:shadow on="t" color="black" opacity="24903f" origin=",.5" offset="0,.55556mm"/>
                    </v:line>
                  </w:pict>
                </mc:Fallback>
              </mc:AlternateContent>
            </w:r>
          </w:p>
        </w:tc>
        <w:tc>
          <w:tcPr>
            <w:tcW w:w="572" w:type="dxa"/>
            <w:tcBorders>
              <w:left w:val="dashed" w:sz="4" w:space="0" w:color="auto"/>
              <w:right w:val="dashed" w:sz="4" w:space="0" w:color="auto"/>
            </w:tcBorders>
          </w:tcPr>
          <w:p w14:paraId="6531321C" w14:textId="20637448" w:rsidR="00A95A18" w:rsidRPr="006432AB" w:rsidRDefault="00A95A18" w:rsidP="006D1E82">
            <w:pPr>
              <w:rPr>
                <w:rFonts w:eastAsia="Arial" w:cs="Arial"/>
                <w:color w:val="000000"/>
                <w:sz w:val="16"/>
                <w:szCs w:val="16"/>
              </w:rPr>
            </w:pPr>
          </w:p>
        </w:tc>
        <w:tc>
          <w:tcPr>
            <w:tcW w:w="572" w:type="dxa"/>
            <w:tcBorders>
              <w:left w:val="dashed" w:sz="4" w:space="0" w:color="auto"/>
              <w:right w:val="dashed" w:sz="4" w:space="0" w:color="auto"/>
            </w:tcBorders>
          </w:tcPr>
          <w:p w14:paraId="2B5C40A7" w14:textId="5BDC8A4A" w:rsidR="00A95A18" w:rsidRPr="006432AB" w:rsidRDefault="00A95A18" w:rsidP="006D1E82">
            <w:pPr>
              <w:rPr>
                <w:rFonts w:eastAsia="Arial" w:cs="Arial"/>
                <w:noProof/>
                <w:color w:val="000000"/>
                <w:sz w:val="16"/>
                <w:szCs w:val="16"/>
              </w:rPr>
            </w:pPr>
          </w:p>
        </w:tc>
        <w:tc>
          <w:tcPr>
            <w:tcW w:w="572" w:type="dxa"/>
            <w:tcBorders>
              <w:left w:val="dashed" w:sz="4" w:space="0" w:color="auto"/>
              <w:right w:val="dashed" w:sz="4" w:space="0" w:color="auto"/>
            </w:tcBorders>
          </w:tcPr>
          <w:p w14:paraId="0D291067" w14:textId="507FEF61" w:rsidR="00A95A18" w:rsidRPr="006432AB" w:rsidRDefault="00A95A18" w:rsidP="006D1E82">
            <w:pPr>
              <w:rPr>
                <w:rFonts w:eastAsia="Arial" w:cs="Arial"/>
                <w:color w:val="000000"/>
                <w:sz w:val="16"/>
                <w:szCs w:val="16"/>
              </w:rPr>
            </w:pPr>
          </w:p>
        </w:tc>
        <w:tc>
          <w:tcPr>
            <w:tcW w:w="572" w:type="dxa"/>
            <w:tcBorders>
              <w:left w:val="dashed" w:sz="4" w:space="0" w:color="auto"/>
              <w:right w:val="dashed" w:sz="4" w:space="0" w:color="auto"/>
            </w:tcBorders>
          </w:tcPr>
          <w:p w14:paraId="7B66E8B3" w14:textId="77777777" w:rsidR="00A95A18" w:rsidRPr="006432AB" w:rsidRDefault="00A95A18" w:rsidP="006D1E82">
            <w:pPr>
              <w:rPr>
                <w:rFonts w:eastAsia="Arial" w:cs="Arial"/>
                <w:color w:val="000000"/>
                <w:sz w:val="16"/>
                <w:szCs w:val="16"/>
              </w:rPr>
            </w:pPr>
          </w:p>
        </w:tc>
        <w:tc>
          <w:tcPr>
            <w:tcW w:w="574" w:type="dxa"/>
            <w:tcBorders>
              <w:left w:val="dashed" w:sz="4" w:space="0" w:color="auto"/>
              <w:right w:val="dashed" w:sz="4" w:space="0" w:color="auto"/>
            </w:tcBorders>
          </w:tcPr>
          <w:p w14:paraId="35FA1E74" w14:textId="77777777" w:rsidR="00A95A18" w:rsidRPr="006432AB" w:rsidRDefault="00A95A18" w:rsidP="006D1E82">
            <w:pPr>
              <w:rPr>
                <w:rFonts w:eastAsia="Arial" w:cs="Arial"/>
                <w:color w:val="000000"/>
                <w:sz w:val="16"/>
                <w:szCs w:val="16"/>
              </w:rPr>
            </w:pPr>
          </w:p>
        </w:tc>
        <w:tc>
          <w:tcPr>
            <w:tcW w:w="1417" w:type="dxa"/>
            <w:tcBorders>
              <w:left w:val="dashed" w:sz="4" w:space="0" w:color="auto"/>
            </w:tcBorders>
            <w:vAlign w:val="center"/>
          </w:tcPr>
          <w:p w14:paraId="2C4F2D6A" w14:textId="69A0DEED" w:rsidR="00A95A18" w:rsidRPr="00E01DA4" w:rsidRDefault="00A95A18" w:rsidP="00E01DA4">
            <w:pPr>
              <w:pStyle w:val="Tabletextcentre"/>
            </w:pPr>
            <w:r w:rsidRPr="00E01DA4">
              <w:t>Underway</w:t>
            </w:r>
          </w:p>
        </w:tc>
      </w:tr>
      <w:tr w:rsidR="00A95A18" w:rsidRPr="005F4A8A" w14:paraId="6D3B76ED" w14:textId="0C01196B" w:rsidTr="5177C3CF">
        <w:trPr>
          <w:trHeight w:val="300"/>
          <w:jc w:val="center"/>
        </w:trPr>
        <w:tc>
          <w:tcPr>
            <w:tcW w:w="567" w:type="dxa"/>
          </w:tcPr>
          <w:p w14:paraId="329D322E" w14:textId="78BDCC3C" w:rsidR="00A95A18" w:rsidRPr="00D4575A" w:rsidRDefault="00A95A18" w:rsidP="00E01DA4">
            <w:pPr>
              <w:pStyle w:val="Tabletextleft"/>
            </w:pPr>
            <w:r w:rsidRPr="00D4575A">
              <w:t>1.3</w:t>
            </w:r>
          </w:p>
        </w:tc>
        <w:tc>
          <w:tcPr>
            <w:tcW w:w="5640" w:type="dxa"/>
          </w:tcPr>
          <w:p w14:paraId="21884AC1" w14:textId="6F58896E" w:rsidR="00A95A18" w:rsidRPr="00D4575A" w:rsidRDefault="00A95A18" w:rsidP="00E01DA4">
            <w:pPr>
              <w:pStyle w:val="Tabletextleft"/>
            </w:pPr>
            <w:r w:rsidRPr="00D4575A">
              <w:t>Continue to consolidate and optimise office space through the New Ways of Working (NWOW) Program.</w:t>
            </w:r>
          </w:p>
          <w:p w14:paraId="12E105BE" w14:textId="4B7D37DE" w:rsidR="00A95A18" w:rsidRPr="00C75EB2" w:rsidRDefault="00A95A18" w:rsidP="00D4575A">
            <w:pPr>
              <w:pStyle w:val="Tabletextemphasis"/>
              <w:rPr>
                <w:sz w:val="20"/>
                <w:szCs w:val="20"/>
              </w:rPr>
            </w:pPr>
            <w:r w:rsidRPr="00DF3147">
              <w:t xml:space="preserve">Program of works </w:t>
            </w:r>
            <w:r w:rsidR="341B8610" w:rsidRPr="00DF3147">
              <w:t>extends</w:t>
            </w:r>
            <w:r w:rsidRPr="00DF3147">
              <w:t xml:space="preserve"> through to 2028</w:t>
            </w:r>
            <w:r w:rsidRPr="00D4575A">
              <w:t>.</w:t>
            </w:r>
          </w:p>
        </w:tc>
        <w:tc>
          <w:tcPr>
            <w:tcW w:w="877" w:type="dxa"/>
            <w:vAlign w:val="center"/>
          </w:tcPr>
          <w:p w14:paraId="300E9E76" w14:textId="2C11603A" w:rsidR="00A95A18" w:rsidRPr="00D4575A" w:rsidRDefault="008F101F" w:rsidP="00C10634">
            <w:pPr>
              <w:pStyle w:val="Tabletextcentre"/>
              <w:rPr>
                <w:lang w:eastAsia="en-AU"/>
              </w:rPr>
            </w:pPr>
            <w:r w:rsidRPr="00D4575A">
              <w:rPr>
                <w:lang w:eastAsia="en-AU"/>
              </w:rPr>
              <w:t>3</w:t>
            </w:r>
          </w:p>
        </w:tc>
        <w:tc>
          <w:tcPr>
            <w:tcW w:w="1133" w:type="dxa"/>
            <w:vAlign w:val="center"/>
          </w:tcPr>
          <w:p w14:paraId="79CCC9CC" w14:textId="7E5C2544" w:rsidR="00A95A18" w:rsidRPr="00D4575A" w:rsidRDefault="00A95A18" w:rsidP="00C10634">
            <w:pPr>
              <w:pStyle w:val="Tabletextcentre"/>
              <w:rPr>
                <w:lang w:eastAsia="en-AU"/>
              </w:rPr>
            </w:pPr>
            <w:r w:rsidRPr="00D4575A">
              <w:rPr>
                <w:lang w:eastAsia="en-AU"/>
              </w:rPr>
              <w:t>Innovate</w:t>
            </w:r>
          </w:p>
          <w:p w14:paraId="5DA60B36" w14:textId="36371F61" w:rsidR="00A95A18" w:rsidRPr="00F04259" w:rsidRDefault="00CA5FBF" w:rsidP="006D1E82">
            <w:pPr>
              <w:jc w:val="center"/>
              <w:rPr>
                <w:rFonts w:eastAsia="Arial" w:cs="Arial"/>
                <w:color w:val="1C4C5A" w:themeColor="accent5" w:themeShade="80"/>
                <w:sz w:val="20"/>
                <w:szCs w:val="20"/>
              </w:rPr>
            </w:pPr>
            <w:r>
              <w:rPr>
                <w:noProof/>
              </w:rPr>
              <w:drawing>
                <wp:inline distT="0" distB="0" distL="0" distR="0" wp14:anchorId="7BBBA673" wp14:editId="1992D79D">
                  <wp:extent cx="288000" cy="219224"/>
                  <wp:effectExtent l="0" t="0" r="0" b="0"/>
                  <wp:docPr id="1187327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27036" name="Picture 1">
                            <a:extLst>
                              <a:ext uri="{C183D7F6-B498-43B3-948B-1728B52AA6E4}">
                                <adec:decorative xmlns:adec="http://schemas.microsoft.com/office/drawing/2017/decorative" val="1"/>
                              </a:ext>
                            </a:extLst>
                          </pic:cNvPr>
                          <pic:cNvPicPr/>
                        </pic:nvPicPr>
                        <pic:blipFill>
                          <a:blip r:embed="rId24"/>
                          <a:stretch>
                            <a:fillRect/>
                          </a:stretch>
                        </pic:blipFill>
                        <pic:spPr>
                          <a:xfrm>
                            <a:off x="0" y="0"/>
                            <a:ext cx="288000" cy="219224"/>
                          </a:xfrm>
                          <a:prstGeom prst="rect">
                            <a:avLst/>
                          </a:prstGeom>
                        </pic:spPr>
                      </pic:pic>
                    </a:graphicData>
                  </a:graphic>
                </wp:inline>
              </w:drawing>
            </w:r>
          </w:p>
        </w:tc>
        <w:tc>
          <w:tcPr>
            <w:tcW w:w="1247" w:type="dxa"/>
            <w:tcBorders>
              <w:right w:val="dashed" w:sz="4" w:space="0" w:color="auto"/>
            </w:tcBorders>
            <w:vAlign w:val="center"/>
          </w:tcPr>
          <w:p w14:paraId="4608F181" w14:textId="1D2AB873" w:rsidR="00A95A18" w:rsidRPr="00E01DA4" w:rsidRDefault="00A95A18" w:rsidP="00E01DA4">
            <w:pPr>
              <w:pStyle w:val="Tabletextcentre"/>
            </w:pPr>
            <w:r w:rsidRPr="00E01DA4">
              <w:t>NWOW</w:t>
            </w:r>
          </w:p>
        </w:tc>
        <w:tc>
          <w:tcPr>
            <w:tcW w:w="572" w:type="dxa"/>
            <w:tcBorders>
              <w:left w:val="dashed" w:sz="4" w:space="0" w:color="auto"/>
              <w:right w:val="dashed" w:sz="4" w:space="0" w:color="auto"/>
            </w:tcBorders>
          </w:tcPr>
          <w:p w14:paraId="6025C85D" w14:textId="3867E199" w:rsidR="00A95A18" w:rsidRPr="00354039" w:rsidRDefault="00851D95" w:rsidP="002D5D83">
            <w:pPr>
              <w:rPr>
                <w:rFonts w:eastAsia="Arial"/>
              </w:rPr>
            </w:pPr>
            <w:r w:rsidRPr="00354039">
              <w:rPr>
                <w:rFonts w:eastAsia="Arial"/>
              </w:rPr>
              <mc:AlternateContent>
                <mc:Choice Requires="wps">
                  <w:drawing>
                    <wp:anchor distT="0" distB="0" distL="114300" distR="114300" simplePos="0" relativeHeight="251658243" behindDoc="0" locked="0" layoutInCell="1" allowOverlap="1" wp14:anchorId="21D71D84" wp14:editId="4351D14A">
                      <wp:simplePos x="0" y="0"/>
                      <wp:positionH relativeFrom="column">
                        <wp:posOffset>134620</wp:posOffset>
                      </wp:positionH>
                      <wp:positionV relativeFrom="paragraph">
                        <wp:posOffset>316865</wp:posOffset>
                      </wp:positionV>
                      <wp:extent cx="1224000" cy="0"/>
                      <wp:effectExtent l="38100" t="38100" r="71755" b="95250"/>
                      <wp:wrapNone/>
                      <wp:docPr id="174613062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2240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B629C" id="Straight Connector 1" o:spid="_x0000_s1026" alt="&quot;&quot;"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24.95pt" to="107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" strokecolor="#358189 [3205]" strokeweight="2pt">
                      <v:shadow on="t" color="black" opacity="24903f" origin=",.5" offset="0,.55556mm"/>
                    </v:line>
                  </w:pict>
                </mc:Fallback>
              </mc:AlternateContent>
            </w:r>
          </w:p>
        </w:tc>
        <w:tc>
          <w:tcPr>
            <w:tcW w:w="572" w:type="dxa"/>
            <w:tcBorders>
              <w:left w:val="dashed" w:sz="4" w:space="0" w:color="auto"/>
              <w:right w:val="dashed" w:sz="4" w:space="0" w:color="auto"/>
            </w:tcBorders>
          </w:tcPr>
          <w:p w14:paraId="24848435" w14:textId="7E27F21F" w:rsidR="00A95A18" w:rsidRPr="006432AB" w:rsidRDefault="00A95A18" w:rsidP="006D1E82">
            <w:pPr>
              <w:rPr>
                <w:rFonts w:eastAsia="Arial" w:cs="Arial"/>
                <w:color w:val="000000"/>
                <w:sz w:val="16"/>
                <w:szCs w:val="16"/>
              </w:rPr>
            </w:pPr>
          </w:p>
        </w:tc>
        <w:tc>
          <w:tcPr>
            <w:tcW w:w="572" w:type="dxa"/>
            <w:tcBorders>
              <w:left w:val="dashed" w:sz="4" w:space="0" w:color="auto"/>
              <w:right w:val="dashed" w:sz="4" w:space="0" w:color="auto"/>
            </w:tcBorders>
          </w:tcPr>
          <w:p w14:paraId="0AD0B8BA" w14:textId="65B76A53" w:rsidR="00A95A18" w:rsidRPr="006432AB" w:rsidRDefault="00A95A18" w:rsidP="006D1E82">
            <w:pPr>
              <w:rPr>
                <w:rFonts w:eastAsia="Arial" w:cs="Arial"/>
                <w:color w:val="000000"/>
                <w:sz w:val="16"/>
                <w:szCs w:val="16"/>
              </w:rPr>
            </w:pPr>
          </w:p>
        </w:tc>
        <w:tc>
          <w:tcPr>
            <w:tcW w:w="572" w:type="dxa"/>
            <w:tcBorders>
              <w:left w:val="dashed" w:sz="4" w:space="0" w:color="auto"/>
              <w:right w:val="dashed" w:sz="4" w:space="0" w:color="auto"/>
            </w:tcBorders>
          </w:tcPr>
          <w:p w14:paraId="044B7863" w14:textId="493604ED" w:rsidR="00A95A18" w:rsidRPr="006432AB" w:rsidRDefault="00A95A18" w:rsidP="006D1E82">
            <w:pPr>
              <w:rPr>
                <w:rFonts w:eastAsia="Arial" w:cs="Arial"/>
                <w:color w:val="000000"/>
                <w:sz w:val="16"/>
                <w:szCs w:val="16"/>
              </w:rPr>
            </w:pPr>
          </w:p>
        </w:tc>
        <w:tc>
          <w:tcPr>
            <w:tcW w:w="572" w:type="dxa"/>
            <w:tcBorders>
              <w:left w:val="dashed" w:sz="4" w:space="0" w:color="auto"/>
              <w:right w:val="dashed" w:sz="4" w:space="0" w:color="auto"/>
            </w:tcBorders>
          </w:tcPr>
          <w:p w14:paraId="5E562602" w14:textId="77777777" w:rsidR="00A95A18" w:rsidRPr="006432AB" w:rsidRDefault="00A95A18" w:rsidP="006D1E82">
            <w:pPr>
              <w:rPr>
                <w:rFonts w:eastAsia="Arial" w:cs="Arial"/>
                <w:color w:val="000000"/>
                <w:sz w:val="16"/>
                <w:szCs w:val="16"/>
              </w:rPr>
            </w:pPr>
          </w:p>
        </w:tc>
        <w:tc>
          <w:tcPr>
            <w:tcW w:w="574" w:type="dxa"/>
            <w:tcBorders>
              <w:left w:val="dashed" w:sz="4" w:space="0" w:color="auto"/>
              <w:right w:val="dashed" w:sz="4" w:space="0" w:color="auto"/>
            </w:tcBorders>
          </w:tcPr>
          <w:p w14:paraId="29FD15D6" w14:textId="77777777" w:rsidR="00A95A18" w:rsidRPr="006432AB" w:rsidRDefault="00A95A18" w:rsidP="006D1E82">
            <w:pPr>
              <w:rPr>
                <w:rFonts w:eastAsia="Arial" w:cs="Arial"/>
                <w:color w:val="000000"/>
                <w:sz w:val="16"/>
                <w:szCs w:val="16"/>
              </w:rPr>
            </w:pPr>
          </w:p>
        </w:tc>
        <w:tc>
          <w:tcPr>
            <w:tcW w:w="1417" w:type="dxa"/>
            <w:tcBorders>
              <w:left w:val="dashed" w:sz="4" w:space="0" w:color="auto"/>
            </w:tcBorders>
            <w:vAlign w:val="center"/>
          </w:tcPr>
          <w:p w14:paraId="2138C67C" w14:textId="2EE43775" w:rsidR="00A95A18" w:rsidRPr="00E01DA4" w:rsidRDefault="00A95A18" w:rsidP="00E01DA4">
            <w:pPr>
              <w:pStyle w:val="Tabletextcentre"/>
            </w:pPr>
            <w:r w:rsidRPr="00E01DA4">
              <w:t>Underway</w:t>
            </w:r>
          </w:p>
        </w:tc>
      </w:tr>
      <w:tr w:rsidR="00A95A18" w:rsidRPr="005F4A8A" w14:paraId="39F82812" w14:textId="05D2DEDC" w:rsidTr="5177C3CF">
        <w:trPr>
          <w:trHeight w:val="300"/>
          <w:jc w:val="center"/>
        </w:trPr>
        <w:tc>
          <w:tcPr>
            <w:tcW w:w="567" w:type="dxa"/>
          </w:tcPr>
          <w:p w14:paraId="37D27677" w14:textId="60E882FD" w:rsidR="00A95A18" w:rsidRPr="00D4575A" w:rsidRDefault="00A95A18" w:rsidP="00E01DA4">
            <w:pPr>
              <w:pStyle w:val="Tabletextleft"/>
            </w:pPr>
            <w:r w:rsidRPr="00D4575A">
              <w:t>1.4</w:t>
            </w:r>
          </w:p>
        </w:tc>
        <w:tc>
          <w:tcPr>
            <w:tcW w:w="5640" w:type="dxa"/>
          </w:tcPr>
          <w:p w14:paraId="0387F101" w14:textId="56E42127" w:rsidR="00A95A18" w:rsidRPr="00D4575A" w:rsidRDefault="00A95A18" w:rsidP="00E01DA4">
            <w:pPr>
              <w:pStyle w:val="Tabletextleft"/>
            </w:pPr>
            <w:r w:rsidRPr="00D4575A">
              <w:t>Where practical, ensure office spaces &gt;1000m2 purchased, leased, constructed, or refurbished have separate electricity metering.</w:t>
            </w:r>
            <w:r w:rsidR="005534DF" w:rsidRPr="00D4575A">
              <w:t xml:space="preserve"> </w:t>
            </w:r>
            <w:r w:rsidR="00533286" w:rsidRPr="00DF3147">
              <w:rPr>
                <w:rStyle w:val="TabletextemphasisChar"/>
              </w:rPr>
              <w:t>Ongoing for future leases.</w:t>
            </w:r>
          </w:p>
        </w:tc>
        <w:tc>
          <w:tcPr>
            <w:tcW w:w="877" w:type="dxa"/>
            <w:vAlign w:val="center"/>
          </w:tcPr>
          <w:p w14:paraId="02D07256" w14:textId="191FB08A" w:rsidR="00A95A18" w:rsidRPr="00D4575A" w:rsidRDefault="003D55D3" w:rsidP="00C10634">
            <w:pPr>
              <w:pStyle w:val="Tabletextcentre"/>
              <w:rPr>
                <w:lang w:eastAsia="en-AU"/>
              </w:rPr>
            </w:pPr>
            <w:r w:rsidRPr="00D4575A">
              <w:rPr>
                <w:lang w:eastAsia="en-AU"/>
              </w:rPr>
              <w:t>2</w:t>
            </w:r>
          </w:p>
        </w:tc>
        <w:tc>
          <w:tcPr>
            <w:tcW w:w="1133" w:type="dxa"/>
            <w:vAlign w:val="center"/>
          </w:tcPr>
          <w:p w14:paraId="015247A0" w14:textId="5DBBA5B1" w:rsidR="00A95A18" w:rsidRPr="00D4575A" w:rsidRDefault="00A95A18" w:rsidP="00C10634">
            <w:pPr>
              <w:pStyle w:val="Tabletextcentre"/>
              <w:rPr>
                <w:lang w:eastAsia="en-AU"/>
              </w:rPr>
            </w:pPr>
            <w:r w:rsidRPr="00D4575A">
              <w:rPr>
                <w:lang w:eastAsia="en-AU"/>
              </w:rPr>
              <w:t>Influence</w:t>
            </w:r>
          </w:p>
          <w:p w14:paraId="11355D1A" w14:textId="1B6E1886" w:rsidR="00A95A18" w:rsidRPr="00F04259" w:rsidRDefault="00CA5FBF" w:rsidP="00C6026A">
            <w:pPr>
              <w:jc w:val="center"/>
              <w:rPr>
                <w:rFonts w:eastAsia="Arial" w:cs="Arial"/>
                <w:color w:val="1C4C5A" w:themeColor="accent5" w:themeShade="80"/>
                <w:sz w:val="20"/>
                <w:szCs w:val="20"/>
              </w:rPr>
            </w:pPr>
            <w:r>
              <w:rPr>
                <w:noProof/>
              </w:rPr>
              <w:drawing>
                <wp:inline distT="0" distB="0" distL="0" distR="0" wp14:anchorId="69AF985B" wp14:editId="31665BBB">
                  <wp:extent cx="180000" cy="188183"/>
                  <wp:effectExtent l="0" t="0" r="0" b="2540"/>
                  <wp:docPr id="19177735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73517" name="Picture 1">
                            <a:extLst>
                              <a:ext uri="{C183D7F6-B498-43B3-948B-1728B52AA6E4}">
                                <adec:decorative xmlns:adec="http://schemas.microsoft.com/office/drawing/2017/decorative" val="1"/>
                              </a:ext>
                            </a:extLst>
                          </pic:cNvPr>
                          <pic:cNvPicPr/>
                        </pic:nvPicPr>
                        <pic:blipFill>
                          <a:blip r:embed="rId25"/>
                          <a:stretch>
                            <a:fillRect/>
                          </a:stretch>
                        </pic:blipFill>
                        <pic:spPr>
                          <a:xfrm>
                            <a:off x="0" y="0"/>
                            <a:ext cx="180000" cy="188183"/>
                          </a:xfrm>
                          <a:prstGeom prst="rect">
                            <a:avLst/>
                          </a:prstGeom>
                        </pic:spPr>
                      </pic:pic>
                    </a:graphicData>
                  </a:graphic>
                </wp:inline>
              </w:drawing>
            </w:r>
          </w:p>
        </w:tc>
        <w:tc>
          <w:tcPr>
            <w:tcW w:w="1247" w:type="dxa"/>
            <w:tcBorders>
              <w:right w:val="dashed" w:sz="4" w:space="0" w:color="auto"/>
            </w:tcBorders>
            <w:vAlign w:val="center"/>
          </w:tcPr>
          <w:p w14:paraId="47416897" w14:textId="4935C301" w:rsidR="00A95A18" w:rsidRPr="00E01DA4" w:rsidRDefault="00A95A18" w:rsidP="00E01DA4">
            <w:pPr>
              <w:pStyle w:val="Tabletextcentre"/>
            </w:pPr>
            <w:r w:rsidRPr="00E01DA4">
              <w:t>Leasing</w:t>
            </w:r>
          </w:p>
        </w:tc>
        <w:tc>
          <w:tcPr>
            <w:tcW w:w="572" w:type="dxa"/>
            <w:tcBorders>
              <w:left w:val="dashed" w:sz="4" w:space="0" w:color="auto"/>
              <w:right w:val="dashed" w:sz="4" w:space="0" w:color="auto"/>
            </w:tcBorders>
          </w:tcPr>
          <w:p w14:paraId="335640E6" w14:textId="1215BE11" w:rsidR="00A95A18" w:rsidRPr="00354039" w:rsidRDefault="00A95A18" w:rsidP="002D5D83">
            <w:pPr>
              <w:rPr>
                <w:rFonts w:eastAsia="Arial"/>
              </w:rPr>
            </w:pPr>
            <w:r w:rsidRPr="00354039">
              <w:rPr>
                <w:rFonts w:eastAsia="Arial"/>
              </w:rPr>
              <mc:AlternateContent>
                <mc:Choice Requires="wps">
                  <w:drawing>
                    <wp:anchor distT="0" distB="0" distL="114300" distR="114300" simplePos="0" relativeHeight="251658244" behindDoc="0" locked="0" layoutInCell="1" allowOverlap="1" wp14:anchorId="43E89497" wp14:editId="2D1DBCBB">
                      <wp:simplePos x="0" y="0"/>
                      <wp:positionH relativeFrom="column">
                        <wp:posOffset>139700</wp:posOffset>
                      </wp:positionH>
                      <wp:positionV relativeFrom="paragraph">
                        <wp:posOffset>305435</wp:posOffset>
                      </wp:positionV>
                      <wp:extent cx="402590" cy="0"/>
                      <wp:effectExtent l="38100" t="38100" r="73660" b="95250"/>
                      <wp:wrapNone/>
                      <wp:docPr id="202774499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259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43049" id="Straight Connector 1"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24.05pt" to="42.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" strokecolor="#358189 [3205]" strokeweight="2pt">
                      <v:shadow on="t" color="black" opacity="24903f" origin=",.5" offset="0,.55556mm"/>
                    </v:line>
                  </w:pict>
                </mc:Fallback>
              </mc:AlternateContent>
            </w:r>
          </w:p>
        </w:tc>
        <w:tc>
          <w:tcPr>
            <w:tcW w:w="572" w:type="dxa"/>
            <w:tcBorders>
              <w:left w:val="dashed" w:sz="4" w:space="0" w:color="auto"/>
              <w:right w:val="dashed" w:sz="4" w:space="0" w:color="auto"/>
            </w:tcBorders>
          </w:tcPr>
          <w:p w14:paraId="0F047B71" w14:textId="53BA3490" w:rsidR="00A95A18" w:rsidRPr="00354039" w:rsidRDefault="00A95A18" w:rsidP="002D5D83">
            <w:pPr>
              <w:rPr>
                <w:rFonts w:eastAsia="Arial"/>
              </w:rPr>
            </w:pPr>
            <w:r w:rsidRPr="00354039">
              <w:rPr>
                <w:rFonts w:eastAsia="Arial"/>
              </w:rPr>
              <mc:AlternateContent>
                <mc:Choice Requires="wps">
                  <w:drawing>
                    <wp:anchor distT="0" distB="0" distL="114300" distR="114300" simplePos="0" relativeHeight="251658245" behindDoc="0" locked="0" layoutInCell="1" allowOverlap="1" wp14:anchorId="6479FFC5" wp14:editId="68DE239A">
                      <wp:simplePos x="0" y="0"/>
                      <wp:positionH relativeFrom="column">
                        <wp:posOffset>250190</wp:posOffset>
                      </wp:positionH>
                      <wp:positionV relativeFrom="paragraph">
                        <wp:posOffset>314960</wp:posOffset>
                      </wp:positionV>
                      <wp:extent cx="1476000" cy="0"/>
                      <wp:effectExtent l="0" t="0" r="0" b="0"/>
                      <wp:wrapNone/>
                      <wp:docPr id="16477477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476000" cy="0"/>
                              </a:xfrm>
                              <a:prstGeom prst="line">
                                <a:avLst/>
                              </a:prstGeom>
                              <a:ln w="19050"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B1C7D" id="Straight Connector 1" o:spid="_x0000_s1026" alt="&quot;&quot;" style="position:absolute;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24.8pt" to="135.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" strokecolor="#358189 [3205]" strokeweight="1.5pt">
                      <v:stroke dashstyle="dash"/>
                    </v:line>
                  </w:pict>
                </mc:Fallback>
              </mc:AlternateContent>
            </w:r>
          </w:p>
        </w:tc>
        <w:tc>
          <w:tcPr>
            <w:tcW w:w="572" w:type="dxa"/>
            <w:tcBorders>
              <w:left w:val="dashed" w:sz="4" w:space="0" w:color="auto"/>
              <w:right w:val="dashed" w:sz="4" w:space="0" w:color="auto"/>
            </w:tcBorders>
          </w:tcPr>
          <w:p w14:paraId="3A006742" w14:textId="559825FA" w:rsidR="00A95A18" w:rsidRPr="006432AB" w:rsidRDefault="00A95A18" w:rsidP="00C6026A">
            <w:pPr>
              <w:rPr>
                <w:rFonts w:eastAsia="Arial" w:cs="Arial"/>
                <w:color w:val="000000"/>
                <w:sz w:val="16"/>
                <w:szCs w:val="16"/>
              </w:rPr>
            </w:pPr>
          </w:p>
        </w:tc>
        <w:tc>
          <w:tcPr>
            <w:tcW w:w="572" w:type="dxa"/>
            <w:tcBorders>
              <w:left w:val="dashed" w:sz="4" w:space="0" w:color="auto"/>
              <w:right w:val="dashed" w:sz="4" w:space="0" w:color="auto"/>
            </w:tcBorders>
          </w:tcPr>
          <w:p w14:paraId="3C861436" w14:textId="753C8EB9" w:rsidR="00A95A18" w:rsidRPr="006432AB" w:rsidRDefault="00A95A18" w:rsidP="00C6026A">
            <w:pPr>
              <w:rPr>
                <w:rFonts w:eastAsia="Arial" w:cs="Arial"/>
                <w:color w:val="000000"/>
                <w:sz w:val="16"/>
                <w:szCs w:val="16"/>
              </w:rPr>
            </w:pPr>
          </w:p>
        </w:tc>
        <w:tc>
          <w:tcPr>
            <w:tcW w:w="572" w:type="dxa"/>
            <w:tcBorders>
              <w:left w:val="dashed" w:sz="4" w:space="0" w:color="auto"/>
              <w:right w:val="dashed" w:sz="4" w:space="0" w:color="auto"/>
            </w:tcBorders>
          </w:tcPr>
          <w:p w14:paraId="7EC22F29" w14:textId="146A793F" w:rsidR="00A95A18" w:rsidRPr="006432AB" w:rsidRDefault="00A95A18" w:rsidP="00C6026A">
            <w:pPr>
              <w:rPr>
                <w:rFonts w:eastAsia="Arial" w:cs="Arial"/>
                <w:color w:val="000000"/>
                <w:sz w:val="16"/>
                <w:szCs w:val="16"/>
              </w:rPr>
            </w:pPr>
          </w:p>
        </w:tc>
        <w:tc>
          <w:tcPr>
            <w:tcW w:w="574" w:type="dxa"/>
            <w:tcBorders>
              <w:left w:val="dashed" w:sz="4" w:space="0" w:color="auto"/>
              <w:right w:val="dashed" w:sz="4" w:space="0" w:color="auto"/>
            </w:tcBorders>
          </w:tcPr>
          <w:p w14:paraId="7A982609" w14:textId="0C48AC9B" w:rsidR="00A95A18" w:rsidRPr="006432AB" w:rsidRDefault="00A95A18" w:rsidP="00C6026A">
            <w:pPr>
              <w:rPr>
                <w:rFonts w:eastAsia="Arial" w:cs="Arial"/>
                <w:color w:val="000000"/>
                <w:sz w:val="16"/>
                <w:szCs w:val="16"/>
              </w:rPr>
            </w:pPr>
          </w:p>
        </w:tc>
        <w:tc>
          <w:tcPr>
            <w:tcW w:w="1417" w:type="dxa"/>
            <w:tcBorders>
              <w:left w:val="dashed" w:sz="4" w:space="0" w:color="auto"/>
            </w:tcBorders>
            <w:vAlign w:val="center"/>
          </w:tcPr>
          <w:p w14:paraId="05BC5CB7" w14:textId="17856A39" w:rsidR="00D25E3C" w:rsidRPr="00E01DA4" w:rsidRDefault="00EF7B65" w:rsidP="00E01DA4">
            <w:pPr>
              <w:pStyle w:val="Tabletextcentre"/>
            </w:pPr>
            <w:r w:rsidRPr="00E01DA4">
              <w:t>Met</w:t>
            </w:r>
          </w:p>
        </w:tc>
      </w:tr>
      <w:tr w:rsidR="00A95A18" w:rsidRPr="005F4A8A" w14:paraId="01A3B873" w14:textId="3EC33408" w:rsidTr="5177C3CF">
        <w:trPr>
          <w:trHeight w:val="300"/>
          <w:jc w:val="center"/>
        </w:trPr>
        <w:tc>
          <w:tcPr>
            <w:tcW w:w="567" w:type="dxa"/>
          </w:tcPr>
          <w:p w14:paraId="78A32C90" w14:textId="116C98DB" w:rsidR="00A95A18" w:rsidRPr="00D4575A" w:rsidRDefault="00A95A18" w:rsidP="00E01DA4">
            <w:pPr>
              <w:pStyle w:val="Tabletextleft"/>
            </w:pPr>
            <w:r w:rsidRPr="00D4575A">
              <w:t>1.5</w:t>
            </w:r>
          </w:p>
        </w:tc>
        <w:tc>
          <w:tcPr>
            <w:tcW w:w="5640" w:type="dxa"/>
          </w:tcPr>
          <w:p w14:paraId="4AD2879E" w14:textId="60660119" w:rsidR="00A95A18" w:rsidRPr="00D4575A" w:rsidRDefault="00782699" w:rsidP="00E01DA4">
            <w:pPr>
              <w:pStyle w:val="Tabletextleft"/>
            </w:pPr>
            <w:r w:rsidRPr="00D4575A">
              <w:t>From 1 January 2025 office spaces with allocated parking should support EV charging if electric fleet vehicles are on site (where possible)</w:t>
            </w:r>
            <w:r w:rsidR="00A95A18" w:rsidRPr="00D4575A">
              <w:t>, in accordance with the Charging Plan 2024.</w:t>
            </w:r>
            <w:r w:rsidR="005534DF" w:rsidRPr="00D4575A">
              <w:t xml:space="preserve"> </w:t>
            </w:r>
            <w:r w:rsidR="007C0A91" w:rsidRPr="00DF3147">
              <w:rPr>
                <w:rStyle w:val="TabletextemphasisChar"/>
              </w:rPr>
              <w:t xml:space="preserve">Ongoing </w:t>
            </w:r>
            <w:r w:rsidR="00A95A18" w:rsidRPr="00DF3147">
              <w:rPr>
                <w:rStyle w:val="TabletextemphasisChar"/>
              </w:rPr>
              <w:t>engage</w:t>
            </w:r>
            <w:r w:rsidR="007C0A91" w:rsidRPr="00DF3147">
              <w:rPr>
                <w:rStyle w:val="TabletextemphasisChar"/>
              </w:rPr>
              <w:t>ment</w:t>
            </w:r>
            <w:r w:rsidR="00A95A18" w:rsidRPr="00DF3147">
              <w:rPr>
                <w:rStyle w:val="TabletextemphasisChar"/>
              </w:rPr>
              <w:t xml:space="preserve"> with building owners to establish electric vehicle charging.</w:t>
            </w:r>
          </w:p>
        </w:tc>
        <w:tc>
          <w:tcPr>
            <w:tcW w:w="877" w:type="dxa"/>
            <w:vAlign w:val="center"/>
          </w:tcPr>
          <w:p w14:paraId="4F5331DA" w14:textId="310C0971" w:rsidR="00A95A18" w:rsidRPr="00D4575A" w:rsidRDefault="008F101F" w:rsidP="00C10634">
            <w:pPr>
              <w:pStyle w:val="Tabletextcentre"/>
              <w:rPr>
                <w:lang w:eastAsia="en-AU"/>
              </w:rPr>
            </w:pPr>
            <w:r w:rsidRPr="00D4575A">
              <w:rPr>
                <w:lang w:eastAsia="en-AU"/>
              </w:rPr>
              <w:t>2</w:t>
            </w:r>
          </w:p>
        </w:tc>
        <w:tc>
          <w:tcPr>
            <w:tcW w:w="1133" w:type="dxa"/>
            <w:vAlign w:val="center"/>
          </w:tcPr>
          <w:p w14:paraId="03D29429" w14:textId="695DD221" w:rsidR="00A95A18" w:rsidRPr="00D4575A" w:rsidRDefault="00A95A18" w:rsidP="00C10634">
            <w:pPr>
              <w:pStyle w:val="Tabletextcentre"/>
              <w:rPr>
                <w:lang w:eastAsia="en-AU"/>
              </w:rPr>
            </w:pPr>
            <w:r w:rsidRPr="00D4575A">
              <w:rPr>
                <w:lang w:eastAsia="en-AU"/>
              </w:rPr>
              <w:t>Influence</w:t>
            </w:r>
          </w:p>
          <w:p w14:paraId="09A9A4E6" w14:textId="439609E2" w:rsidR="00A95A18" w:rsidRPr="00F04259" w:rsidRDefault="00CA5FBF" w:rsidP="00C6026A">
            <w:pPr>
              <w:jc w:val="center"/>
              <w:rPr>
                <w:rFonts w:eastAsia="Arial" w:cs="Arial"/>
                <w:color w:val="1C4C5A" w:themeColor="accent5" w:themeShade="80"/>
                <w:sz w:val="20"/>
                <w:szCs w:val="20"/>
              </w:rPr>
            </w:pPr>
            <w:r>
              <w:rPr>
                <w:noProof/>
              </w:rPr>
              <w:drawing>
                <wp:inline distT="0" distB="0" distL="0" distR="0" wp14:anchorId="6E05FC6A" wp14:editId="3ED9E987">
                  <wp:extent cx="180000" cy="188183"/>
                  <wp:effectExtent l="0" t="0" r="0" b="2540"/>
                  <wp:docPr id="14119861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86140" name="Picture 1">
                            <a:extLst>
                              <a:ext uri="{C183D7F6-B498-43B3-948B-1728B52AA6E4}">
                                <adec:decorative xmlns:adec="http://schemas.microsoft.com/office/drawing/2017/decorative" val="1"/>
                              </a:ext>
                            </a:extLst>
                          </pic:cNvPr>
                          <pic:cNvPicPr/>
                        </pic:nvPicPr>
                        <pic:blipFill>
                          <a:blip r:embed="rId25"/>
                          <a:stretch>
                            <a:fillRect/>
                          </a:stretch>
                        </pic:blipFill>
                        <pic:spPr>
                          <a:xfrm>
                            <a:off x="0" y="0"/>
                            <a:ext cx="180000" cy="188183"/>
                          </a:xfrm>
                          <a:prstGeom prst="rect">
                            <a:avLst/>
                          </a:prstGeom>
                        </pic:spPr>
                      </pic:pic>
                    </a:graphicData>
                  </a:graphic>
                </wp:inline>
              </w:drawing>
            </w:r>
          </w:p>
        </w:tc>
        <w:tc>
          <w:tcPr>
            <w:tcW w:w="1247" w:type="dxa"/>
            <w:tcBorders>
              <w:right w:val="dashed" w:sz="4" w:space="0" w:color="auto"/>
            </w:tcBorders>
            <w:vAlign w:val="center"/>
          </w:tcPr>
          <w:p w14:paraId="76E9DDAE" w14:textId="6ACDAB52" w:rsidR="00A95A18" w:rsidRPr="00E01DA4" w:rsidRDefault="00A95A18" w:rsidP="00E01DA4">
            <w:pPr>
              <w:pStyle w:val="Tabletextcentre"/>
            </w:pPr>
            <w:r w:rsidRPr="00E01DA4">
              <w:t>Vehicles</w:t>
            </w:r>
          </w:p>
          <w:p w14:paraId="4C27BFA1" w14:textId="409FCDFB" w:rsidR="00A95A18" w:rsidRPr="00E01DA4" w:rsidRDefault="00A95A18" w:rsidP="00E01DA4">
            <w:pPr>
              <w:pStyle w:val="Tabletextcentre"/>
            </w:pPr>
            <w:r w:rsidRPr="00E01DA4">
              <w:t>Leasing</w:t>
            </w:r>
          </w:p>
        </w:tc>
        <w:tc>
          <w:tcPr>
            <w:tcW w:w="572" w:type="dxa"/>
            <w:tcBorders>
              <w:left w:val="dashed" w:sz="4" w:space="0" w:color="auto"/>
              <w:right w:val="dashed" w:sz="4" w:space="0" w:color="auto"/>
            </w:tcBorders>
          </w:tcPr>
          <w:p w14:paraId="2BEF668C" w14:textId="16E6A641" w:rsidR="00A95A18" w:rsidRPr="00354039" w:rsidRDefault="00EF3343" w:rsidP="002D5D83">
            <w:pPr>
              <w:rPr>
                <w:rFonts w:eastAsia="Arial"/>
              </w:rPr>
            </w:pPr>
            <w:r w:rsidRPr="00354039">
              <w:rPr>
                <w:rFonts w:eastAsia="Arial"/>
              </w:rPr>
              <mc:AlternateContent>
                <mc:Choice Requires="wps">
                  <w:drawing>
                    <wp:anchor distT="0" distB="0" distL="114300" distR="114300" simplePos="0" relativeHeight="251658246" behindDoc="0" locked="0" layoutInCell="1" allowOverlap="1" wp14:anchorId="48D35619" wp14:editId="45550341">
                      <wp:simplePos x="0" y="0"/>
                      <wp:positionH relativeFrom="column">
                        <wp:posOffset>276225</wp:posOffset>
                      </wp:positionH>
                      <wp:positionV relativeFrom="paragraph">
                        <wp:posOffset>427990</wp:posOffset>
                      </wp:positionV>
                      <wp:extent cx="1757045" cy="0"/>
                      <wp:effectExtent l="38100" t="38100" r="71755" b="95250"/>
                      <wp:wrapNone/>
                      <wp:docPr id="200455314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5704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76A23" id="Straight Connector 1"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33.7pt" to="160.1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" strokecolor="#358189 [3205]" strokeweight="2pt">
                      <v:shadow on="t" color="black" opacity="24903f" origin=",.5" offset="0,.55556mm"/>
                    </v:line>
                  </w:pict>
                </mc:Fallback>
              </mc:AlternateContent>
            </w:r>
          </w:p>
        </w:tc>
        <w:tc>
          <w:tcPr>
            <w:tcW w:w="572" w:type="dxa"/>
            <w:tcBorders>
              <w:left w:val="dashed" w:sz="4" w:space="0" w:color="auto"/>
              <w:right w:val="dashed" w:sz="4" w:space="0" w:color="auto"/>
            </w:tcBorders>
          </w:tcPr>
          <w:p w14:paraId="1A3DC148" w14:textId="115C243B" w:rsidR="00A95A18" w:rsidRPr="006432AB" w:rsidRDefault="00A95A18" w:rsidP="00C6026A">
            <w:pPr>
              <w:rPr>
                <w:rFonts w:eastAsia="Arial" w:cs="Arial"/>
                <w:color w:val="000000"/>
                <w:sz w:val="16"/>
                <w:szCs w:val="16"/>
              </w:rPr>
            </w:pPr>
          </w:p>
        </w:tc>
        <w:tc>
          <w:tcPr>
            <w:tcW w:w="572" w:type="dxa"/>
            <w:tcBorders>
              <w:left w:val="dashed" w:sz="4" w:space="0" w:color="auto"/>
              <w:right w:val="dashed" w:sz="4" w:space="0" w:color="auto"/>
            </w:tcBorders>
          </w:tcPr>
          <w:p w14:paraId="4E2CB861" w14:textId="660EB0E0" w:rsidR="00A95A18" w:rsidRPr="006432AB" w:rsidRDefault="00A95A18" w:rsidP="00C6026A">
            <w:pPr>
              <w:rPr>
                <w:rFonts w:eastAsia="Arial" w:cs="Arial"/>
                <w:color w:val="000000"/>
                <w:sz w:val="16"/>
                <w:szCs w:val="16"/>
              </w:rPr>
            </w:pPr>
          </w:p>
        </w:tc>
        <w:tc>
          <w:tcPr>
            <w:tcW w:w="572" w:type="dxa"/>
            <w:tcBorders>
              <w:left w:val="dashed" w:sz="4" w:space="0" w:color="auto"/>
              <w:right w:val="dashed" w:sz="4" w:space="0" w:color="auto"/>
            </w:tcBorders>
          </w:tcPr>
          <w:p w14:paraId="24AA372F" w14:textId="77777777" w:rsidR="00A95A18" w:rsidRPr="006432AB" w:rsidRDefault="00A95A18" w:rsidP="00C6026A">
            <w:pPr>
              <w:rPr>
                <w:rFonts w:eastAsia="Arial" w:cs="Arial"/>
                <w:color w:val="000000"/>
                <w:sz w:val="16"/>
                <w:szCs w:val="16"/>
              </w:rPr>
            </w:pPr>
          </w:p>
        </w:tc>
        <w:tc>
          <w:tcPr>
            <w:tcW w:w="572" w:type="dxa"/>
            <w:tcBorders>
              <w:left w:val="dashed" w:sz="4" w:space="0" w:color="auto"/>
              <w:right w:val="dashed" w:sz="4" w:space="0" w:color="auto"/>
            </w:tcBorders>
          </w:tcPr>
          <w:p w14:paraId="3113C6AA" w14:textId="73F8F8EC" w:rsidR="00A95A18" w:rsidRPr="006432AB" w:rsidRDefault="00A95A18" w:rsidP="00C6026A">
            <w:pPr>
              <w:rPr>
                <w:rFonts w:eastAsia="Arial" w:cs="Arial"/>
                <w:color w:val="000000"/>
                <w:sz w:val="16"/>
                <w:szCs w:val="16"/>
              </w:rPr>
            </w:pPr>
          </w:p>
        </w:tc>
        <w:tc>
          <w:tcPr>
            <w:tcW w:w="574" w:type="dxa"/>
            <w:tcBorders>
              <w:left w:val="dashed" w:sz="4" w:space="0" w:color="auto"/>
              <w:right w:val="dashed" w:sz="4" w:space="0" w:color="auto"/>
            </w:tcBorders>
          </w:tcPr>
          <w:p w14:paraId="5EB93143" w14:textId="7E1ADA2A" w:rsidR="00A95A18" w:rsidRPr="006432AB" w:rsidRDefault="00A95A18" w:rsidP="00C6026A">
            <w:pPr>
              <w:rPr>
                <w:rFonts w:eastAsia="Arial" w:cs="Arial"/>
                <w:color w:val="000000"/>
                <w:sz w:val="16"/>
                <w:szCs w:val="16"/>
              </w:rPr>
            </w:pPr>
          </w:p>
        </w:tc>
        <w:tc>
          <w:tcPr>
            <w:tcW w:w="1417" w:type="dxa"/>
            <w:tcBorders>
              <w:left w:val="dashed" w:sz="4" w:space="0" w:color="auto"/>
            </w:tcBorders>
            <w:vAlign w:val="center"/>
          </w:tcPr>
          <w:p w14:paraId="61AFFAEF" w14:textId="2175B0AD" w:rsidR="00A95A18" w:rsidRPr="00E01DA4" w:rsidRDefault="00A95A18" w:rsidP="00E01DA4">
            <w:pPr>
              <w:pStyle w:val="Tabletextcentre"/>
            </w:pPr>
            <w:r w:rsidRPr="00E01DA4">
              <w:t>Underway</w:t>
            </w:r>
          </w:p>
        </w:tc>
      </w:tr>
    </w:tbl>
    <w:p w14:paraId="06D0BB43" w14:textId="7ACAD305" w:rsidR="00000BA0" w:rsidRDefault="00000BA0"/>
    <w:p w14:paraId="28795B77" w14:textId="6A9872E5" w:rsidR="005E553A" w:rsidRDefault="005E553A">
      <w:pPr>
        <w:sectPr w:rsidR="005E553A" w:rsidSect="007D5ECC">
          <w:pgSz w:w="16838" w:h="11906" w:orient="landscape"/>
          <w:pgMar w:top="1418" w:right="1701" w:bottom="1418" w:left="1418" w:header="709" w:footer="709" w:gutter="0"/>
          <w:cols w:space="708"/>
          <w:docGrid w:linePitch="360"/>
        </w:sectPr>
      </w:pPr>
    </w:p>
    <w:tbl>
      <w:tblPr>
        <w:tblStyle w:val="TableGrid"/>
        <w:tblW w:w="1431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64"/>
        <w:gridCol w:w="5455"/>
        <w:gridCol w:w="845"/>
        <w:gridCol w:w="1114"/>
        <w:gridCol w:w="1228"/>
        <w:gridCol w:w="617"/>
        <w:gridCol w:w="617"/>
        <w:gridCol w:w="617"/>
        <w:gridCol w:w="617"/>
        <w:gridCol w:w="617"/>
        <w:gridCol w:w="617"/>
        <w:gridCol w:w="1407"/>
      </w:tblGrid>
      <w:tr w:rsidR="008F101F" w:rsidRPr="00C047BB" w14:paraId="7A48CDF8" w14:textId="77777777" w:rsidTr="00354039">
        <w:trPr>
          <w:cnfStyle w:val="100000000000" w:firstRow="1" w:lastRow="0" w:firstColumn="0" w:lastColumn="0" w:oddVBand="0" w:evenVBand="0" w:oddHBand="0" w:evenHBand="0" w:firstRowFirstColumn="0" w:firstRowLastColumn="0" w:lastRowFirstColumn="0" w:lastRowLastColumn="0"/>
          <w:tblHeader/>
          <w:jc w:val="center"/>
        </w:trPr>
        <w:tc>
          <w:tcPr>
            <w:tcW w:w="567" w:type="dxa"/>
            <w:shd w:val="clear" w:color="auto" w:fill="D9D9D9" w:themeFill="background1" w:themeFillShade="D9"/>
            <w:vAlign w:val="center"/>
          </w:tcPr>
          <w:p w14:paraId="4BF9CF32" w14:textId="1C14ECC2" w:rsidR="008F101F" w:rsidRPr="00354039" w:rsidRDefault="0045236F" w:rsidP="00354039">
            <w:pPr>
              <w:pStyle w:val="TableHeader"/>
            </w:pPr>
            <w:r w:rsidRPr="00354039">
              <w:lastRenderedPageBreak/>
              <w:t>#</w:t>
            </w:r>
          </w:p>
        </w:tc>
        <w:tc>
          <w:tcPr>
            <w:tcW w:w="5669" w:type="dxa"/>
            <w:shd w:val="clear" w:color="auto" w:fill="D9D9D9" w:themeFill="background1" w:themeFillShade="D9"/>
            <w:vAlign w:val="center"/>
          </w:tcPr>
          <w:p w14:paraId="498E889B" w14:textId="61F598D6" w:rsidR="008F101F" w:rsidRPr="00354039" w:rsidRDefault="008F101F" w:rsidP="00354039">
            <w:pPr>
              <w:pStyle w:val="TableHeader"/>
            </w:pPr>
            <w:r w:rsidRPr="00354039">
              <w:t>PRIORITY AREA 2: ENERGY</w:t>
            </w:r>
          </w:p>
        </w:tc>
        <w:tc>
          <w:tcPr>
            <w:tcW w:w="850" w:type="dxa"/>
            <w:shd w:val="clear" w:color="auto" w:fill="D9D9D9" w:themeFill="background1" w:themeFillShade="D9"/>
            <w:vAlign w:val="center"/>
          </w:tcPr>
          <w:p w14:paraId="6DDBA48C" w14:textId="339C54EF" w:rsidR="008F101F" w:rsidRPr="00354039" w:rsidRDefault="008F101F" w:rsidP="00354039">
            <w:pPr>
              <w:pStyle w:val="TableHeader"/>
            </w:pPr>
            <w:r w:rsidRPr="00354039">
              <w:t>Scope</w:t>
            </w:r>
          </w:p>
        </w:tc>
        <w:tc>
          <w:tcPr>
            <w:tcW w:w="1133" w:type="dxa"/>
            <w:shd w:val="clear" w:color="auto" w:fill="D9D9D9" w:themeFill="background1" w:themeFillShade="D9"/>
            <w:vAlign w:val="center"/>
          </w:tcPr>
          <w:p w14:paraId="7C1B7B2C" w14:textId="647B6B98" w:rsidR="008F101F" w:rsidRPr="00354039" w:rsidRDefault="008F101F" w:rsidP="00354039">
            <w:pPr>
              <w:pStyle w:val="TableHeader"/>
            </w:pPr>
            <w:r w:rsidRPr="00354039">
              <w:t>Action type</w:t>
            </w:r>
          </w:p>
        </w:tc>
        <w:tc>
          <w:tcPr>
            <w:tcW w:w="1247" w:type="dxa"/>
            <w:tcBorders>
              <w:right w:val="dashed" w:sz="4" w:space="0" w:color="auto"/>
            </w:tcBorders>
            <w:shd w:val="clear" w:color="auto" w:fill="D9D9D9" w:themeFill="background1" w:themeFillShade="D9"/>
            <w:vAlign w:val="center"/>
          </w:tcPr>
          <w:p w14:paraId="45513128" w14:textId="77777777" w:rsidR="008F101F" w:rsidRPr="00354039" w:rsidRDefault="008F101F" w:rsidP="00354039">
            <w:pPr>
              <w:pStyle w:val="TableHeader"/>
            </w:pPr>
            <w:r w:rsidRPr="00354039">
              <w:t>Owner</w:t>
            </w:r>
          </w:p>
        </w:tc>
        <w:tc>
          <w:tcPr>
            <w:tcW w:w="572" w:type="dxa"/>
            <w:tcBorders>
              <w:left w:val="dashed" w:sz="4" w:space="0" w:color="auto"/>
              <w:right w:val="dashed" w:sz="4" w:space="0" w:color="auto"/>
            </w:tcBorders>
            <w:shd w:val="clear" w:color="auto" w:fill="D9D9D9" w:themeFill="background1" w:themeFillShade="D9"/>
            <w:vAlign w:val="center"/>
          </w:tcPr>
          <w:p w14:paraId="56D7B434" w14:textId="77777777" w:rsidR="008F101F" w:rsidRPr="00354039" w:rsidRDefault="008F101F" w:rsidP="00354039">
            <w:pPr>
              <w:pStyle w:val="TableHeader"/>
            </w:pPr>
            <w:r w:rsidRPr="00354039">
              <w:t>2024</w:t>
            </w:r>
          </w:p>
        </w:tc>
        <w:tc>
          <w:tcPr>
            <w:tcW w:w="572" w:type="dxa"/>
            <w:tcBorders>
              <w:left w:val="dashed" w:sz="4" w:space="0" w:color="auto"/>
              <w:right w:val="dashed" w:sz="4" w:space="0" w:color="auto"/>
            </w:tcBorders>
            <w:shd w:val="clear" w:color="auto" w:fill="D9D9D9" w:themeFill="background1" w:themeFillShade="D9"/>
            <w:vAlign w:val="center"/>
          </w:tcPr>
          <w:p w14:paraId="2C292594" w14:textId="77777777" w:rsidR="008F101F" w:rsidRPr="00354039" w:rsidRDefault="008F101F" w:rsidP="00354039">
            <w:pPr>
              <w:pStyle w:val="TableHeader"/>
            </w:pPr>
            <w:r w:rsidRPr="00354039">
              <w:t>2025</w:t>
            </w:r>
          </w:p>
        </w:tc>
        <w:tc>
          <w:tcPr>
            <w:tcW w:w="572" w:type="dxa"/>
            <w:tcBorders>
              <w:left w:val="dashed" w:sz="4" w:space="0" w:color="auto"/>
              <w:right w:val="dashed" w:sz="4" w:space="0" w:color="auto"/>
            </w:tcBorders>
            <w:shd w:val="clear" w:color="auto" w:fill="D9D9D9" w:themeFill="background1" w:themeFillShade="D9"/>
            <w:vAlign w:val="center"/>
          </w:tcPr>
          <w:p w14:paraId="41936DD1" w14:textId="77777777" w:rsidR="008F101F" w:rsidRPr="00354039" w:rsidRDefault="008F101F" w:rsidP="00354039">
            <w:pPr>
              <w:pStyle w:val="TableHeader"/>
            </w:pPr>
            <w:r w:rsidRPr="00354039">
              <w:t>2026</w:t>
            </w:r>
          </w:p>
        </w:tc>
        <w:tc>
          <w:tcPr>
            <w:tcW w:w="572" w:type="dxa"/>
            <w:tcBorders>
              <w:left w:val="dashed" w:sz="4" w:space="0" w:color="auto"/>
              <w:right w:val="dashed" w:sz="4" w:space="0" w:color="auto"/>
            </w:tcBorders>
            <w:shd w:val="clear" w:color="auto" w:fill="D9D9D9" w:themeFill="background1" w:themeFillShade="D9"/>
            <w:vAlign w:val="center"/>
          </w:tcPr>
          <w:p w14:paraId="4FE8B69A" w14:textId="77777777" w:rsidR="008F101F" w:rsidRPr="00354039" w:rsidRDefault="008F101F" w:rsidP="00354039">
            <w:pPr>
              <w:pStyle w:val="TableHeader"/>
            </w:pPr>
            <w:r w:rsidRPr="00354039">
              <w:t>2027</w:t>
            </w:r>
          </w:p>
        </w:tc>
        <w:tc>
          <w:tcPr>
            <w:tcW w:w="572" w:type="dxa"/>
            <w:tcBorders>
              <w:left w:val="dashed" w:sz="4" w:space="0" w:color="auto"/>
              <w:right w:val="dashed" w:sz="4" w:space="0" w:color="auto"/>
            </w:tcBorders>
            <w:shd w:val="clear" w:color="auto" w:fill="D9D9D9" w:themeFill="background1" w:themeFillShade="D9"/>
            <w:vAlign w:val="center"/>
          </w:tcPr>
          <w:p w14:paraId="2DB21D52" w14:textId="77777777" w:rsidR="008F101F" w:rsidRPr="00354039" w:rsidRDefault="008F101F" w:rsidP="00354039">
            <w:pPr>
              <w:pStyle w:val="TableHeader"/>
            </w:pPr>
            <w:r w:rsidRPr="00354039">
              <w:t>2028</w:t>
            </w:r>
          </w:p>
        </w:tc>
        <w:tc>
          <w:tcPr>
            <w:tcW w:w="572" w:type="dxa"/>
            <w:tcBorders>
              <w:left w:val="dashed" w:sz="4" w:space="0" w:color="auto"/>
              <w:right w:val="dashed" w:sz="4" w:space="0" w:color="auto"/>
            </w:tcBorders>
            <w:shd w:val="clear" w:color="auto" w:fill="D9D9D9" w:themeFill="background1" w:themeFillShade="D9"/>
            <w:vAlign w:val="center"/>
          </w:tcPr>
          <w:p w14:paraId="251B916E" w14:textId="77777777" w:rsidR="008F101F" w:rsidRPr="00354039" w:rsidRDefault="008F101F" w:rsidP="00354039">
            <w:pPr>
              <w:pStyle w:val="TableHeader"/>
            </w:pPr>
            <w:r w:rsidRPr="00354039">
              <w:t>2029</w:t>
            </w:r>
          </w:p>
        </w:tc>
        <w:tc>
          <w:tcPr>
            <w:tcW w:w="1417" w:type="dxa"/>
            <w:tcBorders>
              <w:left w:val="dashed" w:sz="4" w:space="0" w:color="auto"/>
            </w:tcBorders>
            <w:shd w:val="clear" w:color="auto" w:fill="D9D9D9" w:themeFill="background1" w:themeFillShade="D9"/>
          </w:tcPr>
          <w:p w14:paraId="2DA6FD1B" w14:textId="77777777" w:rsidR="008F101F" w:rsidRPr="00354039" w:rsidRDefault="008F101F" w:rsidP="00354039">
            <w:pPr>
              <w:pStyle w:val="TableHeader"/>
            </w:pPr>
            <w:r w:rsidRPr="00354039">
              <w:t>Status</w:t>
            </w:r>
          </w:p>
        </w:tc>
      </w:tr>
      <w:tr w:rsidR="008F101F" w:rsidRPr="005F4A8A" w14:paraId="49B2B236" w14:textId="77777777" w:rsidTr="00C30BED">
        <w:trPr>
          <w:jc w:val="center"/>
        </w:trPr>
        <w:tc>
          <w:tcPr>
            <w:tcW w:w="567" w:type="dxa"/>
          </w:tcPr>
          <w:p w14:paraId="5612A924" w14:textId="6B019212" w:rsidR="008F101F" w:rsidRPr="00D4575A" w:rsidRDefault="008F101F" w:rsidP="00E01DA4">
            <w:pPr>
              <w:pStyle w:val="Tabletextleft"/>
            </w:pPr>
            <w:r w:rsidRPr="00D4575A">
              <w:t>2.1</w:t>
            </w:r>
          </w:p>
        </w:tc>
        <w:tc>
          <w:tcPr>
            <w:tcW w:w="5669" w:type="dxa"/>
          </w:tcPr>
          <w:p w14:paraId="183102E4" w14:textId="17DA5741" w:rsidR="008F101F" w:rsidRPr="00D4575A" w:rsidRDefault="008F101F" w:rsidP="00E01DA4">
            <w:pPr>
              <w:pStyle w:val="Tabletextleft"/>
            </w:pPr>
            <w:r w:rsidRPr="00D4575A">
              <w:t>From 1 July 2024 migrate to Whole-of-Australian-Government (</w:t>
            </w:r>
            <w:proofErr w:type="spellStart"/>
            <w:r w:rsidRPr="00D4575A">
              <w:t>WoAG</w:t>
            </w:r>
            <w:proofErr w:type="spellEnd"/>
            <w:r w:rsidRPr="00D4575A">
              <w:t>) electricity arrangements as they are rolled out, and existing contracts cease. In locations where these will not be available, work with our Property Service Provider to transition contracts to renewable sources, where possible.</w:t>
            </w:r>
            <w:r w:rsidR="005534DF" w:rsidRPr="00D4575A">
              <w:t xml:space="preserve"> </w:t>
            </w:r>
            <w:proofErr w:type="spellStart"/>
            <w:r w:rsidRPr="00DF3147">
              <w:rPr>
                <w:rStyle w:val="TabletextemphasisChar"/>
              </w:rPr>
              <w:t>WoAG</w:t>
            </w:r>
            <w:proofErr w:type="spellEnd"/>
            <w:r w:rsidRPr="00DF3147">
              <w:rPr>
                <w:rStyle w:val="TabletextemphasisChar"/>
              </w:rPr>
              <w:t xml:space="preserve"> arrangements delayed until 2026.</w:t>
            </w:r>
          </w:p>
        </w:tc>
        <w:tc>
          <w:tcPr>
            <w:tcW w:w="850" w:type="dxa"/>
            <w:vAlign w:val="center"/>
          </w:tcPr>
          <w:p w14:paraId="1CAE028A" w14:textId="74388613" w:rsidR="008F101F" w:rsidRPr="00D4575A" w:rsidRDefault="00B51C7F" w:rsidP="00C10634">
            <w:pPr>
              <w:pStyle w:val="Tabletextcentre"/>
              <w:rPr>
                <w:lang w:eastAsia="en-AU"/>
              </w:rPr>
            </w:pPr>
            <w:r w:rsidRPr="00D4575A">
              <w:rPr>
                <w:lang w:eastAsia="en-AU"/>
              </w:rPr>
              <w:t>1</w:t>
            </w:r>
          </w:p>
        </w:tc>
        <w:tc>
          <w:tcPr>
            <w:tcW w:w="1133" w:type="dxa"/>
            <w:vAlign w:val="center"/>
          </w:tcPr>
          <w:p w14:paraId="2B48A5CB" w14:textId="7E0EE682" w:rsidR="008F101F" w:rsidRPr="00D4575A" w:rsidRDefault="008F101F" w:rsidP="00C10634">
            <w:pPr>
              <w:pStyle w:val="Tabletextcentre"/>
              <w:rPr>
                <w:lang w:eastAsia="en-AU"/>
              </w:rPr>
            </w:pPr>
            <w:r w:rsidRPr="00D4575A">
              <w:rPr>
                <w:lang w:eastAsia="en-AU"/>
              </w:rPr>
              <w:t>Impact</w:t>
            </w:r>
          </w:p>
          <w:p w14:paraId="1D0D22BB" w14:textId="31433F14" w:rsidR="008F101F" w:rsidRPr="00EC5581" w:rsidRDefault="00CA5FBF">
            <w:pPr>
              <w:jc w:val="center"/>
              <w:rPr>
                <w:rFonts w:eastAsia="Arial" w:cs="Arial"/>
                <w:color w:val="1C4C5A" w:themeColor="accent5" w:themeShade="80"/>
                <w:sz w:val="20"/>
                <w:szCs w:val="20"/>
              </w:rPr>
            </w:pPr>
            <w:r>
              <w:rPr>
                <w:noProof/>
              </w:rPr>
              <w:drawing>
                <wp:inline distT="0" distB="0" distL="0" distR="0" wp14:anchorId="7BD7B402" wp14:editId="48E0BCA7">
                  <wp:extent cx="252000" cy="276707"/>
                  <wp:effectExtent l="0" t="0" r="0" b="0"/>
                  <wp:docPr id="12548187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18755" name="Picture 1">
                            <a:extLst>
                              <a:ext uri="{C183D7F6-B498-43B3-948B-1728B52AA6E4}">
                                <adec:decorative xmlns:adec="http://schemas.microsoft.com/office/drawing/2017/decorative" val="1"/>
                              </a:ext>
                            </a:extLst>
                          </pic:cNvPr>
                          <pic:cNvPicPr/>
                        </pic:nvPicPr>
                        <pic:blipFill>
                          <a:blip r:embed="rId23"/>
                          <a:stretch>
                            <a:fillRect/>
                          </a:stretch>
                        </pic:blipFill>
                        <pic:spPr>
                          <a:xfrm>
                            <a:off x="0" y="0"/>
                            <a:ext cx="252000" cy="276707"/>
                          </a:xfrm>
                          <a:prstGeom prst="rect">
                            <a:avLst/>
                          </a:prstGeom>
                        </pic:spPr>
                      </pic:pic>
                    </a:graphicData>
                  </a:graphic>
                </wp:inline>
              </w:drawing>
            </w:r>
          </w:p>
        </w:tc>
        <w:tc>
          <w:tcPr>
            <w:tcW w:w="1247" w:type="dxa"/>
            <w:tcBorders>
              <w:right w:val="dashed" w:sz="4" w:space="0" w:color="auto"/>
            </w:tcBorders>
            <w:vAlign w:val="center"/>
          </w:tcPr>
          <w:p w14:paraId="009FAA3A" w14:textId="1C90C559" w:rsidR="008F101F" w:rsidRPr="00E01DA4" w:rsidRDefault="008F101F" w:rsidP="00E01DA4">
            <w:pPr>
              <w:pStyle w:val="Tabletextcentre"/>
            </w:pPr>
            <w:r w:rsidRPr="00E01DA4">
              <w:t>Property</w:t>
            </w:r>
          </w:p>
          <w:p w14:paraId="1BFA2C70" w14:textId="06750C7C" w:rsidR="008F101F" w:rsidRPr="00E01DA4" w:rsidRDefault="008F101F" w:rsidP="00E01DA4">
            <w:pPr>
              <w:pStyle w:val="Tabletextcentre"/>
            </w:pPr>
            <w:r w:rsidRPr="00E01DA4">
              <w:t>Evolve FM</w:t>
            </w:r>
          </w:p>
        </w:tc>
        <w:tc>
          <w:tcPr>
            <w:tcW w:w="572" w:type="dxa"/>
            <w:tcBorders>
              <w:left w:val="dashed" w:sz="4" w:space="0" w:color="auto"/>
              <w:right w:val="dashed" w:sz="4" w:space="0" w:color="auto"/>
            </w:tcBorders>
          </w:tcPr>
          <w:p w14:paraId="6787899F" w14:textId="2EC29B1A" w:rsidR="008F101F" w:rsidRPr="006432AB" w:rsidRDefault="008F101F">
            <w:pPr>
              <w:rPr>
                <w:rFonts w:eastAsia="Arial" w:cs="Arial"/>
                <w:color w:val="000000"/>
                <w:sz w:val="16"/>
                <w:szCs w:val="16"/>
              </w:rPr>
            </w:pPr>
          </w:p>
        </w:tc>
        <w:tc>
          <w:tcPr>
            <w:tcW w:w="572" w:type="dxa"/>
            <w:tcBorders>
              <w:left w:val="dashed" w:sz="4" w:space="0" w:color="auto"/>
              <w:right w:val="dashed" w:sz="4" w:space="0" w:color="auto"/>
            </w:tcBorders>
          </w:tcPr>
          <w:p w14:paraId="55B776CC" w14:textId="2FD516A9" w:rsidR="008F101F" w:rsidRPr="006432AB" w:rsidRDefault="008F101F">
            <w:pPr>
              <w:rPr>
                <w:rFonts w:eastAsia="Arial" w:cs="Arial"/>
                <w:color w:val="000000"/>
                <w:sz w:val="16"/>
                <w:szCs w:val="16"/>
              </w:rPr>
            </w:pPr>
          </w:p>
        </w:tc>
        <w:tc>
          <w:tcPr>
            <w:tcW w:w="572" w:type="dxa"/>
            <w:tcBorders>
              <w:left w:val="dashed" w:sz="4" w:space="0" w:color="auto"/>
              <w:right w:val="dashed" w:sz="4" w:space="0" w:color="auto"/>
            </w:tcBorders>
          </w:tcPr>
          <w:p w14:paraId="7A55485F" w14:textId="1CD3216C" w:rsidR="008F101F" w:rsidRPr="00354039" w:rsidRDefault="008F101F" w:rsidP="002D5D83">
            <w:pPr>
              <w:rPr>
                <w:rFonts w:eastAsia="Arial"/>
              </w:rPr>
            </w:pPr>
            <w:r w:rsidRPr="00354039">
              <w:rPr>
                <w:rFonts w:eastAsia="Arial"/>
              </w:rPr>
              <mc:AlternateContent>
                <mc:Choice Requires="wps">
                  <w:drawing>
                    <wp:anchor distT="0" distB="0" distL="114300" distR="114300" simplePos="0" relativeHeight="251658247" behindDoc="0" locked="0" layoutInCell="1" allowOverlap="1" wp14:anchorId="424FD088" wp14:editId="696AA05D">
                      <wp:simplePos x="0" y="0"/>
                      <wp:positionH relativeFrom="column">
                        <wp:posOffset>132080</wp:posOffset>
                      </wp:positionH>
                      <wp:positionV relativeFrom="paragraph">
                        <wp:posOffset>414020</wp:posOffset>
                      </wp:positionV>
                      <wp:extent cx="1224000" cy="0"/>
                      <wp:effectExtent l="38100" t="38100" r="71755" b="95250"/>
                      <wp:wrapNone/>
                      <wp:docPr id="10268733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240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FE5E1" id="Straight Connector 1" o:spid="_x0000_s1026" alt="&quot;&quot;"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pt,32.6pt" to="106.8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" strokecolor="#358189 [3205]" strokeweight="2pt">
                      <v:shadow on="t" color="black" opacity="24903f" origin=",.5" offset="0,.55556mm"/>
                    </v:line>
                  </w:pict>
                </mc:Fallback>
              </mc:AlternateContent>
            </w:r>
          </w:p>
        </w:tc>
        <w:tc>
          <w:tcPr>
            <w:tcW w:w="572" w:type="dxa"/>
            <w:tcBorders>
              <w:left w:val="dashed" w:sz="4" w:space="0" w:color="auto"/>
              <w:right w:val="dashed" w:sz="4" w:space="0" w:color="auto"/>
            </w:tcBorders>
          </w:tcPr>
          <w:p w14:paraId="34C663AB" w14:textId="193FC3B9" w:rsidR="008F101F" w:rsidRPr="006432AB" w:rsidRDefault="008F101F">
            <w:pPr>
              <w:rPr>
                <w:rFonts w:eastAsia="Arial" w:cs="Arial"/>
                <w:color w:val="000000"/>
                <w:sz w:val="16"/>
                <w:szCs w:val="16"/>
              </w:rPr>
            </w:pPr>
          </w:p>
        </w:tc>
        <w:tc>
          <w:tcPr>
            <w:tcW w:w="572" w:type="dxa"/>
            <w:tcBorders>
              <w:left w:val="dashed" w:sz="4" w:space="0" w:color="auto"/>
              <w:right w:val="dashed" w:sz="4" w:space="0" w:color="auto"/>
            </w:tcBorders>
          </w:tcPr>
          <w:p w14:paraId="39EA540A" w14:textId="6BC91AF7" w:rsidR="008F101F" w:rsidRPr="006432AB" w:rsidRDefault="008F101F">
            <w:pPr>
              <w:rPr>
                <w:rFonts w:eastAsia="Arial" w:cs="Arial"/>
                <w:color w:val="000000"/>
                <w:sz w:val="16"/>
                <w:szCs w:val="16"/>
              </w:rPr>
            </w:pPr>
          </w:p>
        </w:tc>
        <w:tc>
          <w:tcPr>
            <w:tcW w:w="572" w:type="dxa"/>
            <w:tcBorders>
              <w:left w:val="dashed" w:sz="4" w:space="0" w:color="auto"/>
              <w:right w:val="dashed" w:sz="4" w:space="0" w:color="auto"/>
            </w:tcBorders>
          </w:tcPr>
          <w:p w14:paraId="6DA6D0F5" w14:textId="77777777" w:rsidR="008F101F" w:rsidRPr="006432AB" w:rsidRDefault="008F101F">
            <w:pPr>
              <w:rPr>
                <w:rFonts w:eastAsia="Arial" w:cs="Arial"/>
                <w:color w:val="000000"/>
                <w:sz w:val="16"/>
                <w:szCs w:val="16"/>
              </w:rPr>
            </w:pPr>
          </w:p>
        </w:tc>
        <w:tc>
          <w:tcPr>
            <w:tcW w:w="1417" w:type="dxa"/>
            <w:tcBorders>
              <w:left w:val="dashed" w:sz="4" w:space="0" w:color="auto"/>
            </w:tcBorders>
            <w:vAlign w:val="center"/>
          </w:tcPr>
          <w:p w14:paraId="33AB323A" w14:textId="1883B247" w:rsidR="008F101F" w:rsidRPr="00E01DA4" w:rsidRDefault="008F101F" w:rsidP="00E01DA4">
            <w:pPr>
              <w:pStyle w:val="Tabletextcentre"/>
            </w:pPr>
            <w:r w:rsidRPr="00E01DA4">
              <w:t>Not Commenced</w:t>
            </w:r>
          </w:p>
        </w:tc>
      </w:tr>
      <w:tr w:rsidR="008F101F" w:rsidRPr="005F4A8A" w14:paraId="2683486E" w14:textId="77777777" w:rsidTr="00C30BED">
        <w:trPr>
          <w:jc w:val="center"/>
        </w:trPr>
        <w:tc>
          <w:tcPr>
            <w:tcW w:w="567" w:type="dxa"/>
          </w:tcPr>
          <w:p w14:paraId="676BA4F8" w14:textId="046933C7" w:rsidR="008F101F" w:rsidRPr="00D4575A" w:rsidRDefault="008F101F" w:rsidP="00E01DA4">
            <w:pPr>
              <w:pStyle w:val="Tabletextleft"/>
            </w:pPr>
            <w:r w:rsidRPr="00D4575A">
              <w:t>2.2</w:t>
            </w:r>
          </w:p>
        </w:tc>
        <w:tc>
          <w:tcPr>
            <w:tcW w:w="5669" w:type="dxa"/>
          </w:tcPr>
          <w:p w14:paraId="2D0576A3" w14:textId="77DF143F" w:rsidR="008F101F" w:rsidRPr="00D4575A" w:rsidRDefault="008F101F" w:rsidP="00E01DA4">
            <w:pPr>
              <w:pStyle w:val="Tabletextleft"/>
            </w:pPr>
            <w:r w:rsidRPr="00D4575A">
              <w:t>1 January 2028 at least 80% of electricity consumption (off-site and purchased) must be renewable.</w:t>
            </w:r>
          </w:p>
        </w:tc>
        <w:tc>
          <w:tcPr>
            <w:tcW w:w="850" w:type="dxa"/>
            <w:vAlign w:val="center"/>
          </w:tcPr>
          <w:p w14:paraId="66742DC1" w14:textId="377C85FB" w:rsidR="008F101F" w:rsidRPr="00D4575A" w:rsidRDefault="00B51C7F" w:rsidP="00C10634">
            <w:pPr>
              <w:pStyle w:val="Tabletextcentre"/>
              <w:rPr>
                <w:lang w:eastAsia="en-AU"/>
              </w:rPr>
            </w:pPr>
            <w:r w:rsidRPr="00D4575A">
              <w:rPr>
                <w:lang w:eastAsia="en-AU"/>
              </w:rPr>
              <w:t>1</w:t>
            </w:r>
          </w:p>
        </w:tc>
        <w:tc>
          <w:tcPr>
            <w:tcW w:w="1133" w:type="dxa"/>
            <w:vAlign w:val="center"/>
          </w:tcPr>
          <w:p w14:paraId="45A52428" w14:textId="0974F1FD" w:rsidR="008F101F" w:rsidRPr="00D4575A" w:rsidRDefault="008F101F" w:rsidP="00C10634">
            <w:pPr>
              <w:pStyle w:val="Tabletextcentre"/>
              <w:rPr>
                <w:lang w:eastAsia="en-AU"/>
              </w:rPr>
            </w:pPr>
            <w:r w:rsidRPr="00D4575A">
              <w:rPr>
                <w:lang w:eastAsia="en-AU"/>
              </w:rPr>
              <w:t>Impact</w:t>
            </w:r>
          </w:p>
          <w:p w14:paraId="6B68DD4F" w14:textId="1ED6DD07" w:rsidR="008F101F" w:rsidRPr="00EC5581" w:rsidRDefault="00CA5FBF" w:rsidP="002B4CA6">
            <w:pPr>
              <w:jc w:val="center"/>
              <w:rPr>
                <w:rFonts w:ascii="Segoe UI Emoji" w:hAnsi="Segoe UI Emoji" w:cs="Segoe UI Emoji"/>
                <w:b/>
                <w:bCs/>
                <w:color w:val="1C4C5A" w:themeColor="accent5" w:themeShade="80"/>
                <w:sz w:val="20"/>
                <w:szCs w:val="20"/>
                <w:lang w:eastAsia="en-AU"/>
              </w:rPr>
            </w:pPr>
            <w:r>
              <w:rPr>
                <w:noProof/>
              </w:rPr>
              <w:drawing>
                <wp:inline distT="0" distB="0" distL="0" distR="0" wp14:anchorId="33EA2232" wp14:editId="70B23FFC">
                  <wp:extent cx="252000" cy="276707"/>
                  <wp:effectExtent l="0" t="0" r="0" b="0"/>
                  <wp:docPr id="18568239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23994" name="Picture 1">
                            <a:extLst>
                              <a:ext uri="{C183D7F6-B498-43B3-948B-1728B52AA6E4}">
                                <adec:decorative xmlns:adec="http://schemas.microsoft.com/office/drawing/2017/decorative" val="1"/>
                              </a:ext>
                            </a:extLst>
                          </pic:cNvPr>
                          <pic:cNvPicPr/>
                        </pic:nvPicPr>
                        <pic:blipFill>
                          <a:blip r:embed="rId23"/>
                          <a:stretch>
                            <a:fillRect/>
                          </a:stretch>
                        </pic:blipFill>
                        <pic:spPr>
                          <a:xfrm>
                            <a:off x="0" y="0"/>
                            <a:ext cx="252000" cy="276707"/>
                          </a:xfrm>
                          <a:prstGeom prst="rect">
                            <a:avLst/>
                          </a:prstGeom>
                        </pic:spPr>
                      </pic:pic>
                    </a:graphicData>
                  </a:graphic>
                </wp:inline>
              </w:drawing>
            </w:r>
          </w:p>
        </w:tc>
        <w:tc>
          <w:tcPr>
            <w:tcW w:w="1247" w:type="dxa"/>
            <w:tcBorders>
              <w:right w:val="dashed" w:sz="4" w:space="0" w:color="auto"/>
            </w:tcBorders>
            <w:vAlign w:val="center"/>
          </w:tcPr>
          <w:p w14:paraId="5A24347E" w14:textId="77777777" w:rsidR="008F101F" w:rsidRPr="00E01DA4" w:rsidRDefault="008F101F" w:rsidP="00E01DA4">
            <w:pPr>
              <w:pStyle w:val="Tabletextcentre"/>
            </w:pPr>
            <w:r w:rsidRPr="00E01DA4">
              <w:t>Property</w:t>
            </w:r>
          </w:p>
          <w:p w14:paraId="30FF042E" w14:textId="77F82A20" w:rsidR="008F101F" w:rsidRPr="00E01DA4" w:rsidRDefault="008F101F" w:rsidP="00E01DA4">
            <w:pPr>
              <w:pStyle w:val="Tabletextcentre"/>
            </w:pPr>
            <w:r w:rsidRPr="00E01DA4">
              <w:t>Evolve FM</w:t>
            </w:r>
          </w:p>
        </w:tc>
        <w:tc>
          <w:tcPr>
            <w:tcW w:w="572" w:type="dxa"/>
            <w:tcBorders>
              <w:left w:val="dashed" w:sz="4" w:space="0" w:color="auto"/>
              <w:right w:val="dashed" w:sz="4" w:space="0" w:color="auto"/>
            </w:tcBorders>
          </w:tcPr>
          <w:p w14:paraId="42502284" w14:textId="3356F639" w:rsidR="008F101F" w:rsidRPr="006432AB" w:rsidRDefault="008F101F" w:rsidP="002B4CA6">
            <w:pPr>
              <w:rPr>
                <w:rFonts w:eastAsia="Arial" w:cs="Arial"/>
                <w:color w:val="000000"/>
                <w:sz w:val="16"/>
                <w:szCs w:val="16"/>
              </w:rPr>
            </w:pPr>
          </w:p>
        </w:tc>
        <w:tc>
          <w:tcPr>
            <w:tcW w:w="572" w:type="dxa"/>
            <w:tcBorders>
              <w:left w:val="dashed" w:sz="4" w:space="0" w:color="auto"/>
              <w:right w:val="dashed" w:sz="4" w:space="0" w:color="auto"/>
            </w:tcBorders>
          </w:tcPr>
          <w:p w14:paraId="1748F893" w14:textId="5A2AF076" w:rsidR="008F101F" w:rsidRPr="006432AB" w:rsidRDefault="008F101F" w:rsidP="002B4CA6">
            <w:pPr>
              <w:rPr>
                <w:rFonts w:eastAsia="Arial" w:cs="Arial"/>
                <w:color w:val="000000"/>
                <w:sz w:val="16"/>
                <w:szCs w:val="16"/>
              </w:rPr>
            </w:pPr>
          </w:p>
        </w:tc>
        <w:tc>
          <w:tcPr>
            <w:tcW w:w="572" w:type="dxa"/>
            <w:tcBorders>
              <w:left w:val="dashed" w:sz="4" w:space="0" w:color="auto"/>
              <w:right w:val="dashed" w:sz="4" w:space="0" w:color="auto"/>
            </w:tcBorders>
          </w:tcPr>
          <w:p w14:paraId="6574D1FA" w14:textId="640E6E3A" w:rsidR="008F101F" w:rsidRPr="006432AB" w:rsidRDefault="008F101F" w:rsidP="002B4CA6">
            <w:pPr>
              <w:rPr>
                <w:rFonts w:eastAsia="Arial" w:cs="Arial"/>
                <w:noProof/>
                <w:color w:val="000000"/>
                <w:sz w:val="16"/>
                <w:szCs w:val="16"/>
              </w:rPr>
            </w:pPr>
          </w:p>
        </w:tc>
        <w:tc>
          <w:tcPr>
            <w:tcW w:w="572" w:type="dxa"/>
            <w:tcBorders>
              <w:left w:val="dashed" w:sz="4" w:space="0" w:color="auto"/>
              <w:right w:val="dashed" w:sz="4" w:space="0" w:color="auto"/>
            </w:tcBorders>
          </w:tcPr>
          <w:p w14:paraId="4DA854F6" w14:textId="2DAAA1BA" w:rsidR="008F101F" w:rsidRPr="006432AB" w:rsidRDefault="008F101F" w:rsidP="002B4CA6">
            <w:pPr>
              <w:rPr>
                <w:rFonts w:eastAsia="Arial" w:cs="Arial"/>
                <w:color w:val="000000"/>
                <w:sz w:val="16"/>
                <w:szCs w:val="16"/>
              </w:rPr>
            </w:pPr>
          </w:p>
        </w:tc>
        <w:tc>
          <w:tcPr>
            <w:tcW w:w="572" w:type="dxa"/>
            <w:tcBorders>
              <w:left w:val="dashed" w:sz="4" w:space="0" w:color="auto"/>
              <w:right w:val="dashed" w:sz="4" w:space="0" w:color="auto"/>
            </w:tcBorders>
          </w:tcPr>
          <w:p w14:paraId="4DD045D8" w14:textId="6E52D027" w:rsidR="008F101F" w:rsidRPr="00354039" w:rsidRDefault="00EB7262" w:rsidP="002D5D83">
            <w:pPr>
              <w:rPr>
                <w:rFonts w:eastAsia="Arial"/>
              </w:rPr>
            </w:pPr>
            <w:r w:rsidRPr="00354039">
              <w:rPr>
                <w:rFonts w:eastAsia="Arial"/>
              </w:rPr>
              <mc:AlternateContent>
                <mc:Choice Requires="wps">
                  <w:drawing>
                    <wp:anchor distT="0" distB="0" distL="114300" distR="114300" simplePos="0" relativeHeight="251658253" behindDoc="0" locked="0" layoutInCell="1" allowOverlap="1" wp14:anchorId="072ABA3D" wp14:editId="3A970220">
                      <wp:simplePos x="0" y="0"/>
                      <wp:positionH relativeFrom="column">
                        <wp:posOffset>-56515</wp:posOffset>
                      </wp:positionH>
                      <wp:positionV relativeFrom="paragraph">
                        <wp:posOffset>327660</wp:posOffset>
                      </wp:positionV>
                      <wp:extent cx="720000" cy="0"/>
                      <wp:effectExtent l="38100" t="38100" r="61595" b="95250"/>
                      <wp:wrapNone/>
                      <wp:docPr id="7910580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200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33DF1" id="Straight Connector 1" o:spid="_x0000_s1026" alt="&quot;&quot;" style="position:absolute;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5.8pt" to="52.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" strokecolor="#358189 [3205]" strokeweight="2pt">
                      <v:shadow on="t" color="black" opacity="24903f" origin=",.5" offset="0,.55556mm"/>
                    </v:line>
                  </w:pict>
                </mc:Fallback>
              </mc:AlternateContent>
            </w:r>
          </w:p>
        </w:tc>
        <w:tc>
          <w:tcPr>
            <w:tcW w:w="572" w:type="dxa"/>
            <w:tcBorders>
              <w:left w:val="dashed" w:sz="4" w:space="0" w:color="auto"/>
              <w:right w:val="dashed" w:sz="4" w:space="0" w:color="auto"/>
            </w:tcBorders>
          </w:tcPr>
          <w:p w14:paraId="4A145F90" w14:textId="728B8AA5" w:rsidR="008F101F" w:rsidRPr="006432AB" w:rsidRDefault="008F101F" w:rsidP="002B4CA6">
            <w:pPr>
              <w:rPr>
                <w:rFonts w:eastAsia="Arial" w:cs="Arial"/>
                <w:color w:val="000000"/>
                <w:sz w:val="16"/>
                <w:szCs w:val="16"/>
              </w:rPr>
            </w:pPr>
          </w:p>
        </w:tc>
        <w:tc>
          <w:tcPr>
            <w:tcW w:w="1417" w:type="dxa"/>
            <w:tcBorders>
              <w:left w:val="dashed" w:sz="4" w:space="0" w:color="auto"/>
            </w:tcBorders>
            <w:vAlign w:val="center"/>
          </w:tcPr>
          <w:p w14:paraId="0AA2E6F7" w14:textId="1D98C50F" w:rsidR="008F101F" w:rsidRPr="00E01DA4" w:rsidRDefault="008F101F" w:rsidP="00E01DA4">
            <w:pPr>
              <w:pStyle w:val="Tabletextcentre"/>
            </w:pPr>
            <w:r w:rsidRPr="00E01DA4">
              <w:t>Not Commenced</w:t>
            </w:r>
          </w:p>
        </w:tc>
      </w:tr>
      <w:tr w:rsidR="00B51C7F" w:rsidRPr="005F4A8A" w14:paraId="558B39F2" w14:textId="77777777" w:rsidTr="00C30BED">
        <w:trPr>
          <w:trHeight w:val="616"/>
          <w:jc w:val="center"/>
        </w:trPr>
        <w:tc>
          <w:tcPr>
            <w:tcW w:w="567" w:type="dxa"/>
          </w:tcPr>
          <w:p w14:paraId="157E6E5E" w14:textId="7650221C" w:rsidR="00B51C7F" w:rsidRPr="00D4575A" w:rsidRDefault="00B51C7F" w:rsidP="00E01DA4">
            <w:pPr>
              <w:pStyle w:val="Tabletextleft"/>
            </w:pPr>
            <w:r w:rsidRPr="00D4575A">
              <w:t>2.3</w:t>
            </w:r>
          </w:p>
        </w:tc>
        <w:tc>
          <w:tcPr>
            <w:tcW w:w="5669" w:type="dxa"/>
          </w:tcPr>
          <w:p w14:paraId="394F765B" w14:textId="4116334B" w:rsidR="00B51C7F" w:rsidRPr="00D4575A" w:rsidRDefault="00B51C7F" w:rsidP="00E01DA4">
            <w:pPr>
              <w:pStyle w:val="Tabletextleft"/>
            </w:pPr>
            <w:r w:rsidRPr="00D4575A">
              <w:t>1 January 2030 100% of Commonwealth electricity must be renewable.</w:t>
            </w:r>
          </w:p>
        </w:tc>
        <w:tc>
          <w:tcPr>
            <w:tcW w:w="850" w:type="dxa"/>
            <w:vAlign w:val="center"/>
          </w:tcPr>
          <w:p w14:paraId="725E9A33" w14:textId="3F2CCA6C" w:rsidR="00B51C7F" w:rsidRPr="00D4575A" w:rsidRDefault="00B51C7F" w:rsidP="00C10634">
            <w:pPr>
              <w:pStyle w:val="Tabletextcentre"/>
              <w:rPr>
                <w:lang w:eastAsia="en-AU"/>
              </w:rPr>
            </w:pPr>
            <w:r w:rsidRPr="00D4575A">
              <w:rPr>
                <w:lang w:eastAsia="en-AU"/>
              </w:rPr>
              <w:t>1</w:t>
            </w:r>
          </w:p>
        </w:tc>
        <w:tc>
          <w:tcPr>
            <w:tcW w:w="1133" w:type="dxa"/>
            <w:vAlign w:val="center"/>
          </w:tcPr>
          <w:p w14:paraId="465A2267" w14:textId="77777777" w:rsidR="00B51C7F" w:rsidRPr="00D4575A" w:rsidRDefault="00B51C7F" w:rsidP="00C10634">
            <w:pPr>
              <w:pStyle w:val="Tabletextcentre"/>
              <w:rPr>
                <w:lang w:eastAsia="en-AU"/>
              </w:rPr>
            </w:pPr>
            <w:r w:rsidRPr="00D4575A">
              <w:rPr>
                <w:lang w:eastAsia="en-AU"/>
              </w:rPr>
              <w:t>Impact</w:t>
            </w:r>
          </w:p>
          <w:p w14:paraId="13E9300D" w14:textId="073ACF30" w:rsidR="00B51C7F" w:rsidRPr="00F04259" w:rsidRDefault="00CA5FBF" w:rsidP="00B51C7F">
            <w:pPr>
              <w:jc w:val="center"/>
              <w:rPr>
                <w:rFonts w:eastAsia="Arial" w:cs="Arial"/>
                <w:color w:val="1C4C5A" w:themeColor="accent5" w:themeShade="80"/>
                <w:sz w:val="20"/>
                <w:szCs w:val="20"/>
              </w:rPr>
            </w:pPr>
            <w:r>
              <w:rPr>
                <w:noProof/>
              </w:rPr>
              <w:drawing>
                <wp:inline distT="0" distB="0" distL="0" distR="0" wp14:anchorId="762B1EBB" wp14:editId="014DA747">
                  <wp:extent cx="252000" cy="276707"/>
                  <wp:effectExtent l="0" t="0" r="0" b="0"/>
                  <wp:docPr id="200239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904" name="Picture 1">
                            <a:extLst>
                              <a:ext uri="{C183D7F6-B498-43B3-948B-1728B52AA6E4}">
                                <adec:decorative xmlns:adec="http://schemas.microsoft.com/office/drawing/2017/decorative" val="1"/>
                              </a:ext>
                            </a:extLst>
                          </pic:cNvPr>
                          <pic:cNvPicPr/>
                        </pic:nvPicPr>
                        <pic:blipFill>
                          <a:blip r:embed="rId23"/>
                          <a:stretch>
                            <a:fillRect/>
                          </a:stretch>
                        </pic:blipFill>
                        <pic:spPr>
                          <a:xfrm>
                            <a:off x="0" y="0"/>
                            <a:ext cx="252000" cy="276707"/>
                          </a:xfrm>
                          <a:prstGeom prst="rect">
                            <a:avLst/>
                          </a:prstGeom>
                        </pic:spPr>
                      </pic:pic>
                    </a:graphicData>
                  </a:graphic>
                </wp:inline>
              </w:drawing>
            </w:r>
          </w:p>
        </w:tc>
        <w:tc>
          <w:tcPr>
            <w:tcW w:w="1247" w:type="dxa"/>
            <w:tcBorders>
              <w:right w:val="dashed" w:sz="4" w:space="0" w:color="auto"/>
            </w:tcBorders>
            <w:vAlign w:val="center"/>
          </w:tcPr>
          <w:p w14:paraId="0AAF802D" w14:textId="6916C1D7" w:rsidR="00B51C7F" w:rsidRPr="00E01DA4" w:rsidRDefault="00B51C7F" w:rsidP="00E01DA4">
            <w:pPr>
              <w:pStyle w:val="Tabletextcentre"/>
            </w:pPr>
            <w:r w:rsidRPr="00E01DA4">
              <w:t>Property</w:t>
            </w:r>
          </w:p>
          <w:p w14:paraId="73E5210F" w14:textId="536C9217" w:rsidR="00B51C7F" w:rsidRPr="00E01DA4" w:rsidRDefault="00B51C7F" w:rsidP="00E01DA4">
            <w:pPr>
              <w:pStyle w:val="Tabletextcentre"/>
            </w:pPr>
            <w:r w:rsidRPr="00E01DA4">
              <w:t>Evolve FM</w:t>
            </w:r>
          </w:p>
        </w:tc>
        <w:tc>
          <w:tcPr>
            <w:tcW w:w="572" w:type="dxa"/>
            <w:tcBorders>
              <w:left w:val="dashed" w:sz="4" w:space="0" w:color="auto"/>
              <w:right w:val="dashed" w:sz="4" w:space="0" w:color="auto"/>
            </w:tcBorders>
          </w:tcPr>
          <w:p w14:paraId="38324173" w14:textId="77777777" w:rsidR="00B51C7F" w:rsidRPr="006432AB" w:rsidRDefault="00B51C7F" w:rsidP="00B51C7F">
            <w:pPr>
              <w:rPr>
                <w:rFonts w:eastAsia="Arial" w:cs="Arial"/>
                <w:color w:val="000000"/>
                <w:sz w:val="16"/>
                <w:szCs w:val="16"/>
              </w:rPr>
            </w:pPr>
          </w:p>
        </w:tc>
        <w:tc>
          <w:tcPr>
            <w:tcW w:w="572" w:type="dxa"/>
            <w:tcBorders>
              <w:left w:val="dashed" w:sz="4" w:space="0" w:color="auto"/>
              <w:right w:val="dashed" w:sz="4" w:space="0" w:color="auto"/>
            </w:tcBorders>
          </w:tcPr>
          <w:p w14:paraId="7B059C22" w14:textId="77777777" w:rsidR="00B51C7F" w:rsidRPr="006432AB" w:rsidRDefault="00B51C7F" w:rsidP="00B51C7F">
            <w:pPr>
              <w:rPr>
                <w:rFonts w:eastAsia="Arial" w:cs="Arial"/>
                <w:color w:val="000000"/>
                <w:sz w:val="16"/>
                <w:szCs w:val="16"/>
              </w:rPr>
            </w:pPr>
          </w:p>
        </w:tc>
        <w:tc>
          <w:tcPr>
            <w:tcW w:w="572" w:type="dxa"/>
            <w:tcBorders>
              <w:left w:val="dashed" w:sz="4" w:space="0" w:color="auto"/>
              <w:right w:val="dashed" w:sz="4" w:space="0" w:color="auto"/>
            </w:tcBorders>
          </w:tcPr>
          <w:p w14:paraId="2143CFDF" w14:textId="77777777" w:rsidR="00B51C7F" w:rsidRPr="006432AB" w:rsidRDefault="00B51C7F" w:rsidP="00B51C7F">
            <w:pPr>
              <w:rPr>
                <w:rFonts w:eastAsia="Arial" w:cs="Arial"/>
                <w:color w:val="000000"/>
                <w:sz w:val="16"/>
                <w:szCs w:val="16"/>
              </w:rPr>
            </w:pPr>
          </w:p>
        </w:tc>
        <w:tc>
          <w:tcPr>
            <w:tcW w:w="572" w:type="dxa"/>
            <w:tcBorders>
              <w:left w:val="dashed" w:sz="4" w:space="0" w:color="auto"/>
              <w:right w:val="dashed" w:sz="4" w:space="0" w:color="auto"/>
            </w:tcBorders>
          </w:tcPr>
          <w:p w14:paraId="418A59E1" w14:textId="77777777" w:rsidR="00B51C7F" w:rsidRPr="006432AB" w:rsidRDefault="00B51C7F" w:rsidP="00B51C7F">
            <w:pPr>
              <w:rPr>
                <w:rFonts w:eastAsia="Arial" w:cs="Arial"/>
                <w:color w:val="000000"/>
                <w:sz w:val="16"/>
                <w:szCs w:val="16"/>
              </w:rPr>
            </w:pPr>
          </w:p>
        </w:tc>
        <w:tc>
          <w:tcPr>
            <w:tcW w:w="572" w:type="dxa"/>
            <w:tcBorders>
              <w:left w:val="dashed" w:sz="4" w:space="0" w:color="auto"/>
              <w:right w:val="dashed" w:sz="4" w:space="0" w:color="auto"/>
            </w:tcBorders>
          </w:tcPr>
          <w:p w14:paraId="73A6EB98" w14:textId="674DADFD" w:rsidR="00B51C7F" w:rsidRPr="00354039" w:rsidRDefault="009D62FA" w:rsidP="002D5D83">
            <w:pPr>
              <w:rPr>
                <w:rFonts w:eastAsia="Arial"/>
              </w:rPr>
            </w:pPr>
            <w:r w:rsidRPr="00354039">
              <w:rPr>
                <w:rFonts w:eastAsia="Arial"/>
              </w:rPr>
              <mc:AlternateContent>
                <mc:Choice Requires="wps">
                  <w:drawing>
                    <wp:anchor distT="0" distB="0" distL="114300" distR="114300" simplePos="0" relativeHeight="251658254" behindDoc="0" locked="0" layoutInCell="1" allowOverlap="1" wp14:anchorId="2E06685E" wp14:editId="0B1E5DC0">
                      <wp:simplePos x="0" y="0"/>
                      <wp:positionH relativeFrom="column">
                        <wp:posOffset>287655</wp:posOffset>
                      </wp:positionH>
                      <wp:positionV relativeFrom="paragraph">
                        <wp:posOffset>304165</wp:posOffset>
                      </wp:positionV>
                      <wp:extent cx="368935" cy="0"/>
                      <wp:effectExtent l="38100" t="38100" r="69215" b="95250"/>
                      <wp:wrapNone/>
                      <wp:docPr id="196042816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6893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B67E8" id="Straight Connector 1" o:spid="_x0000_s1026" alt="&quot;&quot;" style="position:absolute;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23.95pt" to="51.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" strokecolor="#358189 [3205]" strokeweight="2pt">
                      <v:shadow on="t" color="black" opacity="24903f" origin=",.5" offset="0,.55556mm"/>
                    </v:line>
                  </w:pict>
                </mc:Fallback>
              </mc:AlternateContent>
            </w:r>
          </w:p>
        </w:tc>
        <w:tc>
          <w:tcPr>
            <w:tcW w:w="572" w:type="dxa"/>
            <w:tcBorders>
              <w:left w:val="dashed" w:sz="4" w:space="0" w:color="auto"/>
              <w:right w:val="dashed" w:sz="4" w:space="0" w:color="auto"/>
            </w:tcBorders>
          </w:tcPr>
          <w:p w14:paraId="65A924C5" w14:textId="7F4E8C49" w:rsidR="00B51C7F" w:rsidRPr="006432AB" w:rsidRDefault="00B51C7F" w:rsidP="00B51C7F">
            <w:pPr>
              <w:rPr>
                <w:rFonts w:eastAsia="Arial" w:cs="Arial"/>
                <w:color w:val="000000"/>
                <w:sz w:val="16"/>
                <w:szCs w:val="16"/>
              </w:rPr>
            </w:pPr>
          </w:p>
        </w:tc>
        <w:tc>
          <w:tcPr>
            <w:tcW w:w="1417" w:type="dxa"/>
            <w:tcBorders>
              <w:left w:val="dashed" w:sz="4" w:space="0" w:color="auto"/>
            </w:tcBorders>
            <w:vAlign w:val="center"/>
          </w:tcPr>
          <w:p w14:paraId="24F491D4" w14:textId="0DA019DD" w:rsidR="00B51C7F" w:rsidRPr="00E01DA4" w:rsidRDefault="00B51C7F" w:rsidP="00E01DA4">
            <w:pPr>
              <w:pStyle w:val="Tabletextcentre"/>
            </w:pPr>
            <w:r w:rsidRPr="00E01DA4">
              <w:t>Not Commenced</w:t>
            </w:r>
          </w:p>
        </w:tc>
      </w:tr>
    </w:tbl>
    <w:p w14:paraId="24D660D3" w14:textId="14D3881E" w:rsidR="0036188E" w:rsidRDefault="0036188E"/>
    <w:p w14:paraId="20AEED4B" w14:textId="0F274B63" w:rsidR="0036188E" w:rsidRDefault="0036188E">
      <w:pPr>
        <w:sectPr w:rsidR="0036188E" w:rsidSect="007D5ECC">
          <w:pgSz w:w="16838" w:h="11906" w:orient="landscape"/>
          <w:pgMar w:top="1418" w:right="1701" w:bottom="1418" w:left="1418" w:header="709" w:footer="709" w:gutter="0"/>
          <w:cols w:space="708"/>
          <w:docGrid w:linePitch="360"/>
        </w:sectPr>
      </w:pPr>
    </w:p>
    <w:tbl>
      <w:tblPr>
        <w:tblStyle w:val="TableGrid"/>
        <w:tblW w:w="1431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64"/>
        <w:gridCol w:w="5451"/>
        <w:gridCol w:w="845"/>
        <w:gridCol w:w="1127"/>
        <w:gridCol w:w="1229"/>
        <w:gridCol w:w="617"/>
        <w:gridCol w:w="617"/>
        <w:gridCol w:w="617"/>
        <w:gridCol w:w="617"/>
        <w:gridCol w:w="617"/>
        <w:gridCol w:w="617"/>
        <w:gridCol w:w="1397"/>
      </w:tblGrid>
      <w:tr w:rsidR="00B51C7F" w:rsidRPr="00C047BB" w14:paraId="4A99D59B" w14:textId="77777777" w:rsidTr="00AE4224">
        <w:trPr>
          <w:cnfStyle w:val="100000000000" w:firstRow="1" w:lastRow="0" w:firstColumn="0" w:lastColumn="0" w:oddVBand="0" w:evenVBand="0" w:oddHBand="0" w:evenHBand="0" w:firstRowFirstColumn="0" w:firstRowLastColumn="0" w:lastRowFirstColumn="0" w:lastRowLastColumn="0"/>
          <w:tblHeader/>
          <w:jc w:val="center"/>
        </w:trPr>
        <w:tc>
          <w:tcPr>
            <w:tcW w:w="564" w:type="dxa"/>
            <w:shd w:val="clear" w:color="auto" w:fill="D9D9D9" w:themeFill="background1" w:themeFillShade="D9"/>
            <w:vAlign w:val="center"/>
          </w:tcPr>
          <w:p w14:paraId="59326502" w14:textId="69CBA012" w:rsidR="00B51C7F" w:rsidRPr="00D4575A" w:rsidRDefault="0045236F" w:rsidP="00D4575A">
            <w:pPr>
              <w:pStyle w:val="TableHeader"/>
            </w:pPr>
            <w:r w:rsidRPr="00D4575A">
              <w:lastRenderedPageBreak/>
              <w:t>#</w:t>
            </w:r>
          </w:p>
        </w:tc>
        <w:tc>
          <w:tcPr>
            <w:tcW w:w="5451" w:type="dxa"/>
            <w:shd w:val="clear" w:color="auto" w:fill="D9D9D9" w:themeFill="background1" w:themeFillShade="D9"/>
            <w:vAlign w:val="center"/>
          </w:tcPr>
          <w:p w14:paraId="7D59E619" w14:textId="60D52C22" w:rsidR="00B51C7F" w:rsidRPr="00D4575A" w:rsidRDefault="00B51C7F" w:rsidP="00D4575A">
            <w:pPr>
              <w:pStyle w:val="TableHeader"/>
            </w:pPr>
            <w:r w:rsidRPr="00D4575A">
              <w:t>PRIORITY AREA 3: FLEET</w:t>
            </w:r>
          </w:p>
        </w:tc>
        <w:tc>
          <w:tcPr>
            <w:tcW w:w="845" w:type="dxa"/>
            <w:shd w:val="clear" w:color="auto" w:fill="D9D9D9" w:themeFill="background1" w:themeFillShade="D9"/>
            <w:vAlign w:val="center"/>
          </w:tcPr>
          <w:p w14:paraId="5E536616" w14:textId="7CC5323E" w:rsidR="00B51C7F" w:rsidRPr="00D4575A" w:rsidRDefault="00B51C7F" w:rsidP="00D4575A">
            <w:pPr>
              <w:pStyle w:val="TableHeader"/>
            </w:pPr>
            <w:r w:rsidRPr="00D4575A">
              <w:t>Scope</w:t>
            </w:r>
          </w:p>
        </w:tc>
        <w:tc>
          <w:tcPr>
            <w:tcW w:w="1127" w:type="dxa"/>
            <w:shd w:val="clear" w:color="auto" w:fill="D9D9D9" w:themeFill="background1" w:themeFillShade="D9"/>
            <w:vAlign w:val="center"/>
          </w:tcPr>
          <w:p w14:paraId="7CDD4E41" w14:textId="459E208C" w:rsidR="00B51C7F" w:rsidRPr="00D4575A" w:rsidRDefault="00B51C7F" w:rsidP="00D4575A">
            <w:pPr>
              <w:pStyle w:val="TableHeader"/>
            </w:pPr>
            <w:r w:rsidRPr="00D4575A">
              <w:t>Action type</w:t>
            </w:r>
          </w:p>
        </w:tc>
        <w:tc>
          <w:tcPr>
            <w:tcW w:w="1229" w:type="dxa"/>
            <w:tcBorders>
              <w:right w:val="dashed" w:sz="4" w:space="0" w:color="auto"/>
            </w:tcBorders>
            <w:shd w:val="clear" w:color="auto" w:fill="D9D9D9" w:themeFill="background1" w:themeFillShade="D9"/>
            <w:vAlign w:val="center"/>
          </w:tcPr>
          <w:p w14:paraId="51101982" w14:textId="77777777" w:rsidR="00B51C7F" w:rsidRPr="00D4575A" w:rsidRDefault="00B51C7F" w:rsidP="00D4575A">
            <w:pPr>
              <w:pStyle w:val="TableHeader"/>
            </w:pPr>
            <w:r w:rsidRPr="00D4575A">
              <w:t>Owner</w:t>
            </w:r>
          </w:p>
        </w:tc>
        <w:tc>
          <w:tcPr>
            <w:tcW w:w="617" w:type="dxa"/>
            <w:tcBorders>
              <w:left w:val="dashed" w:sz="4" w:space="0" w:color="auto"/>
              <w:right w:val="dashed" w:sz="4" w:space="0" w:color="auto"/>
            </w:tcBorders>
            <w:shd w:val="clear" w:color="auto" w:fill="D9D9D9" w:themeFill="background1" w:themeFillShade="D9"/>
            <w:vAlign w:val="center"/>
          </w:tcPr>
          <w:p w14:paraId="71AF80D7" w14:textId="77777777" w:rsidR="00B51C7F" w:rsidRPr="00D4575A" w:rsidRDefault="00B51C7F" w:rsidP="00D4575A">
            <w:pPr>
              <w:pStyle w:val="TableHeader"/>
            </w:pPr>
            <w:r w:rsidRPr="00D4575A">
              <w:t>2024</w:t>
            </w:r>
          </w:p>
        </w:tc>
        <w:tc>
          <w:tcPr>
            <w:tcW w:w="617" w:type="dxa"/>
            <w:tcBorders>
              <w:left w:val="dashed" w:sz="4" w:space="0" w:color="auto"/>
              <w:right w:val="dashed" w:sz="4" w:space="0" w:color="auto"/>
            </w:tcBorders>
            <w:shd w:val="clear" w:color="auto" w:fill="D9D9D9" w:themeFill="background1" w:themeFillShade="D9"/>
            <w:vAlign w:val="center"/>
          </w:tcPr>
          <w:p w14:paraId="74EEB888" w14:textId="77777777" w:rsidR="00B51C7F" w:rsidRPr="00D4575A" w:rsidRDefault="00B51C7F" w:rsidP="00D4575A">
            <w:pPr>
              <w:pStyle w:val="TableHeader"/>
            </w:pPr>
            <w:r w:rsidRPr="00D4575A">
              <w:t>2025</w:t>
            </w:r>
          </w:p>
        </w:tc>
        <w:tc>
          <w:tcPr>
            <w:tcW w:w="617" w:type="dxa"/>
            <w:tcBorders>
              <w:left w:val="dashed" w:sz="4" w:space="0" w:color="auto"/>
              <w:right w:val="dashed" w:sz="4" w:space="0" w:color="auto"/>
            </w:tcBorders>
            <w:shd w:val="clear" w:color="auto" w:fill="D9D9D9" w:themeFill="background1" w:themeFillShade="D9"/>
            <w:vAlign w:val="center"/>
          </w:tcPr>
          <w:p w14:paraId="052A2023" w14:textId="77777777" w:rsidR="00B51C7F" w:rsidRPr="00D4575A" w:rsidRDefault="00B51C7F" w:rsidP="00D4575A">
            <w:pPr>
              <w:pStyle w:val="TableHeader"/>
            </w:pPr>
            <w:r w:rsidRPr="00D4575A">
              <w:t>2026</w:t>
            </w:r>
          </w:p>
        </w:tc>
        <w:tc>
          <w:tcPr>
            <w:tcW w:w="617" w:type="dxa"/>
            <w:tcBorders>
              <w:left w:val="dashed" w:sz="4" w:space="0" w:color="auto"/>
              <w:right w:val="dashed" w:sz="4" w:space="0" w:color="auto"/>
            </w:tcBorders>
            <w:shd w:val="clear" w:color="auto" w:fill="D9D9D9" w:themeFill="background1" w:themeFillShade="D9"/>
            <w:vAlign w:val="center"/>
          </w:tcPr>
          <w:p w14:paraId="3C1F9364" w14:textId="77777777" w:rsidR="00B51C7F" w:rsidRPr="00D4575A" w:rsidRDefault="00B51C7F" w:rsidP="00D4575A">
            <w:pPr>
              <w:pStyle w:val="TableHeader"/>
            </w:pPr>
            <w:r w:rsidRPr="00D4575A">
              <w:t>2027</w:t>
            </w:r>
          </w:p>
        </w:tc>
        <w:tc>
          <w:tcPr>
            <w:tcW w:w="617" w:type="dxa"/>
            <w:tcBorders>
              <w:left w:val="dashed" w:sz="4" w:space="0" w:color="auto"/>
              <w:right w:val="dashed" w:sz="4" w:space="0" w:color="auto"/>
            </w:tcBorders>
            <w:shd w:val="clear" w:color="auto" w:fill="D9D9D9" w:themeFill="background1" w:themeFillShade="D9"/>
            <w:vAlign w:val="center"/>
          </w:tcPr>
          <w:p w14:paraId="22663168" w14:textId="77777777" w:rsidR="00B51C7F" w:rsidRPr="00D4575A" w:rsidRDefault="00B51C7F" w:rsidP="00D4575A">
            <w:pPr>
              <w:pStyle w:val="TableHeader"/>
            </w:pPr>
            <w:r w:rsidRPr="00D4575A">
              <w:t>2028</w:t>
            </w:r>
          </w:p>
        </w:tc>
        <w:tc>
          <w:tcPr>
            <w:tcW w:w="617" w:type="dxa"/>
            <w:tcBorders>
              <w:left w:val="dashed" w:sz="4" w:space="0" w:color="auto"/>
              <w:right w:val="dashed" w:sz="4" w:space="0" w:color="auto"/>
            </w:tcBorders>
            <w:shd w:val="clear" w:color="auto" w:fill="D9D9D9" w:themeFill="background1" w:themeFillShade="D9"/>
            <w:vAlign w:val="center"/>
          </w:tcPr>
          <w:p w14:paraId="45822099" w14:textId="77777777" w:rsidR="00B51C7F" w:rsidRPr="00D4575A" w:rsidRDefault="00B51C7F" w:rsidP="00D4575A">
            <w:pPr>
              <w:pStyle w:val="TableHeader"/>
            </w:pPr>
            <w:r w:rsidRPr="00D4575A">
              <w:t>2029</w:t>
            </w:r>
          </w:p>
        </w:tc>
        <w:tc>
          <w:tcPr>
            <w:tcW w:w="1397" w:type="dxa"/>
            <w:tcBorders>
              <w:left w:val="dashed" w:sz="4" w:space="0" w:color="auto"/>
            </w:tcBorders>
            <w:shd w:val="clear" w:color="auto" w:fill="D9D9D9" w:themeFill="background1" w:themeFillShade="D9"/>
          </w:tcPr>
          <w:p w14:paraId="2C2961CE" w14:textId="77777777" w:rsidR="00B51C7F" w:rsidRPr="00D4575A" w:rsidRDefault="00B51C7F" w:rsidP="00D4575A">
            <w:pPr>
              <w:pStyle w:val="TableHeader"/>
            </w:pPr>
            <w:r w:rsidRPr="00D4575A">
              <w:t>Status</w:t>
            </w:r>
          </w:p>
        </w:tc>
      </w:tr>
      <w:tr w:rsidR="00B51C7F" w:rsidRPr="005F4A8A" w14:paraId="4FE00B00" w14:textId="77777777" w:rsidTr="00AE4224">
        <w:trPr>
          <w:jc w:val="center"/>
        </w:trPr>
        <w:tc>
          <w:tcPr>
            <w:tcW w:w="564" w:type="dxa"/>
          </w:tcPr>
          <w:p w14:paraId="0AA476E0" w14:textId="5C3787BB" w:rsidR="00B51C7F" w:rsidRPr="00D4575A" w:rsidRDefault="00B51C7F" w:rsidP="00E01DA4">
            <w:pPr>
              <w:pStyle w:val="Tabletextleft"/>
            </w:pPr>
            <w:r w:rsidRPr="00D4575A">
              <w:t>3.1</w:t>
            </w:r>
          </w:p>
        </w:tc>
        <w:tc>
          <w:tcPr>
            <w:tcW w:w="5451" w:type="dxa"/>
          </w:tcPr>
          <w:p w14:paraId="291F1932" w14:textId="20BFD0D3" w:rsidR="00B51C7F" w:rsidRPr="00D4575A" w:rsidRDefault="00B51C7F" w:rsidP="00E01DA4">
            <w:pPr>
              <w:pStyle w:val="Tabletextleft"/>
            </w:pPr>
            <w:r w:rsidRPr="00D4575A">
              <w:t>Ensure continued transition of fleet vehicles to no/low emissions vehicles:</w:t>
            </w:r>
            <w:r w:rsidR="00C30BED" w:rsidRPr="00D4575A">
              <w:t xml:space="preserve"> </w:t>
            </w:r>
            <w:r w:rsidR="004859BA" w:rsidRPr="00D4575A">
              <w:t>r</w:t>
            </w:r>
            <w:r w:rsidRPr="00D4575A">
              <w:t>eplace 25% of new fleet orders by 1 July 2023; 50% by 1 July 2024 and 75% by 1 July 2025.</w:t>
            </w:r>
          </w:p>
        </w:tc>
        <w:tc>
          <w:tcPr>
            <w:tcW w:w="845" w:type="dxa"/>
            <w:vAlign w:val="center"/>
          </w:tcPr>
          <w:p w14:paraId="61C68CE1" w14:textId="34256ECF" w:rsidR="00B51C7F" w:rsidRPr="00D4575A" w:rsidRDefault="00B51C7F" w:rsidP="00C10634">
            <w:pPr>
              <w:pStyle w:val="Tabletextcentre"/>
              <w:rPr>
                <w:lang w:eastAsia="en-AU"/>
              </w:rPr>
            </w:pPr>
            <w:r w:rsidRPr="00D4575A">
              <w:rPr>
                <w:lang w:eastAsia="en-AU"/>
              </w:rPr>
              <w:t>1</w:t>
            </w:r>
          </w:p>
        </w:tc>
        <w:tc>
          <w:tcPr>
            <w:tcW w:w="1127" w:type="dxa"/>
            <w:vAlign w:val="center"/>
          </w:tcPr>
          <w:p w14:paraId="29166A02" w14:textId="7162438E" w:rsidR="00B51C7F" w:rsidRPr="00D4575A" w:rsidRDefault="00B51C7F" w:rsidP="00C10634">
            <w:pPr>
              <w:pStyle w:val="Tabletextcentre"/>
              <w:rPr>
                <w:lang w:eastAsia="en-AU"/>
              </w:rPr>
            </w:pPr>
            <w:r w:rsidRPr="00D4575A">
              <w:rPr>
                <w:lang w:eastAsia="en-AU"/>
              </w:rPr>
              <w:t>Impact</w:t>
            </w:r>
          </w:p>
          <w:p w14:paraId="5BED9635" w14:textId="6722CB4A" w:rsidR="00B51C7F" w:rsidRPr="00EC5581" w:rsidRDefault="00CA5FBF">
            <w:pPr>
              <w:jc w:val="center"/>
              <w:rPr>
                <w:rFonts w:eastAsia="Arial" w:cs="Arial"/>
                <w:color w:val="1C4C5A" w:themeColor="accent5" w:themeShade="80"/>
                <w:sz w:val="20"/>
                <w:szCs w:val="20"/>
              </w:rPr>
            </w:pPr>
            <w:r>
              <w:rPr>
                <w:noProof/>
              </w:rPr>
              <w:drawing>
                <wp:inline distT="0" distB="0" distL="0" distR="0" wp14:anchorId="3CDDCC7F" wp14:editId="1B1704AB">
                  <wp:extent cx="252000" cy="276707"/>
                  <wp:effectExtent l="0" t="0" r="0" b="0"/>
                  <wp:docPr id="17830338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33859" name="Picture 1">
                            <a:extLst>
                              <a:ext uri="{C183D7F6-B498-43B3-948B-1728B52AA6E4}">
                                <adec:decorative xmlns:adec="http://schemas.microsoft.com/office/drawing/2017/decorative" val="1"/>
                              </a:ext>
                            </a:extLst>
                          </pic:cNvPr>
                          <pic:cNvPicPr/>
                        </pic:nvPicPr>
                        <pic:blipFill>
                          <a:blip r:embed="rId23"/>
                          <a:stretch>
                            <a:fillRect/>
                          </a:stretch>
                        </pic:blipFill>
                        <pic:spPr>
                          <a:xfrm>
                            <a:off x="0" y="0"/>
                            <a:ext cx="252000" cy="276707"/>
                          </a:xfrm>
                          <a:prstGeom prst="rect">
                            <a:avLst/>
                          </a:prstGeom>
                        </pic:spPr>
                      </pic:pic>
                    </a:graphicData>
                  </a:graphic>
                </wp:inline>
              </w:drawing>
            </w:r>
          </w:p>
        </w:tc>
        <w:tc>
          <w:tcPr>
            <w:tcW w:w="1229" w:type="dxa"/>
            <w:tcBorders>
              <w:right w:val="dashed" w:sz="4" w:space="0" w:color="auto"/>
            </w:tcBorders>
            <w:vAlign w:val="center"/>
          </w:tcPr>
          <w:p w14:paraId="44A85408" w14:textId="33E76871" w:rsidR="00B51C7F" w:rsidRPr="00E01DA4" w:rsidRDefault="00B51C7F" w:rsidP="00E01DA4">
            <w:pPr>
              <w:pStyle w:val="Tabletextcentre"/>
            </w:pPr>
            <w:r w:rsidRPr="00E01DA4">
              <w:t>Vehicles</w:t>
            </w:r>
          </w:p>
        </w:tc>
        <w:tc>
          <w:tcPr>
            <w:tcW w:w="617" w:type="dxa"/>
            <w:tcBorders>
              <w:left w:val="dashed" w:sz="4" w:space="0" w:color="auto"/>
              <w:right w:val="dashed" w:sz="4" w:space="0" w:color="auto"/>
            </w:tcBorders>
          </w:tcPr>
          <w:p w14:paraId="08AC9C83" w14:textId="5AD1BB70" w:rsidR="00B51C7F" w:rsidRPr="00354039" w:rsidRDefault="00B51C7F" w:rsidP="002D5D83">
            <w:pPr>
              <w:rPr>
                <w:rFonts w:eastAsia="Arial"/>
              </w:rPr>
            </w:pPr>
            <w:r w:rsidRPr="00354039">
              <w:rPr>
                <w:rFonts w:eastAsia="Arial"/>
              </w:rPr>
              <mc:AlternateContent>
                <mc:Choice Requires="wps">
                  <w:drawing>
                    <wp:anchor distT="0" distB="0" distL="114300" distR="114300" simplePos="0" relativeHeight="251658251" behindDoc="0" locked="0" layoutInCell="1" allowOverlap="1" wp14:anchorId="0634C7BF" wp14:editId="28FB83FC">
                      <wp:simplePos x="0" y="0"/>
                      <wp:positionH relativeFrom="column">
                        <wp:posOffset>-56515</wp:posOffset>
                      </wp:positionH>
                      <wp:positionV relativeFrom="paragraph">
                        <wp:posOffset>357505</wp:posOffset>
                      </wp:positionV>
                      <wp:extent cx="540000" cy="0"/>
                      <wp:effectExtent l="38100" t="38100" r="69850" b="95250"/>
                      <wp:wrapNone/>
                      <wp:docPr id="120332343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400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396AC" id="Straight Connector 1" o:spid="_x0000_s1026" alt="&quot;&quot;"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8.15pt" to="3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" strokecolor="#358189 [3205]" strokeweight="2pt">
                      <v:shadow on="t" color="black" opacity="24903f" origin=",.5" offset="0,.55556mm"/>
                    </v:line>
                  </w:pict>
                </mc:Fallback>
              </mc:AlternateContent>
            </w:r>
          </w:p>
        </w:tc>
        <w:tc>
          <w:tcPr>
            <w:tcW w:w="617" w:type="dxa"/>
            <w:tcBorders>
              <w:left w:val="dashed" w:sz="4" w:space="0" w:color="auto"/>
              <w:right w:val="dashed" w:sz="4" w:space="0" w:color="auto"/>
            </w:tcBorders>
          </w:tcPr>
          <w:p w14:paraId="60FD0CC1" w14:textId="6C837AD0" w:rsidR="00B51C7F" w:rsidRPr="00354039" w:rsidRDefault="00100824" w:rsidP="002D5D83">
            <w:pPr>
              <w:rPr>
                <w:rFonts w:eastAsia="Arial"/>
              </w:rPr>
            </w:pPr>
            <w:r w:rsidRPr="00354039">
              <w:rPr>
                <w:rFonts w:eastAsia="Arial"/>
              </w:rPr>
              <mc:AlternateContent>
                <mc:Choice Requires="wps">
                  <w:drawing>
                    <wp:anchor distT="0" distB="0" distL="114300" distR="114300" simplePos="0" relativeHeight="251658252" behindDoc="0" locked="0" layoutInCell="1" allowOverlap="1" wp14:anchorId="75373F04" wp14:editId="54033489">
                      <wp:simplePos x="0" y="0"/>
                      <wp:positionH relativeFrom="column">
                        <wp:posOffset>187325</wp:posOffset>
                      </wp:positionH>
                      <wp:positionV relativeFrom="paragraph">
                        <wp:posOffset>367030</wp:posOffset>
                      </wp:positionV>
                      <wp:extent cx="1472045" cy="0"/>
                      <wp:effectExtent l="0" t="0" r="0" b="0"/>
                      <wp:wrapNone/>
                      <wp:docPr id="207142165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472045" cy="0"/>
                              </a:xfrm>
                              <a:prstGeom prst="line">
                                <a:avLst/>
                              </a:prstGeom>
                              <a:ln w="19050"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2BD67" id="Straight Connector 1" o:spid="_x0000_s1026" alt="&quot;&quot;" style="position:absolute;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pt,28.9pt" to="130.6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" strokecolor="#358189 [3205]" strokeweight="1.5pt">
                      <v:stroke dashstyle="dash"/>
                    </v:line>
                  </w:pict>
                </mc:Fallback>
              </mc:AlternateContent>
            </w:r>
          </w:p>
        </w:tc>
        <w:tc>
          <w:tcPr>
            <w:tcW w:w="617" w:type="dxa"/>
            <w:tcBorders>
              <w:left w:val="dashed" w:sz="4" w:space="0" w:color="auto"/>
              <w:right w:val="dashed" w:sz="4" w:space="0" w:color="auto"/>
            </w:tcBorders>
          </w:tcPr>
          <w:p w14:paraId="66DF26AC" w14:textId="77777777" w:rsidR="00B51C7F" w:rsidRPr="006432AB" w:rsidRDefault="00B51C7F">
            <w:pPr>
              <w:rPr>
                <w:rFonts w:eastAsia="Arial" w:cs="Arial"/>
                <w:color w:val="000000"/>
                <w:sz w:val="16"/>
                <w:szCs w:val="16"/>
              </w:rPr>
            </w:pPr>
          </w:p>
        </w:tc>
        <w:tc>
          <w:tcPr>
            <w:tcW w:w="617" w:type="dxa"/>
            <w:tcBorders>
              <w:left w:val="dashed" w:sz="4" w:space="0" w:color="auto"/>
              <w:right w:val="dashed" w:sz="4" w:space="0" w:color="auto"/>
            </w:tcBorders>
          </w:tcPr>
          <w:p w14:paraId="19DB772B" w14:textId="50DAEA94" w:rsidR="00B51C7F" w:rsidRPr="006432AB" w:rsidRDefault="00B51C7F">
            <w:pPr>
              <w:rPr>
                <w:rFonts w:eastAsia="Arial" w:cs="Arial"/>
                <w:color w:val="000000"/>
                <w:sz w:val="16"/>
                <w:szCs w:val="16"/>
              </w:rPr>
            </w:pPr>
          </w:p>
        </w:tc>
        <w:tc>
          <w:tcPr>
            <w:tcW w:w="617" w:type="dxa"/>
            <w:tcBorders>
              <w:left w:val="dashed" w:sz="4" w:space="0" w:color="auto"/>
              <w:right w:val="dashed" w:sz="4" w:space="0" w:color="auto"/>
            </w:tcBorders>
          </w:tcPr>
          <w:p w14:paraId="13776891" w14:textId="5B295B41" w:rsidR="00B51C7F" w:rsidRPr="006432AB" w:rsidRDefault="00B51C7F">
            <w:pPr>
              <w:rPr>
                <w:rFonts w:eastAsia="Arial" w:cs="Arial"/>
                <w:color w:val="000000"/>
                <w:sz w:val="16"/>
                <w:szCs w:val="16"/>
              </w:rPr>
            </w:pPr>
          </w:p>
        </w:tc>
        <w:tc>
          <w:tcPr>
            <w:tcW w:w="617" w:type="dxa"/>
            <w:tcBorders>
              <w:left w:val="dashed" w:sz="4" w:space="0" w:color="auto"/>
              <w:right w:val="dashed" w:sz="4" w:space="0" w:color="auto"/>
            </w:tcBorders>
          </w:tcPr>
          <w:p w14:paraId="66F34223" w14:textId="5C6995D3" w:rsidR="00B51C7F" w:rsidRPr="006432AB" w:rsidRDefault="00B51C7F">
            <w:pPr>
              <w:rPr>
                <w:rFonts w:eastAsia="Arial" w:cs="Arial"/>
                <w:color w:val="000000"/>
                <w:sz w:val="16"/>
                <w:szCs w:val="16"/>
              </w:rPr>
            </w:pPr>
          </w:p>
        </w:tc>
        <w:tc>
          <w:tcPr>
            <w:tcW w:w="1397" w:type="dxa"/>
            <w:tcBorders>
              <w:left w:val="dashed" w:sz="4" w:space="0" w:color="auto"/>
            </w:tcBorders>
            <w:vAlign w:val="center"/>
          </w:tcPr>
          <w:p w14:paraId="1D3D3326" w14:textId="138B340B" w:rsidR="00B51C7F" w:rsidRPr="00E01DA4" w:rsidRDefault="00EF7B65" w:rsidP="00E01DA4">
            <w:pPr>
              <w:pStyle w:val="Tabletextcentre"/>
            </w:pPr>
            <w:r w:rsidRPr="00E01DA4">
              <w:t>Met</w:t>
            </w:r>
          </w:p>
        </w:tc>
      </w:tr>
      <w:tr w:rsidR="00B51C7F" w:rsidRPr="005F4A8A" w14:paraId="05E40CED" w14:textId="77777777" w:rsidTr="00AE4224">
        <w:trPr>
          <w:jc w:val="center"/>
        </w:trPr>
        <w:tc>
          <w:tcPr>
            <w:tcW w:w="564" w:type="dxa"/>
          </w:tcPr>
          <w:p w14:paraId="6112E2CE" w14:textId="2D5B11D2" w:rsidR="00B51C7F" w:rsidRPr="00D4575A" w:rsidRDefault="00B51C7F" w:rsidP="00E01DA4">
            <w:pPr>
              <w:pStyle w:val="Tabletextleft"/>
            </w:pPr>
            <w:r w:rsidRPr="00D4575A">
              <w:t>3.2</w:t>
            </w:r>
          </w:p>
        </w:tc>
        <w:tc>
          <w:tcPr>
            <w:tcW w:w="5451" w:type="dxa"/>
          </w:tcPr>
          <w:p w14:paraId="78CE1AC4" w14:textId="1E2FDE96" w:rsidR="009B262A" w:rsidRPr="00D4575A" w:rsidRDefault="00B51C7F" w:rsidP="00E01DA4">
            <w:pPr>
              <w:pStyle w:val="Tabletextleft"/>
            </w:pPr>
            <w:r w:rsidRPr="00D4575A">
              <w:t>Continue to review annual fleet and fuel data to monitor fleet utilisation and performance to identify opportunities for fleet optimisation.</w:t>
            </w:r>
            <w:r w:rsidR="00244F53" w:rsidRPr="00D4575A">
              <w:t xml:space="preserve"> </w:t>
            </w:r>
            <w:r w:rsidR="009B262A" w:rsidRPr="00DF3147">
              <w:rPr>
                <w:rStyle w:val="TabletextemphasisChar"/>
              </w:rPr>
              <w:t>Full LEV transition is encouraged.</w:t>
            </w:r>
          </w:p>
        </w:tc>
        <w:tc>
          <w:tcPr>
            <w:tcW w:w="845" w:type="dxa"/>
            <w:vAlign w:val="center"/>
          </w:tcPr>
          <w:p w14:paraId="5B76266C" w14:textId="7D8511A5" w:rsidR="00B51C7F" w:rsidRPr="00D4575A" w:rsidRDefault="00FF42F5" w:rsidP="00C10634">
            <w:pPr>
              <w:pStyle w:val="Tabletextcentre"/>
              <w:rPr>
                <w:lang w:eastAsia="en-AU"/>
              </w:rPr>
            </w:pPr>
            <w:r w:rsidRPr="00D4575A">
              <w:rPr>
                <w:lang w:eastAsia="en-AU"/>
              </w:rPr>
              <w:t>1</w:t>
            </w:r>
          </w:p>
        </w:tc>
        <w:tc>
          <w:tcPr>
            <w:tcW w:w="1127" w:type="dxa"/>
            <w:vAlign w:val="center"/>
          </w:tcPr>
          <w:p w14:paraId="4F295389" w14:textId="2F5B4516" w:rsidR="00B51C7F" w:rsidRPr="00D4575A" w:rsidRDefault="00B51C7F" w:rsidP="00C10634">
            <w:pPr>
              <w:pStyle w:val="Tabletextcentre"/>
              <w:rPr>
                <w:lang w:eastAsia="en-AU"/>
              </w:rPr>
            </w:pPr>
            <w:r w:rsidRPr="00D4575A">
              <w:rPr>
                <w:lang w:eastAsia="en-AU"/>
              </w:rPr>
              <w:t>Innovate</w:t>
            </w:r>
          </w:p>
          <w:p w14:paraId="294F5A9B" w14:textId="5A6DBA85" w:rsidR="00B51C7F" w:rsidRPr="00EC5581" w:rsidRDefault="00CA5FBF" w:rsidP="00DA3362">
            <w:pPr>
              <w:jc w:val="center"/>
              <w:rPr>
                <w:rFonts w:ascii="Segoe UI Emoji" w:hAnsi="Segoe UI Emoji" w:cs="Segoe UI Emoji"/>
                <w:b/>
                <w:bCs/>
                <w:color w:val="1C4C5A" w:themeColor="accent5" w:themeShade="80"/>
                <w:sz w:val="20"/>
                <w:szCs w:val="20"/>
                <w:lang w:eastAsia="en-AU"/>
              </w:rPr>
            </w:pPr>
            <w:r>
              <w:rPr>
                <w:noProof/>
              </w:rPr>
              <w:drawing>
                <wp:inline distT="0" distB="0" distL="0" distR="0" wp14:anchorId="3E996851" wp14:editId="5D1ADE99">
                  <wp:extent cx="288000" cy="219224"/>
                  <wp:effectExtent l="0" t="0" r="0" b="0"/>
                  <wp:docPr id="18992721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72190" name="Picture 1">
                            <a:extLst>
                              <a:ext uri="{C183D7F6-B498-43B3-948B-1728B52AA6E4}">
                                <adec:decorative xmlns:adec="http://schemas.microsoft.com/office/drawing/2017/decorative" val="1"/>
                              </a:ext>
                            </a:extLst>
                          </pic:cNvPr>
                          <pic:cNvPicPr/>
                        </pic:nvPicPr>
                        <pic:blipFill>
                          <a:blip r:embed="rId24"/>
                          <a:stretch>
                            <a:fillRect/>
                          </a:stretch>
                        </pic:blipFill>
                        <pic:spPr>
                          <a:xfrm>
                            <a:off x="0" y="0"/>
                            <a:ext cx="288000" cy="219224"/>
                          </a:xfrm>
                          <a:prstGeom prst="rect">
                            <a:avLst/>
                          </a:prstGeom>
                        </pic:spPr>
                      </pic:pic>
                    </a:graphicData>
                  </a:graphic>
                </wp:inline>
              </w:drawing>
            </w:r>
          </w:p>
        </w:tc>
        <w:tc>
          <w:tcPr>
            <w:tcW w:w="1229" w:type="dxa"/>
            <w:tcBorders>
              <w:right w:val="dashed" w:sz="4" w:space="0" w:color="auto"/>
            </w:tcBorders>
            <w:vAlign w:val="center"/>
          </w:tcPr>
          <w:p w14:paraId="6453B9C8" w14:textId="31D93989" w:rsidR="00B51C7F" w:rsidRPr="00E01DA4" w:rsidRDefault="00B51C7F" w:rsidP="00E01DA4">
            <w:pPr>
              <w:pStyle w:val="Tabletextcentre"/>
            </w:pPr>
            <w:r w:rsidRPr="00E01DA4">
              <w:t>Vehicles</w:t>
            </w:r>
          </w:p>
        </w:tc>
        <w:tc>
          <w:tcPr>
            <w:tcW w:w="617" w:type="dxa"/>
            <w:tcBorders>
              <w:left w:val="dashed" w:sz="4" w:space="0" w:color="auto"/>
              <w:right w:val="dashed" w:sz="4" w:space="0" w:color="auto"/>
            </w:tcBorders>
          </w:tcPr>
          <w:p w14:paraId="7B0B26D0" w14:textId="4CA0BB85" w:rsidR="00B51C7F" w:rsidRPr="00354039" w:rsidRDefault="00B51C7F" w:rsidP="002D5D83">
            <w:pPr>
              <w:rPr>
                <w:rFonts w:eastAsia="Arial"/>
              </w:rPr>
            </w:pPr>
            <w:r w:rsidRPr="00354039">
              <w:rPr>
                <w:rFonts w:eastAsia="Arial"/>
              </w:rPr>
              <mc:AlternateContent>
                <mc:Choice Requires="wps">
                  <w:drawing>
                    <wp:anchor distT="0" distB="0" distL="114300" distR="114300" simplePos="0" relativeHeight="251658248" behindDoc="0" locked="0" layoutInCell="1" allowOverlap="1" wp14:anchorId="4D46BC53" wp14:editId="1A034B61">
                      <wp:simplePos x="0" y="0"/>
                      <wp:positionH relativeFrom="column">
                        <wp:posOffset>110490</wp:posOffset>
                      </wp:positionH>
                      <wp:positionV relativeFrom="paragraph">
                        <wp:posOffset>317500</wp:posOffset>
                      </wp:positionV>
                      <wp:extent cx="1944000" cy="0"/>
                      <wp:effectExtent l="38100" t="38100" r="75565" b="95250"/>
                      <wp:wrapNone/>
                      <wp:docPr id="114920050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440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52B9C" id="Straight Connector 1" o:spid="_x0000_s1026" alt="&quot;&quot;"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25pt" to="161.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" strokecolor="#358189 [3205]" strokeweight="2pt">
                      <v:shadow on="t" color="black" opacity="24903f" origin=",.5" offset="0,.55556mm"/>
                    </v:line>
                  </w:pict>
                </mc:Fallback>
              </mc:AlternateContent>
            </w:r>
          </w:p>
        </w:tc>
        <w:tc>
          <w:tcPr>
            <w:tcW w:w="617" w:type="dxa"/>
            <w:tcBorders>
              <w:left w:val="dashed" w:sz="4" w:space="0" w:color="auto"/>
              <w:right w:val="dashed" w:sz="4" w:space="0" w:color="auto"/>
            </w:tcBorders>
          </w:tcPr>
          <w:p w14:paraId="75DCEEBF" w14:textId="77777777" w:rsidR="00B51C7F" w:rsidRPr="006432AB" w:rsidRDefault="00B51C7F" w:rsidP="00DA3362">
            <w:pPr>
              <w:rPr>
                <w:rFonts w:eastAsia="Arial" w:cs="Arial"/>
                <w:color w:val="000000"/>
                <w:sz w:val="16"/>
                <w:szCs w:val="16"/>
              </w:rPr>
            </w:pPr>
          </w:p>
        </w:tc>
        <w:tc>
          <w:tcPr>
            <w:tcW w:w="617" w:type="dxa"/>
            <w:tcBorders>
              <w:left w:val="dashed" w:sz="4" w:space="0" w:color="auto"/>
              <w:right w:val="dashed" w:sz="4" w:space="0" w:color="auto"/>
            </w:tcBorders>
          </w:tcPr>
          <w:p w14:paraId="37C018E3" w14:textId="6DE681D1" w:rsidR="00B51C7F" w:rsidRPr="006432AB" w:rsidRDefault="00B51C7F" w:rsidP="00DA3362">
            <w:pPr>
              <w:rPr>
                <w:rFonts w:eastAsia="Arial" w:cs="Arial"/>
                <w:noProof/>
                <w:color w:val="000000"/>
                <w:sz w:val="16"/>
                <w:szCs w:val="16"/>
              </w:rPr>
            </w:pPr>
          </w:p>
        </w:tc>
        <w:tc>
          <w:tcPr>
            <w:tcW w:w="617" w:type="dxa"/>
            <w:tcBorders>
              <w:left w:val="dashed" w:sz="4" w:space="0" w:color="auto"/>
              <w:right w:val="dashed" w:sz="4" w:space="0" w:color="auto"/>
            </w:tcBorders>
          </w:tcPr>
          <w:p w14:paraId="5F878DE9" w14:textId="31EB5155" w:rsidR="00B51C7F" w:rsidRPr="006432AB" w:rsidRDefault="00B51C7F" w:rsidP="00DA3362">
            <w:pPr>
              <w:rPr>
                <w:rFonts w:eastAsia="Arial" w:cs="Arial"/>
                <w:color w:val="000000"/>
                <w:sz w:val="16"/>
                <w:szCs w:val="16"/>
              </w:rPr>
            </w:pPr>
          </w:p>
        </w:tc>
        <w:tc>
          <w:tcPr>
            <w:tcW w:w="617" w:type="dxa"/>
            <w:tcBorders>
              <w:left w:val="dashed" w:sz="4" w:space="0" w:color="auto"/>
              <w:right w:val="dashed" w:sz="4" w:space="0" w:color="auto"/>
            </w:tcBorders>
          </w:tcPr>
          <w:p w14:paraId="6E5C0E7D" w14:textId="04C0DB00" w:rsidR="00B51C7F" w:rsidRPr="006432AB" w:rsidRDefault="00B51C7F" w:rsidP="00DA3362">
            <w:pPr>
              <w:rPr>
                <w:rFonts w:eastAsia="Arial" w:cs="Arial"/>
                <w:color w:val="000000"/>
                <w:sz w:val="16"/>
                <w:szCs w:val="16"/>
              </w:rPr>
            </w:pPr>
          </w:p>
        </w:tc>
        <w:tc>
          <w:tcPr>
            <w:tcW w:w="617" w:type="dxa"/>
            <w:tcBorders>
              <w:left w:val="dashed" w:sz="4" w:space="0" w:color="auto"/>
              <w:right w:val="dashed" w:sz="4" w:space="0" w:color="auto"/>
            </w:tcBorders>
          </w:tcPr>
          <w:p w14:paraId="5CA4D25C" w14:textId="77777777" w:rsidR="00B51C7F" w:rsidRPr="006432AB" w:rsidRDefault="00B51C7F" w:rsidP="00DA3362">
            <w:pPr>
              <w:rPr>
                <w:rFonts w:eastAsia="Arial" w:cs="Arial"/>
                <w:color w:val="000000"/>
                <w:sz w:val="16"/>
                <w:szCs w:val="16"/>
              </w:rPr>
            </w:pPr>
          </w:p>
        </w:tc>
        <w:tc>
          <w:tcPr>
            <w:tcW w:w="1397" w:type="dxa"/>
            <w:tcBorders>
              <w:left w:val="dashed" w:sz="4" w:space="0" w:color="auto"/>
            </w:tcBorders>
            <w:vAlign w:val="center"/>
          </w:tcPr>
          <w:p w14:paraId="3A27047D" w14:textId="77777777" w:rsidR="00B51C7F" w:rsidRPr="00E01DA4" w:rsidRDefault="00B51C7F" w:rsidP="00E01DA4">
            <w:pPr>
              <w:pStyle w:val="Tabletextcentre"/>
            </w:pPr>
            <w:r w:rsidRPr="00E01DA4">
              <w:t>Underway</w:t>
            </w:r>
          </w:p>
        </w:tc>
      </w:tr>
      <w:tr w:rsidR="00B51C7F" w:rsidRPr="005F4A8A" w14:paraId="5F6CC762" w14:textId="77777777" w:rsidTr="00AE4224">
        <w:trPr>
          <w:trHeight w:val="616"/>
          <w:jc w:val="center"/>
        </w:trPr>
        <w:tc>
          <w:tcPr>
            <w:tcW w:w="564" w:type="dxa"/>
          </w:tcPr>
          <w:p w14:paraId="18D08796" w14:textId="152B6940" w:rsidR="00B51C7F" w:rsidRPr="00D4575A" w:rsidRDefault="00B51C7F" w:rsidP="00E01DA4">
            <w:pPr>
              <w:pStyle w:val="Tabletextleft"/>
            </w:pPr>
            <w:r w:rsidRPr="00D4575A">
              <w:t>3.3</w:t>
            </w:r>
          </w:p>
        </w:tc>
        <w:tc>
          <w:tcPr>
            <w:tcW w:w="5451" w:type="dxa"/>
          </w:tcPr>
          <w:p w14:paraId="347F84EA" w14:textId="77777777" w:rsidR="00B51C7F" w:rsidRPr="00D4575A" w:rsidRDefault="00B51C7F" w:rsidP="00E01DA4">
            <w:pPr>
              <w:pStyle w:val="Tabletextleft"/>
            </w:pPr>
            <w:r w:rsidRPr="00D4575A">
              <w:t>From 1 July 2024 all office spaces with allocated parking must have an EV charging plan.</w:t>
            </w:r>
          </w:p>
          <w:p w14:paraId="5C36C3C9" w14:textId="0B56A925" w:rsidR="00B51C7F" w:rsidRPr="00D4575A" w:rsidRDefault="00B51C7F" w:rsidP="00DF3147">
            <w:pPr>
              <w:pStyle w:val="Tabletextemphasis"/>
            </w:pPr>
            <w:r w:rsidRPr="00D4575A">
              <w:t>Chargin</w:t>
            </w:r>
            <w:r w:rsidR="004A0817" w:rsidRPr="00D4575A">
              <w:t>g</w:t>
            </w:r>
            <w:r w:rsidRPr="00D4575A">
              <w:t xml:space="preserve"> Plan will adapt to building and infrastructure changes.</w:t>
            </w:r>
          </w:p>
        </w:tc>
        <w:tc>
          <w:tcPr>
            <w:tcW w:w="845" w:type="dxa"/>
            <w:vAlign w:val="center"/>
          </w:tcPr>
          <w:p w14:paraId="6D6E87C8" w14:textId="7502D71B" w:rsidR="00B51C7F" w:rsidRPr="00D4575A" w:rsidRDefault="00FF42F5" w:rsidP="00C10634">
            <w:pPr>
              <w:pStyle w:val="Tabletextcentre"/>
              <w:rPr>
                <w:lang w:eastAsia="en-AU"/>
              </w:rPr>
            </w:pPr>
            <w:r w:rsidRPr="00D4575A">
              <w:rPr>
                <w:lang w:eastAsia="en-AU"/>
              </w:rPr>
              <w:t>2</w:t>
            </w:r>
          </w:p>
        </w:tc>
        <w:tc>
          <w:tcPr>
            <w:tcW w:w="1127" w:type="dxa"/>
            <w:vAlign w:val="center"/>
          </w:tcPr>
          <w:p w14:paraId="671076F6" w14:textId="5599195A" w:rsidR="00B51C7F" w:rsidRPr="00D4575A" w:rsidRDefault="00B51C7F" w:rsidP="00C10634">
            <w:pPr>
              <w:pStyle w:val="Tabletextcentre"/>
              <w:rPr>
                <w:lang w:eastAsia="en-AU"/>
              </w:rPr>
            </w:pPr>
            <w:r w:rsidRPr="00D4575A">
              <w:rPr>
                <w:lang w:eastAsia="en-AU"/>
              </w:rPr>
              <w:t>Influence</w:t>
            </w:r>
          </w:p>
          <w:p w14:paraId="2D5653AC" w14:textId="52B75A5D" w:rsidR="00B51C7F" w:rsidRPr="00F04259" w:rsidRDefault="00117561" w:rsidP="002704B8">
            <w:pPr>
              <w:jc w:val="center"/>
              <w:rPr>
                <w:rFonts w:eastAsia="Arial" w:cs="Arial"/>
                <w:color w:val="1C4C5A" w:themeColor="accent5" w:themeShade="80"/>
                <w:sz w:val="20"/>
                <w:szCs w:val="20"/>
              </w:rPr>
            </w:pPr>
            <w:r>
              <w:rPr>
                <w:noProof/>
              </w:rPr>
              <w:drawing>
                <wp:inline distT="0" distB="0" distL="0" distR="0" wp14:anchorId="5F12793A" wp14:editId="62C17EEF">
                  <wp:extent cx="180000" cy="188183"/>
                  <wp:effectExtent l="0" t="0" r="0" b="2540"/>
                  <wp:docPr id="10746917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86140" name="Picture 1">
                            <a:extLst>
                              <a:ext uri="{C183D7F6-B498-43B3-948B-1728B52AA6E4}">
                                <adec:decorative xmlns:adec="http://schemas.microsoft.com/office/drawing/2017/decorative" val="1"/>
                              </a:ext>
                            </a:extLst>
                          </pic:cNvPr>
                          <pic:cNvPicPr/>
                        </pic:nvPicPr>
                        <pic:blipFill>
                          <a:blip r:embed="rId25"/>
                          <a:stretch>
                            <a:fillRect/>
                          </a:stretch>
                        </pic:blipFill>
                        <pic:spPr>
                          <a:xfrm>
                            <a:off x="0" y="0"/>
                            <a:ext cx="180000" cy="188183"/>
                          </a:xfrm>
                          <a:prstGeom prst="rect">
                            <a:avLst/>
                          </a:prstGeom>
                        </pic:spPr>
                      </pic:pic>
                    </a:graphicData>
                  </a:graphic>
                </wp:inline>
              </w:drawing>
            </w:r>
          </w:p>
        </w:tc>
        <w:tc>
          <w:tcPr>
            <w:tcW w:w="1229" w:type="dxa"/>
            <w:tcBorders>
              <w:right w:val="dashed" w:sz="4" w:space="0" w:color="auto"/>
            </w:tcBorders>
            <w:vAlign w:val="center"/>
          </w:tcPr>
          <w:p w14:paraId="63D4B710" w14:textId="1D5EB154" w:rsidR="00B51C7F" w:rsidRPr="00E01DA4" w:rsidRDefault="00B51C7F" w:rsidP="00E01DA4">
            <w:pPr>
              <w:pStyle w:val="Tabletextcentre"/>
            </w:pPr>
            <w:r w:rsidRPr="00E01DA4">
              <w:t>Vehicles</w:t>
            </w:r>
          </w:p>
        </w:tc>
        <w:tc>
          <w:tcPr>
            <w:tcW w:w="617" w:type="dxa"/>
            <w:tcBorders>
              <w:left w:val="dashed" w:sz="4" w:space="0" w:color="auto"/>
              <w:right w:val="dashed" w:sz="4" w:space="0" w:color="auto"/>
            </w:tcBorders>
          </w:tcPr>
          <w:p w14:paraId="727FC8E3" w14:textId="24BA4354" w:rsidR="00B51C7F" w:rsidRPr="00354039" w:rsidRDefault="00E30AF2" w:rsidP="002D5D83">
            <w:pPr>
              <w:rPr>
                <w:rFonts w:eastAsia="Arial"/>
              </w:rPr>
            </w:pPr>
            <w:r w:rsidRPr="00354039">
              <w:rPr>
                <w:rFonts w:eastAsia="Arial"/>
              </w:rPr>
              <mc:AlternateContent>
                <mc:Choice Requires="wps">
                  <w:drawing>
                    <wp:anchor distT="0" distB="0" distL="114300" distR="114300" simplePos="0" relativeHeight="251658249" behindDoc="0" locked="0" layoutInCell="1" allowOverlap="1" wp14:anchorId="349D264F" wp14:editId="14279743">
                      <wp:simplePos x="0" y="0"/>
                      <wp:positionH relativeFrom="column">
                        <wp:posOffset>142240</wp:posOffset>
                      </wp:positionH>
                      <wp:positionV relativeFrom="paragraph">
                        <wp:posOffset>297815</wp:posOffset>
                      </wp:positionV>
                      <wp:extent cx="1908000" cy="0"/>
                      <wp:effectExtent l="38100" t="38100" r="73660" b="95250"/>
                      <wp:wrapNone/>
                      <wp:docPr id="31175778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080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C3CCC" id="Straight Connector 1" o:spid="_x0000_s1026" alt="&quot;&quot;"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pt,23.45pt" to="161.4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" strokecolor="#358189 [3205]" strokeweight="2pt">
                      <v:shadow on="t" color="black" opacity="24903f" origin=",.5" offset="0,.55556mm"/>
                    </v:line>
                  </w:pict>
                </mc:Fallback>
              </mc:AlternateContent>
            </w:r>
          </w:p>
        </w:tc>
        <w:tc>
          <w:tcPr>
            <w:tcW w:w="617" w:type="dxa"/>
            <w:tcBorders>
              <w:left w:val="dashed" w:sz="4" w:space="0" w:color="auto"/>
              <w:right w:val="dashed" w:sz="4" w:space="0" w:color="auto"/>
            </w:tcBorders>
          </w:tcPr>
          <w:p w14:paraId="2B4A91C5" w14:textId="1D6EDB6A" w:rsidR="00B51C7F" w:rsidRPr="006432AB" w:rsidRDefault="00B51C7F" w:rsidP="002704B8">
            <w:pPr>
              <w:rPr>
                <w:rFonts w:eastAsia="Arial" w:cs="Arial"/>
                <w:color w:val="000000"/>
                <w:sz w:val="16"/>
                <w:szCs w:val="16"/>
              </w:rPr>
            </w:pPr>
          </w:p>
        </w:tc>
        <w:tc>
          <w:tcPr>
            <w:tcW w:w="617" w:type="dxa"/>
            <w:tcBorders>
              <w:left w:val="dashed" w:sz="4" w:space="0" w:color="auto"/>
              <w:right w:val="dashed" w:sz="4" w:space="0" w:color="auto"/>
            </w:tcBorders>
          </w:tcPr>
          <w:p w14:paraId="66C6FC38" w14:textId="0E501C4F" w:rsidR="00B51C7F" w:rsidRPr="006432AB" w:rsidRDefault="00B51C7F" w:rsidP="002704B8">
            <w:pPr>
              <w:rPr>
                <w:rFonts w:eastAsia="Arial" w:cs="Arial"/>
                <w:color w:val="000000"/>
                <w:sz w:val="16"/>
                <w:szCs w:val="16"/>
              </w:rPr>
            </w:pPr>
          </w:p>
        </w:tc>
        <w:tc>
          <w:tcPr>
            <w:tcW w:w="617" w:type="dxa"/>
            <w:tcBorders>
              <w:left w:val="dashed" w:sz="4" w:space="0" w:color="auto"/>
              <w:right w:val="dashed" w:sz="4" w:space="0" w:color="auto"/>
            </w:tcBorders>
          </w:tcPr>
          <w:p w14:paraId="7AC6DF62" w14:textId="77777777" w:rsidR="00B51C7F" w:rsidRPr="006432AB" w:rsidRDefault="00B51C7F" w:rsidP="002704B8">
            <w:pPr>
              <w:rPr>
                <w:rFonts w:eastAsia="Arial" w:cs="Arial"/>
                <w:color w:val="000000"/>
                <w:sz w:val="16"/>
                <w:szCs w:val="16"/>
              </w:rPr>
            </w:pPr>
          </w:p>
        </w:tc>
        <w:tc>
          <w:tcPr>
            <w:tcW w:w="617" w:type="dxa"/>
            <w:tcBorders>
              <w:left w:val="dashed" w:sz="4" w:space="0" w:color="auto"/>
              <w:right w:val="dashed" w:sz="4" w:space="0" w:color="auto"/>
            </w:tcBorders>
          </w:tcPr>
          <w:p w14:paraId="3A74BA26" w14:textId="77777777" w:rsidR="00B51C7F" w:rsidRPr="006432AB" w:rsidRDefault="00B51C7F" w:rsidP="002704B8">
            <w:pPr>
              <w:rPr>
                <w:rFonts w:eastAsia="Arial" w:cs="Arial"/>
                <w:color w:val="000000"/>
                <w:sz w:val="16"/>
                <w:szCs w:val="16"/>
              </w:rPr>
            </w:pPr>
          </w:p>
        </w:tc>
        <w:tc>
          <w:tcPr>
            <w:tcW w:w="617" w:type="dxa"/>
            <w:tcBorders>
              <w:left w:val="dashed" w:sz="4" w:space="0" w:color="auto"/>
              <w:right w:val="dashed" w:sz="4" w:space="0" w:color="auto"/>
            </w:tcBorders>
          </w:tcPr>
          <w:p w14:paraId="2B160DE9" w14:textId="77777777" w:rsidR="00B51C7F" w:rsidRPr="006432AB" w:rsidRDefault="00B51C7F" w:rsidP="002704B8">
            <w:pPr>
              <w:rPr>
                <w:rFonts w:eastAsia="Arial" w:cs="Arial"/>
                <w:color w:val="000000"/>
                <w:sz w:val="16"/>
                <w:szCs w:val="16"/>
              </w:rPr>
            </w:pPr>
          </w:p>
        </w:tc>
        <w:tc>
          <w:tcPr>
            <w:tcW w:w="1397" w:type="dxa"/>
            <w:tcBorders>
              <w:left w:val="dashed" w:sz="4" w:space="0" w:color="auto"/>
            </w:tcBorders>
            <w:vAlign w:val="center"/>
          </w:tcPr>
          <w:p w14:paraId="08206FC7" w14:textId="39655956" w:rsidR="00B51C7F" w:rsidRPr="00E01DA4" w:rsidRDefault="00384C64" w:rsidP="00E01DA4">
            <w:pPr>
              <w:pStyle w:val="Tabletextcentre"/>
            </w:pPr>
            <w:r w:rsidRPr="00E01DA4">
              <w:t>Met</w:t>
            </w:r>
          </w:p>
        </w:tc>
      </w:tr>
      <w:tr w:rsidR="00B51C7F" w:rsidRPr="005F4A8A" w14:paraId="67123C89" w14:textId="77777777" w:rsidTr="00AE4224">
        <w:trPr>
          <w:jc w:val="center"/>
        </w:trPr>
        <w:tc>
          <w:tcPr>
            <w:tcW w:w="564" w:type="dxa"/>
          </w:tcPr>
          <w:p w14:paraId="3D63EE91" w14:textId="7CA97D1E" w:rsidR="00B51C7F" w:rsidRPr="00D4575A" w:rsidRDefault="00B51C7F" w:rsidP="00E01DA4">
            <w:pPr>
              <w:pStyle w:val="Tabletextleft"/>
            </w:pPr>
            <w:r w:rsidRPr="00D4575A">
              <w:t>3.5</w:t>
            </w:r>
          </w:p>
        </w:tc>
        <w:tc>
          <w:tcPr>
            <w:tcW w:w="5451" w:type="dxa"/>
          </w:tcPr>
          <w:p w14:paraId="6352028A" w14:textId="0C30D452" w:rsidR="00B51C7F" w:rsidRPr="00D4575A" w:rsidRDefault="00B51C7F" w:rsidP="00E01DA4">
            <w:pPr>
              <w:pStyle w:val="Tabletextleft"/>
            </w:pPr>
            <w:r w:rsidRPr="00D4575A">
              <w:t>Promote the benefits of public transport, walking, and cycling to new staff during induction programs and familiarise them with end of journey facilities at their workplace, if available.</w:t>
            </w:r>
          </w:p>
          <w:p w14:paraId="2439029C" w14:textId="62105626" w:rsidR="00B51C7F" w:rsidRPr="00D4575A" w:rsidRDefault="00B51C7F" w:rsidP="00D4575A">
            <w:pPr>
              <w:pStyle w:val="Tabletextemphasis"/>
            </w:pPr>
            <w:r w:rsidRPr="00D4575A">
              <w:t>The Department occupies a range of premises with varying access to end of trip facilities. New staff receive a building orientation as part of their induction.</w:t>
            </w:r>
          </w:p>
        </w:tc>
        <w:tc>
          <w:tcPr>
            <w:tcW w:w="845" w:type="dxa"/>
            <w:vAlign w:val="center"/>
          </w:tcPr>
          <w:p w14:paraId="559F2D8C" w14:textId="12F152EB" w:rsidR="00B51C7F" w:rsidRPr="00D4575A" w:rsidRDefault="009F7645" w:rsidP="00C10634">
            <w:pPr>
              <w:pStyle w:val="Tabletextcentre"/>
              <w:rPr>
                <w:lang w:eastAsia="en-AU"/>
              </w:rPr>
            </w:pPr>
            <w:r w:rsidRPr="00D4575A">
              <w:rPr>
                <w:lang w:eastAsia="en-AU"/>
              </w:rPr>
              <w:t>3</w:t>
            </w:r>
          </w:p>
        </w:tc>
        <w:tc>
          <w:tcPr>
            <w:tcW w:w="1127" w:type="dxa"/>
            <w:vAlign w:val="center"/>
          </w:tcPr>
          <w:p w14:paraId="3A25EC6B" w14:textId="5A99B41A" w:rsidR="00B51C7F" w:rsidRPr="00D4575A" w:rsidRDefault="00B51C7F" w:rsidP="00C10634">
            <w:pPr>
              <w:pStyle w:val="Tabletextcentre"/>
              <w:rPr>
                <w:lang w:eastAsia="en-AU"/>
              </w:rPr>
            </w:pPr>
            <w:r w:rsidRPr="00D4575A">
              <w:rPr>
                <w:lang w:eastAsia="en-AU"/>
              </w:rPr>
              <w:t>Influence</w:t>
            </w:r>
          </w:p>
          <w:p w14:paraId="5BEBA53A" w14:textId="286F14FD" w:rsidR="00B51C7F" w:rsidRPr="00F04259" w:rsidRDefault="00117561" w:rsidP="00DF3147">
            <w:pPr>
              <w:jc w:val="center"/>
              <w:rPr>
                <w:rFonts w:eastAsia="Arial" w:cs="Arial"/>
                <w:color w:val="1C4C5A" w:themeColor="accent5" w:themeShade="80"/>
                <w:sz w:val="20"/>
                <w:szCs w:val="20"/>
              </w:rPr>
            </w:pPr>
            <w:r>
              <w:rPr>
                <w:noProof/>
              </w:rPr>
              <w:drawing>
                <wp:inline distT="0" distB="0" distL="0" distR="0" wp14:anchorId="48850713" wp14:editId="326D4396">
                  <wp:extent cx="180000" cy="188183"/>
                  <wp:effectExtent l="0" t="0" r="0" b="2540"/>
                  <wp:docPr id="12641077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86140" name="Picture 1">
                            <a:extLst>
                              <a:ext uri="{C183D7F6-B498-43B3-948B-1728B52AA6E4}">
                                <adec:decorative xmlns:adec="http://schemas.microsoft.com/office/drawing/2017/decorative" val="1"/>
                              </a:ext>
                            </a:extLst>
                          </pic:cNvPr>
                          <pic:cNvPicPr/>
                        </pic:nvPicPr>
                        <pic:blipFill>
                          <a:blip r:embed="rId25"/>
                          <a:stretch>
                            <a:fillRect/>
                          </a:stretch>
                        </pic:blipFill>
                        <pic:spPr>
                          <a:xfrm>
                            <a:off x="0" y="0"/>
                            <a:ext cx="180000" cy="188183"/>
                          </a:xfrm>
                          <a:prstGeom prst="rect">
                            <a:avLst/>
                          </a:prstGeom>
                        </pic:spPr>
                      </pic:pic>
                    </a:graphicData>
                  </a:graphic>
                </wp:inline>
              </w:drawing>
            </w:r>
          </w:p>
        </w:tc>
        <w:tc>
          <w:tcPr>
            <w:tcW w:w="1229" w:type="dxa"/>
            <w:tcBorders>
              <w:right w:val="dashed" w:sz="4" w:space="0" w:color="auto"/>
            </w:tcBorders>
            <w:vAlign w:val="center"/>
          </w:tcPr>
          <w:p w14:paraId="493D50CD" w14:textId="77777777" w:rsidR="00B51C7F" w:rsidRPr="00E01DA4" w:rsidRDefault="00B51C7F" w:rsidP="00E01DA4">
            <w:pPr>
              <w:pStyle w:val="Tabletextcentre"/>
            </w:pPr>
            <w:r w:rsidRPr="00E01DA4">
              <w:t>Property</w:t>
            </w:r>
          </w:p>
          <w:p w14:paraId="67B88442" w14:textId="51B06F70" w:rsidR="00B51C7F" w:rsidRPr="00E01DA4" w:rsidRDefault="00B51C7F" w:rsidP="00E01DA4">
            <w:pPr>
              <w:pStyle w:val="Tabletextcentre"/>
            </w:pPr>
            <w:r w:rsidRPr="00E01DA4">
              <w:t>SOS</w:t>
            </w:r>
          </w:p>
        </w:tc>
        <w:tc>
          <w:tcPr>
            <w:tcW w:w="617" w:type="dxa"/>
            <w:tcBorders>
              <w:left w:val="dashed" w:sz="4" w:space="0" w:color="auto"/>
              <w:right w:val="dashed" w:sz="4" w:space="0" w:color="auto"/>
            </w:tcBorders>
          </w:tcPr>
          <w:p w14:paraId="2CB6C6CC" w14:textId="667E6B37" w:rsidR="00B51C7F" w:rsidRPr="00354039" w:rsidRDefault="00117DC0" w:rsidP="002D5D83">
            <w:pPr>
              <w:rPr>
                <w:rFonts w:eastAsia="Arial"/>
              </w:rPr>
            </w:pPr>
            <w:r w:rsidRPr="00354039">
              <w:rPr>
                <w:rFonts w:eastAsia="Arial"/>
              </w:rPr>
              <mc:AlternateContent>
                <mc:Choice Requires="wps">
                  <w:drawing>
                    <wp:anchor distT="0" distB="0" distL="114300" distR="114300" simplePos="0" relativeHeight="251658250" behindDoc="0" locked="0" layoutInCell="1" allowOverlap="1" wp14:anchorId="4CE489FB" wp14:editId="4DE2AE78">
                      <wp:simplePos x="0" y="0"/>
                      <wp:positionH relativeFrom="column">
                        <wp:posOffset>123825</wp:posOffset>
                      </wp:positionH>
                      <wp:positionV relativeFrom="paragraph">
                        <wp:posOffset>431800</wp:posOffset>
                      </wp:positionV>
                      <wp:extent cx="1944000" cy="0"/>
                      <wp:effectExtent l="38100" t="38100" r="75565" b="95250"/>
                      <wp:wrapNone/>
                      <wp:docPr id="71258835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440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0FA60" id="Straight Connector 1" o:spid="_x0000_s1026" alt="&quot;&quot;"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34pt" to="162.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" strokecolor="#358189 [3205]" strokeweight="2pt">
                      <v:shadow on="t" color="black" opacity="24903f" origin=",.5" offset="0,.55556mm"/>
                    </v:line>
                  </w:pict>
                </mc:Fallback>
              </mc:AlternateContent>
            </w:r>
          </w:p>
        </w:tc>
        <w:tc>
          <w:tcPr>
            <w:tcW w:w="617" w:type="dxa"/>
            <w:tcBorders>
              <w:left w:val="dashed" w:sz="4" w:space="0" w:color="auto"/>
              <w:right w:val="dashed" w:sz="4" w:space="0" w:color="auto"/>
            </w:tcBorders>
          </w:tcPr>
          <w:p w14:paraId="7AF54C62" w14:textId="77F1AB9F" w:rsidR="00B51C7F" w:rsidRPr="006432AB" w:rsidRDefault="00B51C7F">
            <w:pPr>
              <w:rPr>
                <w:rFonts w:eastAsia="Arial" w:cs="Arial"/>
                <w:color w:val="000000"/>
                <w:sz w:val="16"/>
                <w:szCs w:val="16"/>
              </w:rPr>
            </w:pPr>
          </w:p>
        </w:tc>
        <w:tc>
          <w:tcPr>
            <w:tcW w:w="617" w:type="dxa"/>
            <w:tcBorders>
              <w:left w:val="dashed" w:sz="4" w:space="0" w:color="auto"/>
              <w:right w:val="dashed" w:sz="4" w:space="0" w:color="auto"/>
            </w:tcBorders>
          </w:tcPr>
          <w:p w14:paraId="2F80485C" w14:textId="77777777" w:rsidR="00B51C7F" w:rsidRPr="006432AB" w:rsidRDefault="00B51C7F">
            <w:pPr>
              <w:rPr>
                <w:rFonts w:eastAsia="Arial" w:cs="Arial"/>
                <w:color w:val="000000"/>
                <w:sz w:val="16"/>
                <w:szCs w:val="16"/>
              </w:rPr>
            </w:pPr>
          </w:p>
        </w:tc>
        <w:tc>
          <w:tcPr>
            <w:tcW w:w="617" w:type="dxa"/>
            <w:tcBorders>
              <w:left w:val="dashed" w:sz="4" w:space="0" w:color="auto"/>
              <w:right w:val="dashed" w:sz="4" w:space="0" w:color="auto"/>
            </w:tcBorders>
          </w:tcPr>
          <w:p w14:paraId="6764B588" w14:textId="2FAF1CB7" w:rsidR="00B51C7F" w:rsidRPr="006432AB" w:rsidRDefault="00B51C7F">
            <w:pPr>
              <w:rPr>
                <w:rFonts w:eastAsia="Arial" w:cs="Arial"/>
                <w:color w:val="000000"/>
                <w:sz w:val="16"/>
                <w:szCs w:val="16"/>
              </w:rPr>
            </w:pPr>
          </w:p>
        </w:tc>
        <w:tc>
          <w:tcPr>
            <w:tcW w:w="617" w:type="dxa"/>
            <w:tcBorders>
              <w:left w:val="dashed" w:sz="4" w:space="0" w:color="auto"/>
              <w:right w:val="dashed" w:sz="4" w:space="0" w:color="auto"/>
            </w:tcBorders>
          </w:tcPr>
          <w:p w14:paraId="1D950085" w14:textId="5E39B26A" w:rsidR="00B51C7F" w:rsidRPr="006432AB" w:rsidRDefault="00B51C7F">
            <w:pPr>
              <w:rPr>
                <w:rFonts w:eastAsia="Arial" w:cs="Arial"/>
                <w:color w:val="000000"/>
                <w:sz w:val="16"/>
                <w:szCs w:val="16"/>
              </w:rPr>
            </w:pPr>
          </w:p>
        </w:tc>
        <w:tc>
          <w:tcPr>
            <w:tcW w:w="617" w:type="dxa"/>
            <w:tcBorders>
              <w:left w:val="dashed" w:sz="4" w:space="0" w:color="auto"/>
              <w:right w:val="dashed" w:sz="4" w:space="0" w:color="auto"/>
            </w:tcBorders>
          </w:tcPr>
          <w:p w14:paraId="7841A72F" w14:textId="7AFC4504" w:rsidR="00B51C7F" w:rsidRPr="006432AB" w:rsidRDefault="00B51C7F">
            <w:pPr>
              <w:rPr>
                <w:rFonts w:eastAsia="Arial" w:cs="Arial"/>
                <w:color w:val="000000"/>
                <w:sz w:val="16"/>
                <w:szCs w:val="16"/>
              </w:rPr>
            </w:pPr>
          </w:p>
        </w:tc>
        <w:tc>
          <w:tcPr>
            <w:tcW w:w="1397" w:type="dxa"/>
            <w:tcBorders>
              <w:left w:val="dashed" w:sz="4" w:space="0" w:color="auto"/>
            </w:tcBorders>
            <w:vAlign w:val="center"/>
          </w:tcPr>
          <w:p w14:paraId="09B7B11C" w14:textId="77777777" w:rsidR="00B51C7F" w:rsidRPr="00E01DA4" w:rsidRDefault="00B51C7F" w:rsidP="00E01DA4">
            <w:pPr>
              <w:pStyle w:val="Tabletextcentre"/>
            </w:pPr>
            <w:r w:rsidRPr="00E01DA4">
              <w:t>Underway</w:t>
            </w:r>
          </w:p>
        </w:tc>
      </w:tr>
    </w:tbl>
    <w:p w14:paraId="32BD6823" w14:textId="77777777" w:rsidR="00985822" w:rsidRPr="00CE6502" w:rsidRDefault="00985822" w:rsidP="00D4575A"/>
    <w:sectPr w:rsidR="00985822" w:rsidRPr="00CE6502" w:rsidSect="007D5ECC">
      <w:pgSz w:w="16838" w:h="11906" w:orient="landscape"/>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36D0" w14:textId="77777777" w:rsidR="00AF02AE" w:rsidRDefault="00AF02AE" w:rsidP="00934368">
      <w:r>
        <w:separator/>
      </w:r>
    </w:p>
    <w:p w14:paraId="11B89B2A" w14:textId="77777777" w:rsidR="00AF02AE" w:rsidRDefault="00AF02AE" w:rsidP="00934368"/>
  </w:endnote>
  <w:endnote w:type="continuationSeparator" w:id="0">
    <w:p w14:paraId="1B0763C6" w14:textId="77777777" w:rsidR="00AF02AE" w:rsidRDefault="00AF02AE" w:rsidP="00934368">
      <w:r>
        <w:continuationSeparator/>
      </w:r>
    </w:p>
    <w:p w14:paraId="058B6E63" w14:textId="77777777" w:rsidR="00AF02AE" w:rsidRDefault="00AF02AE" w:rsidP="00934368"/>
  </w:endnote>
  <w:endnote w:type="continuationNotice" w:id="1">
    <w:p w14:paraId="66A2898A" w14:textId="77777777" w:rsidR="00AF02AE" w:rsidRDefault="00AF02AE"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C16A" w14:textId="31897725" w:rsidR="00F8108D" w:rsidRDefault="0042377C">
    <w:pPr>
      <w:pStyle w:val="Footer"/>
    </w:pPr>
    <w:r>
      <w:rPr>
        <w:noProof/>
      </w:rPr>
      <mc:AlternateContent>
        <mc:Choice Requires="wps">
          <w:drawing>
            <wp:anchor distT="0" distB="0" distL="0" distR="0" simplePos="0" relativeHeight="251658248" behindDoc="0" locked="0" layoutInCell="1" allowOverlap="1" wp14:anchorId="01ACA4C8" wp14:editId="573A3411">
              <wp:simplePos x="635" y="635"/>
              <wp:positionH relativeFrom="page">
                <wp:align>center</wp:align>
              </wp:positionH>
              <wp:positionV relativeFrom="page">
                <wp:align>bottom</wp:align>
              </wp:positionV>
              <wp:extent cx="609600" cy="485775"/>
              <wp:effectExtent l="0" t="0" r="0" b="0"/>
              <wp:wrapNone/>
              <wp:docPr id="59943441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FF802C" w14:textId="70E513FD" w:rsidR="0042377C" w:rsidRPr="0042377C" w:rsidRDefault="0042377C" w:rsidP="0042377C">
                          <w:pPr>
                            <w:spacing w:after="0"/>
                            <w:rPr>
                              <w:rFonts w:ascii="Aptos" w:eastAsia="Aptos" w:hAnsi="Aptos" w:cs="Aptos"/>
                              <w:noProof/>
                              <w:color w:val="FF0000"/>
                              <w:sz w:val="24"/>
                            </w:rPr>
                          </w:pPr>
                          <w:r w:rsidRPr="0042377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ACA4C8" id="_x0000_t202" coordsize="21600,21600" o:spt="202" path="m,l,21600r21600,l21600,xe">
              <v:stroke joinstyle="miter"/>
              <v:path gradientshapeok="t" o:connecttype="rect"/>
            </v:shapetype>
            <v:shape id="Text Box 8" o:spid="_x0000_s1027" type="#_x0000_t202" alt="OFFICIAL" style="position:absolute;left:0;text-align:left;margin-left:0;margin-top:0;width:48pt;height:38.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7CFF802C" w14:textId="70E513FD" w:rsidR="0042377C" w:rsidRPr="0042377C" w:rsidRDefault="0042377C" w:rsidP="0042377C">
                    <w:pPr>
                      <w:spacing w:after="0"/>
                      <w:rPr>
                        <w:rFonts w:ascii="Aptos" w:eastAsia="Aptos" w:hAnsi="Aptos" w:cs="Aptos"/>
                        <w:noProof/>
                        <w:color w:val="FF0000"/>
                        <w:sz w:val="24"/>
                      </w:rPr>
                    </w:pPr>
                    <w:r w:rsidRPr="0042377C">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8C11" w14:textId="78FBB0A0" w:rsidR="00F8108D" w:rsidRDefault="0042377C">
    <w:pPr>
      <w:pStyle w:val="Footer"/>
    </w:pPr>
    <w:r>
      <w:rPr>
        <w:noProof/>
      </w:rPr>
      <mc:AlternateContent>
        <mc:Choice Requires="wps">
          <w:drawing>
            <wp:anchor distT="0" distB="0" distL="0" distR="0" simplePos="0" relativeHeight="251658249" behindDoc="0" locked="0" layoutInCell="1" allowOverlap="1" wp14:anchorId="6AB3F2F1" wp14:editId="147BFB78">
              <wp:simplePos x="635" y="635"/>
              <wp:positionH relativeFrom="page">
                <wp:align>center</wp:align>
              </wp:positionH>
              <wp:positionV relativeFrom="page">
                <wp:align>bottom</wp:align>
              </wp:positionV>
              <wp:extent cx="609600" cy="485775"/>
              <wp:effectExtent l="0" t="0" r="0" b="0"/>
              <wp:wrapNone/>
              <wp:docPr id="92098193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5D34A57" w14:textId="75D7C930" w:rsidR="0042377C" w:rsidRPr="0042377C" w:rsidRDefault="0042377C" w:rsidP="0042377C">
                          <w:pPr>
                            <w:spacing w:after="0"/>
                            <w:rPr>
                              <w:rFonts w:ascii="Aptos" w:eastAsia="Aptos" w:hAnsi="Aptos" w:cs="Aptos"/>
                              <w:noProof/>
                              <w:color w:val="FF0000"/>
                              <w:sz w:val="24"/>
                            </w:rPr>
                          </w:pPr>
                          <w:r w:rsidRPr="0042377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3F2F1" id="_x0000_t202" coordsize="21600,21600" o:spt="202" path="m,l,21600r21600,l21600,xe">
              <v:stroke joinstyle="miter"/>
              <v:path gradientshapeok="t" o:connecttype="rect"/>
            </v:shapetype>
            <v:shape id="Text Box 9" o:spid="_x0000_s1028" type="#_x0000_t202" alt="OFFICIAL" style="position:absolute;left:0;text-align:left;margin-left:0;margin-top:0;width:48pt;height:38.2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65D34A57" w14:textId="75D7C930" w:rsidR="0042377C" w:rsidRPr="0042377C" w:rsidRDefault="0042377C" w:rsidP="0042377C">
                    <w:pPr>
                      <w:spacing w:after="0"/>
                      <w:rPr>
                        <w:rFonts w:ascii="Aptos" w:eastAsia="Aptos" w:hAnsi="Aptos" w:cs="Aptos"/>
                        <w:noProof/>
                        <w:color w:val="FF0000"/>
                        <w:sz w:val="24"/>
                      </w:rPr>
                    </w:pPr>
                    <w:r w:rsidRPr="0042377C">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84721960"/>
      <w:docPartObj>
        <w:docPartGallery w:val="Page Numbers (Bottom of Page)"/>
        <w:docPartUnique/>
      </w:docPartObj>
    </w:sdtPr>
    <w:sdtEndPr>
      <w:rPr>
        <w:rStyle w:val="FooterChar"/>
      </w:rPr>
    </w:sdtEndPr>
    <w:sdtContent>
      <w:p w14:paraId="1F57DFBC" w14:textId="20C9217C" w:rsidR="00E309A9" w:rsidRPr="004D6589" w:rsidRDefault="00000000">
        <w:pPr>
          <w:rPr>
            <w:sz w:val="20"/>
            <w:szCs w:val="20"/>
          </w:rPr>
        </w:pPr>
      </w:p>
    </w:sdtContent>
  </w:sdt>
  <w:p w14:paraId="354C0D82" w14:textId="7368E1C0" w:rsidR="00E309A9" w:rsidRPr="004D6589" w:rsidRDefault="00E309A9">
    <w:pPr>
      <w:rPr>
        <w:sz w:val="20"/>
        <w:szCs w:val="20"/>
      </w:rPr>
    </w:pPr>
    <w:r w:rsidRPr="004D6589">
      <w:rPr>
        <w:rStyle w:val="FooterChar"/>
        <w:sz w:val="20"/>
        <w:szCs w:val="22"/>
      </w:rPr>
      <w:t>Department of Health, Disability and Ageing Emissions Reduction Plan 2025-30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2E0E" w14:textId="56C05E97" w:rsidR="00751A23" w:rsidRPr="004D6589" w:rsidRDefault="00000000" w:rsidP="00A85EB6">
    <w:pPr>
      <w:jc w:val="right"/>
      <w:rPr>
        <w:sz w:val="20"/>
        <w:szCs w:val="20"/>
      </w:rPr>
    </w:pPr>
    <w:sdt>
      <w:sdtPr>
        <w:rPr>
          <w:sz w:val="20"/>
          <w:szCs w:val="20"/>
        </w:rPr>
        <w:id w:val="-731007798"/>
        <w:docPartObj>
          <w:docPartGallery w:val="Page Numbers (Bottom of Page)"/>
          <w:docPartUnique/>
        </w:docPartObj>
      </w:sdtPr>
      <w:sdtEndPr>
        <w:rPr>
          <w:rStyle w:val="FooterChar"/>
        </w:rPr>
      </w:sdtEndPr>
      <w:sdtContent>
        <w:r w:rsidR="004D6589" w:rsidRPr="004D6589">
          <w:rPr>
            <w:rStyle w:val="FooterChar"/>
            <w:sz w:val="20"/>
            <w:szCs w:val="20"/>
          </w:rPr>
          <w:t>Department of Health, Disability and Ageing Emissions Reduction Plan 2025-30</w:t>
        </w:r>
        <w:r w:rsidR="2B65F8FE" w:rsidRPr="004D6589">
          <w:rPr>
            <w:rStyle w:val="FooterChar"/>
            <w:sz w:val="20"/>
            <w:szCs w:val="20"/>
          </w:rPr>
          <w:t xml:space="preserve">   </w:t>
        </w:r>
      </w:sdtContent>
    </w:sdt>
    <w:sdt>
      <w:sdtPr>
        <w:id w:val="-443848716"/>
        <w:docPartObj>
          <w:docPartGallery w:val="Page Numbers (Bottom of Page)"/>
          <w:docPartUnique/>
        </w:docPartObj>
      </w:sdtPr>
      <w:sdtEndPr>
        <w:rPr>
          <w:noProof/>
        </w:rPr>
      </w:sdtEndPr>
      <w:sdtContent>
        <w:r w:rsidR="00751A23">
          <w:tab/>
        </w:r>
        <w:r w:rsidR="009027C5">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25EF" w14:textId="77777777" w:rsidR="00AF02AE" w:rsidRDefault="00AF02AE" w:rsidP="00AE4224">
      <w:r>
        <w:separator/>
      </w:r>
    </w:p>
  </w:footnote>
  <w:footnote w:type="continuationSeparator" w:id="0">
    <w:p w14:paraId="6C8E1668" w14:textId="77777777" w:rsidR="00AF02AE" w:rsidRDefault="00AF02AE" w:rsidP="00934368">
      <w:r>
        <w:continuationSeparator/>
      </w:r>
    </w:p>
    <w:p w14:paraId="21FE96F2" w14:textId="77777777" w:rsidR="00AF02AE" w:rsidRDefault="00AF02AE" w:rsidP="00934368"/>
  </w:footnote>
  <w:footnote w:type="continuationNotice" w:id="1">
    <w:p w14:paraId="52DD7038" w14:textId="77777777" w:rsidR="00AF02AE" w:rsidRDefault="00AF02AE" w:rsidP="00934368"/>
  </w:footnote>
  <w:footnote w:id="2">
    <w:p w14:paraId="7ED0579F" w14:textId="449F0237" w:rsidR="00994BCD" w:rsidRDefault="00994BCD">
      <w:pPr>
        <w:pStyle w:val="FootnoteText"/>
      </w:pPr>
      <w:r>
        <w:rPr>
          <w:rStyle w:val="FootnoteReference"/>
        </w:rPr>
        <w:footnoteRef/>
      </w:r>
      <w:r>
        <w:t xml:space="preserve"> </w:t>
      </w:r>
      <w:r w:rsidR="0019249F">
        <w:t>My Workforce SAP data 30 June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D3CD" w14:textId="44A3F992" w:rsidR="00F8108D" w:rsidRDefault="0042377C">
    <w:pPr>
      <w:pStyle w:val="Header"/>
    </w:pPr>
    <w:r>
      <w:rPr>
        <w:noProof/>
      </w:rPr>
      <mc:AlternateContent>
        <mc:Choice Requires="wps">
          <w:drawing>
            <wp:anchor distT="0" distB="0" distL="0" distR="0" simplePos="0" relativeHeight="251658242" behindDoc="0" locked="0" layoutInCell="1" allowOverlap="1" wp14:anchorId="61AA3186" wp14:editId="27CB4453">
              <wp:simplePos x="635" y="635"/>
              <wp:positionH relativeFrom="page">
                <wp:align>center</wp:align>
              </wp:positionH>
              <wp:positionV relativeFrom="page">
                <wp:align>top</wp:align>
              </wp:positionV>
              <wp:extent cx="609600" cy="485775"/>
              <wp:effectExtent l="0" t="0" r="0" b="9525"/>
              <wp:wrapNone/>
              <wp:docPr id="5391997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EE9D774" w14:textId="6BFB6E81" w:rsidR="0042377C" w:rsidRPr="0042377C" w:rsidRDefault="0042377C" w:rsidP="0042377C">
                          <w:pPr>
                            <w:spacing w:after="0"/>
                            <w:rPr>
                              <w:rFonts w:ascii="Aptos" w:eastAsia="Aptos" w:hAnsi="Aptos" w:cs="Aptos"/>
                              <w:noProof/>
                              <w:color w:val="FF0000"/>
                              <w:sz w:val="24"/>
                            </w:rPr>
                          </w:pPr>
                          <w:r w:rsidRPr="0042377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AA3186"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EE9D774" w14:textId="6BFB6E81" w:rsidR="0042377C" w:rsidRPr="0042377C" w:rsidRDefault="0042377C" w:rsidP="0042377C">
                    <w:pPr>
                      <w:spacing w:after="0"/>
                      <w:rPr>
                        <w:rFonts w:ascii="Aptos" w:eastAsia="Aptos" w:hAnsi="Aptos" w:cs="Aptos"/>
                        <w:noProof/>
                        <w:color w:val="FF0000"/>
                        <w:sz w:val="24"/>
                      </w:rPr>
                    </w:pPr>
                    <w:r w:rsidRPr="0042377C">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8657" w14:textId="7E048176" w:rsidR="00751A23" w:rsidRDefault="00751A23" w:rsidP="00934368">
    <w:pPr>
      <w:pStyle w:val="Header"/>
    </w:pPr>
    <w:r>
      <w:rPr>
        <w:noProof/>
        <w:lang w:eastAsia="en-AU"/>
      </w:rPr>
      <w:drawing>
        <wp:anchor distT="0" distB="0" distL="114300" distR="114300" simplePos="0" relativeHeight="251658240" behindDoc="1" locked="0" layoutInCell="1" allowOverlap="1" wp14:anchorId="13BF03FD" wp14:editId="0DE795AA">
          <wp:simplePos x="0" y="0"/>
          <wp:positionH relativeFrom="page">
            <wp:align>center</wp:align>
          </wp:positionH>
          <wp:positionV relativeFrom="page">
            <wp:align>center</wp:align>
          </wp:positionV>
          <wp:extent cx="7559245" cy="10692673"/>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C422" w14:textId="59A393C5" w:rsidR="00E309A9" w:rsidRDefault="0042377C">
    <w:pPr>
      <w:pStyle w:val="Header"/>
    </w:pPr>
    <w:r>
      <w:rPr>
        <w:noProof/>
      </w:rPr>
      <mc:AlternateContent>
        <mc:Choice Requires="wps">
          <w:drawing>
            <wp:anchor distT="0" distB="0" distL="0" distR="0" simplePos="0" relativeHeight="251658245" behindDoc="0" locked="0" layoutInCell="1" allowOverlap="1" wp14:anchorId="09647890" wp14:editId="7A66A9BC">
              <wp:simplePos x="635" y="635"/>
              <wp:positionH relativeFrom="page">
                <wp:align>center</wp:align>
              </wp:positionH>
              <wp:positionV relativeFrom="page">
                <wp:align>top</wp:align>
              </wp:positionV>
              <wp:extent cx="609600" cy="485775"/>
              <wp:effectExtent l="0" t="0" r="0" b="9525"/>
              <wp:wrapNone/>
              <wp:docPr id="205271601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B8EBD1F" w14:textId="7DF9FCDD" w:rsidR="0042377C" w:rsidRPr="0042377C" w:rsidRDefault="0042377C" w:rsidP="0042377C">
                          <w:pPr>
                            <w:spacing w:after="0"/>
                            <w:rPr>
                              <w:rFonts w:ascii="Aptos" w:eastAsia="Aptos" w:hAnsi="Aptos" w:cs="Aptos"/>
                              <w:noProof/>
                              <w:color w:val="FF0000"/>
                              <w:sz w:val="24"/>
                            </w:rPr>
                          </w:pPr>
                          <w:r w:rsidRPr="0042377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647890" id="_x0000_t202" coordsize="21600,21600" o:spt="202" path="m,l,21600r21600,l21600,xe">
              <v:stroke joinstyle="miter"/>
              <v:path gradientshapeok="t" o:connecttype="rect"/>
            </v:shapetype>
            <v:shape id="Text Box 5" o:spid="_x0000_s1029" type="#_x0000_t202" alt="OFFICIAL" style="position:absolute;margin-left:0;margin-top:0;width:48pt;height:38.2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textbox style="mso-fit-shape-to-text:t" inset="0,15pt,0,0">
                <w:txbxContent>
                  <w:p w14:paraId="0B8EBD1F" w14:textId="7DF9FCDD" w:rsidR="0042377C" w:rsidRPr="0042377C" w:rsidRDefault="0042377C" w:rsidP="0042377C">
                    <w:pPr>
                      <w:spacing w:after="0"/>
                      <w:rPr>
                        <w:rFonts w:ascii="Aptos" w:eastAsia="Aptos" w:hAnsi="Aptos" w:cs="Aptos"/>
                        <w:noProof/>
                        <w:color w:val="FF0000"/>
                        <w:sz w:val="24"/>
                      </w:rPr>
                    </w:pPr>
                    <w:r w:rsidRPr="0042377C">
                      <w:rPr>
                        <w:rFonts w:ascii="Aptos" w:eastAsia="Aptos" w:hAnsi="Aptos" w:cs="Aptos"/>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29D1" w14:textId="19A98640" w:rsidR="00E309A9" w:rsidRDefault="0042377C">
    <w:pPr>
      <w:pStyle w:val="Header"/>
    </w:pPr>
    <w:r>
      <w:rPr>
        <w:noProof/>
      </w:rPr>
      <mc:AlternateContent>
        <mc:Choice Requires="wps">
          <w:drawing>
            <wp:anchor distT="0" distB="0" distL="0" distR="0" simplePos="0" relativeHeight="251658244" behindDoc="0" locked="0" layoutInCell="1" allowOverlap="1" wp14:anchorId="1ADE2243" wp14:editId="20B1A379">
              <wp:simplePos x="635" y="635"/>
              <wp:positionH relativeFrom="page">
                <wp:align>center</wp:align>
              </wp:positionH>
              <wp:positionV relativeFrom="page">
                <wp:align>top</wp:align>
              </wp:positionV>
              <wp:extent cx="609600" cy="485775"/>
              <wp:effectExtent l="0" t="0" r="0" b="9525"/>
              <wp:wrapNone/>
              <wp:docPr id="5791771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598B7F8" w14:textId="1ED65CC5" w:rsidR="0042377C" w:rsidRPr="0042377C" w:rsidRDefault="0042377C" w:rsidP="0042377C">
                          <w:pPr>
                            <w:spacing w:after="0"/>
                            <w:rPr>
                              <w:rFonts w:ascii="Aptos" w:eastAsia="Aptos" w:hAnsi="Aptos" w:cs="Aptos"/>
                              <w:noProof/>
                              <w:color w:val="FF0000"/>
                              <w:sz w:val="24"/>
                            </w:rPr>
                          </w:pPr>
                          <w:r w:rsidRPr="0042377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DE2243" id="_x0000_t202" coordsize="21600,21600" o:spt="202" path="m,l,21600r21600,l21600,xe">
              <v:stroke joinstyle="miter"/>
              <v:path gradientshapeok="t" o:connecttype="rect"/>
            </v:shapetype>
            <v:shape id="Text Box 4" o:spid="_x0000_s1030" type="#_x0000_t202" alt="OFFICIAL" style="position:absolute;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1598B7F8" w14:textId="1ED65CC5" w:rsidR="0042377C" w:rsidRPr="0042377C" w:rsidRDefault="0042377C" w:rsidP="0042377C">
                    <w:pPr>
                      <w:spacing w:after="0"/>
                      <w:rPr>
                        <w:rFonts w:ascii="Aptos" w:eastAsia="Aptos" w:hAnsi="Aptos" w:cs="Aptos"/>
                        <w:noProof/>
                        <w:color w:val="FF0000"/>
                        <w:sz w:val="24"/>
                      </w:rPr>
                    </w:pPr>
                    <w:r w:rsidRPr="0042377C">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9E2" w14:textId="57FC98CD"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F60ACA"/>
    <w:multiLevelType w:val="hybridMultilevel"/>
    <w:tmpl w:val="3AE6F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2C4787"/>
    <w:multiLevelType w:val="hybridMultilevel"/>
    <w:tmpl w:val="9DB6EC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464F78"/>
    <w:multiLevelType w:val="hybridMultilevel"/>
    <w:tmpl w:val="F3A463D6"/>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A783F9C"/>
    <w:multiLevelType w:val="hybridMultilevel"/>
    <w:tmpl w:val="C71E7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B0D67E4E"/>
    <w:lvl w:ilvl="0" w:tplc="14649BD2">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1616AA"/>
    <w:multiLevelType w:val="hybridMultilevel"/>
    <w:tmpl w:val="75E2E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074C4B"/>
    <w:multiLevelType w:val="hybridMultilevel"/>
    <w:tmpl w:val="5246B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6E4A08"/>
    <w:multiLevelType w:val="hybridMultilevel"/>
    <w:tmpl w:val="79BEE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57710A7"/>
    <w:multiLevelType w:val="hybridMultilevel"/>
    <w:tmpl w:val="1494B0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EFD67BC"/>
    <w:multiLevelType w:val="hybridMultilevel"/>
    <w:tmpl w:val="AB486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B434C49"/>
    <w:multiLevelType w:val="hybridMultilevel"/>
    <w:tmpl w:val="C2886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720140"/>
    <w:multiLevelType w:val="hybridMultilevel"/>
    <w:tmpl w:val="582AC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E42D94"/>
    <w:multiLevelType w:val="hybridMultilevel"/>
    <w:tmpl w:val="61624E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511551"/>
    <w:multiLevelType w:val="hybridMultilevel"/>
    <w:tmpl w:val="F510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917D11"/>
    <w:multiLevelType w:val="hybridMultilevel"/>
    <w:tmpl w:val="8C3AF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6C86104"/>
    <w:multiLevelType w:val="hybridMultilevel"/>
    <w:tmpl w:val="5FBE99B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76543C"/>
    <w:multiLevelType w:val="hybridMultilevel"/>
    <w:tmpl w:val="766454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8346C50"/>
    <w:multiLevelType w:val="hybridMultilevel"/>
    <w:tmpl w:val="0520F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A3E25B9"/>
    <w:multiLevelType w:val="hybridMultilevel"/>
    <w:tmpl w:val="A80A2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176FF4"/>
    <w:multiLevelType w:val="hybridMultilevel"/>
    <w:tmpl w:val="762CD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26"/>
  </w:num>
  <w:num w:numId="3" w16cid:durableId="1111165562">
    <w:abstractNumId w:val="35"/>
  </w:num>
  <w:num w:numId="4" w16cid:durableId="1656956847">
    <w:abstractNumId w:val="9"/>
  </w:num>
  <w:num w:numId="5" w16cid:durableId="1573807520">
    <w:abstractNumId w:val="9"/>
    <w:lvlOverride w:ilvl="0">
      <w:startOverride w:val="1"/>
    </w:lvlOverride>
  </w:num>
  <w:num w:numId="6" w16cid:durableId="306908385">
    <w:abstractNumId w:val="11"/>
  </w:num>
  <w:num w:numId="7" w16cid:durableId="739521073">
    <w:abstractNumId w:val="24"/>
  </w:num>
  <w:num w:numId="8" w16cid:durableId="1364792563">
    <w:abstractNumId w:val="33"/>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37"/>
  </w:num>
  <w:num w:numId="17" w16cid:durableId="784426807">
    <w:abstractNumId w:val="14"/>
  </w:num>
  <w:num w:numId="18" w16cid:durableId="1485246168">
    <w:abstractNumId w:val="16"/>
  </w:num>
  <w:num w:numId="19" w16cid:durableId="204174500">
    <w:abstractNumId w:val="21"/>
  </w:num>
  <w:num w:numId="20" w16cid:durableId="583033642">
    <w:abstractNumId w:val="14"/>
  </w:num>
  <w:num w:numId="21" w16cid:durableId="411392521">
    <w:abstractNumId w:val="21"/>
  </w:num>
  <w:num w:numId="22" w16cid:durableId="1149708572">
    <w:abstractNumId w:val="37"/>
  </w:num>
  <w:num w:numId="23" w16cid:durableId="759183430">
    <w:abstractNumId w:val="26"/>
  </w:num>
  <w:num w:numId="24" w16cid:durableId="936640889">
    <w:abstractNumId w:val="35"/>
  </w:num>
  <w:num w:numId="25" w16cid:durableId="682364219">
    <w:abstractNumId w:val="9"/>
  </w:num>
  <w:num w:numId="26" w16cid:durableId="2122454649">
    <w:abstractNumId w:val="25"/>
  </w:num>
  <w:num w:numId="27" w16cid:durableId="338124977">
    <w:abstractNumId w:val="20"/>
  </w:num>
  <w:num w:numId="28" w16cid:durableId="1112481337">
    <w:abstractNumId w:val="17"/>
  </w:num>
  <w:num w:numId="29" w16cid:durableId="1105809335">
    <w:abstractNumId w:val="34"/>
  </w:num>
  <w:num w:numId="30" w16cid:durableId="987977913">
    <w:abstractNumId w:val="36"/>
  </w:num>
  <w:num w:numId="31" w16cid:durableId="1819496166">
    <w:abstractNumId w:val="15"/>
  </w:num>
  <w:num w:numId="32" w16cid:durableId="820275769">
    <w:abstractNumId w:val="32"/>
  </w:num>
  <w:num w:numId="33" w16cid:durableId="67845427">
    <w:abstractNumId w:val="12"/>
  </w:num>
  <w:num w:numId="34" w16cid:durableId="1894732231">
    <w:abstractNumId w:val="10"/>
  </w:num>
  <w:num w:numId="35" w16cid:durableId="627903564">
    <w:abstractNumId w:val="30"/>
  </w:num>
  <w:num w:numId="36" w16cid:durableId="1416316083">
    <w:abstractNumId w:val="28"/>
  </w:num>
  <w:num w:numId="37" w16cid:durableId="2015834780">
    <w:abstractNumId w:val="22"/>
  </w:num>
  <w:num w:numId="38" w16cid:durableId="315962666">
    <w:abstractNumId w:val="27"/>
  </w:num>
  <w:num w:numId="39" w16cid:durableId="1309625695">
    <w:abstractNumId w:val="8"/>
  </w:num>
  <w:num w:numId="40" w16cid:durableId="830100482">
    <w:abstractNumId w:val="18"/>
  </w:num>
  <w:num w:numId="41" w16cid:durableId="630281611">
    <w:abstractNumId w:val="13"/>
  </w:num>
  <w:num w:numId="42" w16cid:durableId="1747263898">
    <w:abstractNumId w:val="23"/>
  </w:num>
  <w:num w:numId="43" w16cid:durableId="228156681">
    <w:abstractNumId w:val="31"/>
  </w:num>
  <w:num w:numId="44" w16cid:durableId="952708571">
    <w:abstractNumId w:val="29"/>
  </w:num>
  <w:num w:numId="45" w16cid:durableId="2818885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EE"/>
    <w:rsid w:val="00000036"/>
    <w:rsid w:val="00000BA0"/>
    <w:rsid w:val="00001F41"/>
    <w:rsid w:val="00002546"/>
    <w:rsid w:val="00003743"/>
    <w:rsid w:val="00004606"/>
    <w:rsid w:val="000047B4"/>
    <w:rsid w:val="00005712"/>
    <w:rsid w:val="00006674"/>
    <w:rsid w:val="000066DE"/>
    <w:rsid w:val="00007FD8"/>
    <w:rsid w:val="000117F8"/>
    <w:rsid w:val="0001181F"/>
    <w:rsid w:val="00012929"/>
    <w:rsid w:val="00012F40"/>
    <w:rsid w:val="00013B97"/>
    <w:rsid w:val="00015203"/>
    <w:rsid w:val="0001537B"/>
    <w:rsid w:val="00015991"/>
    <w:rsid w:val="00020691"/>
    <w:rsid w:val="000215DB"/>
    <w:rsid w:val="0002223E"/>
    <w:rsid w:val="000227E4"/>
    <w:rsid w:val="000232BA"/>
    <w:rsid w:val="00024825"/>
    <w:rsid w:val="00024E66"/>
    <w:rsid w:val="00026139"/>
    <w:rsid w:val="00027071"/>
    <w:rsid w:val="00027601"/>
    <w:rsid w:val="000301F6"/>
    <w:rsid w:val="00031651"/>
    <w:rsid w:val="00033321"/>
    <w:rsid w:val="000338E5"/>
    <w:rsid w:val="00033ECC"/>
    <w:rsid w:val="0003422F"/>
    <w:rsid w:val="00034317"/>
    <w:rsid w:val="00034828"/>
    <w:rsid w:val="00034C61"/>
    <w:rsid w:val="00035B92"/>
    <w:rsid w:val="00035FF6"/>
    <w:rsid w:val="000377FB"/>
    <w:rsid w:val="00040056"/>
    <w:rsid w:val="00040415"/>
    <w:rsid w:val="000407A5"/>
    <w:rsid w:val="00040FAD"/>
    <w:rsid w:val="00044AE3"/>
    <w:rsid w:val="00045E6E"/>
    <w:rsid w:val="00046FF0"/>
    <w:rsid w:val="00050176"/>
    <w:rsid w:val="0005143A"/>
    <w:rsid w:val="0005187F"/>
    <w:rsid w:val="00051D9E"/>
    <w:rsid w:val="00054AF1"/>
    <w:rsid w:val="00054C02"/>
    <w:rsid w:val="00056088"/>
    <w:rsid w:val="0005751E"/>
    <w:rsid w:val="0006019F"/>
    <w:rsid w:val="00062B65"/>
    <w:rsid w:val="00067456"/>
    <w:rsid w:val="00070580"/>
    <w:rsid w:val="00071232"/>
    <w:rsid w:val="00071506"/>
    <w:rsid w:val="0007154F"/>
    <w:rsid w:val="0007426A"/>
    <w:rsid w:val="0007428C"/>
    <w:rsid w:val="0007430E"/>
    <w:rsid w:val="0007528A"/>
    <w:rsid w:val="0007758F"/>
    <w:rsid w:val="00077901"/>
    <w:rsid w:val="00077B5D"/>
    <w:rsid w:val="00080F50"/>
    <w:rsid w:val="00081AB1"/>
    <w:rsid w:val="00082217"/>
    <w:rsid w:val="000857EA"/>
    <w:rsid w:val="00086BB9"/>
    <w:rsid w:val="00090316"/>
    <w:rsid w:val="000915E4"/>
    <w:rsid w:val="00093872"/>
    <w:rsid w:val="00093981"/>
    <w:rsid w:val="00093CD9"/>
    <w:rsid w:val="00095BE9"/>
    <w:rsid w:val="00096AD2"/>
    <w:rsid w:val="0009775F"/>
    <w:rsid w:val="000A02AC"/>
    <w:rsid w:val="000A37FA"/>
    <w:rsid w:val="000A3AA7"/>
    <w:rsid w:val="000A4153"/>
    <w:rsid w:val="000A64BE"/>
    <w:rsid w:val="000A7214"/>
    <w:rsid w:val="000B067A"/>
    <w:rsid w:val="000B1540"/>
    <w:rsid w:val="000B1996"/>
    <w:rsid w:val="000B33FD"/>
    <w:rsid w:val="000B3560"/>
    <w:rsid w:val="000B3FE4"/>
    <w:rsid w:val="000B4ABA"/>
    <w:rsid w:val="000B4C65"/>
    <w:rsid w:val="000B7DA3"/>
    <w:rsid w:val="000B7FDE"/>
    <w:rsid w:val="000C0417"/>
    <w:rsid w:val="000C24AC"/>
    <w:rsid w:val="000C4B16"/>
    <w:rsid w:val="000C50C3"/>
    <w:rsid w:val="000C6C47"/>
    <w:rsid w:val="000C77F9"/>
    <w:rsid w:val="000D1471"/>
    <w:rsid w:val="000D21F6"/>
    <w:rsid w:val="000D42C3"/>
    <w:rsid w:val="000D4500"/>
    <w:rsid w:val="000D48DA"/>
    <w:rsid w:val="000D636B"/>
    <w:rsid w:val="000D7AEA"/>
    <w:rsid w:val="000E01A9"/>
    <w:rsid w:val="000E202F"/>
    <w:rsid w:val="000E2C66"/>
    <w:rsid w:val="000E337F"/>
    <w:rsid w:val="000E6E7D"/>
    <w:rsid w:val="000E70C5"/>
    <w:rsid w:val="000F123C"/>
    <w:rsid w:val="000F2FED"/>
    <w:rsid w:val="000F3390"/>
    <w:rsid w:val="000F3998"/>
    <w:rsid w:val="000F39CC"/>
    <w:rsid w:val="000F4B57"/>
    <w:rsid w:val="000F6C25"/>
    <w:rsid w:val="000F6EE5"/>
    <w:rsid w:val="001004B2"/>
    <w:rsid w:val="00100824"/>
    <w:rsid w:val="00102F4A"/>
    <w:rsid w:val="00104D21"/>
    <w:rsid w:val="0010616D"/>
    <w:rsid w:val="00107977"/>
    <w:rsid w:val="00110478"/>
    <w:rsid w:val="00111244"/>
    <w:rsid w:val="00111BD4"/>
    <w:rsid w:val="00112776"/>
    <w:rsid w:val="00113ED2"/>
    <w:rsid w:val="00114D8D"/>
    <w:rsid w:val="00115E8D"/>
    <w:rsid w:val="00116B0F"/>
    <w:rsid w:val="0011711B"/>
    <w:rsid w:val="0011737C"/>
    <w:rsid w:val="00117561"/>
    <w:rsid w:val="001178FD"/>
    <w:rsid w:val="00117B56"/>
    <w:rsid w:val="00117DC0"/>
    <w:rsid w:val="00117F8A"/>
    <w:rsid w:val="00121B9B"/>
    <w:rsid w:val="001220CA"/>
    <w:rsid w:val="001223EE"/>
    <w:rsid w:val="00122425"/>
    <w:rsid w:val="00122ADC"/>
    <w:rsid w:val="00122D65"/>
    <w:rsid w:val="00127F28"/>
    <w:rsid w:val="00130F59"/>
    <w:rsid w:val="00131DB7"/>
    <w:rsid w:val="00133EC0"/>
    <w:rsid w:val="001345A5"/>
    <w:rsid w:val="001367E8"/>
    <w:rsid w:val="001374E4"/>
    <w:rsid w:val="0014089B"/>
    <w:rsid w:val="00141CE5"/>
    <w:rsid w:val="0014336D"/>
    <w:rsid w:val="001440FC"/>
    <w:rsid w:val="00144908"/>
    <w:rsid w:val="0014549C"/>
    <w:rsid w:val="00145534"/>
    <w:rsid w:val="00151C16"/>
    <w:rsid w:val="00151CD3"/>
    <w:rsid w:val="001529A4"/>
    <w:rsid w:val="00152DFB"/>
    <w:rsid w:val="0015301D"/>
    <w:rsid w:val="001571C7"/>
    <w:rsid w:val="00161094"/>
    <w:rsid w:val="001627F4"/>
    <w:rsid w:val="00164EFC"/>
    <w:rsid w:val="001652B8"/>
    <w:rsid w:val="00166956"/>
    <w:rsid w:val="00171C1F"/>
    <w:rsid w:val="00172A55"/>
    <w:rsid w:val="00173A5A"/>
    <w:rsid w:val="001758CD"/>
    <w:rsid w:val="0017665C"/>
    <w:rsid w:val="00177AD2"/>
    <w:rsid w:val="001815A8"/>
    <w:rsid w:val="001840FA"/>
    <w:rsid w:val="00190079"/>
    <w:rsid w:val="00191DFA"/>
    <w:rsid w:val="0019249F"/>
    <w:rsid w:val="00193239"/>
    <w:rsid w:val="0019622E"/>
    <w:rsid w:val="001966A7"/>
    <w:rsid w:val="00197030"/>
    <w:rsid w:val="001976FF"/>
    <w:rsid w:val="0019772B"/>
    <w:rsid w:val="0019787F"/>
    <w:rsid w:val="00197CB2"/>
    <w:rsid w:val="001A12BB"/>
    <w:rsid w:val="001A3BBC"/>
    <w:rsid w:val="001A41AE"/>
    <w:rsid w:val="001A42AC"/>
    <w:rsid w:val="001A4627"/>
    <w:rsid w:val="001A4979"/>
    <w:rsid w:val="001A527E"/>
    <w:rsid w:val="001A7583"/>
    <w:rsid w:val="001B0BF8"/>
    <w:rsid w:val="001B15D3"/>
    <w:rsid w:val="001B2FE3"/>
    <w:rsid w:val="001B3443"/>
    <w:rsid w:val="001B5CDB"/>
    <w:rsid w:val="001C0326"/>
    <w:rsid w:val="001C192F"/>
    <w:rsid w:val="001C3C42"/>
    <w:rsid w:val="001D0A34"/>
    <w:rsid w:val="001D12EB"/>
    <w:rsid w:val="001D2290"/>
    <w:rsid w:val="001D2A96"/>
    <w:rsid w:val="001D4B0A"/>
    <w:rsid w:val="001D7869"/>
    <w:rsid w:val="001E02FA"/>
    <w:rsid w:val="001E1C79"/>
    <w:rsid w:val="001E28B9"/>
    <w:rsid w:val="001E3512"/>
    <w:rsid w:val="001E35D8"/>
    <w:rsid w:val="001E55FF"/>
    <w:rsid w:val="001F1DDF"/>
    <w:rsid w:val="001F2F78"/>
    <w:rsid w:val="001F30E5"/>
    <w:rsid w:val="001F32A4"/>
    <w:rsid w:val="001F6C01"/>
    <w:rsid w:val="001F752E"/>
    <w:rsid w:val="001F7771"/>
    <w:rsid w:val="00200954"/>
    <w:rsid w:val="002026CD"/>
    <w:rsid w:val="002033FC"/>
    <w:rsid w:val="002044BB"/>
    <w:rsid w:val="002047F5"/>
    <w:rsid w:val="00210B09"/>
    <w:rsid w:val="00210C9E"/>
    <w:rsid w:val="00211840"/>
    <w:rsid w:val="00215717"/>
    <w:rsid w:val="002170CA"/>
    <w:rsid w:val="00220E3A"/>
    <w:rsid w:val="00220E5F"/>
    <w:rsid w:val="002212B5"/>
    <w:rsid w:val="002222F2"/>
    <w:rsid w:val="00224075"/>
    <w:rsid w:val="00225293"/>
    <w:rsid w:val="0022558E"/>
    <w:rsid w:val="00226668"/>
    <w:rsid w:val="00233809"/>
    <w:rsid w:val="002377A3"/>
    <w:rsid w:val="00240046"/>
    <w:rsid w:val="00242543"/>
    <w:rsid w:val="00243AAA"/>
    <w:rsid w:val="00243B49"/>
    <w:rsid w:val="002447FD"/>
    <w:rsid w:val="00244A63"/>
    <w:rsid w:val="00244F53"/>
    <w:rsid w:val="00244F8A"/>
    <w:rsid w:val="0024725E"/>
    <w:rsid w:val="0024797F"/>
    <w:rsid w:val="0025119E"/>
    <w:rsid w:val="00251269"/>
    <w:rsid w:val="00252D67"/>
    <w:rsid w:val="00253523"/>
    <w:rsid w:val="002535C0"/>
    <w:rsid w:val="002579FE"/>
    <w:rsid w:val="0026311C"/>
    <w:rsid w:val="002659A4"/>
    <w:rsid w:val="0026668C"/>
    <w:rsid w:val="00266AC1"/>
    <w:rsid w:val="00266BE0"/>
    <w:rsid w:val="00266D29"/>
    <w:rsid w:val="00267CCD"/>
    <w:rsid w:val="002704B8"/>
    <w:rsid w:val="00270975"/>
    <w:rsid w:val="0027178C"/>
    <w:rsid w:val="002719FA"/>
    <w:rsid w:val="00272668"/>
    <w:rsid w:val="0027330B"/>
    <w:rsid w:val="00273E4E"/>
    <w:rsid w:val="00274455"/>
    <w:rsid w:val="002750DF"/>
    <w:rsid w:val="00275244"/>
    <w:rsid w:val="00275B09"/>
    <w:rsid w:val="002803AD"/>
    <w:rsid w:val="00282052"/>
    <w:rsid w:val="0028318D"/>
    <w:rsid w:val="00284A31"/>
    <w:rsid w:val="0028519E"/>
    <w:rsid w:val="002854E1"/>
    <w:rsid w:val="002856A5"/>
    <w:rsid w:val="002872ED"/>
    <w:rsid w:val="002905C2"/>
    <w:rsid w:val="00291523"/>
    <w:rsid w:val="0029155A"/>
    <w:rsid w:val="002935CC"/>
    <w:rsid w:val="00295A73"/>
    <w:rsid w:val="00295AF2"/>
    <w:rsid w:val="00295B04"/>
    <w:rsid w:val="00295C91"/>
    <w:rsid w:val="00295EAB"/>
    <w:rsid w:val="00296342"/>
    <w:rsid w:val="00296BBA"/>
    <w:rsid w:val="00296FB4"/>
    <w:rsid w:val="00297151"/>
    <w:rsid w:val="002A0910"/>
    <w:rsid w:val="002A194F"/>
    <w:rsid w:val="002A1FE1"/>
    <w:rsid w:val="002A4138"/>
    <w:rsid w:val="002A4DD2"/>
    <w:rsid w:val="002B20E6"/>
    <w:rsid w:val="002B33DA"/>
    <w:rsid w:val="002B3896"/>
    <w:rsid w:val="002B42A3"/>
    <w:rsid w:val="002B4CA6"/>
    <w:rsid w:val="002C0CDD"/>
    <w:rsid w:val="002C4208"/>
    <w:rsid w:val="002D1311"/>
    <w:rsid w:val="002D1810"/>
    <w:rsid w:val="002D2E61"/>
    <w:rsid w:val="002D372D"/>
    <w:rsid w:val="002D5B60"/>
    <w:rsid w:val="002D5D83"/>
    <w:rsid w:val="002D693D"/>
    <w:rsid w:val="002D7467"/>
    <w:rsid w:val="002D7541"/>
    <w:rsid w:val="002E08C6"/>
    <w:rsid w:val="002E11CB"/>
    <w:rsid w:val="002E13BC"/>
    <w:rsid w:val="002E1A1D"/>
    <w:rsid w:val="002E264A"/>
    <w:rsid w:val="002E2ECB"/>
    <w:rsid w:val="002E36F4"/>
    <w:rsid w:val="002E4081"/>
    <w:rsid w:val="002E4411"/>
    <w:rsid w:val="002E4933"/>
    <w:rsid w:val="002E5B78"/>
    <w:rsid w:val="002E725B"/>
    <w:rsid w:val="002F04E6"/>
    <w:rsid w:val="002F0D92"/>
    <w:rsid w:val="002F0E6B"/>
    <w:rsid w:val="002F130B"/>
    <w:rsid w:val="002F2035"/>
    <w:rsid w:val="002F2927"/>
    <w:rsid w:val="002F3AE3"/>
    <w:rsid w:val="002F3AE7"/>
    <w:rsid w:val="002F4D7B"/>
    <w:rsid w:val="00301C35"/>
    <w:rsid w:val="00303001"/>
    <w:rsid w:val="0030464B"/>
    <w:rsid w:val="00305E0C"/>
    <w:rsid w:val="00306873"/>
    <w:rsid w:val="00306A11"/>
    <w:rsid w:val="0030786C"/>
    <w:rsid w:val="00307FCE"/>
    <w:rsid w:val="00310BEF"/>
    <w:rsid w:val="00310F92"/>
    <w:rsid w:val="00311A36"/>
    <w:rsid w:val="00312105"/>
    <w:rsid w:val="0031391E"/>
    <w:rsid w:val="00316640"/>
    <w:rsid w:val="00316A3C"/>
    <w:rsid w:val="003209AE"/>
    <w:rsid w:val="0032303E"/>
    <w:rsid w:val="003233DE"/>
    <w:rsid w:val="00324530"/>
    <w:rsid w:val="0032466B"/>
    <w:rsid w:val="0032544A"/>
    <w:rsid w:val="00326B42"/>
    <w:rsid w:val="00326CD5"/>
    <w:rsid w:val="0032704A"/>
    <w:rsid w:val="00327B44"/>
    <w:rsid w:val="003316F7"/>
    <w:rsid w:val="0033237E"/>
    <w:rsid w:val="003330EB"/>
    <w:rsid w:val="003339CE"/>
    <w:rsid w:val="00334947"/>
    <w:rsid w:val="00336605"/>
    <w:rsid w:val="00336ABC"/>
    <w:rsid w:val="00337997"/>
    <w:rsid w:val="003403F3"/>
    <w:rsid w:val="003415EA"/>
    <w:rsid w:val="003415FD"/>
    <w:rsid w:val="00342840"/>
    <w:rsid w:val="003429F0"/>
    <w:rsid w:val="00342C0F"/>
    <w:rsid w:val="00342D1A"/>
    <w:rsid w:val="003444B4"/>
    <w:rsid w:val="00344EEF"/>
    <w:rsid w:val="00345CA4"/>
    <w:rsid w:val="00346B2E"/>
    <w:rsid w:val="00350942"/>
    <w:rsid w:val="0035097A"/>
    <w:rsid w:val="00351E9D"/>
    <w:rsid w:val="00354039"/>
    <w:rsid w:val="003540A4"/>
    <w:rsid w:val="00356919"/>
    <w:rsid w:val="00360E4E"/>
    <w:rsid w:val="003616FB"/>
    <w:rsid w:val="0036188E"/>
    <w:rsid w:val="00362629"/>
    <w:rsid w:val="00366CC9"/>
    <w:rsid w:val="00366E36"/>
    <w:rsid w:val="00370836"/>
    <w:rsid w:val="00370AAA"/>
    <w:rsid w:val="00371830"/>
    <w:rsid w:val="00373FE3"/>
    <w:rsid w:val="00375F77"/>
    <w:rsid w:val="00377A78"/>
    <w:rsid w:val="003813ED"/>
    <w:rsid w:val="0038146F"/>
    <w:rsid w:val="00381BBE"/>
    <w:rsid w:val="00382903"/>
    <w:rsid w:val="003838C7"/>
    <w:rsid w:val="003846FF"/>
    <w:rsid w:val="00384C64"/>
    <w:rsid w:val="00385AD4"/>
    <w:rsid w:val="00386BED"/>
    <w:rsid w:val="00387441"/>
    <w:rsid w:val="00387924"/>
    <w:rsid w:val="003908D2"/>
    <w:rsid w:val="00390E42"/>
    <w:rsid w:val="0039384D"/>
    <w:rsid w:val="00395B1B"/>
    <w:rsid w:val="00395C23"/>
    <w:rsid w:val="00396435"/>
    <w:rsid w:val="00396880"/>
    <w:rsid w:val="00396D56"/>
    <w:rsid w:val="003A16EE"/>
    <w:rsid w:val="003A2E4F"/>
    <w:rsid w:val="003A3ADF"/>
    <w:rsid w:val="003A3DCB"/>
    <w:rsid w:val="003A4438"/>
    <w:rsid w:val="003A4C24"/>
    <w:rsid w:val="003A5013"/>
    <w:rsid w:val="003A5078"/>
    <w:rsid w:val="003A62DD"/>
    <w:rsid w:val="003A6FB9"/>
    <w:rsid w:val="003A775A"/>
    <w:rsid w:val="003B0DAB"/>
    <w:rsid w:val="003B0ED9"/>
    <w:rsid w:val="003B213A"/>
    <w:rsid w:val="003B43AD"/>
    <w:rsid w:val="003B621D"/>
    <w:rsid w:val="003C0FEC"/>
    <w:rsid w:val="003C15B8"/>
    <w:rsid w:val="003C2AC8"/>
    <w:rsid w:val="003C2C9A"/>
    <w:rsid w:val="003C46A6"/>
    <w:rsid w:val="003C5136"/>
    <w:rsid w:val="003C6382"/>
    <w:rsid w:val="003D0DFF"/>
    <w:rsid w:val="003D17F9"/>
    <w:rsid w:val="003D2D88"/>
    <w:rsid w:val="003D3670"/>
    <w:rsid w:val="003D41EA"/>
    <w:rsid w:val="003D4850"/>
    <w:rsid w:val="003D535A"/>
    <w:rsid w:val="003D559E"/>
    <w:rsid w:val="003D55D3"/>
    <w:rsid w:val="003D58A7"/>
    <w:rsid w:val="003E49F6"/>
    <w:rsid w:val="003E5265"/>
    <w:rsid w:val="003E7240"/>
    <w:rsid w:val="003F0274"/>
    <w:rsid w:val="003F0955"/>
    <w:rsid w:val="003F10FF"/>
    <w:rsid w:val="003F2705"/>
    <w:rsid w:val="003F2BA2"/>
    <w:rsid w:val="003F312B"/>
    <w:rsid w:val="003F60A3"/>
    <w:rsid w:val="003F6FE1"/>
    <w:rsid w:val="003F7BD6"/>
    <w:rsid w:val="00400657"/>
    <w:rsid w:val="00400F00"/>
    <w:rsid w:val="00404F8B"/>
    <w:rsid w:val="00405256"/>
    <w:rsid w:val="00405320"/>
    <w:rsid w:val="004054E7"/>
    <w:rsid w:val="00410031"/>
    <w:rsid w:val="00410B89"/>
    <w:rsid w:val="004115A2"/>
    <w:rsid w:val="00412197"/>
    <w:rsid w:val="00412294"/>
    <w:rsid w:val="00414703"/>
    <w:rsid w:val="00415C81"/>
    <w:rsid w:val="004165E9"/>
    <w:rsid w:val="00416731"/>
    <w:rsid w:val="00417F72"/>
    <w:rsid w:val="0042377C"/>
    <w:rsid w:val="00425518"/>
    <w:rsid w:val="004261A4"/>
    <w:rsid w:val="00427359"/>
    <w:rsid w:val="00432378"/>
    <w:rsid w:val="00432E07"/>
    <w:rsid w:val="00434CA4"/>
    <w:rsid w:val="00436AAD"/>
    <w:rsid w:val="004379BA"/>
    <w:rsid w:val="00440403"/>
    <w:rsid w:val="00440D65"/>
    <w:rsid w:val="00443117"/>
    <w:rsid w:val="004435E6"/>
    <w:rsid w:val="004440A4"/>
    <w:rsid w:val="004442EE"/>
    <w:rsid w:val="00444C8D"/>
    <w:rsid w:val="00445E83"/>
    <w:rsid w:val="004469DE"/>
    <w:rsid w:val="00446D47"/>
    <w:rsid w:val="00447636"/>
    <w:rsid w:val="00447E31"/>
    <w:rsid w:val="00451C29"/>
    <w:rsid w:val="0045236F"/>
    <w:rsid w:val="00453354"/>
    <w:rsid w:val="00453923"/>
    <w:rsid w:val="00454B9B"/>
    <w:rsid w:val="00455263"/>
    <w:rsid w:val="00457858"/>
    <w:rsid w:val="00460B0B"/>
    <w:rsid w:val="00460F24"/>
    <w:rsid w:val="00461023"/>
    <w:rsid w:val="00461C61"/>
    <w:rsid w:val="00462FAC"/>
    <w:rsid w:val="0046333E"/>
    <w:rsid w:val="00464631"/>
    <w:rsid w:val="004646F8"/>
    <w:rsid w:val="00464B79"/>
    <w:rsid w:val="00464CF8"/>
    <w:rsid w:val="00466838"/>
    <w:rsid w:val="004670ED"/>
    <w:rsid w:val="00467646"/>
    <w:rsid w:val="00467BBF"/>
    <w:rsid w:val="00485325"/>
    <w:rsid w:val="004859BA"/>
    <w:rsid w:val="0048649A"/>
    <w:rsid w:val="004867E2"/>
    <w:rsid w:val="00490A4F"/>
    <w:rsid w:val="00492206"/>
    <w:rsid w:val="004929A9"/>
    <w:rsid w:val="0049319B"/>
    <w:rsid w:val="004938F3"/>
    <w:rsid w:val="0049687E"/>
    <w:rsid w:val="004A0546"/>
    <w:rsid w:val="004A080A"/>
    <w:rsid w:val="004A0817"/>
    <w:rsid w:val="004A25E6"/>
    <w:rsid w:val="004A4658"/>
    <w:rsid w:val="004A4D83"/>
    <w:rsid w:val="004A50AC"/>
    <w:rsid w:val="004A5530"/>
    <w:rsid w:val="004A7111"/>
    <w:rsid w:val="004B28EF"/>
    <w:rsid w:val="004B36ED"/>
    <w:rsid w:val="004C2FEC"/>
    <w:rsid w:val="004C5049"/>
    <w:rsid w:val="004C6BCF"/>
    <w:rsid w:val="004D0D8D"/>
    <w:rsid w:val="004D41C0"/>
    <w:rsid w:val="004D5605"/>
    <w:rsid w:val="004D58BF"/>
    <w:rsid w:val="004D6589"/>
    <w:rsid w:val="004E0982"/>
    <w:rsid w:val="004E33D5"/>
    <w:rsid w:val="004E4335"/>
    <w:rsid w:val="004E5ACF"/>
    <w:rsid w:val="004F13EE"/>
    <w:rsid w:val="004F1AAF"/>
    <w:rsid w:val="004F2022"/>
    <w:rsid w:val="004F3DEB"/>
    <w:rsid w:val="004F5737"/>
    <w:rsid w:val="004F689A"/>
    <w:rsid w:val="004F7C05"/>
    <w:rsid w:val="00501823"/>
    <w:rsid w:val="00501C94"/>
    <w:rsid w:val="00504359"/>
    <w:rsid w:val="00505F4F"/>
    <w:rsid w:val="00506432"/>
    <w:rsid w:val="00506953"/>
    <w:rsid w:val="0051242B"/>
    <w:rsid w:val="005130EE"/>
    <w:rsid w:val="005164BD"/>
    <w:rsid w:val="00516620"/>
    <w:rsid w:val="0052051D"/>
    <w:rsid w:val="00521797"/>
    <w:rsid w:val="0052209F"/>
    <w:rsid w:val="005227B0"/>
    <w:rsid w:val="00523953"/>
    <w:rsid w:val="00524256"/>
    <w:rsid w:val="00525350"/>
    <w:rsid w:val="005257B0"/>
    <w:rsid w:val="005269F8"/>
    <w:rsid w:val="00531307"/>
    <w:rsid w:val="00532CF0"/>
    <w:rsid w:val="00532F61"/>
    <w:rsid w:val="0053310B"/>
    <w:rsid w:val="00533286"/>
    <w:rsid w:val="00535F81"/>
    <w:rsid w:val="00537F58"/>
    <w:rsid w:val="00544298"/>
    <w:rsid w:val="00545EE6"/>
    <w:rsid w:val="00552B9B"/>
    <w:rsid w:val="005534DF"/>
    <w:rsid w:val="005550E7"/>
    <w:rsid w:val="005564FB"/>
    <w:rsid w:val="005572C7"/>
    <w:rsid w:val="00557FD1"/>
    <w:rsid w:val="005614E8"/>
    <w:rsid w:val="0056465A"/>
    <w:rsid w:val="00564878"/>
    <w:rsid w:val="005650ED"/>
    <w:rsid w:val="005655F8"/>
    <w:rsid w:val="00565861"/>
    <w:rsid w:val="00566A44"/>
    <w:rsid w:val="00570AD8"/>
    <w:rsid w:val="00571C42"/>
    <w:rsid w:val="00575754"/>
    <w:rsid w:val="005761DA"/>
    <w:rsid w:val="00576355"/>
    <w:rsid w:val="00577569"/>
    <w:rsid w:val="005776BD"/>
    <w:rsid w:val="005829BB"/>
    <w:rsid w:val="00584A8A"/>
    <w:rsid w:val="00587896"/>
    <w:rsid w:val="005906C2"/>
    <w:rsid w:val="00590AF4"/>
    <w:rsid w:val="00591E20"/>
    <w:rsid w:val="00594C86"/>
    <w:rsid w:val="005952B3"/>
    <w:rsid w:val="00595408"/>
    <w:rsid w:val="00595E84"/>
    <w:rsid w:val="00597D79"/>
    <w:rsid w:val="005A0C59"/>
    <w:rsid w:val="005A48EB"/>
    <w:rsid w:val="005A4905"/>
    <w:rsid w:val="005A614F"/>
    <w:rsid w:val="005A6CFB"/>
    <w:rsid w:val="005B090F"/>
    <w:rsid w:val="005B1394"/>
    <w:rsid w:val="005B2812"/>
    <w:rsid w:val="005B300F"/>
    <w:rsid w:val="005B513D"/>
    <w:rsid w:val="005B68FE"/>
    <w:rsid w:val="005C1823"/>
    <w:rsid w:val="005C1947"/>
    <w:rsid w:val="005C1BF5"/>
    <w:rsid w:val="005C247F"/>
    <w:rsid w:val="005C2BBF"/>
    <w:rsid w:val="005C5224"/>
    <w:rsid w:val="005C5AEB"/>
    <w:rsid w:val="005D1A74"/>
    <w:rsid w:val="005D45F4"/>
    <w:rsid w:val="005D503F"/>
    <w:rsid w:val="005D7F5C"/>
    <w:rsid w:val="005E0A3F"/>
    <w:rsid w:val="005E553A"/>
    <w:rsid w:val="005E6883"/>
    <w:rsid w:val="005E772F"/>
    <w:rsid w:val="005F0F1D"/>
    <w:rsid w:val="005F2AF2"/>
    <w:rsid w:val="005F4744"/>
    <w:rsid w:val="005F4A8A"/>
    <w:rsid w:val="005F4ECA"/>
    <w:rsid w:val="005F5371"/>
    <w:rsid w:val="005F5CA5"/>
    <w:rsid w:val="005F67E0"/>
    <w:rsid w:val="005F6929"/>
    <w:rsid w:val="005F6EF1"/>
    <w:rsid w:val="006041BE"/>
    <w:rsid w:val="006043C7"/>
    <w:rsid w:val="00604562"/>
    <w:rsid w:val="0060544A"/>
    <w:rsid w:val="00612FA8"/>
    <w:rsid w:val="00613FB4"/>
    <w:rsid w:val="0061541E"/>
    <w:rsid w:val="006159AF"/>
    <w:rsid w:val="00616E1F"/>
    <w:rsid w:val="0062054E"/>
    <w:rsid w:val="00623912"/>
    <w:rsid w:val="006243C8"/>
    <w:rsid w:val="00624B52"/>
    <w:rsid w:val="006268D8"/>
    <w:rsid w:val="00626DA7"/>
    <w:rsid w:val="00627F68"/>
    <w:rsid w:val="00630B4D"/>
    <w:rsid w:val="00631DF4"/>
    <w:rsid w:val="006320C1"/>
    <w:rsid w:val="00634175"/>
    <w:rsid w:val="0063492B"/>
    <w:rsid w:val="00635FF0"/>
    <w:rsid w:val="006379F6"/>
    <w:rsid w:val="006408AC"/>
    <w:rsid w:val="006421F8"/>
    <w:rsid w:val="006432AB"/>
    <w:rsid w:val="00646527"/>
    <w:rsid w:val="006511B6"/>
    <w:rsid w:val="00652742"/>
    <w:rsid w:val="00653A2A"/>
    <w:rsid w:val="00654CE8"/>
    <w:rsid w:val="006567A0"/>
    <w:rsid w:val="00657384"/>
    <w:rsid w:val="006576E7"/>
    <w:rsid w:val="00657C99"/>
    <w:rsid w:val="00657FF8"/>
    <w:rsid w:val="00661AA8"/>
    <w:rsid w:val="00662216"/>
    <w:rsid w:val="00663A38"/>
    <w:rsid w:val="00667498"/>
    <w:rsid w:val="00670B92"/>
    <w:rsid w:val="00670D99"/>
    <w:rsid w:val="00670E2B"/>
    <w:rsid w:val="00672743"/>
    <w:rsid w:val="00672AD8"/>
    <w:rsid w:val="006734BB"/>
    <w:rsid w:val="0067356D"/>
    <w:rsid w:val="00673E70"/>
    <w:rsid w:val="0067573E"/>
    <w:rsid w:val="006774AF"/>
    <w:rsid w:val="006774F3"/>
    <w:rsid w:val="00681A34"/>
    <w:rsid w:val="006821EB"/>
    <w:rsid w:val="006823E4"/>
    <w:rsid w:val="00687E1A"/>
    <w:rsid w:val="00690B98"/>
    <w:rsid w:val="00693F65"/>
    <w:rsid w:val="006A2762"/>
    <w:rsid w:val="006A3CC1"/>
    <w:rsid w:val="006A498C"/>
    <w:rsid w:val="006A64DB"/>
    <w:rsid w:val="006A6BB2"/>
    <w:rsid w:val="006B13F6"/>
    <w:rsid w:val="006B2286"/>
    <w:rsid w:val="006B2D47"/>
    <w:rsid w:val="006B56BB"/>
    <w:rsid w:val="006B56ED"/>
    <w:rsid w:val="006B7262"/>
    <w:rsid w:val="006B78A2"/>
    <w:rsid w:val="006C2DAA"/>
    <w:rsid w:val="006C3314"/>
    <w:rsid w:val="006C3A57"/>
    <w:rsid w:val="006C417E"/>
    <w:rsid w:val="006C77A8"/>
    <w:rsid w:val="006D1E82"/>
    <w:rsid w:val="006D364C"/>
    <w:rsid w:val="006D4098"/>
    <w:rsid w:val="006D4CD1"/>
    <w:rsid w:val="006D5EDA"/>
    <w:rsid w:val="006D759A"/>
    <w:rsid w:val="006D7681"/>
    <w:rsid w:val="006D7B2E"/>
    <w:rsid w:val="006E02EA"/>
    <w:rsid w:val="006E035D"/>
    <w:rsid w:val="006E03C9"/>
    <w:rsid w:val="006E0968"/>
    <w:rsid w:val="006E2AF6"/>
    <w:rsid w:val="006E3B8B"/>
    <w:rsid w:val="006E4A27"/>
    <w:rsid w:val="006E65E6"/>
    <w:rsid w:val="006F12F5"/>
    <w:rsid w:val="006F55CD"/>
    <w:rsid w:val="006F59AE"/>
    <w:rsid w:val="006F6A6F"/>
    <w:rsid w:val="006F7895"/>
    <w:rsid w:val="00700FC6"/>
    <w:rsid w:val="00701275"/>
    <w:rsid w:val="00701C55"/>
    <w:rsid w:val="00702AAD"/>
    <w:rsid w:val="00704AA3"/>
    <w:rsid w:val="00707D0D"/>
    <w:rsid w:val="00707F56"/>
    <w:rsid w:val="00711D24"/>
    <w:rsid w:val="00712228"/>
    <w:rsid w:val="00713558"/>
    <w:rsid w:val="00715110"/>
    <w:rsid w:val="007154C9"/>
    <w:rsid w:val="00715542"/>
    <w:rsid w:val="00716664"/>
    <w:rsid w:val="007167B8"/>
    <w:rsid w:val="00716B66"/>
    <w:rsid w:val="00720CA5"/>
    <w:rsid w:val="00720D08"/>
    <w:rsid w:val="00721753"/>
    <w:rsid w:val="00722FAD"/>
    <w:rsid w:val="00723760"/>
    <w:rsid w:val="00723A41"/>
    <w:rsid w:val="007263B9"/>
    <w:rsid w:val="00727560"/>
    <w:rsid w:val="00727FB4"/>
    <w:rsid w:val="0073170D"/>
    <w:rsid w:val="007334F8"/>
    <w:rsid w:val="007339CD"/>
    <w:rsid w:val="007357F7"/>
    <w:rsid w:val="007359D8"/>
    <w:rsid w:val="007362D4"/>
    <w:rsid w:val="007379DD"/>
    <w:rsid w:val="00742301"/>
    <w:rsid w:val="00744F77"/>
    <w:rsid w:val="00745207"/>
    <w:rsid w:val="0074521B"/>
    <w:rsid w:val="007453AE"/>
    <w:rsid w:val="007473DF"/>
    <w:rsid w:val="00750CBD"/>
    <w:rsid w:val="00751A23"/>
    <w:rsid w:val="007540DD"/>
    <w:rsid w:val="00755070"/>
    <w:rsid w:val="007563E1"/>
    <w:rsid w:val="00763B9B"/>
    <w:rsid w:val="007662CC"/>
    <w:rsid w:val="0076672A"/>
    <w:rsid w:val="00766CFF"/>
    <w:rsid w:val="0077139D"/>
    <w:rsid w:val="007730D3"/>
    <w:rsid w:val="0077345A"/>
    <w:rsid w:val="00773C4E"/>
    <w:rsid w:val="00775DE3"/>
    <w:rsid w:val="00775E45"/>
    <w:rsid w:val="00776D26"/>
    <w:rsid w:val="00776E74"/>
    <w:rsid w:val="0078098E"/>
    <w:rsid w:val="00782699"/>
    <w:rsid w:val="007826CF"/>
    <w:rsid w:val="00785169"/>
    <w:rsid w:val="00785808"/>
    <w:rsid w:val="007905D0"/>
    <w:rsid w:val="00791CA7"/>
    <w:rsid w:val="007954AB"/>
    <w:rsid w:val="00795BAF"/>
    <w:rsid w:val="007A02B7"/>
    <w:rsid w:val="007A14C5"/>
    <w:rsid w:val="007A3E38"/>
    <w:rsid w:val="007A4A10"/>
    <w:rsid w:val="007A6DCE"/>
    <w:rsid w:val="007B0DED"/>
    <w:rsid w:val="007B1760"/>
    <w:rsid w:val="007B2784"/>
    <w:rsid w:val="007B31A6"/>
    <w:rsid w:val="007B3D03"/>
    <w:rsid w:val="007B3D37"/>
    <w:rsid w:val="007B4F18"/>
    <w:rsid w:val="007B5B51"/>
    <w:rsid w:val="007B73D5"/>
    <w:rsid w:val="007C0A1D"/>
    <w:rsid w:val="007C0A91"/>
    <w:rsid w:val="007C2556"/>
    <w:rsid w:val="007C5543"/>
    <w:rsid w:val="007C581C"/>
    <w:rsid w:val="007C6CA3"/>
    <w:rsid w:val="007C6D9C"/>
    <w:rsid w:val="007C7DDB"/>
    <w:rsid w:val="007D0C2E"/>
    <w:rsid w:val="007D131C"/>
    <w:rsid w:val="007D1C1D"/>
    <w:rsid w:val="007D1F49"/>
    <w:rsid w:val="007D2CC7"/>
    <w:rsid w:val="007D33F2"/>
    <w:rsid w:val="007D51A7"/>
    <w:rsid w:val="007D5ECC"/>
    <w:rsid w:val="007D673D"/>
    <w:rsid w:val="007D6C9D"/>
    <w:rsid w:val="007E0750"/>
    <w:rsid w:val="007E3491"/>
    <w:rsid w:val="007F2220"/>
    <w:rsid w:val="007F33F3"/>
    <w:rsid w:val="007F3AE9"/>
    <w:rsid w:val="007F4B3E"/>
    <w:rsid w:val="007F5272"/>
    <w:rsid w:val="007F588A"/>
    <w:rsid w:val="007F647E"/>
    <w:rsid w:val="007F6603"/>
    <w:rsid w:val="007F6F40"/>
    <w:rsid w:val="007F7CB1"/>
    <w:rsid w:val="008002F5"/>
    <w:rsid w:val="00802645"/>
    <w:rsid w:val="008026C0"/>
    <w:rsid w:val="008042C5"/>
    <w:rsid w:val="008053F4"/>
    <w:rsid w:val="00810631"/>
    <w:rsid w:val="0081180E"/>
    <w:rsid w:val="00811B75"/>
    <w:rsid w:val="008127AF"/>
    <w:rsid w:val="00812B46"/>
    <w:rsid w:val="008139F2"/>
    <w:rsid w:val="00814B05"/>
    <w:rsid w:val="00815285"/>
    <w:rsid w:val="00815700"/>
    <w:rsid w:val="008159C2"/>
    <w:rsid w:val="00815A6A"/>
    <w:rsid w:val="00817A1E"/>
    <w:rsid w:val="00817B70"/>
    <w:rsid w:val="00823A91"/>
    <w:rsid w:val="0082606D"/>
    <w:rsid w:val="008264EB"/>
    <w:rsid w:val="00826A50"/>
    <w:rsid w:val="00826B8F"/>
    <w:rsid w:val="00827C86"/>
    <w:rsid w:val="00831E8A"/>
    <w:rsid w:val="00831F5F"/>
    <w:rsid w:val="00833804"/>
    <w:rsid w:val="00833C3B"/>
    <w:rsid w:val="00835C76"/>
    <w:rsid w:val="00836290"/>
    <w:rsid w:val="00836AA3"/>
    <w:rsid w:val="00836B44"/>
    <w:rsid w:val="00840C38"/>
    <w:rsid w:val="00841C01"/>
    <w:rsid w:val="008421A2"/>
    <w:rsid w:val="00843032"/>
    <w:rsid w:val="00843049"/>
    <w:rsid w:val="00843397"/>
    <w:rsid w:val="00843C01"/>
    <w:rsid w:val="008452CF"/>
    <w:rsid w:val="00851D95"/>
    <w:rsid w:val="0085209B"/>
    <w:rsid w:val="008525A1"/>
    <w:rsid w:val="00852708"/>
    <w:rsid w:val="008536E4"/>
    <w:rsid w:val="00853A21"/>
    <w:rsid w:val="00856B66"/>
    <w:rsid w:val="008577CE"/>
    <w:rsid w:val="00860CFA"/>
    <w:rsid w:val="008611FF"/>
    <w:rsid w:val="00861965"/>
    <w:rsid w:val="00861A5F"/>
    <w:rsid w:val="00861CB3"/>
    <w:rsid w:val="00862D9A"/>
    <w:rsid w:val="00862E34"/>
    <w:rsid w:val="00863241"/>
    <w:rsid w:val="00863A7D"/>
    <w:rsid w:val="00863E59"/>
    <w:rsid w:val="008640C2"/>
    <w:rsid w:val="008644AD"/>
    <w:rsid w:val="00864C55"/>
    <w:rsid w:val="00865735"/>
    <w:rsid w:val="00865DDB"/>
    <w:rsid w:val="00865DF5"/>
    <w:rsid w:val="00865E6C"/>
    <w:rsid w:val="00866E7B"/>
    <w:rsid w:val="00867538"/>
    <w:rsid w:val="00867A13"/>
    <w:rsid w:val="00872BC5"/>
    <w:rsid w:val="00872D0B"/>
    <w:rsid w:val="00873D90"/>
    <w:rsid w:val="00873FC8"/>
    <w:rsid w:val="00877715"/>
    <w:rsid w:val="00877C61"/>
    <w:rsid w:val="00882E65"/>
    <w:rsid w:val="008833EB"/>
    <w:rsid w:val="0088469C"/>
    <w:rsid w:val="00884C63"/>
    <w:rsid w:val="00884CA7"/>
    <w:rsid w:val="00885908"/>
    <w:rsid w:val="00885BFC"/>
    <w:rsid w:val="008864B7"/>
    <w:rsid w:val="00886815"/>
    <w:rsid w:val="00887172"/>
    <w:rsid w:val="008875C7"/>
    <w:rsid w:val="008878AB"/>
    <w:rsid w:val="00887DFD"/>
    <w:rsid w:val="00890117"/>
    <w:rsid w:val="0089599D"/>
    <w:rsid w:val="0089677E"/>
    <w:rsid w:val="00896E8C"/>
    <w:rsid w:val="008970E4"/>
    <w:rsid w:val="00897ECC"/>
    <w:rsid w:val="00897FB6"/>
    <w:rsid w:val="008A0B62"/>
    <w:rsid w:val="008A2FD9"/>
    <w:rsid w:val="008A3F84"/>
    <w:rsid w:val="008A4490"/>
    <w:rsid w:val="008A5906"/>
    <w:rsid w:val="008A7438"/>
    <w:rsid w:val="008A755D"/>
    <w:rsid w:val="008A7BD7"/>
    <w:rsid w:val="008B1334"/>
    <w:rsid w:val="008B464A"/>
    <w:rsid w:val="008B497E"/>
    <w:rsid w:val="008B5948"/>
    <w:rsid w:val="008C0278"/>
    <w:rsid w:val="008C24E9"/>
    <w:rsid w:val="008D0533"/>
    <w:rsid w:val="008D42CB"/>
    <w:rsid w:val="008D48C9"/>
    <w:rsid w:val="008D5B79"/>
    <w:rsid w:val="008D6091"/>
    <w:rsid w:val="008D6381"/>
    <w:rsid w:val="008E0C77"/>
    <w:rsid w:val="008E2B28"/>
    <w:rsid w:val="008E57BD"/>
    <w:rsid w:val="008E625F"/>
    <w:rsid w:val="008F101F"/>
    <w:rsid w:val="008F264D"/>
    <w:rsid w:val="008F27BD"/>
    <w:rsid w:val="008F30CA"/>
    <w:rsid w:val="008F5495"/>
    <w:rsid w:val="008F57DD"/>
    <w:rsid w:val="008F6241"/>
    <w:rsid w:val="008F66EE"/>
    <w:rsid w:val="008F7518"/>
    <w:rsid w:val="00901460"/>
    <w:rsid w:val="009027C5"/>
    <w:rsid w:val="0090298B"/>
    <w:rsid w:val="00902FC9"/>
    <w:rsid w:val="009074E1"/>
    <w:rsid w:val="009112F7"/>
    <w:rsid w:val="009116CE"/>
    <w:rsid w:val="009122AF"/>
    <w:rsid w:val="009127BC"/>
    <w:rsid w:val="00912D54"/>
    <w:rsid w:val="0091389F"/>
    <w:rsid w:val="009151C6"/>
    <w:rsid w:val="009208F7"/>
    <w:rsid w:val="00922139"/>
    <w:rsid w:val="00922517"/>
    <w:rsid w:val="00922722"/>
    <w:rsid w:val="0092549B"/>
    <w:rsid w:val="009261E6"/>
    <w:rsid w:val="009268E1"/>
    <w:rsid w:val="00926AC4"/>
    <w:rsid w:val="009273CF"/>
    <w:rsid w:val="00927EFD"/>
    <w:rsid w:val="00931494"/>
    <w:rsid w:val="00931A07"/>
    <w:rsid w:val="0093281C"/>
    <w:rsid w:val="00934368"/>
    <w:rsid w:val="00936A3B"/>
    <w:rsid w:val="00937892"/>
    <w:rsid w:val="00940B7D"/>
    <w:rsid w:val="00945E7F"/>
    <w:rsid w:val="00946070"/>
    <w:rsid w:val="00947599"/>
    <w:rsid w:val="009507A9"/>
    <w:rsid w:val="00954EEE"/>
    <w:rsid w:val="009557C1"/>
    <w:rsid w:val="009562BD"/>
    <w:rsid w:val="00957AF4"/>
    <w:rsid w:val="00960126"/>
    <w:rsid w:val="00960D6E"/>
    <w:rsid w:val="00961D3E"/>
    <w:rsid w:val="00963096"/>
    <w:rsid w:val="0097115C"/>
    <w:rsid w:val="009725DD"/>
    <w:rsid w:val="00972BB4"/>
    <w:rsid w:val="00972BC1"/>
    <w:rsid w:val="00974B59"/>
    <w:rsid w:val="00975579"/>
    <w:rsid w:val="009767D5"/>
    <w:rsid w:val="0098340B"/>
    <w:rsid w:val="00983B04"/>
    <w:rsid w:val="00984ED5"/>
    <w:rsid w:val="00985822"/>
    <w:rsid w:val="009863B5"/>
    <w:rsid w:val="00986830"/>
    <w:rsid w:val="00986DC9"/>
    <w:rsid w:val="00987909"/>
    <w:rsid w:val="00990B64"/>
    <w:rsid w:val="00990F7B"/>
    <w:rsid w:val="009924C3"/>
    <w:rsid w:val="00993102"/>
    <w:rsid w:val="009931FC"/>
    <w:rsid w:val="00993338"/>
    <w:rsid w:val="00994BCD"/>
    <w:rsid w:val="00996149"/>
    <w:rsid w:val="00997BDE"/>
    <w:rsid w:val="009A4C0A"/>
    <w:rsid w:val="009A5842"/>
    <w:rsid w:val="009A595A"/>
    <w:rsid w:val="009A5A0A"/>
    <w:rsid w:val="009A7E32"/>
    <w:rsid w:val="009B1634"/>
    <w:rsid w:val="009B2103"/>
    <w:rsid w:val="009B262A"/>
    <w:rsid w:val="009B30E2"/>
    <w:rsid w:val="009B4CBE"/>
    <w:rsid w:val="009B56EB"/>
    <w:rsid w:val="009B5A77"/>
    <w:rsid w:val="009C103B"/>
    <w:rsid w:val="009C3B6A"/>
    <w:rsid w:val="009C4A39"/>
    <w:rsid w:val="009C6F10"/>
    <w:rsid w:val="009C7FFD"/>
    <w:rsid w:val="009D03B7"/>
    <w:rsid w:val="009D148F"/>
    <w:rsid w:val="009D3D70"/>
    <w:rsid w:val="009D4BEA"/>
    <w:rsid w:val="009D4CE5"/>
    <w:rsid w:val="009D5449"/>
    <w:rsid w:val="009D62FA"/>
    <w:rsid w:val="009D63E6"/>
    <w:rsid w:val="009E0545"/>
    <w:rsid w:val="009E3E41"/>
    <w:rsid w:val="009E58B5"/>
    <w:rsid w:val="009E6F7E"/>
    <w:rsid w:val="009E7A57"/>
    <w:rsid w:val="009F1831"/>
    <w:rsid w:val="009F25F1"/>
    <w:rsid w:val="009F29F9"/>
    <w:rsid w:val="009F3973"/>
    <w:rsid w:val="009F4F6A"/>
    <w:rsid w:val="009F7645"/>
    <w:rsid w:val="00A00788"/>
    <w:rsid w:val="00A01F53"/>
    <w:rsid w:val="00A04084"/>
    <w:rsid w:val="00A052DB"/>
    <w:rsid w:val="00A07140"/>
    <w:rsid w:val="00A07147"/>
    <w:rsid w:val="00A076D5"/>
    <w:rsid w:val="00A11B7A"/>
    <w:rsid w:val="00A121F2"/>
    <w:rsid w:val="00A12681"/>
    <w:rsid w:val="00A12B7B"/>
    <w:rsid w:val="00A138F5"/>
    <w:rsid w:val="00A1448F"/>
    <w:rsid w:val="00A14F2B"/>
    <w:rsid w:val="00A1536F"/>
    <w:rsid w:val="00A16E36"/>
    <w:rsid w:val="00A17B03"/>
    <w:rsid w:val="00A20DED"/>
    <w:rsid w:val="00A23811"/>
    <w:rsid w:val="00A24961"/>
    <w:rsid w:val="00A24B10"/>
    <w:rsid w:val="00A250C8"/>
    <w:rsid w:val="00A30E9B"/>
    <w:rsid w:val="00A313FA"/>
    <w:rsid w:val="00A31BCB"/>
    <w:rsid w:val="00A32E92"/>
    <w:rsid w:val="00A41952"/>
    <w:rsid w:val="00A43C53"/>
    <w:rsid w:val="00A44816"/>
    <w:rsid w:val="00A4512D"/>
    <w:rsid w:val="00A45D00"/>
    <w:rsid w:val="00A45F89"/>
    <w:rsid w:val="00A4626D"/>
    <w:rsid w:val="00A4770F"/>
    <w:rsid w:val="00A50244"/>
    <w:rsid w:val="00A50B4D"/>
    <w:rsid w:val="00A54249"/>
    <w:rsid w:val="00A55B7E"/>
    <w:rsid w:val="00A562E5"/>
    <w:rsid w:val="00A56E96"/>
    <w:rsid w:val="00A56F17"/>
    <w:rsid w:val="00A608AF"/>
    <w:rsid w:val="00A627D7"/>
    <w:rsid w:val="00A638AD"/>
    <w:rsid w:val="00A656C7"/>
    <w:rsid w:val="00A705AF"/>
    <w:rsid w:val="00A70708"/>
    <w:rsid w:val="00A72454"/>
    <w:rsid w:val="00A74345"/>
    <w:rsid w:val="00A76AFD"/>
    <w:rsid w:val="00A76D5E"/>
    <w:rsid w:val="00A77696"/>
    <w:rsid w:val="00A80557"/>
    <w:rsid w:val="00A818B6"/>
    <w:rsid w:val="00A81D33"/>
    <w:rsid w:val="00A82C0E"/>
    <w:rsid w:val="00A85EB6"/>
    <w:rsid w:val="00A86150"/>
    <w:rsid w:val="00A908B8"/>
    <w:rsid w:val="00A9265D"/>
    <w:rsid w:val="00A930AE"/>
    <w:rsid w:val="00A95A18"/>
    <w:rsid w:val="00A9655D"/>
    <w:rsid w:val="00A96A30"/>
    <w:rsid w:val="00A97B7A"/>
    <w:rsid w:val="00AA0468"/>
    <w:rsid w:val="00AA1A95"/>
    <w:rsid w:val="00AA260F"/>
    <w:rsid w:val="00AA462B"/>
    <w:rsid w:val="00AA70D9"/>
    <w:rsid w:val="00AB070D"/>
    <w:rsid w:val="00AB167D"/>
    <w:rsid w:val="00AB1EE7"/>
    <w:rsid w:val="00AB201C"/>
    <w:rsid w:val="00AB2474"/>
    <w:rsid w:val="00AB24A0"/>
    <w:rsid w:val="00AB36D9"/>
    <w:rsid w:val="00AB4B37"/>
    <w:rsid w:val="00AB4C0E"/>
    <w:rsid w:val="00AB5762"/>
    <w:rsid w:val="00AB6057"/>
    <w:rsid w:val="00AC2679"/>
    <w:rsid w:val="00AC2BA5"/>
    <w:rsid w:val="00AC4BE4"/>
    <w:rsid w:val="00AC5B7F"/>
    <w:rsid w:val="00AC6BF9"/>
    <w:rsid w:val="00AD0550"/>
    <w:rsid w:val="00AD05E6"/>
    <w:rsid w:val="00AD0D3F"/>
    <w:rsid w:val="00AD14B2"/>
    <w:rsid w:val="00AD1C5A"/>
    <w:rsid w:val="00AD2076"/>
    <w:rsid w:val="00AD4328"/>
    <w:rsid w:val="00AD43D5"/>
    <w:rsid w:val="00AD4830"/>
    <w:rsid w:val="00AD4C7D"/>
    <w:rsid w:val="00AD5967"/>
    <w:rsid w:val="00AE0D7D"/>
    <w:rsid w:val="00AE1325"/>
    <w:rsid w:val="00AE1D7D"/>
    <w:rsid w:val="00AE2A8B"/>
    <w:rsid w:val="00AE3F64"/>
    <w:rsid w:val="00AE4224"/>
    <w:rsid w:val="00AE4719"/>
    <w:rsid w:val="00AE495E"/>
    <w:rsid w:val="00AE70E6"/>
    <w:rsid w:val="00AE7584"/>
    <w:rsid w:val="00AF02AE"/>
    <w:rsid w:val="00AF3523"/>
    <w:rsid w:val="00AF4072"/>
    <w:rsid w:val="00AF5904"/>
    <w:rsid w:val="00AF658D"/>
    <w:rsid w:val="00AF7386"/>
    <w:rsid w:val="00AF7934"/>
    <w:rsid w:val="00B00B81"/>
    <w:rsid w:val="00B042CF"/>
    <w:rsid w:val="00B04580"/>
    <w:rsid w:val="00B04B09"/>
    <w:rsid w:val="00B12A2A"/>
    <w:rsid w:val="00B13138"/>
    <w:rsid w:val="00B1407F"/>
    <w:rsid w:val="00B14386"/>
    <w:rsid w:val="00B14BFF"/>
    <w:rsid w:val="00B16A51"/>
    <w:rsid w:val="00B20647"/>
    <w:rsid w:val="00B2123D"/>
    <w:rsid w:val="00B225E5"/>
    <w:rsid w:val="00B22FB0"/>
    <w:rsid w:val="00B25440"/>
    <w:rsid w:val="00B2572D"/>
    <w:rsid w:val="00B30457"/>
    <w:rsid w:val="00B32222"/>
    <w:rsid w:val="00B32353"/>
    <w:rsid w:val="00B32BE0"/>
    <w:rsid w:val="00B32E98"/>
    <w:rsid w:val="00B34397"/>
    <w:rsid w:val="00B35433"/>
    <w:rsid w:val="00B36014"/>
    <w:rsid w:val="00B3618D"/>
    <w:rsid w:val="00B36233"/>
    <w:rsid w:val="00B369C1"/>
    <w:rsid w:val="00B40227"/>
    <w:rsid w:val="00B41372"/>
    <w:rsid w:val="00B42851"/>
    <w:rsid w:val="00B43AF6"/>
    <w:rsid w:val="00B450ED"/>
    <w:rsid w:val="00B45AC7"/>
    <w:rsid w:val="00B51C7F"/>
    <w:rsid w:val="00B5372F"/>
    <w:rsid w:val="00B54D12"/>
    <w:rsid w:val="00B5585D"/>
    <w:rsid w:val="00B602FE"/>
    <w:rsid w:val="00B61129"/>
    <w:rsid w:val="00B62A76"/>
    <w:rsid w:val="00B63D1D"/>
    <w:rsid w:val="00B64E73"/>
    <w:rsid w:val="00B67E7F"/>
    <w:rsid w:val="00B70F90"/>
    <w:rsid w:val="00B71186"/>
    <w:rsid w:val="00B71930"/>
    <w:rsid w:val="00B71A48"/>
    <w:rsid w:val="00B724C6"/>
    <w:rsid w:val="00B728D5"/>
    <w:rsid w:val="00B737E7"/>
    <w:rsid w:val="00B747DD"/>
    <w:rsid w:val="00B75A04"/>
    <w:rsid w:val="00B77B6B"/>
    <w:rsid w:val="00B82D48"/>
    <w:rsid w:val="00B839B2"/>
    <w:rsid w:val="00B87564"/>
    <w:rsid w:val="00B94252"/>
    <w:rsid w:val="00B94819"/>
    <w:rsid w:val="00B9715A"/>
    <w:rsid w:val="00BA14BE"/>
    <w:rsid w:val="00BA1F91"/>
    <w:rsid w:val="00BA2732"/>
    <w:rsid w:val="00BA293D"/>
    <w:rsid w:val="00BA47C1"/>
    <w:rsid w:val="00BA49BC"/>
    <w:rsid w:val="00BA56B7"/>
    <w:rsid w:val="00BA63C2"/>
    <w:rsid w:val="00BA66DD"/>
    <w:rsid w:val="00BA7A1E"/>
    <w:rsid w:val="00BA7CA9"/>
    <w:rsid w:val="00BB0B5E"/>
    <w:rsid w:val="00BB21BD"/>
    <w:rsid w:val="00BB2F6C"/>
    <w:rsid w:val="00BB3875"/>
    <w:rsid w:val="00BB3A7D"/>
    <w:rsid w:val="00BB470A"/>
    <w:rsid w:val="00BB54B6"/>
    <w:rsid w:val="00BB5860"/>
    <w:rsid w:val="00BB6AAD"/>
    <w:rsid w:val="00BB6FD9"/>
    <w:rsid w:val="00BC0372"/>
    <w:rsid w:val="00BC2900"/>
    <w:rsid w:val="00BC47CB"/>
    <w:rsid w:val="00BC4A19"/>
    <w:rsid w:val="00BC4E6D"/>
    <w:rsid w:val="00BC50C1"/>
    <w:rsid w:val="00BC523F"/>
    <w:rsid w:val="00BC7FEA"/>
    <w:rsid w:val="00BD0617"/>
    <w:rsid w:val="00BD16CB"/>
    <w:rsid w:val="00BD2E9B"/>
    <w:rsid w:val="00BD646E"/>
    <w:rsid w:val="00BD6F75"/>
    <w:rsid w:val="00BE007C"/>
    <w:rsid w:val="00BE611E"/>
    <w:rsid w:val="00BE6B91"/>
    <w:rsid w:val="00BF18A6"/>
    <w:rsid w:val="00BF1D5F"/>
    <w:rsid w:val="00BF49C9"/>
    <w:rsid w:val="00BF5507"/>
    <w:rsid w:val="00BF6D4E"/>
    <w:rsid w:val="00BF7AD7"/>
    <w:rsid w:val="00C00420"/>
    <w:rsid w:val="00C00930"/>
    <w:rsid w:val="00C03364"/>
    <w:rsid w:val="00C03600"/>
    <w:rsid w:val="00C03795"/>
    <w:rsid w:val="00C03A50"/>
    <w:rsid w:val="00C047BB"/>
    <w:rsid w:val="00C060AD"/>
    <w:rsid w:val="00C0670D"/>
    <w:rsid w:val="00C06FC5"/>
    <w:rsid w:val="00C10278"/>
    <w:rsid w:val="00C102B5"/>
    <w:rsid w:val="00C10634"/>
    <w:rsid w:val="00C113BF"/>
    <w:rsid w:val="00C11647"/>
    <w:rsid w:val="00C13220"/>
    <w:rsid w:val="00C14CD5"/>
    <w:rsid w:val="00C2176E"/>
    <w:rsid w:val="00C2238B"/>
    <w:rsid w:val="00C2296A"/>
    <w:rsid w:val="00C23430"/>
    <w:rsid w:val="00C254FE"/>
    <w:rsid w:val="00C256A1"/>
    <w:rsid w:val="00C2659E"/>
    <w:rsid w:val="00C27D67"/>
    <w:rsid w:val="00C30BED"/>
    <w:rsid w:val="00C31F35"/>
    <w:rsid w:val="00C31F38"/>
    <w:rsid w:val="00C33A40"/>
    <w:rsid w:val="00C34C06"/>
    <w:rsid w:val="00C35A5D"/>
    <w:rsid w:val="00C37416"/>
    <w:rsid w:val="00C37686"/>
    <w:rsid w:val="00C37B4A"/>
    <w:rsid w:val="00C41A49"/>
    <w:rsid w:val="00C423C1"/>
    <w:rsid w:val="00C4241F"/>
    <w:rsid w:val="00C44A8C"/>
    <w:rsid w:val="00C44A93"/>
    <w:rsid w:val="00C46266"/>
    <w:rsid w:val="00C46287"/>
    <w:rsid w:val="00C4631F"/>
    <w:rsid w:val="00C46D93"/>
    <w:rsid w:val="00C50E16"/>
    <w:rsid w:val="00C50FC6"/>
    <w:rsid w:val="00C52F8D"/>
    <w:rsid w:val="00C533E3"/>
    <w:rsid w:val="00C549CF"/>
    <w:rsid w:val="00C54B0F"/>
    <w:rsid w:val="00C55258"/>
    <w:rsid w:val="00C6026A"/>
    <w:rsid w:val="00C60B6B"/>
    <w:rsid w:val="00C62635"/>
    <w:rsid w:val="00C6320C"/>
    <w:rsid w:val="00C6367B"/>
    <w:rsid w:val="00C63973"/>
    <w:rsid w:val="00C65058"/>
    <w:rsid w:val="00C65730"/>
    <w:rsid w:val="00C670FA"/>
    <w:rsid w:val="00C74505"/>
    <w:rsid w:val="00C75EB2"/>
    <w:rsid w:val="00C82454"/>
    <w:rsid w:val="00C82EEB"/>
    <w:rsid w:val="00C85AB2"/>
    <w:rsid w:val="00C86594"/>
    <w:rsid w:val="00C92AEC"/>
    <w:rsid w:val="00C92BF9"/>
    <w:rsid w:val="00C94F96"/>
    <w:rsid w:val="00C971DC"/>
    <w:rsid w:val="00C97EBB"/>
    <w:rsid w:val="00CA0D1E"/>
    <w:rsid w:val="00CA16B7"/>
    <w:rsid w:val="00CA4BE3"/>
    <w:rsid w:val="00CA4D84"/>
    <w:rsid w:val="00CA5189"/>
    <w:rsid w:val="00CA5FBF"/>
    <w:rsid w:val="00CA62AE"/>
    <w:rsid w:val="00CB0865"/>
    <w:rsid w:val="00CB27E1"/>
    <w:rsid w:val="00CB2EC8"/>
    <w:rsid w:val="00CB56F3"/>
    <w:rsid w:val="00CB58EE"/>
    <w:rsid w:val="00CB5B1A"/>
    <w:rsid w:val="00CB7673"/>
    <w:rsid w:val="00CC064D"/>
    <w:rsid w:val="00CC220B"/>
    <w:rsid w:val="00CC24A6"/>
    <w:rsid w:val="00CC2BA5"/>
    <w:rsid w:val="00CC3203"/>
    <w:rsid w:val="00CC5C43"/>
    <w:rsid w:val="00CC67C5"/>
    <w:rsid w:val="00CC75A4"/>
    <w:rsid w:val="00CC7B3B"/>
    <w:rsid w:val="00CD02AE"/>
    <w:rsid w:val="00CD0AFC"/>
    <w:rsid w:val="00CD2A4F"/>
    <w:rsid w:val="00CD313A"/>
    <w:rsid w:val="00CD34EF"/>
    <w:rsid w:val="00CD7254"/>
    <w:rsid w:val="00CD7BC2"/>
    <w:rsid w:val="00CE03CA"/>
    <w:rsid w:val="00CE11F1"/>
    <w:rsid w:val="00CE14DC"/>
    <w:rsid w:val="00CE1ABB"/>
    <w:rsid w:val="00CE22F1"/>
    <w:rsid w:val="00CE4A2B"/>
    <w:rsid w:val="00CE50F2"/>
    <w:rsid w:val="00CE6107"/>
    <w:rsid w:val="00CE6502"/>
    <w:rsid w:val="00CE6CCD"/>
    <w:rsid w:val="00CE6D31"/>
    <w:rsid w:val="00CF135A"/>
    <w:rsid w:val="00CF4F32"/>
    <w:rsid w:val="00CF7D3C"/>
    <w:rsid w:val="00D01FAB"/>
    <w:rsid w:val="00D02051"/>
    <w:rsid w:val="00D03933"/>
    <w:rsid w:val="00D04EB1"/>
    <w:rsid w:val="00D07ADB"/>
    <w:rsid w:val="00D1049B"/>
    <w:rsid w:val="00D11624"/>
    <w:rsid w:val="00D12295"/>
    <w:rsid w:val="00D133C3"/>
    <w:rsid w:val="00D13F04"/>
    <w:rsid w:val="00D13FAE"/>
    <w:rsid w:val="00D147EB"/>
    <w:rsid w:val="00D14E1D"/>
    <w:rsid w:val="00D15B55"/>
    <w:rsid w:val="00D16DCF"/>
    <w:rsid w:val="00D173F2"/>
    <w:rsid w:val="00D209FD"/>
    <w:rsid w:val="00D214FB"/>
    <w:rsid w:val="00D22A24"/>
    <w:rsid w:val="00D22B10"/>
    <w:rsid w:val="00D2321D"/>
    <w:rsid w:val="00D24CD6"/>
    <w:rsid w:val="00D25E3C"/>
    <w:rsid w:val="00D27444"/>
    <w:rsid w:val="00D3130B"/>
    <w:rsid w:val="00D315AA"/>
    <w:rsid w:val="00D324F3"/>
    <w:rsid w:val="00D34667"/>
    <w:rsid w:val="00D3595C"/>
    <w:rsid w:val="00D363CD"/>
    <w:rsid w:val="00D401E1"/>
    <w:rsid w:val="00D408B4"/>
    <w:rsid w:val="00D41048"/>
    <w:rsid w:val="00D41EC9"/>
    <w:rsid w:val="00D423B1"/>
    <w:rsid w:val="00D4367A"/>
    <w:rsid w:val="00D45234"/>
    <w:rsid w:val="00D4575A"/>
    <w:rsid w:val="00D45D94"/>
    <w:rsid w:val="00D4636B"/>
    <w:rsid w:val="00D524C8"/>
    <w:rsid w:val="00D52515"/>
    <w:rsid w:val="00D52621"/>
    <w:rsid w:val="00D53091"/>
    <w:rsid w:val="00D566F2"/>
    <w:rsid w:val="00D5758C"/>
    <w:rsid w:val="00D60DCB"/>
    <w:rsid w:val="00D60E25"/>
    <w:rsid w:val="00D64508"/>
    <w:rsid w:val="00D66778"/>
    <w:rsid w:val="00D70E24"/>
    <w:rsid w:val="00D710C9"/>
    <w:rsid w:val="00D72B61"/>
    <w:rsid w:val="00D73314"/>
    <w:rsid w:val="00D746EA"/>
    <w:rsid w:val="00D81903"/>
    <w:rsid w:val="00D8255A"/>
    <w:rsid w:val="00D827BC"/>
    <w:rsid w:val="00D85BCD"/>
    <w:rsid w:val="00D86874"/>
    <w:rsid w:val="00D86925"/>
    <w:rsid w:val="00D90DA2"/>
    <w:rsid w:val="00D93873"/>
    <w:rsid w:val="00D9438D"/>
    <w:rsid w:val="00DA20F4"/>
    <w:rsid w:val="00DA26B9"/>
    <w:rsid w:val="00DA3362"/>
    <w:rsid w:val="00DA3B11"/>
    <w:rsid w:val="00DA3D1D"/>
    <w:rsid w:val="00DA7908"/>
    <w:rsid w:val="00DA7D36"/>
    <w:rsid w:val="00DA7F7A"/>
    <w:rsid w:val="00DB0138"/>
    <w:rsid w:val="00DB0313"/>
    <w:rsid w:val="00DB1670"/>
    <w:rsid w:val="00DB1CA1"/>
    <w:rsid w:val="00DB26C7"/>
    <w:rsid w:val="00DB529D"/>
    <w:rsid w:val="00DB6286"/>
    <w:rsid w:val="00DB645F"/>
    <w:rsid w:val="00DB76E9"/>
    <w:rsid w:val="00DC0A67"/>
    <w:rsid w:val="00DC1839"/>
    <w:rsid w:val="00DC1D5E"/>
    <w:rsid w:val="00DC2313"/>
    <w:rsid w:val="00DC4E36"/>
    <w:rsid w:val="00DC5220"/>
    <w:rsid w:val="00DC5DFD"/>
    <w:rsid w:val="00DC657A"/>
    <w:rsid w:val="00DC71B4"/>
    <w:rsid w:val="00DC7910"/>
    <w:rsid w:val="00DD19F2"/>
    <w:rsid w:val="00DD2061"/>
    <w:rsid w:val="00DD3A35"/>
    <w:rsid w:val="00DD4CA9"/>
    <w:rsid w:val="00DD7DAB"/>
    <w:rsid w:val="00DE07CB"/>
    <w:rsid w:val="00DE2B6F"/>
    <w:rsid w:val="00DE2EED"/>
    <w:rsid w:val="00DE2FD0"/>
    <w:rsid w:val="00DE3355"/>
    <w:rsid w:val="00DF3147"/>
    <w:rsid w:val="00DF486F"/>
    <w:rsid w:val="00DF48B0"/>
    <w:rsid w:val="00DF50C5"/>
    <w:rsid w:val="00DF5B5B"/>
    <w:rsid w:val="00DF7619"/>
    <w:rsid w:val="00E01DA4"/>
    <w:rsid w:val="00E02E16"/>
    <w:rsid w:val="00E042D8"/>
    <w:rsid w:val="00E068B2"/>
    <w:rsid w:val="00E07EE7"/>
    <w:rsid w:val="00E1103B"/>
    <w:rsid w:val="00E128D3"/>
    <w:rsid w:val="00E13282"/>
    <w:rsid w:val="00E14777"/>
    <w:rsid w:val="00E14C83"/>
    <w:rsid w:val="00E156D9"/>
    <w:rsid w:val="00E17517"/>
    <w:rsid w:val="00E17B44"/>
    <w:rsid w:val="00E20705"/>
    <w:rsid w:val="00E24944"/>
    <w:rsid w:val="00E26E33"/>
    <w:rsid w:val="00E27F2B"/>
    <w:rsid w:val="00E27FEA"/>
    <w:rsid w:val="00E307DD"/>
    <w:rsid w:val="00E309A9"/>
    <w:rsid w:val="00E30AF2"/>
    <w:rsid w:val="00E34F84"/>
    <w:rsid w:val="00E35354"/>
    <w:rsid w:val="00E370F7"/>
    <w:rsid w:val="00E37F27"/>
    <w:rsid w:val="00E4086F"/>
    <w:rsid w:val="00E41302"/>
    <w:rsid w:val="00E42564"/>
    <w:rsid w:val="00E430B5"/>
    <w:rsid w:val="00E43B3C"/>
    <w:rsid w:val="00E45432"/>
    <w:rsid w:val="00E50188"/>
    <w:rsid w:val="00E507C4"/>
    <w:rsid w:val="00E515CB"/>
    <w:rsid w:val="00E52260"/>
    <w:rsid w:val="00E54BEB"/>
    <w:rsid w:val="00E55418"/>
    <w:rsid w:val="00E55701"/>
    <w:rsid w:val="00E577CE"/>
    <w:rsid w:val="00E600C2"/>
    <w:rsid w:val="00E6147B"/>
    <w:rsid w:val="00E63876"/>
    <w:rsid w:val="00E639B6"/>
    <w:rsid w:val="00E6434B"/>
    <w:rsid w:val="00E6463D"/>
    <w:rsid w:val="00E66D53"/>
    <w:rsid w:val="00E71C50"/>
    <w:rsid w:val="00E71E0B"/>
    <w:rsid w:val="00E72CC6"/>
    <w:rsid w:val="00E72E9B"/>
    <w:rsid w:val="00E732A0"/>
    <w:rsid w:val="00E74727"/>
    <w:rsid w:val="00E75ED8"/>
    <w:rsid w:val="00E80AEC"/>
    <w:rsid w:val="00E849DA"/>
    <w:rsid w:val="00E85B66"/>
    <w:rsid w:val="00E861C1"/>
    <w:rsid w:val="00E86F89"/>
    <w:rsid w:val="00E87B1B"/>
    <w:rsid w:val="00E90246"/>
    <w:rsid w:val="00E9105B"/>
    <w:rsid w:val="00E91715"/>
    <w:rsid w:val="00E9225A"/>
    <w:rsid w:val="00E9462E"/>
    <w:rsid w:val="00E96E34"/>
    <w:rsid w:val="00E972AE"/>
    <w:rsid w:val="00EA1B4E"/>
    <w:rsid w:val="00EA4697"/>
    <w:rsid w:val="00EA470E"/>
    <w:rsid w:val="00EA47A7"/>
    <w:rsid w:val="00EA57EB"/>
    <w:rsid w:val="00EA5B54"/>
    <w:rsid w:val="00EA798A"/>
    <w:rsid w:val="00EA7E45"/>
    <w:rsid w:val="00EB3226"/>
    <w:rsid w:val="00EB62F8"/>
    <w:rsid w:val="00EB7262"/>
    <w:rsid w:val="00EB72B4"/>
    <w:rsid w:val="00EC213A"/>
    <w:rsid w:val="00EC2E6D"/>
    <w:rsid w:val="00EC3D34"/>
    <w:rsid w:val="00EC5581"/>
    <w:rsid w:val="00EC6603"/>
    <w:rsid w:val="00EC7744"/>
    <w:rsid w:val="00ED072C"/>
    <w:rsid w:val="00ED0DAD"/>
    <w:rsid w:val="00ED0F46"/>
    <w:rsid w:val="00ED2373"/>
    <w:rsid w:val="00ED576F"/>
    <w:rsid w:val="00EE049A"/>
    <w:rsid w:val="00EE1747"/>
    <w:rsid w:val="00EE3E8A"/>
    <w:rsid w:val="00EF2E87"/>
    <w:rsid w:val="00EF3343"/>
    <w:rsid w:val="00EF5D7A"/>
    <w:rsid w:val="00EF6ECA"/>
    <w:rsid w:val="00EF7B65"/>
    <w:rsid w:val="00F018BB"/>
    <w:rsid w:val="00F024E1"/>
    <w:rsid w:val="00F0357B"/>
    <w:rsid w:val="00F04259"/>
    <w:rsid w:val="00F04784"/>
    <w:rsid w:val="00F049F6"/>
    <w:rsid w:val="00F04BB5"/>
    <w:rsid w:val="00F06C10"/>
    <w:rsid w:val="00F06DBF"/>
    <w:rsid w:val="00F07C2C"/>
    <w:rsid w:val="00F07D1A"/>
    <w:rsid w:val="00F1096F"/>
    <w:rsid w:val="00F11316"/>
    <w:rsid w:val="00F12589"/>
    <w:rsid w:val="00F12595"/>
    <w:rsid w:val="00F12C9C"/>
    <w:rsid w:val="00F134D9"/>
    <w:rsid w:val="00F13C01"/>
    <w:rsid w:val="00F1403D"/>
    <w:rsid w:val="00F1463F"/>
    <w:rsid w:val="00F14887"/>
    <w:rsid w:val="00F172DA"/>
    <w:rsid w:val="00F20AC0"/>
    <w:rsid w:val="00F21302"/>
    <w:rsid w:val="00F233E1"/>
    <w:rsid w:val="00F24005"/>
    <w:rsid w:val="00F24932"/>
    <w:rsid w:val="00F25579"/>
    <w:rsid w:val="00F321DE"/>
    <w:rsid w:val="00F323F7"/>
    <w:rsid w:val="00F333ED"/>
    <w:rsid w:val="00F33777"/>
    <w:rsid w:val="00F35E80"/>
    <w:rsid w:val="00F40648"/>
    <w:rsid w:val="00F4193B"/>
    <w:rsid w:val="00F433C5"/>
    <w:rsid w:val="00F43651"/>
    <w:rsid w:val="00F43C17"/>
    <w:rsid w:val="00F44DF9"/>
    <w:rsid w:val="00F47DA2"/>
    <w:rsid w:val="00F50762"/>
    <w:rsid w:val="00F519EE"/>
    <w:rsid w:val="00F519FC"/>
    <w:rsid w:val="00F52A01"/>
    <w:rsid w:val="00F6048D"/>
    <w:rsid w:val="00F606A4"/>
    <w:rsid w:val="00F6239D"/>
    <w:rsid w:val="00F62990"/>
    <w:rsid w:val="00F632AE"/>
    <w:rsid w:val="00F63BF2"/>
    <w:rsid w:val="00F715D2"/>
    <w:rsid w:val="00F7274F"/>
    <w:rsid w:val="00F76091"/>
    <w:rsid w:val="00F76FA8"/>
    <w:rsid w:val="00F81003"/>
    <w:rsid w:val="00F8108D"/>
    <w:rsid w:val="00F815AF"/>
    <w:rsid w:val="00F8177C"/>
    <w:rsid w:val="00F845CC"/>
    <w:rsid w:val="00F90EE3"/>
    <w:rsid w:val="00F92703"/>
    <w:rsid w:val="00F93F08"/>
    <w:rsid w:val="00F94CED"/>
    <w:rsid w:val="00FA2CEE"/>
    <w:rsid w:val="00FA318C"/>
    <w:rsid w:val="00FA3958"/>
    <w:rsid w:val="00FA68E1"/>
    <w:rsid w:val="00FA751E"/>
    <w:rsid w:val="00FB011E"/>
    <w:rsid w:val="00FB1068"/>
    <w:rsid w:val="00FB25D5"/>
    <w:rsid w:val="00FB2AFC"/>
    <w:rsid w:val="00FB2D83"/>
    <w:rsid w:val="00FB3400"/>
    <w:rsid w:val="00FB6F92"/>
    <w:rsid w:val="00FB7F20"/>
    <w:rsid w:val="00FC026E"/>
    <w:rsid w:val="00FC182F"/>
    <w:rsid w:val="00FC322D"/>
    <w:rsid w:val="00FC384A"/>
    <w:rsid w:val="00FC5124"/>
    <w:rsid w:val="00FC7BF6"/>
    <w:rsid w:val="00FD28D9"/>
    <w:rsid w:val="00FD4731"/>
    <w:rsid w:val="00FD5937"/>
    <w:rsid w:val="00FE0802"/>
    <w:rsid w:val="00FE11CE"/>
    <w:rsid w:val="00FE1C10"/>
    <w:rsid w:val="00FE1EF0"/>
    <w:rsid w:val="00FE65CF"/>
    <w:rsid w:val="00FE79F2"/>
    <w:rsid w:val="00FF0AB0"/>
    <w:rsid w:val="00FF28AC"/>
    <w:rsid w:val="00FF42F5"/>
    <w:rsid w:val="00FF7F62"/>
    <w:rsid w:val="04F01DDA"/>
    <w:rsid w:val="078DB169"/>
    <w:rsid w:val="086AD192"/>
    <w:rsid w:val="09E64E74"/>
    <w:rsid w:val="0CB2A7E5"/>
    <w:rsid w:val="0CB5AC40"/>
    <w:rsid w:val="0D680BC6"/>
    <w:rsid w:val="111D1D9A"/>
    <w:rsid w:val="1568ECBB"/>
    <w:rsid w:val="16BD40DA"/>
    <w:rsid w:val="171BA506"/>
    <w:rsid w:val="1882C722"/>
    <w:rsid w:val="1D0A3328"/>
    <w:rsid w:val="21164584"/>
    <w:rsid w:val="23FDAB42"/>
    <w:rsid w:val="24BE9876"/>
    <w:rsid w:val="29CDE9F3"/>
    <w:rsid w:val="2B3EB250"/>
    <w:rsid w:val="2B65F8FE"/>
    <w:rsid w:val="2C86FE7A"/>
    <w:rsid w:val="2E67E8F6"/>
    <w:rsid w:val="2F730AD1"/>
    <w:rsid w:val="32742F72"/>
    <w:rsid w:val="32F3E038"/>
    <w:rsid w:val="33C3D984"/>
    <w:rsid w:val="341B8610"/>
    <w:rsid w:val="3489662F"/>
    <w:rsid w:val="3728DB79"/>
    <w:rsid w:val="39883A7F"/>
    <w:rsid w:val="3AFA4076"/>
    <w:rsid w:val="3B1A785D"/>
    <w:rsid w:val="3D1ED1F0"/>
    <w:rsid w:val="3D3C4D59"/>
    <w:rsid w:val="41225353"/>
    <w:rsid w:val="41C78ED0"/>
    <w:rsid w:val="455BBF34"/>
    <w:rsid w:val="45898EE7"/>
    <w:rsid w:val="48D06266"/>
    <w:rsid w:val="4979B184"/>
    <w:rsid w:val="4A5F0607"/>
    <w:rsid w:val="4A9A755D"/>
    <w:rsid w:val="4B31A9BF"/>
    <w:rsid w:val="4D55531D"/>
    <w:rsid w:val="51646B1E"/>
    <w:rsid w:val="5177C3CF"/>
    <w:rsid w:val="545D7A6F"/>
    <w:rsid w:val="55871A9E"/>
    <w:rsid w:val="56094D20"/>
    <w:rsid w:val="57ACF5A1"/>
    <w:rsid w:val="57FC5752"/>
    <w:rsid w:val="583B756B"/>
    <w:rsid w:val="588BC882"/>
    <w:rsid w:val="5907405E"/>
    <w:rsid w:val="5AAD5554"/>
    <w:rsid w:val="5F001291"/>
    <w:rsid w:val="5F917EB3"/>
    <w:rsid w:val="627215DD"/>
    <w:rsid w:val="66AD5E1B"/>
    <w:rsid w:val="6919C8F3"/>
    <w:rsid w:val="6F7C08E7"/>
    <w:rsid w:val="717218FF"/>
    <w:rsid w:val="74F87E0D"/>
    <w:rsid w:val="74FAD78A"/>
    <w:rsid w:val="79BDCC03"/>
    <w:rsid w:val="7A3BC803"/>
    <w:rsid w:val="7C65CAFE"/>
    <w:rsid w:val="7EEE853F"/>
    <w:rsid w:val="7F74D4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241F"/>
  <w15:docId w15:val="{37BBB72F-1FBA-4488-BFE4-7D03930F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374E4"/>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E01DA4"/>
    <w:pPr>
      <w:keepNext/>
      <w:spacing w:before="240" w:after="60"/>
      <w:outlineLvl w:val="1"/>
    </w:pPr>
    <w:rPr>
      <w:rFonts w:ascii="Arial" w:eastAsia="Arial" w:hAnsi="Arial" w:cs="Arial"/>
      <w:b/>
      <w:bCs/>
      <w:iCs/>
      <w:color w:val="358189"/>
      <w:sz w:val="36"/>
      <w:szCs w:val="28"/>
      <w:lang w:eastAsia="en-US"/>
    </w:rPr>
  </w:style>
  <w:style w:type="paragraph" w:styleId="Heading3">
    <w:name w:val="heading 3"/>
    <w:next w:val="Normal"/>
    <w:qFormat/>
    <w:rsid w:val="00E01DA4"/>
    <w:pPr>
      <w:keepNext/>
      <w:spacing w:before="180" w:after="60"/>
      <w:outlineLvl w:val="2"/>
    </w:pPr>
    <w:rPr>
      <w:rFonts w:ascii="Arial" w:eastAsia="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2D5D83"/>
    <w:rPr>
      <w:rFonts w:asciiTheme="minorBidi" w:hAnsiTheme="minorBidi"/>
      <w:sz w:val="22"/>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DF3147"/>
    <w:pPr>
      <w:numPr>
        <w:numId w:val="20"/>
      </w:numPr>
      <w:spacing w:before="60" w:after="60"/>
      <w:ind w:left="584" w:hanging="357"/>
    </w:pPr>
    <w:rPr>
      <w:rFonts w:eastAsia="Arial"/>
    </w:r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uiPriority w:val="39"/>
    <w:locked/>
    <w:rsid w:val="00D45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Style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E01DA4"/>
    <w:pPr>
      <w:spacing w:before="60" w:after="60"/>
    </w:pPr>
    <w:rPr>
      <w:rFonts w:ascii="Arial" w:eastAsia="Arial" w:hAnsi="Arial" w:cs="Arial"/>
      <w:color w:val="000000"/>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020691"/>
    <w:rPr>
      <w:rFonts w:eastAsia="Arial"/>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354039"/>
    <w:pPr>
      <w:numPr>
        <w:numId w:val="24"/>
      </w:numPr>
      <w:ind w:left="414" w:hanging="357"/>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D4575A"/>
    <w:pPr>
      <w:spacing w:before="80" w:after="80"/>
    </w:pPr>
    <w:rPr>
      <w:rFonts w:eastAsia="Cambria"/>
      <w:b/>
      <w:color w:val="auto"/>
      <w:sz w:val="18"/>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020691"/>
    <w:pPr>
      <w:spacing w:after="200"/>
    </w:pPr>
    <w:rPr>
      <w:rFonts w:eastAsia="Arial"/>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rsid w:val="00C10634"/>
    <w:pPr>
      <w:jc w:val="center"/>
    </w:pPr>
    <w:rPr>
      <w:rFonts w:ascii="Arial" w:eastAsia="Arial" w:hAnsi="Arial" w:cs="Arial"/>
      <w:color w:val="1C4C5A" w:themeColor="accent5" w:themeShade="80"/>
      <w:sz w:val="18"/>
      <w:szCs w:val="24"/>
      <w:lang w:eastAsia="en-US"/>
    </w:r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paragraph" w:styleId="TOCHeading">
    <w:name w:val="TOC Heading"/>
    <w:basedOn w:val="Heading1"/>
    <w:next w:val="Normal"/>
    <w:uiPriority w:val="39"/>
    <w:unhideWhenUsed/>
    <w:qFormat/>
    <w:rsid w:val="00BC47CB"/>
    <w:pPr>
      <w:keepLines/>
      <w:spacing w:after="0" w:line="259" w:lineRule="auto"/>
      <w:outlineLvl w:val="9"/>
    </w:pPr>
    <w:rPr>
      <w:rFonts w:asciiTheme="minorBidi" w:eastAsiaTheme="majorEastAsia" w:hAnsiTheme="minorBidi" w:cstheme="majorBidi"/>
      <w:bCs w:val="0"/>
      <w:color w:val="2F3757" w:themeColor="accent1" w:themeShade="BF"/>
      <w:kern w:val="0"/>
      <w:sz w:val="32"/>
      <w:szCs w:val="32"/>
      <w:lang w:val="en-US"/>
    </w:rPr>
  </w:style>
  <w:style w:type="character" w:customStyle="1" w:styleId="FootnoteReference1">
    <w:name w:val="Footnote Reference1"/>
    <w:basedOn w:val="DefaultParagraphFont"/>
    <w:uiPriority w:val="99"/>
    <w:unhideWhenUsed/>
    <w:qFormat/>
    <w:rsid w:val="00D66778"/>
    <w:rPr>
      <w:rFonts w:ascii="Arial" w:hAnsi="Arial"/>
      <w:color w:val="0D0D0D"/>
      <w:sz w:val="18"/>
      <w:bdr w:val="none" w:sz="0" w:space="0" w:color="auto"/>
      <w:vertAlign w:val="superscript"/>
    </w:rPr>
  </w:style>
  <w:style w:type="character" w:styleId="FootnoteReference">
    <w:name w:val="footnote reference"/>
    <w:basedOn w:val="DefaultParagraphFont"/>
    <w:semiHidden/>
    <w:unhideWhenUsed/>
    <w:rsid w:val="00852708"/>
    <w:rPr>
      <w:vertAlign w:val="superscript"/>
    </w:rPr>
  </w:style>
  <w:style w:type="character" w:styleId="UnresolvedMention">
    <w:name w:val="Unresolved Mention"/>
    <w:basedOn w:val="DefaultParagraphFont"/>
    <w:uiPriority w:val="99"/>
    <w:semiHidden/>
    <w:unhideWhenUsed/>
    <w:rsid w:val="001D2A96"/>
    <w:rPr>
      <w:color w:val="605E5C"/>
      <w:shd w:val="clear" w:color="auto" w:fill="E1DFDD"/>
    </w:rPr>
  </w:style>
  <w:style w:type="paragraph" w:styleId="CommentText">
    <w:name w:val="annotation text"/>
    <w:basedOn w:val="Normal"/>
    <w:link w:val="CommentTextChar"/>
    <w:unhideWhenUsed/>
    <w:rsid w:val="00F8108D"/>
    <w:pPr>
      <w:spacing w:line="240" w:lineRule="auto"/>
    </w:pPr>
    <w:rPr>
      <w:sz w:val="20"/>
      <w:szCs w:val="20"/>
    </w:rPr>
  </w:style>
  <w:style w:type="character" w:customStyle="1" w:styleId="CommentTextChar">
    <w:name w:val="Comment Text Char"/>
    <w:basedOn w:val="DefaultParagraphFont"/>
    <w:link w:val="CommentText"/>
    <w:rsid w:val="00F8108D"/>
    <w:rPr>
      <w:rFonts w:ascii="Arial" w:hAnsi="Arial"/>
      <w:color w:val="000000" w:themeColor="text1"/>
      <w:lang w:eastAsia="en-US"/>
    </w:rPr>
  </w:style>
  <w:style w:type="character" w:styleId="CommentReference">
    <w:name w:val="annotation reference"/>
    <w:basedOn w:val="DefaultParagraphFont"/>
    <w:semiHidden/>
    <w:unhideWhenUsed/>
    <w:rsid w:val="00F8108D"/>
    <w:rPr>
      <w:sz w:val="16"/>
      <w:szCs w:val="16"/>
    </w:rPr>
  </w:style>
  <w:style w:type="paragraph" w:styleId="CommentSubject">
    <w:name w:val="annotation subject"/>
    <w:basedOn w:val="CommentText"/>
    <w:next w:val="CommentText"/>
    <w:link w:val="CommentSubjectChar"/>
    <w:semiHidden/>
    <w:unhideWhenUsed/>
    <w:rsid w:val="00811B75"/>
    <w:rPr>
      <w:b/>
      <w:bCs/>
    </w:rPr>
  </w:style>
  <w:style w:type="character" w:customStyle="1" w:styleId="CommentSubjectChar">
    <w:name w:val="Comment Subject Char"/>
    <w:basedOn w:val="CommentTextChar"/>
    <w:link w:val="CommentSubject"/>
    <w:semiHidden/>
    <w:rsid w:val="00811B75"/>
    <w:rPr>
      <w:rFonts w:ascii="Arial" w:hAnsi="Arial"/>
      <w:b/>
      <w:bCs/>
      <w:color w:val="000000" w:themeColor="text1"/>
      <w:lang w:eastAsia="en-US"/>
    </w:rPr>
  </w:style>
  <w:style w:type="character" w:styleId="Mention">
    <w:name w:val="Mention"/>
    <w:basedOn w:val="DefaultParagraphFont"/>
    <w:uiPriority w:val="99"/>
    <w:unhideWhenUsed/>
    <w:rsid w:val="00811B75"/>
    <w:rPr>
      <w:color w:val="2B579A"/>
      <w:shd w:val="clear" w:color="auto" w:fill="E1DFDD"/>
    </w:rPr>
  </w:style>
  <w:style w:type="paragraph" w:customStyle="1" w:styleId="Tabletextemphasis">
    <w:name w:val="Table text (emphasis)"/>
    <w:basedOn w:val="Normal"/>
    <w:link w:val="TabletextemphasisChar"/>
    <w:qFormat/>
    <w:rsid w:val="00D4575A"/>
    <w:pPr>
      <w:spacing w:before="0" w:after="0" w:line="240" w:lineRule="auto"/>
    </w:pPr>
    <w:rPr>
      <w:rFonts w:eastAsia="Arial" w:cs="Arial"/>
      <w:i/>
      <w:iCs/>
      <w:color w:val="000000"/>
      <w:sz w:val="18"/>
      <w:szCs w:val="18"/>
    </w:rPr>
  </w:style>
  <w:style w:type="character" w:customStyle="1" w:styleId="TabletextemphasisChar">
    <w:name w:val="Table text (emphasis) Char"/>
    <w:basedOn w:val="DefaultParagraphFont"/>
    <w:link w:val="Tabletextemphasis"/>
    <w:rsid w:val="00D4575A"/>
    <w:rPr>
      <w:rFonts w:ascii="Arial" w:eastAsia="Arial" w:hAnsi="Arial" w:cs="Arial"/>
      <w:i/>
      <w:iCs/>
      <w:color w:val="000000"/>
      <w:sz w:val="18"/>
      <w:szCs w:val="18"/>
      <w:lang w:eastAsia="en-US"/>
    </w:rPr>
  </w:style>
  <w:style w:type="paragraph" w:styleId="TOC1">
    <w:name w:val="toc 1"/>
    <w:basedOn w:val="Normal"/>
    <w:next w:val="Normal"/>
    <w:autoRedefine/>
    <w:uiPriority w:val="39"/>
    <w:unhideWhenUsed/>
    <w:rsid w:val="00E01DA4"/>
    <w:pPr>
      <w:tabs>
        <w:tab w:val="right" w:leader="dot" w:pos="9402"/>
      </w:tabs>
      <w:spacing w:after="100"/>
    </w:pPr>
  </w:style>
  <w:style w:type="paragraph" w:styleId="TOC2">
    <w:name w:val="toc 2"/>
    <w:basedOn w:val="Normal"/>
    <w:next w:val="Normal"/>
    <w:autoRedefine/>
    <w:uiPriority w:val="39"/>
    <w:unhideWhenUsed/>
    <w:rsid w:val="00E01DA4"/>
    <w:pPr>
      <w:spacing w:after="100"/>
      <w:ind w:left="220"/>
    </w:pPr>
  </w:style>
  <w:style w:type="paragraph" w:styleId="TOC3">
    <w:name w:val="toc 3"/>
    <w:basedOn w:val="Normal"/>
    <w:next w:val="Normal"/>
    <w:autoRedefine/>
    <w:uiPriority w:val="39"/>
    <w:unhideWhenUsed/>
    <w:rsid w:val="00BC47CB"/>
    <w:pPr>
      <w:spacing w:after="100"/>
      <w:ind w:left="440"/>
    </w:pPr>
  </w:style>
  <w:style w:type="paragraph" w:styleId="Index8">
    <w:name w:val="index 8"/>
    <w:basedOn w:val="Normal"/>
    <w:next w:val="Normal"/>
    <w:autoRedefine/>
    <w:unhideWhenUsed/>
    <w:rsid w:val="00CA5FBF"/>
    <w:pPr>
      <w:spacing w:before="0" w:after="0" w:line="240" w:lineRule="auto"/>
      <w:ind w:left="176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09">
      <w:bodyDiv w:val="1"/>
      <w:marLeft w:val="0"/>
      <w:marRight w:val="0"/>
      <w:marTop w:val="0"/>
      <w:marBottom w:val="0"/>
      <w:divBdr>
        <w:top w:val="none" w:sz="0" w:space="0" w:color="auto"/>
        <w:left w:val="none" w:sz="0" w:space="0" w:color="auto"/>
        <w:bottom w:val="none" w:sz="0" w:space="0" w:color="auto"/>
        <w:right w:val="none" w:sz="0" w:space="0" w:color="auto"/>
      </w:divBdr>
    </w:div>
    <w:div w:id="80835298">
      <w:bodyDiv w:val="1"/>
      <w:marLeft w:val="0"/>
      <w:marRight w:val="0"/>
      <w:marTop w:val="0"/>
      <w:marBottom w:val="0"/>
      <w:divBdr>
        <w:top w:val="none" w:sz="0" w:space="0" w:color="auto"/>
        <w:left w:val="none" w:sz="0" w:space="0" w:color="auto"/>
        <w:bottom w:val="none" w:sz="0" w:space="0" w:color="auto"/>
        <w:right w:val="none" w:sz="0" w:space="0" w:color="auto"/>
      </w:divBdr>
    </w:div>
    <w:div w:id="129783212">
      <w:bodyDiv w:val="1"/>
      <w:marLeft w:val="0"/>
      <w:marRight w:val="0"/>
      <w:marTop w:val="0"/>
      <w:marBottom w:val="0"/>
      <w:divBdr>
        <w:top w:val="none" w:sz="0" w:space="0" w:color="auto"/>
        <w:left w:val="none" w:sz="0" w:space="0" w:color="auto"/>
        <w:bottom w:val="none" w:sz="0" w:space="0" w:color="auto"/>
        <w:right w:val="none" w:sz="0" w:space="0" w:color="auto"/>
      </w:divBdr>
    </w:div>
    <w:div w:id="33688362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04898642">
      <w:bodyDiv w:val="1"/>
      <w:marLeft w:val="0"/>
      <w:marRight w:val="0"/>
      <w:marTop w:val="0"/>
      <w:marBottom w:val="0"/>
      <w:divBdr>
        <w:top w:val="none" w:sz="0" w:space="0" w:color="auto"/>
        <w:left w:val="none" w:sz="0" w:space="0" w:color="auto"/>
        <w:bottom w:val="none" w:sz="0" w:space="0" w:color="auto"/>
        <w:right w:val="none" w:sz="0" w:space="0" w:color="auto"/>
      </w:divBdr>
    </w:div>
    <w:div w:id="56461197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1309781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80047938">
      <w:bodyDiv w:val="1"/>
      <w:marLeft w:val="0"/>
      <w:marRight w:val="0"/>
      <w:marTop w:val="0"/>
      <w:marBottom w:val="0"/>
      <w:divBdr>
        <w:top w:val="none" w:sz="0" w:space="0" w:color="auto"/>
        <w:left w:val="none" w:sz="0" w:space="0" w:color="auto"/>
        <w:bottom w:val="none" w:sz="0" w:space="0" w:color="auto"/>
        <w:right w:val="none" w:sz="0" w:space="0" w:color="auto"/>
      </w:divBdr>
    </w:div>
    <w:div w:id="1069571088">
      <w:bodyDiv w:val="1"/>
      <w:marLeft w:val="0"/>
      <w:marRight w:val="0"/>
      <w:marTop w:val="0"/>
      <w:marBottom w:val="0"/>
      <w:divBdr>
        <w:top w:val="none" w:sz="0" w:space="0" w:color="auto"/>
        <w:left w:val="none" w:sz="0" w:space="0" w:color="auto"/>
        <w:bottom w:val="none" w:sz="0" w:space="0" w:color="auto"/>
        <w:right w:val="none" w:sz="0" w:space="0" w:color="auto"/>
      </w:divBdr>
    </w:div>
    <w:div w:id="117067970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592858014">
      <w:bodyDiv w:val="1"/>
      <w:marLeft w:val="0"/>
      <w:marRight w:val="0"/>
      <w:marTop w:val="0"/>
      <w:marBottom w:val="0"/>
      <w:divBdr>
        <w:top w:val="none" w:sz="0" w:space="0" w:color="auto"/>
        <w:left w:val="none" w:sz="0" w:space="0" w:color="auto"/>
        <w:bottom w:val="none" w:sz="0" w:space="0" w:color="auto"/>
        <w:right w:val="none" w:sz="0" w:space="0" w:color="auto"/>
      </w:divBdr>
    </w:div>
    <w:div w:id="1647272877">
      <w:bodyDiv w:val="1"/>
      <w:marLeft w:val="0"/>
      <w:marRight w:val="0"/>
      <w:marTop w:val="0"/>
      <w:marBottom w:val="0"/>
      <w:divBdr>
        <w:top w:val="none" w:sz="0" w:space="0" w:color="auto"/>
        <w:left w:val="none" w:sz="0" w:space="0" w:color="auto"/>
        <w:bottom w:val="none" w:sz="0" w:space="0" w:color="auto"/>
        <w:right w:val="none" w:sz="0" w:space="0" w:color="auto"/>
      </w:divBdr>
    </w:div>
    <w:div w:id="1659190638">
      <w:bodyDiv w:val="1"/>
      <w:marLeft w:val="0"/>
      <w:marRight w:val="0"/>
      <w:marTop w:val="0"/>
      <w:marBottom w:val="0"/>
      <w:divBdr>
        <w:top w:val="none" w:sz="0" w:space="0" w:color="auto"/>
        <w:left w:val="none" w:sz="0" w:space="0" w:color="auto"/>
        <w:bottom w:val="none" w:sz="0" w:space="0" w:color="auto"/>
        <w:right w:val="none" w:sz="0" w:space="0" w:color="auto"/>
      </w:divBdr>
    </w:div>
    <w:div w:id="1730808931">
      <w:bodyDiv w:val="1"/>
      <w:marLeft w:val="0"/>
      <w:marRight w:val="0"/>
      <w:marTop w:val="0"/>
      <w:marBottom w:val="0"/>
      <w:divBdr>
        <w:top w:val="none" w:sz="0" w:space="0" w:color="auto"/>
        <w:left w:val="none" w:sz="0" w:space="0" w:color="auto"/>
        <w:bottom w:val="none" w:sz="0" w:space="0" w:color="auto"/>
        <w:right w:val="none" w:sz="0" w:space="0" w:color="auto"/>
      </w:divBdr>
    </w:div>
    <w:div w:id="1746876215">
      <w:bodyDiv w:val="1"/>
      <w:marLeft w:val="0"/>
      <w:marRight w:val="0"/>
      <w:marTop w:val="0"/>
      <w:marBottom w:val="0"/>
      <w:divBdr>
        <w:top w:val="none" w:sz="0" w:space="0" w:color="auto"/>
        <w:left w:val="none" w:sz="0" w:space="0" w:color="auto"/>
        <w:bottom w:val="none" w:sz="0" w:space="0" w:color="auto"/>
        <w:right w:val="none" w:sz="0" w:space="0" w:color="auto"/>
      </w:divBdr>
    </w:div>
    <w:div w:id="1801265209">
      <w:bodyDiv w:val="1"/>
      <w:marLeft w:val="0"/>
      <w:marRight w:val="0"/>
      <w:marTop w:val="0"/>
      <w:marBottom w:val="0"/>
      <w:divBdr>
        <w:top w:val="none" w:sz="0" w:space="0" w:color="auto"/>
        <w:left w:val="none" w:sz="0" w:space="0" w:color="auto"/>
        <w:bottom w:val="none" w:sz="0" w:space="0" w:color="auto"/>
        <w:right w:val="none" w:sz="0" w:space="0" w:color="auto"/>
      </w:divBdr>
    </w:div>
    <w:div w:id="1895847436">
      <w:bodyDiv w:val="1"/>
      <w:marLeft w:val="0"/>
      <w:marRight w:val="0"/>
      <w:marTop w:val="0"/>
      <w:marBottom w:val="0"/>
      <w:divBdr>
        <w:top w:val="none" w:sz="0" w:space="0" w:color="auto"/>
        <w:left w:val="none" w:sz="0" w:space="0" w:color="auto"/>
        <w:bottom w:val="none" w:sz="0" w:space="0" w:color="auto"/>
        <w:right w:val="none" w:sz="0" w:space="0" w:color="auto"/>
      </w:divBdr>
    </w:div>
    <w:div w:id="1936356820">
      <w:bodyDiv w:val="1"/>
      <w:marLeft w:val="0"/>
      <w:marRight w:val="0"/>
      <w:marTop w:val="0"/>
      <w:marBottom w:val="0"/>
      <w:divBdr>
        <w:top w:val="none" w:sz="0" w:space="0" w:color="auto"/>
        <w:left w:val="none" w:sz="0" w:space="0" w:color="auto"/>
        <w:bottom w:val="none" w:sz="0" w:space="0" w:color="auto"/>
        <w:right w:val="none" w:sz="0" w:space="0" w:color="auto"/>
      </w:divBdr>
    </w:div>
    <w:div w:id="213621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health.gov.au/about-us/corporate-reporting/annual-report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short%20document%20templat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06:03:50.662"/>
    </inkml:context>
    <inkml:brush xml:id="br0">
      <inkml:brushProperty name="width" value="0.025" units="cm"/>
      <inkml:brushProperty name="height" value="0.025" units="cm"/>
    </inkml:brush>
  </inkml:definitions>
  <inkml:trace contextRef="#ctx0" brushRef="#br0">906 179 24575,'-11'7'0,"0"0"0,1 1 0,0 1 0,0 0 0,1 0 0,0 1 0,1 0 0,-12 19 0,-5 3 0,-294 388 0,292-382 0,-152 206 0,133-186 0,-3-3 0,-60 52 0,104-101 0,-19 14 0,23-19 0,0-1 0,0 1 0,0 0 0,0 0 0,0-1 0,0 1 0,0-1 0,0 1 0,-1-1 0,1 1 0,0-1 0,0 0 0,0 1 0,-1-1 0,1 0 0,0 0 0,-2 0 0,3 0 0,-1-1 0,1 1 0,0 0 0,0 0 0,0-1 0,0 1 0,-1 0 0,1-1 0,0 1 0,0 0 0,0-1 0,0 1 0,0 0 0,0-1 0,0 1 0,0 0 0,0-1 0,0 1 0,0 0 0,0-1 0,0 1 0,0 0 0,0-1 0,0 1 0,0 0 0,1-1 0,-1 1 0,0 0 0,0-1 0,0 1 0,1 0 0,-1-1 0,9-15 0,-8 15 0,35-52 0,66-76 0,60-44 0,297-251-688,-353 341 442,4 4 1,196-105 0,-163 117 211,-115 56 34,-1 2 1,1 1-1,38-5 1,-58 11 39,0 1 0,0 1 1,0 0-1,0 0 0,0 0 0,0 1 0,0 0 1,0 1-1,12 3 0,-18-4-7,1 0 0,0 0 0,-1 1 0,0-1 0,1 0 0,-1 1-1,0 0 1,0 0 0,0 0 0,0 0 0,0 0 0,0 0 0,0 0 0,-1 0 0,1 1 0,-1-1 0,0 1-1,1-1 1,-1 1 0,0 0 0,-1-1 0,1 1 0,0 0 0,-1-1 0,1 1 0,-1 0 0,0 0 0,0 0-1,0-1 1,-1 5 0,-1 5-29,-1 0 0,0 0 0,0-1 0,-1 1 0,-1-1-1,0 0 1,-1 0 0,0-1 0,0 0 0,-9 11 0,-8 9-9,-54 51 1,49-55 4,-2-1 0,0-1 0,-2-2 0,0-1 0,-2-2 0,0-1 0,-1-1 0,0-2 0,-1-2 0,-47 11 0,41-15 0,-1-2 0,0-2 0,0-1 0,-1-3 0,1-1 0,0-2 0,0-2 0,-81-19 0,98 16 0,-9-2 0,25 7 0,10 2 0,0 0 0,0 0 0,0 0 0,0 0 0,0 0 0,0 0 0,0 0 0,0 0 0,0 0 0,0 0 0,0 0 0,0 0 0,0 0 0,0 0 0,0 0 0,0 0 0,0 0 0,0 0 0,0 1 0,0-1 0,0 0 0,1 0 0,-1 0 0,0 0 0,0 0 0,0 0 0,0 0 0,0 0 0,0 0 0,0 0 0,0 0 0,0 0 0,0 0 0,0 0 0,0 0 0,0 0 0,-1 0 0,1 0 0,0 1 0,0-1 0,0 0 0,0 0 0,0 0 0,0 0 0,0 0 0,0 0 0,0 0 0,48 33 0,70 62 0,33 50 0,-109-104 0,-35-34 0,18 19 0,2-1 0,39 27 0,-57-46 0,0 0 0,0-1 0,1 0 0,0-1 0,0 1 0,0-2 0,0 0 0,0 0 0,1-1 0,0 0 0,-1 0 0,17-1 0,-7-3 0,0 0 0,-1-2 0,0 0 0,0-1 0,0-1 0,36-16 0,102-65 0,96-86 0,-195 127 0,-3-3 0,58-64 0,-105 104 0,-2 3 0,0-1 0,0 1 0,0-2 0,-1 1 0,0-1 0,-1 1 0,4-10 0,-8 17 0,0 0 0,0 0 0,0 0 0,0 0 0,0 0 0,0 1 0,0-1 0,0 0 0,-1 0 0,1 0 0,0 0 0,0 0 0,0 0 0,0 0 0,0 0 0,-1 0 0,1 0 0,0 1 0,0-1 0,0 0 0,0 0 0,-1 0 0,1 0 0,0 0 0,0 0 0,0 0 0,0 0 0,0 0 0,-1 0 0,1-1 0,0 1 0,0 0 0,0 0 0,0 0 0,-1 0 0,1 0 0,0 0 0,0 0 0,0 0 0,0 0 0,0 0 0,0 0 0,-1-1 0,1 1 0,0 0 0,0 0 0,0 0 0,0 0 0,0 0 0,0-1 0,0 1 0,0 0 0,0 0 0,0 0 0,0 0 0,0 0 0,0-1 0,0 1 0,0 0 0,0 0 0,0 0 0,0 0 0,0-1 0,0 1 0,0 0 0,0 0 0,0 0 0,0 0 0,0-1 0,-18 11 0,-33 24 0,-66 59 0,-43 54 0,138-126 0,-314 316 0,130-126 0,189-194 0,20-24 0,33-36 0,137-134-703,238-188 0,-46 82 417,24 36-40,-381 243 317,118-60-51,-105 55 61,0 1-1,0 1 1,1 1 0,24-3-1,-41 8 46,1 1-1,-1-1 0,1 1 1,-1 1-1,1-1 0,-1 1 0,0 0 1,8 2-1,-12-3-13,0 1 0,0-1 0,0 0 0,0 1 0,0-1 1,0 1-1,0-1 0,0 1 0,0-1 0,-1 1 0,1 0 0,0-1 0,0 1 0,-1 0 0,1 0 0,0 0 0,-1-1 1,1 1-1,-1 0 0,1 0 0,-1 0 0,1 0 0,-1 0 0,0 0 0,0 0 0,1 0 0,-1 0 0,0 0 1,0 0-1,0 0 0,0 0 0,0 0 0,0 0 0,0 0 0,-1 0 0,1 0 0,0 0 0,0 0 0,-1 0 0,1 0 1,-1 0-1,1 0 0,-1 0 0,1 0 0,-1-1 0,0 1 0,1 0 0,-1 0 0,-1 0 0,-3 6-22,-1 0 0,0-1 0,0 0 0,-1-1 0,1 1 0,-1-1 0,-1-1 0,-11 7 0,-69 27-26,74-33 14,-201 64 2,102-35 0,106-32 0,3-1 0,1 0 0,-1 0 0,0 0 0,0 1 0,-6 4 0,9-6 0,1 1 0,-1-1 0,1 1 0,-1-1 0,1 1 0,-1 0 0,1-1 0,-1 1 0,1 0 0,0-1 0,-1 1 0,1 0 0,0-1 0,-1 1 0,1 0 0,0 0 0,0-1 0,0 1 0,0 0 0,0 0 0,0-1 0,0 1 0,0 0 0,0 0 0,0-1 0,0 1 0,0 0 0,1-1 0,-1 1 0,0 0 0,1 0 0,-1-1 0,0 1 0,1 0 0,-1-1 0,1 1 0,0 0 0,8 11 0,0-1 0,1-1 0,1 0 0,13 10 0,-4-3 0,-2-1 0,187 174 0,-181-165 0,-2 1 0,-1 1 0,-1 0 0,-1 2 0,-1 1 0,15 35 0,-30-57 0,1 0 0,-2 1 0,1-1 0,-1 1 0,-1-1 0,1 1 0,-1 0 0,-1 0 0,0 0 0,0-1 0,-1 1 0,0 0 0,-3 15 0,0-14 0,0 1 0,-1-1 0,0 1 0,-1-1 0,0-1 0,0 1 0,-1-1 0,0 0 0,-1-1 0,-11 12 0,-10 5 8,-1-1 0,0-2 0,-2-1 0,-56 28 0,-149 50-207,127-62-199,-153 30-1,192-54 399,-1-2 0,-1-5 0,-96-2-1,144-4 1,1-1 0,-1-2 0,1 0 0,-1-2 0,1-1 0,1 0 0,-43-19 0,61 23 0,0-1 0,0 0 0,0 0 0,1 0 0,-1-1 0,1 0 0,0 1 0,0-1 0,0-1 0,1 1 0,-5-8 0,6 9 0,1 0 0,0-1 0,0 1 0,0-1 0,0 1 0,0-1 0,1 1 0,-1-1 0,1 1 0,0-1 0,0 1 0,1-1 0,-1 1 0,1-1 0,-1 1 0,1-1 0,0 1 0,1-1 0,2-5 0,2-2 0,1-1 0,0 2 0,1-1 0,0 1 0,1 0 0,0 1 0,20-16 0,3-1 0,2 2 0,1 2 0,40-19 0,-1 6-167,121-40-1,-80 41-502,127-21 0,200 2-329,54 42-1866,-21 23 1170</inkml:trace>
</inkml:ink>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3B9D538FF1B34BB1614625CED124C5" ma:contentTypeVersion="8" ma:contentTypeDescription="Create a new document." ma:contentTypeScope="" ma:versionID="73782f3d8c31eec5bca2a4a8f8b69ce5">
  <xsd:schema xmlns:xsd="http://www.w3.org/2001/XMLSchema" xmlns:xs="http://www.w3.org/2001/XMLSchema" xmlns:p="http://schemas.microsoft.com/office/2006/metadata/properties" xmlns:ns2="b0971709-fccf-4aa3-94ca-d5d85211933c" targetNamespace="http://schemas.microsoft.com/office/2006/metadata/properties" ma:root="true" ma:fieldsID="d29c23c266fccdb81d537f96cc5dbd69" ns2:_="">
    <xsd:import namespace="b0971709-fccf-4aa3-94ca-d5d8521193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71709-fccf-4aa3-94ca-d5d852119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AE9A8FC1-811D-4259-BB73-014A9A2DE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71709-fccf-4aa3-94ca-d5d852119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short document template.dotx</Template>
  <TotalTime>1</TotalTime>
  <Pages>1</Pages>
  <Words>2820</Words>
  <Characters>17036</Characters>
  <Application>Microsoft Office Word</Application>
  <DocSecurity>0</DocSecurity>
  <Lines>587</Lines>
  <Paragraphs>305</Paragraphs>
  <ScaleCrop>false</ScaleCrop>
  <HeadingPairs>
    <vt:vector size="2" baseType="variant">
      <vt:variant>
        <vt:lpstr>Title</vt:lpstr>
      </vt:variant>
      <vt:variant>
        <vt:i4>1</vt:i4>
      </vt:variant>
    </vt:vector>
  </HeadingPairs>
  <TitlesOfParts>
    <vt:vector size="1" baseType="lpstr">
      <vt:lpstr>Emissions Reduction Plan 2025-2026 </vt:lpstr>
    </vt:vector>
  </TitlesOfParts>
  <Company/>
  <LinksUpToDate>false</LinksUpToDate>
  <CharactersWithSpaces>19551</CharactersWithSpaces>
  <SharedDoc>false</SharedDoc>
  <HLinks>
    <vt:vector size="72" baseType="variant">
      <vt:variant>
        <vt:i4>1310781</vt:i4>
      </vt:variant>
      <vt:variant>
        <vt:i4>35</vt:i4>
      </vt:variant>
      <vt:variant>
        <vt:i4>0</vt:i4>
      </vt:variant>
      <vt:variant>
        <vt:i4>5</vt:i4>
      </vt:variant>
      <vt:variant>
        <vt:lpwstr/>
      </vt:variant>
      <vt:variant>
        <vt:lpwstr>_Toc169538680</vt:lpwstr>
      </vt:variant>
      <vt:variant>
        <vt:i4>1769533</vt:i4>
      </vt:variant>
      <vt:variant>
        <vt:i4>32</vt:i4>
      </vt:variant>
      <vt:variant>
        <vt:i4>0</vt:i4>
      </vt:variant>
      <vt:variant>
        <vt:i4>5</vt:i4>
      </vt:variant>
      <vt:variant>
        <vt:lpwstr/>
      </vt:variant>
      <vt:variant>
        <vt:lpwstr>_Toc169538679</vt:lpwstr>
      </vt:variant>
      <vt:variant>
        <vt:i4>1769533</vt:i4>
      </vt:variant>
      <vt:variant>
        <vt:i4>29</vt:i4>
      </vt:variant>
      <vt:variant>
        <vt:i4>0</vt:i4>
      </vt:variant>
      <vt:variant>
        <vt:i4>5</vt:i4>
      </vt:variant>
      <vt:variant>
        <vt:lpwstr/>
      </vt:variant>
      <vt:variant>
        <vt:lpwstr>_Toc169538678</vt:lpwstr>
      </vt:variant>
      <vt:variant>
        <vt:i4>1769533</vt:i4>
      </vt:variant>
      <vt:variant>
        <vt:i4>26</vt:i4>
      </vt:variant>
      <vt:variant>
        <vt:i4>0</vt:i4>
      </vt:variant>
      <vt:variant>
        <vt:i4>5</vt:i4>
      </vt:variant>
      <vt:variant>
        <vt:lpwstr/>
      </vt:variant>
      <vt:variant>
        <vt:lpwstr>_Toc169538677</vt:lpwstr>
      </vt:variant>
      <vt:variant>
        <vt:i4>1769533</vt:i4>
      </vt:variant>
      <vt:variant>
        <vt:i4>23</vt:i4>
      </vt:variant>
      <vt:variant>
        <vt:i4>0</vt:i4>
      </vt:variant>
      <vt:variant>
        <vt:i4>5</vt:i4>
      </vt:variant>
      <vt:variant>
        <vt:lpwstr/>
      </vt:variant>
      <vt:variant>
        <vt:lpwstr>_Toc169538676</vt:lpwstr>
      </vt:variant>
      <vt:variant>
        <vt:i4>1769533</vt:i4>
      </vt:variant>
      <vt:variant>
        <vt:i4>20</vt:i4>
      </vt:variant>
      <vt:variant>
        <vt:i4>0</vt:i4>
      </vt:variant>
      <vt:variant>
        <vt:i4>5</vt:i4>
      </vt:variant>
      <vt:variant>
        <vt:lpwstr/>
      </vt:variant>
      <vt:variant>
        <vt:lpwstr>_Toc169538675</vt:lpwstr>
      </vt:variant>
      <vt:variant>
        <vt:i4>1769533</vt:i4>
      </vt:variant>
      <vt:variant>
        <vt:i4>17</vt:i4>
      </vt:variant>
      <vt:variant>
        <vt:i4>0</vt:i4>
      </vt:variant>
      <vt:variant>
        <vt:i4>5</vt:i4>
      </vt:variant>
      <vt:variant>
        <vt:lpwstr/>
      </vt:variant>
      <vt:variant>
        <vt:lpwstr>_Toc169538674</vt:lpwstr>
      </vt:variant>
      <vt:variant>
        <vt:i4>1769533</vt:i4>
      </vt:variant>
      <vt:variant>
        <vt:i4>14</vt:i4>
      </vt:variant>
      <vt:variant>
        <vt:i4>0</vt:i4>
      </vt:variant>
      <vt:variant>
        <vt:i4>5</vt:i4>
      </vt:variant>
      <vt:variant>
        <vt:lpwstr/>
      </vt:variant>
      <vt:variant>
        <vt:lpwstr>_Toc169538673</vt:lpwstr>
      </vt:variant>
      <vt:variant>
        <vt:i4>1769533</vt:i4>
      </vt:variant>
      <vt:variant>
        <vt:i4>11</vt:i4>
      </vt:variant>
      <vt:variant>
        <vt:i4>0</vt:i4>
      </vt:variant>
      <vt:variant>
        <vt:i4>5</vt:i4>
      </vt:variant>
      <vt:variant>
        <vt:lpwstr/>
      </vt:variant>
      <vt:variant>
        <vt:lpwstr>_Toc169538672</vt:lpwstr>
      </vt:variant>
      <vt:variant>
        <vt:i4>1769533</vt:i4>
      </vt:variant>
      <vt:variant>
        <vt:i4>8</vt:i4>
      </vt:variant>
      <vt:variant>
        <vt:i4>0</vt:i4>
      </vt:variant>
      <vt:variant>
        <vt:i4>5</vt:i4>
      </vt:variant>
      <vt:variant>
        <vt:lpwstr/>
      </vt:variant>
      <vt:variant>
        <vt:lpwstr>_Toc169538671</vt:lpwstr>
      </vt:variant>
      <vt:variant>
        <vt:i4>1769533</vt:i4>
      </vt:variant>
      <vt:variant>
        <vt:i4>5</vt:i4>
      </vt:variant>
      <vt:variant>
        <vt:i4>0</vt:i4>
      </vt:variant>
      <vt:variant>
        <vt:i4>5</vt:i4>
      </vt:variant>
      <vt:variant>
        <vt:lpwstr/>
      </vt:variant>
      <vt:variant>
        <vt:lpwstr>_Toc169538670</vt:lpwstr>
      </vt:variant>
      <vt:variant>
        <vt:i4>1703997</vt:i4>
      </vt:variant>
      <vt:variant>
        <vt:i4>2</vt:i4>
      </vt:variant>
      <vt:variant>
        <vt:i4>0</vt:i4>
      </vt:variant>
      <vt:variant>
        <vt:i4>5</vt:i4>
      </vt:variant>
      <vt:variant>
        <vt:lpwstr/>
      </vt:variant>
      <vt:variant>
        <vt:lpwstr>_Toc169538669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Emissions Reduction Plan 2025-2026 </dc:title>
  <dc:subject>About the department</dc:subject>
  <dc:creator>Australian Government Department of Health, Disability and Ageing</dc:creator>
  <cp:keywords>Emissions Reduction Plan; Environmental health</cp:keywords>
  <dc:description>_x000d_
_x000d_
</dc:description>
  <cp:lastModifiedBy>MASCHKE, Elvia</cp:lastModifiedBy>
  <cp:revision>5</cp:revision>
  <cp:lastPrinted>2025-10-22T06:15:00Z</cp:lastPrinted>
  <dcterms:created xsi:type="dcterms:W3CDTF">2025-10-22T06:14:00Z</dcterms:created>
  <dcterms:modified xsi:type="dcterms:W3CDTF">2025-10-22T06:15:00Z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0x010100913B9D538FF1B34BB1614625CED124C5</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499;#DESA, Katarina</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4;#visual identity|a54ebda2-a0fd-45ec-8fc0-1cf31001b526</vt:lpwstr>
  </property>
  <property fmtid="{D5CDD505-2E9C-101B-9397-08002B2CF9AE}" pid="24" name="lcf76f155ced4ddcb4097134ff3c332f">
    <vt:lpwstr/>
  </property>
  <property fmtid="{D5CDD505-2E9C-101B-9397-08002B2CF9AE}" pid="25" name="docLang">
    <vt:lpwstr>en</vt:lpwstr>
  </property>
  <property fmtid="{D5CDD505-2E9C-101B-9397-08002B2CF9AE}" pid="26" name="ClassificationContentMarkingHeaderShapeIds">
    <vt:lpwstr>5545fef6,20238925,4246a267,22858ae5,7a59f5ec,5e0adc02</vt:lpwstr>
  </property>
  <property fmtid="{D5CDD505-2E9C-101B-9397-08002B2CF9AE}" pid="27" name="ClassificationContentMarkingHeaderFontProps">
    <vt:lpwstr>#ff0000,12,Aptos</vt:lpwstr>
  </property>
  <property fmtid="{D5CDD505-2E9C-101B-9397-08002B2CF9AE}" pid="28" name="ClassificationContentMarkingHeaderText">
    <vt:lpwstr>OFFICIAL</vt:lpwstr>
  </property>
  <property fmtid="{D5CDD505-2E9C-101B-9397-08002B2CF9AE}" pid="29" name="ClassificationContentMarkingFooterShapeIds">
    <vt:lpwstr>916bff0,23baa4ac,36e511af,4a393c04,6fcd76c5</vt:lpwstr>
  </property>
  <property fmtid="{D5CDD505-2E9C-101B-9397-08002B2CF9AE}" pid="30" name="ClassificationContentMarkingFooterFontProps">
    <vt:lpwstr>#ff0000,12,Aptos</vt:lpwstr>
  </property>
  <property fmtid="{D5CDD505-2E9C-101B-9397-08002B2CF9AE}" pid="31" name="ClassificationContentMarkingFooterText">
    <vt:lpwstr>OFFICIAL</vt:lpwstr>
  </property>
  <property fmtid="{D5CDD505-2E9C-101B-9397-08002B2CF9AE}" pid="32" name="MSIP_Label_7cd3e8b9-ffed-43a8-b7f4-cc2fa0382d36_Enabled">
    <vt:lpwstr>true</vt:lpwstr>
  </property>
  <property fmtid="{D5CDD505-2E9C-101B-9397-08002B2CF9AE}" pid="33" name="MSIP_Label_7cd3e8b9-ffed-43a8-b7f4-cc2fa0382d36_SetDate">
    <vt:lpwstr>2025-09-05T04:14:54Z</vt:lpwstr>
  </property>
  <property fmtid="{D5CDD505-2E9C-101B-9397-08002B2CF9AE}" pid="34" name="MSIP_Label_7cd3e8b9-ffed-43a8-b7f4-cc2fa0382d36_Method">
    <vt:lpwstr>Privileged</vt:lpwstr>
  </property>
  <property fmtid="{D5CDD505-2E9C-101B-9397-08002B2CF9AE}" pid="35" name="MSIP_Label_7cd3e8b9-ffed-43a8-b7f4-cc2fa0382d36_Name">
    <vt:lpwstr>O</vt:lpwstr>
  </property>
  <property fmtid="{D5CDD505-2E9C-101B-9397-08002B2CF9AE}" pid="36" name="MSIP_Label_7cd3e8b9-ffed-43a8-b7f4-cc2fa0382d36_SiteId">
    <vt:lpwstr>34a3929c-73cf-4954-abfe-147dc3517892</vt:lpwstr>
  </property>
  <property fmtid="{D5CDD505-2E9C-101B-9397-08002B2CF9AE}" pid="37" name="MSIP_Label_7cd3e8b9-ffed-43a8-b7f4-cc2fa0382d36_ActionId">
    <vt:lpwstr>2a963fa6-d2f9-48fe-9fb5-8d96fb815aed</vt:lpwstr>
  </property>
  <property fmtid="{D5CDD505-2E9C-101B-9397-08002B2CF9AE}" pid="38" name="MSIP_Label_7cd3e8b9-ffed-43a8-b7f4-cc2fa0382d36_ContentBits">
    <vt:lpwstr>3</vt:lpwstr>
  </property>
  <property fmtid="{D5CDD505-2E9C-101B-9397-08002B2CF9AE}" pid="39" name="MSIP_Label_7cd3e8b9-ffed-43a8-b7f4-cc2fa0382d36_Tag">
    <vt:lpwstr>10, 0, 1, 2</vt:lpwstr>
  </property>
</Properties>
</file>