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28F1" w14:textId="4C8A9D09" w:rsidR="00921B1B" w:rsidRPr="00921B1B" w:rsidRDefault="00065034" w:rsidP="002220EB">
      <w:pPr>
        <w:pStyle w:val="Heading1"/>
        <w:spacing w:before="480"/>
      </w:pPr>
      <w:r>
        <w:t>Cultural safety organisational review tool</w:t>
      </w:r>
    </w:p>
    <w:p w14:paraId="36FA9CF2" w14:textId="5E4A57B6" w:rsidR="00745010" w:rsidRPr="00E11D3F" w:rsidRDefault="00D755BB" w:rsidP="00E11D3F">
      <w:pPr>
        <w:pStyle w:val="Quote"/>
      </w:pPr>
      <w:r>
        <w:t>C</w:t>
      </w:r>
      <w:r w:rsidR="00BF33F4" w:rsidRPr="00BF33F4">
        <w:t>ultural safety is measured by how policies, processes and practices align with the lived experience of older people.</w:t>
      </w:r>
    </w:p>
    <w:p w14:paraId="480D6CDF" w14:textId="54081971" w:rsidR="00A93449" w:rsidRPr="00A93449" w:rsidRDefault="00A93449" w:rsidP="00A93449">
      <w:pPr>
        <w:pStyle w:val="Heading2"/>
      </w:pPr>
      <w:r w:rsidRPr="00A93449">
        <w:t>Introduction</w:t>
      </w:r>
    </w:p>
    <w:p w14:paraId="56C3B5C5" w14:textId="0D02A53A" w:rsidR="003247CA" w:rsidRPr="003247CA" w:rsidRDefault="2EDD67CF" w:rsidP="003247CA">
      <w:r>
        <w:t>Delivering c</w:t>
      </w:r>
      <w:r w:rsidR="003247CA">
        <w:t>ulturally safe care does not happen by chance. It requires deliberate action across all parts of an organisation</w:t>
      </w:r>
      <w:r w:rsidR="006D392F">
        <w:t xml:space="preserve">, </w:t>
      </w:r>
      <w:r w:rsidR="003247CA">
        <w:t>from the way leaders set expectations, to the systems that guide care, to the everyday interactions between workers and older people. To support aged care providers in embedding cultural safe</w:t>
      </w:r>
      <w:r w:rsidR="40CD53B4">
        <w:t xml:space="preserve"> care delivery</w:t>
      </w:r>
      <w:r w:rsidR="003247CA">
        <w:t>, this guide focuses on five interconnected areas:</w:t>
      </w:r>
    </w:p>
    <w:tbl>
      <w:tblPr>
        <w:tblStyle w:val="TableGrid"/>
        <w:tblW w:w="0" w:type="auto"/>
        <w:tblLook w:val="04A0" w:firstRow="1" w:lastRow="0" w:firstColumn="1" w:lastColumn="0" w:noHBand="0" w:noVBand="1"/>
      </w:tblPr>
      <w:tblGrid>
        <w:gridCol w:w="993"/>
        <w:gridCol w:w="9211"/>
      </w:tblGrid>
      <w:tr w:rsidR="009908CC" w14:paraId="5ED4D511" w14:textId="77777777" w:rsidTr="1455AF61">
        <w:trPr>
          <w:cnfStyle w:val="100000000000" w:firstRow="1" w:lastRow="0" w:firstColumn="0" w:lastColumn="0" w:oddVBand="0" w:evenVBand="0" w:oddHBand="0" w:evenHBand="0" w:firstRowFirstColumn="0" w:firstRowLastColumn="0" w:lastRowFirstColumn="0" w:lastRowLastColumn="0"/>
          <w:trHeight w:val="1020"/>
        </w:trPr>
        <w:tc>
          <w:tcPr>
            <w:tcW w:w="993" w:type="dxa"/>
            <w:vAlign w:val="center"/>
          </w:tcPr>
          <w:p w14:paraId="3CD27453" w14:textId="40D858C0" w:rsidR="009908CC" w:rsidRDefault="00541605" w:rsidP="00B16A7A">
            <w:pPr>
              <w:spacing w:before="0" w:after="0"/>
              <w:jc w:val="center"/>
            </w:pPr>
            <w:r>
              <w:rPr>
                <w:noProof/>
              </w:rPr>
              <w:drawing>
                <wp:inline distT="0" distB="0" distL="0" distR="0" wp14:anchorId="46D1A2E7" wp14:editId="757635B3">
                  <wp:extent cx="468000" cy="468000"/>
                  <wp:effectExtent l="0" t="0" r="1905" b="1905"/>
                  <wp:docPr id="72455354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53542" name="Graphic 724553542"/>
                          <pic:cNvPicPr/>
                        </pic:nvPicPr>
                        <pic:blipFill>
                          <a:blip r:embed="rId11">
                            <a:extLst>
                              <a:ext uri="{96DAC541-7B7A-43D3-8B79-37D633B846F1}">
                                <asvg:svgBlip xmlns:asvg="http://schemas.microsoft.com/office/drawing/2016/SVG/main" r:embed="rId12"/>
                              </a:ext>
                            </a:extLst>
                          </a:blip>
                          <a:stretch>
                            <a:fillRect/>
                          </a:stretch>
                        </pic:blipFill>
                        <pic:spPr>
                          <a:xfrm>
                            <a:off x="0" y="0"/>
                            <a:ext cx="468000" cy="468000"/>
                          </a:xfrm>
                          <a:prstGeom prst="rect">
                            <a:avLst/>
                          </a:prstGeom>
                        </pic:spPr>
                      </pic:pic>
                    </a:graphicData>
                  </a:graphic>
                </wp:inline>
              </w:drawing>
            </w:r>
          </w:p>
        </w:tc>
        <w:tc>
          <w:tcPr>
            <w:tcW w:w="9211" w:type="dxa"/>
            <w:vAlign w:val="center"/>
          </w:tcPr>
          <w:p w14:paraId="70C55EDA" w14:textId="74B7131C" w:rsidR="009908CC" w:rsidRDefault="00EA5F38" w:rsidP="00B16A7A">
            <w:pPr>
              <w:spacing w:before="0" w:after="0"/>
              <w:rPr>
                <w:b w:val="0"/>
              </w:rPr>
            </w:pPr>
            <w:r>
              <w:t xml:space="preserve">Policies: </w:t>
            </w:r>
            <w:r>
              <w:rPr>
                <w:b w:val="0"/>
              </w:rPr>
              <w:t>the commitments and governance settings that anchor cultural</w:t>
            </w:r>
            <w:r w:rsidR="5F93E788">
              <w:rPr>
                <w:b w:val="0"/>
              </w:rPr>
              <w:t>ly</w:t>
            </w:r>
            <w:r>
              <w:rPr>
                <w:b w:val="0"/>
              </w:rPr>
              <w:t xml:space="preserve"> safe</w:t>
            </w:r>
            <w:r w:rsidR="2CFAB166">
              <w:rPr>
                <w:b w:val="0"/>
              </w:rPr>
              <w:t xml:space="preserve"> care delivery</w:t>
            </w:r>
            <w:r>
              <w:rPr>
                <w:b w:val="0"/>
              </w:rPr>
              <w:t xml:space="preserve"> at the highest level.</w:t>
            </w:r>
          </w:p>
        </w:tc>
      </w:tr>
      <w:tr w:rsidR="009908CC" w14:paraId="749A5C86" w14:textId="77777777" w:rsidTr="1455AF61">
        <w:trPr>
          <w:trHeight w:val="1020"/>
        </w:trPr>
        <w:tc>
          <w:tcPr>
            <w:tcW w:w="993" w:type="dxa"/>
            <w:vAlign w:val="center"/>
          </w:tcPr>
          <w:p w14:paraId="25FEE164" w14:textId="27B5D9B3" w:rsidR="009908CC" w:rsidRDefault="00576231" w:rsidP="00B16A7A">
            <w:pPr>
              <w:spacing w:before="0" w:after="0"/>
              <w:jc w:val="center"/>
            </w:pPr>
            <w:r>
              <w:rPr>
                <w:noProof/>
              </w:rPr>
              <w:drawing>
                <wp:inline distT="0" distB="0" distL="0" distR="0" wp14:anchorId="066D63D3" wp14:editId="54DAD7F8">
                  <wp:extent cx="468000" cy="468000"/>
                  <wp:effectExtent l="0" t="0" r="1905" b="1905"/>
                  <wp:docPr id="160891570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15707" name="Graphic 1608915707"/>
                          <pic:cNvPicPr/>
                        </pic:nvPicPr>
                        <pic:blipFill>
                          <a:blip r:embed="rId13">
                            <a:extLst>
                              <a:ext uri="{96DAC541-7B7A-43D3-8B79-37D633B846F1}">
                                <asvg:svgBlip xmlns:asvg="http://schemas.microsoft.com/office/drawing/2016/SVG/main" r:embed="rId14"/>
                              </a:ext>
                            </a:extLst>
                          </a:blip>
                          <a:stretch>
                            <a:fillRect/>
                          </a:stretch>
                        </pic:blipFill>
                        <pic:spPr>
                          <a:xfrm>
                            <a:off x="0" y="0"/>
                            <a:ext cx="468000" cy="468000"/>
                          </a:xfrm>
                          <a:prstGeom prst="rect">
                            <a:avLst/>
                          </a:prstGeom>
                        </pic:spPr>
                      </pic:pic>
                    </a:graphicData>
                  </a:graphic>
                </wp:inline>
              </w:drawing>
            </w:r>
          </w:p>
        </w:tc>
        <w:tc>
          <w:tcPr>
            <w:tcW w:w="9211" w:type="dxa"/>
            <w:vAlign w:val="center"/>
          </w:tcPr>
          <w:p w14:paraId="3E19889A" w14:textId="7FFDE6FC" w:rsidR="009908CC" w:rsidRDefault="00EA5F38" w:rsidP="00B16A7A">
            <w:pPr>
              <w:spacing w:before="0" w:after="0"/>
            </w:pPr>
            <w:r w:rsidRPr="1455AF61">
              <w:rPr>
                <w:b/>
                <w:bCs/>
              </w:rPr>
              <w:t>Processes</w:t>
            </w:r>
            <w:r>
              <w:t>: the systems and procedures that ensure cultural</w:t>
            </w:r>
            <w:r w:rsidR="29E0425E">
              <w:t>ly</w:t>
            </w:r>
            <w:r>
              <w:t xml:space="preserve"> safe</w:t>
            </w:r>
            <w:r w:rsidR="2448BF50">
              <w:t xml:space="preserve"> process are</w:t>
            </w:r>
            <w:r>
              <w:t xml:space="preserve"> consistently applied in care delivery.</w:t>
            </w:r>
          </w:p>
        </w:tc>
      </w:tr>
      <w:tr w:rsidR="009908CC" w14:paraId="79B522C6" w14:textId="77777777" w:rsidTr="1455AF61">
        <w:trPr>
          <w:trHeight w:val="1020"/>
        </w:trPr>
        <w:tc>
          <w:tcPr>
            <w:tcW w:w="993" w:type="dxa"/>
            <w:vAlign w:val="center"/>
          </w:tcPr>
          <w:p w14:paraId="60DC860D" w14:textId="34648515" w:rsidR="009908CC" w:rsidRDefault="000C09F1" w:rsidP="00B16A7A">
            <w:pPr>
              <w:spacing w:before="0" w:after="0"/>
              <w:jc w:val="center"/>
            </w:pPr>
            <w:r>
              <w:rPr>
                <w:noProof/>
              </w:rPr>
              <w:drawing>
                <wp:inline distT="0" distB="0" distL="0" distR="0" wp14:anchorId="0F525006" wp14:editId="2E9E0728">
                  <wp:extent cx="468000" cy="468000"/>
                  <wp:effectExtent l="0" t="0" r="1905" b="1905"/>
                  <wp:docPr id="147194354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43546" name="Graphic 1471943546"/>
                          <pic:cNvPicPr/>
                        </pic:nvPicPr>
                        <pic:blipFill>
                          <a:blip r:embed="rId15">
                            <a:extLst>
                              <a:ext uri="{96DAC541-7B7A-43D3-8B79-37D633B846F1}">
                                <asvg:svgBlip xmlns:asvg="http://schemas.microsoft.com/office/drawing/2016/SVG/main" r:embed="rId16"/>
                              </a:ext>
                            </a:extLst>
                          </a:blip>
                          <a:stretch>
                            <a:fillRect/>
                          </a:stretch>
                        </pic:blipFill>
                        <pic:spPr>
                          <a:xfrm>
                            <a:off x="0" y="0"/>
                            <a:ext cx="468000" cy="468000"/>
                          </a:xfrm>
                          <a:prstGeom prst="rect">
                            <a:avLst/>
                          </a:prstGeom>
                        </pic:spPr>
                      </pic:pic>
                    </a:graphicData>
                  </a:graphic>
                </wp:inline>
              </w:drawing>
            </w:r>
          </w:p>
        </w:tc>
        <w:tc>
          <w:tcPr>
            <w:tcW w:w="9211" w:type="dxa"/>
            <w:vAlign w:val="center"/>
          </w:tcPr>
          <w:p w14:paraId="070F86DB" w14:textId="2AA85B1B" w:rsidR="009908CC" w:rsidRDefault="00EA5F38" w:rsidP="00B16A7A">
            <w:pPr>
              <w:spacing w:before="0" w:after="0"/>
            </w:pPr>
            <w:r w:rsidRPr="1455AF61">
              <w:rPr>
                <w:b/>
                <w:bCs/>
              </w:rPr>
              <w:t>Practices</w:t>
            </w:r>
            <w:r>
              <w:t xml:space="preserve">: the day-to-day behaviours, environments and choices that shape the </w:t>
            </w:r>
            <w:r w:rsidR="50B95D46">
              <w:t xml:space="preserve">older person’s </w:t>
            </w:r>
            <w:r>
              <w:t xml:space="preserve">lived experience of </w:t>
            </w:r>
            <w:r w:rsidR="480F7C7C">
              <w:t>their aged care.</w:t>
            </w:r>
          </w:p>
        </w:tc>
      </w:tr>
      <w:tr w:rsidR="009908CC" w14:paraId="775426A5" w14:textId="77777777" w:rsidTr="1455AF61">
        <w:trPr>
          <w:trHeight w:val="1020"/>
        </w:trPr>
        <w:tc>
          <w:tcPr>
            <w:tcW w:w="993" w:type="dxa"/>
            <w:vAlign w:val="center"/>
          </w:tcPr>
          <w:p w14:paraId="3503EE02" w14:textId="68255515" w:rsidR="009908CC" w:rsidRDefault="00B16A7A" w:rsidP="00B16A7A">
            <w:pPr>
              <w:spacing w:before="0" w:after="0"/>
              <w:jc w:val="center"/>
            </w:pPr>
            <w:r>
              <w:rPr>
                <w:noProof/>
              </w:rPr>
              <w:drawing>
                <wp:inline distT="0" distB="0" distL="0" distR="0" wp14:anchorId="7B3E07BA" wp14:editId="678F7C9A">
                  <wp:extent cx="468000" cy="468000"/>
                  <wp:effectExtent l="0" t="0" r="1905" b="1905"/>
                  <wp:docPr id="902836197"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36197" name="Graphic 902836197"/>
                          <pic:cNvPicPr/>
                        </pic:nvPicPr>
                        <pic:blipFill>
                          <a:blip r:embed="rId17">
                            <a:extLst>
                              <a:ext uri="{96DAC541-7B7A-43D3-8B79-37D633B846F1}">
                                <asvg:svgBlip xmlns:asvg="http://schemas.microsoft.com/office/drawing/2016/SVG/main" r:embed="rId18"/>
                              </a:ext>
                            </a:extLst>
                          </a:blip>
                          <a:stretch>
                            <a:fillRect/>
                          </a:stretch>
                        </pic:blipFill>
                        <pic:spPr>
                          <a:xfrm>
                            <a:off x="0" y="0"/>
                            <a:ext cx="468000" cy="468000"/>
                          </a:xfrm>
                          <a:prstGeom prst="rect">
                            <a:avLst/>
                          </a:prstGeom>
                        </pic:spPr>
                      </pic:pic>
                    </a:graphicData>
                  </a:graphic>
                </wp:inline>
              </w:drawing>
            </w:r>
          </w:p>
        </w:tc>
        <w:tc>
          <w:tcPr>
            <w:tcW w:w="9211" w:type="dxa"/>
            <w:vAlign w:val="center"/>
          </w:tcPr>
          <w:p w14:paraId="72CE81BD" w14:textId="673F1F78" w:rsidR="009908CC" w:rsidRDefault="00EA5F38" w:rsidP="00B16A7A">
            <w:pPr>
              <w:spacing w:before="0" w:after="0"/>
            </w:pPr>
            <w:r w:rsidRPr="00EA5F38">
              <w:rPr>
                <w:b/>
                <w:bCs/>
              </w:rPr>
              <w:t>Workforce capability</w:t>
            </w:r>
            <w:r w:rsidRPr="003247CA">
              <w:t>: the skills, confidence</w:t>
            </w:r>
            <w:r w:rsidR="00EC10C0">
              <w:t>, ongoing training</w:t>
            </w:r>
            <w:r w:rsidRPr="003247CA">
              <w:t xml:space="preserve"> and accountability of staff and leaders to provide care that respects and responds to diverse cultural needs.</w:t>
            </w:r>
          </w:p>
        </w:tc>
      </w:tr>
      <w:tr w:rsidR="009908CC" w14:paraId="29B629EC" w14:textId="77777777" w:rsidTr="1455AF61">
        <w:trPr>
          <w:trHeight w:val="1020"/>
        </w:trPr>
        <w:tc>
          <w:tcPr>
            <w:tcW w:w="993" w:type="dxa"/>
            <w:vAlign w:val="center"/>
          </w:tcPr>
          <w:p w14:paraId="725B72DD" w14:textId="5943937B" w:rsidR="009908CC" w:rsidRDefault="00F56DDF" w:rsidP="00B16A7A">
            <w:pPr>
              <w:spacing w:before="0" w:after="0"/>
              <w:jc w:val="center"/>
            </w:pPr>
            <w:r>
              <w:rPr>
                <w:noProof/>
              </w:rPr>
              <w:drawing>
                <wp:inline distT="0" distB="0" distL="0" distR="0" wp14:anchorId="107DB140" wp14:editId="06AC0F98">
                  <wp:extent cx="468000" cy="468000"/>
                  <wp:effectExtent l="0" t="0" r="1905" b="1905"/>
                  <wp:docPr id="998163273"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63273" name="Graphic 998163273"/>
                          <pic:cNvPicPr/>
                        </pic:nvPicPr>
                        <pic:blipFill>
                          <a:blip r:embed="rId19">
                            <a:extLst>
                              <a:ext uri="{96DAC541-7B7A-43D3-8B79-37D633B846F1}">
                                <asvg:svgBlip xmlns:asvg="http://schemas.microsoft.com/office/drawing/2016/SVG/main" r:embed="rId20"/>
                              </a:ext>
                            </a:extLst>
                          </a:blip>
                          <a:stretch>
                            <a:fillRect/>
                          </a:stretch>
                        </pic:blipFill>
                        <pic:spPr>
                          <a:xfrm>
                            <a:off x="0" y="0"/>
                            <a:ext cx="468000" cy="468000"/>
                          </a:xfrm>
                          <a:prstGeom prst="rect">
                            <a:avLst/>
                          </a:prstGeom>
                        </pic:spPr>
                      </pic:pic>
                    </a:graphicData>
                  </a:graphic>
                </wp:inline>
              </w:drawing>
            </w:r>
          </w:p>
        </w:tc>
        <w:tc>
          <w:tcPr>
            <w:tcW w:w="9211" w:type="dxa"/>
            <w:vAlign w:val="center"/>
          </w:tcPr>
          <w:p w14:paraId="395269EB" w14:textId="2E53862B" w:rsidR="009908CC" w:rsidRDefault="00EA5F38" w:rsidP="00B16A7A">
            <w:pPr>
              <w:spacing w:before="0" w:after="0"/>
            </w:pPr>
            <w:r w:rsidRPr="00EA5F38">
              <w:rPr>
                <w:b/>
                <w:bCs/>
              </w:rPr>
              <w:t>Community connections</w:t>
            </w:r>
            <w:r w:rsidRPr="003247CA">
              <w:t>: the partnerships and relationships that extend cultural safety beyond the organisation and into the communities it serves.</w:t>
            </w:r>
          </w:p>
        </w:tc>
      </w:tr>
    </w:tbl>
    <w:p w14:paraId="5F8D666C" w14:textId="1AC1A013" w:rsidR="00CD2D2B" w:rsidRPr="003247CA" w:rsidRDefault="00CD2D2B" w:rsidP="00EA5F38">
      <w:pPr>
        <w:spacing w:before="360"/>
      </w:pPr>
      <w:r w:rsidRPr="00CD2D2B">
        <w:t>Each area is essential on its own, but together they create a strong, integrated framework where cultural safety is not an aspiratio</w:t>
      </w:r>
      <w:r>
        <w:t xml:space="preserve">n, </w:t>
      </w:r>
      <w:r w:rsidRPr="00CD2D2B">
        <w:t>it is the lived reality for every older person, every day.</w:t>
      </w:r>
    </w:p>
    <w:p w14:paraId="36FA75BD" w14:textId="107AC486" w:rsidR="000C2C87" w:rsidRPr="000C2C87" w:rsidRDefault="000C2C87" w:rsidP="004C2932">
      <w:pPr>
        <w:pStyle w:val="Heading4"/>
      </w:pPr>
      <w:r>
        <w:t>Purpose</w:t>
      </w:r>
    </w:p>
    <w:p w14:paraId="1D518D38" w14:textId="52353D90" w:rsidR="00C85E1C" w:rsidRDefault="00CD2D2B" w:rsidP="00665FC6">
      <w:r>
        <w:t xml:space="preserve">This guide </w:t>
      </w:r>
      <w:r w:rsidR="00A82387">
        <w:t>provides guidance</w:t>
      </w:r>
      <w:r w:rsidR="00177FD5">
        <w:t xml:space="preserve"> for providers to consider when seeking to </w:t>
      </w:r>
      <w:r w:rsidR="000729D6">
        <w:t>embed</w:t>
      </w:r>
      <w:r w:rsidR="3A67C01A">
        <w:t xml:space="preserve"> delivering</w:t>
      </w:r>
      <w:r w:rsidR="000729D6">
        <w:t xml:space="preserve"> cultural</w:t>
      </w:r>
      <w:r w:rsidR="1DA7ADE1">
        <w:t>ly</w:t>
      </w:r>
      <w:r w:rsidR="000729D6">
        <w:t xml:space="preserve"> safe</w:t>
      </w:r>
      <w:r w:rsidR="16554640">
        <w:t xml:space="preserve"> care</w:t>
      </w:r>
      <w:r w:rsidR="000729D6">
        <w:t xml:space="preserve"> across</w:t>
      </w:r>
      <w:r w:rsidR="50AE9165">
        <w:t xml:space="preserve"> their</w:t>
      </w:r>
      <w:r w:rsidR="000729D6">
        <w:t xml:space="preserve"> operations</w:t>
      </w:r>
      <w:r w:rsidR="00E57417">
        <w:t xml:space="preserve">. It also includes an organisational review tool designed to help providers take a structured look at how cultural safety is embedded across </w:t>
      </w:r>
      <w:r w:rsidR="005475A0">
        <w:t xml:space="preserve">their organisation. </w:t>
      </w:r>
    </w:p>
    <w:p w14:paraId="492C6123" w14:textId="77777777" w:rsidR="00E40FD3" w:rsidRDefault="00E40FD3">
      <w:pPr>
        <w:spacing w:before="0" w:after="0" w:line="240" w:lineRule="auto"/>
        <w:rPr>
          <w:rFonts w:eastAsiaTheme="majorEastAsia" w:cstheme="majorBidi"/>
          <w:b/>
          <w:color w:val="1E1544" w:themeColor="text1"/>
          <w:sz w:val="28"/>
        </w:rPr>
      </w:pPr>
      <w:r>
        <w:br w:type="page"/>
      </w:r>
    </w:p>
    <w:p w14:paraId="4D612F7D" w14:textId="774E51B3" w:rsidR="00E9497D" w:rsidRDefault="00F041D3" w:rsidP="00BB79CD">
      <w:pPr>
        <w:pStyle w:val="Heading2"/>
      </w:pPr>
      <w:r>
        <w:lastRenderedPageBreak/>
        <w:t>Focus areas for</w:t>
      </w:r>
      <w:r w:rsidR="00A70127">
        <w:t xml:space="preserve"> embedding culturally safe care in your operations </w:t>
      </w:r>
    </w:p>
    <w:tbl>
      <w:tblPr>
        <w:tblStyle w:val="TableGrid"/>
        <w:tblW w:w="0" w:type="auto"/>
        <w:tblBorders>
          <w:top w:val="none" w:sz="0" w:space="0" w:color="auto"/>
          <w:insideH w:val="none" w:sz="0" w:space="0" w:color="auto"/>
        </w:tblBorders>
        <w:tblLook w:val="04A0" w:firstRow="1" w:lastRow="0" w:firstColumn="1" w:lastColumn="0" w:noHBand="0" w:noVBand="1"/>
      </w:tblPr>
      <w:tblGrid>
        <w:gridCol w:w="782"/>
        <w:gridCol w:w="9422"/>
      </w:tblGrid>
      <w:tr w:rsidR="00B16A7A" w14:paraId="2CFFEE9C" w14:textId="77777777" w:rsidTr="002542FE">
        <w:trPr>
          <w:cnfStyle w:val="100000000000" w:firstRow="1" w:lastRow="0" w:firstColumn="0" w:lastColumn="0" w:oddVBand="0" w:evenVBand="0" w:oddHBand="0" w:evenHBand="0" w:firstRowFirstColumn="0" w:firstRowLastColumn="0" w:lastRowFirstColumn="0" w:lastRowLastColumn="0"/>
          <w:trHeight w:val="737"/>
        </w:trPr>
        <w:tc>
          <w:tcPr>
            <w:tcW w:w="709" w:type="dxa"/>
            <w:shd w:val="clear" w:color="auto" w:fill="D1F2F4" w:themeFill="accent1" w:themeFillTint="33"/>
            <w:vAlign w:val="center"/>
          </w:tcPr>
          <w:p w14:paraId="10EBC6BE" w14:textId="1625D3A8" w:rsidR="00B16A7A" w:rsidRDefault="00B16A7A" w:rsidP="002542FE">
            <w:pPr>
              <w:pStyle w:val="Heading3"/>
              <w:spacing w:before="0" w:after="0"/>
            </w:pPr>
            <w:r>
              <w:rPr>
                <w:noProof/>
              </w:rPr>
              <w:drawing>
                <wp:inline distT="0" distB="0" distL="0" distR="0" wp14:anchorId="4435A39B" wp14:editId="147B0ED5">
                  <wp:extent cx="359596" cy="359596"/>
                  <wp:effectExtent l="0" t="0" r="0" b="0"/>
                  <wp:docPr id="1473998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53542" name="Graphic 724553542"/>
                          <pic:cNvPicPr/>
                        </pic:nvPicPr>
                        <pic:blipFill>
                          <a:blip r:embed="rId11">
                            <a:extLst>
                              <a:ext uri="{96DAC541-7B7A-43D3-8B79-37D633B846F1}">
                                <asvg:svgBlip xmlns:asvg="http://schemas.microsoft.com/office/drawing/2016/SVG/main" r:embed="rId12"/>
                              </a:ext>
                            </a:extLst>
                          </a:blip>
                          <a:stretch>
                            <a:fillRect/>
                          </a:stretch>
                        </pic:blipFill>
                        <pic:spPr>
                          <a:xfrm>
                            <a:off x="0" y="0"/>
                            <a:ext cx="362363" cy="362363"/>
                          </a:xfrm>
                          <a:prstGeom prst="rect">
                            <a:avLst/>
                          </a:prstGeom>
                        </pic:spPr>
                      </pic:pic>
                    </a:graphicData>
                  </a:graphic>
                </wp:inline>
              </w:drawing>
            </w:r>
          </w:p>
        </w:tc>
        <w:tc>
          <w:tcPr>
            <w:tcW w:w="9495" w:type="dxa"/>
            <w:shd w:val="clear" w:color="auto" w:fill="D1F2F4" w:themeFill="accent1" w:themeFillTint="33"/>
            <w:vAlign w:val="center"/>
          </w:tcPr>
          <w:p w14:paraId="40342F1B" w14:textId="5CACAB68" w:rsidR="00B16A7A" w:rsidRPr="00B16A7A" w:rsidRDefault="00B16A7A" w:rsidP="002542FE">
            <w:pPr>
              <w:pStyle w:val="Heading3"/>
              <w:spacing w:before="0" w:after="0"/>
              <w:rPr>
                <w:b/>
                <w:bCs/>
              </w:rPr>
            </w:pPr>
            <w:r w:rsidRPr="00B16A7A">
              <w:rPr>
                <w:b/>
                <w:bCs/>
              </w:rPr>
              <w:t>Policies (governance and strategy)</w:t>
            </w:r>
          </w:p>
        </w:tc>
      </w:tr>
    </w:tbl>
    <w:p w14:paraId="37F0C404" w14:textId="76633ED9" w:rsidR="004C2932" w:rsidRDefault="00433377" w:rsidP="004C2932">
      <w:r>
        <w:t xml:space="preserve">Policies set the tone for </w:t>
      </w:r>
      <w:r w:rsidR="2FA6FF48">
        <w:t xml:space="preserve">delivering </w:t>
      </w:r>
      <w:r>
        <w:t>cultural</w:t>
      </w:r>
      <w:r w:rsidR="7D6F98DE">
        <w:t>ly</w:t>
      </w:r>
      <w:r>
        <w:t xml:space="preserve"> safe</w:t>
      </w:r>
      <w:r w:rsidR="0A4043F1">
        <w:t xml:space="preserve"> care</w:t>
      </w:r>
      <w:r>
        <w:t xml:space="preserve"> across the organisation. They show your commitment, create accountability, and make clear what culturally safe care should look like at a governance level.</w:t>
      </w:r>
    </w:p>
    <w:p w14:paraId="7E4C4C01" w14:textId="12E5D3C8" w:rsidR="00433377" w:rsidRDefault="00433377" w:rsidP="004C2932">
      <w:r>
        <w:t xml:space="preserve">What you can do to embed </w:t>
      </w:r>
      <w:r w:rsidR="5D5AE6E2">
        <w:t xml:space="preserve">delivering </w:t>
      </w:r>
      <w:r>
        <w:t>cultura</w:t>
      </w:r>
      <w:r w:rsidR="2E073253">
        <w:t>l</w:t>
      </w:r>
      <w:r>
        <w:t>l</w:t>
      </w:r>
      <w:r w:rsidR="429B7352">
        <w:t>y</w:t>
      </w:r>
      <w:r>
        <w:t xml:space="preserve"> safe</w:t>
      </w:r>
      <w:r w:rsidR="67DE68F2">
        <w:t xml:space="preserve"> care</w:t>
      </w:r>
      <w:r>
        <w:t xml:space="preserve"> into your </w:t>
      </w:r>
      <w:r w:rsidR="00BD158D">
        <w:t>governance and strategy</w:t>
      </w:r>
      <w:r>
        <w:t>:</w:t>
      </w:r>
    </w:p>
    <w:p w14:paraId="4AE84E38" w14:textId="6BB415B4" w:rsidR="00433377" w:rsidRDefault="00CD6351" w:rsidP="00CD6351">
      <w:pPr>
        <w:pStyle w:val="ListParagraph"/>
      </w:pPr>
      <w:r w:rsidRPr="1455AF61">
        <w:rPr>
          <w:b/>
          <w:bCs/>
        </w:rPr>
        <w:t>Anchor to rights and standards</w:t>
      </w:r>
      <w:r>
        <w:t>: embed culturally safe care</w:t>
      </w:r>
      <w:r w:rsidR="6E3934DD">
        <w:t xml:space="preserve"> delivery </w:t>
      </w:r>
      <w:r>
        <w:t>in your</w:t>
      </w:r>
      <w:r w:rsidR="71463C3F">
        <w:t xml:space="preserve"> </w:t>
      </w:r>
      <w:r>
        <w:t xml:space="preserve">care philosophy, risk appetite, and board policy suite. </w:t>
      </w:r>
      <w:r w:rsidR="00785E5C">
        <w:t>I</w:t>
      </w:r>
      <w:r>
        <w:t>nclude explicit board accountability for inclusion, dignity, consent and supported decision-making.</w:t>
      </w:r>
      <w:r w:rsidR="004928BF">
        <w:t xml:space="preserve"> </w:t>
      </w:r>
    </w:p>
    <w:p w14:paraId="75A17484" w14:textId="5605FA95" w:rsidR="000B76B6" w:rsidRDefault="000B76B6" w:rsidP="00CD6351">
      <w:pPr>
        <w:pStyle w:val="ListParagraph"/>
      </w:pPr>
      <w:r w:rsidRPr="1455AF61">
        <w:rPr>
          <w:b/>
          <w:bCs/>
        </w:rPr>
        <w:t>Set clear commitments</w:t>
      </w:r>
      <w:r>
        <w:t xml:space="preserve">: </w:t>
      </w:r>
      <w:r w:rsidR="00F575AB">
        <w:t xml:space="preserve">define what culturally safe care means for your </w:t>
      </w:r>
      <w:r w:rsidR="40310C9E">
        <w:t>organisation</w:t>
      </w:r>
      <w:r w:rsidR="00F575AB">
        <w:t xml:space="preserve">. </w:t>
      </w:r>
      <w:r w:rsidR="009B1130">
        <w:t>Create and p</w:t>
      </w:r>
      <w:r w:rsidR="00F575AB">
        <w:t>ublish a short, accessible statemen</w:t>
      </w:r>
      <w:r w:rsidR="00D323A4">
        <w:t xml:space="preserve">t </w:t>
      </w:r>
      <w:r w:rsidR="009B1130">
        <w:t>to communicate</w:t>
      </w:r>
      <w:r w:rsidR="00D323A4">
        <w:t xml:space="preserve"> this definition</w:t>
      </w:r>
      <w:r w:rsidR="009B1130">
        <w:t xml:space="preserve"> to your workforce</w:t>
      </w:r>
      <w:r w:rsidR="00EF23CD">
        <w:t xml:space="preserve"> </w:t>
      </w:r>
      <w:r w:rsidR="00F73A77">
        <w:t xml:space="preserve">and the older people (and their supporters) </w:t>
      </w:r>
      <w:r w:rsidR="6238CA26">
        <w:t xml:space="preserve">to whom </w:t>
      </w:r>
      <w:r w:rsidR="00F73A77">
        <w:t>you</w:t>
      </w:r>
      <w:r w:rsidR="00EF1713">
        <w:t xml:space="preserve"> provide services</w:t>
      </w:r>
      <w:r w:rsidR="00F575AB">
        <w:t>. Assign clear roles and responsibilities for implementation across all levels of the organisation.</w:t>
      </w:r>
    </w:p>
    <w:p w14:paraId="5DB97D28" w14:textId="44344DFE" w:rsidR="00645CA2" w:rsidRDefault="0045406D" w:rsidP="003645B7">
      <w:pPr>
        <w:pStyle w:val="ListParagraph"/>
      </w:pPr>
      <w:r w:rsidRPr="1455AF61">
        <w:rPr>
          <w:b/>
          <w:bCs/>
        </w:rPr>
        <w:t>Build it into governance r</w:t>
      </w:r>
      <w:r w:rsidR="00F12F4F" w:rsidRPr="1455AF61">
        <w:rPr>
          <w:b/>
          <w:bCs/>
        </w:rPr>
        <w:t>hythms</w:t>
      </w:r>
      <w:r w:rsidR="00C51ACE">
        <w:t>: include cultura</w:t>
      </w:r>
      <w:r w:rsidR="076E7817">
        <w:t>l</w:t>
      </w:r>
      <w:r w:rsidR="00C51ACE">
        <w:t>l</w:t>
      </w:r>
      <w:r w:rsidR="076E7817">
        <w:t>y</w:t>
      </w:r>
      <w:r w:rsidR="00C51ACE">
        <w:t xml:space="preserve"> safe</w:t>
      </w:r>
      <w:r w:rsidR="1B422DDF">
        <w:t xml:space="preserve"> care delivery</w:t>
      </w:r>
      <w:r w:rsidR="00C51ACE">
        <w:t xml:space="preserve"> as a standing agenda item in board and quality meetings. Track performance through dashboards that monitor areas such as complaints, interpreter use, care planning preferences, cultural and spiritual care needs, and family engagement. Report transparently to staff, </w:t>
      </w:r>
      <w:r w:rsidR="007468A9">
        <w:t>older people</w:t>
      </w:r>
      <w:r w:rsidR="00C51ACE">
        <w:t xml:space="preserve"> and the community.</w:t>
      </w:r>
    </w:p>
    <w:tbl>
      <w:tblPr>
        <w:tblStyle w:val="TableGrid"/>
        <w:tblW w:w="0" w:type="auto"/>
        <w:tblBorders>
          <w:top w:val="none" w:sz="0" w:space="0" w:color="auto"/>
          <w:insideH w:val="none" w:sz="0" w:space="0" w:color="auto"/>
        </w:tblBorders>
        <w:tblLook w:val="04A0" w:firstRow="1" w:lastRow="0" w:firstColumn="1" w:lastColumn="0" w:noHBand="0" w:noVBand="1"/>
      </w:tblPr>
      <w:tblGrid>
        <w:gridCol w:w="796"/>
        <w:gridCol w:w="9408"/>
      </w:tblGrid>
      <w:tr w:rsidR="00B16A7A" w14:paraId="76F2F185" w14:textId="77777777" w:rsidTr="002542FE">
        <w:trPr>
          <w:cnfStyle w:val="100000000000" w:firstRow="1" w:lastRow="0" w:firstColumn="0" w:lastColumn="0" w:oddVBand="0" w:evenVBand="0" w:oddHBand="0" w:evenHBand="0" w:firstRowFirstColumn="0" w:firstRowLastColumn="0" w:lastRowFirstColumn="0" w:lastRowLastColumn="0"/>
          <w:trHeight w:val="737"/>
        </w:trPr>
        <w:tc>
          <w:tcPr>
            <w:tcW w:w="709" w:type="dxa"/>
            <w:shd w:val="clear" w:color="auto" w:fill="D1F2F4" w:themeFill="accent1" w:themeFillTint="33"/>
            <w:vAlign w:val="center"/>
          </w:tcPr>
          <w:p w14:paraId="2A91592D" w14:textId="77777777" w:rsidR="00B16A7A" w:rsidRDefault="00B16A7A" w:rsidP="002542FE">
            <w:pPr>
              <w:pStyle w:val="Heading3"/>
              <w:spacing w:before="0" w:after="0"/>
            </w:pPr>
            <w:r>
              <w:rPr>
                <w:noProof/>
              </w:rPr>
              <w:drawing>
                <wp:inline distT="0" distB="0" distL="0" distR="0" wp14:anchorId="612862B7" wp14:editId="3FACCDDE">
                  <wp:extent cx="362363" cy="362363"/>
                  <wp:effectExtent l="0" t="0" r="6350" b="6350"/>
                  <wp:docPr id="1109327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2761" name="Graphic 1"/>
                          <pic:cNvPicPr/>
                        </pic:nvPicPr>
                        <pic:blipFill>
                          <a:blip r:embed="rId13">
                            <a:extLst>
                              <a:ext uri="{96DAC541-7B7A-43D3-8B79-37D633B846F1}">
                                <asvg:svgBlip xmlns:asvg="http://schemas.microsoft.com/office/drawing/2016/SVG/main" r:embed="rId14"/>
                              </a:ext>
                            </a:extLst>
                          </a:blip>
                          <a:stretch>
                            <a:fillRect/>
                          </a:stretch>
                        </pic:blipFill>
                        <pic:spPr>
                          <a:xfrm>
                            <a:off x="0" y="0"/>
                            <a:ext cx="362363" cy="362363"/>
                          </a:xfrm>
                          <a:prstGeom prst="rect">
                            <a:avLst/>
                          </a:prstGeom>
                        </pic:spPr>
                      </pic:pic>
                    </a:graphicData>
                  </a:graphic>
                </wp:inline>
              </w:drawing>
            </w:r>
          </w:p>
        </w:tc>
        <w:tc>
          <w:tcPr>
            <w:tcW w:w="9495" w:type="dxa"/>
            <w:shd w:val="clear" w:color="auto" w:fill="D1F2F4" w:themeFill="accent1" w:themeFillTint="33"/>
            <w:vAlign w:val="center"/>
          </w:tcPr>
          <w:p w14:paraId="2516CE3E" w14:textId="278DE07D" w:rsidR="00B16A7A" w:rsidRPr="00B16A7A" w:rsidRDefault="00B16A7A" w:rsidP="002542FE">
            <w:pPr>
              <w:pStyle w:val="Heading3"/>
              <w:spacing w:before="0" w:after="0"/>
              <w:rPr>
                <w:b/>
                <w:bCs/>
              </w:rPr>
            </w:pPr>
            <w:r w:rsidRPr="00B16A7A">
              <w:rPr>
                <w:b/>
                <w:bCs/>
              </w:rPr>
              <w:t>Processes (how care is delivered and checked)</w:t>
            </w:r>
          </w:p>
        </w:tc>
      </w:tr>
    </w:tbl>
    <w:p w14:paraId="3A4B8032" w14:textId="77777777" w:rsidR="001128E3" w:rsidRDefault="001128E3" w:rsidP="003645B7">
      <w:r w:rsidRPr="001128E3">
        <w:t>Processes turn policy into practice. They are the systems, forms and procedures that make sure cultural needs are identified, recorded and consistently met in care delivery.</w:t>
      </w:r>
    </w:p>
    <w:p w14:paraId="3986B8E1" w14:textId="22227B8D" w:rsidR="003645B7" w:rsidRDefault="003645B7" w:rsidP="003645B7">
      <w:r>
        <w:t>What you can do to embed cultural</w:t>
      </w:r>
      <w:r w:rsidR="351CE34C">
        <w:t>ly</w:t>
      </w:r>
      <w:r>
        <w:t xml:space="preserve"> safe</w:t>
      </w:r>
      <w:r w:rsidR="34AB17CA">
        <w:t xml:space="preserve"> care</w:t>
      </w:r>
      <w:r>
        <w:t xml:space="preserve"> into </w:t>
      </w:r>
      <w:r w:rsidR="00BD158D">
        <w:t>how care is delivered and checked</w:t>
      </w:r>
      <w:r>
        <w:t>:</w:t>
      </w:r>
    </w:p>
    <w:p w14:paraId="71804A5B" w14:textId="6C3BB7F8" w:rsidR="00FE1837" w:rsidRPr="00FE1837" w:rsidRDefault="00FE1837" w:rsidP="581F6796">
      <w:pPr>
        <w:pStyle w:val="Bullet"/>
        <w:rPr>
          <w:rFonts w:eastAsiaTheme="minorEastAsia" w:cstheme="minorBidi"/>
          <w:color w:val="auto"/>
        </w:rPr>
      </w:pPr>
      <w:r w:rsidRPr="581F6796">
        <w:rPr>
          <w:rFonts w:eastAsiaTheme="minorEastAsia" w:cstheme="minorBidi"/>
          <w:b/>
          <w:bCs/>
          <w:color w:val="auto"/>
        </w:rPr>
        <w:t>Intake</w:t>
      </w:r>
      <w:r w:rsidRPr="581F6796">
        <w:rPr>
          <w:rFonts w:eastAsiaTheme="minorEastAsia" w:cstheme="minorBidi"/>
          <w:color w:val="auto"/>
        </w:rPr>
        <w:t>:</w:t>
      </w:r>
      <w:r w:rsidRPr="581F6796">
        <w:rPr>
          <w:rFonts w:eastAsiaTheme="minorEastAsia" w:cstheme="minorBidi"/>
          <w:b/>
          <w:bCs/>
          <w:color w:val="auto"/>
        </w:rPr>
        <w:t xml:space="preserve"> </w:t>
      </w:r>
      <w:r w:rsidR="7DAAE11E" w:rsidRPr="581F6796">
        <w:rPr>
          <w:rFonts w:eastAsiaTheme="minorEastAsia" w:cstheme="minorBidi"/>
          <w:color w:val="auto"/>
        </w:rPr>
        <w:t>documen</w:t>
      </w:r>
      <w:r w:rsidRPr="581F6796">
        <w:rPr>
          <w:rFonts w:eastAsiaTheme="minorEastAsia" w:cstheme="minorBidi"/>
          <w:color w:val="auto"/>
        </w:rPr>
        <w:t xml:space="preserve">t </w:t>
      </w:r>
      <w:r w:rsidR="00DC23E1" w:rsidRPr="581F6796">
        <w:rPr>
          <w:rFonts w:eastAsiaTheme="minorEastAsia" w:cstheme="minorBidi"/>
          <w:color w:val="auto"/>
        </w:rPr>
        <w:t xml:space="preserve">preferences such as </w:t>
      </w:r>
      <w:r w:rsidRPr="581F6796">
        <w:rPr>
          <w:rFonts w:eastAsiaTheme="minorEastAsia" w:cstheme="minorBidi"/>
          <w:color w:val="auto"/>
        </w:rPr>
        <w:t>cultural, linguistic, spiritual, kinship, dietary</w:t>
      </w:r>
      <w:r w:rsidR="00CF7DE4" w:rsidRPr="581F6796">
        <w:rPr>
          <w:rFonts w:eastAsiaTheme="minorEastAsia" w:cstheme="minorBidi"/>
          <w:color w:val="auto"/>
        </w:rPr>
        <w:t xml:space="preserve"> and privacy </w:t>
      </w:r>
      <w:r w:rsidRPr="581F6796">
        <w:rPr>
          <w:rFonts w:eastAsiaTheme="minorEastAsia" w:cstheme="minorBidi"/>
          <w:color w:val="auto"/>
        </w:rPr>
        <w:t xml:space="preserve">preferences during intake. Use a standard </w:t>
      </w:r>
      <w:r w:rsidR="00E71AAF" w:rsidRPr="581F6796">
        <w:rPr>
          <w:rFonts w:eastAsiaTheme="minorEastAsia" w:cstheme="minorBidi"/>
          <w:color w:val="auto"/>
        </w:rPr>
        <w:t>‘</w:t>
      </w:r>
      <w:r w:rsidRPr="581F6796">
        <w:rPr>
          <w:rFonts w:eastAsiaTheme="minorEastAsia" w:cstheme="minorBidi"/>
          <w:color w:val="auto"/>
        </w:rPr>
        <w:t>ask, record, honour, review</w:t>
      </w:r>
      <w:r w:rsidR="00E71AAF" w:rsidRPr="581F6796">
        <w:rPr>
          <w:rFonts w:eastAsiaTheme="minorEastAsia" w:cstheme="minorBidi"/>
          <w:color w:val="auto"/>
        </w:rPr>
        <w:t>’</w:t>
      </w:r>
      <w:r w:rsidRPr="581F6796">
        <w:rPr>
          <w:rFonts w:eastAsiaTheme="minorEastAsia" w:cstheme="minorBidi"/>
          <w:color w:val="auto"/>
        </w:rPr>
        <w:t xml:space="preserve"> approach to ensure these needs are captured and revisited.</w:t>
      </w:r>
    </w:p>
    <w:p w14:paraId="6F94CCA4" w14:textId="7C93A01E" w:rsidR="00FE1837" w:rsidRPr="00FE1837" w:rsidRDefault="00FE1837" w:rsidP="00FE1837">
      <w:pPr>
        <w:pStyle w:val="Bullet"/>
        <w:rPr>
          <w:rFonts w:eastAsiaTheme="minorHAnsi" w:cstheme="minorBidi"/>
          <w:b/>
          <w:bCs/>
          <w:color w:val="auto"/>
        </w:rPr>
      </w:pPr>
      <w:r w:rsidRPr="00FE1837">
        <w:rPr>
          <w:rFonts w:eastAsiaTheme="minorHAnsi" w:cstheme="minorBidi"/>
          <w:b/>
          <w:bCs/>
          <w:color w:val="auto"/>
        </w:rPr>
        <w:t>Consent and communication</w:t>
      </w:r>
      <w:r w:rsidRPr="003F4373">
        <w:rPr>
          <w:rFonts w:eastAsiaTheme="minorHAnsi" w:cstheme="minorBidi"/>
          <w:color w:val="auto"/>
        </w:rPr>
        <w:t xml:space="preserve">: </w:t>
      </w:r>
      <w:r w:rsidR="003F4373">
        <w:rPr>
          <w:rFonts w:eastAsiaTheme="minorHAnsi" w:cstheme="minorBidi"/>
          <w:color w:val="auto"/>
        </w:rPr>
        <w:t>s</w:t>
      </w:r>
      <w:r w:rsidRPr="003F4373">
        <w:rPr>
          <w:rFonts w:eastAsiaTheme="minorHAnsi" w:cstheme="minorBidi"/>
          <w:color w:val="auto"/>
        </w:rPr>
        <w:t xml:space="preserve">tandardise interpreter access and apply </w:t>
      </w:r>
      <w:r w:rsidR="002344F2">
        <w:rPr>
          <w:rFonts w:eastAsiaTheme="minorHAnsi" w:cstheme="minorBidi"/>
          <w:color w:val="auto"/>
        </w:rPr>
        <w:t>‘</w:t>
      </w:r>
      <w:r w:rsidRPr="003F4373">
        <w:rPr>
          <w:rFonts w:eastAsiaTheme="minorHAnsi" w:cstheme="minorBidi"/>
          <w:color w:val="auto"/>
        </w:rPr>
        <w:t>teach-back</w:t>
      </w:r>
      <w:r w:rsidR="002344F2">
        <w:rPr>
          <w:rFonts w:eastAsiaTheme="minorHAnsi" w:cstheme="minorBidi"/>
          <w:color w:val="auto"/>
        </w:rPr>
        <w:t>’</w:t>
      </w:r>
      <w:r w:rsidRPr="003F4373">
        <w:rPr>
          <w:rFonts w:eastAsiaTheme="minorHAnsi" w:cstheme="minorBidi"/>
          <w:color w:val="auto"/>
        </w:rPr>
        <w:t xml:space="preserve"> methods to check understanding. Where family members act as informal interpreters, confirm accuracy and always prioritise professional interpreters for high-risk decisions. Prompt staff to confirm decision-makers, registered supporters, and cultural custodians.</w:t>
      </w:r>
    </w:p>
    <w:p w14:paraId="3284267A" w14:textId="42530044" w:rsidR="00FE1837" w:rsidRPr="00FE1837" w:rsidRDefault="00FE1837" w:rsidP="00FE1837">
      <w:pPr>
        <w:pStyle w:val="Bullet"/>
        <w:rPr>
          <w:rFonts w:eastAsiaTheme="minorHAnsi" w:cstheme="minorBidi"/>
          <w:b/>
          <w:bCs/>
          <w:color w:val="auto"/>
        </w:rPr>
      </w:pPr>
      <w:r w:rsidRPr="00FE1837">
        <w:rPr>
          <w:rFonts w:eastAsiaTheme="minorHAnsi" w:cstheme="minorBidi"/>
          <w:b/>
          <w:bCs/>
          <w:color w:val="auto"/>
        </w:rPr>
        <w:t>Care planning and handover</w:t>
      </w:r>
      <w:r w:rsidRPr="00A74716">
        <w:rPr>
          <w:rFonts w:eastAsiaTheme="minorHAnsi" w:cstheme="minorBidi"/>
          <w:color w:val="auto"/>
        </w:rPr>
        <w:t xml:space="preserve">: </w:t>
      </w:r>
      <w:r w:rsidR="00A74716">
        <w:rPr>
          <w:rFonts w:eastAsiaTheme="minorHAnsi" w:cstheme="minorBidi"/>
          <w:color w:val="auto"/>
        </w:rPr>
        <w:t>a</w:t>
      </w:r>
      <w:r w:rsidRPr="00A74716">
        <w:rPr>
          <w:rFonts w:eastAsiaTheme="minorHAnsi" w:cstheme="minorBidi"/>
          <w:color w:val="auto"/>
        </w:rPr>
        <w:t xml:space="preserve">dd a dedicated </w:t>
      </w:r>
      <w:r w:rsidR="00A74716">
        <w:rPr>
          <w:rFonts w:eastAsiaTheme="minorHAnsi" w:cstheme="minorBidi"/>
          <w:color w:val="auto"/>
        </w:rPr>
        <w:t>‘</w:t>
      </w:r>
      <w:r w:rsidRPr="00A74716">
        <w:rPr>
          <w:rFonts w:eastAsiaTheme="minorHAnsi" w:cstheme="minorBidi"/>
          <w:color w:val="auto"/>
        </w:rPr>
        <w:t>cultural considerations</w:t>
      </w:r>
      <w:r w:rsidR="00A74716">
        <w:rPr>
          <w:rFonts w:eastAsiaTheme="minorHAnsi" w:cstheme="minorBidi"/>
          <w:color w:val="auto"/>
        </w:rPr>
        <w:t>’</w:t>
      </w:r>
      <w:r w:rsidRPr="00A74716">
        <w:rPr>
          <w:rFonts w:eastAsiaTheme="minorHAnsi" w:cstheme="minorBidi"/>
          <w:color w:val="auto"/>
        </w:rPr>
        <w:t xml:space="preserve"> field in care plans and handover templates so preferences are visible and actionable at the point of care.</w:t>
      </w:r>
    </w:p>
    <w:p w14:paraId="12C4D94F" w14:textId="4603AC8A" w:rsidR="00FE1837" w:rsidRPr="00FE1837" w:rsidRDefault="00FE1837" w:rsidP="00FE1837">
      <w:pPr>
        <w:pStyle w:val="Bullet"/>
        <w:rPr>
          <w:rFonts w:eastAsiaTheme="minorHAnsi" w:cstheme="minorBidi"/>
          <w:b/>
          <w:bCs/>
          <w:color w:val="auto"/>
        </w:rPr>
      </w:pPr>
      <w:r w:rsidRPr="00FE1837">
        <w:rPr>
          <w:rFonts w:eastAsiaTheme="minorHAnsi" w:cstheme="minorBidi"/>
          <w:b/>
          <w:bCs/>
          <w:color w:val="auto"/>
        </w:rPr>
        <w:t xml:space="preserve">Palliative and bereavement care: </w:t>
      </w:r>
      <w:r w:rsidR="00A31579">
        <w:rPr>
          <w:rFonts w:eastAsiaTheme="minorHAnsi" w:cstheme="minorBidi"/>
          <w:color w:val="auto"/>
        </w:rPr>
        <w:t>u</w:t>
      </w:r>
      <w:r w:rsidRPr="00A31579">
        <w:rPr>
          <w:rFonts w:eastAsiaTheme="minorHAnsi" w:cstheme="minorBidi"/>
          <w:color w:val="auto"/>
        </w:rPr>
        <w:t>se culturally sensitive checklists to guide symptom management, decision-making, rituals</w:t>
      </w:r>
      <w:r w:rsidR="00145980">
        <w:rPr>
          <w:rFonts w:eastAsiaTheme="minorHAnsi" w:cstheme="minorBidi"/>
          <w:color w:val="auto"/>
        </w:rPr>
        <w:t xml:space="preserve"> </w:t>
      </w:r>
      <w:r w:rsidRPr="00A31579">
        <w:rPr>
          <w:rFonts w:eastAsiaTheme="minorHAnsi" w:cstheme="minorBidi"/>
          <w:color w:val="auto"/>
        </w:rPr>
        <w:t>and bereavement support. Involve family and community early in the care process.</w:t>
      </w:r>
    </w:p>
    <w:p w14:paraId="0AD095F3" w14:textId="77777777" w:rsidR="003645B7" w:rsidRPr="00DA0FED" w:rsidRDefault="00FE1837" w:rsidP="00FE1837">
      <w:pPr>
        <w:pStyle w:val="Bullet"/>
        <w:rPr>
          <w:rFonts w:eastAsiaTheme="minorHAnsi" w:cstheme="minorBidi"/>
          <w:b/>
          <w:bCs/>
          <w:color w:val="auto"/>
        </w:rPr>
      </w:pPr>
      <w:r w:rsidRPr="00FE1837">
        <w:rPr>
          <w:rFonts w:eastAsiaTheme="minorHAnsi" w:cstheme="minorBidi"/>
          <w:b/>
          <w:bCs/>
          <w:color w:val="auto"/>
        </w:rPr>
        <w:t xml:space="preserve">Continuous improvement: </w:t>
      </w:r>
      <w:r w:rsidR="009C55CD">
        <w:rPr>
          <w:rFonts w:eastAsiaTheme="minorHAnsi" w:cstheme="minorBidi"/>
          <w:color w:val="auto"/>
        </w:rPr>
        <w:t>c</w:t>
      </w:r>
      <w:r w:rsidRPr="009C55CD">
        <w:rPr>
          <w:rFonts w:eastAsiaTheme="minorHAnsi" w:cstheme="minorBidi"/>
          <w:color w:val="auto"/>
        </w:rPr>
        <w:t>ode incidents, compliments and complaints for cultural themes. Conduct quarterly audits to assess how well cultural preferences are honoured and act on findings.</w:t>
      </w:r>
    </w:p>
    <w:tbl>
      <w:tblPr>
        <w:tblStyle w:val="TableGrid"/>
        <w:tblW w:w="0" w:type="auto"/>
        <w:tblBorders>
          <w:top w:val="none" w:sz="0" w:space="0" w:color="auto"/>
          <w:insideH w:val="none" w:sz="0" w:space="0" w:color="auto"/>
        </w:tblBorders>
        <w:tblLook w:val="04A0" w:firstRow="1" w:lastRow="0" w:firstColumn="1" w:lastColumn="0" w:noHBand="0" w:noVBand="1"/>
      </w:tblPr>
      <w:tblGrid>
        <w:gridCol w:w="796"/>
        <w:gridCol w:w="9408"/>
      </w:tblGrid>
      <w:tr w:rsidR="00B16A7A" w14:paraId="76A58695" w14:textId="77777777" w:rsidTr="00136840">
        <w:trPr>
          <w:cnfStyle w:val="100000000000" w:firstRow="1" w:lastRow="0" w:firstColumn="0" w:lastColumn="0" w:oddVBand="0" w:evenVBand="0" w:oddHBand="0" w:evenHBand="0" w:firstRowFirstColumn="0" w:firstRowLastColumn="0" w:lastRowFirstColumn="0" w:lastRowLastColumn="0"/>
          <w:trHeight w:val="737"/>
        </w:trPr>
        <w:tc>
          <w:tcPr>
            <w:tcW w:w="709" w:type="dxa"/>
            <w:shd w:val="clear" w:color="auto" w:fill="D1F2F4" w:themeFill="accent1" w:themeFillTint="33"/>
            <w:vAlign w:val="center"/>
          </w:tcPr>
          <w:p w14:paraId="23F5D5DE" w14:textId="77777777" w:rsidR="00B16A7A" w:rsidRDefault="00B16A7A" w:rsidP="00136840">
            <w:pPr>
              <w:pStyle w:val="Heading3"/>
              <w:spacing w:before="0" w:after="0" w:line="240" w:lineRule="auto"/>
            </w:pPr>
            <w:r>
              <w:rPr>
                <w:noProof/>
              </w:rPr>
              <w:lastRenderedPageBreak/>
              <w:drawing>
                <wp:inline distT="0" distB="0" distL="0" distR="0" wp14:anchorId="4728F60B" wp14:editId="3C1F55D8">
                  <wp:extent cx="362363" cy="362363"/>
                  <wp:effectExtent l="0" t="0" r="6350" b="6350"/>
                  <wp:docPr id="46220172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01728" name="Graphic 1"/>
                          <pic:cNvPicPr/>
                        </pic:nvPicPr>
                        <pic:blipFill>
                          <a:blip r:embed="rId17">
                            <a:extLst>
                              <a:ext uri="{96DAC541-7B7A-43D3-8B79-37D633B846F1}">
                                <asvg:svgBlip xmlns:asvg="http://schemas.microsoft.com/office/drawing/2016/SVG/main" r:embed="rId18"/>
                              </a:ext>
                            </a:extLst>
                          </a:blip>
                          <a:stretch>
                            <a:fillRect/>
                          </a:stretch>
                        </pic:blipFill>
                        <pic:spPr>
                          <a:xfrm>
                            <a:off x="0" y="0"/>
                            <a:ext cx="362363" cy="362363"/>
                          </a:xfrm>
                          <a:prstGeom prst="rect">
                            <a:avLst/>
                          </a:prstGeom>
                        </pic:spPr>
                      </pic:pic>
                    </a:graphicData>
                  </a:graphic>
                </wp:inline>
              </w:drawing>
            </w:r>
          </w:p>
        </w:tc>
        <w:tc>
          <w:tcPr>
            <w:tcW w:w="9495" w:type="dxa"/>
            <w:shd w:val="clear" w:color="auto" w:fill="D1F2F4" w:themeFill="accent1" w:themeFillTint="33"/>
            <w:vAlign w:val="center"/>
          </w:tcPr>
          <w:p w14:paraId="291A7274" w14:textId="0C2C8523" w:rsidR="00B16A7A" w:rsidRPr="00B16A7A" w:rsidRDefault="00B16A7A" w:rsidP="00136840">
            <w:pPr>
              <w:pStyle w:val="Heading3"/>
              <w:spacing w:before="0" w:after="0" w:line="240" w:lineRule="auto"/>
              <w:rPr>
                <w:b/>
                <w:bCs/>
              </w:rPr>
            </w:pPr>
            <w:r w:rsidRPr="00B16A7A">
              <w:rPr>
                <w:b/>
                <w:bCs/>
              </w:rPr>
              <w:t>Practices (everyday behaviours and environment)</w:t>
            </w:r>
          </w:p>
        </w:tc>
      </w:tr>
    </w:tbl>
    <w:p w14:paraId="736F916C" w14:textId="5574B378" w:rsidR="006431BE" w:rsidRDefault="006431BE" w:rsidP="001F36A6">
      <w:r>
        <w:t>Practices are the everyday actions and behaviours that shape the lived experience of older people. They are how staff bring cultural</w:t>
      </w:r>
      <w:r w:rsidR="2F4C9DB0">
        <w:t>ly</w:t>
      </w:r>
      <w:r>
        <w:t xml:space="preserve"> safe</w:t>
      </w:r>
      <w:r w:rsidR="6C6B06B0">
        <w:t xml:space="preserve"> care</w:t>
      </w:r>
      <w:r>
        <w:t xml:space="preserve"> to life in daily care, interactions and the environment.</w:t>
      </w:r>
    </w:p>
    <w:p w14:paraId="4209A9DF" w14:textId="06C62795" w:rsidR="001F36A6" w:rsidRDefault="001F36A6" w:rsidP="001F36A6">
      <w:r>
        <w:t>What you can do to embed cultural</w:t>
      </w:r>
      <w:r w:rsidR="1C48BF82">
        <w:t>ly</w:t>
      </w:r>
      <w:r>
        <w:t xml:space="preserve"> safe</w:t>
      </w:r>
      <w:r w:rsidR="2F29A879">
        <w:t xml:space="preserve"> care</w:t>
      </w:r>
      <w:r>
        <w:t xml:space="preserve"> into </w:t>
      </w:r>
      <w:r w:rsidR="00BD158D">
        <w:t>everyday behaviours and environment</w:t>
      </w:r>
      <w:r>
        <w:t>:</w:t>
      </w:r>
    </w:p>
    <w:p w14:paraId="3B9EF67A" w14:textId="278C138D" w:rsidR="005015EC" w:rsidRPr="005015EC" w:rsidRDefault="005015EC" w:rsidP="005015EC">
      <w:pPr>
        <w:pStyle w:val="Bullet"/>
        <w:rPr>
          <w:rFonts w:eastAsiaTheme="minorHAnsi" w:cstheme="minorBidi"/>
          <w:color w:val="auto"/>
        </w:rPr>
      </w:pPr>
      <w:r w:rsidRPr="005015EC">
        <w:rPr>
          <w:rFonts w:eastAsiaTheme="minorHAnsi" w:cstheme="minorBidi"/>
          <w:b/>
          <w:bCs/>
          <w:color w:val="auto"/>
        </w:rPr>
        <w:t>Make rights visible</w:t>
      </w:r>
      <w:r w:rsidRPr="005015EC">
        <w:rPr>
          <w:rFonts w:eastAsiaTheme="minorHAnsi" w:cstheme="minorBidi"/>
          <w:color w:val="auto"/>
        </w:rPr>
        <w:t>:</w:t>
      </w:r>
      <w:r w:rsidRPr="005015EC">
        <w:rPr>
          <w:rFonts w:eastAsiaTheme="minorHAnsi" w:cstheme="minorBidi"/>
          <w:b/>
          <w:bCs/>
          <w:color w:val="auto"/>
        </w:rPr>
        <w:t xml:space="preserve"> </w:t>
      </w:r>
      <w:r>
        <w:rPr>
          <w:rFonts w:eastAsiaTheme="minorHAnsi" w:cstheme="minorBidi"/>
          <w:color w:val="auto"/>
        </w:rPr>
        <w:t>d</w:t>
      </w:r>
      <w:r w:rsidRPr="005015EC">
        <w:rPr>
          <w:rFonts w:eastAsiaTheme="minorHAnsi" w:cstheme="minorBidi"/>
          <w:color w:val="auto"/>
        </w:rPr>
        <w:t>isplay the Aged Care Quality Standards and the Statement of Rights in common areas. Reference them during resident meetings, care planning, and staff supervision.</w:t>
      </w:r>
    </w:p>
    <w:p w14:paraId="5C62809C" w14:textId="504C5639" w:rsidR="005015EC" w:rsidRPr="005015EC" w:rsidRDefault="005015EC" w:rsidP="005015EC">
      <w:pPr>
        <w:pStyle w:val="Bullet"/>
        <w:rPr>
          <w:rFonts w:eastAsiaTheme="minorHAnsi" w:cstheme="minorBidi"/>
          <w:b/>
          <w:bCs/>
          <w:color w:val="auto"/>
        </w:rPr>
      </w:pPr>
      <w:r w:rsidRPr="005015EC">
        <w:rPr>
          <w:rFonts w:eastAsiaTheme="minorHAnsi" w:cstheme="minorBidi"/>
          <w:b/>
          <w:bCs/>
          <w:color w:val="auto"/>
        </w:rPr>
        <w:t>Daily micro-practices</w:t>
      </w:r>
      <w:r w:rsidRPr="005015EC">
        <w:rPr>
          <w:rFonts w:eastAsiaTheme="minorHAnsi" w:cstheme="minorBidi"/>
          <w:color w:val="auto"/>
        </w:rPr>
        <w:t>:</w:t>
      </w:r>
      <w:r w:rsidRPr="005015EC">
        <w:rPr>
          <w:rFonts w:eastAsiaTheme="minorHAnsi" w:cstheme="minorBidi"/>
          <w:b/>
          <w:bCs/>
          <w:color w:val="auto"/>
        </w:rPr>
        <w:t xml:space="preserve"> </w:t>
      </w:r>
      <w:r>
        <w:rPr>
          <w:rFonts w:eastAsiaTheme="minorHAnsi" w:cstheme="minorBidi"/>
          <w:color w:val="auto"/>
        </w:rPr>
        <w:t>u</w:t>
      </w:r>
      <w:r w:rsidRPr="005015EC">
        <w:rPr>
          <w:rFonts w:eastAsiaTheme="minorHAnsi" w:cstheme="minorBidi"/>
          <w:color w:val="auto"/>
        </w:rPr>
        <w:t>se preferred names and languages, offer faith-appropriate foods, respect modesty</w:t>
      </w:r>
      <w:r>
        <w:rPr>
          <w:rFonts w:eastAsiaTheme="minorHAnsi" w:cstheme="minorBidi"/>
          <w:color w:val="auto"/>
        </w:rPr>
        <w:t>, privacy</w:t>
      </w:r>
      <w:r w:rsidRPr="005015EC">
        <w:rPr>
          <w:rFonts w:eastAsiaTheme="minorHAnsi" w:cstheme="minorBidi"/>
          <w:color w:val="auto"/>
        </w:rPr>
        <w:t xml:space="preserve"> and gender preferences</w:t>
      </w:r>
      <w:r>
        <w:rPr>
          <w:rFonts w:eastAsiaTheme="minorHAnsi" w:cstheme="minorBidi"/>
          <w:color w:val="auto"/>
        </w:rPr>
        <w:t xml:space="preserve"> </w:t>
      </w:r>
      <w:r w:rsidRPr="005015EC">
        <w:rPr>
          <w:rFonts w:eastAsiaTheme="minorHAnsi" w:cstheme="minorBidi"/>
          <w:color w:val="auto"/>
        </w:rPr>
        <w:t>and support cultural ceremonies or connections to community.</w:t>
      </w:r>
    </w:p>
    <w:p w14:paraId="49ECB5CA" w14:textId="79F7538A" w:rsidR="005015EC" w:rsidRPr="005015EC" w:rsidRDefault="005015EC" w:rsidP="005015EC">
      <w:pPr>
        <w:pStyle w:val="Bullet"/>
        <w:rPr>
          <w:rFonts w:eastAsiaTheme="minorHAnsi" w:cstheme="minorBidi"/>
          <w:b/>
          <w:bCs/>
          <w:color w:val="auto"/>
        </w:rPr>
      </w:pPr>
      <w:r w:rsidRPr="005015EC">
        <w:rPr>
          <w:rFonts w:eastAsiaTheme="minorHAnsi" w:cstheme="minorBidi"/>
          <w:b/>
          <w:bCs/>
          <w:color w:val="auto"/>
        </w:rPr>
        <w:t xml:space="preserve">Culturally humble mindset: </w:t>
      </w:r>
      <w:r w:rsidRPr="005015EC">
        <w:rPr>
          <w:rFonts w:eastAsiaTheme="minorHAnsi" w:cstheme="minorBidi"/>
          <w:color w:val="auto"/>
        </w:rPr>
        <w:t xml:space="preserve">Encourage </w:t>
      </w:r>
      <w:r>
        <w:rPr>
          <w:rFonts w:eastAsiaTheme="minorHAnsi" w:cstheme="minorBidi"/>
          <w:color w:val="auto"/>
        </w:rPr>
        <w:t>workers</w:t>
      </w:r>
      <w:r w:rsidRPr="005015EC">
        <w:rPr>
          <w:rFonts w:eastAsiaTheme="minorHAnsi" w:cstheme="minorBidi"/>
          <w:color w:val="auto"/>
        </w:rPr>
        <w:t xml:space="preserve"> to ask</w:t>
      </w:r>
      <w:r w:rsidR="00003098">
        <w:rPr>
          <w:rFonts w:eastAsiaTheme="minorHAnsi" w:cstheme="minorBidi"/>
          <w:color w:val="auto"/>
        </w:rPr>
        <w:t>:</w:t>
      </w:r>
      <w:r w:rsidRPr="005015EC">
        <w:rPr>
          <w:rFonts w:eastAsiaTheme="minorHAnsi" w:cstheme="minorBidi"/>
          <w:color w:val="auto"/>
        </w:rPr>
        <w:t xml:space="preserve"> “What matters to you culturally?” and “What would respectful care look like for you today?” Promote self-reflection and coach staff to notice and redress power imbalances.</w:t>
      </w:r>
    </w:p>
    <w:p w14:paraId="1906ED69" w14:textId="77777777" w:rsidR="005015EC" w:rsidRDefault="005015EC" w:rsidP="005015EC">
      <w:pPr>
        <w:pStyle w:val="Bullet"/>
        <w:rPr>
          <w:rFonts w:eastAsiaTheme="minorHAnsi" w:cstheme="minorBidi"/>
          <w:color w:val="auto"/>
        </w:rPr>
      </w:pPr>
      <w:r w:rsidRPr="005015EC">
        <w:rPr>
          <w:rFonts w:eastAsiaTheme="minorHAnsi" w:cstheme="minorBidi"/>
          <w:b/>
          <w:bCs/>
          <w:color w:val="auto"/>
        </w:rPr>
        <w:t xml:space="preserve">Safe environments: </w:t>
      </w:r>
      <w:r w:rsidRPr="005015EC">
        <w:rPr>
          <w:rFonts w:eastAsiaTheme="minorHAnsi" w:cstheme="minorBidi"/>
          <w:color w:val="auto"/>
        </w:rPr>
        <w:t>Provide spaces for prayer, quiet reflection and cultural gatherings. Ensure signage, artwork, activities, and menus reflect the diversity of residents and communities.</w:t>
      </w:r>
    </w:p>
    <w:tbl>
      <w:tblPr>
        <w:tblStyle w:val="TableGrid"/>
        <w:tblW w:w="0" w:type="auto"/>
        <w:tblBorders>
          <w:top w:val="none" w:sz="0" w:space="0" w:color="auto"/>
          <w:insideH w:val="none" w:sz="0" w:space="0" w:color="auto"/>
        </w:tblBorders>
        <w:tblLook w:val="04A0" w:firstRow="1" w:lastRow="0" w:firstColumn="1" w:lastColumn="0" w:noHBand="0" w:noVBand="1"/>
      </w:tblPr>
      <w:tblGrid>
        <w:gridCol w:w="796"/>
        <w:gridCol w:w="9408"/>
      </w:tblGrid>
      <w:tr w:rsidR="00B16A7A" w14:paraId="137C2378" w14:textId="77777777" w:rsidTr="00136840">
        <w:trPr>
          <w:cnfStyle w:val="100000000000" w:firstRow="1" w:lastRow="0" w:firstColumn="0" w:lastColumn="0" w:oddVBand="0" w:evenVBand="0" w:oddHBand="0" w:evenHBand="0" w:firstRowFirstColumn="0" w:firstRowLastColumn="0" w:lastRowFirstColumn="0" w:lastRowLastColumn="0"/>
          <w:trHeight w:val="737"/>
        </w:trPr>
        <w:tc>
          <w:tcPr>
            <w:tcW w:w="709" w:type="dxa"/>
            <w:shd w:val="clear" w:color="auto" w:fill="D1F2F4" w:themeFill="accent1" w:themeFillTint="33"/>
            <w:vAlign w:val="center"/>
          </w:tcPr>
          <w:p w14:paraId="78DEC980" w14:textId="77777777" w:rsidR="00B16A7A" w:rsidRDefault="00B16A7A" w:rsidP="00136840">
            <w:pPr>
              <w:pStyle w:val="Heading3"/>
              <w:spacing w:before="0" w:after="0" w:line="240" w:lineRule="auto"/>
            </w:pPr>
            <w:r>
              <w:rPr>
                <w:noProof/>
              </w:rPr>
              <w:drawing>
                <wp:inline distT="0" distB="0" distL="0" distR="0" wp14:anchorId="1C697BBA" wp14:editId="15BC4CD7">
                  <wp:extent cx="362363" cy="362363"/>
                  <wp:effectExtent l="0" t="0" r="6350" b="6350"/>
                  <wp:docPr id="19388427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01728" name="Graphic 1"/>
                          <pic:cNvPicPr/>
                        </pic:nvPicPr>
                        <pic:blipFill>
                          <a:blip r:embed="rId15">
                            <a:extLst>
                              <a:ext uri="{96DAC541-7B7A-43D3-8B79-37D633B846F1}">
                                <asvg:svgBlip xmlns:asvg="http://schemas.microsoft.com/office/drawing/2016/SVG/main" r:embed="rId16"/>
                              </a:ext>
                            </a:extLst>
                          </a:blip>
                          <a:stretch>
                            <a:fillRect/>
                          </a:stretch>
                        </pic:blipFill>
                        <pic:spPr>
                          <a:xfrm>
                            <a:off x="0" y="0"/>
                            <a:ext cx="362363" cy="362363"/>
                          </a:xfrm>
                          <a:prstGeom prst="rect">
                            <a:avLst/>
                          </a:prstGeom>
                        </pic:spPr>
                      </pic:pic>
                    </a:graphicData>
                  </a:graphic>
                </wp:inline>
              </w:drawing>
            </w:r>
          </w:p>
        </w:tc>
        <w:tc>
          <w:tcPr>
            <w:tcW w:w="9495" w:type="dxa"/>
            <w:shd w:val="clear" w:color="auto" w:fill="D1F2F4" w:themeFill="accent1" w:themeFillTint="33"/>
            <w:vAlign w:val="center"/>
          </w:tcPr>
          <w:p w14:paraId="15E529AA" w14:textId="31F6B72A" w:rsidR="00B16A7A" w:rsidRPr="00B16A7A" w:rsidRDefault="00B16A7A" w:rsidP="00136840">
            <w:pPr>
              <w:pStyle w:val="Heading3"/>
              <w:spacing w:before="0" w:after="0" w:line="240" w:lineRule="auto"/>
              <w:rPr>
                <w:b/>
                <w:bCs/>
              </w:rPr>
            </w:pPr>
            <w:r w:rsidRPr="00B16A7A">
              <w:rPr>
                <w:b/>
                <w:bCs/>
              </w:rPr>
              <w:t>Workforce capability (skills, confidence and accountability)</w:t>
            </w:r>
          </w:p>
        </w:tc>
      </w:tr>
    </w:tbl>
    <w:p w14:paraId="7E80A19B" w14:textId="086CA4FC" w:rsidR="00D51828" w:rsidRDefault="00D51828" w:rsidP="009325D1">
      <w:r>
        <w:t>Cultural</w:t>
      </w:r>
      <w:r w:rsidR="0C8C0D34">
        <w:t>ly</w:t>
      </w:r>
      <w:r>
        <w:t xml:space="preserve"> safe</w:t>
      </w:r>
      <w:r w:rsidR="0743D970">
        <w:t xml:space="preserve"> care delivery</w:t>
      </w:r>
      <w:r>
        <w:t xml:space="preserve"> depend</w:t>
      </w:r>
      <w:r w:rsidR="5B324719">
        <w:t>s</w:t>
      </w:r>
      <w:r>
        <w:t xml:space="preserve"> on the skills, confidence and accountability of your workforce. Building workforce capability means providing training, supervision and reflection so workers can deliver care that respects every individual.</w:t>
      </w:r>
    </w:p>
    <w:p w14:paraId="074A86C2" w14:textId="1A5C29C9" w:rsidR="009325D1" w:rsidRDefault="009325D1" w:rsidP="009325D1">
      <w:r>
        <w:t xml:space="preserve">What you can do </w:t>
      </w:r>
      <w:r w:rsidR="00855E0A">
        <w:t>build workforce capability in cultural safety</w:t>
      </w:r>
      <w:r>
        <w:t>:</w:t>
      </w:r>
    </w:p>
    <w:p w14:paraId="34991929" w14:textId="751C60EB" w:rsidR="00BF7582" w:rsidRPr="00BF7582" w:rsidRDefault="00BF7582" w:rsidP="00BF7582">
      <w:pPr>
        <w:pStyle w:val="Bullet"/>
        <w:rPr>
          <w:rFonts w:eastAsiaTheme="minorHAnsi" w:cstheme="minorBidi"/>
          <w:b/>
          <w:bCs/>
          <w:color w:val="auto"/>
        </w:rPr>
      </w:pPr>
      <w:r w:rsidRPr="00BF7582">
        <w:rPr>
          <w:rFonts w:eastAsiaTheme="minorHAnsi" w:cstheme="minorBidi"/>
          <w:b/>
          <w:bCs/>
          <w:color w:val="auto"/>
        </w:rPr>
        <w:t>Role-specific learning pathways</w:t>
      </w:r>
      <w:r w:rsidRPr="00BF7582">
        <w:rPr>
          <w:rFonts w:eastAsiaTheme="minorHAnsi" w:cstheme="minorBidi"/>
          <w:color w:val="auto"/>
        </w:rPr>
        <w:t xml:space="preserve">: </w:t>
      </w:r>
      <w:r>
        <w:rPr>
          <w:rFonts w:eastAsiaTheme="minorHAnsi" w:cstheme="minorBidi"/>
          <w:color w:val="auto"/>
        </w:rPr>
        <w:t>d</w:t>
      </w:r>
      <w:r w:rsidRPr="00BF7582">
        <w:rPr>
          <w:rFonts w:eastAsiaTheme="minorHAnsi" w:cstheme="minorBidi"/>
          <w:color w:val="auto"/>
        </w:rPr>
        <w:t>eliver baseline training on cultural safety, communication and unconscious bias</w:t>
      </w:r>
      <w:r>
        <w:rPr>
          <w:rFonts w:eastAsiaTheme="minorHAnsi" w:cstheme="minorBidi"/>
          <w:color w:val="auto"/>
        </w:rPr>
        <w:t xml:space="preserve">. Where identified, </w:t>
      </w:r>
      <w:r w:rsidR="0095309A">
        <w:rPr>
          <w:rFonts w:eastAsiaTheme="minorHAnsi" w:cstheme="minorBidi"/>
          <w:color w:val="auto"/>
        </w:rPr>
        <w:t xml:space="preserve">provide contextualised learning for </w:t>
      </w:r>
      <w:r w:rsidRPr="00BF7582">
        <w:rPr>
          <w:rFonts w:eastAsiaTheme="minorHAnsi" w:cstheme="minorBidi"/>
          <w:color w:val="auto"/>
        </w:rPr>
        <w:t>different roles</w:t>
      </w:r>
      <w:r w:rsidR="0095309A">
        <w:rPr>
          <w:rFonts w:eastAsiaTheme="minorHAnsi" w:cstheme="minorBidi"/>
          <w:color w:val="auto"/>
        </w:rPr>
        <w:t xml:space="preserve"> (</w:t>
      </w:r>
      <w:r w:rsidRPr="00BF7582">
        <w:rPr>
          <w:rFonts w:eastAsiaTheme="minorHAnsi" w:cstheme="minorBidi"/>
          <w:color w:val="auto"/>
        </w:rPr>
        <w:t>nursing, personal care, lifestyle, kitchen and corporate staff</w:t>
      </w:r>
      <w:r w:rsidR="0095309A">
        <w:rPr>
          <w:rFonts w:eastAsiaTheme="minorHAnsi" w:cstheme="minorBidi"/>
          <w:color w:val="auto"/>
        </w:rPr>
        <w:t>)</w:t>
      </w:r>
      <w:r w:rsidRPr="00BF7582">
        <w:rPr>
          <w:rFonts w:eastAsiaTheme="minorHAnsi" w:cstheme="minorBidi"/>
          <w:color w:val="auto"/>
        </w:rPr>
        <w:t>.</w:t>
      </w:r>
      <w:r w:rsidR="0095309A">
        <w:rPr>
          <w:rFonts w:eastAsiaTheme="minorHAnsi" w:cstheme="minorBidi"/>
          <w:color w:val="auto"/>
        </w:rPr>
        <w:t xml:space="preserve"> </w:t>
      </w:r>
      <w:r w:rsidRPr="00BF7582">
        <w:rPr>
          <w:rFonts w:eastAsiaTheme="minorHAnsi" w:cstheme="minorBidi"/>
          <w:color w:val="auto"/>
        </w:rPr>
        <w:t>Test competence, not just attendance.</w:t>
      </w:r>
    </w:p>
    <w:p w14:paraId="3C9DEE48" w14:textId="2DB1C6F0" w:rsidR="00BF7582" w:rsidRPr="0095309A" w:rsidRDefault="00BF7582" w:rsidP="00BF7582">
      <w:pPr>
        <w:pStyle w:val="Bullet"/>
        <w:rPr>
          <w:rFonts w:eastAsiaTheme="minorHAnsi" w:cstheme="minorBidi"/>
          <w:color w:val="auto"/>
        </w:rPr>
      </w:pPr>
      <w:r w:rsidRPr="00BF7582">
        <w:rPr>
          <w:rFonts w:eastAsiaTheme="minorHAnsi" w:cstheme="minorBidi"/>
          <w:b/>
          <w:bCs/>
          <w:color w:val="auto"/>
        </w:rPr>
        <w:t xml:space="preserve">Cultural mentors and champions: </w:t>
      </w:r>
      <w:r w:rsidR="0095309A" w:rsidRPr="0095309A">
        <w:rPr>
          <w:rFonts w:eastAsiaTheme="minorHAnsi" w:cstheme="minorBidi"/>
          <w:color w:val="auto"/>
        </w:rPr>
        <w:t>a</w:t>
      </w:r>
      <w:r w:rsidRPr="0095309A">
        <w:rPr>
          <w:rFonts w:eastAsiaTheme="minorHAnsi" w:cstheme="minorBidi"/>
          <w:color w:val="auto"/>
        </w:rPr>
        <w:t>ppoint internal cultural safety champions and engage Elders or Cultural Mentors to provide guidance, training</w:t>
      </w:r>
      <w:r w:rsidR="00B42002">
        <w:rPr>
          <w:rFonts w:eastAsiaTheme="minorHAnsi" w:cstheme="minorBidi"/>
          <w:color w:val="auto"/>
        </w:rPr>
        <w:t xml:space="preserve"> </w:t>
      </w:r>
      <w:r w:rsidRPr="0095309A">
        <w:rPr>
          <w:rFonts w:eastAsiaTheme="minorHAnsi" w:cstheme="minorBidi"/>
          <w:color w:val="auto"/>
        </w:rPr>
        <w:t>and case debriefs.</w:t>
      </w:r>
    </w:p>
    <w:p w14:paraId="361EAF6A" w14:textId="0F07206A" w:rsidR="00BF7582" w:rsidRPr="00B42002" w:rsidRDefault="00BF7582" w:rsidP="1455AF61">
      <w:pPr>
        <w:pStyle w:val="Bullet"/>
        <w:rPr>
          <w:rFonts w:eastAsiaTheme="minorEastAsia" w:cstheme="minorBidi"/>
          <w:color w:val="auto"/>
        </w:rPr>
      </w:pPr>
      <w:r w:rsidRPr="1455AF61">
        <w:rPr>
          <w:rFonts w:eastAsiaTheme="minorEastAsia" w:cstheme="minorBidi"/>
          <w:b/>
          <w:bCs/>
          <w:color w:val="auto"/>
        </w:rPr>
        <w:t>Supervision and appraisal</w:t>
      </w:r>
      <w:r w:rsidRPr="1455AF61">
        <w:rPr>
          <w:rFonts w:eastAsiaTheme="minorEastAsia" w:cstheme="minorBidi"/>
          <w:color w:val="auto"/>
        </w:rPr>
        <w:t xml:space="preserve">: </w:t>
      </w:r>
      <w:r w:rsidR="00B42002" w:rsidRPr="1455AF61">
        <w:rPr>
          <w:rFonts w:eastAsiaTheme="minorEastAsia" w:cstheme="minorBidi"/>
          <w:color w:val="auto"/>
        </w:rPr>
        <w:t>e</w:t>
      </w:r>
      <w:r w:rsidRPr="1455AF61">
        <w:rPr>
          <w:rFonts w:eastAsiaTheme="minorEastAsia" w:cstheme="minorBidi"/>
          <w:color w:val="auto"/>
        </w:rPr>
        <w:t>mbed cultural</w:t>
      </w:r>
      <w:r w:rsidR="72802C6B" w:rsidRPr="1455AF61">
        <w:rPr>
          <w:rFonts w:eastAsiaTheme="minorEastAsia" w:cstheme="minorBidi"/>
          <w:color w:val="auto"/>
        </w:rPr>
        <w:t>ly</w:t>
      </w:r>
      <w:r w:rsidRPr="1455AF61">
        <w:rPr>
          <w:rFonts w:eastAsiaTheme="minorEastAsia" w:cstheme="minorBidi"/>
          <w:color w:val="auto"/>
        </w:rPr>
        <w:t xml:space="preserve"> safe</w:t>
      </w:r>
      <w:r w:rsidR="41B88F3E" w:rsidRPr="1455AF61">
        <w:rPr>
          <w:rFonts w:eastAsiaTheme="minorEastAsia" w:cstheme="minorBidi"/>
          <w:color w:val="auto"/>
        </w:rPr>
        <w:t xml:space="preserve"> care delivery</w:t>
      </w:r>
      <w:r w:rsidRPr="1455AF61">
        <w:rPr>
          <w:rFonts w:eastAsiaTheme="minorEastAsia" w:cstheme="minorBidi"/>
          <w:color w:val="auto"/>
        </w:rPr>
        <w:t xml:space="preserve"> into supervision discussions, reflective practice and annual appraisals. Recognise and reward staff who identify barriers and co-design solutions with residents and families.</w:t>
      </w:r>
    </w:p>
    <w:p w14:paraId="512074A0" w14:textId="4267C0E7" w:rsidR="009325D1" w:rsidRPr="005015EC" w:rsidRDefault="00BF7582" w:rsidP="00BF7582">
      <w:pPr>
        <w:pStyle w:val="Bullet"/>
        <w:rPr>
          <w:rFonts w:eastAsiaTheme="minorHAnsi" w:cstheme="minorBidi"/>
          <w:color w:val="auto"/>
        </w:rPr>
      </w:pPr>
      <w:r w:rsidRPr="00BF7582">
        <w:rPr>
          <w:rFonts w:eastAsiaTheme="minorHAnsi" w:cstheme="minorBidi"/>
          <w:b/>
          <w:bCs/>
          <w:color w:val="auto"/>
        </w:rPr>
        <w:t xml:space="preserve">Onboarding essentials: </w:t>
      </w:r>
      <w:r w:rsidR="00DB0DC8">
        <w:rPr>
          <w:rFonts w:eastAsiaTheme="minorHAnsi" w:cstheme="minorBidi"/>
          <w:color w:val="auto"/>
        </w:rPr>
        <w:t>i</w:t>
      </w:r>
      <w:r w:rsidRPr="00DB0DC8">
        <w:rPr>
          <w:rFonts w:eastAsiaTheme="minorHAnsi" w:cstheme="minorBidi"/>
          <w:color w:val="auto"/>
        </w:rPr>
        <w:t>nclude</w:t>
      </w:r>
      <w:r w:rsidR="0012755F">
        <w:rPr>
          <w:rFonts w:eastAsiaTheme="minorHAnsi" w:cstheme="minorBidi"/>
          <w:color w:val="auto"/>
        </w:rPr>
        <w:t xml:space="preserve"> information on</w:t>
      </w:r>
      <w:r w:rsidRPr="00DB0DC8">
        <w:rPr>
          <w:rFonts w:eastAsiaTheme="minorHAnsi" w:cstheme="minorBidi"/>
          <w:color w:val="auto"/>
        </w:rPr>
        <w:t xml:space="preserve"> interpreter access, respectful greetings, dietary and ritual awareness and documentation standards in </w:t>
      </w:r>
      <w:r w:rsidR="0012755F">
        <w:rPr>
          <w:rFonts w:eastAsiaTheme="minorHAnsi" w:cstheme="minorBidi"/>
          <w:color w:val="auto"/>
        </w:rPr>
        <w:t>worker</w:t>
      </w:r>
      <w:r w:rsidRPr="00DB0DC8">
        <w:rPr>
          <w:rFonts w:eastAsiaTheme="minorHAnsi" w:cstheme="minorBidi"/>
          <w:color w:val="auto"/>
        </w:rPr>
        <w:t xml:space="preserve"> inductions. Reinforce these as non-negotiable practices for all </w:t>
      </w:r>
      <w:r w:rsidR="0012755F">
        <w:rPr>
          <w:rFonts w:eastAsiaTheme="minorHAnsi" w:cstheme="minorBidi"/>
          <w:color w:val="auto"/>
        </w:rPr>
        <w:t xml:space="preserve">workers. </w:t>
      </w:r>
    </w:p>
    <w:p w14:paraId="6630F130" w14:textId="66D6EFC9" w:rsidR="009325D1" w:rsidRDefault="009325D1" w:rsidP="00BF7582">
      <w:pPr>
        <w:pStyle w:val="Bullet"/>
        <w:numPr>
          <w:ilvl w:val="0"/>
          <w:numId w:val="0"/>
        </w:numPr>
        <w:ind w:left="284"/>
        <w:rPr>
          <w:rFonts w:eastAsiaTheme="minorHAnsi" w:cstheme="minorBidi"/>
          <w:color w:val="auto"/>
        </w:rPr>
      </w:pPr>
    </w:p>
    <w:tbl>
      <w:tblPr>
        <w:tblStyle w:val="TableGrid"/>
        <w:tblW w:w="0" w:type="auto"/>
        <w:tblBorders>
          <w:top w:val="none" w:sz="0" w:space="0" w:color="auto"/>
          <w:insideH w:val="none" w:sz="0" w:space="0" w:color="auto"/>
        </w:tblBorders>
        <w:tblLook w:val="04A0" w:firstRow="1" w:lastRow="0" w:firstColumn="1" w:lastColumn="0" w:noHBand="0" w:noVBand="1"/>
      </w:tblPr>
      <w:tblGrid>
        <w:gridCol w:w="796"/>
        <w:gridCol w:w="9408"/>
      </w:tblGrid>
      <w:tr w:rsidR="00B16A7A" w14:paraId="5A4838AC" w14:textId="77777777" w:rsidTr="00136840">
        <w:trPr>
          <w:cnfStyle w:val="100000000000" w:firstRow="1" w:lastRow="0" w:firstColumn="0" w:lastColumn="0" w:oddVBand="0" w:evenVBand="0" w:oddHBand="0" w:evenHBand="0" w:firstRowFirstColumn="0" w:firstRowLastColumn="0" w:lastRowFirstColumn="0" w:lastRowLastColumn="0"/>
          <w:trHeight w:val="737"/>
        </w:trPr>
        <w:tc>
          <w:tcPr>
            <w:tcW w:w="709" w:type="dxa"/>
            <w:shd w:val="clear" w:color="auto" w:fill="D1F2F4" w:themeFill="accent1" w:themeFillTint="33"/>
            <w:vAlign w:val="center"/>
          </w:tcPr>
          <w:p w14:paraId="5A97E511" w14:textId="77777777" w:rsidR="00B16A7A" w:rsidRDefault="00B16A7A" w:rsidP="00136840">
            <w:pPr>
              <w:pStyle w:val="Heading3"/>
              <w:spacing w:before="0" w:after="0" w:line="240" w:lineRule="auto"/>
            </w:pPr>
            <w:r>
              <w:rPr>
                <w:noProof/>
              </w:rPr>
              <w:lastRenderedPageBreak/>
              <w:drawing>
                <wp:inline distT="0" distB="0" distL="0" distR="0" wp14:anchorId="1FB317A5" wp14:editId="55A58E0E">
                  <wp:extent cx="362363" cy="362363"/>
                  <wp:effectExtent l="0" t="0" r="6350" b="6350"/>
                  <wp:docPr id="1685424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2456" name="Graphic 1"/>
                          <pic:cNvPicPr/>
                        </pic:nvPicPr>
                        <pic:blipFill>
                          <a:blip r:embed="rId19">
                            <a:extLst>
                              <a:ext uri="{96DAC541-7B7A-43D3-8B79-37D633B846F1}">
                                <asvg:svgBlip xmlns:asvg="http://schemas.microsoft.com/office/drawing/2016/SVG/main" r:embed="rId20"/>
                              </a:ext>
                            </a:extLst>
                          </a:blip>
                          <a:stretch>
                            <a:fillRect/>
                          </a:stretch>
                        </pic:blipFill>
                        <pic:spPr>
                          <a:xfrm>
                            <a:off x="0" y="0"/>
                            <a:ext cx="362363" cy="362363"/>
                          </a:xfrm>
                          <a:prstGeom prst="rect">
                            <a:avLst/>
                          </a:prstGeom>
                        </pic:spPr>
                      </pic:pic>
                    </a:graphicData>
                  </a:graphic>
                </wp:inline>
              </w:drawing>
            </w:r>
          </w:p>
        </w:tc>
        <w:tc>
          <w:tcPr>
            <w:tcW w:w="9495" w:type="dxa"/>
            <w:shd w:val="clear" w:color="auto" w:fill="D1F2F4" w:themeFill="accent1" w:themeFillTint="33"/>
            <w:vAlign w:val="center"/>
          </w:tcPr>
          <w:p w14:paraId="103B9ED0" w14:textId="58C35FE6" w:rsidR="00B16A7A" w:rsidRPr="00B16A7A" w:rsidRDefault="00B16A7A" w:rsidP="00136840">
            <w:pPr>
              <w:pStyle w:val="Heading3"/>
              <w:spacing w:before="0" w:after="0" w:line="240" w:lineRule="auto"/>
              <w:rPr>
                <w:b/>
                <w:bCs/>
              </w:rPr>
            </w:pPr>
            <w:r w:rsidRPr="00B16A7A">
              <w:rPr>
                <w:b/>
                <w:bCs/>
              </w:rPr>
              <w:t>Community connections (co-design and partnerships)</w:t>
            </w:r>
          </w:p>
        </w:tc>
      </w:tr>
    </w:tbl>
    <w:p w14:paraId="3B14C42C" w14:textId="77777777" w:rsidR="00BF7582" w:rsidRDefault="00BF7582" w:rsidP="007170F7">
      <w:r w:rsidRPr="00BF7582">
        <w:t>Cultural safety extends beyond the walls of the organisation. Strong connections with Elders, cultural groups and communities help ensure care is relevant, inclusive and guided by those it is meant to serve.</w:t>
      </w:r>
    </w:p>
    <w:p w14:paraId="0836D419" w14:textId="0C2004C1" w:rsidR="000D756A" w:rsidRDefault="000D756A" w:rsidP="007170F7">
      <w:r>
        <w:t>What you can do to embed cultural safety through community connections:</w:t>
      </w:r>
    </w:p>
    <w:p w14:paraId="5AEAAA3A" w14:textId="11886531" w:rsidR="007170F7" w:rsidRPr="005015EC" w:rsidRDefault="008734F4" w:rsidP="007170F7">
      <w:pPr>
        <w:pStyle w:val="Bullet"/>
        <w:rPr>
          <w:rFonts w:eastAsiaTheme="minorHAnsi" w:cstheme="minorBidi"/>
          <w:color w:val="auto"/>
        </w:rPr>
      </w:pPr>
      <w:r>
        <w:rPr>
          <w:rFonts w:eastAsiaTheme="minorHAnsi" w:cstheme="minorBidi"/>
          <w:b/>
          <w:bCs/>
          <w:color w:val="auto"/>
        </w:rPr>
        <w:t>Formal partnerships</w:t>
      </w:r>
      <w:r w:rsidR="007170F7" w:rsidRPr="005015EC">
        <w:rPr>
          <w:rFonts w:eastAsiaTheme="minorHAnsi" w:cstheme="minorBidi"/>
          <w:color w:val="auto"/>
        </w:rPr>
        <w:t>:</w:t>
      </w:r>
      <w:r w:rsidR="007170F7" w:rsidRPr="005015EC">
        <w:rPr>
          <w:rFonts w:eastAsiaTheme="minorHAnsi" w:cstheme="minorBidi"/>
          <w:b/>
          <w:bCs/>
          <w:color w:val="auto"/>
        </w:rPr>
        <w:t xml:space="preserve"> </w:t>
      </w:r>
      <w:r>
        <w:rPr>
          <w:rFonts w:eastAsiaTheme="minorHAnsi" w:cstheme="minorBidi"/>
          <w:color w:val="auto"/>
        </w:rPr>
        <w:t xml:space="preserve">establish </w:t>
      </w:r>
      <w:r w:rsidR="00FD10B2">
        <w:rPr>
          <w:rFonts w:eastAsiaTheme="minorHAnsi" w:cstheme="minorBidi"/>
          <w:color w:val="auto"/>
        </w:rPr>
        <w:t xml:space="preserve">partnerships </w:t>
      </w:r>
      <w:r w:rsidR="00AD4E02">
        <w:rPr>
          <w:rFonts w:eastAsiaTheme="minorHAnsi" w:cstheme="minorBidi"/>
          <w:color w:val="auto"/>
        </w:rPr>
        <w:t>with relevant community organisations</w:t>
      </w:r>
      <w:r w:rsidR="00EC7757">
        <w:rPr>
          <w:rFonts w:eastAsiaTheme="minorHAnsi" w:cstheme="minorBidi"/>
          <w:color w:val="auto"/>
        </w:rPr>
        <w:t xml:space="preserve"> (</w:t>
      </w:r>
      <w:r w:rsidR="00542DFD">
        <w:rPr>
          <w:rFonts w:eastAsiaTheme="minorHAnsi" w:cstheme="minorBidi"/>
          <w:color w:val="auto"/>
        </w:rPr>
        <w:t>such as Aboriginal and Torres Strait Islander</w:t>
      </w:r>
      <w:r w:rsidR="00FA2D0B">
        <w:rPr>
          <w:rFonts w:eastAsiaTheme="minorHAnsi" w:cstheme="minorBidi"/>
          <w:color w:val="auto"/>
        </w:rPr>
        <w:t xml:space="preserve"> organisations, multicultural associations, faith leaders and LGBTQI+ groups)</w:t>
      </w:r>
      <w:r w:rsidR="00376062">
        <w:rPr>
          <w:rFonts w:eastAsiaTheme="minorHAnsi" w:cstheme="minorBidi"/>
          <w:color w:val="auto"/>
        </w:rPr>
        <w:t>. Involve them in co-designing</w:t>
      </w:r>
      <w:r w:rsidR="007E085A">
        <w:rPr>
          <w:rFonts w:eastAsiaTheme="minorHAnsi" w:cstheme="minorBidi"/>
          <w:color w:val="auto"/>
        </w:rPr>
        <w:t xml:space="preserve"> programs</w:t>
      </w:r>
      <w:r w:rsidR="004C345E">
        <w:rPr>
          <w:rFonts w:eastAsiaTheme="minorHAnsi" w:cstheme="minorBidi"/>
          <w:color w:val="auto"/>
        </w:rPr>
        <w:t>, reviewing menus and advising on complex cases.</w:t>
      </w:r>
    </w:p>
    <w:p w14:paraId="779148DC" w14:textId="36D98C57" w:rsidR="007170F7" w:rsidRDefault="008F13EF" w:rsidP="007170F7">
      <w:pPr>
        <w:pStyle w:val="Bullet"/>
        <w:rPr>
          <w:rFonts w:eastAsiaTheme="minorHAnsi" w:cstheme="minorBidi"/>
          <w:color w:val="auto"/>
        </w:rPr>
      </w:pPr>
      <w:r>
        <w:rPr>
          <w:rFonts w:eastAsiaTheme="minorHAnsi" w:cstheme="minorBidi"/>
          <w:b/>
          <w:bCs/>
          <w:color w:val="auto"/>
        </w:rPr>
        <w:t>Family involvement</w:t>
      </w:r>
      <w:r>
        <w:rPr>
          <w:rFonts w:eastAsiaTheme="minorHAnsi" w:cstheme="minorBidi"/>
          <w:color w:val="auto"/>
        </w:rPr>
        <w:t xml:space="preserve">: </w:t>
      </w:r>
      <w:r w:rsidR="007819F7">
        <w:rPr>
          <w:rFonts w:eastAsiaTheme="minorHAnsi" w:cstheme="minorBidi"/>
          <w:color w:val="auto"/>
        </w:rPr>
        <w:t>w</w:t>
      </w:r>
      <w:r w:rsidR="007819F7" w:rsidRPr="007819F7">
        <w:rPr>
          <w:rFonts w:eastAsiaTheme="minorHAnsi" w:cstheme="minorBidi"/>
          <w:color w:val="auto"/>
        </w:rPr>
        <w:t xml:space="preserve">elcome families and community representatives into </w:t>
      </w:r>
      <w:r w:rsidR="000A7178">
        <w:rPr>
          <w:rFonts w:eastAsiaTheme="minorHAnsi" w:cstheme="minorBidi"/>
          <w:color w:val="auto"/>
        </w:rPr>
        <w:t>social activities</w:t>
      </w:r>
      <w:r w:rsidR="007819F7" w:rsidRPr="007819F7">
        <w:rPr>
          <w:rFonts w:eastAsiaTheme="minorHAnsi" w:cstheme="minorBidi"/>
          <w:color w:val="auto"/>
        </w:rPr>
        <w:t>. Align visiting hours and celebrations with cultural and community calendars.</w:t>
      </w:r>
    </w:p>
    <w:p w14:paraId="736BD44A" w14:textId="362AD16F" w:rsidR="00E51DED" w:rsidRDefault="00E51DED" w:rsidP="007170F7">
      <w:pPr>
        <w:pStyle w:val="Bullet"/>
        <w:rPr>
          <w:rFonts w:eastAsiaTheme="minorHAnsi" w:cstheme="minorBidi"/>
          <w:color w:val="auto"/>
        </w:rPr>
      </w:pPr>
      <w:r>
        <w:rPr>
          <w:rFonts w:eastAsiaTheme="minorHAnsi" w:cstheme="minorBidi"/>
          <w:b/>
          <w:bCs/>
          <w:color w:val="auto"/>
        </w:rPr>
        <w:t>Feedback loops</w:t>
      </w:r>
      <w:r>
        <w:rPr>
          <w:rFonts w:eastAsiaTheme="minorHAnsi" w:cstheme="minorBidi"/>
          <w:color w:val="auto"/>
        </w:rPr>
        <w:t xml:space="preserve">: </w:t>
      </w:r>
      <w:r w:rsidR="000B2F35">
        <w:rPr>
          <w:rFonts w:eastAsiaTheme="minorHAnsi" w:cstheme="minorBidi"/>
          <w:color w:val="auto"/>
        </w:rPr>
        <w:t>f</w:t>
      </w:r>
      <w:r w:rsidR="000B2F35" w:rsidRPr="000B2F35">
        <w:rPr>
          <w:rFonts w:eastAsiaTheme="minorHAnsi" w:cstheme="minorBidi"/>
          <w:color w:val="auto"/>
        </w:rPr>
        <w:t xml:space="preserve">acilitate resident and family forums in preferred languages. Demonstrate responsiveness with </w:t>
      </w:r>
      <w:r w:rsidR="001A47A3">
        <w:rPr>
          <w:rFonts w:eastAsiaTheme="minorHAnsi" w:cstheme="minorBidi"/>
          <w:color w:val="auto"/>
        </w:rPr>
        <w:t>‘</w:t>
      </w:r>
      <w:r w:rsidR="000B2F35" w:rsidRPr="000B2F35">
        <w:rPr>
          <w:rFonts w:eastAsiaTheme="minorHAnsi" w:cstheme="minorBidi"/>
          <w:color w:val="auto"/>
        </w:rPr>
        <w:t>you said, we did</w:t>
      </w:r>
      <w:r w:rsidR="001A47A3">
        <w:rPr>
          <w:rFonts w:eastAsiaTheme="minorHAnsi" w:cstheme="minorBidi"/>
          <w:color w:val="auto"/>
        </w:rPr>
        <w:t>’</w:t>
      </w:r>
      <w:r w:rsidR="000B2F35" w:rsidRPr="000B2F35">
        <w:rPr>
          <w:rFonts w:eastAsiaTheme="minorHAnsi" w:cstheme="minorBidi"/>
          <w:color w:val="auto"/>
        </w:rPr>
        <w:t xml:space="preserve"> boards highlighting actions taken in response to cultural feedback.</w:t>
      </w:r>
    </w:p>
    <w:p w14:paraId="5E8B9293" w14:textId="7D26D909" w:rsidR="009325D1" w:rsidRPr="009325D1" w:rsidRDefault="009325D1" w:rsidP="009325D1">
      <w:pPr>
        <w:pStyle w:val="Bullet"/>
        <w:numPr>
          <w:ilvl w:val="0"/>
          <w:numId w:val="0"/>
        </w:numPr>
        <w:ind w:left="284" w:hanging="284"/>
        <w:rPr>
          <w:rFonts w:eastAsiaTheme="minorHAnsi" w:cstheme="minorBidi"/>
          <w:b/>
          <w:bCs/>
          <w:color w:val="auto"/>
        </w:rPr>
      </w:pPr>
    </w:p>
    <w:p w14:paraId="300DD71C" w14:textId="77777777" w:rsidR="001F36A6" w:rsidRDefault="001F36A6" w:rsidP="00DA0FED">
      <w:pPr>
        <w:pStyle w:val="Bullet"/>
        <w:numPr>
          <w:ilvl w:val="0"/>
          <w:numId w:val="0"/>
        </w:numPr>
        <w:ind w:left="284" w:hanging="284"/>
        <w:rPr>
          <w:rFonts w:eastAsiaTheme="minorHAnsi" w:cstheme="minorBidi"/>
          <w:color w:val="auto"/>
        </w:rPr>
      </w:pPr>
    </w:p>
    <w:p w14:paraId="0AA749BC" w14:textId="77777777" w:rsidR="00DA0FED" w:rsidRDefault="00DA0FED" w:rsidP="00DA0FED">
      <w:pPr>
        <w:pStyle w:val="Bullet"/>
        <w:numPr>
          <w:ilvl w:val="0"/>
          <w:numId w:val="0"/>
        </w:numPr>
        <w:ind w:left="284" w:hanging="284"/>
        <w:rPr>
          <w:rFonts w:eastAsiaTheme="minorHAnsi" w:cstheme="minorBidi"/>
          <w:color w:val="auto"/>
        </w:rPr>
      </w:pPr>
    </w:p>
    <w:p w14:paraId="350D04B1" w14:textId="77777777" w:rsidR="001B1C5F" w:rsidRDefault="001B1C5F">
      <w:pPr>
        <w:spacing w:before="0" w:after="0" w:line="240" w:lineRule="auto"/>
        <w:rPr>
          <w:b/>
          <w:bCs/>
        </w:rPr>
      </w:pPr>
      <w:r>
        <w:rPr>
          <w:b/>
          <w:bCs/>
        </w:rPr>
        <w:br w:type="page"/>
      </w:r>
    </w:p>
    <w:p w14:paraId="4F79BD10" w14:textId="492D5E82" w:rsidR="001B1C5F" w:rsidRDefault="001B1C5F" w:rsidP="001B1C5F">
      <w:pPr>
        <w:pStyle w:val="Heading2"/>
      </w:pPr>
      <w:r>
        <w:lastRenderedPageBreak/>
        <w:t>Cultural safety organisational review and implementation tool</w:t>
      </w:r>
    </w:p>
    <w:p w14:paraId="7C398F13" w14:textId="77777777" w:rsidR="00AF3922" w:rsidRPr="00AF3922" w:rsidRDefault="00AF3922" w:rsidP="00571DC9">
      <w:pPr>
        <w:pStyle w:val="Heading3"/>
      </w:pPr>
      <w:r w:rsidRPr="00AF3922">
        <w:t>Step 1: Diagnose and prioritise</w:t>
      </w:r>
    </w:p>
    <w:p w14:paraId="4732D2A0" w14:textId="77777777" w:rsidR="00AF3922" w:rsidRPr="00AF3922" w:rsidRDefault="00AF3922" w:rsidP="00AF3922">
      <w:pPr>
        <w:pStyle w:val="ListParagraph"/>
      </w:pPr>
      <w:r w:rsidRPr="00AF3922">
        <w:t>Use the tool in workshops with leaders, staff and (where possible) older people or advocates.</w:t>
      </w:r>
    </w:p>
    <w:p w14:paraId="03C70E62" w14:textId="77777777" w:rsidR="00AF3922" w:rsidRPr="00AF3922" w:rsidRDefault="00AF3922" w:rsidP="00AF3922">
      <w:pPr>
        <w:pStyle w:val="ListParagraph"/>
      </w:pPr>
      <w:r w:rsidRPr="00AF3922">
        <w:t>For each of the five areas, complete the “Current approach” column to capture what is already in place.</w:t>
      </w:r>
    </w:p>
    <w:p w14:paraId="067F794E" w14:textId="77777777" w:rsidR="00AF3922" w:rsidRPr="00AF3922" w:rsidRDefault="00AF3922" w:rsidP="00AF3922">
      <w:pPr>
        <w:pStyle w:val="ListParagraph"/>
      </w:pPr>
      <w:r w:rsidRPr="00AF3922">
        <w:t>Discuss and record “Gaps or risks” openly. Encourage examples and stories, not just policies on paper.</w:t>
      </w:r>
    </w:p>
    <w:p w14:paraId="635D658C" w14:textId="77777777" w:rsidR="00AF3922" w:rsidRPr="00AF3922" w:rsidRDefault="00AF3922" w:rsidP="00AF3922">
      <w:pPr>
        <w:pStyle w:val="ListParagraph"/>
      </w:pPr>
      <w:r w:rsidRPr="00AF3922">
        <w:t>Prioritise the top two or three gaps in each area to focus your improvement effort.</w:t>
      </w:r>
    </w:p>
    <w:p w14:paraId="110D9F41" w14:textId="77777777" w:rsidR="00AF3922" w:rsidRPr="00AF3922" w:rsidRDefault="00AF3922" w:rsidP="00571DC9">
      <w:pPr>
        <w:pStyle w:val="Heading3"/>
      </w:pPr>
      <w:r w:rsidRPr="00AF3922">
        <w:t>Step 2: Co-design minimum standards</w:t>
      </w:r>
    </w:p>
    <w:p w14:paraId="52A32999" w14:textId="77777777" w:rsidR="00AF3922" w:rsidRPr="00AF3922" w:rsidRDefault="00AF3922" w:rsidP="00AF3922">
      <w:pPr>
        <w:pStyle w:val="ListParagraph"/>
      </w:pPr>
      <w:r w:rsidRPr="00AF3922">
        <w:t>In the “Actions to improve” column, agree on practical, minimum expectations that everyone commits to.</w:t>
      </w:r>
    </w:p>
    <w:p w14:paraId="587FBA22" w14:textId="77777777" w:rsidR="00AF3922" w:rsidRPr="00AF3922" w:rsidRDefault="00AF3922" w:rsidP="00AF3922">
      <w:pPr>
        <w:pStyle w:val="ListParagraph"/>
      </w:pPr>
      <w:r w:rsidRPr="00AF3922">
        <w:t>Involve older people, families, and community representatives in defining these actions, especially for practices and community connections.</w:t>
      </w:r>
    </w:p>
    <w:p w14:paraId="3714853E" w14:textId="77777777" w:rsidR="00AF3922" w:rsidRPr="00AF3922" w:rsidRDefault="00AF3922" w:rsidP="00AF3922">
      <w:pPr>
        <w:pStyle w:val="ListParagraph"/>
      </w:pPr>
      <w:r w:rsidRPr="00AF3922">
        <w:t>Ensure actions are specific and measurable (e.g. “Add a cultural considerations field in care plan templates by March” rather than “Improve care plans”).</w:t>
      </w:r>
    </w:p>
    <w:p w14:paraId="29485BAA" w14:textId="77777777" w:rsidR="00AF3922" w:rsidRPr="00AF3922" w:rsidRDefault="00AF3922" w:rsidP="00571DC9">
      <w:pPr>
        <w:pStyle w:val="Heading3"/>
      </w:pPr>
      <w:r w:rsidRPr="00AF3922">
        <w:t>Step 3: Embed and enable</w:t>
      </w:r>
    </w:p>
    <w:p w14:paraId="57F14ED1" w14:textId="290ED633" w:rsidR="00AF3922" w:rsidRPr="00AF3922" w:rsidRDefault="00AF3922" w:rsidP="00AF3922">
      <w:pPr>
        <w:pStyle w:val="ListParagraph"/>
      </w:pPr>
      <w:r>
        <w:t>Assign responsibility for each action directly in the tool (</w:t>
      </w:r>
      <w:r w:rsidR="00C71221">
        <w:t>you could</w:t>
      </w:r>
      <w:r>
        <w:t xml:space="preserve"> </w:t>
      </w:r>
      <w:r w:rsidR="72BB1E61">
        <w:t xml:space="preserve">add </w:t>
      </w:r>
      <w:r>
        <w:t>a “Who is responsible” column if helpful).</w:t>
      </w:r>
    </w:p>
    <w:p w14:paraId="5F697B65" w14:textId="77777777" w:rsidR="00AF3922" w:rsidRPr="00AF3922" w:rsidRDefault="00AF3922" w:rsidP="00AF3922">
      <w:pPr>
        <w:pStyle w:val="ListParagraph"/>
      </w:pPr>
      <w:r w:rsidRPr="00AF3922">
        <w:t>Update policies, forms, systems or rosters to embed the agreed standards into daily workflows.</w:t>
      </w:r>
    </w:p>
    <w:p w14:paraId="6CAFB8DE" w14:textId="77777777" w:rsidR="00AF3922" w:rsidRPr="00AF3922" w:rsidRDefault="00AF3922" w:rsidP="00AF3922">
      <w:pPr>
        <w:pStyle w:val="ListParagraph"/>
      </w:pPr>
      <w:r w:rsidRPr="00AF3922">
        <w:t>Train staff or brief teams on the agreed improvements. Use the tool at team meetings to check on progress.</w:t>
      </w:r>
    </w:p>
    <w:p w14:paraId="2C53FB0F" w14:textId="77777777" w:rsidR="00AF3922" w:rsidRPr="00AF3922" w:rsidRDefault="00AF3922" w:rsidP="00571DC9">
      <w:pPr>
        <w:pStyle w:val="Heading3"/>
      </w:pPr>
      <w:r w:rsidRPr="00AF3922">
        <w:t>Step 4: Measure and review</w:t>
      </w:r>
    </w:p>
    <w:p w14:paraId="2CD34332" w14:textId="3F37728A" w:rsidR="00AF3922" w:rsidRPr="00AF3922" w:rsidRDefault="006F256A" w:rsidP="00AF3922">
      <w:pPr>
        <w:pStyle w:val="ListParagraph"/>
      </w:pPr>
      <w:r>
        <w:t>Identify</w:t>
      </w:r>
      <w:r w:rsidR="00AF3922" w:rsidRPr="00AF3922">
        <w:t xml:space="preserve"> </w:t>
      </w:r>
      <w:r>
        <w:t>success measures</w:t>
      </w:r>
      <w:r w:rsidR="00AF3922" w:rsidRPr="00AF3922">
        <w:t xml:space="preserve"> to track how you will know if actions have been effective (e.g. survey results, audit findings, family feedback).</w:t>
      </w:r>
    </w:p>
    <w:p w14:paraId="3FC59959" w14:textId="4F09E95B" w:rsidR="00AF3922" w:rsidRPr="00AF3922" w:rsidRDefault="00AF3922" w:rsidP="00AF3922">
      <w:pPr>
        <w:pStyle w:val="ListParagraph"/>
      </w:pPr>
      <w:r w:rsidRPr="00AF3922">
        <w:t>Revisit the tool quarterly at board, quality or leadership meetings. Review what has been implemented, celebrate successes</w:t>
      </w:r>
      <w:r w:rsidR="00097B16">
        <w:t xml:space="preserve"> </w:t>
      </w:r>
      <w:r w:rsidRPr="00AF3922">
        <w:t>and update actions as new gaps emerge.</w:t>
      </w:r>
    </w:p>
    <w:p w14:paraId="1A98D06A" w14:textId="29DE9EFE" w:rsidR="00AF3922" w:rsidRPr="00AF3922" w:rsidRDefault="00AF3922" w:rsidP="00AF3922">
      <w:pPr>
        <w:pStyle w:val="ListParagraph"/>
      </w:pPr>
      <w:r w:rsidRPr="00AF3922">
        <w:t xml:space="preserve">Share progress with </w:t>
      </w:r>
      <w:r w:rsidR="00097B16">
        <w:t>older people</w:t>
      </w:r>
      <w:r w:rsidRPr="00AF3922">
        <w:t xml:space="preserve">, families and </w:t>
      </w:r>
      <w:r w:rsidR="00301E5B">
        <w:t xml:space="preserve">workers </w:t>
      </w:r>
      <w:r w:rsidRPr="00AF3922">
        <w:t>to build trust and transparency.</w:t>
      </w:r>
    </w:p>
    <w:p w14:paraId="2C83504A" w14:textId="0926EADE" w:rsidR="001B1C5F" w:rsidRDefault="001B1C5F">
      <w:pPr>
        <w:spacing w:before="0" w:after="0" w:line="240" w:lineRule="auto"/>
        <w:rPr>
          <w:b/>
          <w:bCs/>
        </w:rPr>
      </w:pPr>
      <w:r>
        <w:rPr>
          <w:b/>
          <w:bCs/>
        </w:rPr>
        <w:br w:type="page"/>
      </w:r>
    </w:p>
    <w:p w14:paraId="1BE1B78C" w14:textId="77777777" w:rsidR="00DA0FED" w:rsidRPr="00FE1837" w:rsidRDefault="00DA0FED" w:rsidP="00DA0FED">
      <w:pPr>
        <w:pStyle w:val="Bullet"/>
        <w:numPr>
          <w:ilvl w:val="0"/>
          <w:numId w:val="0"/>
        </w:numPr>
        <w:ind w:left="284" w:hanging="284"/>
        <w:rPr>
          <w:rFonts w:eastAsiaTheme="minorHAnsi" w:cstheme="minorBidi"/>
          <w:b/>
          <w:bCs/>
          <w:color w:val="auto"/>
        </w:rPr>
        <w:sectPr w:rsidR="00DA0FED" w:rsidRPr="00FE1837" w:rsidSect="001B6A68">
          <w:headerReference w:type="even" r:id="rId21"/>
          <w:footerReference w:type="even" r:id="rId22"/>
          <w:footerReference w:type="default" r:id="rId23"/>
          <w:headerReference w:type="first" r:id="rId24"/>
          <w:footerReference w:type="first" r:id="rId25"/>
          <w:pgSz w:w="11906" w:h="16838"/>
          <w:pgMar w:top="1418" w:right="851" w:bottom="851" w:left="851" w:header="1066" w:footer="709" w:gutter="0"/>
          <w:cols w:space="708"/>
          <w:titlePg/>
          <w:docGrid w:linePitch="360"/>
        </w:sectPr>
      </w:pPr>
    </w:p>
    <w:tbl>
      <w:tblPr>
        <w:tblStyle w:val="TableGridLight"/>
        <w:tblW w:w="5000" w:type="pct"/>
        <w:tblBorders>
          <w:top w:val="single" w:sz="4" w:space="0" w:color="2AB1BB" w:themeColor="accent1"/>
          <w:left w:val="single" w:sz="4" w:space="0" w:color="2AB1BB" w:themeColor="accent1"/>
          <w:bottom w:val="single" w:sz="4" w:space="0" w:color="2AB1BB" w:themeColor="accent1"/>
          <w:right w:val="single" w:sz="4" w:space="0" w:color="2AB1BB" w:themeColor="accent1"/>
          <w:insideH w:val="single" w:sz="4" w:space="0" w:color="2AB1BB" w:themeColor="accent1"/>
          <w:insideV w:val="single" w:sz="4" w:space="0" w:color="2AB1BB" w:themeColor="accent1"/>
        </w:tblBorders>
        <w:tblLook w:val="04A0" w:firstRow="1" w:lastRow="0" w:firstColumn="1" w:lastColumn="0" w:noHBand="0" w:noVBand="1"/>
      </w:tblPr>
      <w:tblGrid>
        <w:gridCol w:w="796"/>
        <w:gridCol w:w="2462"/>
        <w:gridCol w:w="5383"/>
        <w:gridCol w:w="4486"/>
        <w:gridCol w:w="4486"/>
        <w:gridCol w:w="4486"/>
      </w:tblGrid>
      <w:tr w:rsidR="009E477F" w:rsidRPr="00665FC6" w14:paraId="5FB65954" w14:textId="77777777" w:rsidTr="1455AF61">
        <w:tc>
          <w:tcPr>
            <w:tcW w:w="737" w:type="pct"/>
            <w:gridSpan w:val="2"/>
            <w:tcBorders>
              <w:bottom w:val="single" w:sz="4" w:space="0" w:color="2AB1BB" w:themeColor="accent1"/>
            </w:tcBorders>
            <w:shd w:val="clear" w:color="auto" w:fill="2AB1BB" w:themeFill="accent1"/>
          </w:tcPr>
          <w:p w14:paraId="792F1F85" w14:textId="317FF942" w:rsidR="00483F65" w:rsidRPr="00665FC6" w:rsidRDefault="00483F65" w:rsidP="00901516">
            <w:pPr>
              <w:rPr>
                <w:b/>
                <w:bCs/>
                <w:sz w:val="20"/>
                <w:szCs w:val="20"/>
              </w:rPr>
            </w:pPr>
            <w:r w:rsidRPr="00665FC6">
              <w:rPr>
                <w:b/>
                <w:bCs/>
                <w:sz w:val="20"/>
                <w:szCs w:val="20"/>
              </w:rPr>
              <w:lastRenderedPageBreak/>
              <w:t>Area</w:t>
            </w:r>
          </w:p>
        </w:tc>
        <w:tc>
          <w:tcPr>
            <w:tcW w:w="1218" w:type="pct"/>
            <w:shd w:val="clear" w:color="auto" w:fill="2AB1BB" w:themeFill="accent1"/>
          </w:tcPr>
          <w:p w14:paraId="1B8D9992" w14:textId="13D0C671" w:rsidR="00483F65" w:rsidRPr="00665FC6" w:rsidRDefault="00483F65" w:rsidP="00901516">
            <w:pPr>
              <w:rPr>
                <w:b/>
                <w:bCs/>
                <w:sz w:val="20"/>
                <w:szCs w:val="20"/>
              </w:rPr>
            </w:pPr>
            <w:r>
              <w:rPr>
                <w:b/>
                <w:bCs/>
                <w:sz w:val="20"/>
                <w:szCs w:val="20"/>
              </w:rPr>
              <w:t>Prompts to guide review</w:t>
            </w:r>
          </w:p>
        </w:tc>
        <w:tc>
          <w:tcPr>
            <w:tcW w:w="1015" w:type="pct"/>
            <w:shd w:val="clear" w:color="auto" w:fill="2AB1BB" w:themeFill="accent1"/>
            <w:hideMark/>
          </w:tcPr>
          <w:p w14:paraId="1FD92D2D" w14:textId="7EDA6625" w:rsidR="00483F65" w:rsidRPr="00665FC6" w:rsidRDefault="00483F65" w:rsidP="00901516">
            <w:pPr>
              <w:rPr>
                <w:b/>
                <w:bCs/>
                <w:sz w:val="20"/>
                <w:szCs w:val="20"/>
              </w:rPr>
            </w:pPr>
            <w:r w:rsidRPr="00665FC6">
              <w:rPr>
                <w:b/>
                <w:bCs/>
                <w:sz w:val="20"/>
                <w:szCs w:val="20"/>
              </w:rPr>
              <w:t>Current approach</w:t>
            </w:r>
          </w:p>
        </w:tc>
        <w:tc>
          <w:tcPr>
            <w:tcW w:w="1015" w:type="pct"/>
            <w:shd w:val="clear" w:color="auto" w:fill="2AB1BB" w:themeFill="accent1"/>
            <w:hideMark/>
          </w:tcPr>
          <w:p w14:paraId="69A6D490" w14:textId="77777777" w:rsidR="00483F65" w:rsidRPr="00665FC6" w:rsidRDefault="00483F65" w:rsidP="00901516">
            <w:pPr>
              <w:rPr>
                <w:b/>
                <w:bCs/>
                <w:sz w:val="20"/>
                <w:szCs w:val="20"/>
              </w:rPr>
            </w:pPr>
            <w:r w:rsidRPr="00665FC6">
              <w:rPr>
                <w:b/>
                <w:bCs/>
                <w:sz w:val="20"/>
                <w:szCs w:val="20"/>
              </w:rPr>
              <w:t>Gaps or risks</w:t>
            </w:r>
          </w:p>
        </w:tc>
        <w:tc>
          <w:tcPr>
            <w:tcW w:w="1015" w:type="pct"/>
            <w:shd w:val="clear" w:color="auto" w:fill="2AB1BB" w:themeFill="accent1"/>
            <w:hideMark/>
          </w:tcPr>
          <w:p w14:paraId="40358183" w14:textId="77777777" w:rsidR="00483F65" w:rsidRPr="00665FC6" w:rsidRDefault="00483F65" w:rsidP="00901516">
            <w:pPr>
              <w:rPr>
                <w:b/>
                <w:bCs/>
                <w:sz w:val="20"/>
                <w:szCs w:val="20"/>
              </w:rPr>
            </w:pPr>
            <w:r w:rsidRPr="00665FC6">
              <w:rPr>
                <w:b/>
                <w:bCs/>
                <w:sz w:val="20"/>
                <w:szCs w:val="20"/>
              </w:rPr>
              <w:t>Actions to improve</w:t>
            </w:r>
          </w:p>
        </w:tc>
      </w:tr>
      <w:tr w:rsidR="00277A48" w:rsidRPr="00665FC6" w14:paraId="3DF2279C" w14:textId="77777777" w:rsidTr="1455AF61">
        <w:tc>
          <w:tcPr>
            <w:tcW w:w="180" w:type="pct"/>
            <w:tcBorders>
              <w:right w:val="nil"/>
            </w:tcBorders>
            <w:shd w:val="clear" w:color="auto" w:fill="F1F2F2" w:themeFill="background2"/>
          </w:tcPr>
          <w:p w14:paraId="537299D0" w14:textId="3888D8B7" w:rsidR="00E9574D" w:rsidRPr="00665FC6" w:rsidRDefault="002F25F6">
            <w:pPr>
              <w:rPr>
                <w:sz w:val="20"/>
                <w:szCs w:val="20"/>
              </w:rPr>
            </w:pPr>
            <w:r>
              <w:rPr>
                <w:noProof/>
              </w:rPr>
              <w:drawing>
                <wp:inline distT="0" distB="0" distL="0" distR="0" wp14:anchorId="74EEC6B5" wp14:editId="074A12FB">
                  <wp:extent cx="359596" cy="359596"/>
                  <wp:effectExtent l="0" t="0" r="0" b="0"/>
                  <wp:docPr id="188093746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53542" name="Graphic 724553542"/>
                          <pic:cNvPicPr/>
                        </pic:nvPicPr>
                        <pic:blipFill>
                          <a:blip r:embed="rId11">
                            <a:extLst>
                              <a:ext uri="{96DAC541-7B7A-43D3-8B79-37D633B846F1}">
                                <asvg:svgBlip xmlns:asvg="http://schemas.microsoft.com/office/drawing/2016/SVG/main" r:embed="rId12"/>
                              </a:ext>
                            </a:extLst>
                          </a:blip>
                          <a:stretch>
                            <a:fillRect/>
                          </a:stretch>
                        </pic:blipFill>
                        <pic:spPr>
                          <a:xfrm>
                            <a:off x="0" y="0"/>
                            <a:ext cx="362363" cy="362363"/>
                          </a:xfrm>
                          <a:prstGeom prst="rect">
                            <a:avLst/>
                          </a:prstGeom>
                        </pic:spPr>
                      </pic:pic>
                    </a:graphicData>
                  </a:graphic>
                </wp:inline>
              </w:drawing>
            </w:r>
          </w:p>
        </w:tc>
        <w:tc>
          <w:tcPr>
            <w:tcW w:w="557" w:type="pct"/>
            <w:tcBorders>
              <w:left w:val="nil"/>
            </w:tcBorders>
            <w:shd w:val="clear" w:color="auto" w:fill="F1F2F2" w:themeFill="background2"/>
            <w:hideMark/>
          </w:tcPr>
          <w:p w14:paraId="718DC414" w14:textId="3AEA8EBC" w:rsidR="00483F65" w:rsidRPr="002F25F6" w:rsidRDefault="00483F65" w:rsidP="00901516">
            <w:pPr>
              <w:rPr>
                <w:b/>
                <w:sz w:val="20"/>
                <w:szCs w:val="20"/>
              </w:rPr>
            </w:pPr>
            <w:r w:rsidRPr="002F25F6">
              <w:rPr>
                <w:b/>
                <w:sz w:val="20"/>
                <w:szCs w:val="20"/>
              </w:rPr>
              <w:t>Policies (e.g. diversity, cultural safety, RAP, complaints)</w:t>
            </w:r>
          </w:p>
        </w:tc>
        <w:tc>
          <w:tcPr>
            <w:tcW w:w="1218" w:type="pct"/>
          </w:tcPr>
          <w:p w14:paraId="5EC1A7BF" w14:textId="77777777" w:rsidR="005B351B" w:rsidRPr="005B351B" w:rsidRDefault="005B351B" w:rsidP="005B351B">
            <w:pPr>
              <w:pStyle w:val="ListParagraph"/>
              <w:rPr>
                <w:sz w:val="20"/>
                <w:szCs w:val="20"/>
              </w:rPr>
            </w:pPr>
            <w:r w:rsidRPr="005B351B">
              <w:rPr>
                <w:sz w:val="20"/>
                <w:szCs w:val="20"/>
              </w:rPr>
              <w:t>Do our policies explicitly reference cultural safety and inclusion?</w:t>
            </w:r>
          </w:p>
          <w:p w14:paraId="0F09A66E" w14:textId="77777777" w:rsidR="005B351B" w:rsidRPr="005B351B" w:rsidRDefault="005B351B" w:rsidP="005B351B">
            <w:pPr>
              <w:pStyle w:val="ListParagraph"/>
              <w:rPr>
                <w:sz w:val="20"/>
                <w:szCs w:val="20"/>
              </w:rPr>
            </w:pPr>
            <w:r w:rsidRPr="005B351B">
              <w:rPr>
                <w:sz w:val="20"/>
                <w:szCs w:val="20"/>
              </w:rPr>
              <w:t>Is there clear board accountability?</w:t>
            </w:r>
          </w:p>
          <w:p w14:paraId="0C3172C7" w14:textId="77777777" w:rsidR="005B351B" w:rsidRPr="005B351B" w:rsidRDefault="005B351B" w:rsidP="005B351B">
            <w:pPr>
              <w:pStyle w:val="ListParagraph"/>
              <w:rPr>
                <w:sz w:val="20"/>
                <w:szCs w:val="20"/>
              </w:rPr>
            </w:pPr>
            <w:r w:rsidRPr="005B351B">
              <w:rPr>
                <w:sz w:val="20"/>
                <w:szCs w:val="20"/>
              </w:rPr>
              <w:t>Do we name priority groups (e.g. Aboriginal and Torres Strait Islander peoples, CALD, LGBTIQ+)?</w:t>
            </w:r>
          </w:p>
          <w:p w14:paraId="16D7EA85" w14:textId="74CD9357" w:rsidR="00483F65" w:rsidRPr="005B351B" w:rsidRDefault="005B351B" w:rsidP="005B351B">
            <w:pPr>
              <w:rPr>
                <w:i/>
                <w:iCs/>
                <w:sz w:val="20"/>
                <w:szCs w:val="20"/>
              </w:rPr>
            </w:pPr>
            <w:r w:rsidRPr="005B351B">
              <w:rPr>
                <w:b/>
                <w:bCs/>
                <w:i/>
                <w:iCs/>
                <w:sz w:val="20"/>
                <w:szCs w:val="20"/>
              </w:rPr>
              <w:t>Examples:</w:t>
            </w:r>
            <w:r w:rsidRPr="005B351B">
              <w:rPr>
                <w:i/>
                <w:iCs/>
                <w:sz w:val="20"/>
                <w:szCs w:val="20"/>
              </w:rPr>
              <w:t xml:space="preserve"> Diversity</w:t>
            </w:r>
            <w:r w:rsidR="00612938">
              <w:rPr>
                <w:i/>
                <w:iCs/>
                <w:sz w:val="20"/>
                <w:szCs w:val="20"/>
              </w:rPr>
              <w:t xml:space="preserve"> and inclusion</w:t>
            </w:r>
            <w:r w:rsidRPr="005B351B">
              <w:rPr>
                <w:i/>
                <w:iCs/>
                <w:sz w:val="20"/>
                <w:szCs w:val="20"/>
              </w:rPr>
              <w:t xml:space="preserve"> policy, Reconciliation Action Plan, governance charter</w:t>
            </w:r>
          </w:p>
        </w:tc>
        <w:tc>
          <w:tcPr>
            <w:tcW w:w="1015" w:type="pct"/>
            <w:hideMark/>
          </w:tcPr>
          <w:p w14:paraId="66A827ED" w14:textId="3839A767" w:rsidR="00483F65" w:rsidRPr="00665FC6" w:rsidRDefault="00483F65" w:rsidP="00901516">
            <w:pPr>
              <w:rPr>
                <w:sz w:val="20"/>
                <w:szCs w:val="20"/>
              </w:rPr>
            </w:pPr>
          </w:p>
        </w:tc>
        <w:tc>
          <w:tcPr>
            <w:tcW w:w="1015" w:type="pct"/>
            <w:hideMark/>
          </w:tcPr>
          <w:p w14:paraId="5C10A841" w14:textId="77777777" w:rsidR="00483F65" w:rsidRPr="00665FC6" w:rsidRDefault="00483F65" w:rsidP="00901516">
            <w:pPr>
              <w:rPr>
                <w:sz w:val="20"/>
                <w:szCs w:val="20"/>
              </w:rPr>
            </w:pPr>
          </w:p>
        </w:tc>
        <w:tc>
          <w:tcPr>
            <w:tcW w:w="1015" w:type="pct"/>
            <w:hideMark/>
          </w:tcPr>
          <w:p w14:paraId="0613BACE" w14:textId="77777777" w:rsidR="00483F65" w:rsidRPr="00665FC6" w:rsidRDefault="00483F65" w:rsidP="00901516">
            <w:pPr>
              <w:rPr>
                <w:sz w:val="20"/>
                <w:szCs w:val="20"/>
              </w:rPr>
            </w:pPr>
          </w:p>
        </w:tc>
      </w:tr>
      <w:tr w:rsidR="00277A48" w:rsidRPr="00665FC6" w14:paraId="7925D306" w14:textId="77777777" w:rsidTr="1455AF61">
        <w:tc>
          <w:tcPr>
            <w:tcW w:w="180" w:type="pct"/>
            <w:tcBorders>
              <w:right w:val="nil"/>
            </w:tcBorders>
            <w:shd w:val="clear" w:color="auto" w:fill="F1F2F2" w:themeFill="background2"/>
          </w:tcPr>
          <w:p w14:paraId="6E1DC7D5" w14:textId="223BC853" w:rsidR="00E9574D" w:rsidRPr="00665FC6" w:rsidRDefault="002F25F6">
            <w:pPr>
              <w:rPr>
                <w:sz w:val="20"/>
                <w:szCs w:val="20"/>
              </w:rPr>
            </w:pPr>
            <w:r>
              <w:rPr>
                <w:noProof/>
              </w:rPr>
              <w:drawing>
                <wp:inline distT="0" distB="0" distL="0" distR="0" wp14:anchorId="6A80E780" wp14:editId="6E3E010C">
                  <wp:extent cx="362363" cy="362363"/>
                  <wp:effectExtent l="0" t="0" r="6350" b="6350"/>
                  <wp:docPr id="257907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2761" name="Graphic 1"/>
                          <pic:cNvPicPr/>
                        </pic:nvPicPr>
                        <pic:blipFill>
                          <a:blip r:embed="rId13">
                            <a:extLst>
                              <a:ext uri="{96DAC541-7B7A-43D3-8B79-37D633B846F1}">
                                <asvg:svgBlip xmlns:asvg="http://schemas.microsoft.com/office/drawing/2016/SVG/main" r:embed="rId14"/>
                              </a:ext>
                            </a:extLst>
                          </a:blip>
                          <a:stretch>
                            <a:fillRect/>
                          </a:stretch>
                        </pic:blipFill>
                        <pic:spPr>
                          <a:xfrm>
                            <a:off x="0" y="0"/>
                            <a:ext cx="362363" cy="362363"/>
                          </a:xfrm>
                          <a:prstGeom prst="rect">
                            <a:avLst/>
                          </a:prstGeom>
                        </pic:spPr>
                      </pic:pic>
                    </a:graphicData>
                  </a:graphic>
                </wp:inline>
              </w:drawing>
            </w:r>
          </w:p>
        </w:tc>
        <w:tc>
          <w:tcPr>
            <w:tcW w:w="557" w:type="pct"/>
            <w:tcBorders>
              <w:left w:val="nil"/>
            </w:tcBorders>
            <w:shd w:val="clear" w:color="auto" w:fill="F1F2F2" w:themeFill="background2"/>
            <w:hideMark/>
          </w:tcPr>
          <w:p w14:paraId="0DE65D0C" w14:textId="7000E9FF" w:rsidR="00483F65" w:rsidRPr="002F25F6" w:rsidRDefault="00483F65" w:rsidP="00901516">
            <w:pPr>
              <w:rPr>
                <w:b/>
                <w:sz w:val="20"/>
                <w:szCs w:val="20"/>
              </w:rPr>
            </w:pPr>
            <w:r w:rsidRPr="002F25F6">
              <w:rPr>
                <w:b/>
                <w:sz w:val="20"/>
                <w:szCs w:val="20"/>
              </w:rPr>
              <w:t>Processes (e.g. intake, assessment, communication supports, rostering)</w:t>
            </w:r>
          </w:p>
        </w:tc>
        <w:tc>
          <w:tcPr>
            <w:tcW w:w="1218" w:type="pct"/>
          </w:tcPr>
          <w:p w14:paraId="20351114" w14:textId="44F59FC3" w:rsidR="008C5F50" w:rsidRPr="008C5F50" w:rsidRDefault="008C5F50" w:rsidP="008C5F50">
            <w:pPr>
              <w:pStyle w:val="ListParagraph"/>
              <w:rPr>
                <w:sz w:val="20"/>
                <w:szCs w:val="20"/>
              </w:rPr>
            </w:pPr>
            <w:r w:rsidRPr="008C5F50">
              <w:rPr>
                <w:sz w:val="20"/>
                <w:szCs w:val="20"/>
              </w:rPr>
              <w:t>Do intake forms capture cultural, language, spiritual and dietary needs?</w:t>
            </w:r>
          </w:p>
          <w:p w14:paraId="2EDCF1F4" w14:textId="51741725" w:rsidR="008C5F50" w:rsidRPr="008C5F50" w:rsidRDefault="008C5F50" w:rsidP="008C5F50">
            <w:pPr>
              <w:pStyle w:val="ListParagraph"/>
              <w:rPr>
                <w:sz w:val="20"/>
                <w:szCs w:val="20"/>
              </w:rPr>
            </w:pPr>
            <w:r w:rsidRPr="008C5F50">
              <w:rPr>
                <w:sz w:val="20"/>
                <w:szCs w:val="20"/>
              </w:rPr>
              <w:t>Are interpreter pathways documented and accessible?</w:t>
            </w:r>
          </w:p>
          <w:p w14:paraId="481F5756" w14:textId="563D6AD5" w:rsidR="00C40F9E" w:rsidRDefault="09D4DC68" w:rsidP="008C5F50">
            <w:pPr>
              <w:pStyle w:val="ListParagraph"/>
              <w:rPr>
                <w:sz w:val="20"/>
                <w:szCs w:val="20"/>
              </w:rPr>
            </w:pPr>
            <w:r w:rsidRPr="1455AF61">
              <w:rPr>
                <w:sz w:val="20"/>
                <w:szCs w:val="20"/>
              </w:rPr>
              <w:t>Do handover templates include cultural considerations?</w:t>
            </w:r>
          </w:p>
          <w:p w14:paraId="6DF242DB" w14:textId="387A5B9C" w:rsidR="69618CC9" w:rsidRDefault="69618CC9" w:rsidP="1455AF61">
            <w:pPr>
              <w:pStyle w:val="ListParagraph"/>
              <w:rPr>
                <w:sz w:val="20"/>
                <w:szCs w:val="20"/>
              </w:rPr>
            </w:pPr>
            <w:r w:rsidRPr="1455AF61">
              <w:rPr>
                <w:sz w:val="20"/>
                <w:szCs w:val="20"/>
              </w:rPr>
              <w:t>Have you applied any unconscious bias and made assumptions about a person’s needs, choices or preferences?</w:t>
            </w:r>
          </w:p>
          <w:p w14:paraId="257EC87C" w14:textId="58F4545D" w:rsidR="00483F65" w:rsidRPr="002C4D8D" w:rsidRDefault="00D6743C" w:rsidP="002C4D8D">
            <w:pPr>
              <w:rPr>
                <w:sz w:val="20"/>
                <w:szCs w:val="20"/>
              </w:rPr>
            </w:pPr>
            <w:r w:rsidRPr="002C4D8D">
              <w:rPr>
                <w:b/>
                <w:bCs/>
                <w:i/>
                <w:iCs/>
                <w:sz w:val="20"/>
                <w:szCs w:val="20"/>
              </w:rPr>
              <w:t>Examples:</w:t>
            </w:r>
            <w:r w:rsidRPr="002C4D8D">
              <w:rPr>
                <w:i/>
                <w:iCs/>
                <w:sz w:val="20"/>
                <w:szCs w:val="20"/>
              </w:rPr>
              <w:t xml:space="preserve"> </w:t>
            </w:r>
            <w:r w:rsidR="00612938" w:rsidRPr="00612938">
              <w:rPr>
                <w:i/>
                <w:iCs/>
                <w:sz w:val="20"/>
                <w:szCs w:val="20"/>
              </w:rPr>
              <w:t>admission checklist, interpreter booking process, cultural preferences in care plans</w:t>
            </w:r>
          </w:p>
        </w:tc>
        <w:tc>
          <w:tcPr>
            <w:tcW w:w="1015" w:type="pct"/>
            <w:hideMark/>
          </w:tcPr>
          <w:p w14:paraId="598C52E0" w14:textId="3CDDD69B" w:rsidR="00483F65" w:rsidRPr="00665FC6" w:rsidRDefault="00483F65" w:rsidP="00901516">
            <w:pPr>
              <w:rPr>
                <w:sz w:val="20"/>
                <w:szCs w:val="20"/>
              </w:rPr>
            </w:pPr>
          </w:p>
        </w:tc>
        <w:tc>
          <w:tcPr>
            <w:tcW w:w="1015" w:type="pct"/>
            <w:hideMark/>
          </w:tcPr>
          <w:p w14:paraId="77543A15" w14:textId="77777777" w:rsidR="00483F65" w:rsidRPr="00665FC6" w:rsidRDefault="00483F65" w:rsidP="00901516">
            <w:pPr>
              <w:rPr>
                <w:sz w:val="20"/>
                <w:szCs w:val="20"/>
              </w:rPr>
            </w:pPr>
          </w:p>
        </w:tc>
        <w:tc>
          <w:tcPr>
            <w:tcW w:w="1015" w:type="pct"/>
            <w:hideMark/>
          </w:tcPr>
          <w:p w14:paraId="7545283E" w14:textId="77777777" w:rsidR="00483F65" w:rsidRPr="00665FC6" w:rsidRDefault="00483F65" w:rsidP="00901516">
            <w:pPr>
              <w:rPr>
                <w:sz w:val="20"/>
                <w:szCs w:val="20"/>
              </w:rPr>
            </w:pPr>
          </w:p>
        </w:tc>
      </w:tr>
      <w:tr w:rsidR="00277A48" w:rsidRPr="00665FC6" w14:paraId="6C189623" w14:textId="77777777" w:rsidTr="1455AF61">
        <w:tc>
          <w:tcPr>
            <w:tcW w:w="180" w:type="pct"/>
            <w:tcBorders>
              <w:right w:val="nil"/>
            </w:tcBorders>
            <w:shd w:val="clear" w:color="auto" w:fill="F1F2F2" w:themeFill="background2"/>
          </w:tcPr>
          <w:p w14:paraId="1D0E1499" w14:textId="13E534C1" w:rsidR="00E9574D" w:rsidRPr="00665FC6" w:rsidRDefault="002F25F6">
            <w:pPr>
              <w:rPr>
                <w:sz w:val="20"/>
                <w:szCs w:val="20"/>
              </w:rPr>
            </w:pPr>
            <w:r>
              <w:rPr>
                <w:noProof/>
              </w:rPr>
              <w:drawing>
                <wp:inline distT="0" distB="0" distL="0" distR="0" wp14:anchorId="5B257E31" wp14:editId="486712D7">
                  <wp:extent cx="362363" cy="362363"/>
                  <wp:effectExtent l="0" t="0" r="6350" b="6350"/>
                  <wp:docPr id="746161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01728" name="Graphic 1"/>
                          <pic:cNvPicPr/>
                        </pic:nvPicPr>
                        <pic:blipFill>
                          <a:blip r:embed="rId17">
                            <a:extLst>
                              <a:ext uri="{96DAC541-7B7A-43D3-8B79-37D633B846F1}">
                                <asvg:svgBlip xmlns:asvg="http://schemas.microsoft.com/office/drawing/2016/SVG/main" r:embed="rId18"/>
                              </a:ext>
                            </a:extLst>
                          </a:blip>
                          <a:stretch>
                            <a:fillRect/>
                          </a:stretch>
                        </pic:blipFill>
                        <pic:spPr>
                          <a:xfrm>
                            <a:off x="0" y="0"/>
                            <a:ext cx="362363" cy="362363"/>
                          </a:xfrm>
                          <a:prstGeom prst="rect">
                            <a:avLst/>
                          </a:prstGeom>
                        </pic:spPr>
                      </pic:pic>
                    </a:graphicData>
                  </a:graphic>
                </wp:inline>
              </w:drawing>
            </w:r>
          </w:p>
        </w:tc>
        <w:tc>
          <w:tcPr>
            <w:tcW w:w="557" w:type="pct"/>
            <w:tcBorders>
              <w:left w:val="nil"/>
            </w:tcBorders>
            <w:shd w:val="clear" w:color="auto" w:fill="F1F2F2" w:themeFill="background2"/>
            <w:hideMark/>
          </w:tcPr>
          <w:p w14:paraId="3B1D7ACD" w14:textId="2622B889" w:rsidR="00483F65" w:rsidRPr="002F25F6" w:rsidRDefault="00483F65" w:rsidP="00901516">
            <w:pPr>
              <w:rPr>
                <w:b/>
                <w:sz w:val="20"/>
                <w:szCs w:val="20"/>
              </w:rPr>
            </w:pPr>
            <w:r w:rsidRPr="002F25F6">
              <w:rPr>
                <w:b/>
                <w:sz w:val="20"/>
                <w:szCs w:val="20"/>
              </w:rPr>
              <w:t>Practices (e.g. dietary/spiritual needs, interpreters, daily care)</w:t>
            </w:r>
          </w:p>
        </w:tc>
        <w:tc>
          <w:tcPr>
            <w:tcW w:w="1218" w:type="pct"/>
          </w:tcPr>
          <w:p w14:paraId="78D09064" w14:textId="3760A38A" w:rsidR="0042126C" w:rsidRPr="0042126C" w:rsidRDefault="0042126C" w:rsidP="0042126C">
            <w:pPr>
              <w:pStyle w:val="ListParagraph"/>
              <w:rPr>
                <w:sz w:val="20"/>
                <w:szCs w:val="20"/>
              </w:rPr>
            </w:pPr>
            <w:r w:rsidRPr="0042126C">
              <w:rPr>
                <w:sz w:val="20"/>
                <w:szCs w:val="20"/>
              </w:rPr>
              <w:t>Are residents greeted in their preferred name and language?</w:t>
            </w:r>
          </w:p>
          <w:p w14:paraId="744057D7" w14:textId="6022ADD1" w:rsidR="0042126C" w:rsidRPr="0042126C" w:rsidRDefault="0042126C" w:rsidP="0042126C">
            <w:pPr>
              <w:pStyle w:val="ListParagraph"/>
              <w:rPr>
                <w:sz w:val="20"/>
                <w:szCs w:val="20"/>
              </w:rPr>
            </w:pPr>
            <w:r w:rsidRPr="0042126C">
              <w:rPr>
                <w:sz w:val="20"/>
                <w:szCs w:val="20"/>
              </w:rPr>
              <w:t>Are cultural and spiritual practices visibly supported?</w:t>
            </w:r>
          </w:p>
          <w:p w14:paraId="1EE05987" w14:textId="6121137A" w:rsidR="00206DA3" w:rsidRDefault="0042126C" w:rsidP="0042126C">
            <w:pPr>
              <w:pStyle w:val="ListParagraph"/>
              <w:rPr>
                <w:sz w:val="20"/>
                <w:szCs w:val="20"/>
              </w:rPr>
            </w:pPr>
            <w:r w:rsidRPr="0042126C">
              <w:rPr>
                <w:sz w:val="20"/>
                <w:szCs w:val="20"/>
              </w:rPr>
              <w:t xml:space="preserve">Do </w:t>
            </w:r>
            <w:r>
              <w:rPr>
                <w:sz w:val="20"/>
                <w:szCs w:val="20"/>
              </w:rPr>
              <w:t>workers</w:t>
            </w:r>
            <w:r w:rsidRPr="0042126C">
              <w:rPr>
                <w:sz w:val="20"/>
                <w:szCs w:val="20"/>
              </w:rPr>
              <w:t xml:space="preserve"> ask </w:t>
            </w:r>
            <w:r w:rsidR="00F459CA">
              <w:rPr>
                <w:sz w:val="20"/>
                <w:szCs w:val="20"/>
              </w:rPr>
              <w:t xml:space="preserve">questions such as </w:t>
            </w:r>
            <w:r w:rsidRPr="0042126C">
              <w:rPr>
                <w:sz w:val="20"/>
                <w:szCs w:val="20"/>
              </w:rPr>
              <w:t>“</w:t>
            </w:r>
            <w:r w:rsidR="00F459CA">
              <w:rPr>
                <w:sz w:val="20"/>
                <w:szCs w:val="20"/>
              </w:rPr>
              <w:t>are there any traditions, foods or routines that are important for you</w:t>
            </w:r>
            <w:r w:rsidRPr="0042126C">
              <w:rPr>
                <w:sz w:val="20"/>
                <w:szCs w:val="20"/>
              </w:rPr>
              <w:t>?”</w:t>
            </w:r>
          </w:p>
          <w:p w14:paraId="541EA31F" w14:textId="6261537A" w:rsidR="00483F65" w:rsidRPr="00665FC6" w:rsidRDefault="00206DA3" w:rsidP="00206DA3">
            <w:pPr>
              <w:rPr>
                <w:sz w:val="20"/>
                <w:szCs w:val="20"/>
              </w:rPr>
            </w:pPr>
            <w:r w:rsidRPr="002C4D8D">
              <w:rPr>
                <w:b/>
                <w:bCs/>
                <w:i/>
                <w:iCs/>
                <w:sz w:val="20"/>
                <w:szCs w:val="20"/>
              </w:rPr>
              <w:t>Examples:</w:t>
            </w:r>
            <w:r w:rsidRPr="002C4D8D">
              <w:rPr>
                <w:i/>
                <w:iCs/>
                <w:sz w:val="20"/>
                <w:szCs w:val="20"/>
              </w:rPr>
              <w:t xml:space="preserve"> </w:t>
            </w:r>
            <w:r w:rsidR="000325CF" w:rsidRPr="000325CF">
              <w:rPr>
                <w:i/>
                <w:iCs/>
                <w:sz w:val="20"/>
                <w:szCs w:val="20"/>
              </w:rPr>
              <w:t>menus with faith-appropriate meals, prayer/quiet spaces, daily use of interpreters</w:t>
            </w:r>
          </w:p>
        </w:tc>
        <w:tc>
          <w:tcPr>
            <w:tcW w:w="1015" w:type="pct"/>
            <w:hideMark/>
          </w:tcPr>
          <w:p w14:paraId="74FCDA6B" w14:textId="79B29C2F" w:rsidR="00483F65" w:rsidRPr="00665FC6" w:rsidRDefault="00483F65" w:rsidP="00901516">
            <w:pPr>
              <w:rPr>
                <w:sz w:val="20"/>
                <w:szCs w:val="20"/>
              </w:rPr>
            </w:pPr>
          </w:p>
        </w:tc>
        <w:tc>
          <w:tcPr>
            <w:tcW w:w="1015" w:type="pct"/>
            <w:hideMark/>
          </w:tcPr>
          <w:p w14:paraId="235433CF" w14:textId="77777777" w:rsidR="00483F65" w:rsidRPr="00665FC6" w:rsidRDefault="00483F65" w:rsidP="00901516">
            <w:pPr>
              <w:rPr>
                <w:sz w:val="20"/>
                <w:szCs w:val="20"/>
              </w:rPr>
            </w:pPr>
          </w:p>
        </w:tc>
        <w:tc>
          <w:tcPr>
            <w:tcW w:w="1015" w:type="pct"/>
            <w:hideMark/>
          </w:tcPr>
          <w:p w14:paraId="70544644" w14:textId="77777777" w:rsidR="00483F65" w:rsidRPr="00665FC6" w:rsidRDefault="00483F65" w:rsidP="00901516">
            <w:pPr>
              <w:rPr>
                <w:sz w:val="20"/>
                <w:szCs w:val="20"/>
              </w:rPr>
            </w:pPr>
          </w:p>
        </w:tc>
      </w:tr>
      <w:tr w:rsidR="00277A48" w:rsidRPr="00665FC6" w14:paraId="685ADCAC" w14:textId="77777777" w:rsidTr="1455AF61">
        <w:tc>
          <w:tcPr>
            <w:tcW w:w="180" w:type="pct"/>
            <w:tcBorders>
              <w:right w:val="nil"/>
            </w:tcBorders>
            <w:shd w:val="clear" w:color="auto" w:fill="F1F2F2" w:themeFill="background2"/>
          </w:tcPr>
          <w:p w14:paraId="693F82C5" w14:textId="40A72E6A" w:rsidR="00E9574D" w:rsidRPr="00665FC6" w:rsidRDefault="002F25F6">
            <w:pPr>
              <w:rPr>
                <w:sz w:val="20"/>
                <w:szCs w:val="20"/>
              </w:rPr>
            </w:pPr>
            <w:r>
              <w:rPr>
                <w:noProof/>
              </w:rPr>
              <w:drawing>
                <wp:inline distT="0" distB="0" distL="0" distR="0" wp14:anchorId="68AC6F33" wp14:editId="3A32D770">
                  <wp:extent cx="362363" cy="362363"/>
                  <wp:effectExtent l="0" t="0" r="6350" b="6350"/>
                  <wp:docPr id="1266603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01728" name="Graphic 1"/>
                          <pic:cNvPicPr/>
                        </pic:nvPicPr>
                        <pic:blipFill>
                          <a:blip r:embed="rId15">
                            <a:extLst>
                              <a:ext uri="{96DAC541-7B7A-43D3-8B79-37D633B846F1}">
                                <asvg:svgBlip xmlns:asvg="http://schemas.microsoft.com/office/drawing/2016/SVG/main" r:embed="rId16"/>
                              </a:ext>
                            </a:extLst>
                          </a:blip>
                          <a:stretch>
                            <a:fillRect/>
                          </a:stretch>
                        </pic:blipFill>
                        <pic:spPr>
                          <a:xfrm>
                            <a:off x="0" y="0"/>
                            <a:ext cx="362363" cy="362363"/>
                          </a:xfrm>
                          <a:prstGeom prst="rect">
                            <a:avLst/>
                          </a:prstGeom>
                        </pic:spPr>
                      </pic:pic>
                    </a:graphicData>
                  </a:graphic>
                </wp:inline>
              </w:drawing>
            </w:r>
          </w:p>
        </w:tc>
        <w:tc>
          <w:tcPr>
            <w:tcW w:w="557" w:type="pct"/>
            <w:tcBorders>
              <w:left w:val="nil"/>
            </w:tcBorders>
            <w:shd w:val="clear" w:color="auto" w:fill="F1F2F2" w:themeFill="background2"/>
            <w:hideMark/>
          </w:tcPr>
          <w:p w14:paraId="0644AB3D" w14:textId="72C7777A" w:rsidR="00483F65" w:rsidRPr="002F25F6" w:rsidRDefault="00483F65" w:rsidP="00901516">
            <w:pPr>
              <w:rPr>
                <w:b/>
                <w:sz w:val="20"/>
                <w:szCs w:val="20"/>
              </w:rPr>
            </w:pPr>
            <w:r w:rsidRPr="002F25F6">
              <w:rPr>
                <w:b/>
                <w:sz w:val="20"/>
                <w:szCs w:val="20"/>
              </w:rPr>
              <w:t>Workforce capability (e.g. training, supervision, reflection)</w:t>
            </w:r>
          </w:p>
        </w:tc>
        <w:tc>
          <w:tcPr>
            <w:tcW w:w="1218" w:type="pct"/>
          </w:tcPr>
          <w:p w14:paraId="5424F009" w14:textId="0FABDCF3" w:rsidR="00206DA3" w:rsidRDefault="005B79A6" w:rsidP="00206DA3">
            <w:pPr>
              <w:pStyle w:val="ListParagraph"/>
              <w:rPr>
                <w:sz w:val="20"/>
                <w:szCs w:val="20"/>
              </w:rPr>
            </w:pPr>
            <w:r>
              <w:rPr>
                <w:sz w:val="20"/>
                <w:szCs w:val="20"/>
              </w:rPr>
              <w:t xml:space="preserve">Do all workers </w:t>
            </w:r>
            <w:r w:rsidR="003F7326">
              <w:rPr>
                <w:sz w:val="20"/>
                <w:szCs w:val="20"/>
              </w:rPr>
              <w:t xml:space="preserve">receive training </w:t>
            </w:r>
            <w:r w:rsidR="001C1F64">
              <w:rPr>
                <w:sz w:val="20"/>
                <w:szCs w:val="20"/>
              </w:rPr>
              <w:t>in cultural safety and trauma-informed care?</w:t>
            </w:r>
          </w:p>
          <w:p w14:paraId="6B6B3C2E" w14:textId="55B32FB1" w:rsidR="007F253E" w:rsidRDefault="007F253E" w:rsidP="00206DA3">
            <w:pPr>
              <w:pStyle w:val="ListParagraph"/>
              <w:rPr>
                <w:sz w:val="20"/>
                <w:szCs w:val="20"/>
              </w:rPr>
            </w:pPr>
            <w:r>
              <w:rPr>
                <w:sz w:val="20"/>
                <w:szCs w:val="20"/>
              </w:rPr>
              <w:t>Are culturally safe behaviours assessed during supervision?</w:t>
            </w:r>
          </w:p>
          <w:p w14:paraId="491A54B2" w14:textId="6CB85581" w:rsidR="00AC6DDC" w:rsidRDefault="00AC6DDC" w:rsidP="00206DA3">
            <w:pPr>
              <w:pStyle w:val="ListParagraph"/>
              <w:rPr>
                <w:sz w:val="20"/>
                <w:szCs w:val="20"/>
              </w:rPr>
            </w:pPr>
            <w:r>
              <w:rPr>
                <w:sz w:val="20"/>
                <w:szCs w:val="20"/>
              </w:rPr>
              <w:t>Do we have cultural mentors or champions?</w:t>
            </w:r>
          </w:p>
          <w:p w14:paraId="6D1BD2CE" w14:textId="29B2087A" w:rsidR="00483F65" w:rsidRPr="00665FC6" w:rsidRDefault="00206DA3" w:rsidP="00206DA3">
            <w:pPr>
              <w:rPr>
                <w:sz w:val="20"/>
                <w:szCs w:val="20"/>
              </w:rPr>
            </w:pPr>
            <w:r w:rsidRPr="002C4D8D">
              <w:rPr>
                <w:b/>
                <w:bCs/>
                <w:i/>
                <w:iCs/>
                <w:sz w:val="20"/>
                <w:szCs w:val="20"/>
              </w:rPr>
              <w:t>Examples:</w:t>
            </w:r>
            <w:r w:rsidRPr="002C4D8D">
              <w:rPr>
                <w:i/>
                <w:iCs/>
                <w:sz w:val="20"/>
                <w:szCs w:val="20"/>
              </w:rPr>
              <w:t xml:space="preserve"> </w:t>
            </w:r>
            <w:r w:rsidR="00FB077A" w:rsidRPr="00FB077A">
              <w:rPr>
                <w:i/>
                <w:iCs/>
                <w:sz w:val="20"/>
                <w:szCs w:val="20"/>
              </w:rPr>
              <w:t>induction checklist, reflective supervision guides, role-specific training modules</w:t>
            </w:r>
          </w:p>
        </w:tc>
        <w:tc>
          <w:tcPr>
            <w:tcW w:w="1015" w:type="pct"/>
            <w:hideMark/>
          </w:tcPr>
          <w:p w14:paraId="1369F3A4" w14:textId="42D7D539" w:rsidR="00483F65" w:rsidRPr="00665FC6" w:rsidRDefault="00483F65" w:rsidP="00901516">
            <w:pPr>
              <w:rPr>
                <w:sz w:val="20"/>
                <w:szCs w:val="20"/>
              </w:rPr>
            </w:pPr>
          </w:p>
        </w:tc>
        <w:tc>
          <w:tcPr>
            <w:tcW w:w="1015" w:type="pct"/>
            <w:hideMark/>
          </w:tcPr>
          <w:p w14:paraId="62B4A20F" w14:textId="77777777" w:rsidR="00483F65" w:rsidRPr="00665FC6" w:rsidRDefault="00483F65" w:rsidP="00901516">
            <w:pPr>
              <w:rPr>
                <w:sz w:val="20"/>
                <w:szCs w:val="20"/>
              </w:rPr>
            </w:pPr>
          </w:p>
        </w:tc>
        <w:tc>
          <w:tcPr>
            <w:tcW w:w="1015" w:type="pct"/>
            <w:hideMark/>
          </w:tcPr>
          <w:p w14:paraId="46B9FE3A" w14:textId="77777777" w:rsidR="00483F65" w:rsidRPr="00665FC6" w:rsidRDefault="00483F65" w:rsidP="00901516">
            <w:pPr>
              <w:rPr>
                <w:sz w:val="20"/>
                <w:szCs w:val="20"/>
              </w:rPr>
            </w:pPr>
          </w:p>
        </w:tc>
      </w:tr>
      <w:tr w:rsidR="00277A48" w:rsidRPr="00665FC6" w14:paraId="3AA74D50" w14:textId="77777777" w:rsidTr="1455AF61">
        <w:tc>
          <w:tcPr>
            <w:tcW w:w="180" w:type="pct"/>
            <w:tcBorders>
              <w:right w:val="nil"/>
            </w:tcBorders>
            <w:shd w:val="clear" w:color="auto" w:fill="F1F2F2" w:themeFill="background2"/>
          </w:tcPr>
          <w:p w14:paraId="1FDD7F9D" w14:textId="5D892D4A" w:rsidR="00E9574D" w:rsidRPr="00665FC6" w:rsidRDefault="002F25F6">
            <w:pPr>
              <w:rPr>
                <w:sz w:val="20"/>
                <w:szCs w:val="20"/>
              </w:rPr>
            </w:pPr>
            <w:r>
              <w:rPr>
                <w:noProof/>
              </w:rPr>
              <w:drawing>
                <wp:inline distT="0" distB="0" distL="0" distR="0" wp14:anchorId="729B679E" wp14:editId="4EE2FC47">
                  <wp:extent cx="362363" cy="362363"/>
                  <wp:effectExtent l="0" t="0" r="6350" b="6350"/>
                  <wp:docPr id="14930966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2456" name="Graphic 1"/>
                          <pic:cNvPicPr/>
                        </pic:nvPicPr>
                        <pic:blipFill>
                          <a:blip r:embed="rId19">
                            <a:extLst>
                              <a:ext uri="{96DAC541-7B7A-43D3-8B79-37D633B846F1}">
                                <asvg:svgBlip xmlns:asvg="http://schemas.microsoft.com/office/drawing/2016/SVG/main" r:embed="rId20"/>
                              </a:ext>
                            </a:extLst>
                          </a:blip>
                          <a:stretch>
                            <a:fillRect/>
                          </a:stretch>
                        </pic:blipFill>
                        <pic:spPr>
                          <a:xfrm>
                            <a:off x="0" y="0"/>
                            <a:ext cx="362363" cy="362363"/>
                          </a:xfrm>
                          <a:prstGeom prst="rect">
                            <a:avLst/>
                          </a:prstGeom>
                        </pic:spPr>
                      </pic:pic>
                    </a:graphicData>
                  </a:graphic>
                </wp:inline>
              </w:drawing>
            </w:r>
          </w:p>
        </w:tc>
        <w:tc>
          <w:tcPr>
            <w:tcW w:w="557" w:type="pct"/>
            <w:tcBorders>
              <w:left w:val="nil"/>
            </w:tcBorders>
            <w:shd w:val="clear" w:color="auto" w:fill="F1F2F2" w:themeFill="background2"/>
            <w:hideMark/>
          </w:tcPr>
          <w:p w14:paraId="00D09804" w14:textId="7FE8C514" w:rsidR="00483F65" w:rsidRPr="002F25F6" w:rsidRDefault="00483F65" w:rsidP="00901516">
            <w:pPr>
              <w:rPr>
                <w:b/>
                <w:sz w:val="20"/>
                <w:szCs w:val="20"/>
              </w:rPr>
            </w:pPr>
            <w:r w:rsidRPr="002F25F6">
              <w:rPr>
                <w:b/>
                <w:sz w:val="20"/>
                <w:szCs w:val="20"/>
              </w:rPr>
              <w:t>Community connections (e.g. partnerships with Elders, cultural groups)</w:t>
            </w:r>
          </w:p>
        </w:tc>
        <w:tc>
          <w:tcPr>
            <w:tcW w:w="1218" w:type="pct"/>
          </w:tcPr>
          <w:p w14:paraId="7E35C7B3" w14:textId="1B4759BE" w:rsidR="00206DA3" w:rsidRDefault="00D031A4" w:rsidP="00206DA3">
            <w:pPr>
              <w:pStyle w:val="ListParagraph"/>
              <w:rPr>
                <w:sz w:val="20"/>
                <w:szCs w:val="20"/>
              </w:rPr>
            </w:pPr>
            <w:r>
              <w:rPr>
                <w:sz w:val="20"/>
                <w:szCs w:val="20"/>
              </w:rPr>
              <w:t>Do we have partnerships with local</w:t>
            </w:r>
            <w:r w:rsidR="006D25A4">
              <w:rPr>
                <w:sz w:val="20"/>
                <w:szCs w:val="20"/>
              </w:rPr>
              <w:t xml:space="preserve"> Aboriginal and Torres Strait Islander</w:t>
            </w:r>
            <w:r>
              <w:rPr>
                <w:sz w:val="20"/>
                <w:szCs w:val="20"/>
              </w:rPr>
              <w:t xml:space="preserve"> Elders, multicultural services and faith groups? </w:t>
            </w:r>
          </w:p>
          <w:p w14:paraId="659BEDD6" w14:textId="6F57DE9D" w:rsidR="00B50E2A" w:rsidRDefault="00B50E2A" w:rsidP="00206DA3">
            <w:pPr>
              <w:pStyle w:val="ListParagraph"/>
              <w:rPr>
                <w:sz w:val="20"/>
                <w:szCs w:val="20"/>
              </w:rPr>
            </w:pPr>
            <w:r>
              <w:rPr>
                <w:sz w:val="20"/>
                <w:szCs w:val="20"/>
              </w:rPr>
              <w:t xml:space="preserve">Are </w:t>
            </w:r>
            <w:r w:rsidR="001E348B">
              <w:rPr>
                <w:sz w:val="20"/>
                <w:szCs w:val="20"/>
              </w:rPr>
              <w:t>families and advocates included in forums?</w:t>
            </w:r>
          </w:p>
          <w:p w14:paraId="36B1D68D" w14:textId="5AD4A6B2" w:rsidR="00023E15" w:rsidRDefault="00023E15" w:rsidP="00206DA3">
            <w:pPr>
              <w:pStyle w:val="ListParagraph"/>
              <w:rPr>
                <w:sz w:val="20"/>
                <w:szCs w:val="20"/>
              </w:rPr>
            </w:pPr>
            <w:r>
              <w:rPr>
                <w:sz w:val="20"/>
                <w:szCs w:val="20"/>
              </w:rPr>
              <w:t>Do we close the loop on feedback with ‘you said</w:t>
            </w:r>
            <w:r w:rsidR="00AF59A5">
              <w:rPr>
                <w:sz w:val="20"/>
                <w:szCs w:val="20"/>
              </w:rPr>
              <w:t xml:space="preserve">, we did’? </w:t>
            </w:r>
          </w:p>
          <w:p w14:paraId="7B773C32" w14:textId="4D938F62" w:rsidR="00483F65" w:rsidRPr="00665FC6" w:rsidRDefault="00206DA3" w:rsidP="00206DA3">
            <w:pPr>
              <w:rPr>
                <w:sz w:val="20"/>
                <w:szCs w:val="20"/>
              </w:rPr>
            </w:pPr>
            <w:r w:rsidRPr="002C4D8D">
              <w:rPr>
                <w:b/>
                <w:bCs/>
                <w:i/>
                <w:iCs/>
                <w:sz w:val="20"/>
                <w:szCs w:val="20"/>
              </w:rPr>
              <w:t>Examples:</w:t>
            </w:r>
            <w:r w:rsidRPr="002C4D8D">
              <w:rPr>
                <w:i/>
                <w:iCs/>
                <w:sz w:val="20"/>
                <w:szCs w:val="20"/>
              </w:rPr>
              <w:t xml:space="preserve"> </w:t>
            </w:r>
            <w:r w:rsidR="005E69A5">
              <w:rPr>
                <w:i/>
                <w:iCs/>
                <w:sz w:val="20"/>
                <w:szCs w:val="20"/>
              </w:rPr>
              <w:t>MOUs with relevant community organisations</w:t>
            </w:r>
            <w:r w:rsidR="00B37E01">
              <w:rPr>
                <w:i/>
                <w:iCs/>
                <w:sz w:val="20"/>
                <w:szCs w:val="20"/>
              </w:rPr>
              <w:t>, family forums,</w:t>
            </w:r>
            <w:r w:rsidR="00EC531F">
              <w:rPr>
                <w:i/>
                <w:iCs/>
                <w:sz w:val="20"/>
                <w:szCs w:val="20"/>
              </w:rPr>
              <w:t xml:space="preserve"> co-designed cultural events </w:t>
            </w:r>
          </w:p>
        </w:tc>
        <w:tc>
          <w:tcPr>
            <w:tcW w:w="1015" w:type="pct"/>
            <w:hideMark/>
          </w:tcPr>
          <w:p w14:paraId="5D6489A6" w14:textId="5437CB18" w:rsidR="00483F65" w:rsidRPr="00665FC6" w:rsidRDefault="00483F65" w:rsidP="00901516">
            <w:pPr>
              <w:rPr>
                <w:sz w:val="20"/>
                <w:szCs w:val="20"/>
              </w:rPr>
            </w:pPr>
          </w:p>
        </w:tc>
        <w:tc>
          <w:tcPr>
            <w:tcW w:w="1015" w:type="pct"/>
            <w:hideMark/>
          </w:tcPr>
          <w:p w14:paraId="750187FC" w14:textId="77777777" w:rsidR="00483F65" w:rsidRPr="00665FC6" w:rsidRDefault="00483F65" w:rsidP="00901516">
            <w:pPr>
              <w:rPr>
                <w:sz w:val="20"/>
                <w:szCs w:val="20"/>
              </w:rPr>
            </w:pPr>
          </w:p>
        </w:tc>
        <w:tc>
          <w:tcPr>
            <w:tcW w:w="1015" w:type="pct"/>
            <w:hideMark/>
          </w:tcPr>
          <w:p w14:paraId="56CABC51" w14:textId="77777777" w:rsidR="00483F65" w:rsidRPr="00665FC6" w:rsidRDefault="00483F65" w:rsidP="00901516">
            <w:pPr>
              <w:rPr>
                <w:sz w:val="20"/>
                <w:szCs w:val="20"/>
              </w:rPr>
            </w:pPr>
          </w:p>
        </w:tc>
      </w:tr>
    </w:tbl>
    <w:p w14:paraId="02E3626C" w14:textId="3ACFDAEA" w:rsidR="001353B0" w:rsidRPr="001353B0" w:rsidRDefault="001353B0" w:rsidP="00665FC6">
      <w:pPr>
        <w:tabs>
          <w:tab w:val="left" w:pos="1236"/>
        </w:tabs>
      </w:pPr>
    </w:p>
    <w:sectPr w:rsidR="001353B0" w:rsidRPr="001353B0" w:rsidSect="00BC75EF">
      <w:headerReference w:type="first" r:id="rId26"/>
      <w:pgSz w:w="23811" w:h="16838" w:orient="landscape" w:code="8"/>
      <w:pgMar w:top="1418" w:right="851" w:bottom="851" w:left="851" w:header="106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F921" w14:textId="77777777" w:rsidR="00501160" w:rsidRDefault="00501160" w:rsidP="0076491B">
      <w:pPr>
        <w:spacing w:before="0" w:after="0" w:line="240" w:lineRule="auto"/>
      </w:pPr>
      <w:r>
        <w:separator/>
      </w:r>
    </w:p>
  </w:endnote>
  <w:endnote w:type="continuationSeparator" w:id="0">
    <w:p w14:paraId="54D16ACE" w14:textId="77777777" w:rsidR="00501160" w:rsidRDefault="00501160" w:rsidP="0076491B">
      <w:pPr>
        <w:spacing w:before="0" w:after="0" w:line="240" w:lineRule="auto"/>
      </w:pPr>
      <w:r>
        <w:continuationSeparator/>
      </w:r>
    </w:p>
  </w:endnote>
  <w:endnote w:type="continuationNotice" w:id="1">
    <w:p w14:paraId="42A1DE07" w14:textId="77777777" w:rsidR="00501160" w:rsidRDefault="0050116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C5BF" w14:textId="75611E36" w:rsidR="00275280" w:rsidRDefault="00477060">
    <w:pPr>
      <w:pStyle w:val="Footer"/>
    </w:pPr>
    <w:r>
      <w:rPr>
        <w:noProof/>
      </w:rPr>
      <mc:AlternateContent>
        <mc:Choice Requires="wps">
          <w:drawing>
            <wp:anchor distT="0" distB="0" distL="0" distR="0" simplePos="0" relativeHeight="251664384" behindDoc="0" locked="0" layoutInCell="1" allowOverlap="1" wp14:anchorId="29D0F3C8" wp14:editId="55F508A0">
              <wp:simplePos x="635" y="635"/>
              <wp:positionH relativeFrom="page">
                <wp:align>center</wp:align>
              </wp:positionH>
              <wp:positionV relativeFrom="page">
                <wp:align>bottom</wp:align>
              </wp:positionV>
              <wp:extent cx="551815" cy="480695"/>
              <wp:effectExtent l="0" t="0" r="635" b="0"/>
              <wp:wrapNone/>
              <wp:docPr id="2610232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DF8AF6C" w14:textId="386E99E7" w:rsidR="00477060" w:rsidRPr="00477060" w:rsidRDefault="00477060" w:rsidP="00477060">
                          <w:pPr>
                            <w:spacing w:after="0"/>
                            <w:rPr>
                              <w:rFonts w:ascii="Calibri" w:eastAsia="Calibri" w:hAnsi="Calibri" w:cs="Calibri"/>
                              <w:noProof/>
                              <w:color w:val="FF0000"/>
                            </w:rPr>
                          </w:pPr>
                          <w:r w:rsidRPr="0047706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9D0F3C8">
              <v:stroke joinstyle="miter"/>
              <v:path gradientshapeok="t" o:connecttype="rect"/>
            </v:shapetype>
            <v:shape id="Text Box 6" style="position:absolute;margin-left:0;margin-top:0;width:43.45pt;height:37.85pt;z-index:251664384;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v:textbox style="mso-fit-shape-to-text:t" inset="0,0,0,15pt">
                <w:txbxContent>
                  <w:p w:rsidRPr="00477060" w:rsidR="00477060" w:rsidP="00477060" w:rsidRDefault="00477060" w14:paraId="2DF8AF6C" w14:textId="386E99E7">
                    <w:pPr>
                      <w:spacing w:after="0"/>
                      <w:rPr>
                        <w:rFonts w:ascii="Calibri" w:hAnsi="Calibri" w:eastAsia="Calibri" w:cs="Calibri"/>
                        <w:noProof/>
                        <w:color w:val="FF0000"/>
                      </w:rPr>
                    </w:pPr>
                    <w:r w:rsidRPr="00477060">
                      <w:rPr>
                        <w:rFonts w:ascii="Calibri" w:hAnsi="Calibri"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820E" w14:textId="4AD0E8AB" w:rsidR="00EC62DA" w:rsidRDefault="00477060" w:rsidP="00EC62DA">
    <w:pPr>
      <w:pStyle w:val="Footer"/>
      <w:framePr w:wrap="none" w:vAnchor="text" w:hAnchor="margin" w:xAlign="right" w:y="1"/>
      <w:rPr>
        <w:rStyle w:val="PageNumber"/>
      </w:rPr>
    </w:pPr>
    <w:r>
      <w:rPr>
        <w:noProof/>
      </w:rPr>
      <mc:AlternateContent>
        <mc:Choice Requires="wps">
          <w:drawing>
            <wp:anchor distT="0" distB="0" distL="0" distR="0" simplePos="0" relativeHeight="251665408" behindDoc="0" locked="0" layoutInCell="1" allowOverlap="1" wp14:anchorId="4B7AD66A" wp14:editId="308C1CC8">
              <wp:simplePos x="6935470" y="10067925"/>
              <wp:positionH relativeFrom="page">
                <wp:align>center</wp:align>
              </wp:positionH>
              <wp:positionV relativeFrom="page">
                <wp:align>bottom</wp:align>
              </wp:positionV>
              <wp:extent cx="551815" cy="480695"/>
              <wp:effectExtent l="0" t="0" r="635" b="0"/>
              <wp:wrapNone/>
              <wp:docPr id="107861671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13EBCC3" w14:textId="7EDC4E44" w:rsidR="00477060" w:rsidRPr="00477060" w:rsidRDefault="00477060" w:rsidP="00477060">
                          <w:pPr>
                            <w:spacing w:after="0"/>
                            <w:rPr>
                              <w:rFonts w:ascii="Calibri" w:eastAsia="Calibri" w:hAnsi="Calibri" w:cs="Calibri"/>
                              <w:noProof/>
                              <w:color w:val="FF0000"/>
                            </w:rPr>
                          </w:pPr>
                          <w:r w:rsidRPr="0047706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B7AD66A">
              <v:stroke joinstyle="miter"/>
              <v:path gradientshapeok="t" o:connecttype="rect"/>
            </v:shapetype>
            <v:shape id="Text Box 7" style="position:absolute;margin-left:0;margin-top:0;width:43.45pt;height:37.8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v:textbox style="mso-fit-shape-to-text:t" inset="0,0,0,15pt">
                <w:txbxContent>
                  <w:p w:rsidRPr="00477060" w:rsidR="00477060" w:rsidP="00477060" w:rsidRDefault="00477060" w14:paraId="213EBCC3" w14:textId="7EDC4E44">
                    <w:pPr>
                      <w:spacing w:after="0"/>
                      <w:rPr>
                        <w:rFonts w:ascii="Calibri" w:hAnsi="Calibri" w:eastAsia="Calibri" w:cs="Calibri"/>
                        <w:noProof/>
                        <w:color w:val="FF0000"/>
                      </w:rPr>
                    </w:pPr>
                    <w:r w:rsidRPr="00477060">
                      <w:rPr>
                        <w:rFonts w:ascii="Calibri" w:hAnsi="Calibri" w:eastAsia="Calibri" w:cs="Calibri"/>
                        <w:noProof/>
                        <w:color w:val="FF0000"/>
                      </w:rPr>
                      <w:t>OFFICIAL</w:t>
                    </w:r>
                  </w:p>
                </w:txbxContent>
              </v:textbox>
              <w10:wrap anchorx="page" anchory="page"/>
            </v:shape>
          </w:pict>
        </mc:Fallback>
      </mc:AlternateContent>
    </w:r>
    <w:sdt>
      <w:sdtPr>
        <w:rPr>
          <w:rStyle w:val="PageNumber"/>
        </w:rPr>
        <w:id w:val="-731772383"/>
        <w:docPartObj>
          <w:docPartGallery w:val="Page Numbers (Bottom of Page)"/>
          <w:docPartUnique/>
        </w:docPartObj>
      </w:sdtPr>
      <w:sdtEndPr>
        <w:rPr>
          <w:rStyle w:val="PageNumber"/>
        </w:rPr>
      </w:sdtEndPr>
      <w:sdtContent>
        <w:r w:rsidR="00EC62DA">
          <w:rPr>
            <w:rStyle w:val="PageNumber"/>
          </w:rPr>
          <w:fldChar w:fldCharType="begin"/>
        </w:r>
        <w:r w:rsidR="00EC62DA">
          <w:rPr>
            <w:rStyle w:val="PageNumber"/>
          </w:rPr>
          <w:instrText xml:space="preserve"> PAGE </w:instrText>
        </w:r>
        <w:r w:rsidR="00EC62DA">
          <w:rPr>
            <w:rStyle w:val="PageNumber"/>
          </w:rPr>
          <w:fldChar w:fldCharType="separate"/>
        </w:r>
        <w:r w:rsidR="00EC62DA">
          <w:rPr>
            <w:rStyle w:val="PageNumber"/>
          </w:rPr>
          <w:t>1</w:t>
        </w:r>
        <w:r w:rsidR="00EC62DA">
          <w:rPr>
            <w:rStyle w:val="PageNumber"/>
          </w:rPr>
          <w:fldChar w:fldCharType="end"/>
        </w:r>
      </w:sdtContent>
    </w:sdt>
  </w:p>
  <w:p w14:paraId="7BF152FA" w14:textId="50C1429E" w:rsidR="2566EFA4" w:rsidRPr="00EC62DA" w:rsidRDefault="00275280" w:rsidP="00EC62DA">
    <w:pPr>
      <w:pStyle w:val="Header"/>
      <w:tabs>
        <w:tab w:val="clear" w:pos="4513"/>
        <w:tab w:val="clear" w:pos="9026"/>
        <w:tab w:val="center" w:pos="3508"/>
        <w:tab w:val="right" w:pos="6908"/>
      </w:tabs>
      <w:ind w:left="108" w:right="-115"/>
    </w:pPr>
    <w:r>
      <w:t>Cultural safety organisational review tool</w:t>
    </w:r>
    <w:r w:rsidR="00EC62D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40F9" w14:textId="007C113E" w:rsidR="00EC62DA" w:rsidRDefault="00477060" w:rsidP="00EC62DA">
    <w:pPr>
      <w:pStyle w:val="Footer"/>
      <w:framePr w:wrap="none"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32AE17AB" wp14:editId="005FDAAF">
              <wp:simplePos x="6934200" y="10066020"/>
              <wp:positionH relativeFrom="page">
                <wp:align>center</wp:align>
              </wp:positionH>
              <wp:positionV relativeFrom="page">
                <wp:align>bottom</wp:align>
              </wp:positionV>
              <wp:extent cx="551815" cy="480695"/>
              <wp:effectExtent l="0" t="0" r="635" b="0"/>
              <wp:wrapNone/>
              <wp:docPr id="7491203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4FC7A7A" w14:textId="64F34AA6" w:rsidR="00477060" w:rsidRPr="00477060" w:rsidRDefault="00477060" w:rsidP="00477060">
                          <w:pPr>
                            <w:spacing w:after="0"/>
                            <w:rPr>
                              <w:rFonts w:ascii="Calibri" w:eastAsia="Calibri" w:hAnsi="Calibri" w:cs="Calibri"/>
                              <w:noProof/>
                              <w:color w:val="FF0000"/>
                            </w:rPr>
                          </w:pPr>
                          <w:r w:rsidRPr="0047706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2AE17AB">
              <v:stroke joinstyle="miter"/>
              <v:path gradientshapeok="t" o:connecttype="rect"/>
            </v:shapetype>
            <v:shape id="Text Box 5" style="position:absolute;margin-left:0;margin-top:0;width:43.45pt;height:37.8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v:textbox style="mso-fit-shape-to-text:t" inset="0,0,0,15pt">
                <w:txbxContent>
                  <w:p w:rsidRPr="00477060" w:rsidR="00477060" w:rsidP="00477060" w:rsidRDefault="00477060" w14:paraId="04FC7A7A" w14:textId="64F34AA6">
                    <w:pPr>
                      <w:spacing w:after="0"/>
                      <w:rPr>
                        <w:rFonts w:ascii="Calibri" w:hAnsi="Calibri" w:eastAsia="Calibri" w:cs="Calibri"/>
                        <w:noProof/>
                        <w:color w:val="FF0000"/>
                      </w:rPr>
                    </w:pPr>
                    <w:r w:rsidRPr="00477060">
                      <w:rPr>
                        <w:rFonts w:ascii="Calibri" w:hAnsi="Calibri" w:eastAsia="Calibri" w:cs="Calibri"/>
                        <w:noProof/>
                        <w:color w:val="FF0000"/>
                      </w:rPr>
                      <w:t>OFFICIAL</w:t>
                    </w:r>
                  </w:p>
                </w:txbxContent>
              </v:textbox>
              <w10:wrap anchorx="page" anchory="page"/>
            </v:shape>
          </w:pict>
        </mc:Fallback>
      </mc:AlternateContent>
    </w:r>
    <w:sdt>
      <w:sdtPr>
        <w:rPr>
          <w:rStyle w:val="PageNumber"/>
        </w:rPr>
        <w:id w:val="573860837"/>
        <w:docPartObj>
          <w:docPartGallery w:val="Page Numbers (Bottom of Page)"/>
          <w:docPartUnique/>
        </w:docPartObj>
      </w:sdtPr>
      <w:sdtEndPr>
        <w:rPr>
          <w:rStyle w:val="PageNumber"/>
        </w:rPr>
      </w:sdtEndPr>
      <w:sdtContent>
        <w:r w:rsidR="00EC62DA">
          <w:rPr>
            <w:rStyle w:val="PageNumber"/>
          </w:rPr>
          <w:fldChar w:fldCharType="begin"/>
        </w:r>
        <w:r w:rsidR="00EC62DA">
          <w:rPr>
            <w:rStyle w:val="PageNumber"/>
          </w:rPr>
          <w:instrText xml:space="preserve"> PAGE </w:instrText>
        </w:r>
        <w:r w:rsidR="00EC62DA">
          <w:rPr>
            <w:rStyle w:val="PageNumber"/>
          </w:rPr>
          <w:fldChar w:fldCharType="separate"/>
        </w:r>
        <w:r w:rsidR="00EC62DA">
          <w:rPr>
            <w:rStyle w:val="PageNumber"/>
          </w:rPr>
          <w:t>1</w:t>
        </w:r>
        <w:r w:rsidR="00EC62DA">
          <w:rPr>
            <w:rStyle w:val="PageNumber"/>
          </w:rPr>
          <w:fldChar w:fldCharType="end"/>
        </w:r>
      </w:sdtContent>
    </w:sdt>
  </w:p>
  <w:p w14:paraId="47EF9F2F" w14:textId="175668F3" w:rsidR="2566EFA4" w:rsidRPr="00EC62DA" w:rsidRDefault="00275280" w:rsidP="00EC62DA">
    <w:pPr>
      <w:pStyle w:val="Header"/>
      <w:tabs>
        <w:tab w:val="clear" w:pos="4513"/>
        <w:tab w:val="clear" w:pos="9026"/>
        <w:tab w:val="center" w:pos="3508"/>
        <w:tab w:val="right" w:pos="6908"/>
      </w:tabs>
      <w:ind w:left="108" w:right="-115"/>
    </w:pPr>
    <w:r>
      <w:t>Cultural safety organisational review tool</w:t>
    </w:r>
    <w:r w:rsidR="00EC62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B78B" w14:textId="77777777" w:rsidR="00501160" w:rsidRDefault="00501160" w:rsidP="0076491B">
      <w:pPr>
        <w:spacing w:before="0" w:after="0" w:line="240" w:lineRule="auto"/>
      </w:pPr>
      <w:r>
        <w:separator/>
      </w:r>
    </w:p>
  </w:footnote>
  <w:footnote w:type="continuationSeparator" w:id="0">
    <w:p w14:paraId="778B219D" w14:textId="77777777" w:rsidR="00501160" w:rsidRDefault="00501160" w:rsidP="0076491B">
      <w:pPr>
        <w:spacing w:before="0" w:after="0" w:line="240" w:lineRule="auto"/>
      </w:pPr>
      <w:r>
        <w:continuationSeparator/>
      </w:r>
    </w:p>
  </w:footnote>
  <w:footnote w:type="continuationNotice" w:id="1">
    <w:p w14:paraId="15CE0C2F" w14:textId="77777777" w:rsidR="00501160" w:rsidRDefault="0050116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D14B" w14:textId="44DBC546" w:rsidR="00275280" w:rsidRDefault="00477060">
    <w:pPr>
      <w:pStyle w:val="Header"/>
    </w:pPr>
    <w:r>
      <w:rPr>
        <w:noProof/>
      </w:rPr>
      <mc:AlternateContent>
        <mc:Choice Requires="wps">
          <w:drawing>
            <wp:anchor distT="0" distB="0" distL="0" distR="0" simplePos="0" relativeHeight="251660288" behindDoc="0" locked="0" layoutInCell="1" allowOverlap="1" wp14:anchorId="3E2BD816" wp14:editId="36104504">
              <wp:simplePos x="635" y="635"/>
              <wp:positionH relativeFrom="page">
                <wp:align>center</wp:align>
              </wp:positionH>
              <wp:positionV relativeFrom="page">
                <wp:align>top</wp:align>
              </wp:positionV>
              <wp:extent cx="551815" cy="480695"/>
              <wp:effectExtent l="0" t="0" r="635" b="14605"/>
              <wp:wrapNone/>
              <wp:docPr id="7356195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EFA0127" w14:textId="180AFA54" w:rsidR="00477060" w:rsidRPr="00477060" w:rsidRDefault="00477060" w:rsidP="00477060">
                          <w:pPr>
                            <w:spacing w:after="0"/>
                            <w:rPr>
                              <w:rFonts w:ascii="Calibri" w:eastAsia="Calibri" w:hAnsi="Calibri" w:cs="Calibri"/>
                              <w:noProof/>
                              <w:color w:val="FF0000"/>
                            </w:rPr>
                          </w:pPr>
                          <w:r w:rsidRPr="0047706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E2BD816">
              <v:stroke joinstyle="miter"/>
              <v:path gradientshapeok="t" o:connecttype="rect"/>
            </v:shapetype>
            <v:shape id="Text Box 2" style="position:absolute;margin-left:0;margin-top:0;width:43.45pt;height:37.8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v:textbox style="mso-fit-shape-to-text:t" inset="0,15pt,0,0">
                <w:txbxContent>
                  <w:p w:rsidRPr="00477060" w:rsidR="00477060" w:rsidP="00477060" w:rsidRDefault="00477060" w14:paraId="3EFA0127" w14:textId="180AFA54">
                    <w:pPr>
                      <w:spacing w:after="0"/>
                      <w:rPr>
                        <w:rFonts w:ascii="Calibri" w:hAnsi="Calibri" w:eastAsia="Calibri" w:cs="Calibri"/>
                        <w:noProof/>
                        <w:color w:val="FF0000"/>
                      </w:rPr>
                    </w:pPr>
                    <w:r w:rsidRPr="00477060">
                      <w:rPr>
                        <w:rFonts w:ascii="Calibri" w:hAnsi="Calibri"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9720" w14:textId="1E5D3D46" w:rsidR="0076491B" w:rsidRDefault="00746B36">
    <w:pPr>
      <w:pStyle w:val="Header"/>
    </w:pPr>
    <w:r>
      <w:rPr>
        <w:noProof/>
        <w:lang w:val="en-US"/>
      </w:rPr>
      <w:drawing>
        <wp:anchor distT="0" distB="0" distL="114300" distR="114300" simplePos="0" relativeHeight="251658240" behindDoc="0" locked="0" layoutInCell="1" allowOverlap="1" wp14:anchorId="26ED6B78" wp14:editId="7A047B78">
          <wp:simplePos x="0" y="0"/>
          <wp:positionH relativeFrom="page">
            <wp:posOffset>0</wp:posOffset>
          </wp:positionH>
          <wp:positionV relativeFrom="page">
            <wp:posOffset>0</wp:posOffset>
          </wp:positionV>
          <wp:extent cx="7558363" cy="2112411"/>
          <wp:effectExtent l="0" t="0" r="0" b="0"/>
          <wp:wrapNone/>
          <wp:docPr id="957540197" name="Picture 957540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60000" cy="21128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AC8" w14:textId="287C7FC4" w:rsidR="00665FC6" w:rsidRDefault="00665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96B88"/>
    <w:multiLevelType w:val="hybridMultilevel"/>
    <w:tmpl w:val="1D304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FE6DFA"/>
    <w:multiLevelType w:val="hybridMultilevel"/>
    <w:tmpl w:val="AFDE55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D4F787C"/>
    <w:multiLevelType w:val="hybridMultilevel"/>
    <w:tmpl w:val="4050A7AA"/>
    <w:lvl w:ilvl="0" w:tplc="9900FD12">
      <w:start w:val="1"/>
      <w:numFmt w:val="bullet"/>
      <w:pStyle w:val="Bullet"/>
      <w:lvlText w:val=""/>
      <w:lvlJc w:val="left"/>
      <w:pPr>
        <w:ind w:left="720" w:hanging="360"/>
      </w:pPr>
      <w:rPr>
        <w:rFonts w:ascii="Wingdings" w:hAnsi="Wingdings" w:hint="default"/>
        <w:color w:val="2AB1BB" w:themeColor="accent1"/>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2A495E"/>
    <w:multiLevelType w:val="multilevel"/>
    <w:tmpl w:val="B892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137452"/>
    <w:multiLevelType w:val="hybridMultilevel"/>
    <w:tmpl w:val="51E64F6A"/>
    <w:lvl w:ilvl="0" w:tplc="4F6A0884">
      <w:start w:val="1"/>
      <w:numFmt w:val="bullet"/>
      <w:pStyle w:val="ListParagraph"/>
      <w:lvlText w:val=""/>
      <w:lvlJc w:val="left"/>
      <w:pPr>
        <w:ind w:left="360" w:hanging="360"/>
      </w:pPr>
      <w:rPr>
        <w:rFonts w:ascii="Wingdings" w:hAnsi="Wingdings" w:hint="default"/>
        <w:color w:val="2AB1BB" w:themeColor="accent1"/>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55B74C4"/>
    <w:multiLevelType w:val="hybridMultilevel"/>
    <w:tmpl w:val="CA524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56AD1"/>
    <w:multiLevelType w:val="hybridMultilevel"/>
    <w:tmpl w:val="2530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59C05759"/>
    <w:multiLevelType w:val="multilevel"/>
    <w:tmpl w:val="5F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AE1F1B"/>
    <w:multiLevelType w:val="hybridMultilevel"/>
    <w:tmpl w:val="FD928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A273257"/>
    <w:multiLevelType w:val="multilevel"/>
    <w:tmpl w:val="C36A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753471"/>
    <w:multiLevelType w:val="hybridMultilevel"/>
    <w:tmpl w:val="11BCB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F199B"/>
    <w:multiLevelType w:val="hybridMultilevel"/>
    <w:tmpl w:val="123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C74431"/>
    <w:multiLevelType w:val="multilevel"/>
    <w:tmpl w:val="8248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84749E"/>
    <w:multiLevelType w:val="multilevel"/>
    <w:tmpl w:val="3E78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372E32"/>
    <w:multiLevelType w:val="hybridMultilevel"/>
    <w:tmpl w:val="F20C692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num w:numId="1" w16cid:durableId="1053504044">
    <w:abstractNumId w:val="30"/>
  </w:num>
  <w:num w:numId="2" w16cid:durableId="887882813">
    <w:abstractNumId w:val="6"/>
  </w:num>
  <w:num w:numId="3" w16cid:durableId="2099326521">
    <w:abstractNumId w:val="25"/>
  </w:num>
  <w:num w:numId="4" w16cid:durableId="1547790336">
    <w:abstractNumId w:val="27"/>
  </w:num>
  <w:num w:numId="5" w16cid:durableId="1860000748">
    <w:abstractNumId w:val="13"/>
  </w:num>
  <w:num w:numId="6" w16cid:durableId="387412051">
    <w:abstractNumId w:val="3"/>
  </w:num>
  <w:num w:numId="7" w16cid:durableId="1549995288">
    <w:abstractNumId w:val="20"/>
  </w:num>
  <w:num w:numId="8" w16cid:durableId="990331736">
    <w:abstractNumId w:val="18"/>
  </w:num>
  <w:num w:numId="9" w16cid:durableId="1218394114">
    <w:abstractNumId w:val="24"/>
  </w:num>
  <w:num w:numId="10" w16cid:durableId="962155908">
    <w:abstractNumId w:val="0"/>
  </w:num>
  <w:num w:numId="11" w16cid:durableId="440883028">
    <w:abstractNumId w:val="33"/>
  </w:num>
  <w:num w:numId="12" w16cid:durableId="1027488482">
    <w:abstractNumId w:val="8"/>
  </w:num>
  <w:num w:numId="13" w16cid:durableId="112018218">
    <w:abstractNumId w:val="17"/>
  </w:num>
  <w:num w:numId="14" w16cid:durableId="1703019049">
    <w:abstractNumId w:val="1"/>
  </w:num>
  <w:num w:numId="15" w16cid:durableId="1166283392">
    <w:abstractNumId w:val="11"/>
  </w:num>
  <w:num w:numId="16" w16cid:durableId="2041929339">
    <w:abstractNumId w:val="14"/>
  </w:num>
  <w:num w:numId="17" w16cid:durableId="480653444">
    <w:abstractNumId w:val="21"/>
  </w:num>
  <w:num w:numId="18" w16cid:durableId="1440756137">
    <w:abstractNumId w:val="16"/>
  </w:num>
  <w:num w:numId="19" w16cid:durableId="305211232">
    <w:abstractNumId w:val="7"/>
  </w:num>
  <w:num w:numId="20" w16cid:durableId="889804405">
    <w:abstractNumId w:val="9"/>
  </w:num>
  <w:num w:numId="21" w16cid:durableId="324671036">
    <w:abstractNumId w:val="5"/>
  </w:num>
  <w:num w:numId="22" w16cid:durableId="169026705">
    <w:abstractNumId w:val="29"/>
  </w:num>
  <w:num w:numId="23" w16cid:durableId="1308780663">
    <w:abstractNumId w:val="23"/>
  </w:num>
  <w:num w:numId="24" w16cid:durableId="1264996269">
    <w:abstractNumId w:val="28"/>
  </w:num>
  <w:num w:numId="25" w16cid:durableId="1159349974">
    <w:abstractNumId w:val="15"/>
  </w:num>
  <w:num w:numId="26" w16cid:durableId="669527935">
    <w:abstractNumId w:val="19"/>
  </w:num>
  <w:num w:numId="27" w16cid:durableId="1240142320">
    <w:abstractNumId w:val="5"/>
  </w:num>
  <w:num w:numId="28" w16cid:durableId="328599015">
    <w:abstractNumId w:val="5"/>
  </w:num>
  <w:num w:numId="29" w16cid:durableId="1552187220">
    <w:abstractNumId w:val="5"/>
  </w:num>
  <w:num w:numId="30" w16cid:durableId="1858150191">
    <w:abstractNumId w:val="5"/>
  </w:num>
  <w:num w:numId="31" w16cid:durableId="572736522">
    <w:abstractNumId w:val="34"/>
  </w:num>
  <w:num w:numId="32" w16cid:durableId="1581712980">
    <w:abstractNumId w:val="2"/>
  </w:num>
  <w:num w:numId="33" w16cid:durableId="1050611380">
    <w:abstractNumId w:val="26"/>
  </w:num>
  <w:num w:numId="34" w16cid:durableId="953630484">
    <w:abstractNumId w:val="4"/>
  </w:num>
  <w:num w:numId="35" w16cid:durableId="1101148989">
    <w:abstractNumId w:val="12"/>
  </w:num>
  <w:num w:numId="36" w16cid:durableId="1700810191">
    <w:abstractNumId w:val="22"/>
  </w:num>
  <w:num w:numId="37" w16cid:durableId="236792667">
    <w:abstractNumId w:val="10"/>
  </w:num>
  <w:num w:numId="38" w16cid:durableId="835806134">
    <w:abstractNumId w:val="31"/>
  </w:num>
  <w:num w:numId="39" w16cid:durableId="4707577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8A"/>
    <w:rsid w:val="00003098"/>
    <w:rsid w:val="00023E15"/>
    <w:rsid w:val="0002516D"/>
    <w:rsid w:val="00025467"/>
    <w:rsid w:val="000325CF"/>
    <w:rsid w:val="00046466"/>
    <w:rsid w:val="00047023"/>
    <w:rsid w:val="00054091"/>
    <w:rsid w:val="00062BD1"/>
    <w:rsid w:val="00065034"/>
    <w:rsid w:val="000729D6"/>
    <w:rsid w:val="00084AE6"/>
    <w:rsid w:val="00097B16"/>
    <w:rsid w:val="00097CBC"/>
    <w:rsid w:val="000A0447"/>
    <w:rsid w:val="000A7178"/>
    <w:rsid w:val="000B2F35"/>
    <w:rsid w:val="000B3305"/>
    <w:rsid w:val="000B76B6"/>
    <w:rsid w:val="000C003B"/>
    <w:rsid w:val="000C09F1"/>
    <w:rsid w:val="000C2C87"/>
    <w:rsid w:val="000C6856"/>
    <w:rsid w:val="000D5873"/>
    <w:rsid w:val="000D756A"/>
    <w:rsid w:val="000E334D"/>
    <w:rsid w:val="000E5E16"/>
    <w:rsid w:val="000F20C0"/>
    <w:rsid w:val="000F59F6"/>
    <w:rsid w:val="001128E3"/>
    <w:rsid w:val="001254CF"/>
    <w:rsid w:val="0012755F"/>
    <w:rsid w:val="0013355D"/>
    <w:rsid w:val="001353B0"/>
    <w:rsid w:val="00136840"/>
    <w:rsid w:val="00145980"/>
    <w:rsid w:val="00151BDD"/>
    <w:rsid w:val="00172FCE"/>
    <w:rsid w:val="00173888"/>
    <w:rsid w:val="00175506"/>
    <w:rsid w:val="00177FD5"/>
    <w:rsid w:val="00180C92"/>
    <w:rsid w:val="0018537B"/>
    <w:rsid w:val="00187ABC"/>
    <w:rsid w:val="00193FFF"/>
    <w:rsid w:val="001A47A3"/>
    <w:rsid w:val="001B1C5F"/>
    <w:rsid w:val="001B6A68"/>
    <w:rsid w:val="001C1F64"/>
    <w:rsid w:val="001C3796"/>
    <w:rsid w:val="001C3A4B"/>
    <w:rsid w:val="001C7214"/>
    <w:rsid w:val="001E348B"/>
    <w:rsid w:val="001E75C2"/>
    <w:rsid w:val="001F33D5"/>
    <w:rsid w:val="001F36A6"/>
    <w:rsid w:val="00206DA3"/>
    <w:rsid w:val="00210366"/>
    <w:rsid w:val="002220EB"/>
    <w:rsid w:val="00232EFC"/>
    <w:rsid w:val="0023396A"/>
    <w:rsid w:val="00234333"/>
    <w:rsid w:val="002344F2"/>
    <w:rsid w:val="00241E9F"/>
    <w:rsid w:val="00243FFD"/>
    <w:rsid w:val="002516CB"/>
    <w:rsid w:val="002542FE"/>
    <w:rsid w:val="0026264E"/>
    <w:rsid w:val="00262DCC"/>
    <w:rsid w:val="002700DC"/>
    <w:rsid w:val="00275280"/>
    <w:rsid w:val="002779A8"/>
    <w:rsid w:val="00277A48"/>
    <w:rsid w:val="002858C6"/>
    <w:rsid w:val="00291B93"/>
    <w:rsid w:val="002947B8"/>
    <w:rsid w:val="002A13FC"/>
    <w:rsid w:val="002A7901"/>
    <w:rsid w:val="002C2D46"/>
    <w:rsid w:val="002C4D8D"/>
    <w:rsid w:val="002C57FC"/>
    <w:rsid w:val="002C6A49"/>
    <w:rsid w:val="002F25F6"/>
    <w:rsid w:val="002F6BB0"/>
    <w:rsid w:val="002F7659"/>
    <w:rsid w:val="00301E5B"/>
    <w:rsid w:val="003247CA"/>
    <w:rsid w:val="00336AD0"/>
    <w:rsid w:val="00343350"/>
    <w:rsid w:val="00353392"/>
    <w:rsid w:val="00357410"/>
    <w:rsid w:val="00360B34"/>
    <w:rsid w:val="003619F4"/>
    <w:rsid w:val="003645B7"/>
    <w:rsid w:val="0037137D"/>
    <w:rsid w:val="00376062"/>
    <w:rsid w:val="0038314C"/>
    <w:rsid w:val="00396377"/>
    <w:rsid w:val="003A30E9"/>
    <w:rsid w:val="003E2754"/>
    <w:rsid w:val="003E5FDB"/>
    <w:rsid w:val="003F4373"/>
    <w:rsid w:val="003F695B"/>
    <w:rsid w:val="003F7326"/>
    <w:rsid w:val="00404644"/>
    <w:rsid w:val="0042126C"/>
    <w:rsid w:val="00422631"/>
    <w:rsid w:val="004245A8"/>
    <w:rsid w:val="00433377"/>
    <w:rsid w:val="00453963"/>
    <w:rsid w:val="0045406D"/>
    <w:rsid w:val="004557A0"/>
    <w:rsid w:val="00457B16"/>
    <w:rsid w:val="00477060"/>
    <w:rsid w:val="00483F65"/>
    <w:rsid w:val="004928BF"/>
    <w:rsid w:val="004A55F1"/>
    <w:rsid w:val="004B306B"/>
    <w:rsid w:val="004C11EB"/>
    <w:rsid w:val="004C2932"/>
    <w:rsid w:val="004C312D"/>
    <w:rsid w:val="004C345E"/>
    <w:rsid w:val="004C69CF"/>
    <w:rsid w:val="004F293A"/>
    <w:rsid w:val="004F4593"/>
    <w:rsid w:val="004F68E3"/>
    <w:rsid w:val="004F7E50"/>
    <w:rsid w:val="00501160"/>
    <w:rsid w:val="005015EC"/>
    <w:rsid w:val="005035B6"/>
    <w:rsid w:val="00514F94"/>
    <w:rsid w:val="00523523"/>
    <w:rsid w:val="00532EAC"/>
    <w:rsid w:val="00532FDA"/>
    <w:rsid w:val="005359FF"/>
    <w:rsid w:val="00541605"/>
    <w:rsid w:val="00542DFD"/>
    <w:rsid w:val="00547045"/>
    <w:rsid w:val="005475A0"/>
    <w:rsid w:val="005477FC"/>
    <w:rsid w:val="00571DC9"/>
    <w:rsid w:val="00576231"/>
    <w:rsid w:val="00576324"/>
    <w:rsid w:val="005A4377"/>
    <w:rsid w:val="005A51E8"/>
    <w:rsid w:val="005B19F4"/>
    <w:rsid w:val="005B351B"/>
    <w:rsid w:val="005B79A6"/>
    <w:rsid w:val="005D218F"/>
    <w:rsid w:val="005E1938"/>
    <w:rsid w:val="005E69A5"/>
    <w:rsid w:val="005F41E1"/>
    <w:rsid w:val="005F7F1C"/>
    <w:rsid w:val="00610FFC"/>
    <w:rsid w:val="00612938"/>
    <w:rsid w:val="00625D2A"/>
    <w:rsid w:val="006273DF"/>
    <w:rsid w:val="00633DB4"/>
    <w:rsid w:val="006376C5"/>
    <w:rsid w:val="00641DA4"/>
    <w:rsid w:val="006431BE"/>
    <w:rsid w:val="00645CA2"/>
    <w:rsid w:val="00665FC6"/>
    <w:rsid w:val="00677BC9"/>
    <w:rsid w:val="00694D87"/>
    <w:rsid w:val="006A0CAE"/>
    <w:rsid w:val="006A276D"/>
    <w:rsid w:val="006A338D"/>
    <w:rsid w:val="006B1332"/>
    <w:rsid w:val="006C07D3"/>
    <w:rsid w:val="006D1410"/>
    <w:rsid w:val="006D25A4"/>
    <w:rsid w:val="006D392F"/>
    <w:rsid w:val="006E0219"/>
    <w:rsid w:val="006E3D29"/>
    <w:rsid w:val="006E4B26"/>
    <w:rsid w:val="006F12CD"/>
    <w:rsid w:val="006F256A"/>
    <w:rsid w:val="006F6B35"/>
    <w:rsid w:val="00712241"/>
    <w:rsid w:val="007140EA"/>
    <w:rsid w:val="007170F7"/>
    <w:rsid w:val="00722AC8"/>
    <w:rsid w:val="00726939"/>
    <w:rsid w:val="00735062"/>
    <w:rsid w:val="00741E1C"/>
    <w:rsid w:val="00745010"/>
    <w:rsid w:val="007468A9"/>
    <w:rsid w:val="00746AE3"/>
    <w:rsid w:val="00746B36"/>
    <w:rsid w:val="00760D81"/>
    <w:rsid w:val="00761419"/>
    <w:rsid w:val="0076491B"/>
    <w:rsid w:val="007819F7"/>
    <w:rsid w:val="00785E5C"/>
    <w:rsid w:val="007A16E1"/>
    <w:rsid w:val="007A66E9"/>
    <w:rsid w:val="007A751F"/>
    <w:rsid w:val="007B030A"/>
    <w:rsid w:val="007B2F3A"/>
    <w:rsid w:val="007C0F28"/>
    <w:rsid w:val="007C4BB8"/>
    <w:rsid w:val="007C6025"/>
    <w:rsid w:val="007C63CE"/>
    <w:rsid w:val="007E068D"/>
    <w:rsid w:val="007E085A"/>
    <w:rsid w:val="007E22C9"/>
    <w:rsid w:val="007E444A"/>
    <w:rsid w:val="007E493E"/>
    <w:rsid w:val="007F1D0F"/>
    <w:rsid w:val="007F253E"/>
    <w:rsid w:val="00812C56"/>
    <w:rsid w:val="00824CA9"/>
    <w:rsid w:val="00833A28"/>
    <w:rsid w:val="00834F8E"/>
    <w:rsid w:val="008455B9"/>
    <w:rsid w:val="00855E0A"/>
    <w:rsid w:val="00864E08"/>
    <w:rsid w:val="008734F4"/>
    <w:rsid w:val="00883788"/>
    <w:rsid w:val="00883E04"/>
    <w:rsid w:val="008A0E56"/>
    <w:rsid w:val="008A2BC5"/>
    <w:rsid w:val="008A3EB2"/>
    <w:rsid w:val="008A6F44"/>
    <w:rsid w:val="008B1892"/>
    <w:rsid w:val="008B402D"/>
    <w:rsid w:val="008C5F50"/>
    <w:rsid w:val="008D21CF"/>
    <w:rsid w:val="008D2C4A"/>
    <w:rsid w:val="008D37AF"/>
    <w:rsid w:val="008D56B8"/>
    <w:rsid w:val="008E541C"/>
    <w:rsid w:val="008F13EF"/>
    <w:rsid w:val="008F467F"/>
    <w:rsid w:val="00901516"/>
    <w:rsid w:val="009201E5"/>
    <w:rsid w:val="00921B1B"/>
    <w:rsid w:val="00925084"/>
    <w:rsid w:val="009325D1"/>
    <w:rsid w:val="00933F51"/>
    <w:rsid w:val="009346B6"/>
    <w:rsid w:val="00941363"/>
    <w:rsid w:val="00941F59"/>
    <w:rsid w:val="0095309A"/>
    <w:rsid w:val="00965C6D"/>
    <w:rsid w:val="0098259A"/>
    <w:rsid w:val="0098718F"/>
    <w:rsid w:val="009908CC"/>
    <w:rsid w:val="009A7E9E"/>
    <w:rsid w:val="009B1130"/>
    <w:rsid w:val="009B2828"/>
    <w:rsid w:val="009B6364"/>
    <w:rsid w:val="009C55CD"/>
    <w:rsid w:val="009C63A4"/>
    <w:rsid w:val="009E477F"/>
    <w:rsid w:val="009E7194"/>
    <w:rsid w:val="009F14CE"/>
    <w:rsid w:val="00A00654"/>
    <w:rsid w:val="00A04105"/>
    <w:rsid w:val="00A10993"/>
    <w:rsid w:val="00A12825"/>
    <w:rsid w:val="00A129C9"/>
    <w:rsid w:val="00A251F6"/>
    <w:rsid w:val="00A25DC3"/>
    <w:rsid w:val="00A27F87"/>
    <w:rsid w:val="00A27F9A"/>
    <w:rsid w:val="00A3009D"/>
    <w:rsid w:val="00A31579"/>
    <w:rsid w:val="00A526EE"/>
    <w:rsid w:val="00A546E4"/>
    <w:rsid w:val="00A5495A"/>
    <w:rsid w:val="00A57FB3"/>
    <w:rsid w:val="00A60BC7"/>
    <w:rsid w:val="00A62E31"/>
    <w:rsid w:val="00A70127"/>
    <w:rsid w:val="00A73797"/>
    <w:rsid w:val="00A74716"/>
    <w:rsid w:val="00A757E7"/>
    <w:rsid w:val="00A82387"/>
    <w:rsid w:val="00A83E3D"/>
    <w:rsid w:val="00A86FB8"/>
    <w:rsid w:val="00A879E6"/>
    <w:rsid w:val="00A93449"/>
    <w:rsid w:val="00A95241"/>
    <w:rsid w:val="00AA4D36"/>
    <w:rsid w:val="00AA70AD"/>
    <w:rsid w:val="00AB2493"/>
    <w:rsid w:val="00AB4513"/>
    <w:rsid w:val="00AC04A6"/>
    <w:rsid w:val="00AC6DDC"/>
    <w:rsid w:val="00AD3220"/>
    <w:rsid w:val="00AD4131"/>
    <w:rsid w:val="00AD4E02"/>
    <w:rsid w:val="00AF2969"/>
    <w:rsid w:val="00AF3922"/>
    <w:rsid w:val="00AF3EEB"/>
    <w:rsid w:val="00AF59A5"/>
    <w:rsid w:val="00B01D16"/>
    <w:rsid w:val="00B049E9"/>
    <w:rsid w:val="00B07DBB"/>
    <w:rsid w:val="00B16A7A"/>
    <w:rsid w:val="00B34F81"/>
    <w:rsid w:val="00B3791D"/>
    <w:rsid w:val="00B37E01"/>
    <w:rsid w:val="00B42002"/>
    <w:rsid w:val="00B50E2A"/>
    <w:rsid w:val="00B56116"/>
    <w:rsid w:val="00B7689A"/>
    <w:rsid w:val="00B8683E"/>
    <w:rsid w:val="00B87D51"/>
    <w:rsid w:val="00BA274B"/>
    <w:rsid w:val="00BA2AC7"/>
    <w:rsid w:val="00BA4138"/>
    <w:rsid w:val="00BB497C"/>
    <w:rsid w:val="00BB79CD"/>
    <w:rsid w:val="00BC6CC1"/>
    <w:rsid w:val="00BC75EF"/>
    <w:rsid w:val="00BD158D"/>
    <w:rsid w:val="00BD577C"/>
    <w:rsid w:val="00BE3560"/>
    <w:rsid w:val="00BF1EAF"/>
    <w:rsid w:val="00BF278D"/>
    <w:rsid w:val="00BF33F4"/>
    <w:rsid w:val="00BF7582"/>
    <w:rsid w:val="00C027AB"/>
    <w:rsid w:val="00C074CB"/>
    <w:rsid w:val="00C161AE"/>
    <w:rsid w:val="00C17072"/>
    <w:rsid w:val="00C213B4"/>
    <w:rsid w:val="00C24B45"/>
    <w:rsid w:val="00C36AF7"/>
    <w:rsid w:val="00C403C3"/>
    <w:rsid w:val="00C40F9E"/>
    <w:rsid w:val="00C42EDB"/>
    <w:rsid w:val="00C46331"/>
    <w:rsid w:val="00C51ACE"/>
    <w:rsid w:val="00C578B4"/>
    <w:rsid w:val="00C71221"/>
    <w:rsid w:val="00C75579"/>
    <w:rsid w:val="00C76B54"/>
    <w:rsid w:val="00C82B93"/>
    <w:rsid w:val="00C85E1C"/>
    <w:rsid w:val="00C9187A"/>
    <w:rsid w:val="00C95BD5"/>
    <w:rsid w:val="00CA0CFC"/>
    <w:rsid w:val="00CB2987"/>
    <w:rsid w:val="00CD2D2B"/>
    <w:rsid w:val="00CD6351"/>
    <w:rsid w:val="00CE1383"/>
    <w:rsid w:val="00CF0FC7"/>
    <w:rsid w:val="00CF7769"/>
    <w:rsid w:val="00CF7DE4"/>
    <w:rsid w:val="00D0137A"/>
    <w:rsid w:val="00D031A4"/>
    <w:rsid w:val="00D1616F"/>
    <w:rsid w:val="00D218F4"/>
    <w:rsid w:val="00D22023"/>
    <w:rsid w:val="00D323A4"/>
    <w:rsid w:val="00D32FD5"/>
    <w:rsid w:val="00D33571"/>
    <w:rsid w:val="00D36BA6"/>
    <w:rsid w:val="00D51828"/>
    <w:rsid w:val="00D54CA8"/>
    <w:rsid w:val="00D56724"/>
    <w:rsid w:val="00D60132"/>
    <w:rsid w:val="00D620EC"/>
    <w:rsid w:val="00D660B5"/>
    <w:rsid w:val="00D6743C"/>
    <w:rsid w:val="00D755BB"/>
    <w:rsid w:val="00D81B82"/>
    <w:rsid w:val="00D838A7"/>
    <w:rsid w:val="00DA0FED"/>
    <w:rsid w:val="00DB0DC8"/>
    <w:rsid w:val="00DC23E1"/>
    <w:rsid w:val="00E02AEA"/>
    <w:rsid w:val="00E04145"/>
    <w:rsid w:val="00E06FEE"/>
    <w:rsid w:val="00E07255"/>
    <w:rsid w:val="00E11D3F"/>
    <w:rsid w:val="00E171D0"/>
    <w:rsid w:val="00E26E65"/>
    <w:rsid w:val="00E3513A"/>
    <w:rsid w:val="00E3515D"/>
    <w:rsid w:val="00E36770"/>
    <w:rsid w:val="00E40FD3"/>
    <w:rsid w:val="00E47797"/>
    <w:rsid w:val="00E51DED"/>
    <w:rsid w:val="00E5258F"/>
    <w:rsid w:val="00E57417"/>
    <w:rsid w:val="00E64E2C"/>
    <w:rsid w:val="00E653CC"/>
    <w:rsid w:val="00E71AAF"/>
    <w:rsid w:val="00E74603"/>
    <w:rsid w:val="00E91CEE"/>
    <w:rsid w:val="00E9497D"/>
    <w:rsid w:val="00E9574D"/>
    <w:rsid w:val="00E97758"/>
    <w:rsid w:val="00EA5F38"/>
    <w:rsid w:val="00EB1716"/>
    <w:rsid w:val="00EB1EFA"/>
    <w:rsid w:val="00EC10C0"/>
    <w:rsid w:val="00EC531F"/>
    <w:rsid w:val="00EC62DA"/>
    <w:rsid w:val="00EC7757"/>
    <w:rsid w:val="00EE0649"/>
    <w:rsid w:val="00EE6A8A"/>
    <w:rsid w:val="00EF0FAC"/>
    <w:rsid w:val="00EF1713"/>
    <w:rsid w:val="00EF23CD"/>
    <w:rsid w:val="00EF6FD5"/>
    <w:rsid w:val="00EF7129"/>
    <w:rsid w:val="00F041D3"/>
    <w:rsid w:val="00F05D5F"/>
    <w:rsid w:val="00F12F4F"/>
    <w:rsid w:val="00F23374"/>
    <w:rsid w:val="00F41DED"/>
    <w:rsid w:val="00F4507F"/>
    <w:rsid w:val="00F459CA"/>
    <w:rsid w:val="00F56DDF"/>
    <w:rsid w:val="00F56EB4"/>
    <w:rsid w:val="00F575AB"/>
    <w:rsid w:val="00F60094"/>
    <w:rsid w:val="00F623A5"/>
    <w:rsid w:val="00F73A77"/>
    <w:rsid w:val="00F76B45"/>
    <w:rsid w:val="00F818B0"/>
    <w:rsid w:val="00F84DB6"/>
    <w:rsid w:val="00F86D65"/>
    <w:rsid w:val="00F9034F"/>
    <w:rsid w:val="00FA22DD"/>
    <w:rsid w:val="00FA2D0B"/>
    <w:rsid w:val="00FA53C6"/>
    <w:rsid w:val="00FA5DB8"/>
    <w:rsid w:val="00FB077A"/>
    <w:rsid w:val="00FB1560"/>
    <w:rsid w:val="00FC363B"/>
    <w:rsid w:val="00FC38EB"/>
    <w:rsid w:val="00FD10B2"/>
    <w:rsid w:val="00FD4AE3"/>
    <w:rsid w:val="00FE1837"/>
    <w:rsid w:val="00FE69E5"/>
    <w:rsid w:val="00FF1908"/>
    <w:rsid w:val="0743D970"/>
    <w:rsid w:val="076E7817"/>
    <w:rsid w:val="09D4DC68"/>
    <w:rsid w:val="0A4043F1"/>
    <w:rsid w:val="0C8C0D34"/>
    <w:rsid w:val="0CA2E309"/>
    <w:rsid w:val="1455AF61"/>
    <w:rsid w:val="16554640"/>
    <w:rsid w:val="19579FE0"/>
    <w:rsid w:val="1B422DDF"/>
    <w:rsid w:val="1C48BF82"/>
    <w:rsid w:val="1DA7ADE1"/>
    <w:rsid w:val="2448BF50"/>
    <w:rsid w:val="2566EFA4"/>
    <w:rsid w:val="29E0425E"/>
    <w:rsid w:val="2C59D66C"/>
    <w:rsid w:val="2CFAB166"/>
    <w:rsid w:val="2E073253"/>
    <w:rsid w:val="2EDD67CF"/>
    <w:rsid w:val="2F29A879"/>
    <w:rsid w:val="2F4C9DB0"/>
    <w:rsid w:val="2FA6FF48"/>
    <w:rsid w:val="3316CDA2"/>
    <w:rsid w:val="34AB17CA"/>
    <w:rsid w:val="34D92EC4"/>
    <w:rsid w:val="351CE34C"/>
    <w:rsid w:val="38F8CF15"/>
    <w:rsid w:val="3A67C01A"/>
    <w:rsid w:val="3AB3E8F8"/>
    <w:rsid w:val="40310C9E"/>
    <w:rsid w:val="40CD53B4"/>
    <w:rsid w:val="41B88F3E"/>
    <w:rsid w:val="429B7352"/>
    <w:rsid w:val="45774529"/>
    <w:rsid w:val="480F7C7C"/>
    <w:rsid w:val="4B69DCB3"/>
    <w:rsid w:val="4C2C8099"/>
    <w:rsid w:val="503B6D37"/>
    <w:rsid w:val="50AE9165"/>
    <w:rsid w:val="50B95D46"/>
    <w:rsid w:val="581F6796"/>
    <w:rsid w:val="5B324719"/>
    <w:rsid w:val="5D5AE6E2"/>
    <w:rsid w:val="5E2C3376"/>
    <w:rsid w:val="5F93E788"/>
    <w:rsid w:val="6238CA26"/>
    <w:rsid w:val="67DE68F2"/>
    <w:rsid w:val="69618CC9"/>
    <w:rsid w:val="6C00A4B6"/>
    <w:rsid w:val="6C6B06B0"/>
    <w:rsid w:val="6E3934DD"/>
    <w:rsid w:val="71463C3F"/>
    <w:rsid w:val="72802C6B"/>
    <w:rsid w:val="72BB1E61"/>
    <w:rsid w:val="7D6F98DE"/>
    <w:rsid w:val="7DAAE11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3EE25"/>
  <w15:chartTrackingRefBased/>
  <w15:docId w15:val="{BF31CF98-F627-4A6C-8CC0-AB56EEAC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A3"/>
    <w:pPr>
      <w:spacing w:before="120" w:after="120" w:line="276" w:lineRule="auto"/>
    </w:pPr>
    <w:rPr>
      <w:rFonts w:ascii="Arial" w:hAnsi="Arial"/>
    </w:rPr>
  </w:style>
  <w:style w:type="paragraph" w:styleId="Heading1">
    <w:name w:val="heading 1"/>
    <w:basedOn w:val="Normal"/>
    <w:next w:val="Normal"/>
    <w:link w:val="Heading1Char"/>
    <w:uiPriority w:val="9"/>
    <w:qFormat/>
    <w:rsid w:val="00EE6A8A"/>
    <w:pPr>
      <w:keepNext/>
      <w:keepLines/>
      <w:spacing w:before="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A8A"/>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numPr>
        <w:numId w:val="35"/>
      </w:numPr>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paragraph" w:customStyle="1" w:styleId="Bullet">
    <w:name w:val="Bullet"/>
    <w:basedOn w:val="ListParagraph"/>
    <w:rsid w:val="00B34F81"/>
    <w:pPr>
      <w:numPr>
        <w:numId w:val="21"/>
      </w:numPr>
      <w:ind w:left="284" w:hanging="284"/>
      <w:contextualSpacing w:val="0"/>
    </w:pPr>
    <w:rPr>
      <w:rFonts w:eastAsia="Times New Roman" w:cs="Times New Roman"/>
      <w:color w:val="1E1544" w:themeColor="text1"/>
    </w:rPr>
  </w:style>
  <w:style w:type="character" w:styleId="PageNumber">
    <w:name w:val="page number"/>
    <w:basedOn w:val="DefaultParagraphFont"/>
    <w:uiPriority w:val="99"/>
    <w:semiHidden/>
    <w:unhideWhenUsed/>
    <w:rsid w:val="00EC62DA"/>
  </w:style>
  <w:style w:type="table" w:styleId="TableGridLight">
    <w:name w:val="Grid Table Light"/>
    <w:basedOn w:val="TableNormal"/>
    <w:uiPriority w:val="40"/>
    <w:rsid w:val="004245A8"/>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style>
  <w:style w:type="character" w:styleId="CommentReference">
    <w:name w:val="annotation reference"/>
    <w:basedOn w:val="DefaultParagraphFont"/>
    <w:uiPriority w:val="99"/>
    <w:semiHidden/>
    <w:unhideWhenUsed/>
    <w:rsid w:val="00E64E2C"/>
    <w:rPr>
      <w:sz w:val="16"/>
      <w:szCs w:val="16"/>
    </w:rPr>
  </w:style>
  <w:style w:type="paragraph" w:styleId="CommentText">
    <w:name w:val="annotation text"/>
    <w:basedOn w:val="Normal"/>
    <w:link w:val="CommentTextChar"/>
    <w:uiPriority w:val="99"/>
    <w:unhideWhenUsed/>
    <w:rsid w:val="00E64E2C"/>
    <w:pPr>
      <w:spacing w:line="240" w:lineRule="auto"/>
    </w:pPr>
    <w:rPr>
      <w:sz w:val="20"/>
      <w:szCs w:val="20"/>
    </w:rPr>
  </w:style>
  <w:style w:type="character" w:customStyle="1" w:styleId="CommentTextChar">
    <w:name w:val="Comment Text Char"/>
    <w:basedOn w:val="DefaultParagraphFont"/>
    <w:link w:val="CommentText"/>
    <w:uiPriority w:val="99"/>
    <w:rsid w:val="00E64E2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4E2C"/>
    <w:rPr>
      <w:b/>
      <w:bCs/>
    </w:rPr>
  </w:style>
  <w:style w:type="character" w:customStyle="1" w:styleId="CommentSubjectChar">
    <w:name w:val="Comment Subject Char"/>
    <w:basedOn w:val="CommentTextChar"/>
    <w:link w:val="CommentSubject"/>
    <w:uiPriority w:val="99"/>
    <w:semiHidden/>
    <w:rsid w:val="00E64E2C"/>
    <w:rPr>
      <w:rFonts w:ascii="Arial" w:hAnsi="Arial"/>
      <w:b/>
      <w:bCs/>
      <w:sz w:val="20"/>
      <w:szCs w:val="20"/>
    </w:rPr>
  </w:style>
  <w:style w:type="character" w:styleId="Mention">
    <w:name w:val="Mention"/>
    <w:basedOn w:val="DefaultParagraphFont"/>
    <w:uiPriority w:val="99"/>
    <w:unhideWhenUsed/>
    <w:rsid w:val="00645C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45fc1777-5182-4729-9953-61f7a22856aa" xsi:nil="true"/>
    <lcf76f155ced4ddcb4097134ff3c332f xmlns="45fc1777-5182-4729-9953-61f7a22856aa">
      <Terms xmlns="http://schemas.microsoft.com/office/infopath/2007/PartnerControls"/>
    </lcf76f155ced4ddcb4097134ff3c332f>
    <TaxCatchAll xmlns="3e45b5c5-9cc5-4922-88cd-354a7829f0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285F36FEBE614FA7F0E9B7930440E6" ma:contentTypeVersion="11" ma:contentTypeDescription="Create a new document." ma:contentTypeScope="" ma:versionID="ee9b899459fa9d16db247588287584c6">
  <xsd:schema xmlns:xsd="http://www.w3.org/2001/XMLSchema" xmlns:xs="http://www.w3.org/2001/XMLSchema" xmlns:p="http://schemas.microsoft.com/office/2006/metadata/properties" xmlns:ns2="45fc1777-5182-4729-9953-61f7a22856aa" xmlns:ns3="3e45b5c5-9cc5-4922-88cd-354a7829f0bf" targetNamespace="http://schemas.microsoft.com/office/2006/metadata/properties" ma:root="true" ma:fieldsID="dbee740ec75ef82bc91bdfec974436ab" ns2:_="" ns3:_="">
    <xsd:import namespace="45fc1777-5182-4729-9953-61f7a22856aa"/>
    <xsd:import namespace="3e45b5c5-9cc5-4922-88cd-354a7829f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c1777-5182-4729-9953-61f7a2285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45b5c5-9cc5-4922-88cd-354a7829f0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00ac1a-59bc-4f58-98a9-be3d91b441c4}" ma:internalName="TaxCatchAll" ma:showField="CatchAllData" ma:web="3e45b5c5-9cc5-4922-88cd-354a7829f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8B5D2-3035-41B1-9259-26E65C232FB5}">
  <ds:schemaRefs>
    <ds:schemaRef ds:uri="http://schemas.microsoft.com/office/2006/documentManagement/types"/>
    <ds:schemaRef ds:uri="3e45b5c5-9cc5-4922-88cd-354a7829f0bf"/>
    <ds:schemaRef ds:uri="http://purl.org/dc/dcmitype/"/>
    <ds:schemaRef ds:uri="http://schemas.microsoft.com/office/infopath/2007/PartnerControls"/>
    <ds:schemaRef ds:uri="http://purl.org/dc/terms/"/>
    <ds:schemaRef ds:uri="http://schemas.openxmlformats.org/package/2006/metadata/core-properties"/>
    <ds:schemaRef ds:uri="45fc1777-5182-4729-9953-61f7a22856aa"/>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3.xml><?xml version="1.0" encoding="utf-8"?>
<ds:datastoreItem xmlns:ds="http://schemas.openxmlformats.org/officeDocument/2006/customXml" ds:itemID="{8F5940C5-39F0-4E4F-90D6-57259F05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c1777-5182-4729-9953-61f7a22856aa"/>
    <ds:schemaRef ds:uri="3e45b5c5-9cc5-4922-88cd-354a7829f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1659</Words>
  <Characters>10056</Characters>
  <Application>Microsoft Office Word</Application>
  <DocSecurity>0</DocSecurity>
  <Lines>243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safety organisational review tool</dc:title>
  <dc:subject/>
  <dc:creator>Australian Government Department of Health;Disability and Ageing</dc:creator>
  <cp:keywords>Aged Care, Senior Australians</cp:keywords>
  <dc:description/>
  <cp:lastPrinted>2025-09-12T17:17:00Z</cp:lastPrinted>
  <dcterms:created xsi:type="dcterms:W3CDTF">2025-07-31T20:58:00Z</dcterms:created>
  <dcterms:modified xsi:type="dcterms:W3CDTF">2025-10-29T04:45:00Z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0x01010060285F36FEBE614FA7F0E9B7930440E6</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ShapeIds">
    <vt:lpwstr>6e94ea9d,2bd8a9b4,553a4d7c,370d1215</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2ca6ab5c,f8ee61e,404a628b</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2025-10-07T23:28:46Z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56106af0-f727-4a9a-ad41-057b70c47585</vt:lpwstr>
  </property>
  <property fmtid="{D5CDD505-2E9C-101B-9397-08002B2CF9AE}" pid="24" name="MSIP_Label_7cd3e8b9-ffed-43a8-b7f4-cc2fa0382d36_ContentBits">
    <vt:lpwstr>3</vt:lpwstr>
  </property>
  <property fmtid="{D5CDD505-2E9C-101B-9397-08002B2CF9AE}" pid="25" name="MSIP_Label_7cd3e8b9-ffed-43a8-b7f4-cc2fa0382d36_Tag">
    <vt:lpwstr>10, 0, 1, 1</vt:lpwstr>
  </property>
</Properties>
</file>