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0ED" w14:textId="77777777" w:rsidR="008B679D" w:rsidRPr="00580343" w:rsidRDefault="008B679D" w:rsidP="00400C30">
      <w:pPr>
        <w:pStyle w:val="Title"/>
      </w:pPr>
      <w:bookmarkStart w:id="0" w:name="OLE_LINK4"/>
      <w:bookmarkStart w:id="1" w:name="OLE_LINK5"/>
      <w:r w:rsidRPr="00580343">
        <w:t xml:space="preserve">COST RECOVERY </w:t>
      </w:r>
      <w:r w:rsidRPr="00400C30">
        <w:t>IMPLEMENTATION</w:t>
      </w:r>
      <w:r w:rsidRPr="00580343">
        <w:t xml:space="preserve"> STATEMENT</w:t>
      </w:r>
    </w:p>
    <w:bookmarkEnd w:id="0"/>
    <w:bookmarkEnd w:id="1"/>
    <w:p w14:paraId="67D64576" w14:textId="2DA97DCC" w:rsidR="008B679D" w:rsidRPr="00580343" w:rsidRDefault="006E6DB8" w:rsidP="00400C30">
      <w:pPr>
        <w:pStyle w:val="Subtitle"/>
      </w:pPr>
      <w:r w:rsidRPr="00580343">
        <w:t xml:space="preserve">Administration of </w:t>
      </w:r>
      <w:r w:rsidR="00AA6B6C" w:rsidRPr="00580343">
        <w:t xml:space="preserve">Private Health Insurance </w:t>
      </w:r>
      <w:r w:rsidR="007C1E8E">
        <w:t>Second-tier</w:t>
      </w:r>
      <w:r w:rsidR="00AA6B6C" w:rsidRPr="00580343">
        <w:t xml:space="preserve"> Benefits</w:t>
      </w:r>
    </w:p>
    <w:p w14:paraId="6FC39FC8" w14:textId="309EFFFF" w:rsidR="00996300" w:rsidRPr="00580343" w:rsidRDefault="00125C13" w:rsidP="00400C30">
      <w:pPr>
        <w:pStyle w:val="Subtitle"/>
      </w:pPr>
      <w:r w:rsidRPr="00580343">
        <w:t>1 J</w:t>
      </w:r>
      <w:r w:rsidR="00107407" w:rsidRPr="00580343">
        <w:t xml:space="preserve">uly </w:t>
      </w:r>
      <w:r w:rsidRPr="00580343">
        <w:t>20</w:t>
      </w:r>
      <w:r w:rsidR="000A3C3C" w:rsidRPr="00580343">
        <w:t>2</w:t>
      </w:r>
      <w:r w:rsidR="008B0C89">
        <w:t>5</w:t>
      </w:r>
      <w:r w:rsidRPr="00580343">
        <w:t xml:space="preserve"> </w:t>
      </w:r>
      <w:r w:rsidRPr="00400C30">
        <w:t>to</w:t>
      </w:r>
      <w:r w:rsidRPr="00580343">
        <w:t xml:space="preserve"> 30 June 20</w:t>
      </w:r>
      <w:r w:rsidR="00107407" w:rsidRPr="00580343">
        <w:t>2</w:t>
      </w:r>
      <w:r w:rsidR="008B0C89">
        <w:t>6</w:t>
      </w:r>
    </w:p>
    <w:p w14:paraId="3556AFFB" w14:textId="77777777" w:rsidR="00DE202F" w:rsidRPr="00580343" w:rsidRDefault="00DE202F" w:rsidP="005A6BF5">
      <w:pPr>
        <w:rPr>
          <w:rFonts w:eastAsia="SimSun" w:cstheme="minorHAnsi"/>
          <w:sz w:val="22"/>
          <w:szCs w:val="22"/>
        </w:rPr>
      </w:pPr>
      <w:r w:rsidRPr="00580343">
        <w:rPr>
          <w:rFonts w:eastAsia="SimSun" w:cstheme="minorHAnsi"/>
          <w:sz w:val="22"/>
          <w:szCs w:val="22"/>
        </w:rPr>
        <w:br w:type="page"/>
      </w:r>
    </w:p>
    <w:p w14:paraId="59AA00F4" w14:textId="77777777" w:rsidR="008B679D" w:rsidRPr="00580343" w:rsidRDefault="008B679D" w:rsidP="00B21752">
      <w:pPr>
        <w:pStyle w:val="Heading1"/>
      </w:pPr>
      <w:r w:rsidRPr="00580343">
        <w:lastRenderedPageBreak/>
        <w:t>INTRODUCTION</w:t>
      </w:r>
    </w:p>
    <w:p w14:paraId="69F3897F" w14:textId="3A0520A6" w:rsidR="00970E2A" w:rsidRPr="00580343" w:rsidRDefault="00970E2A" w:rsidP="00400C30">
      <w:pPr>
        <w:pStyle w:val="Heading2"/>
        <w:rPr>
          <w:rFonts w:eastAsia="SimSun"/>
        </w:rPr>
      </w:pPr>
      <w:r w:rsidRPr="51C7B40A">
        <w:t xml:space="preserve">Purpose of the </w:t>
      </w:r>
      <w:r w:rsidR="00D37C5F" w:rsidRPr="51C7B40A">
        <w:t>Cost Recovery Implementation Statement</w:t>
      </w:r>
      <w:r w:rsidR="033B4C0B" w:rsidRPr="51C7B40A">
        <w:t xml:space="preserve"> (CRIS)</w:t>
      </w:r>
    </w:p>
    <w:p w14:paraId="3C3AC042" w14:textId="6E6A726A" w:rsidR="1171B0B6" w:rsidRPr="00BB464E" w:rsidRDefault="1171B0B6">
      <w:pPr>
        <w:rPr>
          <w:rFonts w:eastAsia="SimSun" w:cstheme="minorBidi"/>
          <w:sz w:val="22"/>
          <w:szCs w:val="22"/>
        </w:rPr>
      </w:pPr>
      <w:r w:rsidRPr="00BB464E">
        <w:rPr>
          <w:rFonts w:eastAsia="SimSun" w:cstheme="minorBidi"/>
          <w:sz w:val="22"/>
          <w:szCs w:val="22"/>
        </w:rPr>
        <w:t xml:space="preserve">Charging for regulatory activity involves government entities charging individuals or organisations in the non-government sector some or </w:t>
      </w:r>
      <w:proofErr w:type="gramStart"/>
      <w:r w:rsidRPr="00BB464E">
        <w:rPr>
          <w:rFonts w:eastAsia="SimSun" w:cstheme="minorBidi"/>
          <w:sz w:val="22"/>
          <w:szCs w:val="22"/>
        </w:rPr>
        <w:t>all of</w:t>
      </w:r>
      <w:proofErr w:type="gramEnd"/>
      <w:r w:rsidRPr="00BB464E">
        <w:rPr>
          <w:rFonts w:eastAsia="SimSun" w:cstheme="minorBidi"/>
          <w:sz w:val="22"/>
          <w:szCs w:val="22"/>
        </w:rPr>
        <w:t xml:space="preserve"> the minimum efficient costs of a specific government activity. The Cost Recovery Policy along with the Australian Government Charging Framework (the Charging Framework) sets out the policy under which government entities design, implement and review charging for regulatory activities. The CRIS is the public document to ensure the transparency and accountability for the level of the charging and to demonstrate that the purpose for charging, as decided by Government, is being achieved.</w:t>
      </w:r>
    </w:p>
    <w:p w14:paraId="6FE91BF2" w14:textId="77777777" w:rsidR="00970E2A" w:rsidRPr="00580343" w:rsidRDefault="00970E2A" w:rsidP="00400C30">
      <w:pPr>
        <w:pStyle w:val="Heading2"/>
      </w:pPr>
      <w:r w:rsidRPr="00580343">
        <w:t>Description of the regulatory charging activity</w:t>
      </w:r>
    </w:p>
    <w:p w14:paraId="3866CB0F" w14:textId="52C001D8" w:rsidR="007E7879" w:rsidRPr="00580343" w:rsidRDefault="034252BB" w:rsidP="51C7B40A">
      <w:pPr>
        <w:rPr>
          <w:rFonts w:eastAsia="SimSun" w:cstheme="minorBidi"/>
          <w:sz w:val="22"/>
          <w:szCs w:val="22"/>
        </w:rPr>
      </w:pPr>
      <w:r w:rsidRPr="2098D1CA">
        <w:rPr>
          <w:rFonts w:eastAsia="SimSun" w:cstheme="minorBidi"/>
          <w:sz w:val="22"/>
          <w:szCs w:val="22"/>
        </w:rPr>
        <w:t xml:space="preserve">This CRIS provides information on how the </w:t>
      </w:r>
      <w:r w:rsidR="14CF7BA3" w:rsidRPr="2098D1CA">
        <w:rPr>
          <w:rFonts w:eastAsia="SimSun" w:cstheme="minorBidi"/>
          <w:sz w:val="22"/>
          <w:szCs w:val="22"/>
        </w:rPr>
        <w:t>D</w:t>
      </w:r>
      <w:r w:rsidRPr="2098D1CA">
        <w:rPr>
          <w:rFonts w:eastAsia="SimSun" w:cstheme="minorBidi"/>
          <w:sz w:val="22"/>
          <w:szCs w:val="22"/>
        </w:rPr>
        <w:t>epartment of Health</w:t>
      </w:r>
      <w:r w:rsidR="00BF0BE3">
        <w:rPr>
          <w:rFonts w:eastAsia="SimSun" w:cstheme="minorBidi"/>
          <w:sz w:val="22"/>
          <w:szCs w:val="22"/>
        </w:rPr>
        <w:t>, Disability</w:t>
      </w:r>
      <w:r w:rsidRPr="2098D1CA">
        <w:rPr>
          <w:rFonts w:eastAsia="SimSun" w:cstheme="minorBidi"/>
          <w:sz w:val="22"/>
          <w:szCs w:val="22"/>
        </w:rPr>
        <w:t xml:space="preserve"> and Ag</w:t>
      </w:r>
      <w:r w:rsidR="00BF0BE3">
        <w:rPr>
          <w:rFonts w:eastAsia="SimSun" w:cstheme="minorBidi"/>
          <w:sz w:val="22"/>
          <w:szCs w:val="22"/>
        </w:rPr>
        <w:t>eing</w:t>
      </w:r>
      <w:r w:rsidRPr="2098D1CA">
        <w:rPr>
          <w:rFonts w:eastAsia="SimSun" w:cstheme="minorBidi"/>
          <w:sz w:val="22"/>
          <w:szCs w:val="22"/>
        </w:rPr>
        <w:t xml:space="preserve"> </w:t>
      </w:r>
      <w:r w:rsidR="1B104782" w:rsidRPr="2098D1CA">
        <w:rPr>
          <w:rFonts w:eastAsia="SimSun" w:cstheme="minorBidi"/>
          <w:sz w:val="22"/>
          <w:szCs w:val="22"/>
        </w:rPr>
        <w:t xml:space="preserve">(the department) </w:t>
      </w:r>
      <w:r w:rsidRPr="2098D1CA">
        <w:rPr>
          <w:rFonts w:eastAsia="SimSun" w:cstheme="minorBidi"/>
          <w:sz w:val="22"/>
          <w:szCs w:val="22"/>
        </w:rPr>
        <w:t xml:space="preserve">undertakes cost recovery for administration of private health insurance </w:t>
      </w:r>
      <w:r w:rsidR="15FAD1E3" w:rsidRPr="2098D1CA">
        <w:rPr>
          <w:rFonts w:eastAsia="SimSun" w:cstheme="minorBidi"/>
          <w:sz w:val="22"/>
          <w:szCs w:val="22"/>
        </w:rPr>
        <w:t>second-tier</w:t>
      </w:r>
      <w:r w:rsidRPr="2098D1CA">
        <w:rPr>
          <w:rFonts w:eastAsia="SimSun" w:cstheme="minorBidi"/>
          <w:sz w:val="22"/>
          <w:szCs w:val="22"/>
        </w:rPr>
        <w:t xml:space="preserve"> default benefits eligibility. It also reports financial and non-financial performance information for administration of private health insurance </w:t>
      </w:r>
      <w:r w:rsidR="15FAD1E3" w:rsidRPr="2098D1CA">
        <w:rPr>
          <w:rFonts w:eastAsia="SimSun" w:cstheme="minorBidi"/>
          <w:sz w:val="22"/>
          <w:szCs w:val="22"/>
        </w:rPr>
        <w:t>second-tier</w:t>
      </w:r>
      <w:r w:rsidRPr="2098D1CA">
        <w:rPr>
          <w:rFonts w:eastAsia="SimSun" w:cstheme="minorBidi"/>
          <w:sz w:val="22"/>
          <w:szCs w:val="22"/>
        </w:rPr>
        <w:t xml:space="preserve"> default benefits and contains financial forecasts for th</w:t>
      </w:r>
      <w:r w:rsidR="1C5569F5" w:rsidRPr="2098D1CA">
        <w:rPr>
          <w:rFonts w:eastAsia="SimSun" w:cstheme="minorBidi"/>
          <w:sz w:val="22"/>
          <w:szCs w:val="22"/>
        </w:rPr>
        <w:t>e</w:t>
      </w:r>
      <w:r w:rsidR="64913048" w:rsidRPr="2098D1CA">
        <w:rPr>
          <w:rFonts w:eastAsia="SimSun" w:cstheme="minorBidi"/>
          <w:sz w:val="22"/>
          <w:szCs w:val="22"/>
        </w:rPr>
        <w:t xml:space="preserve"> </w:t>
      </w:r>
      <w:r w:rsidRPr="2098D1CA">
        <w:rPr>
          <w:rFonts w:eastAsia="SimSun" w:cstheme="minorBidi"/>
          <w:sz w:val="22"/>
          <w:szCs w:val="22"/>
        </w:rPr>
        <w:t>202</w:t>
      </w:r>
      <w:r w:rsidR="008B0C89">
        <w:rPr>
          <w:rFonts w:eastAsia="SimSun" w:cstheme="minorBidi"/>
          <w:sz w:val="22"/>
          <w:szCs w:val="22"/>
        </w:rPr>
        <w:t>5</w:t>
      </w:r>
      <w:r w:rsidRPr="2098D1CA">
        <w:rPr>
          <w:rFonts w:eastAsia="SimSun" w:cstheme="minorBidi"/>
          <w:sz w:val="22"/>
          <w:szCs w:val="22"/>
        </w:rPr>
        <w:t>-2</w:t>
      </w:r>
      <w:r w:rsidR="008B0C89">
        <w:rPr>
          <w:rFonts w:eastAsia="SimSun" w:cstheme="minorBidi"/>
          <w:sz w:val="22"/>
          <w:szCs w:val="22"/>
        </w:rPr>
        <w:t>6</w:t>
      </w:r>
      <w:r w:rsidRPr="2098D1CA">
        <w:rPr>
          <w:rFonts w:eastAsia="SimSun" w:cstheme="minorBidi"/>
          <w:sz w:val="22"/>
          <w:szCs w:val="22"/>
        </w:rPr>
        <w:t xml:space="preserve"> financial year and three forward years. The </w:t>
      </w:r>
      <w:r w:rsidR="6435AFDE" w:rsidRPr="2098D1CA">
        <w:rPr>
          <w:rFonts w:eastAsia="SimSun" w:cstheme="minorBidi"/>
          <w:sz w:val="22"/>
          <w:szCs w:val="22"/>
        </w:rPr>
        <w:t>department</w:t>
      </w:r>
      <w:r w:rsidRPr="2098D1CA">
        <w:rPr>
          <w:rFonts w:eastAsia="SimSun" w:cstheme="minorBidi"/>
          <w:sz w:val="22"/>
          <w:szCs w:val="22"/>
        </w:rPr>
        <w:t xml:space="preserve"> will maintain the CRIS until the activity or cost recovery for the activity has been discontinued.</w:t>
      </w:r>
    </w:p>
    <w:p w14:paraId="6AE3EE8C" w14:textId="77777777" w:rsidR="00F0619A" w:rsidRPr="00580343" w:rsidRDefault="008B679D" w:rsidP="00400C30">
      <w:pPr>
        <w:pStyle w:val="Heading1"/>
      </w:pPr>
      <w:r w:rsidRPr="00580343">
        <w:t>POLICY AND STATUTORY AUTHORITY TO COST RECOVER</w:t>
      </w:r>
    </w:p>
    <w:p w14:paraId="45437449" w14:textId="77777777" w:rsidR="004E11E0" w:rsidRPr="00580343" w:rsidRDefault="004E11E0" w:rsidP="00400C30">
      <w:pPr>
        <w:pStyle w:val="Heading2"/>
      </w:pPr>
      <w:r w:rsidRPr="00580343">
        <w:t>Government policy approval to cost recover the regulatory activity</w:t>
      </w:r>
    </w:p>
    <w:p w14:paraId="562684A2" w14:textId="09C9B0AE" w:rsidR="007E7879" w:rsidRPr="00580343" w:rsidRDefault="007E7879" w:rsidP="007E7879">
      <w:pPr>
        <w:rPr>
          <w:rFonts w:cstheme="minorHAnsi"/>
          <w:sz w:val="22"/>
          <w:szCs w:val="22"/>
        </w:rPr>
      </w:pPr>
      <w:r w:rsidRPr="00580343">
        <w:rPr>
          <w:rFonts w:cstheme="minorHAnsi"/>
          <w:sz w:val="22"/>
          <w:szCs w:val="22"/>
        </w:rPr>
        <w:t xml:space="preserve">Prior to 1 January 2019, administration of </w:t>
      </w:r>
      <w:r w:rsidR="007C1E8E">
        <w:rPr>
          <w:rFonts w:cstheme="minorHAnsi"/>
          <w:sz w:val="22"/>
          <w:szCs w:val="22"/>
        </w:rPr>
        <w:t>second-tier</w:t>
      </w:r>
      <w:r w:rsidRPr="00580343">
        <w:rPr>
          <w:rFonts w:cstheme="minorHAnsi"/>
          <w:sz w:val="22"/>
          <w:szCs w:val="22"/>
        </w:rPr>
        <w:t xml:space="preserve"> eligibility was managed by the </w:t>
      </w:r>
      <w:r w:rsidR="007C1E8E">
        <w:rPr>
          <w:rFonts w:cstheme="minorHAnsi"/>
          <w:sz w:val="22"/>
          <w:szCs w:val="22"/>
        </w:rPr>
        <w:t>Second-tier</w:t>
      </w:r>
      <w:r w:rsidRPr="00580343">
        <w:rPr>
          <w:rFonts w:cstheme="minorHAnsi"/>
          <w:sz w:val="22"/>
          <w:szCs w:val="22"/>
        </w:rPr>
        <w:t xml:space="preserve"> Advisory Committee (STAC), chaired by the Australian Private Hospitals Association</w:t>
      </w:r>
      <w:r w:rsidR="00B9184C">
        <w:rPr>
          <w:rFonts w:cstheme="minorHAnsi"/>
          <w:sz w:val="22"/>
          <w:szCs w:val="22"/>
        </w:rPr>
        <w:t> </w:t>
      </w:r>
      <w:r w:rsidRPr="00580343">
        <w:rPr>
          <w:rFonts w:cstheme="minorHAnsi"/>
          <w:sz w:val="22"/>
          <w:szCs w:val="22"/>
        </w:rPr>
        <w:t xml:space="preserve">(APHA). </w:t>
      </w:r>
    </w:p>
    <w:p w14:paraId="1EBB2208" w14:textId="5B0BF93F" w:rsidR="007E7879" w:rsidRPr="00580343" w:rsidRDefault="007E7879" w:rsidP="007E7879">
      <w:pPr>
        <w:rPr>
          <w:rFonts w:cstheme="minorHAnsi"/>
          <w:sz w:val="22"/>
          <w:szCs w:val="22"/>
        </w:rPr>
      </w:pPr>
      <w:r w:rsidRPr="00580343">
        <w:rPr>
          <w:rFonts w:cstheme="minorHAnsi"/>
          <w:sz w:val="22"/>
          <w:szCs w:val="22"/>
        </w:rPr>
        <w:t xml:space="preserve">In the </w:t>
      </w:r>
      <w:bookmarkStart w:id="2" w:name="_Hlk169004169"/>
      <w:r>
        <w:fldChar w:fldCharType="begin"/>
      </w:r>
      <w:r>
        <w:instrText>HYPERLINK "https://archive.budget.gov.au/2017-18/index.htm"</w:instrText>
      </w:r>
      <w:r>
        <w:fldChar w:fldCharType="separate"/>
      </w:r>
      <w:r w:rsidRPr="00580343">
        <w:rPr>
          <w:rStyle w:val="Hyperlink"/>
          <w:rFonts w:cstheme="minorHAnsi"/>
          <w:sz w:val="22"/>
          <w:szCs w:val="22"/>
        </w:rPr>
        <w:t>2017-18 Mid-Year Economic and Fiscal Outlook</w:t>
      </w:r>
      <w:r>
        <w:rPr>
          <w:rStyle w:val="Hyperlink"/>
          <w:rFonts w:cstheme="minorHAnsi"/>
          <w:sz w:val="22"/>
          <w:szCs w:val="22"/>
        </w:rPr>
        <w:fldChar w:fldCharType="end"/>
      </w:r>
      <w:bookmarkEnd w:id="2"/>
      <w:r w:rsidR="00996300" w:rsidRPr="00580343">
        <w:rPr>
          <w:rFonts w:cstheme="minorHAnsi"/>
          <w:sz w:val="22"/>
          <w:szCs w:val="22"/>
        </w:rPr>
        <w:t>,</w:t>
      </w:r>
      <w:r w:rsidRPr="00580343">
        <w:rPr>
          <w:rFonts w:cstheme="minorHAnsi"/>
          <w:sz w:val="22"/>
          <w:szCs w:val="22"/>
        </w:rPr>
        <w:t xml:space="preserve"> the Australian Government approved full cost recovery for the assessment of these applications.</w:t>
      </w:r>
    </w:p>
    <w:p w14:paraId="0C1544F5" w14:textId="28DCAF18" w:rsidR="007E7879" w:rsidRPr="00580343" w:rsidRDefault="007E7879" w:rsidP="007E7879">
      <w:pPr>
        <w:rPr>
          <w:rFonts w:cstheme="minorHAnsi"/>
          <w:sz w:val="22"/>
          <w:szCs w:val="22"/>
        </w:rPr>
      </w:pPr>
      <w:r w:rsidRPr="00580343">
        <w:rPr>
          <w:rFonts w:cstheme="minorHAnsi"/>
          <w:sz w:val="22"/>
          <w:szCs w:val="22"/>
        </w:rPr>
        <w:t xml:space="preserve">The application fee was introduced on 1 January 2019 when the </w:t>
      </w:r>
      <w:r w:rsidR="009A58BB">
        <w:rPr>
          <w:rFonts w:cstheme="minorHAnsi"/>
          <w:sz w:val="22"/>
          <w:szCs w:val="22"/>
        </w:rPr>
        <w:t>d</w:t>
      </w:r>
      <w:r w:rsidR="003A68BF">
        <w:rPr>
          <w:rFonts w:cstheme="minorHAnsi"/>
          <w:sz w:val="22"/>
          <w:szCs w:val="22"/>
        </w:rPr>
        <w:t>epartment</w:t>
      </w:r>
      <w:r w:rsidRPr="00580343">
        <w:rPr>
          <w:rFonts w:cstheme="minorHAnsi"/>
          <w:sz w:val="22"/>
          <w:szCs w:val="22"/>
        </w:rPr>
        <w:t xml:space="preserve"> commenced administration of </w:t>
      </w:r>
      <w:r w:rsidR="007C1E8E">
        <w:rPr>
          <w:rFonts w:cstheme="minorHAnsi"/>
          <w:sz w:val="22"/>
          <w:szCs w:val="22"/>
        </w:rPr>
        <w:t>second-tier</w:t>
      </w:r>
      <w:r w:rsidRPr="00580343">
        <w:rPr>
          <w:rFonts w:cstheme="minorHAnsi"/>
          <w:sz w:val="22"/>
          <w:szCs w:val="22"/>
        </w:rPr>
        <w:t xml:space="preserve"> default benefits.</w:t>
      </w:r>
    </w:p>
    <w:p w14:paraId="3B613D6A" w14:textId="77777777" w:rsidR="004E11E0" w:rsidRPr="00580343" w:rsidRDefault="004E11E0" w:rsidP="00400C30">
      <w:pPr>
        <w:pStyle w:val="Heading2"/>
      </w:pPr>
      <w:r w:rsidRPr="00580343">
        <w:t>Statutory authority to charge</w:t>
      </w:r>
    </w:p>
    <w:p w14:paraId="375A8A9E" w14:textId="734FF6B9" w:rsidR="001029DF" w:rsidRDefault="007E7879" w:rsidP="007E7879">
      <w:pPr>
        <w:rPr>
          <w:rFonts w:cstheme="minorHAnsi"/>
          <w:sz w:val="22"/>
          <w:szCs w:val="22"/>
        </w:rPr>
      </w:pPr>
      <w:bookmarkStart w:id="3" w:name="_Hlk169112270"/>
      <w:r w:rsidRPr="00580343">
        <w:rPr>
          <w:rFonts w:cstheme="minorHAnsi"/>
          <w:sz w:val="22"/>
          <w:szCs w:val="22"/>
        </w:rPr>
        <w:t xml:space="preserve">Statutory authority to charge a fee to process applications for </w:t>
      </w:r>
      <w:r w:rsidR="007C1E8E">
        <w:rPr>
          <w:rFonts w:cstheme="minorHAnsi"/>
          <w:sz w:val="22"/>
          <w:szCs w:val="22"/>
        </w:rPr>
        <w:t>second-tier</w:t>
      </w:r>
      <w:r w:rsidRPr="00580343">
        <w:rPr>
          <w:rFonts w:cstheme="minorHAnsi"/>
          <w:sz w:val="22"/>
          <w:szCs w:val="22"/>
        </w:rPr>
        <w:t xml:space="preserve"> default benefits eligibility is provided by section 121-8</w:t>
      </w:r>
      <w:r w:rsidR="0035598F">
        <w:rPr>
          <w:rFonts w:cstheme="minorHAnsi"/>
          <w:sz w:val="22"/>
          <w:szCs w:val="22"/>
        </w:rPr>
        <w:t xml:space="preserve"> </w:t>
      </w:r>
      <w:r w:rsidRPr="00580343">
        <w:rPr>
          <w:rFonts w:cstheme="minorHAnsi"/>
          <w:sz w:val="22"/>
          <w:szCs w:val="22"/>
        </w:rPr>
        <w:t xml:space="preserve">of the </w:t>
      </w:r>
      <w:hyperlink r:id="rId11" w:history="1">
        <w:r w:rsidRPr="002470AB">
          <w:rPr>
            <w:rStyle w:val="Hyperlink"/>
            <w:rFonts w:cstheme="minorHAnsi"/>
            <w:i/>
            <w:sz w:val="22"/>
            <w:szCs w:val="22"/>
          </w:rPr>
          <w:t>Private Health Insurance Act 2007</w:t>
        </w:r>
      </w:hyperlink>
      <w:r w:rsidRPr="00580343">
        <w:rPr>
          <w:rFonts w:cstheme="minorHAnsi"/>
          <w:sz w:val="22"/>
          <w:szCs w:val="22"/>
        </w:rPr>
        <w:t xml:space="preserve">. The amount of the fee is specified in Rule 7B of the </w:t>
      </w:r>
      <w:hyperlink r:id="rId12" w:history="1">
        <w:r w:rsidR="002470AB" w:rsidRPr="002470AB">
          <w:rPr>
            <w:rStyle w:val="Hyperlink"/>
            <w:rFonts w:cstheme="minorHAnsi"/>
            <w:i/>
            <w:iCs/>
            <w:sz w:val="22"/>
            <w:szCs w:val="22"/>
          </w:rPr>
          <w:t>Private Health Insurance (Health Insurance Business) Rules 2018</w:t>
        </w:r>
      </w:hyperlink>
      <w:r w:rsidR="00AC0802">
        <w:rPr>
          <w:rFonts w:cstheme="minorHAnsi"/>
          <w:sz w:val="22"/>
          <w:szCs w:val="22"/>
        </w:rPr>
        <w:t xml:space="preserve"> (the Business Rules).</w:t>
      </w:r>
      <w:bookmarkEnd w:id="3"/>
    </w:p>
    <w:p w14:paraId="36B61E48" w14:textId="0B60FACE" w:rsidR="007E7879" w:rsidRPr="00580343" w:rsidRDefault="001029DF" w:rsidP="001029DF">
      <w:pPr>
        <w:spacing w:after="200" w:line="276" w:lineRule="auto"/>
        <w:rPr>
          <w:rFonts w:cstheme="minorHAnsi"/>
          <w:sz w:val="22"/>
          <w:szCs w:val="22"/>
        </w:rPr>
      </w:pPr>
      <w:r>
        <w:rPr>
          <w:rFonts w:cstheme="minorHAnsi"/>
          <w:sz w:val="22"/>
          <w:szCs w:val="22"/>
        </w:rPr>
        <w:br w:type="page"/>
      </w:r>
    </w:p>
    <w:p w14:paraId="23224C89" w14:textId="77777777" w:rsidR="008B679D" w:rsidRPr="00580343" w:rsidRDefault="002C5D92" w:rsidP="00400C30">
      <w:pPr>
        <w:pStyle w:val="Heading1"/>
        <w:rPr>
          <w:sz w:val="24"/>
          <w:szCs w:val="22"/>
        </w:rPr>
      </w:pPr>
      <w:r w:rsidRPr="00580343">
        <w:rPr>
          <w:sz w:val="24"/>
          <w:szCs w:val="22"/>
        </w:rPr>
        <w:lastRenderedPageBreak/>
        <w:tab/>
      </w:r>
      <w:r w:rsidR="008B679D" w:rsidRPr="00580343">
        <w:t>COST RECOVERY MODEL</w:t>
      </w:r>
    </w:p>
    <w:p w14:paraId="75DEDF42" w14:textId="7565D6CD" w:rsidR="004E11E0" w:rsidRPr="00580343" w:rsidRDefault="004E11E0" w:rsidP="00400C30">
      <w:pPr>
        <w:pStyle w:val="Heading2"/>
      </w:pPr>
      <w:bookmarkStart w:id="4" w:name="OLE_LINK2"/>
      <w:bookmarkStart w:id="5" w:name="OLE_LINK3"/>
      <w:bookmarkStart w:id="6" w:name="basisorcharging"/>
      <w:r w:rsidRPr="00580343">
        <w:t>Outputs and business processes of the regulatory charging activity</w:t>
      </w:r>
      <w:bookmarkEnd w:id="4"/>
      <w:bookmarkEnd w:id="5"/>
    </w:p>
    <w:p w14:paraId="5A72111B" w14:textId="7C07C05D" w:rsidR="007E7879" w:rsidRPr="00580343" w:rsidRDefault="007E7879" w:rsidP="007E7879">
      <w:pPr>
        <w:rPr>
          <w:rFonts w:cstheme="minorHAnsi"/>
          <w:sz w:val="22"/>
          <w:szCs w:val="22"/>
        </w:rPr>
      </w:pPr>
      <w:r w:rsidRPr="00580343">
        <w:rPr>
          <w:rFonts w:cstheme="minorHAnsi"/>
          <w:sz w:val="22"/>
          <w:szCs w:val="22"/>
        </w:rPr>
        <w:t xml:space="preserve">Since 1 January 2019, private hospitals have </w:t>
      </w:r>
      <w:r w:rsidR="006F6E94">
        <w:rPr>
          <w:rFonts w:cstheme="minorHAnsi"/>
          <w:sz w:val="22"/>
          <w:szCs w:val="22"/>
        </w:rPr>
        <w:t>made application</w:t>
      </w:r>
      <w:r w:rsidRPr="00580343">
        <w:rPr>
          <w:rFonts w:cstheme="minorHAnsi"/>
          <w:sz w:val="22"/>
          <w:szCs w:val="22"/>
        </w:rPr>
        <w:t xml:space="preserve"> to the </w:t>
      </w:r>
      <w:r w:rsidR="009A58BB">
        <w:rPr>
          <w:rFonts w:cstheme="minorHAnsi"/>
          <w:sz w:val="22"/>
          <w:szCs w:val="22"/>
        </w:rPr>
        <w:t>department</w:t>
      </w:r>
      <w:r w:rsidRPr="00580343">
        <w:rPr>
          <w:rFonts w:cstheme="minorHAnsi"/>
          <w:sz w:val="22"/>
          <w:szCs w:val="22"/>
        </w:rPr>
        <w:t xml:space="preserve"> for </w:t>
      </w:r>
      <w:r w:rsidR="007C1E8E">
        <w:rPr>
          <w:rFonts w:cstheme="minorHAnsi"/>
          <w:sz w:val="22"/>
          <w:szCs w:val="22"/>
        </w:rPr>
        <w:t>second-tier</w:t>
      </w:r>
      <w:r w:rsidRPr="00580343">
        <w:rPr>
          <w:rFonts w:cstheme="minorHAnsi"/>
          <w:sz w:val="22"/>
          <w:szCs w:val="22"/>
        </w:rPr>
        <w:t xml:space="preserve"> default benefits eligibility. Within 60 days of receiving a</w:t>
      </w:r>
      <w:r w:rsidR="00F43553">
        <w:rPr>
          <w:rFonts w:cstheme="minorHAnsi"/>
          <w:sz w:val="22"/>
          <w:szCs w:val="22"/>
        </w:rPr>
        <w:t xml:space="preserve"> complete</w:t>
      </w:r>
      <w:r w:rsidRPr="00580343">
        <w:rPr>
          <w:rFonts w:cstheme="minorHAnsi"/>
          <w:sz w:val="22"/>
          <w:szCs w:val="22"/>
        </w:rPr>
        <w:t xml:space="preserve"> application, the </w:t>
      </w:r>
      <w:r w:rsidR="009A58BB">
        <w:rPr>
          <w:rFonts w:cstheme="minorHAnsi"/>
          <w:sz w:val="22"/>
          <w:szCs w:val="22"/>
        </w:rPr>
        <w:t>department</w:t>
      </w:r>
      <w:r w:rsidRPr="00580343">
        <w:rPr>
          <w:rFonts w:cstheme="minorHAnsi"/>
          <w:sz w:val="22"/>
          <w:szCs w:val="22"/>
        </w:rPr>
        <w:t xml:space="preserve"> reviews </w:t>
      </w:r>
      <w:r w:rsidR="00F43553">
        <w:rPr>
          <w:rFonts w:cstheme="minorHAnsi"/>
          <w:sz w:val="22"/>
          <w:szCs w:val="22"/>
        </w:rPr>
        <w:t>and</w:t>
      </w:r>
      <w:r w:rsidRPr="00580343">
        <w:rPr>
          <w:rFonts w:cstheme="minorHAnsi"/>
          <w:sz w:val="22"/>
          <w:szCs w:val="22"/>
        </w:rPr>
        <w:t xml:space="preserve"> assesses it against the criteria in the </w:t>
      </w:r>
      <w:r w:rsidR="00AC0802" w:rsidRPr="0035598F">
        <w:rPr>
          <w:rFonts w:cstheme="minorHAnsi"/>
          <w:iCs/>
          <w:sz w:val="22"/>
          <w:szCs w:val="22"/>
        </w:rPr>
        <w:t xml:space="preserve">Business </w:t>
      </w:r>
      <w:r w:rsidRPr="0035598F">
        <w:rPr>
          <w:rFonts w:cstheme="minorHAnsi"/>
          <w:iCs/>
          <w:sz w:val="22"/>
          <w:szCs w:val="22"/>
        </w:rPr>
        <w:t>Rules</w:t>
      </w:r>
      <w:r w:rsidR="0035598F">
        <w:rPr>
          <w:rFonts w:cstheme="minorHAnsi"/>
          <w:iCs/>
          <w:sz w:val="22"/>
          <w:szCs w:val="22"/>
        </w:rPr>
        <w:t xml:space="preserve"> </w:t>
      </w:r>
      <w:r w:rsidRPr="00580343">
        <w:rPr>
          <w:rFonts w:cstheme="minorHAnsi"/>
          <w:sz w:val="22"/>
          <w:szCs w:val="22"/>
        </w:rPr>
        <w:t xml:space="preserve">and advises the hospital whether it is eligible for </w:t>
      </w:r>
      <w:r w:rsidR="007C1E8E">
        <w:rPr>
          <w:rFonts w:cstheme="minorHAnsi"/>
          <w:sz w:val="22"/>
          <w:szCs w:val="22"/>
        </w:rPr>
        <w:t>second-tier</w:t>
      </w:r>
      <w:r w:rsidRPr="00580343">
        <w:rPr>
          <w:rFonts w:cstheme="minorHAnsi"/>
          <w:sz w:val="22"/>
          <w:szCs w:val="22"/>
        </w:rPr>
        <w:t xml:space="preserve"> default benefits.</w:t>
      </w:r>
    </w:p>
    <w:p w14:paraId="65072454" w14:textId="24B464E0" w:rsidR="007E7879" w:rsidRPr="00580343" w:rsidRDefault="007E7879" w:rsidP="007E7879">
      <w:pPr>
        <w:rPr>
          <w:rFonts w:cstheme="minorHAnsi"/>
          <w:sz w:val="22"/>
          <w:szCs w:val="22"/>
        </w:rPr>
      </w:pPr>
      <w:r w:rsidRPr="00580343">
        <w:rPr>
          <w:rFonts w:cstheme="minorHAnsi"/>
          <w:sz w:val="22"/>
          <w:szCs w:val="22"/>
        </w:rPr>
        <w:t xml:space="preserve">The </w:t>
      </w:r>
      <w:r w:rsidR="009A58BB">
        <w:rPr>
          <w:rFonts w:cstheme="minorHAnsi"/>
          <w:sz w:val="22"/>
          <w:szCs w:val="22"/>
        </w:rPr>
        <w:t>department</w:t>
      </w:r>
      <w:r w:rsidRPr="00580343">
        <w:rPr>
          <w:rFonts w:cstheme="minorHAnsi"/>
          <w:sz w:val="22"/>
          <w:szCs w:val="22"/>
        </w:rPr>
        <w:t xml:space="preserve"> uses the outcomes of these assessments to maintain and publish a list of all private hospitals and their </w:t>
      </w:r>
      <w:r w:rsidR="007C1E8E">
        <w:rPr>
          <w:rFonts w:cstheme="minorHAnsi"/>
          <w:sz w:val="22"/>
          <w:szCs w:val="22"/>
        </w:rPr>
        <w:t>second-tier</w:t>
      </w:r>
      <w:r w:rsidRPr="00580343">
        <w:rPr>
          <w:rFonts w:cstheme="minorHAnsi"/>
          <w:sz w:val="22"/>
          <w:szCs w:val="22"/>
        </w:rPr>
        <w:t xml:space="preserve"> eligibility status. This is used by health insurers to calculate </w:t>
      </w:r>
      <w:r w:rsidR="007C1E8E">
        <w:rPr>
          <w:rFonts w:cstheme="minorHAnsi"/>
          <w:sz w:val="22"/>
          <w:szCs w:val="22"/>
        </w:rPr>
        <w:t>second-tier</w:t>
      </w:r>
      <w:r w:rsidRPr="00580343">
        <w:rPr>
          <w:rFonts w:cstheme="minorHAnsi"/>
          <w:sz w:val="22"/>
          <w:szCs w:val="22"/>
        </w:rPr>
        <w:t xml:space="preserve"> default benefits in accordance with the </w:t>
      </w:r>
      <w:r w:rsidRPr="00580343">
        <w:rPr>
          <w:rFonts w:cstheme="minorHAnsi"/>
          <w:i/>
          <w:sz w:val="22"/>
          <w:szCs w:val="22"/>
        </w:rPr>
        <w:t>Private Health Insurance (Benefit Requirements) Rules</w:t>
      </w:r>
      <w:r w:rsidR="00AC0802">
        <w:rPr>
          <w:rFonts w:cstheme="minorHAnsi"/>
          <w:sz w:val="22"/>
          <w:szCs w:val="22"/>
        </w:rPr>
        <w:t xml:space="preserve"> (the Benefit Rules).</w:t>
      </w:r>
    </w:p>
    <w:p w14:paraId="5E099D74" w14:textId="22AC9914" w:rsidR="007E7879" w:rsidRPr="00580343" w:rsidRDefault="007E7879" w:rsidP="007E7879">
      <w:pPr>
        <w:rPr>
          <w:rFonts w:cstheme="minorHAnsi"/>
          <w:sz w:val="22"/>
          <w:szCs w:val="22"/>
        </w:rPr>
      </w:pPr>
      <w:r w:rsidRPr="00580343">
        <w:rPr>
          <w:rFonts w:cstheme="minorHAnsi"/>
          <w:sz w:val="22"/>
          <w:szCs w:val="22"/>
        </w:rPr>
        <w:t xml:space="preserve">If the </w:t>
      </w:r>
      <w:r w:rsidR="009A58BB">
        <w:rPr>
          <w:rFonts w:cstheme="minorHAnsi"/>
          <w:sz w:val="22"/>
          <w:szCs w:val="22"/>
        </w:rPr>
        <w:t>department</w:t>
      </w:r>
      <w:r w:rsidRPr="00580343">
        <w:rPr>
          <w:rFonts w:cstheme="minorHAnsi"/>
          <w:sz w:val="22"/>
          <w:szCs w:val="22"/>
        </w:rPr>
        <w:t xml:space="preserve"> considers that an application is likely to be unsuccessful, the applicant will be given an opportunity to provide additional information prior to a formal determination.</w:t>
      </w:r>
    </w:p>
    <w:p w14:paraId="5A416AFA" w14:textId="23AA2ACB" w:rsidR="00CD66BE" w:rsidRPr="00580343" w:rsidRDefault="007E7879" w:rsidP="007E7879">
      <w:pPr>
        <w:spacing w:after="200" w:line="276" w:lineRule="auto"/>
        <w:rPr>
          <w:rFonts w:cstheme="minorHAnsi"/>
          <w:sz w:val="22"/>
          <w:szCs w:val="22"/>
        </w:rPr>
      </w:pPr>
      <w:r w:rsidRPr="00580343">
        <w:rPr>
          <w:rFonts w:cstheme="minorHAnsi"/>
          <w:sz w:val="22"/>
          <w:szCs w:val="22"/>
        </w:rPr>
        <w:t xml:space="preserve">The </w:t>
      </w:r>
      <w:r w:rsidR="009A58BB">
        <w:rPr>
          <w:rFonts w:cstheme="minorHAnsi"/>
          <w:sz w:val="22"/>
          <w:szCs w:val="22"/>
        </w:rPr>
        <w:t>department</w:t>
      </w:r>
      <w:r w:rsidRPr="00580343">
        <w:rPr>
          <w:rFonts w:cstheme="minorHAnsi"/>
          <w:sz w:val="22"/>
          <w:szCs w:val="22"/>
        </w:rPr>
        <w:t xml:space="preserve"> reviews its business processes annually to ensure optimal efficiency.</w:t>
      </w:r>
    </w:p>
    <w:p w14:paraId="380A3DF8" w14:textId="699F25AF" w:rsidR="004E11E0" w:rsidRPr="00580343" w:rsidRDefault="004E11E0" w:rsidP="00400C30">
      <w:pPr>
        <w:pStyle w:val="Heading2"/>
      </w:pPr>
      <w:r w:rsidRPr="00580343">
        <w:t>Costs of the regulatory charging activity</w:t>
      </w:r>
    </w:p>
    <w:p w14:paraId="4C2864AE" w14:textId="639546EB" w:rsidR="007C1E8E" w:rsidRDefault="007C1E8E" w:rsidP="007C1E8E">
      <w:pPr>
        <w:rPr>
          <w:rFonts w:cstheme="minorHAnsi"/>
          <w:sz w:val="22"/>
          <w:szCs w:val="22"/>
        </w:rPr>
      </w:pPr>
      <w:r>
        <w:rPr>
          <w:rFonts w:cstheme="minorHAnsi"/>
          <w:sz w:val="22"/>
          <w:szCs w:val="22"/>
        </w:rPr>
        <w:t xml:space="preserve">The </w:t>
      </w:r>
      <w:r w:rsidR="00EE0026">
        <w:rPr>
          <w:rFonts w:cstheme="minorHAnsi"/>
          <w:sz w:val="22"/>
          <w:szCs w:val="22"/>
        </w:rPr>
        <w:t>d</w:t>
      </w:r>
      <w:r>
        <w:rPr>
          <w:rFonts w:cstheme="minorHAnsi"/>
          <w:sz w:val="22"/>
          <w:szCs w:val="22"/>
        </w:rPr>
        <w:t xml:space="preserve">epartment calculated the direct and indirect costs of assessing applications for second-tier default benefits and maintaining a list of private hospitals, including each hospital’s second-tier eligibility status. The main cost driver for the activity is staff time required to manage the volume of applications received from private hospitals. The </w:t>
      </w:r>
      <w:r w:rsidR="00EE0026">
        <w:rPr>
          <w:rFonts w:cstheme="minorHAnsi"/>
          <w:sz w:val="22"/>
          <w:szCs w:val="22"/>
        </w:rPr>
        <w:t>d</w:t>
      </w:r>
      <w:r>
        <w:rPr>
          <w:rFonts w:cstheme="minorHAnsi"/>
          <w:sz w:val="22"/>
          <w:szCs w:val="22"/>
        </w:rPr>
        <w:t xml:space="preserve">epartment assumed that each application </w:t>
      </w:r>
      <w:r w:rsidR="00D54EB2">
        <w:rPr>
          <w:rFonts w:cstheme="minorHAnsi"/>
          <w:sz w:val="22"/>
          <w:szCs w:val="22"/>
        </w:rPr>
        <w:t xml:space="preserve">would </w:t>
      </w:r>
      <w:r>
        <w:rPr>
          <w:rFonts w:cstheme="minorHAnsi"/>
          <w:sz w:val="22"/>
          <w:szCs w:val="22"/>
        </w:rPr>
        <w:t>take the same amount of time to assess. Staff from the APS 5 to SES Band 1 levels are involved in the process, with the bulk of the work taking place at the APS 5 level.</w:t>
      </w:r>
    </w:p>
    <w:p w14:paraId="44AB4878" w14:textId="75E6FFF3" w:rsidR="007C1E8E" w:rsidRDefault="007C1E8E" w:rsidP="007C1E8E">
      <w:pPr>
        <w:rPr>
          <w:rFonts w:cstheme="minorHAnsi"/>
          <w:sz w:val="22"/>
          <w:szCs w:val="22"/>
        </w:rPr>
      </w:pPr>
      <w:r>
        <w:rPr>
          <w:rFonts w:cstheme="minorHAnsi"/>
          <w:sz w:val="22"/>
          <w:szCs w:val="22"/>
        </w:rPr>
        <w:t xml:space="preserve">The </w:t>
      </w:r>
      <w:r w:rsidR="00EE0026">
        <w:rPr>
          <w:rFonts w:cstheme="minorHAnsi"/>
          <w:sz w:val="22"/>
          <w:szCs w:val="22"/>
        </w:rPr>
        <w:t>d</w:t>
      </w:r>
      <w:r>
        <w:rPr>
          <w:rFonts w:cstheme="minorHAnsi"/>
          <w:sz w:val="22"/>
          <w:szCs w:val="22"/>
        </w:rPr>
        <w:t xml:space="preserve">epartment estimated the amount of time required of each staffing level to assess an application, including associated clearances and administrative activities, based on the level of effort required for comparable activities. These time estimates were used to calculate direct costs for the activity, being the total of salaries and associated on-costs. To calculate indirect costs, the </w:t>
      </w:r>
      <w:r w:rsidR="00EE0026">
        <w:rPr>
          <w:rFonts w:cstheme="minorHAnsi"/>
          <w:sz w:val="22"/>
          <w:szCs w:val="22"/>
        </w:rPr>
        <w:t>d</w:t>
      </w:r>
      <w:r>
        <w:rPr>
          <w:rFonts w:cstheme="minorHAnsi"/>
          <w:sz w:val="22"/>
          <w:szCs w:val="22"/>
        </w:rPr>
        <w:t xml:space="preserve">epartment multiplied these time estimates by its standard rates for training, human resources, and shared services. </w:t>
      </w:r>
    </w:p>
    <w:p w14:paraId="7A07F497" w14:textId="563FA6E4" w:rsidR="007C1E8E" w:rsidRDefault="007C1E8E" w:rsidP="51C7B40A">
      <w:pPr>
        <w:rPr>
          <w:rFonts w:cstheme="minorBidi"/>
          <w:sz w:val="20"/>
          <w:szCs w:val="20"/>
        </w:rPr>
      </w:pPr>
      <w:r w:rsidRPr="51C7B40A">
        <w:rPr>
          <w:rFonts w:cstheme="minorBidi"/>
          <w:sz w:val="22"/>
          <w:szCs w:val="22"/>
        </w:rPr>
        <w:t>Fees are indexed annually consistent with the Government’s indexation policy reflecting the cost of providing this service due to increase</w:t>
      </w:r>
      <w:r w:rsidR="72D82CE9" w:rsidRPr="51C7B40A">
        <w:rPr>
          <w:rFonts w:cstheme="minorBidi"/>
          <w:sz w:val="22"/>
          <w:szCs w:val="22"/>
        </w:rPr>
        <w:t>s</w:t>
      </w:r>
      <w:r w:rsidRPr="51C7B40A">
        <w:rPr>
          <w:rFonts w:cstheme="minorBidi"/>
          <w:sz w:val="22"/>
          <w:szCs w:val="22"/>
        </w:rPr>
        <w:t xml:space="preserve"> in staff salaries and other staff overhead costs.</w:t>
      </w:r>
    </w:p>
    <w:p w14:paraId="03E78002" w14:textId="0C51ABCC" w:rsidR="007E7879" w:rsidRPr="00580343" w:rsidRDefault="007E7879" w:rsidP="51C7B40A">
      <w:pPr>
        <w:rPr>
          <w:rFonts w:cstheme="minorBidi"/>
          <w:sz w:val="20"/>
          <w:szCs w:val="20"/>
        </w:rPr>
      </w:pPr>
      <w:r w:rsidRPr="51C7B40A">
        <w:rPr>
          <w:rFonts w:cstheme="minorBidi"/>
          <w:sz w:val="22"/>
          <w:szCs w:val="22"/>
        </w:rPr>
        <w:t xml:space="preserve">Table 1 shows the estimated cost to the </w:t>
      </w:r>
      <w:r w:rsidR="009A58BB" w:rsidRPr="51C7B40A">
        <w:rPr>
          <w:rFonts w:cstheme="minorBidi"/>
          <w:sz w:val="22"/>
          <w:szCs w:val="22"/>
        </w:rPr>
        <w:t>department</w:t>
      </w:r>
      <w:r w:rsidRPr="51C7B40A">
        <w:rPr>
          <w:rFonts w:cstheme="minorBidi"/>
          <w:sz w:val="22"/>
          <w:szCs w:val="22"/>
        </w:rPr>
        <w:t xml:space="preserve"> of administering one application in </w:t>
      </w:r>
      <w:r w:rsidR="003B1BC7" w:rsidRPr="51C7B40A">
        <w:rPr>
          <w:rFonts w:cstheme="minorBidi"/>
          <w:sz w:val="22"/>
          <w:szCs w:val="22"/>
        </w:rPr>
        <w:t>202</w:t>
      </w:r>
      <w:r w:rsidR="003B1BC7">
        <w:rPr>
          <w:rFonts w:cstheme="minorBidi"/>
          <w:sz w:val="22"/>
          <w:szCs w:val="22"/>
        </w:rPr>
        <w:t>5</w:t>
      </w:r>
      <w:r w:rsidR="23D03ED1" w:rsidRPr="51C7B40A">
        <w:rPr>
          <w:rFonts w:cstheme="minorBidi"/>
          <w:sz w:val="22"/>
          <w:szCs w:val="22"/>
        </w:rPr>
        <w:t>-</w:t>
      </w:r>
      <w:r w:rsidR="003B1BC7" w:rsidRPr="51C7B40A">
        <w:rPr>
          <w:rFonts w:cstheme="minorBidi"/>
          <w:sz w:val="22"/>
          <w:szCs w:val="22"/>
        </w:rPr>
        <w:t>2</w:t>
      </w:r>
      <w:r w:rsidR="003B1BC7">
        <w:rPr>
          <w:rFonts w:cstheme="minorBidi"/>
          <w:sz w:val="22"/>
          <w:szCs w:val="22"/>
        </w:rPr>
        <w:t>6</w:t>
      </w:r>
      <w:r w:rsidRPr="51C7B40A">
        <w:rPr>
          <w:rFonts w:cstheme="minorBidi"/>
          <w:sz w:val="22"/>
          <w:szCs w:val="22"/>
        </w:rPr>
        <w:t>.</w:t>
      </w:r>
    </w:p>
    <w:p w14:paraId="340F0601" w14:textId="3650EB8E"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1</w:t>
      </w:r>
      <w:r>
        <w:fldChar w:fldCharType="end"/>
      </w:r>
      <w:r w:rsidR="007E7879" w:rsidRPr="00580343">
        <w:rPr>
          <w:rFonts w:cstheme="minorHAnsi"/>
          <w:szCs w:val="24"/>
        </w:rPr>
        <w:t xml:space="preserve"> Estimated cost of administering one application in </w:t>
      </w:r>
      <w:r w:rsidR="003B1BC7" w:rsidRPr="00580343">
        <w:rPr>
          <w:rFonts w:cstheme="minorHAnsi"/>
          <w:szCs w:val="24"/>
        </w:rPr>
        <w:t>202</w:t>
      </w:r>
      <w:r w:rsidR="003B1BC7">
        <w:rPr>
          <w:rFonts w:cstheme="minorHAnsi"/>
          <w:szCs w:val="24"/>
        </w:rPr>
        <w:t>5</w:t>
      </w:r>
      <w:r w:rsidR="007E7879" w:rsidRPr="00580343">
        <w:rPr>
          <w:rFonts w:cstheme="minorHAnsi"/>
          <w:szCs w:val="24"/>
        </w:rPr>
        <w:t>-</w:t>
      </w:r>
      <w:r w:rsidR="003B1BC7" w:rsidRPr="00580343">
        <w:rPr>
          <w:rFonts w:cstheme="minorHAnsi"/>
          <w:szCs w:val="24"/>
        </w:rPr>
        <w:t>2</w:t>
      </w:r>
      <w:r w:rsidR="003B1BC7">
        <w:rPr>
          <w:rFonts w:cstheme="minorHAnsi"/>
          <w:szCs w:val="24"/>
        </w:rPr>
        <w:t>6</w:t>
      </w:r>
    </w:p>
    <w:tbl>
      <w:tblPr>
        <w:tblW w:w="9350" w:type="dxa"/>
        <w:tblLook w:val="04A0" w:firstRow="1" w:lastRow="0" w:firstColumn="1" w:lastColumn="0" w:noHBand="0" w:noVBand="1"/>
      </w:tblPr>
      <w:tblGrid>
        <w:gridCol w:w="5240"/>
        <w:gridCol w:w="1418"/>
        <w:gridCol w:w="1275"/>
        <w:gridCol w:w="1417"/>
      </w:tblGrid>
      <w:tr w:rsidR="00CD66BE" w:rsidRPr="00062D10" w14:paraId="30D216CF" w14:textId="77777777" w:rsidTr="00BF0BE3">
        <w:trPr>
          <w:trHeight w:val="402"/>
          <w:tblHeader/>
        </w:trPr>
        <w:tc>
          <w:tcPr>
            <w:tcW w:w="5240" w:type="dxa"/>
            <w:tcBorders>
              <w:top w:val="single" w:sz="4" w:space="0" w:color="A6A6A6"/>
              <w:left w:val="single" w:sz="4" w:space="0" w:color="A6A6A6"/>
              <w:bottom w:val="single" w:sz="4" w:space="0" w:color="A6A6A6"/>
              <w:right w:val="nil"/>
            </w:tcBorders>
            <w:shd w:val="clear" w:color="auto" w:fill="D9D9D9" w:themeFill="background1" w:themeFillShade="D9"/>
            <w:noWrap/>
            <w:vAlign w:val="center"/>
            <w:hideMark/>
          </w:tcPr>
          <w:p w14:paraId="3F661CAB" w14:textId="3E56F3F2" w:rsidR="00CD66BE" w:rsidRPr="00062D10" w:rsidRDefault="00CD66BE" w:rsidP="006E7148">
            <w:pPr>
              <w:keepNext/>
              <w:keepLines/>
              <w:spacing w:before="120" w:after="120"/>
              <w:rPr>
                <w:rFonts w:cstheme="minorHAnsi"/>
                <w:b/>
                <w:lang w:eastAsia="en-AU"/>
              </w:rPr>
            </w:pPr>
            <w:r w:rsidRPr="00062D10">
              <w:rPr>
                <w:rFonts w:cstheme="minorHAnsi"/>
                <w:b/>
                <w:bCs/>
                <w:color w:val="000000"/>
                <w:sz w:val="22"/>
                <w:szCs w:val="22"/>
              </w:rPr>
              <w:t xml:space="preserve">Unit cost for </w:t>
            </w:r>
            <w:r w:rsidR="00062D10" w:rsidRPr="00062D10">
              <w:rPr>
                <w:rFonts w:cstheme="minorHAnsi"/>
                <w:b/>
                <w:bCs/>
                <w:color w:val="000000"/>
                <w:sz w:val="22"/>
                <w:szCs w:val="22"/>
              </w:rPr>
              <w:t>202</w:t>
            </w:r>
            <w:r w:rsidR="00062D10" w:rsidRPr="00BF0BE3">
              <w:rPr>
                <w:rFonts w:cstheme="minorHAnsi"/>
                <w:b/>
                <w:bCs/>
                <w:color w:val="000000"/>
                <w:sz w:val="22"/>
                <w:szCs w:val="22"/>
              </w:rPr>
              <w:t>5</w:t>
            </w:r>
            <w:r w:rsidRPr="00062D10">
              <w:rPr>
                <w:rFonts w:cstheme="minorHAnsi"/>
                <w:b/>
                <w:bCs/>
                <w:color w:val="000000"/>
                <w:sz w:val="22"/>
                <w:szCs w:val="22"/>
              </w:rPr>
              <w:t>-2</w:t>
            </w:r>
            <w:r w:rsidR="00062D10" w:rsidRPr="00BF0BE3">
              <w:rPr>
                <w:rFonts w:cstheme="minorHAnsi"/>
                <w:b/>
                <w:bCs/>
                <w:color w:val="000000"/>
                <w:sz w:val="22"/>
                <w:szCs w:val="22"/>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4B66B0D3" w14:textId="7943F787"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Direct Cost</w:t>
            </w:r>
          </w:p>
        </w:tc>
        <w:tc>
          <w:tcPr>
            <w:tcW w:w="1275" w:type="dxa"/>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3D9A6D4A" w14:textId="0EFC3F28"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Indirect Cost</w:t>
            </w:r>
          </w:p>
        </w:tc>
        <w:tc>
          <w:tcPr>
            <w:tcW w:w="1417" w:type="dxa"/>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685F732B" w14:textId="39D3BCDE"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Total</w:t>
            </w:r>
          </w:p>
        </w:tc>
      </w:tr>
      <w:tr w:rsidR="00062D10" w:rsidRPr="00062D10" w14:paraId="3EC4DCD2" w14:textId="77777777" w:rsidTr="00BF0BE3">
        <w:trPr>
          <w:trHeight w:val="300"/>
        </w:trPr>
        <w:tc>
          <w:tcPr>
            <w:tcW w:w="5240" w:type="dxa"/>
            <w:tcBorders>
              <w:top w:val="single" w:sz="4" w:space="0" w:color="A6A6A6"/>
              <w:left w:val="single" w:sz="4" w:space="0" w:color="A6A6A6"/>
              <w:bottom w:val="dotted" w:sz="4" w:space="0" w:color="A6A6A6"/>
              <w:right w:val="nil"/>
            </w:tcBorders>
            <w:shd w:val="clear" w:color="auto" w:fill="auto"/>
            <w:noWrap/>
            <w:vAlign w:val="bottom"/>
            <w:hideMark/>
          </w:tcPr>
          <w:p w14:paraId="06C1C30B" w14:textId="52253AA6"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Receive and record application</w:t>
            </w:r>
          </w:p>
        </w:tc>
        <w:tc>
          <w:tcPr>
            <w:tcW w:w="1418" w:type="dxa"/>
            <w:tcBorders>
              <w:top w:val="single" w:sz="4" w:space="0" w:color="A6A6A6"/>
              <w:left w:val="single" w:sz="4" w:space="0" w:color="A6A6A6"/>
              <w:bottom w:val="dotted" w:sz="4" w:space="0" w:color="A6A6A6"/>
              <w:right w:val="single" w:sz="4" w:space="0" w:color="A6A6A6"/>
            </w:tcBorders>
            <w:shd w:val="clear" w:color="auto" w:fill="auto"/>
            <w:noWrap/>
            <w:hideMark/>
          </w:tcPr>
          <w:p w14:paraId="5264272E" w14:textId="28D9522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$27 </w:t>
            </w:r>
          </w:p>
        </w:tc>
        <w:tc>
          <w:tcPr>
            <w:tcW w:w="1275" w:type="dxa"/>
            <w:tcBorders>
              <w:top w:val="single" w:sz="4" w:space="0" w:color="A6A6A6"/>
              <w:left w:val="nil"/>
              <w:bottom w:val="dotted" w:sz="4" w:space="0" w:color="A6A6A6"/>
              <w:right w:val="single" w:sz="4" w:space="0" w:color="A6A6A6"/>
            </w:tcBorders>
            <w:shd w:val="clear" w:color="auto" w:fill="auto"/>
            <w:noWrap/>
            <w:hideMark/>
          </w:tcPr>
          <w:p w14:paraId="673FF3AA" w14:textId="343231D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$9 </w:t>
            </w:r>
          </w:p>
        </w:tc>
        <w:tc>
          <w:tcPr>
            <w:tcW w:w="1417" w:type="dxa"/>
            <w:tcBorders>
              <w:top w:val="single" w:sz="4" w:space="0" w:color="A6A6A6"/>
              <w:left w:val="nil"/>
              <w:bottom w:val="dotted" w:sz="4" w:space="0" w:color="A6A6A6"/>
              <w:right w:val="single" w:sz="4" w:space="0" w:color="A6A6A6"/>
            </w:tcBorders>
            <w:shd w:val="clear" w:color="auto" w:fill="auto"/>
            <w:noWrap/>
            <w:hideMark/>
          </w:tcPr>
          <w:p w14:paraId="1B73A670" w14:textId="04AF9087"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$36 </w:t>
            </w:r>
          </w:p>
        </w:tc>
      </w:tr>
      <w:tr w:rsidR="00062D10" w:rsidRPr="00062D10" w14:paraId="7C050996" w14:textId="77777777" w:rsidTr="00BF0BE3">
        <w:trPr>
          <w:trHeight w:val="300"/>
        </w:trPr>
        <w:tc>
          <w:tcPr>
            <w:tcW w:w="5240" w:type="dxa"/>
            <w:tcBorders>
              <w:top w:val="nil"/>
              <w:left w:val="single" w:sz="4" w:space="0" w:color="A6A6A6"/>
              <w:bottom w:val="dotted" w:sz="4" w:space="0" w:color="A6A6A6"/>
              <w:right w:val="nil"/>
            </w:tcBorders>
            <w:shd w:val="clear" w:color="auto" w:fill="auto"/>
            <w:noWrap/>
            <w:vAlign w:val="bottom"/>
            <w:hideMark/>
          </w:tcPr>
          <w:p w14:paraId="21583EBB" w14:textId="5D9D44A3"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Check and acknowledge application; Invoice Process</w:t>
            </w:r>
          </w:p>
        </w:tc>
        <w:tc>
          <w:tcPr>
            <w:tcW w:w="1418" w:type="dxa"/>
            <w:tcBorders>
              <w:top w:val="nil"/>
              <w:left w:val="single" w:sz="4" w:space="0" w:color="A6A6A6"/>
              <w:bottom w:val="dotted" w:sz="4" w:space="0" w:color="A6A6A6"/>
              <w:right w:val="single" w:sz="4" w:space="0" w:color="A6A6A6"/>
            </w:tcBorders>
            <w:shd w:val="clear" w:color="auto" w:fill="auto"/>
            <w:noWrap/>
            <w:hideMark/>
          </w:tcPr>
          <w:p w14:paraId="516B48A0" w14:textId="5E484915"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$92 </w:t>
            </w:r>
          </w:p>
        </w:tc>
        <w:tc>
          <w:tcPr>
            <w:tcW w:w="1275" w:type="dxa"/>
            <w:tcBorders>
              <w:top w:val="nil"/>
              <w:left w:val="nil"/>
              <w:bottom w:val="dotted" w:sz="4" w:space="0" w:color="A6A6A6"/>
              <w:right w:val="single" w:sz="4" w:space="0" w:color="A6A6A6"/>
            </w:tcBorders>
            <w:shd w:val="clear" w:color="auto" w:fill="auto"/>
            <w:noWrap/>
            <w:hideMark/>
          </w:tcPr>
          <w:p w14:paraId="1BCE00E9" w14:textId="162893C2"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$27 </w:t>
            </w:r>
          </w:p>
        </w:tc>
        <w:tc>
          <w:tcPr>
            <w:tcW w:w="1417" w:type="dxa"/>
            <w:tcBorders>
              <w:top w:val="nil"/>
              <w:left w:val="nil"/>
              <w:bottom w:val="dotted" w:sz="4" w:space="0" w:color="A6A6A6"/>
              <w:right w:val="single" w:sz="4" w:space="0" w:color="A6A6A6"/>
            </w:tcBorders>
            <w:shd w:val="clear" w:color="auto" w:fill="auto"/>
            <w:noWrap/>
            <w:hideMark/>
          </w:tcPr>
          <w:p w14:paraId="4905BBDE" w14:textId="2DB926E2"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$119 </w:t>
            </w:r>
          </w:p>
        </w:tc>
      </w:tr>
      <w:tr w:rsidR="00062D10" w:rsidRPr="00062D10" w14:paraId="1DBA4700" w14:textId="77777777" w:rsidTr="00BF0BE3">
        <w:trPr>
          <w:trHeight w:val="300"/>
        </w:trPr>
        <w:tc>
          <w:tcPr>
            <w:tcW w:w="5240" w:type="dxa"/>
            <w:tcBorders>
              <w:top w:val="nil"/>
              <w:left w:val="single" w:sz="4" w:space="0" w:color="A6A6A6"/>
              <w:bottom w:val="dotted" w:sz="4" w:space="0" w:color="A6A6A6"/>
              <w:right w:val="nil"/>
            </w:tcBorders>
            <w:shd w:val="clear" w:color="auto" w:fill="auto"/>
            <w:noWrap/>
            <w:vAlign w:val="bottom"/>
            <w:hideMark/>
          </w:tcPr>
          <w:p w14:paraId="684DCCCE" w14:textId="35005DCA" w:rsidR="00062D10" w:rsidRPr="00062D10" w:rsidRDefault="00062D10" w:rsidP="00062D10">
            <w:pPr>
              <w:keepNext/>
              <w:keepLines/>
              <w:spacing w:after="0"/>
              <w:ind w:firstLineChars="141" w:firstLine="310"/>
              <w:rPr>
                <w:rFonts w:cstheme="minorHAnsi"/>
                <w:color w:val="000000"/>
                <w:sz w:val="22"/>
                <w:szCs w:val="22"/>
                <w:lang w:eastAsia="en-AU"/>
              </w:rPr>
            </w:pPr>
            <w:r w:rsidRPr="00062D10">
              <w:rPr>
                <w:rFonts w:cstheme="minorHAnsi"/>
                <w:color w:val="000000"/>
                <w:sz w:val="22"/>
                <w:szCs w:val="22"/>
              </w:rPr>
              <w:t>Assessment and approvals</w:t>
            </w:r>
          </w:p>
        </w:tc>
        <w:tc>
          <w:tcPr>
            <w:tcW w:w="1418" w:type="dxa"/>
            <w:tcBorders>
              <w:top w:val="nil"/>
              <w:left w:val="single" w:sz="4" w:space="0" w:color="A6A6A6"/>
              <w:bottom w:val="dotted" w:sz="4" w:space="0" w:color="A6A6A6"/>
              <w:right w:val="single" w:sz="4" w:space="0" w:color="A6A6A6"/>
            </w:tcBorders>
            <w:shd w:val="clear" w:color="auto" w:fill="auto"/>
            <w:noWrap/>
            <w:hideMark/>
          </w:tcPr>
          <w:p w14:paraId="0BB6EADB" w14:textId="331588CA" w:rsidR="00062D10" w:rsidRPr="00062D10" w:rsidRDefault="00062D10" w:rsidP="00062D10">
            <w:pPr>
              <w:keepNext/>
              <w:keepLines/>
              <w:spacing w:after="0"/>
              <w:ind w:right="307" w:hanging="93"/>
              <w:jc w:val="right"/>
              <w:rPr>
                <w:rFonts w:cstheme="minorHAnsi"/>
                <w:color w:val="000000"/>
                <w:sz w:val="22"/>
                <w:szCs w:val="22"/>
                <w:lang w:eastAsia="en-AU"/>
              </w:rPr>
            </w:pPr>
            <w:r w:rsidRPr="00BF0BE3">
              <w:rPr>
                <w:sz w:val="22"/>
                <w:szCs w:val="22"/>
              </w:rPr>
              <w:t xml:space="preserve"> $486 </w:t>
            </w:r>
          </w:p>
        </w:tc>
        <w:tc>
          <w:tcPr>
            <w:tcW w:w="1275" w:type="dxa"/>
            <w:tcBorders>
              <w:top w:val="nil"/>
              <w:left w:val="nil"/>
              <w:bottom w:val="dotted" w:sz="4" w:space="0" w:color="A6A6A6"/>
              <w:right w:val="single" w:sz="4" w:space="0" w:color="A6A6A6"/>
            </w:tcBorders>
            <w:shd w:val="clear" w:color="auto" w:fill="auto"/>
            <w:noWrap/>
            <w:hideMark/>
          </w:tcPr>
          <w:p w14:paraId="035C9C3E" w14:textId="5C2D7B4F"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$111 </w:t>
            </w:r>
          </w:p>
        </w:tc>
        <w:tc>
          <w:tcPr>
            <w:tcW w:w="1417" w:type="dxa"/>
            <w:tcBorders>
              <w:top w:val="nil"/>
              <w:left w:val="nil"/>
              <w:bottom w:val="dotted" w:sz="4" w:space="0" w:color="A6A6A6"/>
              <w:right w:val="single" w:sz="4" w:space="0" w:color="A6A6A6"/>
            </w:tcBorders>
            <w:shd w:val="clear" w:color="auto" w:fill="auto"/>
            <w:noWrap/>
            <w:hideMark/>
          </w:tcPr>
          <w:p w14:paraId="12E2B158" w14:textId="57E05BF1"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$597 </w:t>
            </w:r>
          </w:p>
        </w:tc>
      </w:tr>
      <w:tr w:rsidR="00062D10" w:rsidRPr="00062D10" w14:paraId="3CFDEE3C" w14:textId="77777777" w:rsidTr="00BF0BE3">
        <w:trPr>
          <w:trHeight w:val="300"/>
        </w:trPr>
        <w:tc>
          <w:tcPr>
            <w:tcW w:w="5240" w:type="dxa"/>
            <w:tcBorders>
              <w:top w:val="nil"/>
              <w:left w:val="single" w:sz="4" w:space="0" w:color="A6A6A6"/>
              <w:bottom w:val="dotted" w:sz="4" w:space="0" w:color="A6A6A6"/>
              <w:right w:val="nil"/>
            </w:tcBorders>
            <w:shd w:val="clear" w:color="auto" w:fill="auto"/>
            <w:noWrap/>
            <w:vAlign w:val="bottom"/>
          </w:tcPr>
          <w:p w14:paraId="5224DB7D" w14:textId="50D36D63"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Finalise assessment and advise hospital</w:t>
            </w:r>
          </w:p>
        </w:tc>
        <w:tc>
          <w:tcPr>
            <w:tcW w:w="1418" w:type="dxa"/>
            <w:tcBorders>
              <w:top w:val="nil"/>
              <w:left w:val="single" w:sz="4" w:space="0" w:color="A6A6A6"/>
              <w:bottom w:val="dotted" w:sz="4" w:space="0" w:color="A6A6A6"/>
              <w:right w:val="single" w:sz="4" w:space="0" w:color="A6A6A6"/>
            </w:tcBorders>
            <w:shd w:val="clear" w:color="auto" w:fill="auto"/>
            <w:noWrap/>
          </w:tcPr>
          <w:p w14:paraId="6B053B06" w14:textId="55340903" w:rsidR="00062D10" w:rsidRPr="00062D10" w:rsidRDefault="00062D10" w:rsidP="00062D10">
            <w:pPr>
              <w:keepNext/>
              <w:keepLines/>
              <w:spacing w:after="0"/>
              <w:ind w:right="307" w:hanging="93"/>
              <w:jc w:val="right"/>
              <w:rPr>
                <w:rFonts w:cstheme="minorHAnsi"/>
                <w:color w:val="000000"/>
                <w:sz w:val="22"/>
                <w:szCs w:val="22"/>
              </w:rPr>
            </w:pPr>
            <w:r w:rsidRPr="00BF0BE3">
              <w:rPr>
                <w:sz w:val="22"/>
                <w:szCs w:val="22"/>
              </w:rPr>
              <w:t xml:space="preserve"> $92 </w:t>
            </w:r>
          </w:p>
        </w:tc>
        <w:tc>
          <w:tcPr>
            <w:tcW w:w="1275" w:type="dxa"/>
            <w:tcBorders>
              <w:top w:val="nil"/>
              <w:left w:val="nil"/>
              <w:bottom w:val="dotted" w:sz="4" w:space="0" w:color="A6A6A6"/>
              <w:right w:val="single" w:sz="4" w:space="0" w:color="A6A6A6"/>
            </w:tcBorders>
            <w:shd w:val="clear" w:color="auto" w:fill="auto"/>
            <w:noWrap/>
          </w:tcPr>
          <w:p w14:paraId="42B6559B" w14:textId="484A9779"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$22 </w:t>
            </w:r>
          </w:p>
        </w:tc>
        <w:tc>
          <w:tcPr>
            <w:tcW w:w="1417" w:type="dxa"/>
            <w:tcBorders>
              <w:top w:val="nil"/>
              <w:left w:val="nil"/>
              <w:bottom w:val="dotted" w:sz="4" w:space="0" w:color="A6A6A6"/>
              <w:right w:val="single" w:sz="4" w:space="0" w:color="A6A6A6"/>
            </w:tcBorders>
            <w:shd w:val="clear" w:color="auto" w:fill="auto"/>
            <w:noWrap/>
          </w:tcPr>
          <w:p w14:paraId="67FF0208" w14:textId="70A1DF8F"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$114 </w:t>
            </w:r>
          </w:p>
        </w:tc>
      </w:tr>
      <w:tr w:rsidR="00062D10" w:rsidRPr="00062D10" w14:paraId="524AE967" w14:textId="77777777" w:rsidTr="00BF0BE3">
        <w:trPr>
          <w:trHeight w:val="300"/>
        </w:trPr>
        <w:tc>
          <w:tcPr>
            <w:tcW w:w="5240" w:type="dxa"/>
            <w:tcBorders>
              <w:top w:val="nil"/>
              <w:left w:val="single" w:sz="4" w:space="0" w:color="A6A6A6"/>
              <w:bottom w:val="dotted" w:sz="4" w:space="0" w:color="A6A6A6"/>
              <w:right w:val="nil"/>
            </w:tcBorders>
            <w:shd w:val="clear" w:color="auto" w:fill="auto"/>
            <w:noWrap/>
            <w:vAlign w:val="bottom"/>
          </w:tcPr>
          <w:p w14:paraId="54714CA9" w14:textId="6D6A82A5"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Publish outcome</w:t>
            </w:r>
          </w:p>
        </w:tc>
        <w:tc>
          <w:tcPr>
            <w:tcW w:w="1418" w:type="dxa"/>
            <w:tcBorders>
              <w:top w:val="nil"/>
              <w:left w:val="single" w:sz="4" w:space="0" w:color="A6A6A6"/>
              <w:bottom w:val="dotted" w:sz="4" w:space="0" w:color="A6A6A6"/>
              <w:right w:val="single" w:sz="4" w:space="0" w:color="A6A6A6"/>
            </w:tcBorders>
            <w:shd w:val="clear" w:color="auto" w:fill="auto"/>
            <w:noWrap/>
          </w:tcPr>
          <w:p w14:paraId="1996D4ED" w14:textId="0D0A72A7" w:rsidR="00062D10" w:rsidRPr="00062D10" w:rsidRDefault="00062D10" w:rsidP="00062D10">
            <w:pPr>
              <w:keepNext/>
              <w:keepLines/>
              <w:spacing w:after="0"/>
              <w:ind w:right="307" w:hanging="93"/>
              <w:jc w:val="right"/>
              <w:rPr>
                <w:rFonts w:cstheme="minorHAnsi"/>
                <w:color w:val="000000"/>
                <w:sz w:val="22"/>
                <w:szCs w:val="22"/>
              </w:rPr>
            </w:pPr>
            <w:r w:rsidRPr="00BF0BE3">
              <w:rPr>
                <w:sz w:val="22"/>
                <w:szCs w:val="22"/>
              </w:rPr>
              <w:t xml:space="preserve"> $54 </w:t>
            </w:r>
          </w:p>
        </w:tc>
        <w:tc>
          <w:tcPr>
            <w:tcW w:w="1275" w:type="dxa"/>
            <w:tcBorders>
              <w:top w:val="nil"/>
              <w:left w:val="nil"/>
              <w:bottom w:val="dotted" w:sz="4" w:space="0" w:color="A6A6A6"/>
              <w:right w:val="single" w:sz="4" w:space="0" w:color="A6A6A6"/>
            </w:tcBorders>
            <w:shd w:val="clear" w:color="auto" w:fill="auto"/>
            <w:noWrap/>
          </w:tcPr>
          <w:p w14:paraId="4A73404B" w14:textId="64DD3454"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$15 </w:t>
            </w:r>
          </w:p>
        </w:tc>
        <w:tc>
          <w:tcPr>
            <w:tcW w:w="1417" w:type="dxa"/>
            <w:tcBorders>
              <w:top w:val="nil"/>
              <w:left w:val="nil"/>
              <w:bottom w:val="dotted" w:sz="4" w:space="0" w:color="A6A6A6"/>
              <w:right w:val="single" w:sz="4" w:space="0" w:color="A6A6A6"/>
            </w:tcBorders>
            <w:shd w:val="clear" w:color="auto" w:fill="auto"/>
            <w:noWrap/>
          </w:tcPr>
          <w:p w14:paraId="42765FED" w14:textId="152D552F"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$69 </w:t>
            </w:r>
          </w:p>
        </w:tc>
      </w:tr>
      <w:tr w:rsidR="00062D10" w:rsidRPr="00062D10" w14:paraId="1E073162" w14:textId="77777777" w:rsidTr="00BF0BE3">
        <w:trPr>
          <w:trHeight w:val="300"/>
        </w:trPr>
        <w:tc>
          <w:tcPr>
            <w:tcW w:w="5240" w:type="dxa"/>
            <w:tcBorders>
              <w:top w:val="nil"/>
              <w:left w:val="single" w:sz="4" w:space="0" w:color="A6A6A6"/>
              <w:bottom w:val="dotted" w:sz="4" w:space="0" w:color="A6A6A6"/>
              <w:right w:val="nil"/>
            </w:tcBorders>
            <w:shd w:val="clear" w:color="auto" w:fill="auto"/>
            <w:noWrap/>
            <w:vAlign w:val="bottom"/>
            <w:hideMark/>
          </w:tcPr>
          <w:p w14:paraId="0E42902A" w14:textId="30E2BF6B" w:rsidR="00062D10" w:rsidRPr="00062D10" w:rsidRDefault="00062D10" w:rsidP="00062D10">
            <w:pPr>
              <w:keepNext/>
              <w:keepLines/>
              <w:spacing w:after="0"/>
              <w:ind w:firstLineChars="141" w:firstLine="310"/>
              <w:rPr>
                <w:rFonts w:cstheme="minorHAnsi"/>
                <w:color w:val="000000"/>
                <w:sz w:val="22"/>
                <w:szCs w:val="22"/>
                <w:lang w:eastAsia="en-AU"/>
              </w:rPr>
            </w:pPr>
            <w:r w:rsidRPr="00062D10">
              <w:rPr>
                <w:rFonts w:cstheme="minorHAnsi"/>
                <w:color w:val="000000"/>
                <w:sz w:val="22"/>
                <w:szCs w:val="22"/>
              </w:rPr>
              <w:t xml:space="preserve">Regulatory Process </w:t>
            </w:r>
          </w:p>
        </w:tc>
        <w:tc>
          <w:tcPr>
            <w:tcW w:w="1418" w:type="dxa"/>
            <w:tcBorders>
              <w:top w:val="nil"/>
              <w:left w:val="single" w:sz="4" w:space="0" w:color="A6A6A6"/>
              <w:bottom w:val="dotted" w:sz="4" w:space="0" w:color="A6A6A6"/>
              <w:right w:val="single" w:sz="4" w:space="0" w:color="A6A6A6"/>
            </w:tcBorders>
            <w:shd w:val="clear" w:color="auto" w:fill="auto"/>
            <w:noWrap/>
            <w:hideMark/>
          </w:tcPr>
          <w:p w14:paraId="2AA14179" w14:textId="07299750"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$57 </w:t>
            </w:r>
          </w:p>
        </w:tc>
        <w:tc>
          <w:tcPr>
            <w:tcW w:w="1275" w:type="dxa"/>
            <w:tcBorders>
              <w:top w:val="nil"/>
              <w:left w:val="nil"/>
              <w:bottom w:val="dotted" w:sz="4" w:space="0" w:color="A6A6A6"/>
              <w:right w:val="single" w:sz="4" w:space="0" w:color="A6A6A6"/>
            </w:tcBorders>
            <w:shd w:val="clear" w:color="auto" w:fill="auto"/>
            <w:noWrap/>
            <w:hideMark/>
          </w:tcPr>
          <w:p w14:paraId="07598ADD" w14:textId="619E841E"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$17 </w:t>
            </w:r>
          </w:p>
        </w:tc>
        <w:tc>
          <w:tcPr>
            <w:tcW w:w="1417" w:type="dxa"/>
            <w:tcBorders>
              <w:top w:val="nil"/>
              <w:left w:val="nil"/>
              <w:bottom w:val="dotted" w:sz="4" w:space="0" w:color="A6A6A6"/>
              <w:right w:val="single" w:sz="4" w:space="0" w:color="A6A6A6"/>
            </w:tcBorders>
            <w:shd w:val="clear" w:color="auto" w:fill="auto"/>
            <w:noWrap/>
            <w:hideMark/>
          </w:tcPr>
          <w:p w14:paraId="1130F3D7" w14:textId="193F6B9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$74 </w:t>
            </w:r>
          </w:p>
        </w:tc>
      </w:tr>
      <w:tr w:rsidR="00062D10" w:rsidRPr="00062D10" w14:paraId="1ADFC8CD" w14:textId="77777777" w:rsidTr="00BF0BE3">
        <w:trPr>
          <w:trHeight w:val="300"/>
        </w:trPr>
        <w:tc>
          <w:tcPr>
            <w:tcW w:w="5240" w:type="dxa"/>
            <w:tcBorders>
              <w:top w:val="single" w:sz="4" w:space="0" w:color="A6A6A6"/>
              <w:left w:val="single" w:sz="4" w:space="0" w:color="A6A6A6"/>
              <w:bottom w:val="single" w:sz="4" w:space="0" w:color="A6A6A6"/>
              <w:right w:val="nil"/>
            </w:tcBorders>
            <w:shd w:val="clear" w:color="auto" w:fill="auto"/>
            <w:noWrap/>
            <w:vAlign w:val="bottom"/>
            <w:hideMark/>
          </w:tcPr>
          <w:p w14:paraId="45BD0653" w14:textId="5C705B04" w:rsidR="00062D10" w:rsidRPr="00062D10" w:rsidRDefault="00062D10" w:rsidP="00062D10">
            <w:pPr>
              <w:keepNext/>
              <w:keepLines/>
              <w:spacing w:after="0"/>
              <w:ind w:firstLineChars="100" w:firstLine="221"/>
              <w:rPr>
                <w:rFonts w:cstheme="minorHAnsi"/>
                <w:b/>
                <w:bCs/>
                <w:color w:val="000000"/>
                <w:sz w:val="22"/>
                <w:szCs w:val="22"/>
                <w:lang w:eastAsia="en-AU"/>
              </w:rPr>
            </w:pPr>
            <w:r w:rsidRPr="00062D10">
              <w:rPr>
                <w:rFonts w:cstheme="minorHAnsi"/>
                <w:b/>
                <w:bCs/>
                <w:color w:val="000000"/>
                <w:sz w:val="22"/>
                <w:szCs w:val="22"/>
              </w:rPr>
              <w:t>Total for Application Processing</w:t>
            </w:r>
          </w:p>
        </w:tc>
        <w:tc>
          <w:tcPr>
            <w:tcW w:w="1418" w:type="dxa"/>
            <w:tcBorders>
              <w:top w:val="single" w:sz="4" w:space="0" w:color="A6A6A6"/>
              <w:left w:val="single" w:sz="4" w:space="0" w:color="A6A6A6"/>
              <w:bottom w:val="single" w:sz="4" w:space="0" w:color="A6A6A6"/>
              <w:right w:val="single" w:sz="4" w:space="0" w:color="A6A6A6"/>
            </w:tcBorders>
            <w:shd w:val="clear" w:color="auto" w:fill="auto"/>
            <w:noWrap/>
            <w:hideMark/>
          </w:tcPr>
          <w:p w14:paraId="7FA87FDB" w14:textId="31100B0D"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$807 </w:t>
            </w:r>
          </w:p>
        </w:tc>
        <w:tc>
          <w:tcPr>
            <w:tcW w:w="1275" w:type="dxa"/>
            <w:tcBorders>
              <w:top w:val="single" w:sz="4" w:space="0" w:color="A6A6A6"/>
              <w:left w:val="nil"/>
              <w:bottom w:val="single" w:sz="4" w:space="0" w:color="A6A6A6"/>
              <w:right w:val="single" w:sz="4" w:space="0" w:color="A6A6A6"/>
            </w:tcBorders>
            <w:shd w:val="clear" w:color="auto" w:fill="auto"/>
            <w:noWrap/>
            <w:hideMark/>
          </w:tcPr>
          <w:p w14:paraId="7E3DEF5D" w14:textId="4F84C139"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$200 </w:t>
            </w:r>
          </w:p>
        </w:tc>
        <w:tc>
          <w:tcPr>
            <w:tcW w:w="1417" w:type="dxa"/>
            <w:tcBorders>
              <w:top w:val="single" w:sz="4" w:space="0" w:color="A6A6A6"/>
              <w:left w:val="nil"/>
              <w:bottom w:val="single" w:sz="4" w:space="0" w:color="A6A6A6"/>
              <w:right w:val="single" w:sz="4" w:space="0" w:color="A6A6A6"/>
            </w:tcBorders>
            <w:shd w:val="clear" w:color="auto" w:fill="auto"/>
            <w:noWrap/>
            <w:hideMark/>
          </w:tcPr>
          <w:p w14:paraId="2914B7E6" w14:textId="32F576D5"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$1,008 </w:t>
            </w:r>
          </w:p>
        </w:tc>
      </w:tr>
    </w:tbl>
    <w:p w14:paraId="251B4879" w14:textId="77777777" w:rsidR="006E7148" w:rsidRDefault="006E7148" w:rsidP="007C1E8E">
      <w:pPr>
        <w:rPr>
          <w:rFonts w:cstheme="minorHAnsi"/>
          <w:sz w:val="22"/>
          <w:szCs w:val="22"/>
        </w:rPr>
      </w:pPr>
      <w:bookmarkStart w:id="7" w:name="_Table_1:_Cost_1"/>
      <w:bookmarkStart w:id="8" w:name="_Table_1:_Cost"/>
      <w:bookmarkEnd w:id="7"/>
      <w:bookmarkEnd w:id="8"/>
    </w:p>
    <w:p w14:paraId="78AF6CA6" w14:textId="6E43AE63" w:rsidR="007C1E8E" w:rsidRDefault="007C1E8E" w:rsidP="007C1E8E">
      <w:pPr>
        <w:rPr>
          <w:rFonts w:cstheme="minorHAnsi"/>
          <w:sz w:val="22"/>
          <w:szCs w:val="22"/>
        </w:rPr>
      </w:pPr>
      <w:r w:rsidRPr="00062D10">
        <w:rPr>
          <w:rFonts w:cstheme="minorHAnsi"/>
          <w:sz w:val="22"/>
          <w:szCs w:val="22"/>
        </w:rPr>
        <w:lastRenderedPageBreak/>
        <w:t xml:space="preserve">In </w:t>
      </w:r>
      <w:r w:rsidR="00996774">
        <w:rPr>
          <w:rFonts w:cstheme="minorHAnsi"/>
          <w:sz w:val="22"/>
          <w:szCs w:val="22"/>
        </w:rPr>
        <w:t>2024</w:t>
      </w:r>
      <w:r w:rsidR="00BF0BE3">
        <w:rPr>
          <w:rFonts w:cstheme="minorHAnsi"/>
          <w:sz w:val="22"/>
          <w:szCs w:val="22"/>
        </w:rPr>
        <w:t>,</w:t>
      </w:r>
      <w:r w:rsidR="003B1BC7" w:rsidRPr="00062D10">
        <w:rPr>
          <w:rFonts w:cstheme="minorHAnsi"/>
          <w:sz w:val="22"/>
          <w:szCs w:val="22"/>
        </w:rPr>
        <w:t xml:space="preserve"> </w:t>
      </w:r>
      <w:r w:rsidRPr="00062D10">
        <w:rPr>
          <w:rFonts w:cstheme="minorHAnsi"/>
          <w:sz w:val="22"/>
          <w:szCs w:val="22"/>
        </w:rPr>
        <w:t>a review of the second-tier eligibility application-assessment process was undertaken by</w:t>
      </w:r>
      <w:r>
        <w:rPr>
          <w:rFonts w:cstheme="minorHAnsi"/>
          <w:sz w:val="22"/>
          <w:szCs w:val="22"/>
        </w:rPr>
        <w:t xml:space="preserve"> the </w:t>
      </w:r>
      <w:r w:rsidR="00EE0026">
        <w:rPr>
          <w:rFonts w:cstheme="minorHAnsi"/>
          <w:sz w:val="22"/>
          <w:szCs w:val="22"/>
        </w:rPr>
        <w:t>d</w:t>
      </w:r>
      <w:r>
        <w:rPr>
          <w:rFonts w:cstheme="minorHAnsi"/>
          <w:sz w:val="22"/>
          <w:szCs w:val="22"/>
        </w:rPr>
        <w:t>epartment. The purpose of the review was to assess the department’s current methods and procedures relating to the process for cost-setting and administrative efficiencies.</w:t>
      </w:r>
    </w:p>
    <w:p w14:paraId="59127D70" w14:textId="7424A4A1" w:rsidR="008F34C6" w:rsidRDefault="007C1E8E" w:rsidP="51C7B40A">
      <w:pPr>
        <w:rPr>
          <w:rFonts w:cstheme="minorBidi"/>
          <w:sz w:val="22"/>
          <w:szCs w:val="22"/>
        </w:rPr>
      </w:pPr>
      <w:r w:rsidRPr="51C7B40A">
        <w:rPr>
          <w:rFonts w:cstheme="minorBidi"/>
          <w:sz w:val="22"/>
          <w:szCs w:val="22"/>
        </w:rPr>
        <w:t xml:space="preserve">A ‘time and motion’ study was carried out to verify the tasks and timings in the charging model along with a review of the work level standards to ensure activity processes are captured at the minimum efficient cost. </w:t>
      </w:r>
      <w:bookmarkStart w:id="9" w:name="_Hlk169180429"/>
      <w:r w:rsidRPr="51C7B40A">
        <w:rPr>
          <w:rFonts w:cstheme="minorBidi"/>
          <w:sz w:val="22"/>
          <w:szCs w:val="22"/>
        </w:rPr>
        <w:t xml:space="preserve">The charging model </w:t>
      </w:r>
      <w:r w:rsidR="00923201">
        <w:rPr>
          <w:rFonts w:cstheme="minorBidi"/>
          <w:sz w:val="22"/>
          <w:szCs w:val="22"/>
        </w:rPr>
        <w:t>was</w:t>
      </w:r>
      <w:r w:rsidRPr="51C7B40A">
        <w:rPr>
          <w:rFonts w:cstheme="minorBidi"/>
          <w:sz w:val="22"/>
          <w:szCs w:val="22"/>
        </w:rPr>
        <w:t xml:space="preserve"> updated with the outcomes of the review</w:t>
      </w:r>
      <w:r w:rsidR="00923201">
        <w:rPr>
          <w:rFonts w:cstheme="minorBidi"/>
          <w:sz w:val="22"/>
          <w:szCs w:val="22"/>
        </w:rPr>
        <w:t>.</w:t>
      </w:r>
    </w:p>
    <w:p w14:paraId="7CE81589" w14:textId="5E3F1C62" w:rsidR="007C1E8E" w:rsidRDefault="008F34C6" w:rsidP="51C7B40A">
      <w:pPr>
        <w:rPr>
          <w:rFonts w:cstheme="minorBidi"/>
          <w:sz w:val="22"/>
          <w:szCs w:val="22"/>
        </w:rPr>
      </w:pPr>
      <w:r>
        <w:rPr>
          <w:rFonts w:cstheme="minorBidi"/>
          <w:sz w:val="22"/>
          <w:szCs w:val="22"/>
        </w:rPr>
        <w:t>The annual indexation of the fee</w:t>
      </w:r>
      <w:r w:rsidR="007C1E8E" w:rsidRPr="51C7B40A">
        <w:rPr>
          <w:rFonts w:cstheme="minorBidi"/>
          <w:sz w:val="22"/>
          <w:szCs w:val="22"/>
        </w:rPr>
        <w:t xml:space="preserve"> has resulted in a price increase of $</w:t>
      </w:r>
      <w:r w:rsidR="00CA5171">
        <w:rPr>
          <w:rFonts w:cstheme="minorBidi"/>
          <w:sz w:val="22"/>
          <w:szCs w:val="22"/>
        </w:rPr>
        <w:t>25</w:t>
      </w:r>
      <w:r w:rsidR="007C1E8E" w:rsidRPr="51C7B40A">
        <w:rPr>
          <w:rFonts w:cstheme="minorBidi"/>
          <w:sz w:val="22"/>
          <w:szCs w:val="22"/>
        </w:rPr>
        <w:t xml:space="preserve"> (or </w:t>
      </w:r>
      <w:r w:rsidR="00CA5171">
        <w:rPr>
          <w:rFonts w:cstheme="minorBidi"/>
          <w:sz w:val="22"/>
          <w:szCs w:val="22"/>
        </w:rPr>
        <w:t>2.5</w:t>
      </w:r>
      <w:r w:rsidR="007C1E8E" w:rsidRPr="51C7B40A">
        <w:rPr>
          <w:rFonts w:cstheme="minorBidi"/>
          <w:sz w:val="22"/>
          <w:szCs w:val="22"/>
        </w:rPr>
        <w:t>%)</w:t>
      </w:r>
      <w:r w:rsidR="00057F17">
        <w:rPr>
          <w:rFonts w:cstheme="minorBidi"/>
          <w:sz w:val="22"/>
          <w:szCs w:val="22"/>
        </w:rPr>
        <w:t xml:space="preserve"> to $1,010</w:t>
      </w:r>
      <w:r w:rsidR="34A89D66" w:rsidRPr="51C7B40A">
        <w:rPr>
          <w:rFonts w:cstheme="minorBidi"/>
          <w:sz w:val="22"/>
          <w:szCs w:val="22"/>
        </w:rPr>
        <w:t xml:space="preserve"> in </w:t>
      </w:r>
      <w:r w:rsidR="00CA5171" w:rsidRPr="51C7B40A">
        <w:rPr>
          <w:rFonts w:cstheme="minorBidi"/>
          <w:sz w:val="22"/>
          <w:szCs w:val="22"/>
        </w:rPr>
        <w:t>202</w:t>
      </w:r>
      <w:r w:rsidR="00CA5171">
        <w:rPr>
          <w:rFonts w:cstheme="minorBidi"/>
          <w:sz w:val="22"/>
          <w:szCs w:val="22"/>
        </w:rPr>
        <w:t>5</w:t>
      </w:r>
      <w:r w:rsidR="34A89D66" w:rsidRPr="51C7B40A">
        <w:rPr>
          <w:rFonts w:cstheme="minorBidi"/>
          <w:sz w:val="22"/>
          <w:szCs w:val="22"/>
        </w:rPr>
        <w:t>-</w:t>
      </w:r>
      <w:r w:rsidR="00CA5171" w:rsidRPr="51C7B40A">
        <w:rPr>
          <w:rFonts w:cstheme="minorBidi"/>
          <w:sz w:val="22"/>
          <w:szCs w:val="22"/>
        </w:rPr>
        <w:t>2</w:t>
      </w:r>
      <w:r w:rsidR="00CA5171">
        <w:rPr>
          <w:rFonts w:cstheme="minorBidi"/>
          <w:sz w:val="22"/>
          <w:szCs w:val="22"/>
        </w:rPr>
        <w:t>6</w:t>
      </w:r>
      <w:r w:rsidR="007C1E8E" w:rsidRPr="51C7B40A">
        <w:rPr>
          <w:rFonts w:cstheme="minorBidi"/>
          <w:sz w:val="22"/>
          <w:szCs w:val="22"/>
        </w:rPr>
        <w:t xml:space="preserve">. </w:t>
      </w:r>
      <w:bookmarkEnd w:id="9"/>
    </w:p>
    <w:p w14:paraId="6E855236" w14:textId="7A023259" w:rsidR="004E11E0" w:rsidRPr="00580343" w:rsidRDefault="004E11E0" w:rsidP="00400C30">
      <w:pPr>
        <w:pStyle w:val="Heading2"/>
      </w:pPr>
      <w:r w:rsidRPr="00580343">
        <w:t>Design of regulatory</w:t>
      </w:r>
      <w:r w:rsidR="00CA3ADB" w:rsidRPr="00580343">
        <w:t xml:space="preserve"> charges</w:t>
      </w:r>
    </w:p>
    <w:p w14:paraId="5CE46D53" w14:textId="0F4C6A0A" w:rsidR="007E7879" w:rsidRDefault="007E7879" w:rsidP="007E7879">
      <w:pPr>
        <w:rPr>
          <w:rFonts w:cstheme="minorHAnsi"/>
          <w:sz w:val="22"/>
          <w:szCs w:val="22"/>
        </w:rPr>
      </w:pPr>
      <w:bookmarkStart w:id="10" w:name="calculationofcosts"/>
      <w:bookmarkEnd w:id="6"/>
      <w:r w:rsidRPr="00580343">
        <w:rPr>
          <w:rFonts w:cstheme="minorHAnsi"/>
          <w:sz w:val="22"/>
          <w:szCs w:val="22"/>
        </w:rPr>
        <w:t xml:space="preserve">The Government’s policy decision provides authority for the </w:t>
      </w:r>
      <w:r w:rsidR="009A58BB">
        <w:rPr>
          <w:rFonts w:cstheme="minorHAnsi"/>
          <w:sz w:val="22"/>
          <w:szCs w:val="22"/>
        </w:rPr>
        <w:t>department</w:t>
      </w:r>
      <w:r w:rsidRPr="00580343">
        <w:rPr>
          <w:rFonts w:cstheme="minorHAnsi"/>
          <w:sz w:val="22"/>
          <w:szCs w:val="22"/>
        </w:rPr>
        <w:t xml:space="preserve"> to fully cost recover </w:t>
      </w:r>
      <w:r w:rsidR="0053574A" w:rsidRPr="00580343">
        <w:rPr>
          <w:rFonts w:cstheme="minorHAnsi"/>
          <w:sz w:val="22"/>
          <w:szCs w:val="22"/>
        </w:rPr>
        <w:t xml:space="preserve">the </w:t>
      </w:r>
      <w:r w:rsidRPr="00580343">
        <w:rPr>
          <w:rFonts w:cstheme="minorHAnsi"/>
          <w:sz w:val="22"/>
          <w:szCs w:val="22"/>
        </w:rPr>
        <w:t xml:space="preserve">administration of </w:t>
      </w:r>
      <w:r w:rsidR="007C1E8E">
        <w:rPr>
          <w:rFonts w:cstheme="minorHAnsi"/>
          <w:sz w:val="22"/>
          <w:szCs w:val="22"/>
        </w:rPr>
        <w:t>second-tier</w:t>
      </w:r>
      <w:r w:rsidRPr="00580343">
        <w:rPr>
          <w:rFonts w:cstheme="minorHAnsi"/>
          <w:sz w:val="22"/>
          <w:szCs w:val="22"/>
        </w:rPr>
        <w:t xml:space="preserve"> eligibility by charging a cost recovery fee to private hospitals applying for </w:t>
      </w:r>
      <w:r w:rsidR="007C1E8E">
        <w:rPr>
          <w:rFonts w:cstheme="minorHAnsi"/>
          <w:sz w:val="22"/>
          <w:szCs w:val="22"/>
        </w:rPr>
        <w:t>second-tier</w:t>
      </w:r>
      <w:r w:rsidRPr="00580343">
        <w:rPr>
          <w:rFonts w:cstheme="minorHAnsi"/>
          <w:sz w:val="22"/>
          <w:szCs w:val="22"/>
        </w:rPr>
        <w:t xml:space="preserve"> default benefits eligibility and applying indexation to the fee annually. The fee reflects the efficient cost of the service provided by the </w:t>
      </w:r>
      <w:r w:rsidR="009A58BB">
        <w:rPr>
          <w:rFonts w:cstheme="minorHAnsi"/>
          <w:sz w:val="22"/>
          <w:szCs w:val="22"/>
        </w:rPr>
        <w:t>department</w:t>
      </w:r>
      <w:r w:rsidRPr="00580343">
        <w:rPr>
          <w:rFonts w:cstheme="minorHAnsi"/>
          <w:sz w:val="22"/>
          <w:szCs w:val="22"/>
        </w:rPr>
        <w:t xml:space="preserve">, as outlined in section 3.2. </w:t>
      </w:r>
      <w:r w:rsidR="0053574A" w:rsidRPr="00580343">
        <w:rPr>
          <w:rFonts w:cstheme="minorHAnsi"/>
          <w:sz w:val="22"/>
          <w:szCs w:val="22"/>
        </w:rPr>
        <w:t>Table</w:t>
      </w:r>
      <w:r w:rsidR="00AC31F6">
        <w:rPr>
          <w:rFonts w:cstheme="minorHAnsi"/>
          <w:sz w:val="22"/>
          <w:szCs w:val="22"/>
        </w:rPr>
        <w:t> </w:t>
      </w:r>
      <w:r w:rsidR="0053574A" w:rsidRPr="00580343">
        <w:rPr>
          <w:rFonts w:cstheme="minorHAnsi"/>
          <w:sz w:val="22"/>
          <w:szCs w:val="22"/>
        </w:rPr>
        <w:t xml:space="preserve">2 shows the </w:t>
      </w:r>
      <w:r w:rsidR="00CA5171" w:rsidRPr="00580343">
        <w:rPr>
          <w:rFonts w:cstheme="minorHAnsi"/>
          <w:sz w:val="22"/>
          <w:szCs w:val="22"/>
        </w:rPr>
        <w:t>202</w:t>
      </w:r>
      <w:r w:rsidR="00CA5171">
        <w:rPr>
          <w:rFonts w:cstheme="minorHAnsi"/>
          <w:sz w:val="22"/>
          <w:szCs w:val="22"/>
        </w:rPr>
        <w:t>5</w:t>
      </w:r>
      <w:r w:rsidR="0053574A" w:rsidRPr="00580343">
        <w:rPr>
          <w:rFonts w:cstheme="minorHAnsi"/>
          <w:sz w:val="22"/>
          <w:szCs w:val="22"/>
        </w:rPr>
        <w:t>-</w:t>
      </w:r>
      <w:r w:rsidR="00CA5171" w:rsidRPr="00580343">
        <w:rPr>
          <w:rFonts w:cstheme="minorHAnsi"/>
          <w:sz w:val="22"/>
          <w:szCs w:val="22"/>
        </w:rPr>
        <w:t>2</w:t>
      </w:r>
      <w:r w:rsidR="00CA5171">
        <w:rPr>
          <w:rFonts w:cstheme="minorHAnsi"/>
          <w:sz w:val="22"/>
          <w:szCs w:val="22"/>
        </w:rPr>
        <w:t>6</w:t>
      </w:r>
      <w:r w:rsidR="00CA5171" w:rsidRPr="00580343">
        <w:rPr>
          <w:rFonts w:cstheme="minorHAnsi"/>
          <w:sz w:val="22"/>
          <w:szCs w:val="22"/>
        </w:rPr>
        <w:t xml:space="preserve"> </w:t>
      </w:r>
      <w:r w:rsidR="0053574A" w:rsidRPr="00580343">
        <w:rPr>
          <w:rFonts w:cstheme="minorHAnsi"/>
          <w:sz w:val="22"/>
          <w:szCs w:val="22"/>
        </w:rPr>
        <w:t>fee and estimated volume.</w:t>
      </w:r>
    </w:p>
    <w:p w14:paraId="2F1997C5" w14:textId="0FB351D6" w:rsidR="00AB3BE2" w:rsidRPr="00AB3BE2" w:rsidRDefault="00AB3BE2" w:rsidP="00AB3BE2">
      <w:pPr>
        <w:pStyle w:val="Caption"/>
        <w:rPr>
          <w:rFonts w:cstheme="minorHAnsi"/>
          <w:szCs w:val="22"/>
        </w:rPr>
      </w:pPr>
      <w:r>
        <w:t xml:space="preserve">Table </w:t>
      </w:r>
      <w:r>
        <w:fldChar w:fldCharType="begin"/>
      </w:r>
      <w:r>
        <w:instrText xml:space="preserve"> SEQ Table \* ARABIC </w:instrText>
      </w:r>
      <w:r>
        <w:fldChar w:fldCharType="separate"/>
      </w:r>
      <w:r>
        <w:rPr>
          <w:noProof/>
        </w:rPr>
        <w:t>2</w:t>
      </w:r>
      <w:r>
        <w:fldChar w:fldCharType="end"/>
      </w:r>
      <w:r>
        <w:t xml:space="preserve"> </w:t>
      </w:r>
      <w:r w:rsidRPr="00AB3BE2">
        <w:t xml:space="preserve">Fee for application and estimated volume of applications </w:t>
      </w:r>
      <w:r w:rsidR="00CA5171" w:rsidRPr="00AB3BE2">
        <w:t>202</w:t>
      </w:r>
      <w:r w:rsidR="00CA5171">
        <w:t>5</w:t>
      </w:r>
      <w:r w:rsidRPr="00AB3BE2">
        <w:t>-</w:t>
      </w:r>
      <w:r w:rsidR="00CA5171" w:rsidRPr="00AB3BE2">
        <w:t>2</w:t>
      </w:r>
      <w:r w:rsidR="00CA5171">
        <w:t>6</w:t>
      </w:r>
    </w:p>
    <w:tbl>
      <w:tblPr>
        <w:tblW w:w="9247" w:type="dxa"/>
        <w:jc w:val="center"/>
        <w:tblLook w:val="04A0" w:firstRow="1" w:lastRow="0" w:firstColumn="1" w:lastColumn="0" w:noHBand="0" w:noVBand="1"/>
      </w:tblPr>
      <w:tblGrid>
        <w:gridCol w:w="2410"/>
        <w:gridCol w:w="993"/>
        <w:gridCol w:w="1134"/>
        <w:gridCol w:w="1170"/>
        <w:gridCol w:w="1140"/>
        <w:gridCol w:w="1200"/>
        <w:gridCol w:w="1200"/>
      </w:tblGrid>
      <w:tr w:rsidR="000D4DA6" w:rsidRPr="00047FB6" w14:paraId="7C05539D" w14:textId="77777777" w:rsidTr="00400C30">
        <w:trPr>
          <w:trHeight w:val="300"/>
          <w:tblHeader/>
          <w:jc w:val="center"/>
        </w:trPr>
        <w:tc>
          <w:tcPr>
            <w:tcW w:w="241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9EC769A" w14:textId="77777777" w:rsidR="000D4DA6" w:rsidRPr="00047FB6" w:rsidRDefault="000D4DA6" w:rsidP="00047FB6">
            <w:pPr>
              <w:spacing w:after="0"/>
              <w:rPr>
                <w:rFonts w:cstheme="minorHAnsi"/>
                <w:b/>
                <w:bCs/>
                <w:color w:val="000000"/>
                <w:sz w:val="22"/>
                <w:szCs w:val="22"/>
                <w:lang w:eastAsia="en-AU"/>
              </w:rPr>
            </w:pPr>
            <w:r w:rsidRPr="00047FB6">
              <w:rPr>
                <w:rFonts w:cstheme="minorHAnsi"/>
                <w:b/>
                <w:bCs/>
                <w:color w:val="000000"/>
                <w:sz w:val="22"/>
                <w:szCs w:val="22"/>
                <w:lang w:eastAsia="en-AU"/>
              </w:rPr>
              <w:t>Fee</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ECA82"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Type</w:t>
            </w:r>
          </w:p>
        </w:tc>
        <w:tc>
          <w:tcPr>
            <w:tcW w:w="1134" w:type="dxa"/>
            <w:tcBorders>
              <w:top w:val="single" w:sz="4" w:space="0" w:color="auto"/>
              <w:left w:val="nil"/>
              <w:bottom w:val="single" w:sz="4" w:space="0" w:color="auto"/>
              <w:right w:val="nil"/>
            </w:tcBorders>
            <w:shd w:val="clear" w:color="auto" w:fill="D9D9D9" w:themeFill="background1" w:themeFillShade="D9"/>
            <w:vAlign w:val="center"/>
            <w:hideMark/>
          </w:tcPr>
          <w:p w14:paraId="53FBD1E4" w14:textId="03BC597D"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Unit cost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FEA9F"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Unit price</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C8CAF3"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Estimated volume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1EA969"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Estimated total cost</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618E1" w14:textId="77777777" w:rsidR="000D4DA6" w:rsidRPr="00047FB6" w:rsidRDefault="000D4DA6" w:rsidP="00BF0BE3">
            <w:pPr>
              <w:spacing w:after="0"/>
              <w:rPr>
                <w:rFonts w:cstheme="minorBidi"/>
                <w:b/>
                <w:bCs/>
                <w:sz w:val="22"/>
                <w:szCs w:val="22"/>
                <w:lang w:eastAsia="en-AU"/>
              </w:rPr>
            </w:pPr>
            <w:r w:rsidRPr="00047FB6">
              <w:rPr>
                <w:rFonts w:cstheme="minorBidi"/>
                <w:b/>
                <w:bCs/>
                <w:sz w:val="22"/>
                <w:szCs w:val="22"/>
                <w:lang w:eastAsia="en-AU"/>
              </w:rPr>
              <w:t>Estimated total revenue</w:t>
            </w:r>
          </w:p>
        </w:tc>
      </w:tr>
      <w:tr w:rsidR="000D4DA6" w:rsidRPr="00047FB6" w14:paraId="6CED7651" w14:textId="77777777" w:rsidTr="00AB3BE2">
        <w:trPr>
          <w:trHeight w:val="462"/>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365B31B" w14:textId="67CB7EA4" w:rsidR="000D4DA6" w:rsidRPr="00047FB6" w:rsidRDefault="000D4DA6" w:rsidP="00D54EB2">
            <w:pPr>
              <w:spacing w:after="0"/>
              <w:rPr>
                <w:rFonts w:cstheme="minorBidi"/>
                <w:color w:val="000000"/>
                <w:sz w:val="22"/>
                <w:szCs w:val="22"/>
                <w:lang w:eastAsia="en-AU"/>
              </w:rPr>
            </w:pPr>
            <w:r w:rsidRPr="00047FB6">
              <w:rPr>
                <w:rFonts w:cstheme="minorBidi"/>
                <w:color w:val="000000" w:themeColor="text1"/>
                <w:sz w:val="22"/>
                <w:szCs w:val="22"/>
                <w:lang w:eastAsia="en-AU"/>
              </w:rPr>
              <w:t>Simple Application fee</w:t>
            </w:r>
          </w:p>
        </w:tc>
        <w:tc>
          <w:tcPr>
            <w:tcW w:w="993" w:type="dxa"/>
            <w:tcBorders>
              <w:top w:val="nil"/>
              <w:left w:val="nil"/>
              <w:bottom w:val="single" w:sz="4" w:space="0" w:color="auto"/>
              <w:right w:val="single" w:sz="4" w:space="0" w:color="auto"/>
            </w:tcBorders>
            <w:shd w:val="clear" w:color="auto" w:fill="auto"/>
            <w:noWrap/>
            <w:vAlign w:val="center"/>
            <w:hideMark/>
          </w:tcPr>
          <w:p w14:paraId="1F95036E" w14:textId="38EAC12D" w:rsidR="000D4DA6" w:rsidRPr="00047FB6" w:rsidRDefault="000D4DA6" w:rsidP="00D54EB2">
            <w:pPr>
              <w:spacing w:after="0"/>
              <w:jc w:val="center"/>
              <w:rPr>
                <w:rFonts w:cstheme="minorBidi"/>
                <w:color w:val="000000"/>
                <w:sz w:val="22"/>
                <w:szCs w:val="22"/>
                <w:lang w:eastAsia="en-AU"/>
              </w:rPr>
            </w:pPr>
            <w:r w:rsidRPr="00047FB6">
              <w:rPr>
                <w:rFonts w:cstheme="minorBidi"/>
                <w:color w:val="000000" w:themeColor="text1"/>
                <w:sz w:val="22"/>
                <w:szCs w:val="22"/>
                <w:lang w:eastAsia="en-AU"/>
              </w:rPr>
              <w:t>Fee</w:t>
            </w:r>
          </w:p>
        </w:tc>
        <w:tc>
          <w:tcPr>
            <w:tcW w:w="1134" w:type="dxa"/>
            <w:tcBorders>
              <w:top w:val="nil"/>
              <w:left w:val="nil"/>
              <w:bottom w:val="single" w:sz="4" w:space="0" w:color="auto"/>
              <w:right w:val="single" w:sz="4" w:space="0" w:color="auto"/>
            </w:tcBorders>
            <w:shd w:val="clear" w:color="auto" w:fill="auto"/>
            <w:noWrap/>
            <w:vAlign w:val="center"/>
            <w:hideMark/>
          </w:tcPr>
          <w:p w14:paraId="32B146BD" w14:textId="6D5739C9" w:rsidR="000D4DA6" w:rsidRPr="00047FB6" w:rsidRDefault="000D4DA6" w:rsidP="00D54EB2">
            <w:pPr>
              <w:spacing w:after="0"/>
              <w:jc w:val="right"/>
              <w:rPr>
                <w:rFonts w:cstheme="minorBidi"/>
                <w:color w:val="000000"/>
                <w:sz w:val="22"/>
                <w:szCs w:val="22"/>
                <w:lang w:eastAsia="en-AU"/>
              </w:rPr>
            </w:pPr>
            <w:r w:rsidRPr="00047FB6">
              <w:rPr>
                <w:rFonts w:cstheme="minorBidi"/>
                <w:color w:val="000000" w:themeColor="text1"/>
                <w:sz w:val="22"/>
                <w:szCs w:val="22"/>
                <w:lang w:eastAsia="en-AU"/>
              </w:rPr>
              <w:t xml:space="preserve"> $</w:t>
            </w:r>
            <w:r w:rsidR="001B06E6" w:rsidRPr="00BF0BE3">
              <w:rPr>
                <w:rFonts w:cstheme="minorBidi"/>
                <w:color w:val="000000" w:themeColor="text1"/>
                <w:sz w:val="22"/>
                <w:szCs w:val="22"/>
                <w:lang w:eastAsia="en-AU"/>
              </w:rPr>
              <w:t>1,</w:t>
            </w:r>
            <w:r w:rsidR="00FC3B41" w:rsidRPr="00BF0BE3">
              <w:rPr>
                <w:rFonts w:cstheme="minorBidi"/>
                <w:color w:val="000000" w:themeColor="text1"/>
                <w:sz w:val="22"/>
                <w:szCs w:val="22"/>
                <w:lang w:eastAsia="en-AU"/>
              </w:rPr>
              <w:t>008</w:t>
            </w:r>
          </w:p>
        </w:tc>
        <w:tc>
          <w:tcPr>
            <w:tcW w:w="1170" w:type="dxa"/>
            <w:tcBorders>
              <w:top w:val="nil"/>
              <w:left w:val="nil"/>
              <w:bottom w:val="single" w:sz="4" w:space="0" w:color="auto"/>
              <w:right w:val="single" w:sz="4" w:space="0" w:color="auto"/>
            </w:tcBorders>
            <w:shd w:val="clear" w:color="auto" w:fill="auto"/>
            <w:noWrap/>
            <w:vAlign w:val="center"/>
            <w:hideMark/>
          </w:tcPr>
          <w:p w14:paraId="55F387D7" w14:textId="4650BE75" w:rsidR="000D4DA6" w:rsidRPr="00047FB6" w:rsidRDefault="000D4DA6" w:rsidP="00BB464E">
            <w:pPr>
              <w:spacing w:after="0"/>
              <w:jc w:val="right"/>
              <w:rPr>
                <w:rFonts w:cstheme="minorBidi"/>
                <w:color w:val="000000" w:themeColor="text1"/>
                <w:sz w:val="22"/>
                <w:szCs w:val="22"/>
                <w:lang w:eastAsia="en-AU"/>
              </w:rPr>
            </w:pPr>
            <w:r w:rsidRPr="00047FB6">
              <w:rPr>
                <w:rFonts w:cstheme="minorBidi"/>
                <w:color w:val="000000" w:themeColor="text1"/>
                <w:sz w:val="22"/>
                <w:szCs w:val="22"/>
                <w:lang w:eastAsia="en-AU"/>
              </w:rPr>
              <w:t xml:space="preserve"> $</w:t>
            </w:r>
            <w:r w:rsidR="00FC3B41" w:rsidRPr="00BF0BE3">
              <w:rPr>
                <w:rFonts w:cstheme="minorBidi"/>
                <w:color w:val="000000" w:themeColor="text1"/>
                <w:sz w:val="22"/>
                <w:szCs w:val="22"/>
                <w:lang w:eastAsia="en-AU"/>
              </w:rPr>
              <w:t>1,010</w:t>
            </w:r>
            <w:r w:rsidR="00FC3B41" w:rsidRPr="00047FB6">
              <w:rPr>
                <w:rFonts w:cstheme="minorBidi"/>
                <w:color w:val="000000" w:themeColor="text1"/>
                <w:sz w:val="22"/>
                <w:szCs w:val="22"/>
                <w:lang w:eastAsia="en-AU"/>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7AAF325F" w14:textId="22A75610" w:rsidR="000D4DA6" w:rsidRPr="00047FB6" w:rsidRDefault="00FC3B41" w:rsidP="6D538263">
            <w:pPr>
              <w:spacing w:after="0"/>
              <w:jc w:val="right"/>
              <w:rPr>
                <w:rFonts w:cstheme="minorBidi"/>
                <w:color w:val="000000"/>
                <w:sz w:val="22"/>
                <w:szCs w:val="22"/>
                <w:lang w:eastAsia="en-AU"/>
              </w:rPr>
            </w:pPr>
            <w:r w:rsidRPr="00BF0BE3">
              <w:rPr>
                <w:rFonts w:cstheme="minorBidi"/>
                <w:color w:val="000000" w:themeColor="text1"/>
                <w:sz w:val="22"/>
                <w:szCs w:val="22"/>
                <w:lang w:eastAsia="en-AU"/>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2E2C5C9A" w14:textId="089D6933" w:rsidR="000D4DA6" w:rsidRPr="00047FB6" w:rsidRDefault="000D4DA6" w:rsidP="00D54EB2">
            <w:pPr>
              <w:spacing w:after="0"/>
              <w:jc w:val="right"/>
              <w:rPr>
                <w:rFonts w:cstheme="minorBidi"/>
                <w:color w:val="000000"/>
                <w:sz w:val="22"/>
                <w:szCs w:val="22"/>
                <w:lang w:eastAsia="en-AU"/>
              </w:rPr>
            </w:pPr>
            <w:r w:rsidRPr="00047FB6">
              <w:rPr>
                <w:rFonts w:cstheme="minorBidi"/>
                <w:color w:val="000000" w:themeColor="text1"/>
                <w:sz w:val="22"/>
                <w:szCs w:val="22"/>
                <w:lang w:eastAsia="en-AU"/>
              </w:rPr>
              <w:t>$</w:t>
            </w:r>
            <w:r w:rsidR="00FC3B41" w:rsidRPr="00BF0BE3">
              <w:rPr>
                <w:rFonts w:cstheme="minorBidi"/>
                <w:color w:val="000000" w:themeColor="text1"/>
                <w:sz w:val="22"/>
                <w:szCs w:val="22"/>
                <w:lang w:eastAsia="en-AU"/>
              </w:rPr>
              <w:t>201,572</w:t>
            </w:r>
            <w:r w:rsidRPr="00047FB6">
              <w:rPr>
                <w:rFonts w:cstheme="minorBidi"/>
                <w:color w:val="000000" w:themeColor="text1"/>
                <w:sz w:val="22"/>
                <w:szCs w:val="22"/>
                <w:lang w:eastAsia="en-AU"/>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6E93D9C" w14:textId="19D984A6" w:rsidR="000D4DA6" w:rsidRPr="00047FB6" w:rsidRDefault="000D4DA6" w:rsidP="000D4DA6">
            <w:pPr>
              <w:spacing w:after="0"/>
              <w:jc w:val="right"/>
              <w:rPr>
                <w:rFonts w:cstheme="minorHAnsi"/>
                <w:color w:val="000000"/>
                <w:sz w:val="22"/>
                <w:szCs w:val="22"/>
                <w:lang w:eastAsia="en-AU"/>
              </w:rPr>
            </w:pPr>
            <w:r w:rsidRPr="00047FB6">
              <w:rPr>
                <w:rFonts w:cstheme="minorHAnsi"/>
                <w:color w:val="000000"/>
                <w:sz w:val="22"/>
                <w:szCs w:val="22"/>
                <w:lang w:eastAsia="en-AU"/>
              </w:rPr>
              <w:t xml:space="preserve"> $</w:t>
            </w:r>
            <w:r w:rsidR="00047FB6" w:rsidRPr="00047FB6">
              <w:rPr>
                <w:rFonts w:cstheme="minorHAnsi"/>
                <w:color w:val="000000"/>
                <w:sz w:val="22"/>
                <w:szCs w:val="22"/>
                <w:lang w:eastAsia="en-AU"/>
              </w:rPr>
              <w:t>202,000</w:t>
            </w:r>
            <w:r w:rsidRPr="00047FB6">
              <w:rPr>
                <w:rFonts w:cstheme="minorHAnsi"/>
                <w:color w:val="000000"/>
                <w:sz w:val="22"/>
                <w:szCs w:val="22"/>
                <w:lang w:eastAsia="en-AU"/>
              </w:rPr>
              <w:t xml:space="preserve"> </w:t>
            </w:r>
          </w:p>
        </w:tc>
      </w:tr>
    </w:tbl>
    <w:p w14:paraId="2E9B6F21" w14:textId="0F9D7077" w:rsidR="0053574A" w:rsidRPr="00580343" w:rsidDel="00DB581B" w:rsidRDefault="0053574A" w:rsidP="0053574A">
      <w:pPr>
        <w:keepNext/>
        <w:keepLines/>
        <w:rPr>
          <w:rFonts w:cstheme="minorHAnsi"/>
          <w:sz w:val="20"/>
          <w:szCs w:val="20"/>
        </w:rPr>
      </w:pPr>
      <w:r w:rsidRPr="00047FB6" w:rsidDel="00DB581B">
        <w:rPr>
          <w:rFonts w:cstheme="minorHAnsi"/>
          <w:sz w:val="20"/>
          <w:szCs w:val="20"/>
        </w:rPr>
        <w:t xml:space="preserve">Note: </w:t>
      </w:r>
      <w:r w:rsidR="007C1E8E" w:rsidRPr="00047FB6">
        <w:rPr>
          <w:rFonts w:cstheme="minorHAnsi"/>
          <w:sz w:val="20"/>
          <w:szCs w:val="20"/>
        </w:rPr>
        <w:t>Second-tier</w:t>
      </w:r>
      <w:r w:rsidRPr="00047FB6" w:rsidDel="00DB581B">
        <w:rPr>
          <w:rFonts w:cstheme="minorHAnsi"/>
          <w:sz w:val="20"/>
          <w:szCs w:val="20"/>
        </w:rPr>
        <w:t xml:space="preserve"> eligibility application </w:t>
      </w:r>
      <w:r w:rsidR="00BF0BE3">
        <w:rPr>
          <w:rFonts w:cstheme="minorHAnsi"/>
          <w:sz w:val="20"/>
          <w:szCs w:val="20"/>
        </w:rPr>
        <w:t xml:space="preserve">unit price </w:t>
      </w:r>
      <w:r w:rsidRPr="00047FB6" w:rsidDel="00DB581B">
        <w:rPr>
          <w:rFonts w:cstheme="minorHAnsi"/>
          <w:sz w:val="20"/>
          <w:szCs w:val="20"/>
        </w:rPr>
        <w:t>fees are rounded to the nearest $</w:t>
      </w:r>
      <w:r w:rsidR="00BE4AA8">
        <w:rPr>
          <w:rFonts w:cstheme="minorHAnsi"/>
          <w:sz w:val="20"/>
          <w:szCs w:val="20"/>
        </w:rPr>
        <w:t>10</w:t>
      </w:r>
      <w:r w:rsidRPr="00047FB6" w:rsidDel="00DB581B">
        <w:rPr>
          <w:rFonts w:cstheme="minorHAnsi"/>
          <w:sz w:val="20"/>
          <w:szCs w:val="20"/>
        </w:rPr>
        <w:t>.</w:t>
      </w:r>
    </w:p>
    <w:p w14:paraId="76878B21" w14:textId="10DEB079" w:rsidR="00DB581B" w:rsidRPr="00580343" w:rsidRDefault="007E7879" w:rsidP="007E7879">
      <w:pPr>
        <w:rPr>
          <w:rFonts w:cstheme="minorHAnsi"/>
          <w:sz w:val="22"/>
          <w:szCs w:val="22"/>
        </w:rPr>
      </w:pPr>
      <w:r w:rsidRPr="00580343">
        <w:rPr>
          <w:rFonts w:cstheme="minorHAnsi"/>
          <w:sz w:val="22"/>
          <w:szCs w:val="22"/>
        </w:rPr>
        <w:t>The application fee of $</w:t>
      </w:r>
      <w:r w:rsidR="00CA5171">
        <w:rPr>
          <w:rFonts w:cstheme="minorHAnsi"/>
          <w:sz w:val="22"/>
          <w:szCs w:val="22"/>
        </w:rPr>
        <w:t>1,010</w:t>
      </w:r>
      <w:r w:rsidR="005108E0">
        <w:rPr>
          <w:rFonts w:cstheme="minorHAnsi"/>
          <w:sz w:val="22"/>
          <w:szCs w:val="22"/>
        </w:rPr>
        <w:t xml:space="preserve"> </w:t>
      </w:r>
      <w:r w:rsidRPr="00580343">
        <w:rPr>
          <w:rFonts w:cstheme="minorHAnsi"/>
          <w:sz w:val="22"/>
          <w:szCs w:val="22"/>
        </w:rPr>
        <w:t>is payable from 1 July </w:t>
      </w:r>
      <w:r w:rsidR="00CA5171" w:rsidRPr="00580343">
        <w:rPr>
          <w:rFonts w:cstheme="minorHAnsi"/>
          <w:sz w:val="22"/>
          <w:szCs w:val="22"/>
        </w:rPr>
        <w:t>202</w:t>
      </w:r>
      <w:r w:rsidR="00CA5171">
        <w:rPr>
          <w:rFonts w:cstheme="minorHAnsi"/>
          <w:sz w:val="22"/>
          <w:szCs w:val="22"/>
        </w:rPr>
        <w:t>5</w:t>
      </w:r>
      <w:r w:rsidRPr="00580343">
        <w:rPr>
          <w:rFonts w:cstheme="minorHAnsi"/>
          <w:sz w:val="22"/>
          <w:szCs w:val="22"/>
        </w:rPr>
        <w:t xml:space="preserve">. This fee is charged for each </w:t>
      </w:r>
      <w:r w:rsidR="00BF0BE3" w:rsidRPr="00580343">
        <w:rPr>
          <w:rFonts w:cstheme="minorHAnsi"/>
          <w:sz w:val="22"/>
          <w:szCs w:val="22"/>
        </w:rPr>
        <w:t>application,</w:t>
      </w:r>
      <w:r w:rsidRPr="00580343">
        <w:rPr>
          <w:rFonts w:cstheme="minorHAnsi"/>
          <w:sz w:val="22"/>
          <w:szCs w:val="22"/>
        </w:rPr>
        <w:t xml:space="preserve"> and a separate application is required for each hospital. This application fee does not incur GST. The application fee must be paid in full prior to the </w:t>
      </w:r>
      <w:r w:rsidR="009A58BB">
        <w:rPr>
          <w:rFonts w:cstheme="minorHAnsi"/>
          <w:sz w:val="22"/>
          <w:szCs w:val="22"/>
        </w:rPr>
        <w:t>department</w:t>
      </w:r>
      <w:r w:rsidRPr="00580343">
        <w:rPr>
          <w:rFonts w:cstheme="minorHAnsi"/>
          <w:sz w:val="22"/>
          <w:szCs w:val="22"/>
        </w:rPr>
        <w:t xml:space="preserve"> commencing assessment of an application. The </w:t>
      </w:r>
      <w:r w:rsidR="009A58BB">
        <w:rPr>
          <w:rFonts w:cstheme="minorHAnsi"/>
          <w:sz w:val="22"/>
          <w:szCs w:val="22"/>
        </w:rPr>
        <w:t>department</w:t>
      </w:r>
      <w:r w:rsidRPr="00580343">
        <w:rPr>
          <w:rFonts w:cstheme="minorHAnsi"/>
          <w:sz w:val="22"/>
          <w:szCs w:val="22"/>
        </w:rPr>
        <w:t xml:space="preserve"> will not waive the fee in any circumstances and the fee will only be refunded where a hospital withdraws its application prior to the </w:t>
      </w:r>
      <w:r w:rsidR="009A58BB">
        <w:rPr>
          <w:rFonts w:cstheme="minorHAnsi"/>
          <w:sz w:val="22"/>
          <w:szCs w:val="22"/>
        </w:rPr>
        <w:t>department</w:t>
      </w:r>
      <w:r w:rsidRPr="00580343">
        <w:rPr>
          <w:rFonts w:cstheme="minorHAnsi"/>
          <w:sz w:val="22"/>
          <w:szCs w:val="22"/>
        </w:rPr>
        <w:t xml:space="preserve"> commencing assessment. </w:t>
      </w:r>
    </w:p>
    <w:p w14:paraId="2F29AC4A" w14:textId="0BF770E2" w:rsidR="00AB3BE2" w:rsidRDefault="007E7879" w:rsidP="007E7879">
      <w:pPr>
        <w:rPr>
          <w:rFonts w:cstheme="minorHAnsi"/>
          <w:sz w:val="22"/>
          <w:szCs w:val="22"/>
        </w:rPr>
      </w:pPr>
      <w:r w:rsidRPr="00580343">
        <w:rPr>
          <w:rFonts w:cstheme="minorHAnsi"/>
          <w:sz w:val="22"/>
          <w:szCs w:val="22"/>
        </w:rPr>
        <w:t xml:space="preserve">The application fee is published on the </w:t>
      </w:r>
      <w:hyperlink r:id="rId13" w:history="1">
        <w:r w:rsidR="00D54EB2">
          <w:rPr>
            <w:rStyle w:val="Hyperlink"/>
            <w:rFonts w:cstheme="minorHAnsi"/>
            <w:sz w:val="22"/>
            <w:szCs w:val="22"/>
          </w:rPr>
          <w:t xml:space="preserve">second-tier default benefits </w:t>
        </w:r>
      </w:hyperlink>
      <w:r w:rsidRPr="00580343">
        <w:rPr>
          <w:rFonts w:cstheme="minorHAnsi"/>
          <w:sz w:val="22"/>
          <w:szCs w:val="22"/>
        </w:rPr>
        <w:t xml:space="preserve"> </w:t>
      </w:r>
      <w:r w:rsidR="00D54EB2" w:rsidRPr="00D54EB2">
        <w:rPr>
          <w:rFonts w:cstheme="minorHAnsi"/>
          <w:sz w:val="22"/>
          <w:szCs w:val="22"/>
        </w:rPr>
        <w:t xml:space="preserve">page of the department website </w:t>
      </w:r>
      <w:r w:rsidRPr="00580343">
        <w:rPr>
          <w:rFonts w:cstheme="minorHAnsi"/>
          <w:sz w:val="22"/>
          <w:szCs w:val="22"/>
        </w:rPr>
        <w:t xml:space="preserve">and is listed in the application form </w:t>
      </w:r>
      <w:r w:rsidR="003E1369" w:rsidRPr="00580343">
        <w:rPr>
          <w:rFonts w:cstheme="minorHAnsi"/>
          <w:sz w:val="22"/>
          <w:szCs w:val="22"/>
        </w:rPr>
        <w:t xml:space="preserve">and </w:t>
      </w:r>
      <w:r w:rsidRPr="00580343">
        <w:rPr>
          <w:rFonts w:cstheme="minorHAnsi"/>
          <w:sz w:val="22"/>
          <w:szCs w:val="22"/>
        </w:rPr>
        <w:t>on the same webpage.</w:t>
      </w:r>
      <w:r w:rsidR="00CD66BE" w:rsidRPr="00580343">
        <w:rPr>
          <w:rFonts w:cstheme="minorHAnsi"/>
          <w:sz w:val="22"/>
          <w:szCs w:val="22"/>
        </w:rPr>
        <w:t xml:space="preserve"> </w:t>
      </w:r>
    </w:p>
    <w:p w14:paraId="1E741ACC" w14:textId="77777777" w:rsidR="00AB3BE2" w:rsidRDefault="00AB3BE2">
      <w:pPr>
        <w:spacing w:after="200" w:line="276" w:lineRule="auto"/>
        <w:rPr>
          <w:rFonts w:cstheme="minorHAnsi"/>
          <w:sz w:val="22"/>
          <w:szCs w:val="22"/>
        </w:rPr>
      </w:pPr>
      <w:r>
        <w:rPr>
          <w:rFonts w:cstheme="minorHAnsi"/>
          <w:sz w:val="22"/>
          <w:szCs w:val="22"/>
        </w:rPr>
        <w:br w:type="page"/>
      </w:r>
    </w:p>
    <w:p w14:paraId="0B3AC95E" w14:textId="77777777" w:rsidR="008B679D" w:rsidRPr="00580343" w:rsidRDefault="008B679D" w:rsidP="00400C30">
      <w:pPr>
        <w:pStyle w:val="Heading1"/>
      </w:pPr>
      <w:r w:rsidRPr="6D538263">
        <w:lastRenderedPageBreak/>
        <w:t>RISK ASSESSMENT</w:t>
      </w:r>
    </w:p>
    <w:p w14:paraId="46A82DCB" w14:textId="4C426BA3" w:rsidR="00BF0BE3" w:rsidRDefault="0035598F" w:rsidP="6D538263">
      <w:pPr>
        <w:rPr>
          <w:rFonts w:cstheme="minorBidi"/>
          <w:sz w:val="22"/>
          <w:szCs w:val="22"/>
        </w:rPr>
      </w:pPr>
      <w:r w:rsidRPr="00434B5F">
        <w:rPr>
          <w:rFonts w:cstheme="minorBidi"/>
          <w:sz w:val="22"/>
          <w:szCs w:val="22"/>
        </w:rPr>
        <w:t xml:space="preserve">A Charging Risk Assessment (CRA) for the activity has been undertaken resulting in a </w:t>
      </w:r>
      <w:r w:rsidR="006D4017">
        <w:rPr>
          <w:rFonts w:cstheme="minorBidi"/>
          <w:sz w:val="22"/>
          <w:szCs w:val="22"/>
        </w:rPr>
        <w:t>‘medium</w:t>
      </w:r>
      <w:r w:rsidR="00BF0BE3">
        <w:rPr>
          <w:rFonts w:cstheme="minorBidi"/>
          <w:sz w:val="22"/>
          <w:szCs w:val="22"/>
        </w:rPr>
        <w:t>’</w:t>
      </w:r>
      <w:r w:rsidRPr="00434B5F">
        <w:rPr>
          <w:rFonts w:cstheme="minorBidi"/>
          <w:sz w:val="22"/>
          <w:szCs w:val="22"/>
        </w:rPr>
        <w:t xml:space="preserve"> implementation risk rating.</w:t>
      </w:r>
      <w:r w:rsidR="00DD1212" w:rsidRPr="00BF0BE3">
        <w:rPr>
          <w:rFonts w:cstheme="minorBidi"/>
          <w:sz w:val="22"/>
          <w:szCs w:val="22"/>
        </w:rPr>
        <w:t xml:space="preserve"> </w:t>
      </w:r>
      <w:r w:rsidR="009F35C5">
        <w:rPr>
          <w:rFonts w:cstheme="minorBidi"/>
          <w:sz w:val="22"/>
          <w:szCs w:val="22"/>
        </w:rPr>
        <w:t xml:space="preserve">The total revenue is estimated to decrease in 2025-26 from 2024-25. This is attributed to the decrease in the number of applications forecasted for 2025-26 (200 applications) compared to 2024-25 (259 applications). </w:t>
      </w:r>
    </w:p>
    <w:p w14:paraId="18D34F92" w14:textId="6238B3B7" w:rsidR="000D4DA6" w:rsidRPr="00580343" w:rsidRDefault="00434B5F" w:rsidP="6D538263">
      <w:pPr>
        <w:rPr>
          <w:rFonts w:cstheme="minorBidi"/>
          <w:sz w:val="22"/>
          <w:szCs w:val="22"/>
        </w:rPr>
      </w:pPr>
      <w:r w:rsidRPr="00BF0BE3">
        <w:rPr>
          <w:rFonts w:cstheme="minorBidi"/>
          <w:sz w:val="22"/>
          <w:szCs w:val="22"/>
        </w:rPr>
        <w:t xml:space="preserve">The previous increased forecast in 2024-25 reflected a </w:t>
      </w:r>
      <w:r w:rsidR="00CE7421" w:rsidRPr="00434B5F">
        <w:rPr>
          <w:rFonts w:cstheme="minorBidi"/>
          <w:sz w:val="22"/>
          <w:szCs w:val="22"/>
        </w:rPr>
        <w:t xml:space="preserve">catch-up period as </w:t>
      </w:r>
      <w:r w:rsidR="0035598F" w:rsidRPr="00434B5F">
        <w:rPr>
          <w:rFonts w:cstheme="minorBidi"/>
          <w:sz w:val="22"/>
          <w:szCs w:val="22"/>
        </w:rPr>
        <w:t xml:space="preserve">application numbers for second-tier renewal </w:t>
      </w:r>
      <w:r w:rsidR="00CE7421" w:rsidRPr="00434B5F">
        <w:rPr>
          <w:rFonts w:cstheme="minorBidi"/>
          <w:sz w:val="22"/>
          <w:szCs w:val="22"/>
        </w:rPr>
        <w:t>begin to return to</w:t>
      </w:r>
      <w:r w:rsidR="0035598F" w:rsidRPr="00434B5F">
        <w:rPr>
          <w:rFonts w:cstheme="minorBidi"/>
          <w:sz w:val="22"/>
          <w:szCs w:val="22"/>
        </w:rPr>
        <w:t xml:space="preserve"> pre-pandemic levels. Hospitals granted </w:t>
      </w:r>
      <w:r w:rsidR="00CE7421" w:rsidRPr="00434B5F">
        <w:rPr>
          <w:rFonts w:cstheme="minorBidi"/>
          <w:sz w:val="22"/>
          <w:szCs w:val="22"/>
        </w:rPr>
        <w:t>an</w:t>
      </w:r>
      <w:r w:rsidR="0035598F" w:rsidRPr="00434B5F">
        <w:rPr>
          <w:rFonts w:cstheme="minorBidi"/>
          <w:sz w:val="22"/>
          <w:szCs w:val="22"/>
        </w:rPr>
        <w:t xml:space="preserve"> extension of their second-tier eligibility period to ease their administrative burden during the pandemic</w:t>
      </w:r>
      <w:r w:rsidRPr="00BF0BE3">
        <w:rPr>
          <w:rFonts w:cstheme="minorBidi"/>
          <w:sz w:val="22"/>
          <w:szCs w:val="22"/>
        </w:rPr>
        <w:t>.</w:t>
      </w:r>
      <w:r>
        <w:rPr>
          <w:rFonts w:cstheme="minorBidi"/>
          <w:sz w:val="22"/>
          <w:szCs w:val="22"/>
        </w:rPr>
        <w:t xml:space="preserve"> </w:t>
      </w:r>
    </w:p>
    <w:p w14:paraId="1A70F6C0" w14:textId="77777777" w:rsidR="008B679D" w:rsidRPr="00580343" w:rsidRDefault="008B679D" w:rsidP="00400C30">
      <w:pPr>
        <w:pStyle w:val="Heading1"/>
      </w:pPr>
      <w:r w:rsidRPr="00580343">
        <w:t>STAKEHOLDER ENGAGEMENT</w:t>
      </w:r>
    </w:p>
    <w:p w14:paraId="1EE47CCC" w14:textId="1A20AB8C" w:rsidR="00CD66BE" w:rsidRPr="00580343" w:rsidRDefault="007E7879" w:rsidP="6D538263">
      <w:pPr>
        <w:rPr>
          <w:rFonts w:cstheme="minorBidi"/>
          <w:sz w:val="22"/>
          <w:szCs w:val="22"/>
        </w:rPr>
      </w:pPr>
      <w:r w:rsidRPr="6D538263">
        <w:rPr>
          <w:rFonts w:cstheme="minorBidi"/>
          <w:sz w:val="22"/>
          <w:szCs w:val="22"/>
        </w:rPr>
        <w:t xml:space="preserve">The </w:t>
      </w:r>
      <w:r w:rsidR="003A68BF" w:rsidRPr="6D538263">
        <w:rPr>
          <w:rFonts w:cstheme="minorBidi"/>
          <w:sz w:val="22"/>
          <w:szCs w:val="22"/>
        </w:rPr>
        <w:t>department</w:t>
      </w:r>
      <w:r w:rsidRPr="6D538263">
        <w:rPr>
          <w:rFonts w:cstheme="minorBidi"/>
          <w:sz w:val="22"/>
          <w:szCs w:val="22"/>
        </w:rPr>
        <w:t xml:space="preserve"> reviews its processes and costs annually and adjusts the application fee accordingly. </w:t>
      </w:r>
      <w:r w:rsidR="001008AA" w:rsidRPr="6D538263">
        <w:rPr>
          <w:rFonts w:cstheme="minorBidi"/>
          <w:sz w:val="22"/>
          <w:szCs w:val="22"/>
        </w:rPr>
        <w:t>Consultation was undertaken with the</w:t>
      </w:r>
      <w:r w:rsidRPr="6D538263">
        <w:rPr>
          <w:rFonts w:cstheme="minorBidi"/>
          <w:sz w:val="22"/>
          <w:szCs w:val="22"/>
        </w:rPr>
        <w:t xml:space="preserve"> private </w:t>
      </w:r>
      <w:r w:rsidR="001008AA" w:rsidRPr="6D538263">
        <w:rPr>
          <w:rFonts w:cstheme="minorBidi"/>
          <w:sz w:val="22"/>
          <w:szCs w:val="22"/>
        </w:rPr>
        <w:t xml:space="preserve">health </w:t>
      </w:r>
      <w:r w:rsidRPr="6D538263">
        <w:rPr>
          <w:rFonts w:cstheme="minorBidi"/>
          <w:sz w:val="22"/>
          <w:szCs w:val="22"/>
        </w:rPr>
        <w:t>sector</w:t>
      </w:r>
      <w:r w:rsidR="001008AA" w:rsidRPr="6D538263">
        <w:rPr>
          <w:rFonts w:cstheme="minorBidi"/>
          <w:sz w:val="22"/>
          <w:szCs w:val="22"/>
        </w:rPr>
        <w:t xml:space="preserve"> on the proposed fee increase with</w:t>
      </w:r>
      <w:r w:rsidR="000D4DA6" w:rsidRPr="6D538263">
        <w:rPr>
          <w:rFonts w:cstheme="minorBidi"/>
          <w:sz w:val="22"/>
          <w:szCs w:val="22"/>
        </w:rPr>
        <w:t xml:space="preserve"> input sought over a </w:t>
      </w:r>
      <w:r w:rsidR="490DA654" w:rsidRPr="6D538263">
        <w:rPr>
          <w:rFonts w:cstheme="minorBidi"/>
          <w:sz w:val="22"/>
          <w:szCs w:val="22"/>
        </w:rPr>
        <w:t>4-week</w:t>
      </w:r>
      <w:r w:rsidR="000D4DA6" w:rsidRPr="6D538263">
        <w:rPr>
          <w:rFonts w:cstheme="minorBidi"/>
          <w:sz w:val="22"/>
          <w:szCs w:val="22"/>
        </w:rPr>
        <w:t xml:space="preserve"> period. Th</w:t>
      </w:r>
      <w:r w:rsidR="001008AA" w:rsidRPr="6D538263">
        <w:rPr>
          <w:rFonts w:cstheme="minorBidi"/>
          <w:sz w:val="22"/>
          <w:szCs w:val="22"/>
        </w:rPr>
        <w:t>e</w:t>
      </w:r>
      <w:r w:rsidR="000D4DA6" w:rsidRPr="6D538263">
        <w:rPr>
          <w:rFonts w:cstheme="minorBidi"/>
          <w:sz w:val="22"/>
          <w:szCs w:val="22"/>
        </w:rPr>
        <w:t xml:space="preserve"> consultation was </w:t>
      </w:r>
      <w:r w:rsidR="00562959" w:rsidRPr="6D538263">
        <w:rPr>
          <w:rFonts w:cstheme="minorBidi"/>
          <w:sz w:val="22"/>
          <w:szCs w:val="22"/>
        </w:rPr>
        <w:t xml:space="preserve">advertised in </w:t>
      </w:r>
      <w:r w:rsidR="000D4DA6" w:rsidRPr="6D538263">
        <w:rPr>
          <w:rFonts w:cstheme="minorBidi"/>
          <w:sz w:val="22"/>
          <w:szCs w:val="22"/>
        </w:rPr>
        <w:t xml:space="preserve">the </w:t>
      </w:r>
      <w:r w:rsidR="003A68BF" w:rsidRPr="6D538263">
        <w:rPr>
          <w:rFonts w:cstheme="minorBidi"/>
          <w:sz w:val="22"/>
          <w:szCs w:val="22"/>
        </w:rPr>
        <w:t>department</w:t>
      </w:r>
      <w:r w:rsidR="00B9557D" w:rsidRPr="6D538263">
        <w:rPr>
          <w:rFonts w:cstheme="minorBidi"/>
          <w:sz w:val="22"/>
          <w:szCs w:val="22"/>
        </w:rPr>
        <w:t>’</w:t>
      </w:r>
      <w:r w:rsidR="000D4DA6" w:rsidRPr="6D538263">
        <w:rPr>
          <w:rFonts w:cstheme="minorBidi"/>
          <w:sz w:val="22"/>
          <w:szCs w:val="22"/>
        </w:rPr>
        <w:t xml:space="preserve">s weekly </w:t>
      </w:r>
      <w:r w:rsidR="00562959" w:rsidRPr="6D538263">
        <w:rPr>
          <w:rFonts w:cstheme="minorBidi"/>
          <w:sz w:val="22"/>
          <w:szCs w:val="22"/>
        </w:rPr>
        <w:t>email to private health sector stakeholders</w:t>
      </w:r>
      <w:r w:rsidR="001008AA" w:rsidRPr="6D538263">
        <w:rPr>
          <w:rFonts w:cstheme="minorBidi"/>
          <w:sz w:val="22"/>
          <w:szCs w:val="22"/>
        </w:rPr>
        <w:t xml:space="preserve">, seeking feedback from hospitals and those most likely to be affected by any changes. The private health sector is </w:t>
      </w:r>
      <w:r w:rsidR="00562959" w:rsidRPr="6D538263">
        <w:rPr>
          <w:rFonts w:cstheme="minorBidi"/>
          <w:sz w:val="22"/>
          <w:szCs w:val="22"/>
        </w:rPr>
        <w:t>familiar with this form of consultation.</w:t>
      </w:r>
      <w:r w:rsidR="001008AA" w:rsidRPr="6D538263">
        <w:rPr>
          <w:rFonts w:cstheme="minorBidi"/>
          <w:sz w:val="22"/>
          <w:szCs w:val="22"/>
        </w:rPr>
        <w:t xml:space="preserve"> </w:t>
      </w:r>
      <w:r w:rsidR="00562959" w:rsidRPr="6D538263">
        <w:rPr>
          <w:rFonts w:cstheme="minorBidi"/>
          <w:sz w:val="22"/>
          <w:szCs w:val="22"/>
        </w:rPr>
        <w:t>Stakeholders were invited to provide</w:t>
      </w:r>
      <w:r w:rsidR="001008AA" w:rsidRPr="6D538263">
        <w:rPr>
          <w:rFonts w:cstheme="minorBidi"/>
          <w:sz w:val="22"/>
          <w:szCs w:val="22"/>
        </w:rPr>
        <w:t xml:space="preserve"> </w:t>
      </w:r>
      <w:r w:rsidR="000D4DA6" w:rsidRPr="6D538263">
        <w:rPr>
          <w:rFonts w:cstheme="minorBidi"/>
          <w:sz w:val="22"/>
          <w:szCs w:val="22"/>
        </w:rPr>
        <w:t xml:space="preserve">feedback to </w:t>
      </w:r>
      <w:hyperlink r:id="rId14">
        <w:r w:rsidR="000D4DA6" w:rsidRPr="6D538263">
          <w:rPr>
            <w:rStyle w:val="Hyperlink"/>
            <w:rFonts w:cstheme="minorBidi"/>
            <w:sz w:val="22"/>
            <w:szCs w:val="22"/>
          </w:rPr>
          <w:t>phi.hospitals@health.gov.au</w:t>
        </w:r>
      </w:hyperlink>
      <w:r w:rsidR="00562959" w:rsidRPr="00FF27FF">
        <w:rPr>
          <w:rFonts w:cstheme="minorBidi"/>
          <w:sz w:val="22"/>
          <w:szCs w:val="22"/>
        </w:rPr>
        <w:t>.</w:t>
      </w:r>
      <w:r w:rsidR="001008AA" w:rsidRPr="00FF27FF">
        <w:rPr>
          <w:rFonts w:cstheme="minorBidi"/>
          <w:sz w:val="22"/>
          <w:szCs w:val="22"/>
        </w:rPr>
        <w:t xml:space="preserve"> </w:t>
      </w:r>
      <w:r w:rsidR="00562959" w:rsidRPr="00FF27FF">
        <w:rPr>
          <w:rFonts w:cstheme="minorBidi"/>
          <w:sz w:val="22"/>
          <w:szCs w:val="22"/>
        </w:rPr>
        <w:t>N</w:t>
      </w:r>
      <w:r w:rsidR="000D4DA6" w:rsidRPr="00FF27FF">
        <w:rPr>
          <w:rFonts w:cstheme="minorBidi"/>
          <w:sz w:val="22"/>
          <w:szCs w:val="22"/>
        </w:rPr>
        <w:t>o responses were received</w:t>
      </w:r>
      <w:r w:rsidR="00562959" w:rsidRPr="00FF27FF">
        <w:rPr>
          <w:rFonts w:cstheme="minorBidi"/>
          <w:sz w:val="22"/>
          <w:szCs w:val="22"/>
        </w:rPr>
        <w:t>.</w:t>
      </w:r>
    </w:p>
    <w:p w14:paraId="580AB4BD" w14:textId="5D1AF14C" w:rsidR="00493B85" w:rsidRPr="00580343" w:rsidRDefault="0087514F" w:rsidP="00400C30">
      <w:pPr>
        <w:pStyle w:val="Heading1"/>
      </w:pPr>
      <w:r w:rsidRPr="00580343">
        <w:t xml:space="preserve">FINANCIAL </w:t>
      </w:r>
      <w:r w:rsidR="006271C3" w:rsidRPr="00580343">
        <w:t>PERFORMANCE</w:t>
      </w:r>
    </w:p>
    <w:p w14:paraId="1B293313" w14:textId="2F12C4A3" w:rsidR="006271C3" w:rsidRPr="00580343" w:rsidRDefault="006271C3" w:rsidP="00400C30">
      <w:pPr>
        <w:pStyle w:val="Heading2"/>
      </w:pPr>
      <w:bookmarkStart w:id="11" w:name="_Table_2:_Forecast"/>
      <w:bookmarkEnd w:id="11"/>
      <w:r w:rsidRPr="00580343">
        <w:t>Financial Estimates</w:t>
      </w:r>
    </w:p>
    <w:p w14:paraId="1AAB04DC" w14:textId="271583EE" w:rsidR="007E7879" w:rsidRPr="00580343" w:rsidRDefault="007E7879" w:rsidP="0060678A">
      <w:pPr>
        <w:rPr>
          <w:rFonts w:cstheme="minorHAnsi"/>
          <w:sz w:val="22"/>
        </w:rPr>
      </w:pPr>
      <w:r w:rsidRPr="00580343">
        <w:rPr>
          <w:rFonts w:cstheme="minorHAnsi"/>
          <w:sz w:val="22"/>
          <w:szCs w:val="22"/>
        </w:rPr>
        <w:t>The application fee of $</w:t>
      </w:r>
      <w:r w:rsidR="00DE14A1">
        <w:rPr>
          <w:rFonts w:cstheme="minorHAnsi"/>
          <w:sz w:val="22"/>
          <w:szCs w:val="22"/>
        </w:rPr>
        <w:t>1,010</w:t>
      </w:r>
      <w:r w:rsidR="00DE14A1" w:rsidRPr="00580343">
        <w:rPr>
          <w:rFonts w:cstheme="minorHAnsi"/>
          <w:sz w:val="22"/>
          <w:szCs w:val="22"/>
        </w:rPr>
        <w:t xml:space="preserve"> </w:t>
      </w:r>
      <w:r w:rsidRPr="00580343">
        <w:rPr>
          <w:rFonts w:cstheme="minorHAnsi"/>
          <w:sz w:val="22"/>
          <w:szCs w:val="22"/>
        </w:rPr>
        <w:t>is payable from 1 July </w:t>
      </w:r>
      <w:r w:rsidR="00DE14A1" w:rsidRPr="00580343">
        <w:rPr>
          <w:rFonts w:cstheme="minorHAnsi"/>
          <w:sz w:val="22"/>
          <w:szCs w:val="22"/>
        </w:rPr>
        <w:t>202</w:t>
      </w:r>
      <w:r w:rsidR="00DE14A1">
        <w:rPr>
          <w:rFonts w:cstheme="minorHAnsi"/>
          <w:sz w:val="22"/>
          <w:szCs w:val="22"/>
        </w:rPr>
        <w:t>5</w:t>
      </w:r>
      <w:r w:rsidR="00DE14A1" w:rsidRPr="00580343">
        <w:rPr>
          <w:rFonts w:cstheme="minorHAnsi"/>
          <w:sz w:val="22"/>
          <w:szCs w:val="22"/>
        </w:rPr>
        <w:t xml:space="preserve"> </w:t>
      </w:r>
      <w:r w:rsidRPr="00580343">
        <w:rPr>
          <w:rFonts w:cstheme="minorHAnsi"/>
          <w:sz w:val="22"/>
          <w:szCs w:val="22"/>
        </w:rPr>
        <w:t xml:space="preserve">and is indexed annually. The financial forecasts in </w:t>
      </w:r>
      <w:r w:rsidR="003F5D7C">
        <w:rPr>
          <w:rFonts w:cstheme="minorHAnsi"/>
          <w:sz w:val="22"/>
          <w:szCs w:val="22"/>
        </w:rPr>
        <w:t>T</w:t>
      </w:r>
      <w:r w:rsidR="003F5D7C" w:rsidRPr="00580343">
        <w:rPr>
          <w:rFonts w:cstheme="minorHAnsi"/>
          <w:sz w:val="22"/>
          <w:szCs w:val="22"/>
        </w:rPr>
        <w:t xml:space="preserve">able </w:t>
      </w:r>
      <w:r w:rsidR="006271C3" w:rsidRPr="00580343">
        <w:rPr>
          <w:rFonts w:cstheme="minorHAnsi"/>
          <w:sz w:val="22"/>
          <w:szCs w:val="22"/>
        </w:rPr>
        <w:t>3</w:t>
      </w:r>
      <w:r w:rsidRPr="00580343">
        <w:rPr>
          <w:rFonts w:cstheme="minorHAnsi"/>
          <w:sz w:val="22"/>
          <w:szCs w:val="22"/>
        </w:rPr>
        <w:t xml:space="preserve"> reflect the estimated revenue and expenses, based on the annual indexation of the fee in the forward years.</w:t>
      </w:r>
    </w:p>
    <w:p w14:paraId="2DE639EC" w14:textId="5E128E26"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3</w:t>
      </w:r>
      <w:r>
        <w:fldChar w:fldCharType="end"/>
      </w:r>
      <w:r w:rsidR="007E7879" w:rsidRPr="00580343">
        <w:rPr>
          <w:rFonts w:cstheme="minorHAnsi"/>
          <w:szCs w:val="24"/>
        </w:rPr>
        <w:t>: Forecast financial performance</w:t>
      </w:r>
    </w:p>
    <w:tbl>
      <w:tblPr>
        <w:tblStyle w:val="TableGridLight"/>
        <w:tblW w:w="9640" w:type="dxa"/>
        <w:tblInd w:w="-147" w:type="dxa"/>
        <w:tblLayout w:type="fixed"/>
        <w:tblLook w:val="04A0" w:firstRow="1" w:lastRow="0" w:firstColumn="1" w:lastColumn="0" w:noHBand="0" w:noVBand="1"/>
      </w:tblPr>
      <w:tblGrid>
        <w:gridCol w:w="2836"/>
        <w:gridCol w:w="1701"/>
        <w:gridCol w:w="1701"/>
        <w:gridCol w:w="1701"/>
        <w:gridCol w:w="1701"/>
      </w:tblGrid>
      <w:tr w:rsidR="0036672F" w:rsidRPr="003F5D7C" w14:paraId="33949AFD" w14:textId="2498423B" w:rsidTr="00BF0BE3">
        <w:trPr>
          <w:trHeight w:val="300"/>
          <w:tblHeader/>
        </w:trPr>
        <w:tc>
          <w:tcPr>
            <w:tcW w:w="2836" w:type="dxa"/>
            <w:hideMark/>
          </w:tcPr>
          <w:p w14:paraId="7448EFF1" w14:textId="7F72FED3" w:rsidR="0036672F" w:rsidRPr="00BF0BE3" w:rsidRDefault="0036672F" w:rsidP="0036672F">
            <w:pPr>
              <w:spacing w:before="120" w:after="120"/>
              <w:rPr>
                <w:rFonts w:cstheme="minorHAnsi"/>
                <w:b/>
                <w:bCs/>
                <w:sz w:val="22"/>
                <w:szCs w:val="22"/>
                <w:highlight w:val="yellow"/>
                <w:lang w:eastAsia="en-AU"/>
              </w:rPr>
            </w:pPr>
            <w:r w:rsidRPr="00BF0BE3">
              <w:rPr>
                <w:b/>
                <w:bCs/>
              </w:rPr>
              <w:t>Financial estimates</w:t>
            </w:r>
          </w:p>
        </w:tc>
        <w:tc>
          <w:tcPr>
            <w:tcW w:w="1701" w:type="dxa"/>
            <w:hideMark/>
          </w:tcPr>
          <w:p w14:paraId="2378DD35" w14:textId="79A6DBC9" w:rsidR="0036672F" w:rsidRPr="00BF0BE3" w:rsidRDefault="0036672F" w:rsidP="0036672F">
            <w:pPr>
              <w:spacing w:before="120" w:after="120"/>
              <w:jc w:val="center"/>
              <w:rPr>
                <w:rFonts w:cstheme="minorHAnsi"/>
                <w:b/>
                <w:bCs/>
                <w:sz w:val="22"/>
                <w:szCs w:val="22"/>
                <w:highlight w:val="yellow"/>
                <w:lang w:eastAsia="en-AU"/>
              </w:rPr>
            </w:pPr>
            <w:r w:rsidRPr="00BF0BE3">
              <w:rPr>
                <w:b/>
                <w:bCs/>
              </w:rPr>
              <w:t>2025-26</w:t>
            </w:r>
          </w:p>
        </w:tc>
        <w:tc>
          <w:tcPr>
            <w:tcW w:w="1701" w:type="dxa"/>
          </w:tcPr>
          <w:p w14:paraId="6ECB0016" w14:textId="114AA708" w:rsidR="0036672F" w:rsidRPr="00BF0BE3" w:rsidRDefault="0036672F" w:rsidP="0036672F">
            <w:pPr>
              <w:spacing w:before="120" w:after="120"/>
              <w:jc w:val="center"/>
              <w:rPr>
                <w:rFonts w:cstheme="minorHAnsi"/>
                <w:b/>
                <w:bCs/>
                <w:sz w:val="22"/>
                <w:szCs w:val="22"/>
                <w:highlight w:val="yellow"/>
                <w:lang w:eastAsia="en-AU"/>
              </w:rPr>
            </w:pPr>
            <w:r w:rsidRPr="00BF0BE3">
              <w:rPr>
                <w:b/>
                <w:bCs/>
              </w:rPr>
              <w:t>2026-27</w:t>
            </w:r>
          </w:p>
        </w:tc>
        <w:tc>
          <w:tcPr>
            <w:tcW w:w="1701" w:type="dxa"/>
          </w:tcPr>
          <w:p w14:paraId="7CCF30EB" w14:textId="77F69EDE" w:rsidR="0036672F" w:rsidRPr="00BF0BE3" w:rsidRDefault="0036672F" w:rsidP="0036672F">
            <w:pPr>
              <w:spacing w:before="120" w:after="120"/>
              <w:jc w:val="center"/>
              <w:rPr>
                <w:rFonts w:cstheme="minorHAnsi"/>
                <w:b/>
                <w:bCs/>
                <w:sz w:val="22"/>
                <w:szCs w:val="22"/>
                <w:highlight w:val="yellow"/>
                <w:lang w:eastAsia="en-AU"/>
              </w:rPr>
            </w:pPr>
            <w:r w:rsidRPr="00BF0BE3">
              <w:rPr>
                <w:b/>
                <w:bCs/>
              </w:rPr>
              <w:t>2027-28</w:t>
            </w:r>
          </w:p>
        </w:tc>
        <w:tc>
          <w:tcPr>
            <w:tcW w:w="1701" w:type="dxa"/>
            <w:vAlign w:val="center"/>
          </w:tcPr>
          <w:p w14:paraId="00319326" w14:textId="4B3996FF" w:rsidR="0036672F" w:rsidRPr="00BF0BE3" w:rsidRDefault="0036672F" w:rsidP="0036672F">
            <w:pPr>
              <w:spacing w:after="0"/>
              <w:jc w:val="center"/>
              <w:rPr>
                <w:rFonts w:cstheme="minorHAnsi"/>
                <w:b/>
                <w:bCs/>
                <w:sz w:val="22"/>
                <w:szCs w:val="22"/>
                <w:highlight w:val="yellow"/>
              </w:rPr>
            </w:pPr>
            <w:r w:rsidRPr="00BF0BE3">
              <w:rPr>
                <w:b/>
                <w:bCs/>
              </w:rPr>
              <w:t>2028-29</w:t>
            </w:r>
          </w:p>
        </w:tc>
      </w:tr>
      <w:tr w:rsidR="0036672F" w:rsidRPr="003F5D7C" w14:paraId="5E896AB2" w14:textId="71A9710D" w:rsidTr="00BF0BE3">
        <w:trPr>
          <w:trHeight w:val="300"/>
        </w:trPr>
        <w:tc>
          <w:tcPr>
            <w:tcW w:w="2836" w:type="dxa"/>
            <w:noWrap/>
            <w:hideMark/>
          </w:tcPr>
          <w:p w14:paraId="1E1E0994" w14:textId="7B628149" w:rsidR="0036672F" w:rsidRPr="00BF0BE3" w:rsidRDefault="0036672F" w:rsidP="0036672F">
            <w:pPr>
              <w:spacing w:after="0"/>
              <w:jc w:val="both"/>
            </w:pPr>
            <w:r w:rsidRPr="00816CAF">
              <w:t xml:space="preserve">Total Revenue </w:t>
            </w:r>
          </w:p>
        </w:tc>
        <w:tc>
          <w:tcPr>
            <w:tcW w:w="1701" w:type="dxa"/>
            <w:noWrap/>
          </w:tcPr>
          <w:p w14:paraId="62B34B61" w14:textId="0D06C6C2"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$202,000 </w:t>
            </w:r>
          </w:p>
        </w:tc>
        <w:tc>
          <w:tcPr>
            <w:tcW w:w="1701" w:type="dxa"/>
          </w:tcPr>
          <w:p w14:paraId="677B50BD" w14:textId="5803B00E"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$208,000 </w:t>
            </w:r>
          </w:p>
        </w:tc>
        <w:tc>
          <w:tcPr>
            <w:tcW w:w="1701" w:type="dxa"/>
          </w:tcPr>
          <w:p w14:paraId="77450F41" w14:textId="2085F00A"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$210,000 </w:t>
            </w:r>
          </w:p>
        </w:tc>
        <w:tc>
          <w:tcPr>
            <w:tcW w:w="1701" w:type="dxa"/>
          </w:tcPr>
          <w:p w14:paraId="7D152513" w14:textId="4D567923"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$216,000 </w:t>
            </w:r>
          </w:p>
        </w:tc>
      </w:tr>
      <w:tr w:rsidR="0036672F" w:rsidRPr="003F5D7C" w14:paraId="69CD1FF7" w14:textId="4B19BEBA" w:rsidTr="00BF0BE3">
        <w:trPr>
          <w:trHeight w:val="300"/>
        </w:trPr>
        <w:tc>
          <w:tcPr>
            <w:tcW w:w="2836" w:type="dxa"/>
            <w:noWrap/>
            <w:hideMark/>
          </w:tcPr>
          <w:p w14:paraId="58CF214E" w14:textId="097214D3" w:rsidR="0036672F" w:rsidRPr="0036672F" w:rsidRDefault="0036672F" w:rsidP="0036672F">
            <w:pPr>
              <w:spacing w:after="0"/>
              <w:jc w:val="both"/>
            </w:pPr>
            <w:r w:rsidRPr="00816CAF">
              <w:t xml:space="preserve">Total </w:t>
            </w:r>
            <w:r>
              <w:t>E</w:t>
            </w:r>
            <w:r w:rsidRPr="00816CAF">
              <w:t xml:space="preserve">xpenses </w:t>
            </w:r>
          </w:p>
        </w:tc>
        <w:tc>
          <w:tcPr>
            <w:tcW w:w="1701" w:type="dxa"/>
            <w:noWrap/>
          </w:tcPr>
          <w:p w14:paraId="33D2B309" w14:textId="7895A5B6"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$201,572 </w:t>
            </w:r>
          </w:p>
        </w:tc>
        <w:tc>
          <w:tcPr>
            <w:tcW w:w="1701" w:type="dxa"/>
          </w:tcPr>
          <w:p w14:paraId="3FDEF8CB" w14:textId="200326C3"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$207,014 </w:t>
            </w:r>
          </w:p>
        </w:tc>
        <w:tc>
          <w:tcPr>
            <w:tcW w:w="1701" w:type="dxa"/>
          </w:tcPr>
          <w:p w14:paraId="3C431B80" w14:textId="33F2D331"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$210,948 </w:t>
            </w:r>
          </w:p>
        </w:tc>
        <w:tc>
          <w:tcPr>
            <w:tcW w:w="1701" w:type="dxa"/>
          </w:tcPr>
          <w:p w14:paraId="6BB12AD1" w14:textId="059CDC2A"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$215,799 </w:t>
            </w:r>
          </w:p>
        </w:tc>
      </w:tr>
      <w:tr w:rsidR="0036672F" w:rsidRPr="003F5D7C" w14:paraId="1B20CF62" w14:textId="40807DCE" w:rsidTr="00BF0BE3">
        <w:trPr>
          <w:trHeight w:val="300"/>
        </w:trPr>
        <w:tc>
          <w:tcPr>
            <w:tcW w:w="2836" w:type="dxa"/>
            <w:noWrap/>
            <w:hideMark/>
          </w:tcPr>
          <w:p w14:paraId="7D504488" w14:textId="6DB6F72B" w:rsidR="0036672F" w:rsidRPr="00BF0BE3" w:rsidRDefault="0036672F" w:rsidP="0036672F">
            <w:pPr>
              <w:spacing w:after="0"/>
              <w:jc w:val="both"/>
            </w:pPr>
            <w:r w:rsidRPr="00816CAF">
              <w:t>Balance(revenue-expense)</w:t>
            </w:r>
          </w:p>
        </w:tc>
        <w:tc>
          <w:tcPr>
            <w:tcW w:w="1701" w:type="dxa"/>
            <w:noWrap/>
          </w:tcPr>
          <w:p w14:paraId="41A20F85" w14:textId="1F352A81" w:rsidR="0036672F" w:rsidRPr="00BF0BE3" w:rsidRDefault="0036672F" w:rsidP="0036672F">
            <w:pPr>
              <w:spacing w:after="0"/>
              <w:jc w:val="right"/>
              <w:rPr>
                <w:rFonts w:cstheme="minorBidi"/>
                <w:color w:val="000000"/>
                <w:sz w:val="22"/>
                <w:szCs w:val="22"/>
                <w:highlight w:val="yellow"/>
                <w:lang w:eastAsia="en-AU"/>
              </w:rPr>
            </w:pPr>
            <w:r w:rsidRPr="00816CAF">
              <w:t xml:space="preserve"> $428 </w:t>
            </w:r>
          </w:p>
        </w:tc>
        <w:tc>
          <w:tcPr>
            <w:tcW w:w="1701" w:type="dxa"/>
          </w:tcPr>
          <w:p w14:paraId="013A48CC" w14:textId="55AC5055" w:rsidR="0036672F" w:rsidRPr="00BF0BE3" w:rsidRDefault="0036672F" w:rsidP="0036672F">
            <w:pPr>
              <w:spacing w:after="0"/>
              <w:jc w:val="right"/>
              <w:rPr>
                <w:rFonts w:cstheme="minorBidi"/>
                <w:color w:val="000000"/>
                <w:sz w:val="22"/>
                <w:szCs w:val="22"/>
                <w:highlight w:val="yellow"/>
              </w:rPr>
            </w:pPr>
            <w:r w:rsidRPr="00816CAF">
              <w:t xml:space="preserve"> $986 </w:t>
            </w:r>
          </w:p>
        </w:tc>
        <w:tc>
          <w:tcPr>
            <w:tcW w:w="1701" w:type="dxa"/>
          </w:tcPr>
          <w:p w14:paraId="340767AB" w14:textId="4E92B2EE" w:rsidR="0036672F" w:rsidRPr="00BF0BE3" w:rsidRDefault="0036672F" w:rsidP="0036672F">
            <w:pPr>
              <w:spacing w:after="0"/>
              <w:jc w:val="right"/>
              <w:rPr>
                <w:rFonts w:cstheme="minorBidi"/>
                <w:color w:val="000000"/>
                <w:sz w:val="22"/>
                <w:szCs w:val="22"/>
                <w:highlight w:val="yellow"/>
              </w:rPr>
            </w:pPr>
            <w:r w:rsidRPr="00816CAF">
              <w:t xml:space="preserve">-$948 </w:t>
            </w:r>
          </w:p>
        </w:tc>
        <w:tc>
          <w:tcPr>
            <w:tcW w:w="1701" w:type="dxa"/>
          </w:tcPr>
          <w:p w14:paraId="1C67293F" w14:textId="6CE73D6F" w:rsidR="0036672F" w:rsidRPr="00BF0BE3" w:rsidRDefault="0036672F" w:rsidP="0036672F">
            <w:pPr>
              <w:spacing w:after="0"/>
              <w:jc w:val="right"/>
              <w:rPr>
                <w:rFonts w:cstheme="minorBidi"/>
                <w:color w:val="000000"/>
                <w:sz w:val="22"/>
                <w:szCs w:val="22"/>
                <w:highlight w:val="yellow"/>
              </w:rPr>
            </w:pPr>
            <w:r w:rsidRPr="00816CAF">
              <w:t xml:space="preserve"> $201 </w:t>
            </w:r>
          </w:p>
        </w:tc>
      </w:tr>
      <w:tr w:rsidR="0036672F" w:rsidRPr="00580343" w14:paraId="0088595A" w14:textId="3CA60E75" w:rsidTr="00BF0BE3">
        <w:trPr>
          <w:trHeight w:val="300"/>
        </w:trPr>
        <w:tc>
          <w:tcPr>
            <w:tcW w:w="2836" w:type="dxa"/>
            <w:noWrap/>
            <w:hideMark/>
          </w:tcPr>
          <w:p w14:paraId="54C0B3C9" w14:textId="7E2CB784" w:rsidR="0036672F" w:rsidRPr="00BF0BE3" w:rsidRDefault="0036672F" w:rsidP="0036672F">
            <w:pPr>
              <w:spacing w:after="0"/>
              <w:jc w:val="both"/>
            </w:pPr>
            <w:r w:rsidRPr="00816CAF">
              <w:t>Cumulative balance</w:t>
            </w:r>
          </w:p>
        </w:tc>
        <w:tc>
          <w:tcPr>
            <w:tcW w:w="1701" w:type="dxa"/>
            <w:noWrap/>
          </w:tcPr>
          <w:p w14:paraId="715F7278" w14:textId="14894E3F" w:rsidR="0036672F" w:rsidRPr="00BF0BE3" w:rsidRDefault="0036672F" w:rsidP="0036672F">
            <w:pPr>
              <w:spacing w:after="0"/>
              <w:jc w:val="right"/>
              <w:rPr>
                <w:rFonts w:cstheme="minorBidi"/>
                <w:color w:val="000000"/>
                <w:sz w:val="22"/>
                <w:szCs w:val="22"/>
                <w:highlight w:val="yellow"/>
                <w:lang w:eastAsia="en-AU"/>
              </w:rPr>
            </w:pPr>
            <w:r w:rsidRPr="00816CAF">
              <w:t xml:space="preserve"> $931 </w:t>
            </w:r>
          </w:p>
        </w:tc>
        <w:tc>
          <w:tcPr>
            <w:tcW w:w="1701" w:type="dxa"/>
          </w:tcPr>
          <w:p w14:paraId="75B76784" w14:textId="728B9423" w:rsidR="0036672F" w:rsidRPr="00BF0BE3" w:rsidRDefault="0036672F" w:rsidP="0036672F">
            <w:pPr>
              <w:spacing w:after="0"/>
              <w:jc w:val="right"/>
              <w:rPr>
                <w:rFonts w:cstheme="minorBidi"/>
                <w:color w:val="000000"/>
                <w:sz w:val="22"/>
                <w:szCs w:val="22"/>
                <w:highlight w:val="yellow"/>
              </w:rPr>
            </w:pPr>
            <w:r w:rsidRPr="00816CAF">
              <w:t xml:space="preserve"> $1,917 </w:t>
            </w:r>
          </w:p>
        </w:tc>
        <w:tc>
          <w:tcPr>
            <w:tcW w:w="1701" w:type="dxa"/>
          </w:tcPr>
          <w:p w14:paraId="180B31F6" w14:textId="6FBEE6F7" w:rsidR="0036672F" w:rsidRPr="00BF0BE3" w:rsidRDefault="0036672F" w:rsidP="0036672F">
            <w:pPr>
              <w:spacing w:after="0"/>
              <w:jc w:val="right"/>
              <w:rPr>
                <w:rFonts w:cstheme="minorBidi"/>
                <w:color w:val="000000"/>
                <w:sz w:val="22"/>
                <w:szCs w:val="22"/>
                <w:highlight w:val="yellow"/>
              </w:rPr>
            </w:pPr>
            <w:r w:rsidRPr="00816CAF">
              <w:t xml:space="preserve"> $969 </w:t>
            </w:r>
          </w:p>
        </w:tc>
        <w:tc>
          <w:tcPr>
            <w:tcW w:w="1701" w:type="dxa"/>
          </w:tcPr>
          <w:p w14:paraId="49857DAA" w14:textId="09AF936F" w:rsidR="0036672F" w:rsidRPr="00580343" w:rsidRDefault="0036672F" w:rsidP="0036672F">
            <w:pPr>
              <w:spacing w:after="0"/>
              <w:jc w:val="right"/>
              <w:rPr>
                <w:rFonts w:cstheme="minorBidi"/>
                <w:color w:val="000000"/>
                <w:sz w:val="22"/>
                <w:szCs w:val="22"/>
              </w:rPr>
            </w:pPr>
            <w:r w:rsidRPr="00816CAF">
              <w:t xml:space="preserve"> $1,170 </w:t>
            </w:r>
          </w:p>
        </w:tc>
      </w:tr>
    </w:tbl>
    <w:p w14:paraId="4069DE9E" w14:textId="43081018" w:rsidR="000D4DA6" w:rsidRPr="00580343" w:rsidRDefault="00CE7421" w:rsidP="00CE7421">
      <w:pPr>
        <w:spacing w:after="200" w:line="276" w:lineRule="auto"/>
        <w:rPr>
          <w:rFonts w:cstheme="minorHAnsi"/>
          <w:sz w:val="22"/>
          <w:szCs w:val="22"/>
        </w:rPr>
      </w:pPr>
      <w:r>
        <w:rPr>
          <w:rFonts w:cstheme="minorHAnsi"/>
          <w:sz w:val="22"/>
          <w:szCs w:val="22"/>
        </w:rPr>
        <w:br w:type="page"/>
      </w:r>
    </w:p>
    <w:p w14:paraId="4AB20166" w14:textId="24887B58" w:rsidR="00CB2F03" w:rsidRDefault="00CB2F03" w:rsidP="00400C30">
      <w:pPr>
        <w:pStyle w:val="Heading2"/>
      </w:pPr>
      <w:r w:rsidRPr="00580343">
        <w:lastRenderedPageBreak/>
        <w:t>Financial Outcomes</w:t>
      </w:r>
    </w:p>
    <w:p w14:paraId="06AD9217" w14:textId="154450C4" w:rsidR="00AB3BE2" w:rsidRPr="00AB3BE2" w:rsidRDefault="00AB3BE2" w:rsidP="00AB3BE2">
      <w:pPr>
        <w:pStyle w:val="Caption"/>
      </w:pPr>
      <w:r>
        <w:t xml:space="preserve">Table </w:t>
      </w:r>
      <w:r>
        <w:fldChar w:fldCharType="begin"/>
      </w:r>
      <w:r>
        <w:instrText xml:space="preserve"> SEQ Table \* ARABIC </w:instrText>
      </w:r>
      <w:r>
        <w:fldChar w:fldCharType="separate"/>
      </w:r>
      <w:r>
        <w:rPr>
          <w:noProof/>
        </w:rPr>
        <w:t>4</w:t>
      </w:r>
      <w:r>
        <w:fldChar w:fldCharType="end"/>
      </w:r>
      <w:r w:rsidRPr="00AB3BE2">
        <w:t>: Financial Outcomes for the program</w:t>
      </w:r>
    </w:p>
    <w:tbl>
      <w:tblPr>
        <w:tblW w:w="9175" w:type="dxa"/>
        <w:tblInd w:w="-147" w:type="dxa"/>
        <w:tblLook w:val="04A0" w:firstRow="1" w:lastRow="0" w:firstColumn="1" w:lastColumn="0" w:noHBand="0" w:noVBand="1"/>
      </w:tblPr>
      <w:tblGrid>
        <w:gridCol w:w="3507"/>
        <w:gridCol w:w="1417"/>
        <w:gridCol w:w="1417"/>
        <w:gridCol w:w="1417"/>
        <w:gridCol w:w="1417"/>
      </w:tblGrid>
      <w:tr w:rsidR="00652DD1" w:rsidRPr="00580343" w14:paraId="73861486" w14:textId="7E50103E" w:rsidTr="00400C30">
        <w:trPr>
          <w:trHeight w:val="20"/>
          <w:tblHeader/>
        </w:trPr>
        <w:tc>
          <w:tcPr>
            <w:tcW w:w="3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74F63" w14:textId="171B5079" w:rsidR="00652DD1" w:rsidRPr="000D4DA6" w:rsidRDefault="00652DD1" w:rsidP="00652DD1">
            <w:pPr>
              <w:spacing w:after="0"/>
              <w:rPr>
                <w:rFonts w:cstheme="minorHAnsi"/>
                <w:b/>
                <w:bCs/>
                <w:sz w:val="22"/>
                <w:szCs w:val="22"/>
                <w:lang w:eastAsia="en-AU"/>
              </w:rPr>
            </w:pPr>
            <w:r w:rsidRPr="000D4DA6">
              <w:rPr>
                <w:rFonts w:cstheme="minorHAnsi"/>
                <w:b/>
                <w:bCs/>
                <w:sz w:val="22"/>
                <w:szCs w:val="22"/>
                <w:lang w:eastAsia="en-AU"/>
              </w:rPr>
              <w:t>Financial item</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DD6FEC" w14:textId="2E532CA2"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2021-22</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1B53E0" w14:textId="47E3FBB9"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2022-23</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D997B" w14:textId="103CBCE1"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2023-24</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A5ED1C" w14:textId="0526C0F5"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2024-25</w:t>
            </w:r>
          </w:p>
        </w:tc>
      </w:tr>
      <w:tr w:rsidR="00652DD1" w:rsidRPr="00580343" w14:paraId="498D5C8A" w14:textId="6F540A24" w:rsidTr="00BF0BE3">
        <w:trPr>
          <w:trHeight w:val="20"/>
        </w:trPr>
        <w:tc>
          <w:tcPr>
            <w:tcW w:w="3507" w:type="dxa"/>
            <w:tcBorders>
              <w:top w:val="nil"/>
              <w:left w:val="single" w:sz="4" w:space="0" w:color="auto"/>
              <w:bottom w:val="nil"/>
              <w:right w:val="nil"/>
            </w:tcBorders>
            <w:shd w:val="clear" w:color="auto" w:fill="F2F2F2" w:themeFill="background1" w:themeFillShade="F2"/>
            <w:noWrap/>
            <w:vAlign w:val="bottom"/>
            <w:hideMark/>
          </w:tcPr>
          <w:p w14:paraId="79CE5236" w14:textId="77777777" w:rsidR="00652DD1" w:rsidRPr="000D4DA6" w:rsidRDefault="00652DD1" w:rsidP="00652DD1">
            <w:pPr>
              <w:spacing w:after="0"/>
              <w:rPr>
                <w:rFonts w:cstheme="minorHAnsi"/>
                <w:b/>
                <w:bCs/>
                <w:sz w:val="22"/>
                <w:szCs w:val="22"/>
                <w:lang w:eastAsia="en-AU"/>
              </w:rPr>
            </w:pPr>
            <w:r w:rsidRPr="000D4DA6">
              <w:rPr>
                <w:rFonts w:cstheme="minorHAnsi"/>
                <w:b/>
                <w:bCs/>
                <w:sz w:val="22"/>
                <w:szCs w:val="22"/>
                <w:lang w:eastAsia="en-AU"/>
              </w:rPr>
              <w:t>Estimates</w:t>
            </w:r>
          </w:p>
        </w:tc>
        <w:tc>
          <w:tcPr>
            <w:tcW w:w="1417" w:type="dxa"/>
            <w:tcBorders>
              <w:top w:val="nil"/>
              <w:left w:val="nil"/>
              <w:bottom w:val="nil"/>
              <w:right w:val="nil"/>
            </w:tcBorders>
            <w:shd w:val="clear" w:color="auto" w:fill="F2F2F2" w:themeFill="background1" w:themeFillShade="F2"/>
            <w:vAlign w:val="bottom"/>
            <w:hideMark/>
          </w:tcPr>
          <w:p w14:paraId="7B34D36E" w14:textId="0DB1D1B9"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nil"/>
            </w:tcBorders>
            <w:shd w:val="clear" w:color="auto" w:fill="F2F2F2" w:themeFill="background1" w:themeFillShade="F2"/>
            <w:vAlign w:val="bottom"/>
            <w:hideMark/>
          </w:tcPr>
          <w:p w14:paraId="34A01FDE" w14:textId="79C75795"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single" w:sz="4" w:space="0" w:color="auto"/>
            </w:tcBorders>
            <w:shd w:val="clear" w:color="auto" w:fill="F2F2F2" w:themeFill="background1" w:themeFillShade="F2"/>
            <w:vAlign w:val="bottom"/>
            <w:hideMark/>
          </w:tcPr>
          <w:p w14:paraId="7DF359B1" w14:textId="6F77E3DD"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single" w:sz="4" w:space="0" w:color="auto"/>
            </w:tcBorders>
            <w:shd w:val="clear" w:color="auto" w:fill="F2F2F2" w:themeFill="background1" w:themeFillShade="F2"/>
            <w:vAlign w:val="bottom"/>
            <w:hideMark/>
          </w:tcPr>
          <w:p w14:paraId="7BC4D787" w14:textId="656D957C"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r>
      <w:tr w:rsidR="00EE21FE" w:rsidRPr="000D4DA6" w14:paraId="5EA3F447" w14:textId="77D93D76" w:rsidTr="00BF0BE3">
        <w:trPr>
          <w:trHeight w:val="20"/>
        </w:trPr>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3F5C5" w14:textId="15ECE2BB"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Revenue (X)</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986607" w14:textId="084B1B2C" w:rsidR="00EE21FE" w:rsidRPr="000D4DA6" w:rsidRDefault="00EE21FE" w:rsidP="00BF0BE3">
            <w:pPr>
              <w:spacing w:after="0"/>
              <w:jc w:val="right"/>
              <w:rPr>
                <w:rFonts w:cstheme="minorHAnsi"/>
                <w:sz w:val="22"/>
                <w:szCs w:val="22"/>
                <w:lang w:eastAsia="en-AU"/>
              </w:rPr>
            </w:pPr>
            <w:r w:rsidRPr="0012559F">
              <w:t>$123,300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8EDDC1" w14:textId="1514E2C4" w:rsidR="00EE21FE" w:rsidRPr="000D4DA6" w:rsidRDefault="00EE21FE" w:rsidP="00BF0BE3">
            <w:pPr>
              <w:spacing w:after="0"/>
              <w:jc w:val="right"/>
              <w:rPr>
                <w:rFonts w:cstheme="minorHAnsi"/>
                <w:sz w:val="22"/>
                <w:szCs w:val="22"/>
                <w:lang w:eastAsia="en-AU"/>
              </w:rPr>
            </w:pPr>
            <w:r w:rsidRPr="0012559F">
              <w:t>$126,900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DE0C55" w14:textId="6840650C" w:rsidR="00EE21FE" w:rsidRPr="000D4DA6" w:rsidRDefault="00EE21FE" w:rsidP="00BF0BE3">
            <w:pPr>
              <w:spacing w:after="0"/>
              <w:jc w:val="right"/>
              <w:rPr>
                <w:rFonts w:cstheme="minorHAnsi"/>
                <w:sz w:val="22"/>
                <w:szCs w:val="22"/>
                <w:lang w:eastAsia="en-AU"/>
              </w:rPr>
            </w:pPr>
            <w:r w:rsidRPr="0012559F">
              <w:t>$154,035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8BDCD7" w14:textId="42C54E86" w:rsidR="00EE21FE" w:rsidRPr="000D4DA6" w:rsidRDefault="00EE21FE" w:rsidP="00BF0BE3">
            <w:pPr>
              <w:spacing w:after="0"/>
              <w:jc w:val="right"/>
              <w:rPr>
                <w:rFonts w:cstheme="minorBidi"/>
                <w:sz w:val="22"/>
                <w:szCs w:val="22"/>
                <w:lang w:eastAsia="en-AU"/>
              </w:rPr>
            </w:pPr>
            <w:r w:rsidRPr="0012559F">
              <w:t>$255,115</w:t>
            </w:r>
          </w:p>
        </w:tc>
      </w:tr>
      <w:tr w:rsidR="00EE21FE" w:rsidRPr="000D4DA6" w14:paraId="6970A107" w14:textId="5D94D428" w:rsidTr="00BF0BE3">
        <w:trPr>
          <w:trHeight w:val="2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52DF2F45" w14:textId="3BC2D881"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Expenses (Y)</w:t>
            </w:r>
          </w:p>
        </w:tc>
        <w:tc>
          <w:tcPr>
            <w:tcW w:w="1417" w:type="dxa"/>
            <w:tcBorders>
              <w:top w:val="nil"/>
              <w:left w:val="nil"/>
              <w:bottom w:val="single" w:sz="4" w:space="0" w:color="auto"/>
              <w:right w:val="single" w:sz="4" w:space="0" w:color="auto"/>
            </w:tcBorders>
            <w:shd w:val="clear" w:color="auto" w:fill="auto"/>
            <w:vAlign w:val="center"/>
            <w:hideMark/>
          </w:tcPr>
          <w:p w14:paraId="57253DFC" w14:textId="5F1DBDA7" w:rsidR="00EE21FE" w:rsidRPr="000D4DA6" w:rsidRDefault="00EE21FE" w:rsidP="00BF0BE3">
            <w:pPr>
              <w:spacing w:after="0"/>
              <w:jc w:val="right"/>
              <w:rPr>
                <w:rFonts w:cstheme="minorHAnsi"/>
                <w:sz w:val="22"/>
                <w:szCs w:val="22"/>
                <w:lang w:eastAsia="en-AU"/>
              </w:rPr>
            </w:pPr>
            <w:r w:rsidRPr="0012559F">
              <w:t>$123,196</w:t>
            </w:r>
          </w:p>
        </w:tc>
        <w:tc>
          <w:tcPr>
            <w:tcW w:w="1417" w:type="dxa"/>
            <w:tcBorders>
              <w:top w:val="nil"/>
              <w:left w:val="nil"/>
              <w:bottom w:val="single" w:sz="4" w:space="0" w:color="auto"/>
              <w:right w:val="single" w:sz="4" w:space="0" w:color="auto"/>
            </w:tcBorders>
            <w:shd w:val="clear" w:color="auto" w:fill="auto"/>
            <w:vAlign w:val="center"/>
            <w:hideMark/>
          </w:tcPr>
          <w:p w14:paraId="4AC7D72B" w14:textId="1CC38D6A" w:rsidR="00EE21FE" w:rsidRPr="000D4DA6" w:rsidRDefault="00EE21FE" w:rsidP="00BF0BE3">
            <w:pPr>
              <w:spacing w:after="0"/>
              <w:jc w:val="right"/>
              <w:rPr>
                <w:rFonts w:cstheme="minorHAnsi"/>
                <w:sz w:val="22"/>
                <w:szCs w:val="22"/>
                <w:lang w:eastAsia="en-AU"/>
              </w:rPr>
            </w:pPr>
            <w:r w:rsidRPr="0012559F">
              <w:t>$126,869</w:t>
            </w:r>
          </w:p>
        </w:tc>
        <w:tc>
          <w:tcPr>
            <w:tcW w:w="1417" w:type="dxa"/>
            <w:tcBorders>
              <w:top w:val="nil"/>
              <w:left w:val="nil"/>
              <w:bottom w:val="single" w:sz="4" w:space="0" w:color="auto"/>
              <w:right w:val="single" w:sz="4" w:space="0" w:color="auto"/>
            </w:tcBorders>
            <w:shd w:val="clear" w:color="auto" w:fill="auto"/>
            <w:vAlign w:val="center"/>
            <w:hideMark/>
          </w:tcPr>
          <w:p w14:paraId="6F9678AA" w14:textId="3C857E05" w:rsidR="00EE21FE" w:rsidRPr="000D4DA6" w:rsidRDefault="00EE21FE" w:rsidP="00BF0BE3">
            <w:pPr>
              <w:spacing w:after="0"/>
              <w:jc w:val="right"/>
              <w:rPr>
                <w:rFonts w:cstheme="minorHAnsi"/>
                <w:sz w:val="22"/>
                <w:szCs w:val="22"/>
                <w:lang w:eastAsia="en-AU"/>
              </w:rPr>
            </w:pPr>
            <w:r w:rsidRPr="0012559F">
              <w:t>$154,302</w:t>
            </w:r>
          </w:p>
        </w:tc>
        <w:tc>
          <w:tcPr>
            <w:tcW w:w="1417" w:type="dxa"/>
            <w:tcBorders>
              <w:top w:val="nil"/>
              <w:left w:val="nil"/>
              <w:bottom w:val="single" w:sz="4" w:space="0" w:color="auto"/>
              <w:right w:val="single" w:sz="4" w:space="0" w:color="auto"/>
            </w:tcBorders>
            <w:shd w:val="clear" w:color="auto" w:fill="auto"/>
            <w:vAlign w:val="center"/>
            <w:hideMark/>
          </w:tcPr>
          <w:p w14:paraId="7AA00F1C" w14:textId="1D2580A7" w:rsidR="00EE21FE" w:rsidRPr="000D4DA6" w:rsidRDefault="00EE21FE" w:rsidP="00BF0BE3">
            <w:pPr>
              <w:spacing w:after="0"/>
              <w:jc w:val="right"/>
              <w:rPr>
                <w:rFonts w:cstheme="minorBidi"/>
                <w:sz w:val="22"/>
                <w:szCs w:val="22"/>
                <w:lang w:eastAsia="en-AU"/>
              </w:rPr>
            </w:pPr>
            <w:r w:rsidRPr="0012559F">
              <w:t>$254,612</w:t>
            </w:r>
          </w:p>
        </w:tc>
      </w:tr>
      <w:tr w:rsidR="00EE21FE" w:rsidRPr="000D4DA6" w14:paraId="4EC3E891" w14:textId="1C625E53" w:rsidTr="00BF0BE3">
        <w:trPr>
          <w:trHeight w:val="2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20DE6D20" w14:textId="77777777" w:rsidR="00EE21FE" w:rsidRPr="000D4DA6" w:rsidRDefault="00EE21FE" w:rsidP="00EE21FE">
            <w:pPr>
              <w:spacing w:after="0"/>
              <w:rPr>
                <w:rFonts w:cstheme="minorHAnsi"/>
                <w:color w:val="000000"/>
                <w:sz w:val="22"/>
                <w:szCs w:val="22"/>
                <w:lang w:eastAsia="en-AU"/>
              </w:rPr>
            </w:pPr>
            <w:r w:rsidRPr="000D4DA6">
              <w:rPr>
                <w:rFonts w:cstheme="minorHAnsi"/>
                <w:color w:val="000000"/>
                <w:sz w:val="22"/>
                <w:szCs w:val="22"/>
                <w:lang w:eastAsia="en-AU"/>
              </w:rPr>
              <w:t>Balance (X-Y)</w:t>
            </w:r>
          </w:p>
        </w:tc>
        <w:tc>
          <w:tcPr>
            <w:tcW w:w="1417" w:type="dxa"/>
            <w:tcBorders>
              <w:top w:val="nil"/>
              <w:left w:val="nil"/>
              <w:bottom w:val="single" w:sz="4" w:space="0" w:color="auto"/>
              <w:right w:val="single" w:sz="4" w:space="0" w:color="auto"/>
            </w:tcBorders>
            <w:shd w:val="clear" w:color="auto" w:fill="auto"/>
            <w:vAlign w:val="center"/>
            <w:hideMark/>
          </w:tcPr>
          <w:p w14:paraId="100D2777" w14:textId="4489375D" w:rsidR="00EE21FE" w:rsidRPr="000D4DA6" w:rsidRDefault="00EE21FE" w:rsidP="00EE21FE">
            <w:pPr>
              <w:spacing w:after="0"/>
              <w:jc w:val="right"/>
              <w:rPr>
                <w:rFonts w:cstheme="minorHAnsi"/>
                <w:sz w:val="22"/>
                <w:szCs w:val="22"/>
                <w:lang w:eastAsia="en-AU"/>
              </w:rPr>
            </w:pPr>
            <w:r w:rsidRPr="0012559F">
              <w:t>$104</w:t>
            </w:r>
          </w:p>
        </w:tc>
        <w:tc>
          <w:tcPr>
            <w:tcW w:w="1417" w:type="dxa"/>
            <w:tcBorders>
              <w:top w:val="nil"/>
              <w:left w:val="nil"/>
              <w:bottom w:val="single" w:sz="4" w:space="0" w:color="auto"/>
              <w:right w:val="single" w:sz="4" w:space="0" w:color="auto"/>
            </w:tcBorders>
            <w:shd w:val="clear" w:color="auto" w:fill="auto"/>
            <w:vAlign w:val="center"/>
            <w:hideMark/>
          </w:tcPr>
          <w:p w14:paraId="63AFB49A" w14:textId="7BF90F0E" w:rsidR="00EE21FE" w:rsidRPr="000D4DA6" w:rsidRDefault="00EE21FE" w:rsidP="00EE21FE">
            <w:pPr>
              <w:spacing w:after="0"/>
              <w:jc w:val="right"/>
              <w:rPr>
                <w:rFonts w:cstheme="minorHAnsi"/>
                <w:sz w:val="22"/>
                <w:szCs w:val="22"/>
                <w:lang w:eastAsia="en-AU"/>
              </w:rPr>
            </w:pPr>
            <w:r w:rsidRPr="0012559F">
              <w:t>$31</w:t>
            </w:r>
          </w:p>
        </w:tc>
        <w:tc>
          <w:tcPr>
            <w:tcW w:w="1417" w:type="dxa"/>
            <w:tcBorders>
              <w:top w:val="nil"/>
              <w:left w:val="nil"/>
              <w:bottom w:val="single" w:sz="4" w:space="0" w:color="auto"/>
              <w:right w:val="single" w:sz="4" w:space="0" w:color="auto"/>
            </w:tcBorders>
            <w:shd w:val="clear" w:color="auto" w:fill="auto"/>
            <w:vAlign w:val="center"/>
            <w:hideMark/>
          </w:tcPr>
          <w:p w14:paraId="66B076DF" w14:textId="7AF24D1E" w:rsidR="00EE21FE" w:rsidRPr="000D4DA6" w:rsidRDefault="00EE21FE" w:rsidP="00EE21FE">
            <w:pPr>
              <w:spacing w:after="0"/>
              <w:jc w:val="right"/>
              <w:rPr>
                <w:rFonts w:cstheme="minorHAnsi"/>
                <w:sz w:val="22"/>
                <w:szCs w:val="22"/>
                <w:lang w:eastAsia="en-AU"/>
              </w:rPr>
            </w:pPr>
            <w:r w:rsidRPr="0012559F">
              <w:t>-$267</w:t>
            </w:r>
          </w:p>
        </w:tc>
        <w:tc>
          <w:tcPr>
            <w:tcW w:w="1417" w:type="dxa"/>
            <w:tcBorders>
              <w:top w:val="nil"/>
              <w:left w:val="nil"/>
              <w:bottom w:val="single" w:sz="4" w:space="0" w:color="auto"/>
              <w:right w:val="single" w:sz="4" w:space="0" w:color="auto"/>
            </w:tcBorders>
            <w:shd w:val="clear" w:color="auto" w:fill="auto"/>
            <w:vAlign w:val="center"/>
            <w:hideMark/>
          </w:tcPr>
          <w:p w14:paraId="1ACD3DAD" w14:textId="57F2EAC6" w:rsidR="00EE21FE" w:rsidRPr="000D4DA6" w:rsidRDefault="00EE21FE" w:rsidP="00EE21FE">
            <w:pPr>
              <w:spacing w:after="0"/>
              <w:jc w:val="right"/>
              <w:rPr>
                <w:rFonts w:cstheme="minorHAnsi"/>
                <w:sz w:val="22"/>
                <w:szCs w:val="22"/>
                <w:lang w:eastAsia="en-AU"/>
              </w:rPr>
            </w:pPr>
            <w:r w:rsidRPr="0012559F">
              <w:t>$503</w:t>
            </w:r>
          </w:p>
        </w:tc>
      </w:tr>
      <w:tr w:rsidR="00EE21FE" w:rsidRPr="00580343" w14:paraId="297121C3" w14:textId="201976FE" w:rsidTr="00BF0BE3">
        <w:trPr>
          <w:trHeight w:val="20"/>
        </w:trPr>
        <w:tc>
          <w:tcPr>
            <w:tcW w:w="3507" w:type="dxa"/>
            <w:tcBorders>
              <w:top w:val="nil"/>
              <w:left w:val="single" w:sz="4" w:space="0" w:color="auto"/>
              <w:bottom w:val="nil"/>
              <w:right w:val="nil"/>
            </w:tcBorders>
            <w:shd w:val="clear" w:color="auto" w:fill="F2F2F2" w:themeFill="background1" w:themeFillShade="F2"/>
            <w:noWrap/>
            <w:vAlign w:val="center"/>
            <w:hideMark/>
          </w:tcPr>
          <w:p w14:paraId="4CBDF0E5" w14:textId="77777777" w:rsidR="00EE21FE" w:rsidRPr="000D4DA6" w:rsidRDefault="00EE21FE" w:rsidP="00EE21FE">
            <w:pPr>
              <w:spacing w:after="0"/>
              <w:rPr>
                <w:rFonts w:cstheme="minorHAnsi"/>
                <w:b/>
                <w:bCs/>
                <w:sz w:val="22"/>
                <w:szCs w:val="22"/>
                <w:lang w:eastAsia="en-AU"/>
              </w:rPr>
            </w:pPr>
            <w:r w:rsidRPr="000D4DA6">
              <w:rPr>
                <w:rFonts w:cstheme="minorHAnsi"/>
                <w:b/>
                <w:bCs/>
                <w:sz w:val="22"/>
                <w:szCs w:val="22"/>
                <w:lang w:eastAsia="en-AU"/>
              </w:rPr>
              <w:t>Actuals</w:t>
            </w:r>
          </w:p>
        </w:tc>
        <w:tc>
          <w:tcPr>
            <w:tcW w:w="1417" w:type="dxa"/>
            <w:tcBorders>
              <w:top w:val="nil"/>
              <w:left w:val="nil"/>
              <w:bottom w:val="nil"/>
              <w:right w:val="nil"/>
            </w:tcBorders>
            <w:shd w:val="clear" w:color="auto" w:fill="F2F2F2" w:themeFill="background1" w:themeFillShade="F2"/>
            <w:vAlign w:val="center"/>
            <w:hideMark/>
          </w:tcPr>
          <w:p w14:paraId="2DCF6273" w14:textId="22C552DD"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nil"/>
            </w:tcBorders>
            <w:shd w:val="clear" w:color="auto" w:fill="F2F2F2" w:themeFill="background1" w:themeFillShade="F2"/>
            <w:vAlign w:val="center"/>
            <w:hideMark/>
          </w:tcPr>
          <w:p w14:paraId="0800A6C7" w14:textId="0708AA87"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single" w:sz="4" w:space="0" w:color="auto"/>
            </w:tcBorders>
            <w:shd w:val="clear" w:color="auto" w:fill="F2F2F2" w:themeFill="background1" w:themeFillShade="F2"/>
            <w:vAlign w:val="center"/>
            <w:hideMark/>
          </w:tcPr>
          <w:p w14:paraId="1C0AE155" w14:textId="7282A008"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single" w:sz="4" w:space="0" w:color="auto"/>
            </w:tcBorders>
            <w:shd w:val="clear" w:color="auto" w:fill="F2F2F2" w:themeFill="background1" w:themeFillShade="F2"/>
            <w:vAlign w:val="center"/>
            <w:hideMark/>
          </w:tcPr>
          <w:p w14:paraId="687346D4" w14:textId="18424C71" w:rsidR="00EE21FE" w:rsidRPr="000D4DA6" w:rsidRDefault="00EE21FE" w:rsidP="00BF0BE3">
            <w:pPr>
              <w:spacing w:after="0"/>
              <w:jc w:val="right"/>
              <w:rPr>
                <w:rFonts w:cstheme="minorHAnsi"/>
                <w:b/>
                <w:bCs/>
                <w:color w:val="FFFFFF"/>
                <w:sz w:val="22"/>
                <w:szCs w:val="22"/>
                <w:lang w:eastAsia="en-AU"/>
              </w:rPr>
            </w:pPr>
          </w:p>
        </w:tc>
      </w:tr>
      <w:tr w:rsidR="00EE21FE" w:rsidRPr="000D4DA6" w14:paraId="67B96477" w14:textId="26A6B562" w:rsidTr="00BF0BE3">
        <w:trPr>
          <w:trHeight w:val="20"/>
        </w:trPr>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FB25" w14:textId="3CF8AC06"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Revenue (X)</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37BB51" w14:textId="506D0E97" w:rsidR="00EE21FE" w:rsidRPr="000D4DA6" w:rsidRDefault="00EE21FE" w:rsidP="00BF0BE3">
            <w:pPr>
              <w:spacing w:after="0"/>
              <w:jc w:val="right"/>
              <w:rPr>
                <w:rFonts w:cstheme="minorHAnsi"/>
                <w:sz w:val="22"/>
                <w:szCs w:val="22"/>
                <w:lang w:eastAsia="en-AU"/>
              </w:rPr>
            </w:pPr>
            <w:r w:rsidRPr="0012559F">
              <w:t>$136,810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19FC72" w14:textId="2288FA5A" w:rsidR="00EE21FE" w:rsidRPr="000D4DA6" w:rsidRDefault="00EE21FE" w:rsidP="00BF0BE3">
            <w:pPr>
              <w:spacing w:after="0"/>
              <w:jc w:val="right"/>
              <w:rPr>
                <w:rFonts w:cstheme="minorHAnsi"/>
                <w:sz w:val="22"/>
                <w:szCs w:val="22"/>
                <w:lang w:eastAsia="en-AU"/>
              </w:rPr>
            </w:pPr>
            <w:r w:rsidRPr="0012559F">
              <w:t>$76,500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F6A271" w14:textId="58316B68" w:rsidR="00EE21FE" w:rsidRPr="000D4DA6" w:rsidRDefault="00EE21FE" w:rsidP="00BF0BE3">
            <w:pPr>
              <w:spacing w:after="0"/>
              <w:jc w:val="right"/>
              <w:rPr>
                <w:rFonts w:cstheme="minorBidi"/>
                <w:sz w:val="22"/>
                <w:szCs w:val="22"/>
                <w:lang w:eastAsia="en-AU"/>
              </w:rPr>
            </w:pPr>
            <w:r w:rsidRPr="0012559F">
              <w:t>$202,365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C29ACB" w14:textId="68182D1F" w:rsidR="00EE21FE" w:rsidRPr="006E7148" w:rsidRDefault="006E7148" w:rsidP="00EE21FE">
            <w:pPr>
              <w:spacing w:after="0"/>
              <w:jc w:val="right"/>
              <w:rPr>
                <w:rFonts w:cstheme="minorBidi"/>
                <w:color w:val="000000"/>
                <w:sz w:val="22"/>
                <w:szCs w:val="22"/>
                <w:lang w:eastAsia="en-AU"/>
              </w:rPr>
            </w:pPr>
            <w:r w:rsidRPr="00BF0BE3">
              <w:rPr>
                <w:rFonts w:ascii="Calibri" w:hAnsi="Calibri" w:cs="Calibri"/>
                <w:color w:val="000000" w:themeColor="text1"/>
                <w:sz w:val="22"/>
                <w:szCs w:val="22"/>
              </w:rPr>
              <w:t>-</w:t>
            </w:r>
          </w:p>
        </w:tc>
      </w:tr>
      <w:tr w:rsidR="00EE21FE" w:rsidRPr="000D4DA6" w14:paraId="2FA4C1FD" w14:textId="323A6FB3" w:rsidTr="00BF0BE3">
        <w:trPr>
          <w:trHeight w:val="2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4E5019D9" w14:textId="2AEC2FE2"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Expenses (Y)</w:t>
            </w:r>
          </w:p>
        </w:tc>
        <w:tc>
          <w:tcPr>
            <w:tcW w:w="1417" w:type="dxa"/>
            <w:tcBorders>
              <w:top w:val="nil"/>
              <w:left w:val="nil"/>
              <w:bottom w:val="single" w:sz="4" w:space="0" w:color="auto"/>
              <w:right w:val="single" w:sz="4" w:space="0" w:color="auto"/>
            </w:tcBorders>
            <w:shd w:val="clear" w:color="auto" w:fill="auto"/>
            <w:vAlign w:val="center"/>
            <w:hideMark/>
          </w:tcPr>
          <w:p w14:paraId="71FC73E5" w14:textId="02D591E6" w:rsidR="00EE21FE" w:rsidRPr="000D4DA6" w:rsidRDefault="00EE21FE" w:rsidP="00BF0BE3">
            <w:pPr>
              <w:spacing w:after="0"/>
              <w:jc w:val="right"/>
              <w:rPr>
                <w:rFonts w:cstheme="minorBidi"/>
                <w:sz w:val="22"/>
                <w:szCs w:val="22"/>
                <w:lang w:eastAsia="en-AU"/>
              </w:rPr>
            </w:pPr>
            <w:r w:rsidRPr="0012559F">
              <w:t>$135,984</w:t>
            </w:r>
          </w:p>
        </w:tc>
        <w:tc>
          <w:tcPr>
            <w:tcW w:w="1417" w:type="dxa"/>
            <w:tcBorders>
              <w:top w:val="nil"/>
              <w:left w:val="nil"/>
              <w:bottom w:val="single" w:sz="4" w:space="0" w:color="auto"/>
              <w:right w:val="single" w:sz="4" w:space="0" w:color="auto"/>
            </w:tcBorders>
            <w:shd w:val="clear" w:color="auto" w:fill="auto"/>
            <w:vAlign w:val="center"/>
            <w:hideMark/>
          </w:tcPr>
          <w:p w14:paraId="7CF6FEC4" w14:textId="2326CCBB" w:rsidR="00EE21FE" w:rsidRPr="000D4DA6" w:rsidRDefault="00EE21FE" w:rsidP="00BF0BE3">
            <w:pPr>
              <w:spacing w:after="0"/>
              <w:jc w:val="right"/>
              <w:rPr>
                <w:rFonts w:cstheme="minorBidi"/>
                <w:sz w:val="22"/>
                <w:szCs w:val="22"/>
                <w:lang w:eastAsia="en-AU"/>
              </w:rPr>
            </w:pPr>
            <w:r w:rsidRPr="0012559F">
              <w:t>$78,287</w:t>
            </w:r>
          </w:p>
        </w:tc>
        <w:tc>
          <w:tcPr>
            <w:tcW w:w="1417" w:type="dxa"/>
            <w:tcBorders>
              <w:top w:val="nil"/>
              <w:left w:val="nil"/>
              <w:bottom w:val="single" w:sz="4" w:space="0" w:color="auto"/>
              <w:right w:val="single" w:sz="4" w:space="0" w:color="auto"/>
            </w:tcBorders>
            <w:shd w:val="clear" w:color="auto" w:fill="auto"/>
            <w:vAlign w:val="center"/>
            <w:hideMark/>
          </w:tcPr>
          <w:p w14:paraId="2A9898AB" w14:textId="42AF3FDA" w:rsidR="00EE21FE" w:rsidRPr="000D4DA6" w:rsidRDefault="00EE21FE" w:rsidP="00BF0BE3">
            <w:pPr>
              <w:spacing w:after="0"/>
              <w:jc w:val="right"/>
              <w:rPr>
                <w:rFonts w:cstheme="minorBidi"/>
                <w:sz w:val="22"/>
                <w:szCs w:val="22"/>
                <w:lang w:eastAsia="en-AU"/>
              </w:rPr>
            </w:pPr>
            <w:r w:rsidRPr="0012559F">
              <w:t>$205,076</w:t>
            </w:r>
          </w:p>
        </w:tc>
        <w:tc>
          <w:tcPr>
            <w:tcW w:w="1417" w:type="dxa"/>
            <w:tcBorders>
              <w:top w:val="nil"/>
              <w:left w:val="nil"/>
              <w:bottom w:val="single" w:sz="4" w:space="0" w:color="auto"/>
              <w:right w:val="single" w:sz="4" w:space="0" w:color="auto"/>
            </w:tcBorders>
            <w:shd w:val="clear" w:color="auto" w:fill="auto"/>
            <w:noWrap/>
            <w:vAlign w:val="center"/>
            <w:hideMark/>
          </w:tcPr>
          <w:p w14:paraId="3B25AE84" w14:textId="0C7035E1" w:rsidR="00EE21FE" w:rsidRPr="006E7148" w:rsidRDefault="006E7148" w:rsidP="00EE21FE">
            <w:pPr>
              <w:spacing w:after="0"/>
              <w:jc w:val="right"/>
              <w:rPr>
                <w:rFonts w:ascii="Calibri" w:hAnsi="Calibri" w:cs="Calibri"/>
                <w:color w:val="000000"/>
                <w:sz w:val="22"/>
                <w:szCs w:val="22"/>
                <w:lang w:eastAsia="en-AU"/>
              </w:rPr>
            </w:pPr>
            <w:r w:rsidRPr="00BF0BE3">
              <w:rPr>
                <w:rFonts w:ascii="Calibri" w:hAnsi="Calibri" w:cs="Calibri"/>
                <w:color w:val="000000" w:themeColor="text1"/>
                <w:sz w:val="22"/>
                <w:szCs w:val="22"/>
              </w:rPr>
              <w:t>-</w:t>
            </w:r>
          </w:p>
        </w:tc>
      </w:tr>
      <w:tr w:rsidR="00EE21FE" w:rsidRPr="000D4DA6" w14:paraId="3A219E20" w14:textId="487B39EA" w:rsidTr="00BF0BE3">
        <w:trPr>
          <w:trHeight w:val="2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5EB2DE0D" w14:textId="77777777" w:rsidR="00EE21FE" w:rsidRPr="000D4DA6" w:rsidRDefault="00EE21FE" w:rsidP="00EE21FE">
            <w:pPr>
              <w:spacing w:after="0"/>
              <w:rPr>
                <w:rFonts w:cstheme="minorHAnsi"/>
                <w:color w:val="000000"/>
                <w:sz w:val="22"/>
                <w:szCs w:val="22"/>
                <w:lang w:eastAsia="en-AU"/>
              </w:rPr>
            </w:pPr>
            <w:r w:rsidRPr="000D4DA6">
              <w:rPr>
                <w:rFonts w:cstheme="minorHAnsi"/>
                <w:color w:val="000000"/>
                <w:sz w:val="22"/>
                <w:szCs w:val="22"/>
                <w:lang w:eastAsia="en-AU"/>
              </w:rPr>
              <w:t>Balance (X-Y)</w:t>
            </w:r>
          </w:p>
        </w:tc>
        <w:tc>
          <w:tcPr>
            <w:tcW w:w="1417" w:type="dxa"/>
            <w:tcBorders>
              <w:top w:val="nil"/>
              <w:left w:val="nil"/>
              <w:bottom w:val="single" w:sz="4" w:space="0" w:color="auto"/>
              <w:right w:val="single" w:sz="4" w:space="0" w:color="auto"/>
            </w:tcBorders>
            <w:shd w:val="clear" w:color="auto" w:fill="auto"/>
            <w:noWrap/>
            <w:vAlign w:val="center"/>
            <w:hideMark/>
          </w:tcPr>
          <w:p w14:paraId="0EFD7C15" w14:textId="564ACC44" w:rsidR="00EE21FE" w:rsidRPr="000D4DA6" w:rsidRDefault="00EE21FE" w:rsidP="00EE21FE">
            <w:pPr>
              <w:spacing w:after="0"/>
              <w:jc w:val="right"/>
              <w:rPr>
                <w:rFonts w:cstheme="minorHAnsi"/>
                <w:color w:val="000000"/>
                <w:sz w:val="22"/>
                <w:szCs w:val="22"/>
                <w:lang w:eastAsia="en-AU"/>
              </w:rPr>
            </w:pPr>
            <w:r w:rsidRPr="0012559F">
              <w:t>$826</w:t>
            </w:r>
          </w:p>
        </w:tc>
        <w:tc>
          <w:tcPr>
            <w:tcW w:w="1417" w:type="dxa"/>
            <w:tcBorders>
              <w:top w:val="nil"/>
              <w:left w:val="nil"/>
              <w:bottom w:val="single" w:sz="4" w:space="0" w:color="auto"/>
              <w:right w:val="single" w:sz="4" w:space="0" w:color="auto"/>
            </w:tcBorders>
            <w:shd w:val="clear" w:color="auto" w:fill="auto"/>
            <w:noWrap/>
            <w:vAlign w:val="center"/>
            <w:hideMark/>
          </w:tcPr>
          <w:p w14:paraId="2D8DDF90" w14:textId="6AA6FC37" w:rsidR="00EE21FE" w:rsidRPr="000D4DA6" w:rsidRDefault="00EE21FE" w:rsidP="00EE21FE">
            <w:pPr>
              <w:spacing w:after="0"/>
              <w:jc w:val="right"/>
              <w:rPr>
                <w:rFonts w:cstheme="minorHAnsi"/>
                <w:color w:val="000000"/>
                <w:sz w:val="22"/>
                <w:szCs w:val="22"/>
                <w:lang w:eastAsia="en-AU"/>
              </w:rPr>
            </w:pPr>
            <w:r w:rsidRPr="0012559F">
              <w:t>-$1,787</w:t>
            </w:r>
          </w:p>
        </w:tc>
        <w:tc>
          <w:tcPr>
            <w:tcW w:w="1417" w:type="dxa"/>
            <w:tcBorders>
              <w:top w:val="nil"/>
              <w:left w:val="nil"/>
              <w:bottom w:val="single" w:sz="4" w:space="0" w:color="auto"/>
              <w:right w:val="single" w:sz="4" w:space="0" w:color="auto"/>
            </w:tcBorders>
            <w:shd w:val="clear" w:color="auto" w:fill="auto"/>
            <w:noWrap/>
            <w:vAlign w:val="center"/>
            <w:hideMark/>
          </w:tcPr>
          <w:p w14:paraId="36C6580D" w14:textId="695A27A1" w:rsidR="00EE21FE" w:rsidRPr="000D4DA6" w:rsidRDefault="00EE21FE" w:rsidP="00EE21FE">
            <w:pPr>
              <w:spacing w:after="0"/>
              <w:jc w:val="right"/>
              <w:rPr>
                <w:rFonts w:cstheme="minorBidi"/>
                <w:color w:val="000000"/>
                <w:sz w:val="22"/>
                <w:szCs w:val="22"/>
                <w:lang w:eastAsia="en-AU"/>
              </w:rPr>
            </w:pPr>
            <w:r w:rsidRPr="0012559F">
              <w:t>-$2,711</w:t>
            </w:r>
          </w:p>
        </w:tc>
        <w:tc>
          <w:tcPr>
            <w:tcW w:w="1417" w:type="dxa"/>
            <w:tcBorders>
              <w:top w:val="nil"/>
              <w:left w:val="nil"/>
              <w:bottom w:val="single" w:sz="4" w:space="0" w:color="auto"/>
              <w:right w:val="single" w:sz="4" w:space="0" w:color="auto"/>
            </w:tcBorders>
            <w:shd w:val="clear" w:color="auto" w:fill="auto"/>
            <w:noWrap/>
            <w:vAlign w:val="center"/>
            <w:hideMark/>
          </w:tcPr>
          <w:p w14:paraId="722CC229" w14:textId="099B916D" w:rsidR="00EE21FE" w:rsidRPr="006E7148" w:rsidRDefault="00EE21FE" w:rsidP="00EE21FE">
            <w:pPr>
              <w:spacing w:after="0"/>
              <w:jc w:val="right"/>
              <w:rPr>
                <w:rFonts w:cstheme="minorHAnsi"/>
                <w:color w:val="000000"/>
                <w:sz w:val="22"/>
                <w:szCs w:val="22"/>
                <w:lang w:eastAsia="en-AU"/>
              </w:rPr>
            </w:pPr>
            <w:r w:rsidRPr="006E7148">
              <w:t xml:space="preserve"> </w:t>
            </w:r>
            <w:r w:rsidR="006E7148" w:rsidRPr="00BF0BE3">
              <w:t>-</w:t>
            </w:r>
            <w:r w:rsidRPr="006E7148">
              <w:t xml:space="preserve">  </w:t>
            </w:r>
          </w:p>
        </w:tc>
      </w:tr>
      <w:tr w:rsidR="00EE21FE" w:rsidRPr="000D4DA6" w14:paraId="0F1BA57F" w14:textId="2E5BCF60" w:rsidTr="00BF0BE3">
        <w:trPr>
          <w:trHeight w:val="2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36BBF596" w14:textId="109CBA70" w:rsidR="00EE21FE" w:rsidRPr="000D4DA6" w:rsidRDefault="00EE21FE" w:rsidP="00EE21FE">
            <w:pPr>
              <w:spacing w:after="0"/>
              <w:rPr>
                <w:rFonts w:cstheme="minorBidi"/>
                <w:color w:val="000000"/>
                <w:sz w:val="22"/>
                <w:szCs w:val="22"/>
                <w:lang w:eastAsia="en-AU"/>
              </w:rPr>
            </w:pPr>
            <w:r w:rsidRPr="6D538263">
              <w:rPr>
                <w:rFonts w:cstheme="minorBidi"/>
                <w:color w:val="000000" w:themeColor="text1"/>
                <w:sz w:val="22"/>
                <w:szCs w:val="22"/>
                <w:lang w:eastAsia="en-AU"/>
              </w:rPr>
              <w:t>Cumulative balance</w:t>
            </w:r>
          </w:p>
        </w:tc>
        <w:tc>
          <w:tcPr>
            <w:tcW w:w="1417" w:type="dxa"/>
            <w:tcBorders>
              <w:top w:val="nil"/>
              <w:left w:val="nil"/>
              <w:bottom w:val="single" w:sz="4" w:space="0" w:color="auto"/>
              <w:right w:val="single" w:sz="4" w:space="0" w:color="auto"/>
            </w:tcBorders>
            <w:shd w:val="clear" w:color="auto" w:fill="auto"/>
            <w:noWrap/>
            <w:vAlign w:val="center"/>
            <w:hideMark/>
          </w:tcPr>
          <w:p w14:paraId="63C94BAA" w14:textId="0E8B30E3" w:rsidR="00EE21FE" w:rsidRPr="000D4DA6" w:rsidRDefault="00EE21FE" w:rsidP="00BF0BE3">
            <w:pPr>
              <w:spacing w:after="0"/>
              <w:jc w:val="right"/>
              <w:rPr>
                <w:rFonts w:cstheme="minorBidi"/>
                <w:color w:val="000000"/>
                <w:sz w:val="22"/>
                <w:szCs w:val="22"/>
                <w:lang w:eastAsia="en-AU"/>
              </w:rPr>
            </w:pPr>
            <w:r w:rsidRPr="0012559F">
              <w:t>-$10,624</w:t>
            </w:r>
          </w:p>
        </w:tc>
        <w:tc>
          <w:tcPr>
            <w:tcW w:w="1417" w:type="dxa"/>
            <w:tcBorders>
              <w:top w:val="nil"/>
              <w:left w:val="nil"/>
              <w:bottom w:val="single" w:sz="4" w:space="0" w:color="auto"/>
              <w:right w:val="single" w:sz="4" w:space="0" w:color="auto"/>
            </w:tcBorders>
            <w:shd w:val="clear" w:color="auto" w:fill="auto"/>
            <w:noWrap/>
            <w:vAlign w:val="center"/>
            <w:hideMark/>
          </w:tcPr>
          <w:p w14:paraId="3C68A03C" w14:textId="0CDF3954" w:rsidR="00EE21FE" w:rsidRPr="000D4DA6" w:rsidRDefault="00EE21FE" w:rsidP="00BF0BE3">
            <w:pPr>
              <w:spacing w:after="0"/>
              <w:jc w:val="right"/>
              <w:rPr>
                <w:rFonts w:cstheme="minorBidi"/>
                <w:color w:val="000000"/>
                <w:sz w:val="22"/>
                <w:szCs w:val="22"/>
                <w:lang w:eastAsia="en-AU"/>
              </w:rPr>
            </w:pPr>
            <w:r w:rsidRPr="0012559F">
              <w:t>-$12,411</w:t>
            </w:r>
          </w:p>
        </w:tc>
        <w:tc>
          <w:tcPr>
            <w:tcW w:w="1417" w:type="dxa"/>
            <w:tcBorders>
              <w:top w:val="nil"/>
              <w:left w:val="nil"/>
              <w:bottom w:val="single" w:sz="4" w:space="0" w:color="auto"/>
              <w:right w:val="single" w:sz="4" w:space="0" w:color="auto"/>
            </w:tcBorders>
            <w:shd w:val="clear" w:color="auto" w:fill="auto"/>
            <w:noWrap/>
            <w:vAlign w:val="center"/>
            <w:hideMark/>
          </w:tcPr>
          <w:p w14:paraId="14D7F1B8" w14:textId="7E5DA399" w:rsidR="00EE21FE" w:rsidRPr="000D4DA6" w:rsidRDefault="00EE21FE" w:rsidP="00BF0BE3">
            <w:pPr>
              <w:spacing w:after="0"/>
              <w:jc w:val="right"/>
              <w:rPr>
                <w:rFonts w:cstheme="minorBidi"/>
                <w:color w:val="000000"/>
                <w:sz w:val="22"/>
                <w:szCs w:val="22"/>
                <w:lang w:eastAsia="en-AU"/>
              </w:rPr>
            </w:pPr>
            <w:r w:rsidRPr="0012559F">
              <w:t>-$15,122</w:t>
            </w:r>
          </w:p>
        </w:tc>
        <w:tc>
          <w:tcPr>
            <w:tcW w:w="1417" w:type="dxa"/>
            <w:tcBorders>
              <w:top w:val="nil"/>
              <w:left w:val="nil"/>
              <w:bottom w:val="single" w:sz="4" w:space="0" w:color="auto"/>
              <w:right w:val="single" w:sz="4" w:space="0" w:color="auto"/>
            </w:tcBorders>
            <w:shd w:val="clear" w:color="auto" w:fill="auto"/>
            <w:noWrap/>
            <w:vAlign w:val="center"/>
            <w:hideMark/>
          </w:tcPr>
          <w:p w14:paraId="3B60E41B" w14:textId="26624BF0" w:rsidR="00EE21FE" w:rsidRPr="006E7148" w:rsidRDefault="009F35C5" w:rsidP="00EE21FE">
            <w:pPr>
              <w:spacing w:after="0"/>
              <w:jc w:val="right"/>
              <w:rPr>
                <w:rFonts w:ascii="Calibri" w:hAnsi="Calibri" w:cs="Calibri"/>
                <w:color w:val="000000"/>
                <w:sz w:val="22"/>
                <w:szCs w:val="22"/>
                <w:lang w:eastAsia="en-AU"/>
              </w:rPr>
            </w:pPr>
            <w:r>
              <w:t>$503</w:t>
            </w:r>
          </w:p>
        </w:tc>
      </w:tr>
    </w:tbl>
    <w:p w14:paraId="30F6F7CF" w14:textId="7A08662E" w:rsidR="006E7148" w:rsidRDefault="00EE21FE" w:rsidP="00BF0BE3">
      <w:pPr>
        <w:rPr>
          <w:rFonts w:cstheme="minorHAnsi"/>
          <w:sz w:val="22"/>
          <w:szCs w:val="22"/>
        </w:rPr>
      </w:pPr>
      <w:r w:rsidRPr="00BF0BE3">
        <w:rPr>
          <w:rFonts w:cstheme="minorHAnsi"/>
          <w:sz w:val="22"/>
          <w:szCs w:val="22"/>
        </w:rPr>
        <w:t>Note</w:t>
      </w:r>
      <w:r w:rsidR="006E7148">
        <w:rPr>
          <w:rFonts w:cstheme="minorHAnsi"/>
          <w:sz w:val="22"/>
          <w:szCs w:val="22"/>
        </w:rPr>
        <w:t xml:space="preserve"> </w:t>
      </w:r>
      <w:r w:rsidRPr="00BF0BE3">
        <w:rPr>
          <w:rFonts w:cstheme="minorHAnsi"/>
          <w:sz w:val="22"/>
          <w:szCs w:val="22"/>
        </w:rPr>
        <w:t>The cumulative balance for 2024-25 has been reset following the review of the charging model</w:t>
      </w:r>
      <w:r w:rsidR="00665377">
        <w:rPr>
          <w:rFonts w:cstheme="minorHAnsi"/>
          <w:sz w:val="22"/>
          <w:szCs w:val="22"/>
        </w:rPr>
        <w:t xml:space="preserve"> in 2024</w:t>
      </w:r>
      <w:r w:rsidRPr="00BF0BE3">
        <w:rPr>
          <w:rFonts w:cstheme="minorHAnsi"/>
          <w:sz w:val="22"/>
          <w:szCs w:val="22"/>
        </w:rPr>
        <w:t>.</w:t>
      </w:r>
    </w:p>
    <w:p w14:paraId="2B425CB3" w14:textId="7532A92E" w:rsidR="00E541FF" w:rsidRPr="00580343" w:rsidRDefault="009E70D8" w:rsidP="00400C30">
      <w:pPr>
        <w:pStyle w:val="Heading1"/>
      </w:pPr>
      <w:r w:rsidRPr="00580343">
        <w:t xml:space="preserve">NON-FINANCIAL </w:t>
      </w:r>
      <w:r w:rsidR="00E541FF" w:rsidRPr="00580343">
        <w:t>PERFORMANCE</w:t>
      </w:r>
    </w:p>
    <w:p w14:paraId="67C01B14" w14:textId="4E16EABF" w:rsidR="007E7879" w:rsidRPr="00580343" w:rsidRDefault="007E7879" w:rsidP="007E7879">
      <w:pPr>
        <w:rPr>
          <w:rFonts w:cstheme="minorHAnsi"/>
          <w:sz w:val="22"/>
          <w:szCs w:val="22"/>
        </w:rPr>
      </w:pPr>
      <w:bookmarkStart w:id="12" w:name="_Table_3:_Actual"/>
      <w:bookmarkStart w:id="13" w:name="_Table_4:_Forecast"/>
      <w:bookmarkEnd w:id="12"/>
      <w:bookmarkEnd w:id="13"/>
      <w:r w:rsidRPr="00580343">
        <w:rPr>
          <w:rFonts w:cstheme="minorHAnsi"/>
          <w:sz w:val="22"/>
          <w:szCs w:val="22"/>
        </w:rPr>
        <w:t>The following performance measures will be used to monitor the non-financial performance of administering second-tier default benefits eligibility.</w:t>
      </w:r>
    </w:p>
    <w:p w14:paraId="5FB2FE01" w14:textId="0AF0896F" w:rsidR="009E70D8" w:rsidRPr="00580343" w:rsidRDefault="009E70D8" w:rsidP="00400C30">
      <w:pPr>
        <w:pStyle w:val="Heading2"/>
      </w:pPr>
      <w:r w:rsidRPr="00580343">
        <w:t>Forecast non-financial performance</w:t>
      </w:r>
    </w:p>
    <w:p w14:paraId="15CC7EE5" w14:textId="22099C2E" w:rsidR="009E70D8" w:rsidRPr="00580343" w:rsidRDefault="009E70D8" w:rsidP="000D4DA6">
      <w:pPr>
        <w:spacing w:before="240"/>
        <w:rPr>
          <w:rFonts w:cstheme="minorHAnsi"/>
          <w:sz w:val="22"/>
          <w:szCs w:val="22"/>
        </w:rPr>
      </w:pPr>
      <w:r w:rsidRPr="00580343">
        <w:rPr>
          <w:rFonts w:cstheme="minorHAnsi"/>
          <w:sz w:val="22"/>
          <w:szCs w:val="22"/>
        </w:rPr>
        <w:t xml:space="preserve">The following table will be updated after each financial year. This will enable comparison of the actual non-financial performance to the forecast non-financial </w:t>
      </w:r>
      <w:r w:rsidRPr="009F35C5">
        <w:rPr>
          <w:rFonts w:cstheme="minorHAnsi"/>
          <w:sz w:val="22"/>
          <w:szCs w:val="22"/>
        </w:rPr>
        <w:t>performance (</w:t>
      </w:r>
      <w:hyperlink w:anchor="_Table_4:_Forecast" w:history="1">
        <w:r w:rsidRPr="009F35C5">
          <w:rPr>
            <w:rStyle w:val="Hyperlink"/>
            <w:rFonts w:cstheme="minorHAnsi"/>
            <w:color w:val="auto"/>
            <w:sz w:val="22"/>
            <w:szCs w:val="22"/>
            <w:u w:val="none"/>
          </w:rPr>
          <w:t xml:space="preserve">Table </w:t>
        </w:r>
      </w:hyperlink>
      <w:r w:rsidRPr="009F35C5">
        <w:rPr>
          <w:rStyle w:val="Hyperlink"/>
          <w:rFonts w:cstheme="minorHAnsi"/>
          <w:color w:val="auto"/>
          <w:sz w:val="22"/>
          <w:szCs w:val="22"/>
          <w:u w:val="none"/>
        </w:rPr>
        <w:t>5</w:t>
      </w:r>
      <w:r w:rsidRPr="009F35C5">
        <w:rPr>
          <w:rFonts w:cstheme="minorHAnsi"/>
          <w:sz w:val="22"/>
          <w:szCs w:val="22"/>
        </w:rPr>
        <w:t xml:space="preserve">). </w:t>
      </w:r>
      <w:r w:rsidRPr="00580343">
        <w:rPr>
          <w:rFonts w:cstheme="minorHAnsi"/>
          <w:sz w:val="22"/>
          <w:szCs w:val="22"/>
        </w:rPr>
        <w:t>Any material variances that have financial consequences will be considered in determining the application fee in future years.</w:t>
      </w:r>
    </w:p>
    <w:p w14:paraId="34D20485" w14:textId="6B604489"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5</w:t>
      </w:r>
      <w:r>
        <w:fldChar w:fldCharType="end"/>
      </w:r>
      <w:r w:rsidR="007E7879" w:rsidRPr="00580343">
        <w:rPr>
          <w:rFonts w:cstheme="minorHAnsi"/>
          <w:szCs w:val="24"/>
        </w:rPr>
        <w:t>: Forecast non-financial performance</w:t>
      </w:r>
    </w:p>
    <w:tbl>
      <w:tblPr>
        <w:tblStyle w:val="TableGrid"/>
        <w:tblW w:w="9356" w:type="dxa"/>
        <w:tblInd w:w="-147" w:type="dxa"/>
        <w:tblLayout w:type="fixed"/>
        <w:tblLook w:val="04A0" w:firstRow="1" w:lastRow="0" w:firstColumn="1" w:lastColumn="0" w:noHBand="0" w:noVBand="1"/>
        <w:tblCaption w:val="Table 4: Forecast non-financial performance"/>
        <w:tblDescription w:val="Table showing the department's forecast for non-financial performance of the regulatory charging activity. This table will be updated each financial year."/>
      </w:tblPr>
      <w:tblGrid>
        <w:gridCol w:w="3261"/>
        <w:gridCol w:w="1275"/>
        <w:gridCol w:w="1278"/>
        <w:gridCol w:w="1274"/>
        <w:gridCol w:w="1134"/>
        <w:gridCol w:w="1134"/>
      </w:tblGrid>
      <w:tr w:rsidR="00AD6223" w:rsidRPr="00580343" w14:paraId="7F16CFBE" w14:textId="3FF1946F" w:rsidTr="00BF0BE3">
        <w:trPr>
          <w:trHeight w:val="840"/>
          <w:tblHeader/>
        </w:trPr>
        <w:tc>
          <w:tcPr>
            <w:tcW w:w="3261" w:type="dxa"/>
            <w:shd w:val="clear" w:color="auto" w:fill="D9D9D9" w:themeFill="background1" w:themeFillShade="D9"/>
            <w:vAlign w:val="center"/>
          </w:tcPr>
          <w:p w14:paraId="78043050" w14:textId="77777777" w:rsidR="00AD6223" w:rsidRPr="00580343" w:rsidRDefault="00AD6223" w:rsidP="00CD66BE">
            <w:pPr>
              <w:spacing w:before="120" w:after="120"/>
              <w:rPr>
                <w:rFonts w:asciiTheme="minorHAnsi" w:hAnsiTheme="minorHAnsi" w:cstheme="minorHAnsi"/>
                <w:b/>
                <w:sz w:val="22"/>
                <w:szCs w:val="22"/>
              </w:rPr>
            </w:pPr>
            <w:r w:rsidRPr="00580343">
              <w:rPr>
                <w:rFonts w:asciiTheme="minorHAnsi" w:hAnsiTheme="minorHAnsi" w:cstheme="minorHAnsi"/>
                <w:b/>
                <w:sz w:val="22"/>
                <w:szCs w:val="22"/>
              </w:rPr>
              <w:t>Measure</w:t>
            </w:r>
          </w:p>
        </w:tc>
        <w:tc>
          <w:tcPr>
            <w:tcW w:w="1275" w:type="dxa"/>
            <w:shd w:val="clear" w:color="auto" w:fill="D9D9D9" w:themeFill="background1" w:themeFillShade="D9"/>
            <w:vAlign w:val="center"/>
          </w:tcPr>
          <w:p w14:paraId="4BF3F58E" w14:textId="6328DA37"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2024-25 forecast</w:t>
            </w:r>
          </w:p>
        </w:tc>
        <w:tc>
          <w:tcPr>
            <w:tcW w:w="1278" w:type="dxa"/>
            <w:shd w:val="clear" w:color="auto" w:fill="D9D9D9" w:themeFill="background1" w:themeFillShade="D9"/>
            <w:vAlign w:val="center"/>
          </w:tcPr>
          <w:p w14:paraId="69202858" w14:textId="40838996"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2025-26 forecast</w:t>
            </w:r>
          </w:p>
        </w:tc>
        <w:tc>
          <w:tcPr>
            <w:tcW w:w="1274" w:type="dxa"/>
            <w:shd w:val="clear" w:color="auto" w:fill="D9D9D9" w:themeFill="background1" w:themeFillShade="D9"/>
            <w:vAlign w:val="center"/>
          </w:tcPr>
          <w:p w14:paraId="11B8970E" w14:textId="2F7F474D"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2026-27 forecast</w:t>
            </w:r>
          </w:p>
        </w:tc>
        <w:tc>
          <w:tcPr>
            <w:tcW w:w="1134" w:type="dxa"/>
            <w:shd w:val="clear" w:color="auto" w:fill="D9D9D9" w:themeFill="background1" w:themeFillShade="D9"/>
            <w:vAlign w:val="center"/>
          </w:tcPr>
          <w:p w14:paraId="7187BAD1" w14:textId="632D2B62"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2027-2</w:t>
            </w:r>
            <w:r>
              <w:rPr>
                <w:rFonts w:asciiTheme="minorHAnsi" w:hAnsiTheme="minorHAnsi" w:cstheme="minorHAnsi"/>
                <w:b/>
                <w:sz w:val="22"/>
                <w:szCs w:val="22"/>
              </w:rPr>
              <w:t>8</w:t>
            </w:r>
            <w:r w:rsidRPr="00580343">
              <w:rPr>
                <w:rFonts w:asciiTheme="minorHAnsi" w:hAnsiTheme="minorHAnsi" w:cstheme="minorHAnsi"/>
                <w:b/>
                <w:sz w:val="22"/>
                <w:szCs w:val="22"/>
              </w:rPr>
              <w:t xml:space="preserve"> forecast</w:t>
            </w:r>
          </w:p>
        </w:tc>
        <w:tc>
          <w:tcPr>
            <w:tcW w:w="1134" w:type="dxa"/>
            <w:shd w:val="clear" w:color="auto" w:fill="D9D9D9" w:themeFill="background1" w:themeFillShade="D9"/>
          </w:tcPr>
          <w:p w14:paraId="31D831A1" w14:textId="43994392" w:rsidR="00AD6223" w:rsidRPr="00580343" w:rsidRDefault="00AD6223" w:rsidP="00CD66BE">
            <w:pPr>
              <w:spacing w:before="120" w:after="120"/>
              <w:jc w:val="center"/>
              <w:rPr>
                <w:rFonts w:cstheme="minorHAnsi"/>
                <w:b/>
                <w:sz w:val="22"/>
                <w:szCs w:val="22"/>
              </w:rPr>
            </w:pPr>
            <w:r w:rsidRPr="00580343">
              <w:rPr>
                <w:rFonts w:asciiTheme="minorHAnsi" w:hAnsiTheme="minorHAnsi" w:cstheme="minorHAnsi"/>
                <w:b/>
                <w:sz w:val="22"/>
                <w:szCs w:val="22"/>
              </w:rPr>
              <w:t>202</w:t>
            </w:r>
            <w:r>
              <w:rPr>
                <w:rFonts w:asciiTheme="minorHAnsi" w:hAnsiTheme="minorHAnsi" w:cstheme="minorHAnsi"/>
                <w:b/>
                <w:sz w:val="22"/>
                <w:szCs w:val="22"/>
              </w:rPr>
              <w:t>8</w:t>
            </w:r>
            <w:r w:rsidRPr="00580343">
              <w:rPr>
                <w:rFonts w:asciiTheme="minorHAnsi" w:hAnsiTheme="minorHAnsi" w:cstheme="minorHAnsi"/>
                <w:b/>
                <w:sz w:val="22"/>
                <w:szCs w:val="22"/>
              </w:rPr>
              <w:t>-2</w:t>
            </w:r>
            <w:r>
              <w:rPr>
                <w:rFonts w:asciiTheme="minorHAnsi" w:hAnsiTheme="minorHAnsi" w:cstheme="minorHAnsi"/>
                <w:b/>
                <w:sz w:val="22"/>
                <w:szCs w:val="22"/>
              </w:rPr>
              <w:t>9</w:t>
            </w:r>
            <w:r w:rsidRPr="00580343">
              <w:rPr>
                <w:rFonts w:asciiTheme="minorHAnsi" w:hAnsiTheme="minorHAnsi" w:cstheme="minorHAnsi"/>
                <w:b/>
                <w:sz w:val="22"/>
                <w:szCs w:val="22"/>
              </w:rPr>
              <w:t xml:space="preserve"> forecast</w:t>
            </w:r>
          </w:p>
        </w:tc>
      </w:tr>
      <w:tr w:rsidR="00AD6223" w:rsidRPr="00580343" w14:paraId="338A5B17" w14:textId="1C508516" w:rsidTr="00BF0BE3">
        <w:trPr>
          <w:trHeight w:val="132"/>
        </w:trPr>
        <w:tc>
          <w:tcPr>
            <w:tcW w:w="3261" w:type="dxa"/>
            <w:shd w:val="clear" w:color="auto" w:fill="auto"/>
            <w:vAlign w:val="center"/>
          </w:tcPr>
          <w:p w14:paraId="292CBAEA" w14:textId="77777777" w:rsidR="00AD6223" w:rsidRPr="00580343" w:rsidRDefault="00AD6223" w:rsidP="00AD6223">
            <w:pPr>
              <w:spacing w:before="120" w:after="120"/>
              <w:rPr>
                <w:rFonts w:asciiTheme="minorHAnsi" w:hAnsiTheme="minorHAnsi" w:cstheme="minorHAnsi"/>
                <w:sz w:val="22"/>
                <w:szCs w:val="22"/>
              </w:rPr>
            </w:pPr>
            <w:r w:rsidRPr="00580343">
              <w:rPr>
                <w:rFonts w:asciiTheme="minorHAnsi" w:hAnsiTheme="minorHAnsi" w:cstheme="minorHAnsi"/>
                <w:sz w:val="22"/>
                <w:szCs w:val="22"/>
              </w:rPr>
              <w:t>Number of applications</w:t>
            </w:r>
          </w:p>
        </w:tc>
        <w:tc>
          <w:tcPr>
            <w:tcW w:w="1275" w:type="dxa"/>
            <w:shd w:val="clear" w:color="auto" w:fill="auto"/>
            <w:vAlign w:val="center"/>
          </w:tcPr>
          <w:p w14:paraId="34408ADB" w14:textId="70460C8D" w:rsidR="00AD6223" w:rsidRPr="00580343" w:rsidRDefault="00AD6223" w:rsidP="00AD6223">
            <w:pPr>
              <w:spacing w:before="120" w:after="120"/>
              <w:ind w:left="-173" w:firstLine="173"/>
              <w:jc w:val="center"/>
              <w:rPr>
                <w:rFonts w:asciiTheme="minorHAnsi" w:hAnsiTheme="minorHAnsi" w:cstheme="minorHAnsi"/>
                <w:sz w:val="22"/>
                <w:szCs w:val="22"/>
              </w:rPr>
            </w:pPr>
            <w:r>
              <w:rPr>
                <w:rFonts w:asciiTheme="minorHAnsi" w:hAnsiTheme="minorHAnsi" w:cstheme="minorHAnsi"/>
                <w:sz w:val="22"/>
                <w:szCs w:val="22"/>
              </w:rPr>
              <w:t>259</w:t>
            </w:r>
          </w:p>
        </w:tc>
        <w:tc>
          <w:tcPr>
            <w:tcW w:w="1278" w:type="dxa"/>
            <w:shd w:val="clear" w:color="auto" w:fill="auto"/>
            <w:vAlign w:val="center"/>
          </w:tcPr>
          <w:p w14:paraId="2B1BBA5E" w14:textId="70E6E59B"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274" w:type="dxa"/>
            <w:shd w:val="clear" w:color="auto" w:fill="auto"/>
            <w:vAlign w:val="center"/>
          </w:tcPr>
          <w:p w14:paraId="61C97493" w14:textId="4DF0018B"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134" w:type="dxa"/>
            <w:vAlign w:val="center"/>
          </w:tcPr>
          <w:p w14:paraId="088A0FBC" w14:textId="77777777"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134" w:type="dxa"/>
            <w:vAlign w:val="center"/>
          </w:tcPr>
          <w:p w14:paraId="580E6167" w14:textId="0D7B717B" w:rsidR="00AD6223" w:rsidRPr="00580343" w:rsidRDefault="00AD6223" w:rsidP="00AD6223">
            <w:pPr>
              <w:spacing w:before="120" w:after="120"/>
              <w:jc w:val="center"/>
              <w:rPr>
                <w:rFonts w:cstheme="minorHAnsi"/>
                <w:sz w:val="22"/>
                <w:szCs w:val="22"/>
              </w:rPr>
            </w:pPr>
            <w:r w:rsidRPr="00580343">
              <w:rPr>
                <w:rFonts w:asciiTheme="minorHAnsi" w:hAnsiTheme="minorHAnsi" w:cstheme="minorHAnsi"/>
                <w:sz w:val="22"/>
                <w:szCs w:val="22"/>
              </w:rPr>
              <w:t>200</w:t>
            </w:r>
          </w:p>
        </w:tc>
      </w:tr>
      <w:tr w:rsidR="00AD6223" w:rsidRPr="00580343" w14:paraId="68A00C1C" w14:textId="19995BC6" w:rsidTr="00BF0BE3">
        <w:trPr>
          <w:trHeight w:val="195"/>
        </w:trPr>
        <w:tc>
          <w:tcPr>
            <w:tcW w:w="3261" w:type="dxa"/>
            <w:shd w:val="clear" w:color="auto" w:fill="auto"/>
            <w:vAlign w:val="center"/>
          </w:tcPr>
          <w:p w14:paraId="5DD5593F" w14:textId="77777777" w:rsidR="00AD6223" w:rsidRPr="00580343" w:rsidRDefault="00AD6223" w:rsidP="00AD6223">
            <w:pPr>
              <w:spacing w:before="120" w:after="120"/>
              <w:rPr>
                <w:rFonts w:asciiTheme="minorHAnsi" w:hAnsiTheme="minorHAnsi" w:cstheme="minorHAnsi"/>
                <w:sz w:val="22"/>
                <w:szCs w:val="22"/>
              </w:rPr>
            </w:pPr>
            <w:r w:rsidRPr="00580343">
              <w:rPr>
                <w:rFonts w:asciiTheme="minorHAnsi" w:hAnsiTheme="minorHAnsi" w:cstheme="minorHAnsi"/>
                <w:sz w:val="22"/>
                <w:szCs w:val="22"/>
              </w:rPr>
              <w:t>Percentage of applications finalised within 60 days</w:t>
            </w:r>
          </w:p>
        </w:tc>
        <w:tc>
          <w:tcPr>
            <w:tcW w:w="1275" w:type="dxa"/>
            <w:shd w:val="clear" w:color="auto" w:fill="auto"/>
            <w:vAlign w:val="center"/>
          </w:tcPr>
          <w:p w14:paraId="57D44FF9" w14:textId="3109CBF8"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278" w:type="dxa"/>
            <w:shd w:val="clear" w:color="auto" w:fill="auto"/>
            <w:vAlign w:val="center"/>
          </w:tcPr>
          <w:p w14:paraId="070CEE4F" w14:textId="15E7C455"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274" w:type="dxa"/>
            <w:shd w:val="clear" w:color="auto" w:fill="auto"/>
            <w:vAlign w:val="center"/>
          </w:tcPr>
          <w:p w14:paraId="161F00ED" w14:textId="451243D1"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3E734EBA" w14:textId="77777777"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2B626A10" w14:textId="53BD2C03" w:rsidR="00AD6223" w:rsidRPr="00580343" w:rsidRDefault="00AD6223" w:rsidP="00AD6223">
            <w:pPr>
              <w:spacing w:before="120" w:after="120"/>
              <w:jc w:val="center"/>
              <w:rPr>
                <w:rFonts w:cstheme="minorHAnsi"/>
                <w:sz w:val="22"/>
                <w:szCs w:val="22"/>
              </w:rPr>
            </w:pPr>
            <w:r w:rsidRPr="00580343">
              <w:rPr>
                <w:rFonts w:asciiTheme="minorHAnsi" w:hAnsiTheme="minorHAnsi" w:cstheme="minorHAnsi"/>
                <w:sz w:val="22"/>
                <w:szCs w:val="22"/>
              </w:rPr>
              <w:t>100%</w:t>
            </w:r>
          </w:p>
        </w:tc>
      </w:tr>
      <w:tr w:rsidR="00AD6223" w:rsidRPr="00AB3BE2" w14:paraId="60E78971" w14:textId="35C877F2" w:rsidTr="00BF0BE3">
        <w:trPr>
          <w:trHeight w:val="70"/>
        </w:trPr>
        <w:tc>
          <w:tcPr>
            <w:tcW w:w="3261" w:type="dxa"/>
            <w:shd w:val="clear" w:color="auto" w:fill="auto"/>
            <w:vAlign w:val="center"/>
          </w:tcPr>
          <w:p w14:paraId="5EFD8681" w14:textId="77777777" w:rsidR="00AD6223" w:rsidRPr="009F35C5" w:rsidRDefault="00AD6223" w:rsidP="00BF0BE3">
            <w:pPr>
              <w:spacing w:before="120" w:after="120"/>
              <w:rPr>
                <w:rFonts w:asciiTheme="minorHAnsi" w:hAnsiTheme="minorHAnsi" w:cstheme="minorHAnsi"/>
                <w:sz w:val="22"/>
                <w:szCs w:val="22"/>
              </w:rPr>
            </w:pPr>
            <w:r w:rsidRPr="009F35C5">
              <w:rPr>
                <w:rFonts w:asciiTheme="minorHAnsi" w:hAnsiTheme="minorHAnsi" w:cstheme="minorHAnsi"/>
                <w:sz w:val="22"/>
                <w:szCs w:val="22"/>
              </w:rPr>
              <w:t>Number of unsuccessful applications</w:t>
            </w:r>
          </w:p>
        </w:tc>
        <w:tc>
          <w:tcPr>
            <w:tcW w:w="1275" w:type="dxa"/>
            <w:shd w:val="clear" w:color="auto" w:fill="auto"/>
            <w:vAlign w:val="center"/>
          </w:tcPr>
          <w:p w14:paraId="7BC4C7BA" w14:textId="2155DFB3"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278" w:type="dxa"/>
            <w:shd w:val="clear" w:color="auto" w:fill="auto"/>
            <w:vAlign w:val="center"/>
          </w:tcPr>
          <w:p w14:paraId="472F1E2F" w14:textId="49A868F3"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274" w:type="dxa"/>
            <w:shd w:val="clear" w:color="auto" w:fill="auto"/>
            <w:vAlign w:val="center"/>
          </w:tcPr>
          <w:p w14:paraId="75A5D566" w14:textId="0D2AB6EB"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134" w:type="dxa"/>
            <w:vAlign w:val="center"/>
          </w:tcPr>
          <w:p w14:paraId="75F8B292" w14:textId="77777777"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134" w:type="dxa"/>
            <w:vAlign w:val="center"/>
          </w:tcPr>
          <w:p w14:paraId="66AE5E25" w14:textId="1B4E4F00" w:rsidR="00AD6223" w:rsidRPr="00BF0BE3" w:rsidRDefault="00AD6223" w:rsidP="00BF0BE3">
            <w:pPr>
              <w:spacing w:before="120" w:after="120"/>
              <w:ind w:left="-173" w:firstLine="173"/>
              <w:jc w:val="center"/>
              <w:rPr>
                <w:rFonts w:asciiTheme="minorHAnsi" w:hAnsiTheme="minorHAnsi" w:cstheme="minorHAnsi"/>
                <w:sz w:val="22"/>
                <w:szCs w:val="22"/>
              </w:rPr>
            </w:pPr>
            <w:r w:rsidRPr="005C1C33">
              <w:rPr>
                <w:rFonts w:asciiTheme="minorHAnsi" w:hAnsiTheme="minorHAnsi" w:cstheme="minorHAnsi"/>
                <w:sz w:val="22"/>
                <w:szCs w:val="22"/>
              </w:rPr>
              <w:t>5</w:t>
            </w:r>
          </w:p>
        </w:tc>
      </w:tr>
    </w:tbl>
    <w:p w14:paraId="5FD3730A" w14:textId="2592E151" w:rsidR="007F1E27" w:rsidRPr="00BF0BE3" w:rsidRDefault="007F1E27" w:rsidP="00400C30">
      <w:pPr>
        <w:pStyle w:val="Heading2"/>
      </w:pPr>
      <w:r w:rsidRPr="00BF0BE3">
        <w:lastRenderedPageBreak/>
        <w:t>Actual non-financial performance</w:t>
      </w:r>
    </w:p>
    <w:p w14:paraId="59501F94" w14:textId="062086D6"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Pr>
          <w:noProof/>
        </w:rPr>
        <w:t>6</w:t>
      </w:r>
      <w:r>
        <w:fldChar w:fldCharType="end"/>
      </w:r>
      <w:r w:rsidR="007E7879" w:rsidRPr="00580343">
        <w:rPr>
          <w:rFonts w:cstheme="minorHAnsi"/>
          <w:szCs w:val="24"/>
        </w:rPr>
        <w:t>: Actual non-financial performance</w:t>
      </w:r>
    </w:p>
    <w:tbl>
      <w:tblPr>
        <w:tblStyle w:val="TableGrid"/>
        <w:tblW w:w="9498" w:type="dxa"/>
        <w:tblInd w:w="-147" w:type="dxa"/>
        <w:tblLayout w:type="fixed"/>
        <w:tblLook w:val="04A0" w:firstRow="1" w:lastRow="0" w:firstColumn="1" w:lastColumn="0" w:noHBand="0" w:noVBand="1"/>
        <w:tblCaption w:val="Table 5: Actual non-financial performance"/>
        <w:tblDescription w:val="Table showing the actual non-financial performance of the regulatory charging activity. This table will be updated as performance information becomes available."/>
      </w:tblPr>
      <w:tblGrid>
        <w:gridCol w:w="4962"/>
        <w:gridCol w:w="1134"/>
        <w:gridCol w:w="1134"/>
        <w:gridCol w:w="1134"/>
        <w:gridCol w:w="1134"/>
      </w:tblGrid>
      <w:tr w:rsidR="00DA16B7" w:rsidRPr="00580343" w14:paraId="56F24A57" w14:textId="77777777" w:rsidTr="000D4DA6">
        <w:trPr>
          <w:trHeight w:val="755"/>
          <w:tblHeader/>
        </w:trPr>
        <w:tc>
          <w:tcPr>
            <w:tcW w:w="4962" w:type="dxa"/>
            <w:shd w:val="clear" w:color="auto" w:fill="D9D9D9" w:themeFill="background1" w:themeFillShade="D9"/>
            <w:vAlign w:val="center"/>
          </w:tcPr>
          <w:p w14:paraId="71D856F7" w14:textId="77777777" w:rsidR="00DA16B7" w:rsidRPr="00580343" w:rsidRDefault="00DA16B7" w:rsidP="00DA16B7">
            <w:pPr>
              <w:keepNext/>
              <w:keepLines/>
              <w:spacing w:before="120" w:after="120"/>
              <w:rPr>
                <w:rFonts w:asciiTheme="minorHAnsi" w:hAnsiTheme="minorHAnsi" w:cstheme="minorHAnsi"/>
                <w:b/>
                <w:sz w:val="22"/>
                <w:szCs w:val="22"/>
              </w:rPr>
            </w:pPr>
            <w:r w:rsidRPr="00580343">
              <w:rPr>
                <w:rFonts w:asciiTheme="minorHAnsi" w:hAnsiTheme="minorHAnsi" w:cstheme="minorHAnsi"/>
                <w:b/>
                <w:sz w:val="22"/>
                <w:szCs w:val="22"/>
              </w:rPr>
              <w:t>Measure</w:t>
            </w:r>
          </w:p>
        </w:tc>
        <w:tc>
          <w:tcPr>
            <w:tcW w:w="1134" w:type="dxa"/>
            <w:shd w:val="clear" w:color="auto" w:fill="D9D9D9" w:themeFill="background1" w:themeFillShade="D9"/>
            <w:vAlign w:val="center"/>
          </w:tcPr>
          <w:p w14:paraId="138D38A5" w14:textId="753123A6" w:rsidR="00DA16B7" w:rsidRPr="00580343" w:rsidRDefault="00DA16B7" w:rsidP="00DA16B7">
            <w:pPr>
              <w:keepNext/>
              <w:keepLines/>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Actual</w:t>
            </w:r>
            <w:r w:rsidR="001029DF">
              <w:rPr>
                <w:rFonts w:asciiTheme="minorHAnsi" w:hAnsiTheme="minorHAnsi" w:cstheme="minorHAnsi"/>
                <w:b/>
                <w:sz w:val="22"/>
                <w:szCs w:val="22"/>
              </w:rPr>
              <w:t xml:space="preserve"> </w:t>
            </w:r>
            <w:r w:rsidRPr="00580343">
              <w:rPr>
                <w:rFonts w:asciiTheme="minorHAnsi" w:hAnsiTheme="minorHAnsi" w:cstheme="minorHAnsi"/>
                <w:b/>
                <w:sz w:val="22"/>
                <w:szCs w:val="22"/>
              </w:rPr>
              <w:t>2020-21</w:t>
            </w:r>
          </w:p>
        </w:tc>
        <w:tc>
          <w:tcPr>
            <w:tcW w:w="1134" w:type="dxa"/>
            <w:shd w:val="clear" w:color="auto" w:fill="D9D9D9" w:themeFill="background1" w:themeFillShade="D9"/>
            <w:vAlign w:val="center"/>
          </w:tcPr>
          <w:p w14:paraId="2BC2CF9C" w14:textId="7AD6B2B4" w:rsidR="00DA16B7" w:rsidRPr="00580343" w:rsidRDefault="00DA16B7" w:rsidP="00DA16B7">
            <w:pPr>
              <w:keepNext/>
              <w:keepLines/>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Actual</w:t>
            </w:r>
            <w:r w:rsidR="001029DF">
              <w:rPr>
                <w:rFonts w:asciiTheme="minorHAnsi" w:hAnsiTheme="minorHAnsi" w:cstheme="minorHAnsi"/>
                <w:b/>
                <w:sz w:val="22"/>
                <w:szCs w:val="22"/>
              </w:rPr>
              <w:t xml:space="preserve"> </w:t>
            </w:r>
            <w:r w:rsidRPr="00580343">
              <w:rPr>
                <w:rFonts w:asciiTheme="minorHAnsi" w:hAnsiTheme="minorHAnsi" w:cstheme="minorHAnsi"/>
                <w:b/>
                <w:sz w:val="22"/>
                <w:szCs w:val="22"/>
              </w:rPr>
              <w:t>2021-22</w:t>
            </w:r>
          </w:p>
        </w:tc>
        <w:tc>
          <w:tcPr>
            <w:tcW w:w="1134" w:type="dxa"/>
            <w:shd w:val="clear" w:color="auto" w:fill="D9D9D9" w:themeFill="background1" w:themeFillShade="D9"/>
            <w:vAlign w:val="center"/>
          </w:tcPr>
          <w:p w14:paraId="6BA359F4" w14:textId="26FFEDF9" w:rsidR="00DA16B7" w:rsidRPr="00580343" w:rsidRDefault="00DA16B7" w:rsidP="00DA16B7">
            <w:pPr>
              <w:keepNext/>
              <w:keepLines/>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Actual</w:t>
            </w:r>
            <w:r w:rsidR="001029DF">
              <w:rPr>
                <w:rFonts w:asciiTheme="minorHAnsi" w:hAnsiTheme="minorHAnsi" w:cstheme="minorHAnsi"/>
                <w:b/>
                <w:sz w:val="22"/>
                <w:szCs w:val="22"/>
              </w:rPr>
              <w:t xml:space="preserve"> </w:t>
            </w:r>
            <w:r w:rsidRPr="00580343">
              <w:rPr>
                <w:rFonts w:asciiTheme="minorHAnsi" w:hAnsiTheme="minorHAnsi" w:cstheme="minorHAnsi"/>
                <w:b/>
                <w:sz w:val="22"/>
                <w:szCs w:val="22"/>
              </w:rPr>
              <w:t>2022-23</w:t>
            </w:r>
          </w:p>
        </w:tc>
        <w:tc>
          <w:tcPr>
            <w:tcW w:w="1134" w:type="dxa"/>
            <w:shd w:val="clear" w:color="auto" w:fill="D9D9D9" w:themeFill="background1" w:themeFillShade="D9"/>
            <w:vAlign w:val="center"/>
          </w:tcPr>
          <w:p w14:paraId="74BECE03" w14:textId="4D3EE86B" w:rsidR="00DA16B7" w:rsidRPr="00580343" w:rsidRDefault="00DA16B7" w:rsidP="00DA16B7">
            <w:pPr>
              <w:keepNext/>
              <w:keepLines/>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Actual</w:t>
            </w:r>
            <w:r w:rsidR="001029DF">
              <w:rPr>
                <w:rFonts w:asciiTheme="minorHAnsi" w:hAnsiTheme="minorHAnsi" w:cstheme="minorHAnsi"/>
                <w:b/>
                <w:sz w:val="22"/>
                <w:szCs w:val="22"/>
              </w:rPr>
              <w:t xml:space="preserve"> </w:t>
            </w:r>
            <w:r w:rsidRPr="00580343">
              <w:rPr>
                <w:rFonts w:asciiTheme="minorHAnsi" w:hAnsiTheme="minorHAnsi" w:cstheme="minorHAnsi"/>
                <w:b/>
                <w:sz w:val="22"/>
                <w:szCs w:val="22"/>
              </w:rPr>
              <w:t>202</w:t>
            </w:r>
            <w:r>
              <w:rPr>
                <w:rFonts w:asciiTheme="minorHAnsi" w:hAnsiTheme="minorHAnsi" w:cstheme="minorHAnsi"/>
                <w:b/>
                <w:sz w:val="22"/>
                <w:szCs w:val="22"/>
              </w:rPr>
              <w:t>3</w:t>
            </w:r>
            <w:r w:rsidRPr="00580343">
              <w:rPr>
                <w:rFonts w:asciiTheme="minorHAnsi" w:hAnsiTheme="minorHAnsi" w:cstheme="minorHAnsi"/>
                <w:b/>
                <w:sz w:val="22"/>
                <w:szCs w:val="22"/>
              </w:rPr>
              <w:t>-</w:t>
            </w:r>
            <w:r w:rsidR="005B5815">
              <w:rPr>
                <w:rFonts w:asciiTheme="minorHAnsi" w:hAnsiTheme="minorHAnsi" w:cstheme="minorHAnsi"/>
                <w:b/>
                <w:sz w:val="22"/>
                <w:szCs w:val="22"/>
              </w:rPr>
              <w:t>2</w:t>
            </w:r>
            <w:r>
              <w:rPr>
                <w:rFonts w:asciiTheme="minorHAnsi" w:hAnsiTheme="minorHAnsi" w:cstheme="minorHAnsi"/>
                <w:b/>
                <w:sz w:val="22"/>
                <w:szCs w:val="22"/>
              </w:rPr>
              <w:t>4</w:t>
            </w:r>
          </w:p>
        </w:tc>
      </w:tr>
      <w:tr w:rsidR="00DA16B7" w:rsidRPr="00580343" w14:paraId="6088E5A3" w14:textId="77777777" w:rsidTr="000D4DA6">
        <w:trPr>
          <w:trHeight w:val="431"/>
        </w:trPr>
        <w:tc>
          <w:tcPr>
            <w:tcW w:w="4962" w:type="dxa"/>
            <w:shd w:val="clear" w:color="auto" w:fill="auto"/>
            <w:vAlign w:val="center"/>
          </w:tcPr>
          <w:p w14:paraId="281AD22F" w14:textId="77777777" w:rsidR="00DA16B7" w:rsidRPr="00580343" w:rsidRDefault="00DA16B7" w:rsidP="00DA16B7">
            <w:pPr>
              <w:keepNext/>
              <w:keepLines/>
              <w:spacing w:before="60" w:after="60"/>
              <w:rPr>
                <w:rFonts w:asciiTheme="minorHAnsi" w:hAnsiTheme="minorHAnsi" w:cstheme="minorHAnsi"/>
                <w:sz w:val="22"/>
                <w:szCs w:val="22"/>
              </w:rPr>
            </w:pPr>
            <w:r w:rsidRPr="00580343">
              <w:rPr>
                <w:rFonts w:asciiTheme="minorHAnsi" w:hAnsiTheme="minorHAnsi" w:cstheme="minorHAnsi"/>
                <w:sz w:val="22"/>
                <w:szCs w:val="22"/>
              </w:rPr>
              <w:t>Number of applications received</w:t>
            </w:r>
          </w:p>
        </w:tc>
        <w:tc>
          <w:tcPr>
            <w:tcW w:w="1134" w:type="dxa"/>
            <w:shd w:val="clear" w:color="auto" w:fill="auto"/>
            <w:vAlign w:val="center"/>
          </w:tcPr>
          <w:p w14:paraId="27FE221A" w14:textId="45A8FB1B" w:rsidR="00DA16B7" w:rsidRPr="00580343" w:rsidRDefault="00DA16B7" w:rsidP="00DA16B7">
            <w:pPr>
              <w:keepNext/>
              <w:keepLines/>
              <w:spacing w:after="0"/>
              <w:ind w:left="-173" w:firstLine="173"/>
              <w:jc w:val="center"/>
              <w:rPr>
                <w:rFonts w:asciiTheme="minorHAnsi" w:hAnsiTheme="minorHAnsi" w:cstheme="minorHAnsi"/>
                <w:sz w:val="22"/>
                <w:szCs w:val="22"/>
              </w:rPr>
            </w:pPr>
            <w:r w:rsidRPr="00580343">
              <w:rPr>
                <w:rFonts w:asciiTheme="minorHAnsi" w:hAnsiTheme="minorHAnsi" w:cstheme="minorHAnsi"/>
                <w:sz w:val="22"/>
                <w:szCs w:val="22"/>
              </w:rPr>
              <w:t>187</w:t>
            </w:r>
          </w:p>
        </w:tc>
        <w:tc>
          <w:tcPr>
            <w:tcW w:w="1134" w:type="dxa"/>
            <w:shd w:val="clear" w:color="auto" w:fill="auto"/>
            <w:vAlign w:val="center"/>
          </w:tcPr>
          <w:p w14:paraId="5B6F0ECB" w14:textId="29C19BCC" w:rsidR="00DA16B7" w:rsidRPr="00580343" w:rsidRDefault="00DA16B7" w:rsidP="00DA16B7">
            <w:pPr>
              <w:keepNext/>
              <w:keepLines/>
              <w:spacing w:after="0"/>
              <w:ind w:left="-173" w:firstLine="173"/>
              <w:jc w:val="center"/>
              <w:rPr>
                <w:rFonts w:asciiTheme="minorHAnsi" w:hAnsiTheme="minorHAnsi" w:cstheme="minorHAnsi"/>
                <w:sz w:val="22"/>
                <w:szCs w:val="22"/>
              </w:rPr>
            </w:pPr>
            <w:r w:rsidRPr="00580343">
              <w:rPr>
                <w:rFonts w:asciiTheme="minorHAnsi" w:hAnsiTheme="minorHAnsi" w:cstheme="minorHAnsi"/>
                <w:sz w:val="22"/>
                <w:szCs w:val="22"/>
              </w:rPr>
              <w:t>155</w:t>
            </w:r>
          </w:p>
        </w:tc>
        <w:tc>
          <w:tcPr>
            <w:tcW w:w="1134" w:type="dxa"/>
            <w:vAlign w:val="center"/>
          </w:tcPr>
          <w:p w14:paraId="4E97694C" w14:textId="48481997" w:rsidR="00DA16B7" w:rsidRPr="00580343" w:rsidRDefault="00DA16B7" w:rsidP="00DA16B7">
            <w:pPr>
              <w:keepNext/>
              <w:keepLines/>
              <w:spacing w:after="0"/>
              <w:ind w:left="-173" w:firstLine="173"/>
              <w:jc w:val="center"/>
              <w:rPr>
                <w:rFonts w:asciiTheme="minorHAnsi" w:hAnsiTheme="minorHAnsi" w:cstheme="minorHAnsi"/>
                <w:sz w:val="22"/>
                <w:szCs w:val="22"/>
              </w:rPr>
            </w:pPr>
            <w:r w:rsidRPr="00580343">
              <w:rPr>
                <w:rFonts w:asciiTheme="minorHAnsi" w:hAnsiTheme="minorHAnsi" w:cstheme="minorHAnsi"/>
                <w:sz w:val="22"/>
                <w:szCs w:val="22"/>
              </w:rPr>
              <w:t>85</w:t>
            </w:r>
          </w:p>
        </w:tc>
        <w:tc>
          <w:tcPr>
            <w:tcW w:w="1134" w:type="dxa"/>
            <w:vAlign w:val="center"/>
          </w:tcPr>
          <w:p w14:paraId="21AF6380" w14:textId="6A7C1BA3" w:rsidR="00DA16B7" w:rsidRPr="00580343" w:rsidRDefault="00DA16B7" w:rsidP="00DA16B7">
            <w:pPr>
              <w:keepNext/>
              <w:keepLines/>
              <w:spacing w:after="0"/>
              <w:ind w:left="-173" w:firstLine="173"/>
              <w:jc w:val="center"/>
              <w:rPr>
                <w:rFonts w:asciiTheme="minorHAnsi" w:hAnsiTheme="minorHAnsi" w:cstheme="minorHAnsi"/>
                <w:sz w:val="22"/>
                <w:szCs w:val="22"/>
              </w:rPr>
            </w:pPr>
            <w:r>
              <w:rPr>
                <w:rFonts w:asciiTheme="minorHAnsi" w:hAnsiTheme="minorHAnsi" w:cstheme="minorHAnsi"/>
                <w:sz w:val="22"/>
                <w:szCs w:val="22"/>
              </w:rPr>
              <w:t>214</w:t>
            </w:r>
          </w:p>
        </w:tc>
      </w:tr>
      <w:tr w:rsidR="00DA16B7" w:rsidRPr="00580343" w14:paraId="02A8D33F" w14:textId="77777777" w:rsidTr="000D4DA6">
        <w:trPr>
          <w:trHeight w:val="467"/>
        </w:trPr>
        <w:tc>
          <w:tcPr>
            <w:tcW w:w="4962" w:type="dxa"/>
            <w:shd w:val="clear" w:color="auto" w:fill="auto"/>
            <w:vAlign w:val="center"/>
          </w:tcPr>
          <w:p w14:paraId="7EDE8AA2" w14:textId="77777777" w:rsidR="00DA16B7" w:rsidRPr="00580343" w:rsidRDefault="00DA16B7" w:rsidP="00DA16B7">
            <w:pPr>
              <w:keepNext/>
              <w:keepLines/>
              <w:spacing w:before="60" w:after="60"/>
              <w:rPr>
                <w:rFonts w:asciiTheme="minorHAnsi" w:hAnsiTheme="minorHAnsi" w:cstheme="minorHAnsi"/>
                <w:sz w:val="22"/>
                <w:szCs w:val="22"/>
              </w:rPr>
            </w:pPr>
            <w:r w:rsidRPr="00580343">
              <w:rPr>
                <w:rFonts w:asciiTheme="minorHAnsi" w:hAnsiTheme="minorHAnsi" w:cstheme="minorHAnsi"/>
                <w:sz w:val="22"/>
                <w:szCs w:val="22"/>
              </w:rPr>
              <w:t>Percentage of applications finalised within 60 days</w:t>
            </w:r>
          </w:p>
        </w:tc>
        <w:tc>
          <w:tcPr>
            <w:tcW w:w="1134" w:type="dxa"/>
            <w:shd w:val="clear" w:color="auto" w:fill="auto"/>
            <w:vAlign w:val="center"/>
          </w:tcPr>
          <w:p w14:paraId="3A7962B0" w14:textId="5B3D8819"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shd w:val="clear" w:color="auto" w:fill="auto"/>
            <w:vAlign w:val="center"/>
          </w:tcPr>
          <w:p w14:paraId="5DCBBAE6" w14:textId="6EE3F663"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6BCDF5E6" w14:textId="7C57B555"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575F6B6B" w14:textId="77777777"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100%</w:t>
            </w:r>
          </w:p>
        </w:tc>
      </w:tr>
      <w:tr w:rsidR="00DA16B7" w:rsidRPr="00580343" w14:paraId="2CBBA56A" w14:textId="77777777" w:rsidTr="000D4DA6">
        <w:trPr>
          <w:trHeight w:val="489"/>
        </w:trPr>
        <w:tc>
          <w:tcPr>
            <w:tcW w:w="4962" w:type="dxa"/>
            <w:shd w:val="clear" w:color="auto" w:fill="auto"/>
            <w:vAlign w:val="center"/>
          </w:tcPr>
          <w:p w14:paraId="21BCD687" w14:textId="77777777" w:rsidR="00DA16B7" w:rsidRPr="00580343" w:rsidRDefault="00DA16B7" w:rsidP="00DA16B7">
            <w:pPr>
              <w:keepNext/>
              <w:keepLines/>
              <w:spacing w:before="60" w:after="60"/>
              <w:rPr>
                <w:rFonts w:asciiTheme="minorHAnsi" w:hAnsiTheme="minorHAnsi" w:cstheme="minorHAnsi"/>
                <w:sz w:val="22"/>
                <w:szCs w:val="22"/>
              </w:rPr>
            </w:pPr>
            <w:r w:rsidRPr="00580343">
              <w:rPr>
                <w:rFonts w:asciiTheme="minorHAnsi" w:hAnsiTheme="minorHAnsi" w:cstheme="minorHAnsi"/>
                <w:sz w:val="22"/>
                <w:szCs w:val="22"/>
              </w:rPr>
              <w:t>Number of unsuccessful applications</w:t>
            </w:r>
          </w:p>
        </w:tc>
        <w:tc>
          <w:tcPr>
            <w:tcW w:w="1134" w:type="dxa"/>
            <w:shd w:val="clear" w:color="auto" w:fill="auto"/>
            <w:vAlign w:val="center"/>
          </w:tcPr>
          <w:p w14:paraId="647ECD30" w14:textId="30A56C95"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0</w:t>
            </w:r>
          </w:p>
        </w:tc>
        <w:tc>
          <w:tcPr>
            <w:tcW w:w="1134" w:type="dxa"/>
            <w:shd w:val="clear" w:color="auto" w:fill="auto"/>
            <w:vAlign w:val="center"/>
          </w:tcPr>
          <w:p w14:paraId="6F929A9A" w14:textId="15CF4612"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0</w:t>
            </w:r>
          </w:p>
        </w:tc>
        <w:tc>
          <w:tcPr>
            <w:tcW w:w="1134" w:type="dxa"/>
            <w:vAlign w:val="center"/>
          </w:tcPr>
          <w:p w14:paraId="664202EC" w14:textId="1B773522"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0</w:t>
            </w:r>
          </w:p>
        </w:tc>
        <w:tc>
          <w:tcPr>
            <w:tcW w:w="1134" w:type="dxa"/>
            <w:vAlign w:val="center"/>
          </w:tcPr>
          <w:p w14:paraId="0D77170A" w14:textId="77777777" w:rsidR="00DA16B7" w:rsidRPr="00580343" w:rsidRDefault="00DA16B7" w:rsidP="00DA16B7">
            <w:pPr>
              <w:keepNext/>
              <w:keepLines/>
              <w:spacing w:after="0"/>
              <w:jc w:val="center"/>
              <w:rPr>
                <w:rFonts w:asciiTheme="minorHAnsi" w:hAnsiTheme="minorHAnsi" w:cstheme="minorHAnsi"/>
                <w:sz w:val="22"/>
                <w:szCs w:val="22"/>
              </w:rPr>
            </w:pPr>
            <w:r w:rsidRPr="00580343">
              <w:rPr>
                <w:rFonts w:asciiTheme="minorHAnsi" w:hAnsiTheme="minorHAnsi" w:cstheme="minorHAnsi"/>
                <w:sz w:val="22"/>
                <w:szCs w:val="22"/>
              </w:rPr>
              <w:t>0</w:t>
            </w:r>
          </w:p>
        </w:tc>
      </w:tr>
    </w:tbl>
    <w:p w14:paraId="1860BCE8" w14:textId="415DD17A" w:rsidR="007E7879" w:rsidRPr="00580343" w:rsidRDefault="007E7879" w:rsidP="00CD66BE">
      <w:pPr>
        <w:keepNext/>
        <w:keepLines/>
        <w:tabs>
          <w:tab w:val="left" w:pos="1982"/>
        </w:tabs>
        <w:rPr>
          <w:rFonts w:cstheme="minorHAnsi"/>
          <w:sz w:val="22"/>
          <w:szCs w:val="22"/>
        </w:rPr>
      </w:pPr>
      <w:bookmarkStart w:id="14" w:name="_Attachment_A:_Second-tier"/>
      <w:bookmarkEnd w:id="10"/>
      <w:bookmarkEnd w:id="14"/>
      <w:r w:rsidRPr="00580343">
        <w:rPr>
          <w:rFonts w:cstheme="minorHAnsi"/>
          <w:sz w:val="22"/>
          <w:szCs w:val="22"/>
        </w:rPr>
        <w:t xml:space="preserve">Variations in the volume of applications received by the </w:t>
      </w:r>
      <w:r w:rsidR="00BF7AD6">
        <w:rPr>
          <w:rFonts w:cstheme="minorHAnsi"/>
          <w:sz w:val="22"/>
          <w:szCs w:val="22"/>
        </w:rPr>
        <w:t>d</w:t>
      </w:r>
      <w:r w:rsidRPr="00580343">
        <w:rPr>
          <w:rFonts w:cstheme="minorHAnsi"/>
          <w:sz w:val="22"/>
          <w:szCs w:val="22"/>
        </w:rPr>
        <w:t xml:space="preserve">epartment impact on total costs and revenue. </w:t>
      </w:r>
    </w:p>
    <w:p w14:paraId="73D2DDCB" w14:textId="65E21A15" w:rsidR="00CC7589" w:rsidRPr="00580343" w:rsidRDefault="008F553F" w:rsidP="00CD66BE">
      <w:pPr>
        <w:keepNext/>
        <w:keepLines/>
        <w:tabs>
          <w:tab w:val="left" w:pos="1982"/>
        </w:tabs>
        <w:rPr>
          <w:rFonts w:cstheme="minorHAnsi"/>
          <w:sz w:val="22"/>
          <w:szCs w:val="22"/>
        </w:rPr>
      </w:pPr>
      <w:r>
        <w:rPr>
          <w:rFonts w:cstheme="minorHAnsi"/>
          <w:sz w:val="22"/>
          <w:szCs w:val="22"/>
        </w:rPr>
        <w:t>During the COVID-19 pandemic to alleviate pressure on hospital resources t</w:t>
      </w:r>
      <w:r w:rsidR="00CC7589" w:rsidRPr="00580343">
        <w:rPr>
          <w:rFonts w:cstheme="minorHAnsi"/>
          <w:sz w:val="22"/>
          <w:szCs w:val="22"/>
        </w:rPr>
        <w:t>he Australian Commission on Safety and Quality in Health Care</w:t>
      </w:r>
      <w:r w:rsidR="003C5C26">
        <w:rPr>
          <w:rFonts w:cstheme="minorHAnsi"/>
          <w:sz w:val="22"/>
          <w:szCs w:val="22"/>
        </w:rPr>
        <w:t> </w:t>
      </w:r>
      <w:r w:rsidR="00CC7589" w:rsidRPr="00580343">
        <w:rPr>
          <w:rFonts w:cstheme="minorHAnsi"/>
          <w:sz w:val="22"/>
          <w:szCs w:val="22"/>
        </w:rPr>
        <w:t xml:space="preserve">(ACSQHC) </w:t>
      </w:r>
      <w:r w:rsidR="003C5C26">
        <w:rPr>
          <w:rFonts w:cstheme="minorHAnsi"/>
          <w:sz w:val="22"/>
          <w:szCs w:val="22"/>
        </w:rPr>
        <w:t>announced expiring hospital</w:t>
      </w:r>
      <w:r w:rsidR="00CC7589" w:rsidRPr="00580343">
        <w:rPr>
          <w:rFonts w:cstheme="minorHAnsi"/>
          <w:sz w:val="22"/>
          <w:szCs w:val="22"/>
        </w:rPr>
        <w:t xml:space="preserve"> accreditation </w:t>
      </w:r>
      <w:r w:rsidR="003C5C26">
        <w:rPr>
          <w:rFonts w:cstheme="minorHAnsi"/>
          <w:sz w:val="22"/>
          <w:szCs w:val="22"/>
        </w:rPr>
        <w:t xml:space="preserve">would be ‘maintained’ </w:t>
      </w:r>
      <w:r w:rsidR="00CC7589" w:rsidRPr="00580343">
        <w:rPr>
          <w:rFonts w:cstheme="minorHAnsi"/>
          <w:sz w:val="22"/>
          <w:szCs w:val="22"/>
        </w:rPr>
        <w:t xml:space="preserve">for </w:t>
      </w:r>
      <w:r w:rsidR="003C5C26">
        <w:rPr>
          <w:rFonts w:cstheme="minorHAnsi"/>
          <w:sz w:val="22"/>
          <w:szCs w:val="22"/>
        </w:rPr>
        <w:t xml:space="preserve">an additional </w:t>
      </w:r>
      <w:r w:rsidR="00CC7589" w:rsidRPr="00580343">
        <w:rPr>
          <w:rFonts w:cstheme="minorHAnsi"/>
          <w:sz w:val="22"/>
          <w:szCs w:val="22"/>
        </w:rPr>
        <w:t>12</w:t>
      </w:r>
      <w:r w:rsidR="003C5C26">
        <w:rPr>
          <w:rFonts w:cstheme="minorHAnsi"/>
          <w:sz w:val="22"/>
          <w:szCs w:val="22"/>
        </w:rPr>
        <w:t> </w:t>
      </w:r>
      <w:r w:rsidR="00CC7589" w:rsidRPr="00580343">
        <w:rPr>
          <w:rFonts w:cstheme="minorHAnsi"/>
          <w:sz w:val="22"/>
          <w:szCs w:val="22"/>
        </w:rPr>
        <w:t>months</w:t>
      </w:r>
      <w:r w:rsidR="003C5C26">
        <w:rPr>
          <w:rFonts w:cstheme="minorHAnsi"/>
          <w:sz w:val="22"/>
          <w:szCs w:val="22"/>
        </w:rPr>
        <w:t>. T</w:t>
      </w:r>
      <w:r w:rsidR="00CC7589" w:rsidRPr="00580343">
        <w:rPr>
          <w:rFonts w:cstheme="minorHAnsi"/>
          <w:sz w:val="22"/>
          <w:szCs w:val="22"/>
        </w:rPr>
        <w:t xml:space="preserve">he </w:t>
      </w:r>
      <w:r>
        <w:rPr>
          <w:rFonts w:cstheme="minorHAnsi"/>
          <w:sz w:val="22"/>
          <w:szCs w:val="22"/>
        </w:rPr>
        <w:t xml:space="preserve">department also realigned the </w:t>
      </w:r>
      <w:r w:rsidR="007C1E8E">
        <w:rPr>
          <w:rFonts w:cstheme="minorHAnsi"/>
          <w:sz w:val="22"/>
          <w:szCs w:val="22"/>
        </w:rPr>
        <w:t>second-tier</w:t>
      </w:r>
      <w:r w:rsidR="00CC7589" w:rsidRPr="00580343">
        <w:rPr>
          <w:rFonts w:cstheme="minorHAnsi"/>
          <w:sz w:val="22"/>
          <w:szCs w:val="22"/>
        </w:rPr>
        <w:t xml:space="preserve"> approval process </w:t>
      </w:r>
      <w:r>
        <w:rPr>
          <w:rFonts w:cstheme="minorHAnsi"/>
          <w:sz w:val="22"/>
          <w:szCs w:val="22"/>
        </w:rPr>
        <w:t>to hospitals</w:t>
      </w:r>
      <w:r w:rsidR="003C5C26">
        <w:rPr>
          <w:rFonts w:cstheme="minorHAnsi"/>
          <w:sz w:val="22"/>
          <w:szCs w:val="22"/>
        </w:rPr>
        <w:t xml:space="preserve"> </w:t>
      </w:r>
      <w:r>
        <w:rPr>
          <w:rFonts w:cstheme="minorHAnsi"/>
          <w:sz w:val="22"/>
          <w:szCs w:val="22"/>
        </w:rPr>
        <w:t>extended</w:t>
      </w:r>
      <w:r w:rsidR="003C5C26">
        <w:rPr>
          <w:rFonts w:cstheme="minorHAnsi"/>
          <w:sz w:val="22"/>
          <w:szCs w:val="22"/>
        </w:rPr>
        <w:t xml:space="preserve"> “maintained </w:t>
      </w:r>
      <w:r w:rsidR="00CC7589" w:rsidRPr="00580343">
        <w:rPr>
          <w:rFonts w:cstheme="minorHAnsi"/>
          <w:sz w:val="22"/>
          <w:szCs w:val="22"/>
        </w:rPr>
        <w:t>accreditation</w:t>
      </w:r>
      <w:r w:rsidR="003C5C26">
        <w:rPr>
          <w:rFonts w:cstheme="minorHAnsi"/>
          <w:sz w:val="22"/>
          <w:szCs w:val="22"/>
        </w:rPr>
        <w:t>”</w:t>
      </w:r>
      <w:r w:rsidR="00CC7589" w:rsidRPr="00580343">
        <w:rPr>
          <w:rFonts w:cstheme="minorHAnsi"/>
          <w:sz w:val="22"/>
          <w:szCs w:val="22"/>
        </w:rPr>
        <w:t xml:space="preserve"> expiry date</w:t>
      </w:r>
      <w:r>
        <w:rPr>
          <w:rFonts w:cstheme="minorHAnsi"/>
          <w:sz w:val="22"/>
          <w:szCs w:val="22"/>
        </w:rPr>
        <w:t>s</w:t>
      </w:r>
      <w:r w:rsidR="00CC7589" w:rsidRPr="00580343">
        <w:rPr>
          <w:rFonts w:cstheme="minorHAnsi"/>
          <w:sz w:val="22"/>
          <w:szCs w:val="22"/>
        </w:rPr>
        <w:t>.</w:t>
      </w:r>
      <w:r>
        <w:rPr>
          <w:rFonts w:cstheme="minorHAnsi"/>
          <w:sz w:val="22"/>
          <w:szCs w:val="22"/>
        </w:rPr>
        <w:t xml:space="preserve"> </w:t>
      </w:r>
      <w:r w:rsidR="00CC7589" w:rsidRPr="00580343">
        <w:rPr>
          <w:rFonts w:cstheme="minorHAnsi"/>
          <w:sz w:val="22"/>
          <w:szCs w:val="22"/>
        </w:rPr>
        <w:t xml:space="preserve">This resulted in a decrease in </w:t>
      </w:r>
      <w:r>
        <w:rPr>
          <w:rFonts w:cstheme="minorHAnsi"/>
          <w:sz w:val="22"/>
          <w:szCs w:val="22"/>
        </w:rPr>
        <w:t xml:space="preserve">applications for renewal of </w:t>
      </w:r>
      <w:r w:rsidR="007C1E8E">
        <w:rPr>
          <w:rFonts w:cstheme="minorHAnsi"/>
          <w:sz w:val="22"/>
          <w:szCs w:val="22"/>
        </w:rPr>
        <w:t>second-tier</w:t>
      </w:r>
      <w:r w:rsidR="00CC7589" w:rsidRPr="00580343">
        <w:rPr>
          <w:rFonts w:cstheme="minorHAnsi"/>
          <w:sz w:val="22"/>
          <w:szCs w:val="22"/>
        </w:rPr>
        <w:t xml:space="preserve"> </w:t>
      </w:r>
      <w:r>
        <w:rPr>
          <w:rFonts w:cstheme="minorHAnsi"/>
          <w:sz w:val="22"/>
          <w:szCs w:val="22"/>
        </w:rPr>
        <w:t xml:space="preserve">eligibility </w:t>
      </w:r>
      <w:r w:rsidR="003C5C26">
        <w:rPr>
          <w:rFonts w:cstheme="minorHAnsi"/>
          <w:sz w:val="22"/>
          <w:szCs w:val="22"/>
        </w:rPr>
        <w:t xml:space="preserve">during the pandemic, with a commensurate </w:t>
      </w:r>
      <w:r w:rsidR="00CC7589" w:rsidRPr="00580343">
        <w:rPr>
          <w:rFonts w:cstheme="minorHAnsi"/>
          <w:sz w:val="22"/>
          <w:szCs w:val="22"/>
        </w:rPr>
        <w:t xml:space="preserve">forecast increase </w:t>
      </w:r>
      <w:r w:rsidR="00617ED7">
        <w:rPr>
          <w:rFonts w:cstheme="minorHAnsi"/>
          <w:sz w:val="22"/>
          <w:szCs w:val="22"/>
        </w:rPr>
        <w:t xml:space="preserve">in applications </w:t>
      </w:r>
      <w:r w:rsidR="003C5C26">
        <w:rPr>
          <w:rFonts w:cstheme="minorHAnsi"/>
          <w:sz w:val="22"/>
          <w:szCs w:val="22"/>
        </w:rPr>
        <w:t xml:space="preserve">across future years as accreditation cycles </w:t>
      </w:r>
      <w:r w:rsidR="00CC7589" w:rsidRPr="00580343">
        <w:rPr>
          <w:rFonts w:cstheme="minorHAnsi"/>
          <w:sz w:val="22"/>
          <w:szCs w:val="22"/>
        </w:rPr>
        <w:t>stabilise</w:t>
      </w:r>
      <w:r w:rsidR="003C5C26">
        <w:rPr>
          <w:rFonts w:cstheme="minorHAnsi"/>
          <w:sz w:val="22"/>
          <w:szCs w:val="22"/>
        </w:rPr>
        <w:t>.</w:t>
      </w:r>
    </w:p>
    <w:p w14:paraId="523BCE9F" w14:textId="5C2CAB36" w:rsidR="007E7879" w:rsidRPr="00580343" w:rsidRDefault="007E7879" w:rsidP="00CD66BE">
      <w:pPr>
        <w:keepNext/>
        <w:keepLines/>
        <w:tabs>
          <w:tab w:val="left" w:pos="1982"/>
        </w:tabs>
        <w:rPr>
          <w:rFonts w:cstheme="minorHAnsi"/>
          <w:sz w:val="22"/>
          <w:szCs w:val="22"/>
        </w:rPr>
      </w:pPr>
      <w:r w:rsidRPr="00580343">
        <w:rPr>
          <w:rFonts w:cstheme="minorHAnsi"/>
          <w:sz w:val="22"/>
          <w:szCs w:val="22"/>
        </w:rPr>
        <w:t xml:space="preserve">The number of unsuccessful applications is an indicator of whether private hospitals understand the assessment criteria for </w:t>
      </w:r>
      <w:r w:rsidR="007C1E8E">
        <w:rPr>
          <w:rFonts w:cstheme="minorHAnsi"/>
          <w:sz w:val="22"/>
          <w:szCs w:val="22"/>
        </w:rPr>
        <w:t>second-tier</w:t>
      </w:r>
      <w:r w:rsidRPr="00580343">
        <w:rPr>
          <w:rFonts w:cstheme="minorHAnsi"/>
          <w:sz w:val="22"/>
          <w:szCs w:val="22"/>
        </w:rPr>
        <w:t xml:space="preserve"> default benefits eligibility and could indicate a need for clearer communication by the </w:t>
      </w:r>
      <w:r w:rsidR="00D57359">
        <w:rPr>
          <w:rFonts w:cstheme="minorHAnsi"/>
          <w:sz w:val="22"/>
          <w:szCs w:val="22"/>
        </w:rPr>
        <w:t>d</w:t>
      </w:r>
      <w:r w:rsidR="003A68BF">
        <w:rPr>
          <w:rFonts w:cstheme="minorHAnsi"/>
          <w:sz w:val="22"/>
          <w:szCs w:val="22"/>
        </w:rPr>
        <w:t>epartment</w:t>
      </w:r>
      <w:r w:rsidRPr="00580343">
        <w:rPr>
          <w:rFonts w:cstheme="minorHAnsi"/>
          <w:sz w:val="22"/>
          <w:szCs w:val="22"/>
        </w:rPr>
        <w:t xml:space="preserve">. The </w:t>
      </w:r>
      <w:r w:rsidR="00D57359">
        <w:rPr>
          <w:rFonts w:cstheme="minorHAnsi"/>
          <w:sz w:val="22"/>
          <w:szCs w:val="22"/>
        </w:rPr>
        <w:t>d</w:t>
      </w:r>
      <w:r w:rsidR="003A68BF">
        <w:rPr>
          <w:rFonts w:cstheme="minorHAnsi"/>
          <w:sz w:val="22"/>
          <w:szCs w:val="22"/>
        </w:rPr>
        <w:t>epartment</w:t>
      </w:r>
      <w:r w:rsidRPr="00580343">
        <w:rPr>
          <w:rFonts w:cstheme="minorHAnsi"/>
          <w:sz w:val="22"/>
          <w:szCs w:val="22"/>
        </w:rPr>
        <w:t xml:space="preserve"> aims for this to be maintained at five or fewer applications, to minimise hospitals wasting money on fees for unsuccessful applications.</w:t>
      </w:r>
    </w:p>
    <w:p w14:paraId="6E838555" w14:textId="38B11C72" w:rsidR="009E70D8" w:rsidRPr="00580343" w:rsidRDefault="007E7879" w:rsidP="00CD66BE">
      <w:pPr>
        <w:keepNext/>
        <w:keepLines/>
        <w:tabs>
          <w:tab w:val="left" w:pos="1982"/>
        </w:tabs>
        <w:rPr>
          <w:rFonts w:cstheme="minorHAnsi"/>
          <w:sz w:val="22"/>
          <w:szCs w:val="22"/>
        </w:rPr>
      </w:pPr>
      <w:r w:rsidRPr="00580343">
        <w:rPr>
          <w:rFonts w:cstheme="minorHAnsi"/>
          <w:sz w:val="22"/>
          <w:szCs w:val="22"/>
        </w:rPr>
        <w:t>To date, all applications have been processed within the 60-day timeframe and there have been no unsuccessful applications.</w:t>
      </w:r>
    </w:p>
    <w:p w14:paraId="55A0B086" w14:textId="69DAC985" w:rsidR="007E7879" w:rsidRPr="00580343" w:rsidRDefault="007E7879" w:rsidP="00400C30">
      <w:pPr>
        <w:pStyle w:val="Heading1"/>
      </w:pPr>
      <w:r w:rsidRPr="00580343">
        <w:t>KEY FORWARD DATES AND EVENTS</w:t>
      </w:r>
    </w:p>
    <w:tbl>
      <w:tblPr>
        <w:tblStyle w:val="TableGrid"/>
        <w:tblW w:w="8931" w:type="dxa"/>
        <w:tblInd w:w="108" w:type="dxa"/>
        <w:tblLook w:val="04A0" w:firstRow="1" w:lastRow="0" w:firstColumn="1" w:lastColumn="0" w:noHBand="0" w:noVBand="1"/>
        <w:tblCaption w:val="Key forward dates and events"/>
        <w:tblDescription w:val="Table showing dates for future reviews of this document."/>
      </w:tblPr>
      <w:tblGrid>
        <w:gridCol w:w="6408"/>
        <w:gridCol w:w="2523"/>
      </w:tblGrid>
      <w:tr w:rsidR="007E7879" w:rsidRPr="00580343" w14:paraId="6F51D848" w14:textId="77777777" w:rsidTr="00400C30">
        <w:trPr>
          <w:cantSplit/>
        </w:trPr>
        <w:tc>
          <w:tcPr>
            <w:tcW w:w="6408" w:type="dxa"/>
            <w:shd w:val="clear" w:color="auto" w:fill="D9D9D9" w:themeFill="background1" w:themeFillShade="D9"/>
            <w:vAlign w:val="bottom"/>
          </w:tcPr>
          <w:p w14:paraId="10A0F9F2" w14:textId="77777777" w:rsidR="007E7879" w:rsidRPr="00580343" w:rsidRDefault="007E7879" w:rsidP="003222A2">
            <w:pPr>
              <w:spacing w:before="120" w:after="120"/>
              <w:rPr>
                <w:rFonts w:asciiTheme="minorHAnsi" w:hAnsiTheme="minorHAnsi" w:cstheme="minorHAnsi"/>
                <w:b/>
                <w:sz w:val="22"/>
                <w:szCs w:val="22"/>
              </w:rPr>
            </w:pPr>
            <w:r w:rsidRPr="00580343">
              <w:rPr>
                <w:rFonts w:asciiTheme="minorHAnsi" w:hAnsiTheme="minorHAnsi" w:cstheme="minorHAnsi"/>
                <w:b/>
                <w:sz w:val="22"/>
                <w:szCs w:val="22"/>
              </w:rPr>
              <w:t>Event</w:t>
            </w:r>
          </w:p>
        </w:tc>
        <w:tc>
          <w:tcPr>
            <w:tcW w:w="2523" w:type="dxa"/>
            <w:shd w:val="clear" w:color="auto" w:fill="D9D9D9" w:themeFill="background1" w:themeFillShade="D9"/>
            <w:vAlign w:val="bottom"/>
          </w:tcPr>
          <w:p w14:paraId="0AA176A9" w14:textId="77777777" w:rsidR="007E7879" w:rsidRPr="00580343" w:rsidRDefault="007E7879" w:rsidP="003222A2">
            <w:pPr>
              <w:spacing w:before="120" w:after="120"/>
              <w:rPr>
                <w:rFonts w:asciiTheme="minorHAnsi" w:hAnsiTheme="minorHAnsi" w:cstheme="minorHAnsi"/>
                <w:b/>
                <w:sz w:val="22"/>
                <w:szCs w:val="22"/>
              </w:rPr>
            </w:pPr>
            <w:r w:rsidRPr="00580343">
              <w:rPr>
                <w:rFonts w:asciiTheme="minorHAnsi" w:hAnsiTheme="minorHAnsi" w:cstheme="minorHAnsi"/>
                <w:b/>
                <w:sz w:val="22"/>
                <w:szCs w:val="22"/>
              </w:rPr>
              <w:t>Date</w:t>
            </w:r>
          </w:p>
        </w:tc>
      </w:tr>
      <w:tr w:rsidR="00994476" w:rsidRPr="00580343" w14:paraId="54D5DA8A" w14:textId="77777777" w:rsidTr="00400C30">
        <w:tc>
          <w:tcPr>
            <w:tcW w:w="6408" w:type="dxa"/>
          </w:tcPr>
          <w:p w14:paraId="6BA55FB2" w14:textId="72D65386" w:rsidR="00994476" w:rsidRPr="00580343" w:rsidRDefault="00994476" w:rsidP="00994476">
            <w:pPr>
              <w:spacing w:before="120" w:after="120"/>
              <w:rPr>
                <w:rFonts w:asciiTheme="minorHAnsi" w:hAnsiTheme="minorHAnsi" w:cstheme="minorHAnsi"/>
                <w:sz w:val="22"/>
                <w:szCs w:val="22"/>
              </w:rPr>
            </w:pPr>
            <w:r w:rsidRPr="00051929">
              <w:rPr>
                <w:rFonts w:asciiTheme="minorHAnsi" w:hAnsiTheme="minorHAnsi" w:cstheme="minorHAnsi"/>
                <w:sz w:val="22"/>
                <w:szCs w:val="22"/>
              </w:rPr>
              <w:t>Update of actual results for 202</w:t>
            </w:r>
            <w:r>
              <w:rPr>
                <w:rFonts w:asciiTheme="minorHAnsi" w:hAnsiTheme="minorHAnsi" w:cstheme="minorHAnsi"/>
                <w:sz w:val="22"/>
                <w:szCs w:val="22"/>
              </w:rPr>
              <w:t>4</w:t>
            </w:r>
            <w:r w:rsidRPr="00051929">
              <w:rPr>
                <w:rFonts w:asciiTheme="minorHAnsi" w:hAnsiTheme="minorHAnsi" w:cstheme="minorHAnsi"/>
                <w:sz w:val="22"/>
                <w:szCs w:val="22"/>
              </w:rPr>
              <w:t>-2</w:t>
            </w:r>
            <w:r>
              <w:rPr>
                <w:rFonts w:asciiTheme="minorHAnsi" w:hAnsiTheme="minorHAnsi" w:cstheme="minorHAnsi"/>
                <w:sz w:val="22"/>
                <w:szCs w:val="22"/>
              </w:rPr>
              <w:t>5</w:t>
            </w:r>
          </w:p>
        </w:tc>
        <w:tc>
          <w:tcPr>
            <w:tcW w:w="2523" w:type="dxa"/>
          </w:tcPr>
          <w:p w14:paraId="42551365" w14:textId="70008847" w:rsidR="00994476" w:rsidRPr="00496442" w:rsidRDefault="00994476" w:rsidP="00994476">
            <w:pPr>
              <w:spacing w:before="120" w:after="120"/>
            </w:pPr>
            <w:r w:rsidRPr="00051929">
              <w:rPr>
                <w:rFonts w:asciiTheme="minorHAnsi" w:hAnsiTheme="minorHAnsi" w:cstheme="minorHAnsi"/>
                <w:sz w:val="22"/>
                <w:szCs w:val="22"/>
              </w:rPr>
              <w:t>30 November 202</w:t>
            </w:r>
            <w:r>
              <w:rPr>
                <w:rFonts w:asciiTheme="minorHAnsi" w:hAnsiTheme="minorHAnsi" w:cstheme="minorHAnsi"/>
                <w:sz w:val="22"/>
                <w:szCs w:val="22"/>
              </w:rPr>
              <w:t>5</w:t>
            </w:r>
          </w:p>
        </w:tc>
      </w:tr>
      <w:tr w:rsidR="00FD6049" w:rsidRPr="00580343" w14:paraId="1DCCDB8D" w14:textId="77777777" w:rsidTr="00400C30">
        <w:tc>
          <w:tcPr>
            <w:tcW w:w="6408" w:type="dxa"/>
          </w:tcPr>
          <w:p w14:paraId="4A3ED86C" w14:textId="6F15B0A3" w:rsidR="00FD6049" w:rsidRPr="00051929" w:rsidRDefault="00FD6049" w:rsidP="00FD6049">
            <w:pPr>
              <w:spacing w:before="120" w:after="120"/>
              <w:rPr>
                <w:rFonts w:cstheme="minorHAnsi"/>
                <w:sz w:val="22"/>
                <w:szCs w:val="22"/>
              </w:rPr>
            </w:pPr>
            <w:r w:rsidRPr="00051929">
              <w:rPr>
                <w:rFonts w:asciiTheme="minorHAnsi" w:hAnsiTheme="minorHAnsi" w:cstheme="minorHAnsi"/>
                <w:sz w:val="22"/>
                <w:szCs w:val="22"/>
              </w:rPr>
              <w:t>Annual update of CRIS and application fee indexation</w:t>
            </w:r>
          </w:p>
        </w:tc>
        <w:tc>
          <w:tcPr>
            <w:tcW w:w="2523" w:type="dxa"/>
          </w:tcPr>
          <w:p w14:paraId="6801880A" w14:textId="19199512" w:rsidR="00FD6049" w:rsidRPr="00051929" w:rsidRDefault="00FD6049" w:rsidP="00FD6049">
            <w:pPr>
              <w:spacing w:before="120" w:after="120"/>
              <w:rPr>
                <w:rFonts w:cstheme="minorHAnsi"/>
                <w:sz w:val="22"/>
                <w:szCs w:val="22"/>
              </w:rPr>
            </w:pPr>
            <w:r w:rsidRPr="00051929">
              <w:rPr>
                <w:rFonts w:asciiTheme="minorHAnsi" w:hAnsiTheme="minorHAnsi" w:cstheme="minorHAnsi"/>
                <w:sz w:val="22"/>
                <w:szCs w:val="22"/>
              </w:rPr>
              <w:t>1 July 202</w:t>
            </w:r>
            <w:r>
              <w:rPr>
                <w:rFonts w:asciiTheme="minorHAnsi" w:hAnsiTheme="minorHAnsi" w:cstheme="minorHAnsi"/>
                <w:sz w:val="22"/>
                <w:szCs w:val="22"/>
              </w:rPr>
              <w:t>6</w:t>
            </w:r>
          </w:p>
        </w:tc>
      </w:tr>
    </w:tbl>
    <w:p w14:paraId="695A7D8E" w14:textId="504C3498" w:rsidR="009E70D8" w:rsidRPr="001911AE" w:rsidRDefault="001911AE" w:rsidP="00CE7421">
      <w:pPr>
        <w:spacing w:after="200" w:line="276" w:lineRule="auto"/>
        <w:rPr>
          <w:rFonts w:cstheme="minorHAnsi"/>
          <w:szCs w:val="22"/>
        </w:rPr>
      </w:pPr>
      <w:r>
        <w:rPr>
          <w:rFonts w:cstheme="minorHAnsi"/>
          <w:szCs w:val="22"/>
        </w:rPr>
        <w:br w:type="page"/>
      </w:r>
    </w:p>
    <w:p w14:paraId="2B2DB999" w14:textId="6FC31AF6" w:rsidR="007E7879" w:rsidRPr="00580343" w:rsidRDefault="009E70D8" w:rsidP="00400C30">
      <w:pPr>
        <w:pStyle w:val="Heading1"/>
        <w:numPr>
          <w:ilvl w:val="0"/>
          <w:numId w:val="36"/>
        </w:numPr>
      </w:pPr>
      <w:r w:rsidRPr="00580343">
        <w:lastRenderedPageBreak/>
        <w:t xml:space="preserve"> </w:t>
      </w:r>
      <w:r w:rsidR="007E7879" w:rsidRPr="00580343">
        <w:t>CRIS APPROVAL AND CHANGE REGISTER</w:t>
      </w:r>
    </w:p>
    <w:tbl>
      <w:tblPr>
        <w:tblStyle w:val="TableGrid"/>
        <w:tblW w:w="8931" w:type="dxa"/>
        <w:tblInd w:w="108" w:type="dxa"/>
        <w:tblLayout w:type="fixed"/>
        <w:tblLook w:val="04A0" w:firstRow="1" w:lastRow="0" w:firstColumn="1" w:lastColumn="0" w:noHBand="0" w:noVBand="1"/>
        <w:tblDescription w:val="Table under chapter 7.4 list listing all approved changes to this document."/>
      </w:tblPr>
      <w:tblGrid>
        <w:gridCol w:w="1447"/>
        <w:gridCol w:w="2693"/>
        <w:gridCol w:w="2835"/>
        <w:gridCol w:w="1956"/>
      </w:tblGrid>
      <w:tr w:rsidR="007E7879" w:rsidRPr="00580343" w14:paraId="21858DDD" w14:textId="77777777" w:rsidTr="2098D1CA">
        <w:trPr>
          <w:cantSplit/>
          <w:tblHeader/>
        </w:trPr>
        <w:tc>
          <w:tcPr>
            <w:tcW w:w="1447" w:type="dxa"/>
            <w:shd w:val="clear" w:color="auto" w:fill="D9D9D9" w:themeFill="background1" w:themeFillShade="D9"/>
            <w:vAlign w:val="bottom"/>
          </w:tcPr>
          <w:p w14:paraId="1435F7C7" w14:textId="77777777" w:rsidR="007E7879" w:rsidRPr="00580343" w:rsidRDefault="007E7879" w:rsidP="003222A2">
            <w:pPr>
              <w:spacing w:before="120" w:after="120"/>
              <w:rPr>
                <w:rFonts w:asciiTheme="minorHAnsi" w:hAnsiTheme="minorHAnsi" w:cstheme="minorHAnsi"/>
                <w:b/>
                <w:iCs/>
                <w:sz w:val="22"/>
                <w:szCs w:val="22"/>
              </w:rPr>
            </w:pPr>
            <w:bookmarkStart w:id="15" w:name="_Hlk135402266"/>
            <w:r w:rsidRPr="00580343">
              <w:rPr>
                <w:rFonts w:asciiTheme="minorHAnsi" w:hAnsiTheme="minorHAnsi" w:cstheme="minorHAnsi"/>
                <w:b/>
                <w:iCs/>
                <w:sz w:val="22"/>
                <w:szCs w:val="22"/>
              </w:rPr>
              <w:t>Date of CRIS change</w:t>
            </w:r>
          </w:p>
        </w:tc>
        <w:tc>
          <w:tcPr>
            <w:tcW w:w="2693" w:type="dxa"/>
            <w:shd w:val="clear" w:color="auto" w:fill="D9D9D9" w:themeFill="background1" w:themeFillShade="D9"/>
            <w:vAlign w:val="bottom"/>
          </w:tcPr>
          <w:p w14:paraId="756F54EC" w14:textId="77777777" w:rsidR="007E7879" w:rsidRPr="00580343" w:rsidRDefault="007E7879" w:rsidP="003222A2">
            <w:pPr>
              <w:spacing w:before="120" w:after="120"/>
              <w:rPr>
                <w:rFonts w:asciiTheme="minorHAnsi" w:hAnsiTheme="minorHAnsi" w:cstheme="minorHAnsi"/>
                <w:b/>
                <w:iCs/>
                <w:sz w:val="22"/>
                <w:szCs w:val="22"/>
              </w:rPr>
            </w:pPr>
            <w:r w:rsidRPr="00580343">
              <w:rPr>
                <w:rFonts w:asciiTheme="minorHAnsi" w:hAnsiTheme="minorHAnsi" w:cstheme="minorHAnsi"/>
                <w:b/>
                <w:iCs/>
                <w:sz w:val="22"/>
                <w:szCs w:val="22"/>
              </w:rPr>
              <w:t>CRIS change</w:t>
            </w:r>
          </w:p>
        </w:tc>
        <w:tc>
          <w:tcPr>
            <w:tcW w:w="2835" w:type="dxa"/>
            <w:shd w:val="clear" w:color="auto" w:fill="D9D9D9" w:themeFill="background1" w:themeFillShade="D9"/>
            <w:vAlign w:val="bottom"/>
          </w:tcPr>
          <w:p w14:paraId="4B19D473" w14:textId="77777777" w:rsidR="007E7879" w:rsidRPr="00580343" w:rsidRDefault="034252BB" w:rsidP="2098D1CA">
            <w:pPr>
              <w:spacing w:before="120" w:after="120"/>
              <w:rPr>
                <w:rFonts w:asciiTheme="minorHAnsi" w:hAnsiTheme="minorHAnsi" w:cstheme="minorBidi"/>
                <w:b/>
                <w:bCs/>
                <w:sz w:val="22"/>
                <w:szCs w:val="22"/>
              </w:rPr>
            </w:pPr>
            <w:r w:rsidRPr="2098D1CA">
              <w:rPr>
                <w:rFonts w:asciiTheme="minorHAnsi" w:hAnsiTheme="minorHAnsi" w:cstheme="minorBidi"/>
                <w:b/>
                <w:bCs/>
                <w:sz w:val="22"/>
                <w:szCs w:val="22"/>
              </w:rPr>
              <w:t>Approver</w:t>
            </w:r>
          </w:p>
        </w:tc>
        <w:tc>
          <w:tcPr>
            <w:tcW w:w="1956" w:type="dxa"/>
            <w:shd w:val="clear" w:color="auto" w:fill="D9D9D9" w:themeFill="background1" w:themeFillShade="D9"/>
            <w:vAlign w:val="bottom"/>
          </w:tcPr>
          <w:p w14:paraId="38F81D37" w14:textId="77777777" w:rsidR="007E7879" w:rsidRPr="00580343" w:rsidRDefault="007E7879" w:rsidP="003222A2">
            <w:pPr>
              <w:spacing w:before="120" w:after="120"/>
              <w:rPr>
                <w:rFonts w:asciiTheme="minorHAnsi" w:hAnsiTheme="minorHAnsi" w:cstheme="minorHAnsi"/>
                <w:b/>
                <w:iCs/>
                <w:sz w:val="22"/>
                <w:szCs w:val="22"/>
              </w:rPr>
            </w:pPr>
            <w:r w:rsidRPr="00580343">
              <w:rPr>
                <w:rFonts w:asciiTheme="minorHAnsi" w:hAnsiTheme="minorHAnsi" w:cstheme="minorHAnsi"/>
                <w:b/>
                <w:iCs/>
                <w:sz w:val="22"/>
                <w:szCs w:val="22"/>
              </w:rPr>
              <w:t>Basis for change</w:t>
            </w:r>
          </w:p>
        </w:tc>
      </w:tr>
      <w:tr w:rsidR="007E7879" w:rsidRPr="00580343" w14:paraId="1BD7F017" w14:textId="77777777" w:rsidTr="2098D1CA">
        <w:trPr>
          <w:trHeight w:val="789"/>
        </w:trPr>
        <w:tc>
          <w:tcPr>
            <w:tcW w:w="1447" w:type="dxa"/>
            <w:shd w:val="clear" w:color="auto" w:fill="auto"/>
            <w:vAlign w:val="center"/>
          </w:tcPr>
          <w:p w14:paraId="1BA02AAF"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2/09/2018</w:t>
            </w:r>
          </w:p>
        </w:tc>
        <w:tc>
          <w:tcPr>
            <w:tcW w:w="2693" w:type="dxa"/>
            <w:shd w:val="clear" w:color="auto" w:fill="auto"/>
            <w:vAlign w:val="center"/>
          </w:tcPr>
          <w:p w14:paraId="6A92356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Certification of the CRIS.</w:t>
            </w:r>
          </w:p>
        </w:tc>
        <w:tc>
          <w:tcPr>
            <w:tcW w:w="2835" w:type="dxa"/>
            <w:shd w:val="clear" w:color="auto" w:fill="auto"/>
            <w:vAlign w:val="center"/>
          </w:tcPr>
          <w:p w14:paraId="06182C68" w14:textId="006D0813"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686C3FC9"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New regulatory charging activity</w:t>
            </w:r>
          </w:p>
        </w:tc>
      </w:tr>
      <w:tr w:rsidR="007E7879" w:rsidRPr="00580343" w14:paraId="510AA06A" w14:textId="77777777" w:rsidTr="2098D1CA">
        <w:tc>
          <w:tcPr>
            <w:tcW w:w="1447" w:type="dxa"/>
            <w:shd w:val="clear" w:color="auto" w:fill="auto"/>
            <w:vAlign w:val="center"/>
          </w:tcPr>
          <w:p w14:paraId="462275AD"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20/09/2018</w:t>
            </w:r>
          </w:p>
        </w:tc>
        <w:tc>
          <w:tcPr>
            <w:tcW w:w="2693" w:type="dxa"/>
            <w:shd w:val="clear" w:color="auto" w:fill="auto"/>
            <w:vAlign w:val="center"/>
          </w:tcPr>
          <w:p w14:paraId="33094717"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Approval of the CRIS.</w:t>
            </w:r>
          </w:p>
        </w:tc>
        <w:tc>
          <w:tcPr>
            <w:tcW w:w="2835" w:type="dxa"/>
            <w:shd w:val="clear" w:color="auto" w:fill="auto"/>
            <w:vAlign w:val="center"/>
          </w:tcPr>
          <w:p w14:paraId="05F8FDA6" w14:textId="34F793CB"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Minister for </w:t>
            </w:r>
            <w:r w:rsidR="0093439F" w:rsidRPr="00580343">
              <w:rPr>
                <w:rFonts w:asciiTheme="minorHAnsi" w:hAnsiTheme="minorHAnsi" w:cstheme="minorHAnsi"/>
                <w:sz w:val="22"/>
                <w:szCs w:val="20"/>
              </w:rPr>
              <w:t>Health</w:t>
            </w:r>
            <w:r w:rsidR="005E6782">
              <w:rPr>
                <w:rFonts w:asciiTheme="minorHAnsi" w:hAnsiTheme="minorHAnsi" w:cstheme="minorHAnsi"/>
                <w:sz w:val="22"/>
                <w:szCs w:val="20"/>
              </w:rPr>
              <w:t xml:space="preserve"> and </w:t>
            </w:r>
            <w:r w:rsidR="0093439F">
              <w:rPr>
                <w:rFonts w:asciiTheme="minorHAnsi" w:hAnsiTheme="minorHAnsi" w:cstheme="minorHAnsi"/>
                <w:sz w:val="22"/>
                <w:szCs w:val="20"/>
              </w:rPr>
              <w:t>Ageing</w:t>
            </w:r>
          </w:p>
        </w:tc>
        <w:tc>
          <w:tcPr>
            <w:tcW w:w="1956" w:type="dxa"/>
            <w:shd w:val="clear" w:color="auto" w:fill="auto"/>
            <w:vAlign w:val="center"/>
          </w:tcPr>
          <w:p w14:paraId="3C2776F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New regulatory charging activity</w:t>
            </w:r>
          </w:p>
        </w:tc>
      </w:tr>
      <w:tr w:rsidR="007E7879" w:rsidRPr="00580343" w14:paraId="54A62BBA" w14:textId="77777777" w:rsidTr="2098D1CA">
        <w:tc>
          <w:tcPr>
            <w:tcW w:w="1447" w:type="dxa"/>
            <w:shd w:val="clear" w:color="auto" w:fill="auto"/>
            <w:vAlign w:val="center"/>
          </w:tcPr>
          <w:p w14:paraId="1FB8EA7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30/04/2019</w:t>
            </w:r>
          </w:p>
        </w:tc>
        <w:tc>
          <w:tcPr>
            <w:tcW w:w="2693" w:type="dxa"/>
            <w:shd w:val="clear" w:color="auto" w:fill="auto"/>
            <w:vAlign w:val="center"/>
          </w:tcPr>
          <w:p w14:paraId="14067BB2"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of CRIS.</w:t>
            </w:r>
          </w:p>
        </w:tc>
        <w:tc>
          <w:tcPr>
            <w:tcW w:w="2835" w:type="dxa"/>
            <w:shd w:val="clear" w:color="auto" w:fill="auto"/>
            <w:vAlign w:val="center"/>
          </w:tcPr>
          <w:p w14:paraId="57C40732" w14:textId="681C7E62"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1654F776"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1E606EDD" w14:textId="77777777" w:rsidTr="2098D1CA">
        <w:tc>
          <w:tcPr>
            <w:tcW w:w="1447" w:type="dxa"/>
            <w:shd w:val="clear" w:color="auto" w:fill="auto"/>
            <w:vAlign w:val="center"/>
          </w:tcPr>
          <w:p w14:paraId="05E871D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10/11/2019</w:t>
            </w:r>
          </w:p>
        </w:tc>
        <w:tc>
          <w:tcPr>
            <w:tcW w:w="2693" w:type="dxa"/>
            <w:shd w:val="clear" w:color="auto" w:fill="auto"/>
            <w:vAlign w:val="center"/>
          </w:tcPr>
          <w:p w14:paraId="4162F9FA"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2018-19.</w:t>
            </w:r>
          </w:p>
        </w:tc>
        <w:tc>
          <w:tcPr>
            <w:tcW w:w="2835" w:type="dxa"/>
            <w:shd w:val="clear" w:color="auto" w:fill="auto"/>
            <w:vAlign w:val="center"/>
          </w:tcPr>
          <w:p w14:paraId="4F33ED82" w14:textId="33AD1B45" w:rsidR="007E7879" w:rsidRPr="00580343" w:rsidRDefault="007E7879" w:rsidP="00CD66BE">
            <w:pPr>
              <w:spacing w:after="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162B837F" w14:textId="77777777" w:rsidR="007E7879" w:rsidRPr="00580343" w:rsidRDefault="007E7879" w:rsidP="003222A2">
            <w:pPr>
              <w:spacing w:after="60"/>
              <w:rPr>
                <w:rFonts w:asciiTheme="minorHAnsi" w:hAnsiTheme="minorHAnsi" w:cstheme="minorHAnsi"/>
                <w:sz w:val="22"/>
                <w:szCs w:val="20"/>
              </w:rPr>
            </w:pPr>
            <w:r w:rsidRPr="00580343">
              <w:rPr>
                <w:rFonts w:asciiTheme="minorHAnsi" w:hAnsiTheme="minorHAnsi" w:cstheme="minorHAnsi"/>
                <w:sz w:val="22"/>
                <w:szCs w:val="20"/>
              </w:rPr>
              <w:t>Update actual results and revised forward estimates</w:t>
            </w:r>
          </w:p>
        </w:tc>
      </w:tr>
      <w:tr w:rsidR="007E7879" w:rsidRPr="00580343" w14:paraId="361903F5" w14:textId="77777777" w:rsidTr="2098D1CA">
        <w:trPr>
          <w:trHeight w:val="948"/>
        </w:trPr>
        <w:tc>
          <w:tcPr>
            <w:tcW w:w="1447" w:type="dxa"/>
            <w:shd w:val="clear" w:color="auto" w:fill="auto"/>
            <w:vAlign w:val="center"/>
          </w:tcPr>
          <w:p w14:paraId="7489D1F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25/06/2020</w:t>
            </w:r>
          </w:p>
        </w:tc>
        <w:tc>
          <w:tcPr>
            <w:tcW w:w="2693" w:type="dxa"/>
            <w:shd w:val="clear" w:color="auto" w:fill="auto"/>
            <w:vAlign w:val="center"/>
          </w:tcPr>
          <w:p w14:paraId="664843EC" w14:textId="6A1A0822"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shd w:val="clear" w:color="auto" w:fill="auto"/>
            <w:vAlign w:val="center"/>
          </w:tcPr>
          <w:p w14:paraId="4B37D5BA" w14:textId="3C029108" w:rsidR="007E7879" w:rsidRPr="00580343" w:rsidRDefault="007E7879"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380F180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435379A6" w14:textId="77777777" w:rsidTr="2098D1CA">
        <w:trPr>
          <w:trHeight w:val="594"/>
        </w:trPr>
        <w:tc>
          <w:tcPr>
            <w:tcW w:w="1447" w:type="dxa"/>
            <w:shd w:val="clear" w:color="auto" w:fill="auto"/>
            <w:vAlign w:val="center"/>
          </w:tcPr>
          <w:p w14:paraId="78B991D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26/11/2021</w:t>
            </w:r>
          </w:p>
        </w:tc>
        <w:tc>
          <w:tcPr>
            <w:tcW w:w="2693" w:type="dxa"/>
            <w:shd w:val="clear" w:color="auto" w:fill="auto"/>
            <w:vAlign w:val="center"/>
          </w:tcPr>
          <w:p w14:paraId="021BC12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2019-20.</w:t>
            </w:r>
          </w:p>
        </w:tc>
        <w:tc>
          <w:tcPr>
            <w:tcW w:w="2835" w:type="dxa"/>
            <w:shd w:val="clear" w:color="auto" w:fill="auto"/>
            <w:vAlign w:val="center"/>
          </w:tcPr>
          <w:p w14:paraId="6A522735" w14:textId="58EC662A" w:rsidR="007E7879"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6CB6FEA2"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tc>
      </w:tr>
      <w:tr w:rsidR="007E7879" w:rsidRPr="00580343" w14:paraId="127772A2" w14:textId="77777777" w:rsidTr="2098D1CA">
        <w:tc>
          <w:tcPr>
            <w:tcW w:w="1447" w:type="dxa"/>
            <w:shd w:val="clear" w:color="auto" w:fill="auto"/>
            <w:vAlign w:val="center"/>
          </w:tcPr>
          <w:p w14:paraId="746EA54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19/05/2021</w:t>
            </w:r>
          </w:p>
        </w:tc>
        <w:tc>
          <w:tcPr>
            <w:tcW w:w="2693" w:type="dxa"/>
            <w:shd w:val="clear" w:color="auto" w:fill="auto"/>
            <w:vAlign w:val="center"/>
          </w:tcPr>
          <w:p w14:paraId="53C6812F" w14:textId="15DDBB1E"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shd w:val="clear" w:color="auto" w:fill="auto"/>
            <w:vAlign w:val="center"/>
          </w:tcPr>
          <w:p w14:paraId="7956F44C" w14:textId="0336A9CB" w:rsidR="007E7879"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17E6F5FC"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104A95DD" w14:textId="77777777" w:rsidTr="2098D1CA">
        <w:trPr>
          <w:trHeight w:val="1603"/>
        </w:trPr>
        <w:tc>
          <w:tcPr>
            <w:tcW w:w="1447" w:type="dxa"/>
            <w:shd w:val="clear" w:color="auto" w:fill="auto"/>
            <w:vAlign w:val="center"/>
          </w:tcPr>
          <w:p w14:paraId="0B75592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2"/>
              </w:rPr>
              <w:t>26/11/2021</w:t>
            </w:r>
          </w:p>
        </w:tc>
        <w:tc>
          <w:tcPr>
            <w:tcW w:w="2693" w:type="dxa"/>
            <w:shd w:val="clear" w:color="auto" w:fill="auto"/>
            <w:vAlign w:val="center"/>
          </w:tcPr>
          <w:p w14:paraId="2FEA6F75"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2020-21.  Revised forecast volumes and financial forecasts for 2021-22 to 2023-24 financial years.</w:t>
            </w:r>
          </w:p>
        </w:tc>
        <w:tc>
          <w:tcPr>
            <w:tcW w:w="2835" w:type="dxa"/>
            <w:shd w:val="clear" w:color="auto" w:fill="auto"/>
            <w:vAlign w:val="center"/>
          </w:tcPr>
          <w:p w14:paraId="7BAB2306" w14:textId="7535B835"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shd w:val="clear" w:color="auto" w:fill="auto"/>
            <w:vAlign w:val="center"/>
          </w:tcPr>
          <w:p w14:paraId="6F6BA94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 and revised forecast volumes</w:t>
            </w:r>
          </w:p>
        </w:tc>
      </w:tr>
      <w:tr w:rsidR="007E7879" w:rsidRPr="00580343" w14:paraId="73A17E81" w14:textId="77777777" w:rsidTr="2098D1CA">
        <w:trPr>
          <w:trHeight w:val="754"/>
        </w:trPr>
        <w:tc>
          <w:tcPr>
            <w:tcW w:w="1447" w:type="dxa"/>
            <w:tcBorders>
              <w:bottom w:val="single" w:sz="4" w:space="0" w:color="auto"/>
            </w:tcBorders>
            <w:shd w:val="clear" w:color="auto" w:fill="auto"/>
            <w:vAlign w:val="center"/>
          </w:tcPr>
          <w:p w14:paraId="1863FD41" w14:textId="77777777" w:rsidR="007E7879" w:rsidRPr="00580343" w:rsidRDefault="007E7879" w:rsidP="003222A2">
            <w:pPr>
              <w:spacing w:before="120" w:after="120"/>
              <w:rPr>
                <w:rFonts w:asciiTheme="minorHAnsi" w:hAnsiTheme="minorHAnsi" w:cstheme="minorHAnsi"/>
                <w:sz w:val="22"/>
                <w:szCs w:val="22"/>
              </w:rPr>
            </w:pPr>
            <w:r w:rsidRPr="00580343">
              <w:rPr>
                <w:rFonts w:asciiTheme="minorHAnsi" w:hAnsiTheme="minorHAnsi" w:cstheme="minorHAnsi"/>
                <w:sz w:val="22"/>
                <w:szCs w:val="22"/>
              </w:rPr>
              <w:t>28/06/2022</w:t>
            </w:r>
          </w:p>
        </w:tc>
        <w:tc>
          <w:tcPr>
            <w:tcW w:w="2693" w:type="dxa"/>
            <w:tcBorders>
              <w:bottom w:val="single" w:sz="4" w:space="0" w:color="auto"/>
            </w:tcBorders>
            <w:shd w:val="clear" w:color="auto" w:fill="auto"/>
            <w:vAlign w:val="center"/>
          </w:tcPr>
          <w:p w14:paraId="4EF76268" w14:textId="00BED808"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tcBorders>
              <w:bottom w:val="single" w:sz="4" w:space="0" w:color="auto"/>
            </w:tcBorders>
            <w:shd w:val="clear" w:color="auto" w:fill="auto"/>
            <w:vAlign w:val="center"/>
          </w:tcPr>
          <w:p w14:paraId="6E3E2DCB" w14:textId="19F95BD4" w:rsidR="007E7879" w:rsidRPr="00580343" w:rsidRDefault="00CD66BE"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bottom w:val="single" w:sz="4" w:space="0" w:color="auto"/>
            </w:tcBorders>
            <w:shd w:val="clear" w:color="auto" w:fill="auto"/>
            <w:vAlign w:val="center"/>
          </w:tcPr>
          <w:p w14:paraId="626FBC8E"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4D0433A2" w14:textId="77777777" w:rsidTr="2098D1CA">
        <w:trPr>
          <w:trHeight w:val="813"/>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2A5B4B3" w14:textId="7BC1CE62" w:rsidR="007E7879" w:rsidRPr="00580343" w:rsidRDefault="007E7879" w:rsidP="00996300">
            <w:pPr>
              <w:spacing w:before="120" w:after="120"/>
              <w:rPr>
                <w:rFonts w:asciiTheme="minorHAnsi" w:hAnsiTheme="minorHAnsi" w:cstheme="minorHAnsi"/>
                <w:sz w:val="22"/>
                <w:szCs w:val="22"/>
              </w:rPr>
            </w:pPr>
            <w:r w:rsidRPr="00580343">
              <w:rPr>
                <w:rFonts w:asciiTheme="minorHAnsi" w:hAnsiTheme="minorHAnsi" w:cstheme="minorHAnsi"/>
                <w:sz w:val="22"/>
                <w:szCs w:val="22"/>
              </w:rPr>
              <w:t>22/11/2022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EC8611" w14:textId="02D99D23" w:rsidR="007E7879" w:rsidRPr="00580343" w:rsidRDefault="007E7879" w:rsidP="00996300">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2021-22.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7BBC85" w14:textId="0114F0AE" w:rsidR="007E7879" w:rsidRPr="00580343" w:rsidRDefault="00CD66BE"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44FC0865"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p w14:paraId="13DAD40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70533CFF" w14:textId="77777777" w:rsidTr="2098D1CA">
        <w:trPr>
          <w:trHeight w:val="361"/>
        </w:trPr>
        <w:tc>
          <w:tcPr>
            <w:tcW w:w="1447" w:type="dxa"/>
            <w:tcBorders>
              <w:top w:val="single" w:sz="4" w:space="0" w:color="auto"/>
              <w:bottom w:val="single" w:sz="4" w:space="0" w:color="auto"/>
            </w:tcBorders>
            <w:shd w:val="clear" w:color="auto" w:fill="auto"/>
            <w:vAlign w:val="center"/>
          </w:tcPr>
          <w:p w14:paraId="17FE127F" w14:textId="4110230A" w:rsidR="007E7879" w:rsidRPr="00580343" w:rsidRDefault="00CD66BE" w:rsidP="00996300">
            <w:pPr>
              <w:spacing w:before="120" w:after="120"/>
              <w:rPr>
                <w:rFonts w:asciiTheme="minorHAnsi" w:hAnsiTheme="minorHAnsi" w:cstheme="minorHAnsi"/>
                <w:sz w:val="22"/>
                <w:szCs w:val="22"/>
              </w:rPr>
            </w:pPr>
            <w:r w:rsidRPr="00580343">
              <w:rPr>
                <w:rFonts w:asciiTheme="minorHAnsi" w:hAnsiTheme="minorHAnsi" w:cstheme="minorHAnsi"/>
                <w:sz w:val="22"/>
                <w:szCs w:val="22"/>
              </w:rPr>
              <w:t>13</w:t>
            </w:r>
            <w:r w:rsidR="007E7879" w:rsidRPr="00580343">
              <w:rPr>
                <w:rFonts w:asciiTheme="minorHAnsi" w:hAnsiTheme="minorHAnsi" w:cstheme="minorHAnsi"/>
                <w:sz w:val="22"/>
                <w:szCs w:val="22"/>
              </w:rPr>
              <w:t>/06/2023</w:t>
            </w:r>
          </w:p>
        </w:tc>
        <w:tc>
          <w:tcPr>
            <w:tcW w:w="2693" w:type="dxa"/>
            <w:tcBorders>
              <w:top w:val="single" w:sz="4" w:space="0" w:color="auto"/>
              <w:bottom w:val="single" w:sz="4" w:space="0" w:color="auto"/>
            </w:tcBorders>
            <w:shd w:val="clear" w:color="auto" w:fill="auto"/>
            <w:vAlign w:val="center"/>
          </w:tcPr>
          <w:p w14:paraId="091840F8" w14:textId="763C799B"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tcBorders>
              <w:top w:val="single" w:sz="4" w:space="0" w:color="auto"/>
              <w:bottom w:val="single" w:sz="4" w:space="0" w:color="auto"/>
            </w:tcBorders>
            <w:shd w:val="clear" w:color="auto" w:fill="auto"/>
            <w:vAlign w:val="center"/>
          </w:tcPr>
          <w:p w14:paraId="315D78EC" w14:textId="23085A26" w:rsidR="007E7879" w:rsidRPr="00580343" w:rsidRDefault="007E7879"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shd w:val="clear" w:color="auto" w:fill="auto"/>
            <w:vAlign w:val="center"/>
          </w:tcPr>
          <w:p w14:paraId="69F4D318"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CD66BE" w:rsidRPr="00580343" w14:paraId="02224C0B" w14:textId="77777777" w:rsidTr="2098D1CA">
        <w:trPr>
          <w:trHeight w:val="873"/>
        </w:trPr>
        <w:tc>
          <w:tcPr>
            <w:tcW w:w="1447" w:type="dxa"/>
            <w:tcBorders>
              <w:top w:val="single" w:sz="4" w:space="0" w:color="auto"/>
              <w:bottom w:val="single" w:sz="4" w:space="0" w:color="auto"/>
            </w:tcBorders>
            <w:shd w:val="clear" w:color="auto" w:fill="auto"/>
            <w:vAlign w:val="center"/>
          </w:tcPr>
          <w:p w14:paraId="794A2CBC" w14:textId="4EA51ED5" w:rsidR="00CD66BE" w:rsidRPr="00580343" w:rsidRDefault="00CD66BE" w:rsidP="00CD66BE">
            <w:pPr>
              <w:spacing w:before="120" w:after="120"/>
              <w:rPr>
                <w:rFonts w:asciiTheme="minorHAnsi" w:hAnsiTheme="minorHAnsi" w:cstheme="minorHAnsi"/>
                <w:sz w:val="22"/>
                <w:szCs w:val="22"/>
              </w:rPr>
            </w:pPr>
            <w:r w:rsidRPr="00580343">
              <w:rPr>
                <w:rFonts w:asciiTheme="minorHAnsi" w:hAnsiTheme="minorHAnsi" w:cstheme="minorHAnsi"/>
                <w:sz w:val="22"/>
                <w:szCs w:val="22"/>
              </w:rPr>
              <w:t>24/11/2023</w:t>
            </w:r>
          </w:p>
        </w:tc>
        <w:tc>
          <w:tcPr>
            <w:tcW w:w="2693" w:type="dxa"/>
            <w:tcBorders>
              <w:top w:val="single" w:sz="4" w:space="0" w:color="auto"/>
              <w:bottom w:val="single" w:sz="4" w:space="0" w:color="auto"/>
            </w:tcBorders>
            <w:shd w:val="clear" w:color="auto" w:fill="auto"/>
            <w:vAlign w:val="center"/>
          </w:tcPr>
          <w:p w14:paraId="2DA311A6" w14:textId="022604AF"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2022-23</w:t>
            </w:r>
          </w:p>
        </w:tc>
        <w:tc>
          <w:tcPr>
            <w:tcW w:w="2835" w:type="dxa"/>
            <w:tcBorders>
              <w:top w:val="single" w:sz="4" w:space="0" w:color="auto"/>
              <w:bottom w:val="single" w:sz="4" w:space="0" w:color="auto"/>
            </w:tcBorders>
            <w:shd w:val="clear" w:color="auto" w:fill="auto"/>
            <w:vAlign w:val="center"/>
          </w:tcPr>
          <w:p w14:paraId="63E8CFC4" w14:textId="768E5A83" w:rsidR="00CD66BE" w:rsidRPr="00580343" w:rsidRDefault="005B23E7" w:rsidP="00CD66BE">
            <w:pPr>
              <w:spacing w:before="120" w:after="120"/>
              <w:rPr>
                <w:rFonts w:asciiTheme="minorHAnsi" w:hAnsiTheme="minorHAnsi" w:cstheme="minorHAnsi"/>
                <w:sz w:val="22"/>
                <w:szCs w:val="20"/>
              </w:rPr>
            </w:pPr>
            <w:r>
              <w:rPr>
                <w:rFonts w:asciiTheme="minorHAnsi" w:hAnsiTheme="minorHAnsi" w:cstheme="minorHAnsi"/>
                <w:sz w:val="22"/>
                <w:szCs w:val="20"/>
              </w:rPr>
              <w:t xml:space="preserve">A/g </w:t>
            </w:r>
            <w:r w:rsidR="00CD66BE"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shd w:val="clear" w:color="auto" w:fill="auto"/>
            <w:vAlign w:val="center"/>
          </w:tcPr>
          <w:p w14:paraId="75777076" w14:textId="5DBA0AC5"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tc>
      </w:tr>
      <w:tr w:rsidR="00CD66BE" w:rsidRPr="00580343" w14:paraId="297E34F4" w14:textId="77777777" w:rsidTr="2098D1CA">
        <w:trPr>
          <w:trHeight w:val="363"/>
        </w:trPr>
        <w:tc>
          <w:tcPr>
            <w:tcW w:w="1447" w:type="dxa"/>
            <w:tcBorders>
              <w:top w:val="single" w:sz="4" w:space="0" w:color="auto"/>
              <w:bottom w:val="single" w:sz="4" w:space="0" w:color="auto"/>
            </w:tcBorders>
            <w:shd w:val="clear" w:color="auto" w:fill="auto"/>
            <w:vAlign w:val="center"/>
          </w:tcPr>
          <w:p w14:paraId="42CE7C36" w14:textId="36D75559" w:rsidR="00CD66BE" w:rsidRPr="00580343" w:rsidRDefault="00B9557D" w:rsidP="00CD66BE">
            <w:pPr>
              <w:spacing w:before="120" w:after="120"/>
              <w:rPr>
                <w:rFonts w:asciiTheme="minorHAnsi" w:hAnsiTheme="minorHAnsi" w:cstheme="minorHAnsi"/>
                <w:sz w:val="22"/>
                <w:szCs w:val="22"/>
              </w:rPr>
            </w:pPr>
            <w:r>
              <w:rPr>
                <w:rFonts w:asciiTheme="minorHAnsi" w:hAnsiTheme="minorHAnsi" w:cstheme="minorHAnsi"/>
                <w:sz w:val="22"/>
                <w:szCs w:val="22"/>
              </w:rPr>
              <w:lastRenderedPageBreak/>
              <w:t>20</w:t>
            </w:r>
            <w:r w:rsidR="00CD66BE" w:rsidRPr="00580343">
              <w:rPr>
                <w:rFonts w:asciiTheme="minorHAnsi" w:hAnsiTheme="minorHAnsi" w:cstheme="minorHAnsi"/>
                <w:sz w:val="22"/>
                <w:szCs w:val="22"/>
              </w:rPr>
              <w:t>/06/2024</w:t>
            </w:r>
          </w:p>
        </w:tc>
        <w:tc>
          <w:tcPr>
            <w:tcW w:w="2693" w:type="dxa"/>
            <w:tcBorders>
              <w:top w:val="single" w:sz="4" w:space="0" w:color="auto"/>
              <w:bottom w:val="single" w:sz="4" w:space="0" w:color="auto"/>
            </w:tcBorders>
            <w:shd w:val="clear" w:color="auto" w:fill="auto"/>
            <w:vAlign w:val="center"/>
          </w:tcPr>
          <w:p w14:paraId="067FEAF4" w14:textId="54C94F94"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p>
        </w:tc>
        <w:tc>
          <w:tcPr>
            <w:tcW w:w="2835" w:type="dxa"/>
            <w:tcBorders>
              <w:top w:val="single" w:sz="4" w:space="0" w:color="auto"/>
              <w:bottom w:val="single" w:sz="4" w:space="0" w:color="auto"/>
            </w:tcBorders>
            <w:shd w:val="clear" w:color="auto" w:fill="auto"/>
            <w:vAlign w:val="center"/>
          </w:tcPr>
          <w:p w14:paraId="7465431E" w14:textId="78F16B7B" w:rsidR="00CD66BE" w:rsidRPr="00580343" w:rsidRDefault="005B23E7" w:rsidP="00CD66BE">
            <w:pPr>
              <w:spacing w:before="120" w:after="120"/>
              <w:rPr>
                <w:rFonts w:asciiTheme="minorHAnsi" w:hAnsiTheme="minorHAnsi" w:cstheme="minorHAnsi"/>
                <w:sz w:val="22"/>
                <w:szCs w:val="20"/>
              </w:rPr>
            </w:pPr>
            <w:r>
              <w:rPr>
                <w:rFonts w:asciiTheme="minorHAnsi" w:hAnsiTheme="minorHAnsi" w:cstheme="minorHAnsi"/>
                <w:sz w:val="22"/>
                <w:szCs w:val="20"/>
              </w:rPr>
              <w:t xml:space="preserve">A/g </w:t>
            </w:r>
            <w:r w:rsidR="00CD66BE"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shd w:val="clear" w:color="auto" w:fill="auto"/>
            <w:vAlign w:val="center"/>
          </w:tcPr>
          <w:p w14:paraId="6BCCC3BE" w14:textId="14A480EE"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2C28BD" w:rsidRPr="00580343" w14:paraId="12AC17E6" w14:textId="77777777" w:rsidTr="00BF0BE3">
        <w:trPr>
          <w:trHeight w:val="363"/>
        </w:trPr>
        <w:tc>
          <w:tcPr>
            <w:tcW w:w="1447" w:type="dxa"/>
            <w:tcBorders>
              <w:top w:val="single" w:sz="4" w:space="0" w:color="auto"/>
              <w:bottom w:val="single" w:sz="4" w:space="0" w:color="auto"/>
            </w:tcBorders>
            <w:shd w:val="clear" w:color="auto" w:fill="auto"/>
            <w:vAlign w:val="center"/>
          </w:tcPr>
          <w:p w14:paraId="209F358F" w14:textId="19E6C059" w:rsidR="002C28BD" w:rsidRDefault="00837736" w:rsidP="002C28BD">
            <w:pPr>
              <w:spacing w:before="120" w:after="120"/>
              <w:rPr>
                <w:rFonts w:cstheme="minorHAnsi"/>
                <w:sz w:val="22"/>
                <w:szCs w:val="22"/>
              </w:rPr>
            </w:pPr>
            <w:r>
              <w:rPr>
                <w:rFonts w:asciiTheme="minorHAnsi" w:hAnsiTheme="minorHAnsi" w:cstheme="minorHAnsi"/>
                <w:sz w:val="22"/>
                <w:szCs w:val="22"/>
              </w:rPr>
              <w:t>15</w:t>
            </w:r>
            <w:r w:rsidR="002C28BD" w:rsidRPr="00580343">
              <w:rPr>
                <w:rFonts w:asciiTheme="minorHAnsi" w:hAnsiTheme="minorHAnsi" w:cstheme="minorHAnsi"/>
                <w:sz w:val="22"/>
                <w:szCs w:val="22"/>
              </w:rPr>
              <w:t>/11/202</w:t>
            </w:r>
            <w:r w:rsidR="002C28BD">
              <w:rPr>
                <w:rFonts w:asciiTheme="minorHAnsi" w:hAnsiTheme="minorHAnsi" w:cstheme="minorHAnsi"/>
                <w:sz w:val="22"/>
                <w:szCs w:val="22"/>
              </w:rPr>
              <w:t>4</w:t>
            </w:r>
          </w:p>
        </w:tc>
        <w:tc>
          <w:tcPr>
            <w:tcW w:w="2693" w:type="dxa"/>
            <w:tcBorders>
              <w:top w:val="single" w:sz="4" w:space="0" w:color="auto"/>
              <w:bottom w:val="single" w:sz="4" w:space="0" w:color="auto"/>
            </w:tcBorders>
            <w:shd w:val="clear" w:color="auto" w:fill="auto"/>
            <w:vAlign w:val="center"/>
          </w:tcPr>
          <w:p w14:paraId="16D6772F" w14:textId="3E7E1D3C"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Update of actual results for 202</w:t>
            </w:r>
            <w:r>
              <w:rPr>
                <w:rFonts w:asciiTheme="minorHAnsi" w:hAnsiTheme="minorHAnsi" w:cstheme="minorHAnsi"/>
                <w:sz w:val="22"/>
                <w:szCs w:val="20"/>
              </w:rPr>
              <w:t>3</w:t>
            </w:r>
            <w:r w:rsidRPr="00580343">
              <w:rPr>
                <w:rFonts w:asciiTheme="minorHAnsi" w:hAnsiTheme="minorHAnsi" w:cstheme="minorHAnsi"/>
                <w:sz w:val="22"/>
                <w:szCs w:val="20"/>
              </w:rPr>
              <w:t>-2</w:t>
            </w:r>
            <w:r>
              <w:rPr>
                <w:rFonts w:asciiTheme="minorHAnsi" w:hAnsiTheme="minorHAnsi" w:cstheme="minorHAnsi"/>
                <w:sz w:val="22"/>
                <w:szCs w:val="20"/>
              </w:rPr>
              <w:t>4</w:t>
            </w:r>
          </w:p>
        </w:tc>
        <w:tc>
          <w:tcPr>
            <w:tcW w:w="2835" w:type="dxa"/>
            <w:tcBorders>
              <w:top w:val="single" w:sz="4" w:space="0" w:color="auto"/>
              <w:bottom w:val="single" w:sz="4" w:space="0" w:color="auto"/>
            </w:tcBorders>
            <w:shd w:val="clear" w:color="auto" w:fill="auto"/>
            <w:vAlign w:val="center"/>
          </w:tcPr>
          <w:p w14:paraId="3CA6FD72" w14:textId="59FBAE52"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shd w:val="clear" w:color="auto" w:fill="auto"/>
            <w:vAlign w:val="center"/>
          </w:tcPr>
          <w:p w14:paraId="6D55E12B" w14:textId="794107CF"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Update actual results</w:t>
            </w:r>
          </w:p>
        </w:tc>
      </w:tr>
      <w:tr w:rsidR="003A0255" w:rsidRPr="00580343" w14:paraId="67ABE791" w14:textId="77777777" w:rsidTr="2098D1CA">
        <w:trPr>
          <w:trHeight w:val="363"/>
        </w:trPr>
        <w:tc>
          <w:tcPr>
            <w:tcW w:w="1447" w:type="dxa"/>
            <w:tcBorders>
              <w:top w:val="single" w:sz="4" w:space="0" w:color="auto"/>
            </w:tcBorders>
            <w:shd w:val="clear" w:color="auto" w:fill="auto"/>
            <w:vAlign w:val="center"/>
          </w:tcPr>
          <w:p w14:paraId="3A0CAA2B" w14:textId="37809476" w:rsidR="003A0255" w:rsidRDefault="0093439F" w:rsidP="003A0255">
            <w:pPr>
              <w:spacing w:before="120" w:after="120"/>
              <w:rPr>
                <w:rFonts w:cstheme="minorHAnsi"/>
                <w:sz w:val="22"/>
                <w:szCs w:val="22"/>
              </w:rPr>
            </w:pPr>
            <w:r w:rsidRPr="0093439F">
              <w:rPr>
                <w:rFonts w:asciiTheme="minorHAnsi" w:hAnsiTheme="minorHAnsi" w:cstheme="minorHAnsi"/>
                <w:sz w:val="22"/>
                <w:szCs w:val="22"/>
              </w:rPr>
              <w:t>09/06/2025</w:t>
            </w:r>
          </w:p>
        </w:tc>
        <w:tc>
          <w:tcPr>
            <w:tcW w:w="2693" w:type="dxa"/>
            <w:tcBorders>
              <w:top w:val="single" w:sz="4" w:space="0" w:color="auto"/>
            </w:tcBorders>
            <w:shd w:val="clear" w:color="auto" w:fill="auto"/>
            <w:vAlign w:val="center"/>
          </w:tcPr>
          <w:p w14:paraId="12E8FEED" w14:textId="522E0B79"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 xml:space="preserve">Annual update of CRIS and application fee </w:t>
            </w:r>
            <w:r>
              <w:rPr>
                <w:rFonts w:asciiTheme="minorHAnsi" w:hAnsiTheme="minorHAnsi" w:cstheme="minorHAnsi"/>
                <w:sz w:val="22"/>
                <w:szCs w:val="20"/>
              </w:rPr>
              <w:t>adjustment</w:t>
            </w:r>
          </w:p>
        </w:tc>
        <w:tc>
          <w:tcPr>
            <w:tcW w:w="2835" w:type="dxa"/>
            <w:tcBorders>
              <w:top w:val="single" w:sz="4" w:space="0" w:color="auto"/>
            </w:tcBorders>
            <w:shd w:val="clear" w:color="auto" w:fill="auto"/>
            <w:vAlign w:val="center"/>
          </w:tcPr>
          <w:p w14:paraId="0F8892A2" w14:textId="7ED8AE93"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Pr>
                <w:rFonts w:asciiTheme="minorHAnsi" w:hAnsiTheme="minorHAnsi" w:cstheme="minorHAnsi"/>
                <w:sz w:val="22"/>
                <w:szCs w:val="20"/>
              </w:rPr>
              <w:t>Department</w:t>
            </w:r>
            <w:r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tcBorders>
            <w:shd w:val="clear" w:color="auto" w:fill="auto"/>
            <w:vAlign w:val="center"/>
          </w:tcPr>
          <w:p w14:paraId="056DFDBD" w14:textId="2BC4F5D0"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Annual update and review</w:t>
            </w:r>
          </w:p>
        </w:tc>
      </w:tr>
      <w:bookmarkEnd w:id="15"/>
    </w:tbl>
    <w:p w14:paraId="4B8BB70A" w14:textId="77777777" w:rsidR="00EF1087" w:rsidRPr="00580343" w:rsidRDefault="00EF1087" w:rsidP="007E7879">
      <w:pPr>
        <w:tabs>
          <w:tab w:val="left" w:pos="1982"/>
        </w:tabs>
        <w:rPr>
          <w:rFonts w:cstheme="minorHAnsi"/>
          <w:sz w:val="22"/>
          <w:szCs w:val="22"/>
        </w:rPr>
      </w:pPr>
    </w:p>
    <w:sectPr w:rsidR="00EF1087" w:rsidRPr="00580343" w:rsidSect="00491DD8">
      <w:footerReference w:type="default" r:id="rId15"/>
      <w:headerReference w:type="first" r:id="rId16"/>
      <w:pgSz w:w="11907" w:h="16839" w:code="9"/>
      <w:pgMar w:top="851" w:right="1417"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744E" w14:textId="77777777" w:rsidR="00063D98" w:rsidRDefault="00063D98" w:rsidP="008B679D">
      <w:r>
        <w:separator/>
      </w:r>
    </w:p>
  </w:endnote>
  <w:endnote w:type="continuationSeparator" w:id="0">
    <w:p w14:paraId="565412C0" w14:textId="77777777" w:rsidR="00063D98" w:rsidRDefault="00063D98" w:rsidP="008B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709867"/>
      <w:docPartObj>
        <w:docPartGallery w:val="Page Numbers (Bottom of Page)"/>
        <w:docPartUnique/>
      </w:docPartObj>
    </w:sdtPr>
    <w:sdtContent>
      <w:sdt>
        <w:sdtPr>
          <w:id w:val="860082579"/>
          <w:docPartObj>
            <w:docPartGallery w:val="Page Numbers (Top of Page)"/>
            <w:docPartUnique/>
          </w:docPartObj>
        </w:sdtPr>
        <w:sdtContent>
          <w:p w14:paraId="438593CB" w14:textId="77777777" w:rsidR="009D57FA" w:rsidRDefault="009D57FA" w:rsidP="00391F88">
            <w:pPr>
              <w:pStyle w:val="Footer"/>
              <w:jc w:val="right"/>
            </w:pPr>
            <w:r>
              <w:t xml:space="preserve">Page </w:t>
            </w:r>
            <w:r>
              <w:rPr>
                <w:b/>
                <w:bCs/>
              </w:rPr>
              <w:fldChar w:fldCharType="begin"/>
            </w:r>
            <w:r>
              <w:rPr>
                <w:b/>
                <w:bCs/>
              </w:rPr>
              <w:instrText xml:space="preserve"> PAGE </w:instrText>
            </w:r>
            <w:r>
              <w:rPr>
                <w:b/>
                <w:bCs/>
              </w:rPr>
              <w:fldChar w:fldCharType="separate"/>
            </w:r>
            <w:r w:rsidR="001E57B8">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1E57B8">
              <w:rPr>
                <w:b/>
                <w:bCs/>
                <w:noProof/>
              </w:rPr>
              <w:t>8</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67A2" w14:textId="77777777" w:rsidR="00063D98" w:rsidRDefault="00063D98" w:rsidP="008B679D">
      <w:r>
        <w:separator/>
      </w:r>
    </w:p>
  </w:footnote>
  <w:footnote w:type="continuationSeparator" w:id="0">
    <w:p w14:paraId="347CC766" w14:textId="77777777" w:rsidR="00063D98" w:rsidRDefault="00063D98" w:rsidP="008B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99D" w14:textId="0272C396" w:rsidR="00955F98" w:rsidRDefault="00955F98" w:rsidP="00400C30">
    <w:pPr>
      <w:pStyle w:val="Header"/>
      <w:jc w:val="center"/>
    </w:pPr>
    <w:r w:rsidRPr="00955F98">
      <w:rPr>
        <w:noProof/>
      </w:rPr>
      <w:drawing>
        <wp:inline distT="0" distB="0" distL="0" distR="0" wp14:anchorId="5A5BA688" wp14:editId="66CBD652">
          <wp:extent cx="1746000" cy="1373216"/>
          <wp:effectExtent l="0" t="0" r="6985" b="0"/>
          <wp:docPr id="136683891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8911"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000" cy="1373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22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266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2E2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25C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0D1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60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0B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C4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44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743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D49"/>
    <w:multiLevelType w:val="hybridMultilevel"/>
    <w:tmpl w:val="B984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5272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7A00E94"/>
    <w:multiLevelType w:val="hybridMultilevel"/>
    <w:tmpl w:val="F534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9022C9"/>
    <w:multiLevelType w:val="hybridMultilevel"/>
    <w:tmpl w:val="5906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60041"/>
    <w:multiLevelType w:val="multilevel"/>
    <w:tmpl w:val="D9DEC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827387"/>
    <w:multiLevelType w:val="hybridMultilevel"/>
    <w:tmpl w:val="8C10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B5FED"/>
    <w:multiLevelType w:val="hybridMultilevel"/>
    <w:tmpl w:val="5622E43E"/>
    <w:lvl w:ilvl="0" w:tplc="209A1E22">
      <w:start w:val="6"/>
      <w:numFmt w:val="bullet"/>
      <w:lvlText w:val=""/>
      <w:lvlJc w:val="left"/>
      <w:pPr>
        <w:ind w:left="720" w:hanging="360"/>
      </w:pPr>
      <w:rPr>
        <w:rFonts w:ascii="Symbol" w:eastAsia="Times New Roman" w:hAnsi="Symbol" w:cstheme="minorHAnsi"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5779FC"/>
    <w:multiLevelType w:val="multilevel"/>
    <w:tmpl w:val="11E49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FBC3586"/>
    <w:multiLevelType w:val="hybridMultilevel"/>
    <w:tmpl w:val="77EC2C6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F90BE0"/>
    <w:multiLevelType w:val="multilevel"/>
    <w:tmpl w:val="6F66FA7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BF4381D"/>
    <w:multiLevelType w:val="hybridMultilevel"/>
    <w:tmpl w:val="F98AD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3F02DB"/>
    <w:multiLevelType w:val="hybridMultilevel"/>
    <w:tmpl w:val="98A6B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97194"/>
    <w:multiLevelType w:val="hybridMultilevel"/>
    <w:tmpl w:val="8BF823BA"/>
    <w:lvl w:ilvl="0" w:tplc="4C389820">
      <w:numFmt w:val="bullet"/>
      <w:lvlText w:val=""/>
      <w:lvlJc w:val="left"/>
      <w:pPr>
        <w:ind w:left="720" w:hanging="360"/>
      </w:pPr>
      <w:rPr>
        <w:rFonts w:ascii="Symbol" w:eastAsia="Times New Roman" w:hAnsi="Symbol" w:cs="Calibri"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7F520A"/>
    <w:multiLevelType w:val="multilevel"/>
    <w:tmpl w:val="1C6E0C2E"/>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5" w15:restartNumberingAfterBreak="0">
    <w:nsid w:val="74A650A2"/>
    <w:multiLevelType w:val="hybridMultilevel"/>
    <w:tmpl w:val="3CC8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602C5"/>
    <w:multiLevelType w:val="hybridMultilevel"/>
    <w:tmpl w:val="BE54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E52626"/>
    <w:multiLevelType w:val="multilevel"/>
    <w:tmpl w:val="901AC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648DB"/>
    <w:multiLevelType w:val="multilevel"/>
    <w:tmpl w:val="238898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88910715">
    <w:abstractNumId w:val="28"/>
  </w:num>
  <w:num w:numId="2" w16cid:durableId="1894196636">
    <w:abstractNumId w:val="16"/>
  </w:num>
  <w:num w:numId="3" w16cid:durableId="1260333410">
    <w:abstractNumId w:val="10"/>
  </w:num>
  <w:num w:numId="4" w16cid:durableId="297612320">
    <w:abstractNumId w:val="12"/>
  </w:num>
  <w:num w:numId="5" w16cid:durableId="1274746604">
    <w:abstractNumId w:val="22"/>
  </w:num>
  <w:num w:numId="6" w16cid:durableId="1503593146">
    <w:abstractNumId w:val="27"/>
  </w:num>
  <w:num w:numId="7" w16cid:durableId="581455971">
    <w:abstractNumId w:val="14"/>
  </w:num>
  <w:num w:numId="8" w16cid:durableId="527840333">
    <w:abstractNumId w:val="24"/>
  </w:num>
  <w:num w:numId="9" w16cid:durableId="2114520382">
    <w:abstractNumId w:val="20"/>
  </w:num>
  <w:num w:numId="10" w16cid:durableId="235478603">
    <w:abstractNumId w:val="18"/>
  </w:num>
  <w:num w:numId="11" w16cid:durableId="1496802058">
    <w:abstractNumId w:val="25"/>
  </w:num>
  <w:num w:numId="12" w16cid:durableId="556864914">
    <w:abstractNumId w:val="13"/>
  </w:num>
  <w:num w:numId="13" w16cid:durableId="1444963101">
    <w:abstractNumId w:val="15"/>
  </w:num>
  <w:num w:numId="14" w16cid:durableId="1574121091">
    <w:abstractNumId w:val="20"/>
  </w:num>
  <w:num w:numId="15" w16cid:durableId="2011834718">
    <w:abstractNumId w:val="21"/>
  </w:num>
  <w:num w:numId="16" w16cid:durableId="91709126">
    <w:abstractNumId w:val="19"/>
  </w:num>
  <w:num w:numId="17" w16cid:durableId="1055472946">
    <w:abstractNumId w:val="23"/>
  </w:num>
  <w:num w:numId="18" w16cid:durableId="1342581336">
    <w:abstractNumId w:val="9"/>
  </w:num>
  <w:num w:numId="19" w16cid:durableId="124784891">
    <w:abstractNumId w:val="7"/>
  </w:num>
  <w:num w:numId="20" w16cid:durableId="1887134948">
    <w:abstractNumId w:val="6"/>
  </w:num>
  <w:num w:numId="21" w16cid:durableId="129709237">
    <w:abstractNumId w:val="5"/>
  </w:num>
  <w:num w:numId="22" w16cid:durableId="427891877">
    <w:abstractNumId w:val="4"/>
  </w:num>
  <w:num w:numId="23" w16cid:durableId="2051875865">
    <w:abstractNumId w:val="8"/>
  </w:num>
  <w:num w:numId="24" w16cid:durableId="1513687157">
    <w:abstractNumId w:val="3"/>
  </w:num>
  <w:num w:numId="25" w16cid:durableId="1336300095">
    <w:abstractNumId w:val="2"/>
  </w:num>
  <w:num w:numId="26" w16cid:durableId="2055302736">
    <w:abstractNumId w:val="1"/>
  </w:num>
  <w:num w:numId="27" w16cid:durableId="1517160669">
    <w:abstractNumId w:val="0"/>
  </w:num>
  <w:num w:numId="28" w16cid:durableId="1399858947">
    <w:abstractNumId w:val="20"/>
  </w:num>
  <w:num w:numId="29" w16cid:durableId="2050107117">
    <w:abstractNumId w:val="20"/>
  </w:num>
  <w:num w:numId="30" w16cid:durableId="526715707">
    <w:abstractNumId w:val="17"/>
  </w:num>
  <w:num w:numId="31" w16cid:durableId="1865627400">
    <w:abstractNumId w:val="20"/>
  </w:num>
  <w:num w:numId="32" w16cid:durableId="430510794">
    <w:abstractNumId w:val="20"/>
  </w:num>
  <w:num w:numId="33" w16cid:durableId="440149233">
    <w:abstractNumId w:val="20"/>
    <w:lvlOverride w:ilvl="0">
      <w:startOverride w:val="1"/>
    </w:lvlOverride>
  </w:num>
  <w:num w:numId="34" w16cid:durableId="1924296053">
    <w:abstractNumId w:val="20"/>
  </w:num>
  <w:num w:numId="35" w16cid:durableId="224144210">
    <w:abstractNumId w:val="20"/>
  </w:num>
  <w:num w:numId="36" w16cid:durableId="1904753142">
    <w:abstractNumId w:val="20"/>
    <w:lvlOverride w:ilvl="0">
      <w:startOverride w:val="9"/>
    </w:lvlOverride>
  </w:num>
  <w:num w:numId="37" w16cid:durableId="2049328746">
    <w:abstractNumId w:val="20"/>
  </w:num>
  <w:num w:numId="38" w16cid:durableId="1172143185">
    <w:abstractNumId w:val="20"/>
  </w:num>
  <w:num w:numId="39" w16cid:durableId="900864734">
    <w:abstractNumId w:val="20"/>
    <w:lvlOverride w:ilvl="0">
      <w:startOverride w:val="1"/>
    </w:lvlOverride>
  </w:num>
  <w:num w:numId="40" w16cid:durableId="431708279">
    <w:abstractNumId w:val="20"/>
    <w:lvlOverride w:ilvl="0">
      <w:startOverride w:val="1"/>
    </w:lvlOverride>
  </w:num>
  <w:num w:numId="41" w16cid:durableId="374744629">
    <w:abstractNumId w:val="26"/>
  </w:num>
  <w:num w:numId="42" w16cid:durableId="349258462">
    <w:abstractNumId w:val="20"/>
  </w:num>
  <w:num w:numId="43" w16cid:durableId="2064399188">
    <w:abstractNumId w:val="20"/>
  </w:num>
  <w:num w:numId="44" w16cid:durableId="998584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9D"/>
    <w:rsid w:val="00000339"/>
    <w:rsid w:val="00001588"/>
    <w:rsid w:val="00001A7B"/>
    <w:rsid w:val="000032EE"/>
    <w:rsid w:val="00006CAB"/>
    <w:rsid w:val="00007B9A"/>
    <w:rsid w:val="000126B8"/>
    <w:rsid w:val="0001276F"/>
    <w:rsid w:val="0001668C"/>
    <w:rsid w:val="000170BD"/>
    <w:rsid w:val="00026D0A"/>
    <w:rsid w:val="0002718A"/>
    <w:rsid w:val="00030F94"/>
    <w:rsid w:val="00032DCB"/>
    <w:rsid w:val="00033DB6"/>
    <w:rsid w:val="0004136F"/>
    <w:rsid w:val="00042C9A"/>
    <w:rsid w:val="000458CC"/>
    <w:rsid w:val="00045A42"/>
    <w:rsid w:val="000467F4"/>
    <w:rsid w:val="00047FB6"/>
    <w:rsid w:val="000521EA"/>
    <w:rsid w:val="0005223D"/>
    <w:rsid w:val="000525B4"/>
    <w:rsid w:val="0005303F"/>
    <w:rsid w:val="00054D7A"/>
    <w:rsid w:val="00057F17"/>
    <w:rsid w:val="00062D10"/>
    <w:rsid w:val="0006382B"/>
    <w:rsid w:val="00063D98"/>
    <w:rsid w:val="00064BEC"/>
    <w:rsid w:val="000679ED"/>
    <w:rsid w:val="00067E97"/>
    <w:rsid w:val="00072970"/>
    <w:rsid w:val="00073226"/>
    <w:rsid w:val="00074A30"/>
    <w:rsid w:val="00074C45"/>
    <w:rsid w:val="00076936"/>
    <w:rsid w:val="00080B3E"/>
    <w:rsid w:val="00087A76"/>
    <w:rsid w:val="00092CC6"/>
    <w:rsid w:val="00093DA0"/>
    <w:rsid w:val="000A2E2B"/>
    <w:rsid w:val="000A3C3C"/>
    <w:rsid w:val="000A422C"/>
    <w:rsid w:val="000A6FA2"/>
    <w:rsid w:val="000B00B1"/>
    <w:rsid w:val="000B03A0"/>
    <w:rsid w:val="000B3871"/>
    <w:rsid w:val="000B4500"/>
    <w:rsid w:val="000C2D62"/>
    <w:rsid w:val="000D4AC6"/>
    <w:rsid w:val="000D4DA6"/>
    <w:rsid w:val="000D65A5"/>
    <w:rsid w:val="000E5C90"/>
    <w:rsid w:val="000E5F02"/>
    <w:rsid w:val="000E68B4"/>
    <w:rsid w:val="000F2337"/>
    <w:rsid w:val="000F3C5C"/>
    <w:rsid w:val="000F401E"/>
    <w:rsid w:val="000F681B"/>
    <w:rsid w:val="001008AA"/>
    <w:rsid w:val="00101163"/>
    <w:rsid w:val="0010181F"/>
    <w:rsid w:val="00101A95"/>
    <w:rsid w:val="001029DF"/>
    <w:rsid w:val="001052B4"/>
    <w:rsid w:val="00106185"/>
    <w:rsid w:val="00106F93"/>
    <w:rsid w:val="00107407"/>
    <w:rsid w:val="00111001"/>
    <w:rsid w:val="00111EB6"/>
    <w:rsid w:val="00113386"/>
    <w:rsid w:val="00115783"/>
    <w:rsid w:val="001200B9"/>
    <w:rsid w:val="00124196"/>
    <w:rsid w:val="00125C13"/>
    <w:rsid w:val="0013107E"/>
    <w:rsid w:val="0013339C"/>
    <w:rsid w:val="00137622"/>
    <w:rsid w:val="00143AA2"/>
    <w:rsid w:val="001449EF"/>
    <w:rsid w:val="00147FF2"/>
    <w:rsid w:val="001506AA"/>
    <w:rsid w:val="00154BC3"/>
    <w:rsid w:val="0016712E"/>
    <w:rsid w:val="00167323"/>
    <w:rsid w:val="00170EF9"/>
    <w:rsid w:val="0017207A"/>
    <w:rsid w:val="001723EF"/>
    <w:rsid w:val="001734BA"/>
    <w:rsid w:val="00175CB3"/>
    <w:rsid w:val="001826EC"/>
    <w:rsid w:val="00183D20"/>
    <w:rsid w:val="001844FE"/>
    <w:rsid w:val="001911AE"/>
    <w:rsid w:val="00197648"/>
    <w:rsid w:val="001A2E68"/>
    <w:rsid w:val="001A40FD"/>
    <w:rsid w:val="001A436C"/>
    <w:rsid w:val="001A473F"/>
    <w:rsid w:val="001A71E6"/>
    <w:rsid w:val="001A7C52"/>
    <w:rsid w:val="001B0211"/>
    <w:rsid w:val="001B06E6"/>
    <w:rsid w:val="001B79ED"/>
    <w:rsid w:val="001C2990"/>
    <w:rsid w:val="001D0BD7"/>
    <w:rsid w:val="001D1173"/>
    <w:rsid w:val="001D1A29"/>
    <w:rsid w:val="001D55C1"/>
    <w:rsid w:val="001E208F"/>
    <w:rsid w:val="001E4AF2"/>
    <w:rsid w:val="001E57B8"/>
    <w:rsid w:val="001F00D0"/>
    <w:rsid w:val="001F10A3"/>
    <w:rsid w:val="001F10DA"/>
    <w:rsid w:val="001F4FD1"/>
    <w:rsid w:val="001F73AE"/>
    <w:rsid w:val="00205906"/>
    <w:rsid w:val="00207ACC"/>
    <w:rsid w:val="00210184"/>
    <w:rsid w:val="00212954"/>
    <w:rsid w:val="00213908"/>
    <w:rsid w:val="0021562C"/>
    <w:rsid w:val="00216E0C"/>
    <w:rsid w:val="002202F4"/>
    <w:rsid w:val="00223553"/>
    <w:rsid w:val="00225415"/>
    <w:rsid w:val="00230045"/>
    <w:rsid w:val="00231BCE"/>
    <w:rsid w:val="00235C26"/>
    <w:rsid w:val="00236122"/>
    <w:rsid w:val="00236B24"/>
    <w:rsid w:val="00242102"/>
    <w:rsid w:val="002451A5"/>
    <w:rsid w:val="0024563F"/>
    <w:rsid w:val="00245DA7"/>
    <w:rsid w:val="002470AB"/>
    <w:rsid w:val="00247FF2"/>
    <w:rsid w:val="002505EF"/>
    <w:rsid w:val="00250D71"/>
    <w:rsid w:val="00252D3A"/>
    <w:rsid w:val="0025338F"/>
    <w:rsid w:val="00253966"/>
    <w:rsid w:val="0025617E"/>
    <w:rsid w:val="002601D1"/>
    <w:rsid w:val="0027444F"/>
    <w:rsid w:val="002767CE"/>
    <w:rsid w:val="002805DD"/>
    <w:rsid w:val="00283C39"/>
    <w:rsid w:val="00283C6A"/>
    <w:rsid w:val="00284234"/>
    <w:rsid w:val="00284763"/>
    <w:rsid w:val="00285AEC"/>
    <w:rsid w:val="00285F10"/>
    <w:rsid w:val="002927AE"/>
    <w:rsid w:val="0029498D"/>
    <w:rsid w:val="002A0ECA"/>
    <w:rsid w:val="002A2541"/>
    <w:rsid w:val="002B38C9"/>
    <w:rsid w:val="002B4B21"/>
    <w:rsid w:val="002B727A"/>
    <w:rsid w:val="002C1FE4"/>
    <w:rsid w:val="002C28BD"/>
    <w:rsid w:val="002C450F"/>
    <w:rsid w:val="002C5D92"/>
    <w:rsid w:val="002D0175"/>
    <w:rsid w:val="002D3194"/>
    <w:rsid w:val="002D55B9"/>
    <w:rsid w:val="002D5B2F"/>
    <w:rsid w:val="002D64FB"/>
    <w:rsid w:val="002E3AC6"/>
    <w:rsid w:val="002E4C0A"/>
    <w:rsid w:val="002E6151"/>
    <w:rsid w:val="002F0754"/>
    <w:rsid w:val="002F09BD"/>
    <w:rsid w:val="002F2431"/>
    <w:rsid w:val="002F36D5"/>
    <w:rsid w:val="002F4F86"/>
    <w:rsid w:val="002F6343"/>
    <w:rsid w:val="003010DB"/>
    <w:rsid w:val="0030399A"/>
    <w:rsid w:val="003066B3"/>
    <w:rsid w:val="003115A0"/>
    <w:rsid w:val="003130A3"/>
    <w:rsid w:val="00314066"/>
    <w:rsid w:val="00315FA8"/>
    <w:rsid w:val="00316A15"/>
    <w:rsid w:val="00331DB0"/>
    <w:rsid w:val="00332675"/>
    <w:rsid w:val="00334139"/>
    <w:rsid w:val="0033561D"/>
    <w:rsid w:val="0033702C"/>
    <w:rsid w:val="003377DD"/>
    <w:rsid w:val="003408B0"/>
    <w:rsid w:val="003434ED"/>
    <w:rsid w:val="00344E86"/>
    <w:rsid w:val="003451BC"/>
    <w:rsid w:val="0035238D"/>
    <w:rsid w:val="00352391"/>
    <w:rsid w:val="00352EAF"/>
    <w:rsid w:val="0035598F"/>
    <w:rsid w:val="00355C27"/>
    <w:rsid w:val="00364F24"/>
    <w:rsid w:val="0036672F"/>
    <w:rsid w:val="00366F16"/>
    <w:rsid w:val="00366FC4"/>
    <w:rsid w:val="00367B86"/>
    <w:rsid w:val="00372BEA"/>
    <w:rsid w:val="00380E8C"/>
    <w:rsid w:val="00382CB1"/>
    <w:rsid w:val="00384A9A"/>
    <w:rsid w:val="00384E9E"/>
    <w:rsid w:val="00386592"/>
    <w:rsid w:val="003869A3"/>
    <w:rsid w:val="00387E94"/>
    <w:rsid w:val="003915D0"/>
    <w:rsid w:val="003917D5"/>
    <w:rsid w:val="00391F88"/>
    <w:rsid w:val="003A0255"/>
    <w:rsid w:val="003A27A7"/>
    <w:rsid w:val="003A392B"/>
    <w:rsid w:val="003A662F"/>
    <w:rsid w:val="003A68BF"/>
    <w:rsid w:val="003B1BC7"/>
    <w:rsid w:val="003B2141"/>
    <w:rsid w:val="003B4085"/>
    <w:rsid w:val="003B57E7"/>
    <w:rsid w:val="003B65F5"/>
    <w:rsid w:val="003C07F3"/>
    <w:rsid w:val="003C0D81"/>
    <w:rsid w:val="003C16AD"/>
    <w:rsid w:val="003C246E"/>
    <w:rsid w:val="003C3694"/>
    <w:rsid w:val="003C5C26"/>
    <w:rsid w:val="003C60CC"/>
    <w:rsid w:val="003C784E"/>
    <w:rsid w:val="003D0CCF"/>
    <w:rsid w:val="003D30F2"/>
    <w:rsid w:val="003D520D"/>
    <w:rsid w:val="003D563E"/>
    <w:rsid w:val="003D6B04"/>
    <w:rsid w:val="003E1369"/>
    <w:rsid w:val="003E451D"/>
    <w:rsid w:val="003E4A46"/>
    <w:rsid w:val="003E5B3F"/>
    <w:rsid w:val="003E71B9"/>
    <w:rsid w:val="003E7454"/>
    <w:rsid w:val="003E755B"/>
    <w:rsid w:val="003F1229"/>
    <w:rsid w:val="003F18C1"/>
    <w:rsid w:val="003F2521"/>
    <w:rsid w:val="003F542F"/>
    <w:rsid w:val="003F5D7C"/>
    <w:rsid w:val="003F6943"/>
    <w:rsid w:val="003F6B42"/>
    <w:rsid w:val="004008BE"/>
    <w:rsid w:val="00400C30"/>
    <w:rsid w:val="0040160E"/>
    <w:rsid w:val="00402E14"/>
    <w:rsid w:val="004059DF"/>
    <w:rsid w:val="004137D8"/>
    <w:rsid w:val="00414349"/>
    <w:rsid w:val="004147DD"/>
    <w:rsid w:val="00414954"/>
    <w:rsid w:val="00422A61"/>
    <w:rsid w:val="00427A84"/>
    <w:rsid w:val="00427B93"/>
    <w:rsid w:val="004302B9"/>
    <w:rsid w:val="00430538"/>
    <w:rsid w:val="00433325"/>
    <w:rsid w:val="00434B5F"/>
    <w:rsid w:val="00440E67"/>
    <w:rsid w:val="00441E28"/>
    <w:rsid w:val="004425C1"/>
    <w:rsid w:val="00442960"/>
    <w:rsid w:val="00447D9B"/>
    <w:rsid w:val="00447EB1"/>
    <w:rsid w:val="00452E92"/>
    <w:rsid w:val="00453C96"/>
    <w:rsid w:val="0045601A"/>
    <w:rsid w:val="004616AA"/>
    <w:rsid w:val="00463896"/>
    <w:rsid w:val="0046408A"/>
    <w:rsid w:val="0047168E"/>
    <w:rsid w:val="00474DEB"/>
    <w:rsid w:val="0047502D"/>
    <w:rsid w:val="00476925"/>
    <w:rsid w:val="0048079B"/>
    <w:rsid w:val="00483D5F"/>
    <w:rsid w:val="00485E16"/>
    <w:rsid w:val="00486C44"/>
    <w:rsid w:val="00487CEC"/>
    <w:rsid w:val="00491DD8"/>
    <w:rsid w:val="0049314F"/>
    <w:rsid w:val="00493B85"/>
    <w:rsid w:val="00494478"/>
    <w:rsid w:val="00494B36"/>
    <w:rsid w:val="00496442"/>
    <w:rsid w:val="00496E56"/>
    <w:rsid w:val="004B20A8"/>
    <w:rsid w:val="004B2183"/>
    <w:rsid w:val="004B4210"/>
    <w:rsid w:val="004C1C53"/>
    <w:rsid w:val="004C5CA4"/>
    <w:rsid w:val="004D12E0"/>
    <w:rsid w:val="004D1339"/>
    <w:rsid w:val="004D2BB0"/>
    <w:rsid w:val="004D2F75"/>
    <w:rsid w:val="004D3D98"/>
    <w:rsid w:val="004D5B01"/>
    <w:rsid w:val="004E11E0"/>
    <w:rsid w:val="004E1826"/>
    <w:rsid w:val="004E1B13"/>
    <w:rsid w:val="004E1D91"/>
    <w:rsid w:val="004E60D8"/>
    <w:rsid w:val="004E629E"/>
    <w:rsid w:val="004E665F"/>
    <w:rsid w:val="004F1900"/>
    <w:rsid w:val="004F2067"/>
    <w:rsid w:val="004F2DF4"/>
    <w:rsid w:val="004F5245"/>
    <w:rsid w:val="004F732F"/>
    <w:rsid w:val="0050056C"/>
    <w:rsid w:val="0050173F"/>
    <w:rsid w:val="00504E70"/>
    <w:rsid w:val="00504EA6"/>
    <w:rsid w:val="00506CDB"/>
    <w:rsid w:val="005108E0"/>
    <w:rsid w:val="00510BF9"/>
    <w:rsid w:val="00510FFE"/>
    <w:rsid w:val="005115DC"/>
    <w:rsid w:val="00520383"/>
    <w:rsid w:val="00521DB3"/>
    <w:rsid w:val="0052263D"/>
    <w:rsid w:val="00523044"/>
    <w:rsid w:val="0052314A"/>
    <w:rsid w:val="005253CB"/>
    <w:rsid w:val="0053574A"/>
    <w:rsid w:val="005361F7"/>
    <w:rsid w:val="0054061A"/>
    <w:rsid w:val="00543B50"/>
    <w:rsid w:val="00544B33"/>
    <w:rsid w:val="005510EC"/>
    <w:rsid w:val="00554A28"/>
    <w:rsid w:val="00557A28"/>
    <w:rsid w:val="00557D2A"/>
    <w:rsid w:val="005615D6"/>
    <w:rsid w:val="00562959"/>
    <w:rsid w:val="0056422D"/>
    <w:rsid w:val="00565A89"/>
    <w:rsid w:val="00566B6C"/>
    <w:rsid w:val="00567982"/>
    <w:rsid w:val="00570BF5"/>
    <w:rsid w:val="00572A05"/>
    <w:rsid w:val="00572DF6"/>
    <w:rsid w:val="00573115"/>
    <w:rsid w:val="0057638D"/>
    <w:rsid w:val="00577F96"/>
    <w:rsid w:val="00580343"/>
    <w:rsid w:val="00580788"/>
    <w:rsid w:val="0058246D"/>
    <w:rsid w:val="00585D4C"/>
    <w:rsid w:val="00586241"/>
    <w:rsid w:val="005919D3"/>
    <w:rsid w:val="00591C4E"/>
    <w:rsid w:val="0059392C"/>
    <w:rsid w:val="005953FB"/>
    <w:rsid w:val="005A3513"/>
    <w:rsid w:val="005A6BF5"/>
    <w:rsid w:val="005A7484"/>
    <w:rsid w:val="005B0022"/>
    <w:rsid w:val="005B1769"/>
    <w:rsid w:val="005B23E7"/>
    <w:rsid w:val="005B2F3C"/>
    <w:rsid w:val="005B5815"/>
    <w:rsid w:val="005B5CE6"/>
    <w:rsid w:val="005C3E88"/>
    <w:rsid w:val="005C4AA3"/>
    <w:rsid w:val="005C4FF9"/>
    <w:rsid w:val="005C6C6A"/>
    <w:rsid w:val="005C7164"/>
    <w:rsid w:val="005C735C"/>
    <w:rsid w:val="005D13C1"/>
    <w:rsid w:val="005D234F"/>
    <w:rsid w:val="005D2566"/>
    <w:rsid w:val="005D285C"/>
    <w:rsid w:val="005D472E"/>
    <w:rsid w:val="005D5D01"/>
    <w:rsid w:val="005D60EA"/>
    <w:rsid w:val="005D6897"/>
    <w:rsid w:val="005E1AE8"/>
    <w:rsid w:val="005E1CE9"/>
    <w:rsid w:val="005E484B"/>
    <w:rsid w:val="005E6782"/>
    <w:rsid w:val="0060678A"/>
    <w:rsid w:val="006069FC"/>
    <w:rsid w:val="00612750"/>
    <w:rsid w:val="00614E45"/>
    <w:rsid w:val="00615626"/>
    <w:rsid w:val="006172FD"/>
    <w:rsid w:val="00617A1A"/>
    <w:rsid w:val="00617ED7"/>
    <w:rsid w:val="0062092A"/>
    <w:rsid w:val="00623186"/>
    <w:rsid w:val="00625150"/>
    <w:rsid w:val="00625E7A"/>
    <w:rsid w:val="006271C3"/>
    <w:rsid w:val="0062767C"/>
    <w:rsid w:val="0062782B"/>
    <w:rsid w:val="00627EAD"/>
    <w:rsid w:val="00631AFB"/>
    <w:rsid w:val="00632871"/>
    <w:rsid w:val="006333D5"/>
    <w:rsid w:val="006344DA"/>
    <w:rsid w:val="00636C9F"/>
    <w:rsid w:val="00650A5A"/>
    <w:rsid w:val="00652DD1"/>
    <w:rsid w:val="006608E7"/>
    <w:rsid w:val="00662A43"/>
    <w:rsid w:val="006639E5"/>
    <w:rsid w:val="00665377"/>
    <w:rsid w:val="00672AF4"/>
    <w:rsid w:val="00673153"/>
    <w:rsid w:val="0067602E"/>
    <w:rsid w:val="006771CD"/>
    <w:rsid w:val="0068234A"/>
    <w:rsid w:val="006838B7"/>
    <w:rsid w:val="00684C13"/>
    <w:rsid w:val="00685320"/>
    <w:rsid w:val="006863C8"/>
    <w:rsid w:val="00687F36"/>
    <w:rsid w:val="00691C2A"/>
    <w:rsid w:val="0069475D"/>
    <w:rsid w:val="006A0290"/>
    <w:rsid w:val="006A157E"/>
    <w:rsid w:val="006A2116"/>
    <w:rsid w:val="006A2BE9"/>
    <w:rsid w:val="006A2E14"/>
    <w:rsid w:val="006A4AE9"/>
    <w:rsid w:val="006A7972"/>
    <w:rsid w:val="006B3C6B"/>
    <w:rsid w:val="006B5943"/>
    <w:rsid w:val="006C2B7C"/>
    <w:rsid w:val="006C4A66"/>
    <w:rsid w:val="006C77B8"/>
    <w:rsid w:val="006D12A0"/>
    <w:rsid w:val="006D1891"/>
    <w:rsid w:val="006D2553"/>
    <w:rsid w:val="006D4017"/>
    <w:rsid w:val="006D4742"/>
    <w:rsid w:val="006D7529"/>
    <w:rsid w:val="006D76AF"/>
    <w:rsid w:val="006E0A30"/>
    <w:rsid w:val="006E5457"/>
    <w:rsid w:val="006E6DB8"/>
    <w:rsid w:val="006E7148"/>
    <w:rsid w:val="006F577A"/>
    <w:rsid w:val="006F6E94"/>
    <w:rsid w:val="006F74CC"/>
    <w:rsid w:val="00701101"/>
    <w:rsid w:val="007033FE"/>
    <w:rsid w:val="0070718F"/>
    <w:rsid w:val="0070745E"/>
    <w:rsid w:val="00707B4B"/>
    <w:rsid w:val="00716CA3"/>
    <w:rsid w:val="00721FA3"/>
    <w:rsid w:val="00723217"/>
    <w:rsid w:val="00725AA5"/>
    <w:rsid w:val="0072729C"/>
    <w:rsid w:val="00732C7C"/>
    <w:rsid w:val="00733BA2"/>
    <w:rsid w:val="00733CBC"/>
    <w:rsid w:val="00736A59"/>
    <w:rsid w:val="007409DC"/>
    <w:rsid w:val="007551F7"/>
    <w:rsid w:val="00760FFC"/>
    <w:rsid w:val="0076395A"/>
    <w:rsid w:val="00763B0A"/>
    <w:rsid w:val="007649DA"/>
    <w:rsid w:val="00771B7F"/>
    <w:rsid w:val="00773EA9"/>
    <w:rsid w:val="00774FA9"/>
    <w:rsid w:val="00776408"/>
    <w:rsid w:val="007800BB"/>
    <w:rsid w:val="00784EF0"/>
    <w:rsid w:val="00786CD5"/>
    <w:rsid w:val="007937B9"/>
    <w:rsid w:val="007948E8"/>
    <w:rsid w:val="00796105"/>
    <w:rsid w:val="007962C8"/>
    <w:rsid w:val="007A25AE"/>
    <w:rsid w:val="007A4138"/>
    <w:rsid w:val="007A79F8"/>
    <w:rsid w:val="007B006F"/>
    <w:rsid w:val="007B2E91"/>
    <w:rsid w:val="007B586B"/>
    <w:rsid w:val="007C096D"/>
    <w:rsid w:val="007C1E8E"/>
    <w:rsid w:val="007C4271"/>
    <w:rsid w:val="007C52B4"/>
    <w:rsid w:val="007C69CC"/>
    <w:rsid w:val="007D4E1F"/>
    <w:rsid w:val="007E7879"/>
    <w:rsid w:val="007F1E27"/>
    <w:rsid w:val="00802167"/>
    <w:rsid w:val="00803D1B"/>
    <w:rsid w:val="0080758D"/>
    <w:rsid w:val="00807F3F"/>
    <w:rsid w:val="00811B0F"/>
    <w:rsid w:val="00812743"/>
    <w:rsid w:val="00814860"/>
    <w:rsid w:val="008153B1"/>
    <w:rsid w:val="0082306C"/>
    <w:rsid w:val="00823A8D"/>
    <w:rsid w:val="00824A08"/>
    <w:rsid w:val="008323CE"/>
    <w:rsid w:val="0083256E"/>
    <w:rsid w:val="008329E0"/>
    <w:rsid w:val="00832B62"/>
    <w:rsid w:val="00833266"/>
    <w:rsid w:val="008333C9"/>
    <w:rsid w:val="0083615B"/>
    <w:rsid w:val="00837736"/>
    <w:rsid w:val="00842F0F"/>
    <w:rsid w:val="0084301F"/>
    <w:rsid w:val="008470D9"/>
    <w:rsid w:val="00851BEE"/>
    <w:rsid w:val="00854B7B"/>
    <w:rsid w:val="00860565"/>
    <w:rsid w:val="0086625E"/>
    <w:rsid w:val="008673B3"/>
    <w:rsid w:val="00867E7C"/>
    <w:rsid w:val="00872671"/>
    <w:rsid w:val="008739E4"/>
    <w:rsid w:val="00873D36"/>
    <w:rsid w:val="008746E8"/>
    <w:rsid w:val="0087514F"/>
    <w:rsid w:val="0087732B"/>
    <w:rsid w:val="00882BD6"/>
    <w:rsid w:val="00886D1A"/>
    <w:rsid w:val="008905EE"/>
    <w:rsid w:val="00890923"/>
    <w:rsid w:val="00890BC4"/>
    <w:rsid w:val="00892600"/>
    <w:rsid w:val="008950E6"/>
    <w:rsid w:val="008A09AA"/>
    <w:rsid w:val="008A2409"/>
    <w:rsid w:val="008A55BD"/>
    <w:rsid w:val="008A5EBD"/>
    <w:rsid w:val="008B0C89"/>
    <w:rsid w:val="008B679D"/>
    <w:rsid w:val="008B6FC5"/>
    <w:rsid w:val="008C1C65"/>
    <w:rsid w:val="008C32D5"/>
    <w:rsid w:val="008C5898"/>
    <w:rsid w:val="008C6B17"/>
    <w:rsid w:val="008D292A"/>
    <w:rsid w:val="008D2C4C"/>
    <w:rsid w:val="008D2E37"/>
    <w:rsid w:val="008D3263"/>
    <w:rsid w:val="008D48E0"/>
    <w:rsid w:val="008E5BD1"/>
    <w:rsid w:val="008E7B2E"/>
    <w:rsid w:val="008F34C6"/>
    <w:rsid w:val="008F553F"/>
    <w:rsid w:val="00903E66"/>
    <w:rsid w:val="0090414F"/>
    <w:rsid w:val="00904382"/>
    <w:rsid w:val="009060EE"/>
    <w:rsid w:val="0091025C"/>
    <w:rsid w:val="00915729"/>
    <w:rsid w:val="0091634C"/>
    <w:rsid w:val="00917F96"/>
    <w:rsid w:val="009203BF"/>
    <w:rsid w:val="009217E4"/>
    <w:rsid w:val="00923201"/>
    <w:rsid w:val="009320F9"/>
    <w:rsid w:val="00932739"/>
    <w:rsid w:val="009331AB"/>
    <w:rsid w:val="0093439F"/>
    <w:rsid w:val="00934B20"/>
    <w:rsid w:val="00936B41"/>
    <w:rsid w:val="00936E4E"/>
    <w:rsid w:val="00936F70"/>
    <w:rsid w:val="00940980"/>
    <w:rsid w:val="00943A7D"/>
    <w:rsid w:val="00944BC9"/>
    <w:rsid w:val="00944DE2"/>
    <w:rsid w:val="00947B04"/>
    <w:rsid w:val="00950064"/>
    <w:rsid w:val="00950340"/>
    <w:rsid w:val="00954FF9"/>
    <w:rsid w:val="00955A4D"/>
    <w:rsid w:val="00955F98"/>
    <w:rsid w:val="0095615D"/>
    <w:rsid w:val="00956AF8"/>
    <w:rsid w:val="00957CD1"/>
    <w:rsid w:val="00960C91"/>
    <w:rsid w:val="00970B5B"/>
    <w:rsid w:val="00970E2A"/>
    <w:rsid w:val="00980904"/>
    <w:rsid w:val="00980D45"/>
    <w:rsid w:val="00981F86"/>
    <w:rsid w:val="009850E4"/>
    <w:rsid w:val="00985865"/>
    <w:rsid w:val="00986DA0"/>
    <w:rsid w:val="00993B8F"/>
    <w:rsid w:val="00994476"/>
    <w:rsid w:val="0099618C"/>
    <w:rsid w:val="00996300"/>
    <w:rsid w:val="00996774"/>
    <w:rsid w:val="0099721D"/>
    <w:rsid w:val="009A0008"/>
    <w:rsid w:val="009A58BB"/>
    <w:rsid w:val="009A6F94"/>
    <w:rsid w:val="009A751C"/>
    <w:rsid w:val="009B03F4"/>
    <w:rsid w:val="009B6647"/>
    <w:rsid w:val="009B7A01"/>
    <w:rsid w:val="009C1A52"/>
    <w:rsid w:val="009C20E1"/>
    <w:rsid w:val="009C3196"/>
    <w:rsid w:val="009C4688"/>
    <w:rsid w:val="009C5BDD"/>
    <w:rsid w:val="009C654D"/>
    <w:rsid w:val="009C6571"/>
    <w:rsid w:val="009C6C59"/>
    <w:rsid w:val="009D57FA"/>
    <w:rsid w:val="009D6EAB"/>
    <w:rsid w:val="009E0FE9"/>
    <w:rsid w:val="009E3862"/>
    <w:rsid w:val="009E4F07"/>
    <w:rsid w:val="009E5607"/>
    <w:rsid w:val="009E70D8"/>
    <w:rsid w:val="009E7112"/>
    <w:rsid w:val="009F2FEF"/>
    <w:rsid w:val="009F35C5"/>
    <w:rsid w:val="009F5040"/>
    <w:rsid w:val="009F53D3"/>
    <w:rsid w:val="009F5C69"/>
    <w:rsid w:val="00A01559"/>
    <w:rsid w:val="00A05D01"/>
    <w:rsid w:val="00A102E7"/>
    <w:rsid w:val="00A12415"/>
    <w:rsid w:val="00A12D2C"/>
    <w:rsid w:val="00A147E8"/>
    <w:rsid w:val="00A2099C"/>
    <w:rsid w:val="00A25914"/>
    <w:rsid w:val="00A25E57"/>
    <w:rsid w:val="00A27AD0"/>
    <w:rsid w:val="00A3487D"/>
    <w:rsid w:val="00A35995"/>
    <w:rsid w:val="00A42015"/>
    <w:rsid w:val="00A5322F"/>
    <w:rsid w:val="00A622D3"/>
    <w:rsid w:val="00A63805"/>
    <w:rsid w:val="00A64132"/>
    <w:rsid w:val="00A64475"/>
    <w:rsid w:val="00A66C7A"/>
    <w:rsid w:val="00A71300"/>
    <w:rsid w:val="00A732DF"/>
    <w:rsid w:val="00A77F0E"/>
    <w:rsid w:val="00A91DC2"/>
    <w:rsid w:val="00A95675"/>
    <w:rsid w:val="00A95EFE"/>
    <w:rsid w:val="00A96196"/>
    <w:rsid w:val="00A9762A"/>
    <w:rsid w:val="00AA2350"/>
    <w:rsid w:val="00AA36B5"/>
    <w:rsid w:val="00AA6B6C"/>
    <w:rsid w:val="00AA720E"/>
    <w:rsid w:val="00AA7258"/>
    <w:rsid w:val="00AA7EA0"/>
    <w:rsid w:val="00AB20F0"/>
    <w:rsid w:val="00AB2A21"/>
    <w:rsid w:val="00AB38B3"/>
    <w:rsid w:val="00AB3BE2"/>
    <w:rsid w:val="00AB6A6E"/>
    <w:rsid w:val="00AB7324"/>
    <w:rsid w:val="00AB7736"/>
    <w:rsid w:val="00AC04F5"/>
    <w:rsid w:val="00AC0802"/>
    <w:rsid w:val="00AC213E"/>
    <w:rsid w:val="00AC31F6"/>
    <w:rsid w:val="00AC4146"/>
    <w:rsid w:val="00AC5DE6"/>
    <w:rsid w:val="00AC614D"/>
    <w:rsid w:val="00AC7839"/>
    <w:rsid w:val="00AD197B"/>
    <w:rsid w:val="00AD2302"/>
    <w:rsid w:val="00AD2C9B"/>
    <w:rsid w:val="00AD6223"/>
    <w:rsid w:val="00AE10B8"/>
    <w:rsid w:val="00AE3BE5"/>
    <w:rsid w:val="00AE4EFA"/>
    <w:rsid w:val="00AE605D"/>
    <w:rsid w:val="00AF0238"/>
    <w:rsid w:val="00AF1ECD"/>
    <w:rsid w:val="00B06134"/>
    <w:rsid w:val="00B067DD"/>
    <w:rsid w:val="00B0730A"/>
    <w:rsid w:val="00B11DDB"/>
    <w:rsid w:val="00B12159"/>
    <w:rsid w:val="00B15D9B"/>
    <w:rsid w:val="00B2042B"/>
    <w:rsid w:val="00B21752"/>
    <w:rsid w:val="00B24A86"/>
    <w:rsid w:val="00B25C69"/>
    <w:rsid w:val="00B27126"/>
    <w:rsid w:val="00B2788F"/>
    <w:rsid w:val="00B3534F"/>
    <w:rsid w:val="00B41FC7"/>
    <w:rsid w:val="00B510C3"/>
    <w:rsid w:val="00B5279E"/>
    <w:rsid w:val="00B529CE"/>
    <w:rsid w:val="00B541FC"/>
    <w:rsid w:val="00B545D6"/>
    <w:rsid w:val="00B54F17"/>
    <w:rsid w:val="00B56BCC"/>
    <w:rsid w:val="00B64BA6"/>
    <w:rsid w:val="00B80264"/>
    <w:rsid w:val="00B84412"/>
    <w:rsid w:val="00B84E41"/>
    <w:rsid w:val="00B86BE6"/>
    <w:rsid w:val="00B87405"/>
    <w:rsid w:val="00B9184C"/>
    <w:rsid w:val="00B92CD9"/>
    <w:rsid w:val="00B9557D"/>
    <w:rsid w:val="00B961A3"/>
    <w:rsid w:val="00B973D3"/>
    <w:rsid w:val="00BA6C99"/>
    <w:rsid w:val="00BB000C"/>
    <w:rsid w:val="00BB27C6"/>
    <w:rsid w:val="00BB3486"/>
    <w:rsid w:val="00BB4609"/>
    <w:rsid w:val="00BB464E"/>
    <w:rsid w:val="00BC0235"/>
    <w:rsid w:val="00BC3B98"/>
    <w:rsid w:val="00BD2E1C"/>
    <w:rsid w:val="00BD5711"/>
    <w:rsid w:val="00BD61F2"/>
    <w:rsid w:val="00BE15FD"/>
    <w:rsid w:val="00BE32A4"/>
    <w:rsid w:val="00BE4AA8"/>
    <w:rsid w:val="00BF0BE3"/>
    <w:rsid w:val="00BF0FEA"/>
    <w:rsid w:val="00BF126E"/>
    <w:rsid w:val="00BF4E91"/>
    <w:rsid w:val="00BF7AD6"/>
    <w:rsid w:val="00C01401"/>
    <w:rsid w:val="00C06402"/>
    <w:rsid w:val="00C14195"/>
    <w:rsid w:val="00C14F96"/>
    <w:rsid w:val="00C21DCE"/>
    <w:rsid w:val="00C21EEB"/>
    <w:rsid w:val="00C225F9"/>
    <w:rsid w:val="00C22E4B"/>
    <w:rsid w:val="00C22F37"/>
    <w:rsid w:val="00C23607"/>
    <w:rsid w:val="00C2440C"/>
    <w:rsid w:val="00C244BC"/>
    <w:rsid w:val="00C30B35"/>
    <w:rsid w:val="00C41836"/>
    <w:rsid w:val="00C516D9"/>
    <w:rsid w:val="00C5437E"/>
    <w:rsid w:val="00C554B0"/>
    <w:rsid w:val="00C6177E"/>
    <w:rsid w:val="00C62E9B"/>
    <w:rsid w:val="00C65D4C"/>
    <w:rsid w:val="00C70E79"/>
    <w:rsid w:val="00C74CE2"/>
    <w:rsid w:val="00C7634C"/>
    <w:rsid w:val="00C77712"/>
    <w:rsid w:val="00C86EC5"/>
    <w:rsid w:val="00C9048B"/>
    <w:rsid w:val="00C922E7"/>
    <w:rsid w:val="00C9250C"/>
    <w:rsid w:val="00C92FDA"/>
    <w:rsid w:val="00C97452"/>
    <w:rsid w:val="00C97B7E"/>
    <w:rsid w:val="00CA3ADB"/>
    <w:rsid w:val="00CA5171"/>
    <w:rsid w:val="00CA5D5A"/>
    <w:rsid w:val="00CB2801"/>
    <w:rsid w:val="00CB2B76"/>
    <w:rsid w:val="00CB2F03"/>
    <w:rsid w:val="00CB6F29"/>
    <w:rsid w:val="00CC0D2B"/>
    <w:rsid w:val="00CC2593"/>
    <w:rsid w:val="00CC385A"/>
    <w:rsid w:val="00CC3EE6"/>
    <w:rsid w:val="00CC5420"/>
    <w:rsid w:val="00CC7589"/>
    <w:rsid w:val="00CC7AAD"/>
    <w:rsid w:val="00CC7E93"/>
    <w:rsid w:val="00CD0154"/>
    <w:rsid w:val="00CD07E4"/>
    <w:rsid w:val="00CD0FBD"/>
    <w:rsid w:val="00CD4B68"/>
    <w:rsid w:val="00CD4CAE"/>
    <w:rsid w:val="00CD66BE"/>
    <w:rsid w:val="00CE5AC4"/>
    <w:rsid w:val="00CE7421"/>
    <w:rsid w:val="00CF0544"/>
    <w:rsid w:val="00CF2F39"/>
    <w:rsid w:val="00CF52E8"/>
    <w:rsid w:val="00CF6D39"/>
    <w:rsid w:val="00CF7172"/>
    <w:rsid w:val="00D01482"/>
    <w:rsid w:val="00D10257"/>
    <w:rsid w:val="00D11B74"/>
    <w:rsid w:val="00D1274B"/>
    <w:rsid w:val="00D17D71"/>
    <w:rsid w:val="00D2206D"/>
    <w:rsid w:val="00D22352"/>
    <w:rsid w:val="00D2325D"/>
    <w:rsid w:val="00D24FE4"/>
    <w:rsid w:val="00D2724E"/>
    <w:rsid w:val="00D27736"/>
    <w:rsid w:val="00D325CE"/>
    <w:rsid w:val="00D36D32"/>
    <w:rsid w:val="00D37C5F"/>
    <w:rsid w:val="00D45444"/>
    <w:rsid w:val="00D45654"/>
    <w:rsid w:val="00D45C06"/>
    <w:rsid w:val="00D47B85"/>
    <w:rsid w:val="00D54EB2"/>
    <w:rsid w:val="00D57359"/>
    <w:rsid w:val="00D65574"/>
    <w:rsid w:val="00D67F31"/>
    <w:rsid w:val="00D72080"/>
    <w:rsid w:val="00D753D3"/>
    <w:rsid w:val="00D758BF"/>
    <w:rsid w:val="00D75D66"/>
    <w:rsid w:val="00D779B3"/>
    <w:rsid w:val="00D811DA"/>
    <w:rsid w:val="00D81D2A"/>
    <w:rsid w:val="00D92781"/>
    <w:rsid w:val="00D946E3"/>
    <w:rsid w:val="00D949BB"/>
    <w:rsid w:val="00DA16B7"/>
    <w:rsid w:val="00DA2287"/>
    <w:rsid w:val="00DA425B"/>
    <w:rsid w:val="00DA52D2"/>
    <w:rsid w:val="00DA5694"/>
    <w:rsid w:val="00DB37E2"/>
    <w:rsid w:val="00DB581B"/>
    <w:rsid w:val="00DC07D7"/>
    <w:rsid w:val="00DC3140"/>
    <w:rsid w:val="00DC4767"/>
    <w:rsid w:val="00DD1212"/>
    <w:rsid w:val="00DD2B06"/>
    <w:rsid w:val="00DD3A5A"/>
    <w:rsid w:val="00DD50AA"/>
    <w:rsid w:val="00DD73B1"/>
    <w:rsid w:val="00DE14A1"/>
    <w:rsid w:val="00DE202F"/>
    <w:rsid w:val="00DF04E8"/>
    <w:rsid w:val="00DF2551"/>
    <w:rsid w:val="00E049E4"/>
    <w:rsid w:val="00E129DD"/>
    <w:rsid w:val="00E15E16"/>
    <w:rsid w:val="00E22866"/>
    <w:rsid w:val="00E22BE5"/>
    <w:rsid w:val="00E26700"/>
    <w:rsid w:val="00E2687D"/>
    <w:rsid w:val="00E26CA3"/>
    <w:rsid w:val="00E26DA6"/>
    <w:rsid w:val="00E30232"/>
    <w:rsid w:val="00E326E0"/>
    <w:rsid w:val="00E33433"/>
    <w:rsid w:val="00E33807"/>
    <w:rsid w:val="00E3599A"/>
    <w:rsid w:val="00E419C2"/>
    <w:rsid w:val="00E419D8"/>
    <w:rsid w:val="00E41EEF"/>
    <w:rsid w:val="00E421FB"/>
    <w:rsid w:val="00E42B4B"/>
    <w:rsid w:val="00E45903"/>
    <w:rsid w:val="00E46B76"/>
    <w:rsid w:val="00E50668"/>
    <w:rsid w:val="00E52CE1"/>
    <w:rsid w:val="00E5354E"/>
    <w:rsid w:val="00E541FF"/>
    <w:rsid w:val="00E54AE9"/>
    <w:rsid w:val="00E5621F"/>
    <w:rsid w:val="00E56B8F"/>
    <w:rsid w:val="00E6144A"/>
    <w:rsid w:val="00E62173"/>
    <w:rsid w:val="00E63703"/>
    <w:rsid w:val="00E701C2"/>
    <w:rsid w:val="00E72E78"/>
    <w:rsid w:val="00E839E5"/>
    <w:rsid w:val="00E83F47"/>
    <w:rsid w:val="00E91872"/>
    <w:rsid w:val="00E9459E"/>
    <w:rsid w:val="00E95B0B"/>
    <w:rsid w:val="00EB703F"/>
    <w:rsid w:val="00EB7B86"/>
    <w:rsid w:val="00EC0671"/>
    <w:rsid w:val="00EC2A01"/>
    <w:rsid w:val="00EC6CBC"/>
    <w:rsid w:val="00ED03A4"/>
    <w:rsid w:val="00ED1959"/>
    <w:rsid w:val="00ED333C"/>
    <w:rsid w:val="00ED5C5A"/>
    <w:rsid w:val="00EE0026"/>
    <w:rsid w:val="00EE174B"/>
    <w:rsid w:val="00EE21FE"/>
    <w:rsid w:val="00EE460E"/>
    <w:rsid w:val="00EE574F"/>
    <w:rsid w:val="00EE6C82"/>
    <w:rsid w:val="00EF1087"/>
    <w:rsid w:val="00EF33A1"/>
    <w:rsid w:val="00EF3DC7"/>
    <w:rsid w:val="00EF3E84"/>
    <w:rsid w:val="00EF44F7"/>
    <w:rsid w:val="00EF7E59"/>
    <w:rsid w:val="00F01666"/>
    <w:rsid w:val="00F04BDD"/>
    <w:rsid w:val="00F05E45"/>
    <w:rsid w:val="00F0619A"/>
    <w:rsid w:val="00F0625C"/>
    <w:rsid w:val="00F06F0C"/>
    <w:rsid w:val="00F1255A"/>
    <w:rsid w:val="00F1303B"/>
    <w:rsid w:val="00F1426B"/>
    <w:rsid w:val="00F15088"/>
    <w:rsid w:val="00F21A5A"/>
    <w:rsid w:val="00F22172"/>
    <w:rsid w:val="00F22258"/>
    <w:rsid w:val="00F22B89"/>
    <w:rsid w:val="00F30BBA"/>
    <w:rsid w:val="00F37967"/>
    <w:rsid w:val="00F43553"/>
    <w:rsid w:val="00F44502"/>
    <w:rsid w:val="00F45353"/>
    <w:rsid w:val="00F4788E"/>
    <w:rsid w:val="00F518F3"/>
    <w:rsid w:val="00F525D9"/>
    <w:rsid w:val="00F562B2"/>
    <w:rsid w:val="00F61364"/>
    <w:rsid w:val="00F6314C"/>
    <w:rsid w:val="00F63A90"/>
    <w:rsid w:val="00F70411"/>
    <w:rsid w:val="00F7235E"/>
    <w:rsid w:val="00F72C5C"/>
    <w:rsid w:val="00F760F9"/>
    <w:rsid w:val="00F77512"/>
    <w:rsid w:val="00F777E2"/>
    <w:rsid w:val="00F77E6B"/>
    <w:rsid w:val="00F81EDA"/>
    <w:rsid w:val="00F83A94"/>
    <w:rsid w:val="00F8531D"/>
    <w:rsid w:val="00F86247"/>
    <w:rsid w:val="00F978FC"/>
    <w:rsid w:val="00FA1894"/>
    <w:rsid w:val="00FA22F9"/>
    <w:rsid w:val="00FA2C57"/>
    <w:rsid w:val="00FA5D77"/>
    <w:rsid w:val="00FA6854"/>
    <w:rsid w:val="00FA6EE3"/>
    <w:rsid w:val="00FB0C90"/>
    <w:rsid w:val="00FB1FBC"/>
    <w:rsid w:val="00FB2DE9"/>
    <w:rsid w:val="00FC07E0"/>
    <w:rsid w:val="00FC3B41"/>
    <w:rsid w:val="00FC43E7"/>
    <w:rsid w:val="00FC5C02"/>
    <w:rsid w:val="00FC6E09"/>
    <w:rsid w:val="00FD35F6"/>
    <w:rsid w:val="00FD3E5F"/>
    <w:rsid w:val="00FD43BE"/>
    <w:rsid w:val="00FD6049"/>
    <w:rsid w:val="00FD6E47"/>
    <w:rsid w:val="00FD71C2"/>
    <w:rsid w:val="00FE0B08"/>
    <w:rsid w:val="00FE1C15"/>
    <w:rsid w:val="00FE361A"/>
    <w:rsid w:val="00FE3E16"/>
    <w:rsid w:val="00FE6705"/>
    <w:rsid w:val="00FF09CB"/>
    <w:rsid w:val="00FF27FF"/>
    <w:rsid w:val="00FF3FDD"/>
    <w:rsid w:val="00FF5110"/>
    <w:rsid w:val="010091AD"/>
    <w:rsid w:val="01C368F2"/>
    <w:rsid w:val="02A64F8D"/>
    <w:rsid w:val="033B4C0B"/>
    <w:rsid w:val="033E4B6E"/>
    <w:rsid w:val="034252BB"/>
    <w:rsid w:val="034FC79A"/>
    <w:rsid w:val="0357EBDE"/>
    <w:rsid w:val="0712D305"/>
    <w:rsid w:val="072AC10A"/>
    <w:rsid w:val="08A4CAC1"/>
    <w:rsid w:val="08EFC96B"/>
    <w:rsid w:val="090CE752"/>
    <w:rsid w:val="0933A01F"/>
    <w:rsid w:val="09FC8A65"/>
    <w:rsid w:val="0A10C1D7"/>
    <w:rsid w:val="0A9BA5FE"/>
    <w:rsid w:val="0B10FE09"/>
    <w:rsid w:val="0B1221AF"/>
    <w:rsid w:val="0D62BC3A"/>
    <w:rsid w:val="10248D75"/>
    <w:rsid w:val="106E6AE0"/>
    <w:rsid w:val="108E41BE"/>
    <w:rsid w:val="1171B0B6"/>
    <w:rsid w:val="1365BB3D"/>
    <w:rsid w:val="1424F99B"/>
    <w:rsid w:val="14427CE4"/>
    <w:rsid w:val="14CF7BA3"/>
    <w:rsid w:val="15FAD1E3"/>
    <w:rsid w:val="164DF951"/>
    <w:rsid w:val="16C0D8A7"/>
    <w:rsid w:val="1745804B"/>
    <w:rsid w:val="18D7CFE4"/>
    <w:rsid w:val="1936E322"/>
    <w:rsid w:val="19C69C83"/>
    <w:rsid w:val="1B104782"/>
    <w:rsid w:val="1B43938B"/>
    <w:rsid w:val="1B4FC22F"/>
    <w:rsid w:val="1C5569F5"/>
    <w:rsid w:val="1C9D230F"/>
    <w:rsid w:val="1CB0BCBC"/>
    <w:rsid w:val="1CEACE08"/>
    <w:rsid w:val="1E53E792"/>
    <w:rsid w:val="1E77C8FE"/>
    <w:rsid w:val="1E9E2844"/>
    <w:rsid w:val="1F507DDD"/>
    <w:rsid w:val="1F52B848"/>
    <w:rsid w:val="20002B40"/>
    <w:rsid w:val="2098D1CA"/>
    <w:rsid w:val="214BB7F0"/>
    <w:rsid w:val="225913E6"/>
    <w:rsid w:val="22B40C30"/>
    <w:rsid w:val="23D03ED1"/>
    <w:rsid w:val="24BB2826"/>
    <w:rsid w:val="295CD84A"/>
    <w:rsid w:val="299760BE"/>
    <w:rsid w:val="2AED61AD"/>
    <w:rsid w:val="2CE05506"/>
    <w:rsid w:val="2E268813"/>
    <w:rsid w:val="2ED451F3"/>
    <w:rsid w:val="2F6B135F"/>
    <w:rsid w:val="30183A66"/>
    <w:rsid w:val="31582EC7"/>
    <w:rsid w:val="3164D9A5"/>
    <w:rsid w:val="335CB85A"/>
    <w:rsid w:val="336CA8F1"/>
    <w:rsid w:val="34A89D66"/>
    <w:rsid w:val="366E7352"/>
    <w:rsid w:val="37B92370"/>
    <w:rsid w:val="3AFBEBD5"/>
    <w:rsid w:val="3B14014B"/>
    <w:rsid w:val="3BDF05AA"/>
    <w:rsid w:val="3E80CDE0"/>
    <w:rsid w:val="3EFE0766"/>
    <w:rsid w:val="40596489"/>
    <w:rsid w:val="405AA0DE"/>
    <w:rsid w:val="4200376C"/>
    <w:rsid w:val="42BE3EEE"/>
    <w:rsid w:val="43476723"/>
    <w:rsid w:val="43E2BE24"/>
    <w:rsid w:val="45C67B2D"/>
    <w:rsid w:val="48AA6FFD"/>
    <w:rsid w:val="48C5D11C"/>
    <w:rsid w:val="490DA654"/>
    <w:rsid w:val="49129AE8"/>
    <w:rsid w:val="49300D27"/>
    <w:rsid w:val="4A3C2FAF"/>
    <w:rsid w:val="4B85CBB2"/>
    <w:rsid w:val="4C9551F3"/>
    <w:rsid w:val="4D7C106C"/>
    <w:rsid w:val="4E40F255"/>
    <w:rsid w:val="4FA52FEE"/>
    <w:rsid w:val="51C7B40A"/>
    <w:rsid w:val="52721231"/>
    <w:rsid w:val="52FEEEF7"/>
    <w:rsid w:val="53A0C8A4"/>
    <w:rsid w:val="542F27F7"/>
    <w:rsid w:val="5461DD7F"/>
    <w:rsid w:val="549F9326"/>
    <w:rsid w:val="561B9570"/>
    <w:rsid w:val="57752C9B"/>
    <w:rsid w:val="5848E696"/>
    <w:rsid w:val="5A89E175"/>
    <w:rsid w:val="5AC2F110"/>
    <w:rsid w:val="5B563106"/>
    <w:rsid w:val="5B82900F"/>
    <w:rsid w:val="5C5B73D9"/>
    <w:rsid w:val="5C5EE20C"/>
    <w:rsid w:val="5D8AB9B9"/>
    <w:rsid w:val="5DCC1FC2"/>
    <w:rsid w:val="641A736A"/>
    <w:rsid w:val="6435AFDE"/>
    <w:rsid w:val="646E42C9"/>
    <w:rsid w:val="64913048"/>
    <w:rsid w:val="656C34A5"/>
    <w:rsid w:val="667456E1"/>
    <w:rsid w:val="6689648E"/>
    <w:rsid w:val="66CD2A4A"/>
    <w:rsid w:val="67A32F03"/>
    <w:rsid w:val="67E2530A"/>
    <w:rsid w:val="67FDD50D"/>
    <w:rsid w:val="691AD23F"/>
    <w:rsid w:val="6A80EC56"/>
    <w:rsid w:val="6D538263"/>
    <w:rsid w:val="6E7DC316"/>
    <w:rsid w:val="6E842F86"/>
    <w:rsid w:val="6F8A808F"/>
    <w:rsid w:val="7020417F"/>
    <w:rsid w:val="706380AD"/>
    <w:rsid w:val="70FA6C1D"/>
    <w:rsid w:val="712F42D5"/>
    <w:rsid w:val="71F4ACC4"/>
    <w:rsid w:val="72D82CE9"/>
    <w:rsid w:val="776EF93D"/>
    <w:rsid w:val="78A71A54"/>
    <w:rsid w:val="78DBA047"/>
    <w:rsid w:val="7924FB3E"/>
    <w:rsid w:val="7C6A70C8"/>
    <w:rsid w:val="7D1077BB"/>
    <w:rsid w:val="7DE6C593"/>
    <w:rsid w:val="7E8D7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DB09"/>
  <w15:docId w15:val="{7441A68F-7C14-4A19-A847-D7429E8D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30"/>
    <w:pPr>
      <w:spacing w:after="240" w:line="240" w:lineRule="auto"/>
    </w:pPr>
    <w:rPr>
      <w:rFonts w:eastAsia="Times New Roman" w:cs="Times New Roman"/>
      <w:sz w:val="24"/>
      <w:szCs w:val="24"/>
    </w:rPr>
  </w:style>
  <w:style w:type="paragraph" w:styleId="Heading1">
    <w:name w:val="heading 1"/>
    <w:basedOn w:val="Heading2"/>
    <w:next w:val="Normal"/>
    <w:link w:val="Heading1Char"/>
    <w:uiPriority w:val="99"/>
    <w:qFormat/>
    <w:rsid w:val="00B21752"/>
    <w:pPr>
      <w:numPr>
        <w:ilvl w:val="0"/>
      </w:numPr>
      <w:outlineLvl w:val="0"/>
    </w:pPr>
    <w:rPr>
      <w:rFonts w:ascii="Calibri" w:hAnsi="Calibri"/>
    </w:rPr>
  </w:style>
  <w:style w:type="paragraph" w:styleId="Heading2">
    <w:name w:val="heading 2"/>
    <w:basedOn w:val="Normal"/>
    <w:next w:val="Normal"/>
    <w:link w:val="Heading2Char"/>
    <w:uiPriority w:val="99"/>
    <w:qFormat/>
    <w:rsid w:val="00B21752"/>
    <w:pPr>
      <w:keepNext/>
      <w:numPr>
        <w:ilvl w:val="1"/>
        <w:numId w:val="44"/>
      </w:numPr>
      <w:spacing w:before="240" w:after="0"/>
      <w:outlineLvl w:val="1"/>
    </w:pPr>
    <w:rPr>
      <w:rFonts w:cstheme="minorHAnsi"/>
      <w:b/>
      <w:sz w:val="28"/>
    </w:rPr>
  </w:style>
  <w:style w:type="paragraph" w:styleId="Heading3">
    <w:name w:val="heading 3"/>
    <w:basedOn w:val="Heading2"/>
    <w:next w:val="Normal"/>
    <w:link w:val="Heading3Char"/>
    <w:uiPriority w:val="99"/>
    <w:qFormat/>
    <w:rsid w:val="00763B0A"/>
    <w:pPr>
      <w:numPr>
        <w:ilvl w:val="2"/>
      </w:numPr>
      <w:spacing w:before="120"/>
      <w:outlineLvl w:val="2"/>
    </w:pPr>
  </w:style>
  <w:style w:type="paragraph" w:styleId="Heading4">
    <w:name w:val="heading 4"/>
    <w:basedOn w:val="Normal"/>
    <w:next w:val="Normal"/>
    <w:link w:val="Heading4Char"/>
    <w:uiPriority w:val="99"/>
    <w:qFormat/>
    <w:rsid w:val="005D60EA"/>
    <w:pPr>
      <w:keepNext/>
      <w:numPr>
        <w:ilvl w:val="3"/>
        <w:numId w:val="44"/>
      </w:numPr>
      <w:spacing w:before="240" w:after="60"/>
      <w:outlineLvl w:val="3"/>
    </w:pPr>
    <w:rPr>
      <w:rFonts w:asciiTheme="majorHAnsi" w:hAnsiTheme="majorHAnsi"/>
      <w:b/>
      <w:bCs/>
      <w:szCs w:val="28"/>
    </w:rPr>
  </w:style>
  <w:style w:type="paragraph" w:styleId="Heading5">
    <w:name w:val="heading 5"/>
    <w:basedOn w:val="Normal"/>
    <w:next w:val="Normal"/>
    <w:link w:val="Heading5Char"/>
    <w:uiPriority w:val="99"/>
    <w:qFormat/>
    <w:rsid w:val="008B679D"/>
    <w:pPr>
      <w:numPr>
        <w:ilvl w:val="4"/>
        <w:numId w:val="44"/>
      </w:numPr>
      <w:spacing w:before="240" w:after="60"/>
      <w:outlineLvl w:val="4"/>
    </w:pPr>
    <w:rPr>
      <w:b/>
      <w:bCs/>
      <w:i/>
      <w:iCs/>
      <w:sz w:val="26"/>
      <w:szCs w:val="26"/>
    </w:rPr>
  </w:style>
  <w:style w:type="paragraph" w:styleId="Heading6">
    <w:name w:val="heading 6"/>
    <w:basedOn w:val="Normal"/>
    <w:next w:val="Normal"/>
    <w:link w:val="Heading6Char"/>
    <w:uiPriority w:val="99"/>
    <w:qFormat/>
    <w:rsid w:val="008B679D"/>
    <w:pPr>
      <w:numPr>
        <w:ilvl w:val="5"/>
        <w:numId w:val="44"/>
      </w:numPr>
      <w:spacing w:before="240" w:after="60"/>
      <w:outlineLvl w:val="5"/>
    </w:pPr>
    <w:rPr>
      <w:b/>
      <w:bCs/>
      <w:sz w:val="22"/>
      <w:szCs w:val="22"/>
    </w:rPr>
  </w:style>
  <w:style w:type="paragraph" w:styleId="Heading7">
    <w:name w:val="heading 7"/>
    <w:basedOn w:val="Normal"/>
    <w:next w:val="Normal"/>
    <w:link w:val="Heading7Char"/>
    <w:uiPriority w:val="99"/>
    <w:qFormat/>
    <w:rsid w:val="008B679D"/>
    <w:pPr>
      <w:numPr>
        <w:ilvl w:val="6"/>
        <w:numId w:val="44"/>
      </w:numPr>
      <w:spacing w:before="240" w:after="60"/>
      <w:outlineLvl w:val="6"/>
    </w:pPr>
  </w:style>
  <w:style w:type="paragraph" w:styleId="Heading8">
    <w:name w:val="heading 8"/>
    <w:basedOn w:val="Normal"/>
    <w:next w:val="Normal"/>
    <w:link w:val="Heading8Char"/>
    <w:uiPriority w:val="99"/>
    <w:qFormat/>
    <w:rsid w:val="008B679D"/>
    <w:pPr>
      <w:numPr>
        <w:ilvl w:val="7"/>
        <w:numId w:val="44"/>
      </w:numPr>
      <w:spacing w:before="240" w:after="60"/>
      <w:outlineLvl w:val="7"/>
    </w:pPr>
    <w:rPr>
      <w:i/>
      <w:iCs/>
    </w:rPr>
  </w:style>
  <w:style w:type="paragraph" w:styleId="Heading9">
    <w:name w:val="heading 9"/>
    <w:basedOn w:val="Normal"/>
    <w:next w:val="Normal"/>
    <w:link w:val="Heading9Char"/>
    <w:uiPriority w:val="99"/>
    <w:qFormat/>
    <w:rsid w:val="008B679D"/>
    <w:pPr>
      <w:numPr>
        <w:ilvl w:val="8"/>
        <w:numId w:val="4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1752"/>
    <w:rPr>
      <w:rFonts w:ascii="Calibri" w:eastAsia="Times New Roman" w:hAnsi="Calibri" w:cstheme="minorHAnsi"/>
      <w:b/>
      <w:sz w:val="28"/>
      <w:szCs w:val="24"/>
    </w:rPr>
  </w:style>
  <w:style w:type="character" w:customStyle="1" w:styleId="Heading2Char">
    <w:name w:val="Heading 2 Char"/>
    <w:basedOn w:val="DefaultParagraphFont"/>
    <w:link w:val="Heading2"/>
    <w:uiPriority w:val="99"/>
    <w:rsid w:val="00B21752"/>
    <w:rPr>
      <w:rFonts w:eastAsia="Times New Roman" w:cstheme="minorHAnsi"/>
      <w:b/>
      <w:sz w:val="28"/>
      <w:szCs w:val="24"/>
    </w:rPr>
  </w:style>
  <w:style w:type="character" w:customStyle="1" w:styleId="Heading3Char">
    <w:name w:val="Heading 3 Char"/>
    <w:basedOn w:val="DefaultParagraphFont"/>
    <w:link w:val="Heading3"/>
    <w:uiPriority w:val="99"/>
    <w:rsid w:val="00763B0A"/>
    <w:rPr>
      <w:rFonts w:eastAsia="Times New Roman" w:cs="Times New Roman"/>
      <w:b/>
      <w:sz w:val="28"/>
      <w:szCs w:val="24"/>
    </w:rPr>
  </w:style>
  <w:style w:type="character" w:customStyle="1" w:styleId="Heading4Char">
    <w:name w:val="Heading 4 Char"/>
    <w:basedOn w:val="DefaultParagraphFont"/>
    <w:link w:val="Heading4"/>
    <w:uiPriority w:val="99"/>
    <w:rsid w:val="005D60EA"/>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8B67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B679D"/>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679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B67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8B679D"/>
    <w:rPr>
      <w:rFonts w:ascii="Arial" w:eastAsia="Times New Roman" w:hAnsi="Arial" w:cs="Arial"/>
    </w:rPr>
  </w:style>
  <w:style w:type="paragraph" w:styleId="BodyText">
    <w:name w:val="Body Text"/>
    <w:basedOn w:val="Normal"/>
    <w:link w:val="BodyTextChar"/>
    <w:uiPriority w:val="99"/>
    <w:rsid w:val="008B679D"/>
    <w:rPr>
      <w:i/>
      <w:iCs/>
      <w:color w:val="999999"/>
    </w:rPr>
  </w:style>
  <w:style w:type="character" w:customStyle="1" w:styleId="BodyTextChar">
    <w:name w:val="Body Text Char"/>
    <w:basedOn w:val="DefaultParagraphFont"/>
    <w:link w:val="BodyText"/>
    <w:uiPriority w:val="99"/>
    <w:rsid w:val="008B679D"/>
    <w:rPr>
      <w:rFonts w:ascii="Times New Roman" w:eastAsia="Times New Roman" w:hAnsi="Times New Roman" w:cs="Times New Roman"/>
      <w:i/>
      <w:iCs/>
      <w:color w:val="999999"/>
      <w:sz w:val="24"/>
      <w:szCs w:val="24"/>
    </w:rPr>
  </w:style>
  <w:style w:type="character" w:styleId="Hyperlink">
    <w:name w:val="Hyperlink"/>
    <w:basedOn w:val="DefaultParagraphFont"/>
    <w:uiPriority w:val="99"/>
    <w:rsid w:val="00E50668"/>
    <w:rPr>
      <w:rFonts w:cs="Times New Roman"/>
      <w:color w:val="0000FF"/>
      <w:u w:val="single"/>
    </w:rPr>
  </w:style>
  <w:style w:type="table" w:styleId="TableGrid">
    <w:name w:val="Table Grid"/>
    <w:basedOn w:val="TableNormal"/>
    <w:uiPriority w:val="59"/>
    <w:rsid w:val="008B67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101163"/>
    <w:rPr>
      <w:sz w:val="20"/>
      <w:szCs w:val="20"/>
    </w:rPr>
  </w:style>
  <w:style w:type="character" w:customStyle="1" w:styleId="FootnoteTextChar">
    <w:name w:val="Footnote Text Char"/>
    <w:basedOn w:val="DefaultParagraphFont"/>
    <w:link w:val="FootnoteText"/>
    <w:uiPriority w:val="99"/>
    <w:rsid w:val="00101163"/>
    <w:rPr>
      <w:rFonts w:eastAsia="Times New Roman" w:cs="Times New Roman"/>
      <w:sz w:val="20"/>
      <w:szCs w:val="20"/>
    </w:rPr>
  </w:style>
  <w:style w:type="character" w:styleId="FootnoteReference">
    <w:name w:val="footnote reference"/>
    <w:uiPriority w:val="99"/>
    <w:unhideWhenUsed/>
    <w:rsid w:val="006A0290"/>
    <w:rPr>
      <w:rFonts w:asciiTheme="minorHAnsi" w:hAnsiTheme="minorHAnsi"/>
      <w:color w:val="7F7F7F" w:themeColor="text1" w:themeTint="80"/>
      <w:vertAlign w:val="superscript"/>
      <w:lang w:eastAsia="en-AU"/>
    </w:rPr>
  </w:style>
  <w:style w:type="paragraph" w:styleId="Header">
    <w:name w:val="header"/>
    <w:basedOn w:val="Normal"/>
    <w:link w:val="HeaderChar"/>
    <w:uiPriority w:val="99"/>
    <w:unhideWhenUsed/>
    <w:rsid w:val="008B679D"/>
    <w:pPr>
      <w:tabs>
        <w:tab w:val="center" w:pos="4513"/>
        <w:tab w:val="right" w:pos="9026"/>
      </w:tabs>
    </w:pPr>
  </w:style>
  <w:style w:type="character" w:customStyle="1" w:styleId="HeaderChar">
    <w:name w:val="Header Char"/>
    <w:basedOn w:val="DefaultParagraphFont"/>
    <w:link w:val="Header"/>
    <w:uiPriority w:val="99"/>
    <w:rsid w:val="008B67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79D"/>
    <w:pPr>
      <w:tabs>
        <w:tab w:val="center" w:pos="4513"/>
        <w:tab w:val="right" w:pos="9026"/>
      </w:tabs>
    </w:pPr>
  </w:style>
  <w:style w:type="character" w:customStyle="1" w:styleId="FooterChar">
    <w:name w:val="Footer Char"/>
    <w:basedOn w:val="DefaultParagraphFont"/>
    <w:link w:val="Footer"/>
    <w:uiPriority w:val="99"/>
    <w:rsid w:val="008B67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16"/>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5B5CE6"/>
    <w:rPr>
      <w:sz w:val="20"/>
      <w:szCs w:val="20"/>
    </w:rPr>
  </w:style>
  <w:style w:type="character" w:customStyle="1" w:styleId="EndnoteTextChar">
    <w:name w:val="Endnote Text Char"/>
    <w:basedOn w:val="DefaultParagraphFont"/>
    <w:link w:val="EndnoteText"/>
    <w:uiPriority w:val="99"/>
    <w:semiHidden/>
    <w:rsid w:val="005B5C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CE6"/>
    <w:rPr>
      <w:vertAlign w:val="superscript"/>
    </w:rPr>
  </w:style>
  <w:style w:type="character" w:styleId="CommentReference">
    <w:name w:val="annotation reference"/>
    <w:basedOn w:val="DefaultParagraphFont"/>
    <w:uiPriority w:val="99"/>
    <w:semiHidden/>
    <w:unhideWhenUsed/>
    <w:rsid w:val="0086625E"/>
    <w:rPr>
      <w:sz w:val="16"/>
      <w:szCs w:val="16"/>
    </w:rPr>
  </w:style>
  <w:style w:type="paragraph" w:styleId="CommentText">
    <w:name w:val="annotation text"/>
    <w:basedOn w:val="Normal"/>
    <w:link w:val="CommentTextChar"/>
    <w:uiPriority w:val="99"/>
    <w:unhideWhenUsed/>
    <w:rsid w:val="0086625E"/>
    <w:rPr>
      <w:sz w:val="20"/>
      <w:szCs w:val="20"/>
    </w:rPr>
  </w:style>
  <w:style w:type="character" w:customStyle="1" w:styleId="CommentTextChar">
    <w:name w:val="Comment Text Char"/>
    <w:basedOn w:val="DefaultParagraphFont"/>
    <w:link w:val="CommentText"/>
    <w:uiPriority w:val="99"/>
    <w:rsid w:val="00866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5E"/>
    <w:rPr>
      <w:b/>
      <w:bCs/>
    </w:rPr>
  </w:style>
  <w:style w:type="character" w:customStyle="1" w:styleId="CommentSubjectChar">
    <w:name w:val="Comment Subject Char"/>
    <w:basedOn w:val="CommentTextChar"/>
    <w:link w:val="CommentSubject"/>
    <w:uiPriority w:val="99"/>
    <w:semiHidden/>
    <w:rsid w:val="0086625E"/>
    <w:rPr>
      <w:rFonts w:ascii="Times New Roman" w:eastAsia="Times New Roman" w:hAnsi="Times New Roman" w:cs="Times New Roman"/>
      <w:b/>
      <w:bCs/>
      <w:sz w:val="20"/>
      <w:szCs w:val="20"/>
    </w:rPr>
  </w:style>
  <w:style w:type="paragraph" w:styleId="ListParagraph">
    <w:name w:val="List Paragraph"/>
    <w:basedOn w:val="Normal"/>
    <w:uiPriority w:val="34"/>
    <w:qFormat/>
    <w:rsid w:val="001052B4"/>
    <w:pPr>
      <w:ind w:left="720"/>
      <w:contextualSpacing/>
    </w:pPr>
  </w:style>
  <w:style w:type="character" w:styleId="FollowedHyperlink">
    <w:name w:val="FollowedHyperlink"/>
    <w:basedOn w:val="DefaultParagraphFont"/>
    <w:uiPriority w:val="99"/>
    <w:semiHidden/>
    <w:unhideWhenUsed/>
    <w:rsid w:val="005D6897"/>
    <w:rPr>
      <w:color w:val="800080" w:themeColor="followedHyperlink"/>
      <w:u w:val="single"/>
    </w:rPr>
  </w:style>
  <w:style w:type="paragraph" w:styleId="NormalWeb">
    <w:name w:val="Normal (Web)"/>
    <w:basedOn w:val="Normal"/>
    <w:uiPriority w:val="99"/>
    <w:semiHidden/>
    <w:unhideWhenUsed/>
    <w:rsid w:val="00733BA2"/>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981F86"/>
    <w:pPr>
      <w:spacing w:after="0"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B2DE9"/>
    <w:rPr>
      <w:color w:val="605E5C"/>
      <w:shd w:val="clear" w:color="auto" w:fill="E1DFDD"/>
    </w:rPr>
  </w:style>
  <w:style w:type="paragraph" w:styleId="Caption">
    <w:name w:val="caption"/>
    <w:next w:val="Normal"/>
    <w:uiPriority w:val="35"/>
    <w:unhideWhenUsed/>
    <w:qFormat/>
    <w:rsid w:val="00AB3BE2"/>
    <w:pPr>
      <w:keepNext/>
      <w:spacing w:before="120" w:after="0"/>
    </w:pPr>
    <w:rPr>
      <w:rFonts w:eastAsia="Times New Roman" w:cs="Times New Roman"/>
      <w:b/>
      <w:iCs/>
      <w:szCs w:val="18"/>
    </w:rPr>
  </w:style>
  <w:style w:type="paragraph" w:styleId="Title">
    <w:name w:val="Title"/>
    <w:next w:val="Normal"/>
    <w:link w:val="TitleChar"/>
    <w:uiPriority w:val="10"/>
    <w:qFormat/>
    <w:rsid w:val="008739E4"/>
    <w:pPr>
      <w:spacing w:before="960"/>
      <w:jc w:val="center"/>
    </w:pPr>
    <w:rPr>
      <w:rFonts w:eastAsia="SimSun" w:cs="Times New Roman"/>
      <w:b/>
      <w:bCs/>
      <w:sz w:val="32"/>
      <w:szCs w:val="32"/>
    </w:rPr>
  </w:style>
  <w:style w:type="character" w:customStyle="1" w:styleId="TitleChar">
    <w:name w:val="Title Char"/>
    <w:basedOn w:val="DefaultParagraphFont"/>
    <w:link w:val="Title"/>
    <w:uiPriority w:val="10"/>
    <w:rsid w:val="008739E4"/>
    <w:rPr>
      <w:rFonts w:eastAsia="SimSun" w:cs="Times New Roman"/>
      <w:b/>
      <w:bCs/>
      <w:sz w:val="32"/>
      <w:szCs w:val="32"/>
    </w:rPr>
  </w:style>
  <w:style w:type="paragraph" w:styleId="Subtitle">
    <w:name w:val="Subtitle"/>
    <w:basedOn w:val="Title"/>
    <w:next w:val="Normal"/>
    <w:link w:val="SubtitleChar"/>
    <w:uiPriority w:val="11"/>
    <w:qFormat/>
    <w:rsid w:val="00400C30"/>
    <w:rPr>
      <w:sz w:val="28"/>
    </w:rPr>
  </w:style>
  <w:style w:type="character" w:customStyle="1" w:styleId="SubtitleChar">
    <w:name w:val="Subtitle Char"/>
    <w:basedOn w:val="DefaultParagraphFont"/>
    <w:link w:val="Subtitle"/>
    <w:uiPriority w:val="11"/>
    <w:rsid w:val="00400C30"/>
    <w:rPr>
      <w:rFonts w:eastAsia="SimSun" w:cs="Times New Roman"/>
      <w:b/>
      <w:bCs/>
      <w:sz w:val="28"/>
      <w:szCs w:val="32"/>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722">
      <w:bodyDiv w:val="1"/>
      <w:marLeft w:val="0"/>
      <w:marRight w:val="0"/>
      <w:marTop w:val="0"/>
      <w:marBottom w:val="0"/>
      <w:divBdr>
        <w:top w:val="none" w:sz="0" w:space="0" w:color="auto"/>
        <w:left w:val="none" w:sz="0" w:space="0" w:color="auto"/>
        <w:bottom w:val="none" w:sz="0" w:space="0" w:color="auto"/>
        <w:right w:val="none" w:sz="0" w:space="0" w:color="auto"/>
      </w:divBdr>
    </w:div>
    <w:div w:id="80107079">
      <w:bodyDiv w:val="1"/>
      <w:marLeft w:val="0"/>
      <w:marRight w:val="0"/>
      <w:marTop w:val="0"/>
      <w:marBottom w:val="0"/>
      <w:divBdr>
        <w:top w:val="none" w:sz="0" w:space="0" w:color="auto"/>
        <w:left w:val="none" w:sz="0" w:space="0" w:color="auto"/>
        <w:bottom w:val="none" w:sz="0" w:space="0" w:color="auto"/>
        <w:right w:val="none" w:sz="0" w:space="0" w:color="auto"/>
      </w:divBdr>
    </w:div>
    <w:div w:id="192809658">
      <w:bodyDiv w:val="1"/>
      <w:marLeft w:val="0"/>
      <w:marRight w:val="0"/>
      <w:marTop w:val="0"/>
      <w:marBottom w:val="0"/>
      <w:divBdr>
        <w:top w:val="none" w:sz="0" w:space="0" w:color="auto"/>
        <w:left w:val="none" w:sz="0" w:space="0" w:color="auto"/>
        <w:bottom w:val="none" w:sz="0" w:space="0" w:color="auto"/>
        <w:right w:val="none" w:sz="0" w:space="0" w:color="auto"/>
      </w:divBdr>
    </w:div>
    <w:div w:id="246308405">
      <w:bodyDiv w:val="1"/>
      <w:marLeft w:val="0"/>
      <w:marRight w:val="0"/>
      <w:marTop w:val="0"/>
      <w:marBottom w:val="0"/>
      <w:divBdr>
        <w:top w:val="none" w:sz="0" w:space="0" w:color="auto"/>
        <w:left w:val="none" w:sz="0" w:space="0" w:color="auto"/>
        <w:bottom w:val="none" w:sz="0" w:space="0" w:color="auto"/>
        <w:right w:val="none" w:sz="0" w:space="0" w:color="auto"/>
      </w:divBdr>
    </w:div>
    <w:div w:id="280382971">
      <w:bodyDiv w:val="1"/>
      <w:marLeft w:val="0"/>
      <w:marRight w:val="0"/>
      <w:marTop w:val="0"/>
      <w:marBottom w:val="0"/>
      <w:divBdr>
        <w:top w:val="none" w:sz="0" w:space="0" w:color="auto"/>
        <w:left w:val="none" w:sz="0" w:space="0" w:color="auto"/>
        <w:bottom w:val="none" w:sz="0" w:space="0" w:color="auto"/>
        <w:right w:val="none" w:sz="0" w:space="0" w:color="auto"/>
      </w:divBdr>
    </w:div>
    <w:div w:id="282418211">
      <w:bodyDiv w:val="1"/>
      <w:marLeft w:val="0"/>
      <w:marRight w:val="0"/>
      <w:marTop w:val="0"/>
      <w:marBottom w:val="0"/>
      <w:divBdr>
        <w:top w:val="none" w:sz="0" w:space="0" w:color="auto"/>
        <w:left w:val="none" w:sz="0" w:space="0" w:color="auto"/>
        <w:bottom w:val="none" w:sz="0" w:space="0" w:color="auto"/>
        <w:right w:val="none" w:sz="0" w:space="0" w:color="auto"/>
      </w:divBdr>
    </w:div>
    <w:div w:id="329253993">
      <w:bodyDiv w:val="1"/>
      <w:marLeft w:val="0"/>
      <w:marRight w:val="0"/>
      <w:marTop w:val="0"/>
      <w:marBottom w:val="0"/>
      <w:divBdr>
        <w:top w:val="none" w:sz="0" w:space="0" w:color="auto"/>
        <w:left w:val="none" w:sz="0" w:space="0" w:color="auto"/>
        <w:bottom w:val="none" w:sz="0" w:space="0" w:color="auto"/>
        <w:right w:val="none" w:sz="0" w:space="0" w:color="auto"/>
      </w:divBdr>
    </w:div>
    <w:div w:id="474445794">
      <w:bodyDiv w:val="1"/>
      <w:marLeft w:val="0"/>
      <w:marRight w:val="0"/>
      <w:marTop w:val="0"/>
      <w:marBottom w:val="0"/>
      <w:divBdr>
        <w:top w:val="none" w:sz="0" w:space="0" w:color="auto"/>
        <w:left w:val="none" w:sz="0" w:space="0" w:color="auto"/>
        <w:bottom w:val="none" w:sz="0" w:space="0" w:color="auto"/>
        <w:right w:val="none" w:sz="0" w:space="0" w:color="auto"/>
      </w:divBdr>
    </w:div>
    <w:div w:id="483743292">
      <w:bodyDiv w:val="1"/>
      <w:marLeft w:val="0"/>
      <w:marRight w:val="0"/>
      <w:marTop w:val="0"/>
      <w:marBottom w:val="0"/>
      <w:divBdr>
        <w:top w:val="none" w:sz="0" w:space="0" w:color="auto"/>
        <w:left w:val="none" w:sz="0" w:space="0" w:color="auto"/>
        <w:bottom w:val="none" w:sz="0" w:space="0" w:color="auto"/>
        <w:right w:val="none" w:sz="0" w:space="0" w:color="auto"/>
      </w:divBdr>
    </w:div>
    <w:div w:id="520557950">
      <w:bodyDiv w:val="1"/>
      <w:marLeft w:val="0"/>
      <w:marRight w:val="0"/>
      <w:marTop w:val="0"/>
      <w:marBottom w:val="0"/>
      <w:divBdr>
        <w:top w:val="none" w:sz="0" w:space="0" w:color="auto"/>
        <w:left w:val="none" w:sz="0" w:space="0" w:color="auto"/>
        <w:bottom w:val="none" w:sz="0" w:space="0" w:color="auto"/>
        <w:right w:val="none" w:sz="0" w:space="0" w:color="auto"/>
      </w:divBdr>
    </w:div>
    <w:div w:id="565728523">
      <w:bodyDiv w:val="1"/>
      <w:marLeft w:val="0"/>
      <w:marRight w:val="0"/>
      <w:marTop w:val="0"/>
      <w:marBottom w:val="0"/>
      <w:divBdr>
        <w:top w:val="none" w:sz="0" w:space="0" w:color="auto"/>
        <w:left w:val="none" w:sz="0" w:space="0" w:color="auto"/>
        <w:bottom w:val="none" w:sz="0" w:space="0" w:color="auto"/>
        <w:right w:val="none" w:sz="0" w:space="0" w:color="auto"/>
      </w:divBdr>
    </w:div>
    <w:div w:id="601841866">
      <w:bodyDiv w:val="1"/>
      <w:marLeft w:val="0"/>
      <w:marRight w:val="0"/>
      <w:marTop w:val="0"/>
      <w:marBottom w:val="0"/>
      <w:divBdr>
        <w:top w:val="none" w:sz="0" w:space="0" w:color="auto"/>
        <w:left w:val="none" w:sz="0" w:space="0" w:color="auto"/>
        <w:bottom w:val="none" w:sz="0" w:space="0" w:color="auto"/>
        <w:right w:val="none" w:sz="0" w:space="0" w:color="auto"/>
      </w:divBdr>
    </w:div>
    <w:div w:id="693917968">
      <w:bodyDiv w:val="1"/>
      <w:marLeft w:val="0"/>
      <w:marRight w:val="0"/>
      <w:marTop w:val="0"/>
      <w:marBottom w:val="0"/>
      <w:divBdr>
        <w:top w:val="none" w:sz="0" w:space="0" w:color="auto"/>
        <w:left w:val="none" w:sz="0" w:space="0" w:color="auto"/>
        <w:bottom w:val="none" w:sz="0" w:space="0" w:color="auto"/>
        <w:right w:val="none" w:sz="0" w:space="0" w:color="auto"/>
      </w:divBdr>
    </w:div>
    <w:div w:id="732042195">
      <w:bodyDiv w:val="1"/>
      <w:marLeft w:val="0"/>
      <w:marRight w:val="0"/>
      <w:marTop w:val="0"/>
      <w:marBottom w:val="0"/>
      <w:divBdr>
        <w:top w:val="none" w:sz="0" w:space="0" w:color="auto"/>
        <w:left w:val="none" w:sz="0" w:space="0" w:color="auto"/>
        <w:bottom w:val="none" w:sz="0" w:space="0" w:color="auto"/>
        <w:right w:val="none" w:sz="0" w:space="0" w:color="auto"/>
      </w:divBdr>
    </w:div>
    <w:div w:id="736973400">
      <w:bodyDiv w:val="1"/>
      <w:marLeft w:val="0"/>
      <w:marRight w:val="0"/>
      <w:marTop w:val="0"/>
      <w:marBottom w:val="0"/>
      <w:divBdr>
        <w:top w:val="none" w:sz="0" w:space="0" w:color="auto"/>
        <w:left w:val="none" w:sz="0" w:space="0" w:color="auto"/>
        <w:bottom w:val="none" w:sz="0" w:space="0" w:color="auto"/>
        <w:right w:val="none" w:sz="0" w:space="0" w:color="auto"/>
      </w:divBdr>
    </w:div>
    <w:div w:id="785463346">
      <w:bodyDiv w:val="1"/>
      <w:marLeft w:val="0"/>
      <w:marRight w:val="0"/>
      <w:marTop w:val="0"/>
      <w:marBottom w:val="0"/>
      <w:divBdr>
        <w:top w:val="none" w:sz="0" w:space="0" w:color="auto"/>
        <w:left w:val="none" w:sz="0" w:space="0" w:color="auto"/>
        <w:bottom w:val="none" w:sz="0" w:space="0" w:color="auto"/>
        <w:right w:val="none" w:sz="0" w:space="0" w:color="auto"/>
      </w:divBdr>
    </w:div>
    <w:div w:id="795951550">
      <w:bodyDiv w:val="1"/>
      <w:marLeft w:val="0"/>
      <w:marRight w:val="0"/>
      <w:marTop w:val="0"/>
      <w:marBottom w:val="0"/>
      <w:divBdr>
        <w:top w:val="none" w:sz="0" w:space="0" w:color="auto"/>
        <w:left w:val="none" w:sz="0" w:space="0" w:color="auto"/>
        <w:bottom w:val="none" w:sz="0" w:space="0" w:color="auto"/>
        <w:right w:val="none" w:sz="0" w:space="0" w:color="auto"/>
      </w:divBdr>
    </w:div>
    <w:div w:id="804544697">
      <w:bodyDiv w:val="1"/>
      <w:marLeft w:val="0"/>
      <w:marRight w:val="0"/>
      <w:marTop w:val="0"/>
      <w:marBottom w:val="0"/>
      <w:divBdr>
        <w:top w:val="none" w:sz="0" w:space="0" w:color="auto"/>
        <w:left w:val="none" w:sz="0" w:space="0" w:color="auto"/>
        <w:bottom w:val="none" w:sz="0" w:space="0" w:color="auto"/>
        <w:right w:val="none" w:sz="0" w:space="0" w:color="auto"/>
      </w:divBdr>
    </w:div>
    <w:div w:id="861551061">
      <w:bodyDiv w:val="1"/>
      <w:marLeft w:val="0"/>
      <w:marRight w:val="0"/>
      <w:marTop w:val="0"/>
      <w:marBottom w:val="0"/>
      <w:divBdr>
        <w:top w:val="none" w:sz="0" w:space="0" w:color="auto"/>
        <w:left w:val="none" w:sz="0" w:space="0" w:color="auto"/>
        <w:bottom w:val="none" w:sz="0" w:space="0" w:color="auto"/>
        <w:right w:val="none" w:sz="0" w:space="0" w:color="auto"/>
      </w:divBdr>
    </w:div>
    <w:div w:id="900363742">
      <w:bodyDiv w:val="1"/>
      <w:marLeft w:val="0"/>
      <w:marRight w:val="0"/>
      <w:marTop w:val="0"/>
      <w:marBottom w:val="0"/>
      <w:divBdr>
        <w:top w:val="none" w:sz="0" w:space="0" w:color="auto"/>
        <w:left w:val="none" w:sz="0" w:space="0" w:color="auto"/>
        <w:bottom w:val="none" w:sz="0" w:space="0" w:color="auto"/>
        <w:right w:val="none" w:sz="0" w:space="0" w:color="auto"/>
      </w:divBdr>
    </w:div>
    <w:div w:id="955210740">
      <w:bodyDiv w:val="1"/>
      <w:marLeft w:val="0"/>
      <w:marRight w:val="0"/>
      <w:marTop w:val="0"/>
      <w:marBottom w:val="0"/>
      <w:divBdr>
        <w:top w:val="none" w:sz="0" w:space="0" w:color="auto"/>
        <w:left w:val="none" w:sz="0" w:space="0" w:color="auto"/>
        <w:bottom w:val="none" w:sz="0" w:space="0" w:color="auto"/>
        <w:right w:val="none" w:sz="0" w:space="0" w:color="auto"/>
      </w:divBdr>
    </w:div>
    <w:div w:id="973871158">
      <w:bodyDiv w:val="1"/>
      <w:marLeft w:val="0"/>
      <w:marRight w:val="0"/>
      <w:marTop w:val="0"/>
      <w:marBottom w:val="0"/>
      <w:divBdr>
        <w:top w:val="none" w:sz="0" w:space="0" w:color="auto"/>
        <w:left w:val="none" w:sz="0" w:space="0" w:color="auto"/>
        <w:bottom w:val="none" w:sz="0" w:space="0" w:color="auto"/>
        <w:right w:val="none" w:sz="0" w:space="0" w:color="auto"/>
      </w:divBdr>
    </w:div>
    <w:div w:id="1052654262">
      <w:bodyDiv w:val="1"/>
      <w:marLeft w:val="0"/>
      <w:marRight w:val="0"/>
      <w:marTop w:val="0"/>
      <w:marBottom w:val="0"/>
      <w:divBdr>
        <w:top w:val="none" w:sz="0" w:space="0" w:color="auto"/>
        <w:left w:val="none" w:sz="0" w:space="0" w:color="auto"/>
        <w:bottom w:val="none" w:sz="0" w:space="0" w:color="auto"/>
        <w:right w:val="none" w:sz="0" w:space="0" w:color="auto"/>
      </w:divBdr>
    </w:div>
    <w:div w:id="1064180344">
      <w:bodyDiv w:val="1"/>
      <w:marLeft w:val="0"/>
      <w:marRight w:val="0"/>
      <w:marTop w:val="0"/>
      <w:marBottom w:val="0"/>
      <w:divBdr>
        <w:top w:val="none" w:sz="0" w:space="0" w:color="auto"/>
        <w:left w:val="none" w:sz="0" w:space="0" w:color="auto"/>
        <w:bottom w:val="none" w:sz="0" w:space="0" w:color="auto"/>
        <w:right w:val="none" w:sz="0" w:space="0" w:color="auto"/>
      </w:divBdr>
    </w:div>
    <w:div w:id="1074744675">
      <w:bodyDiv w:val="1"/>
      <w:marLeft w:val="0"/>
      <w:marRight w:val="0"/>
      <w:marTop w:val="0"/>
      <w:marBottom w:val="0"/>
      <w:divBdr>
        <w:top w:val="none" w:sz="0" w:space="0" w:color="auto"/>
        <w:left w:val="none" w:sz="0" w:space="0" w:color="auto"/>
        <w:bottom w:val="none" w:sz="0" w:space="0" w:color="auto"/>
        <w:right w:val="none" w:sz="0" w:space="0" w:color="auto"/>
      </w:divBdr>
    </w:div>
    <w:div w:id="1093747141">
      <w:bodyDiv w:val="1"/>
      <w:marLeft w:val="0"/>
      <w:marRight w:val="0"/>
      <w:marTop w:val="0"/>
      <w:marBottom w:val="0"/>
      <w:divBdr>
        <w:top w:val="none" w:sz="0" w:space="0" w:color="auto"/>
        <w:left w:val="none" w:sz="0" w:space="0" w:color="auto"/>
        <w:bottom w:val="none" w:sz="0" w:space="0" w:color="auto"/>
        <w:right w:val="none" w:sz="0" w:space="0" w:color="auto"/>
      </w:divBdr>
    </w:div>
    <w:div w:id="1100762963">
      <w:bodyDiv w:val="1"/>
      <w:marLeft w:val="0"/>
      <w:marRight w:val="0"/>
      <w:marTop w:val="0"/>
      <w:marBottom w:val="0"/>
      <w:divBdr>
        <w:top w:val="none" w:sz="0" w:space="0" w:color="auto"/>
        <w:left w:val="none" w:sz="0" w:space="0" w:color="auto"/>
        <w:bottom w:val="none" w:sz="0" w:space="0" w:color="auto"/>
        <w:right w:val="none" w:sz="0" w:space="0" w:color="auto"/>
      </w:divBdr>
    </w:div>
    <w:div w:id="1129472669">
      <w:bodyDiv w:val="1"/>
      <w:marLeft w:val="0"/>
      <w:marRight w:val="0"/>
      <w:marTop w:val="0"/>
      <w:marBottom w:val="0"/>
      <w:divBdr>
        <w:top w:val="none" w:sz="0" w:space="0" w:color="auto"/>
        <w:left w:val="none" w:sz="0" w:space="0" w:color="auto"/>
        <w:bottom w:val="none" w:sz="0" w:space="0" w:color="auto"/>
        <w:right w:val="none" w:sz="0" w:space="0" w:color="auto"/>
      </w:divBdr>
    </w:div>
    <w:div w:id="1140422404">
      <w:bodyDiv w:val="1"/>
      <w:marLeft w:val="0"/>
      <w:marRight w:val="0"/>
      <w:marTop w:val="0"/>
      <w:marBottom w:val="0"/>
      <w:divBdr>
        <w:top w:val="none" w:sz="0" w:space="0" w:color="auto"/>
        <w:left w:val="none" w:sz="0" w:space="0" w:color="auto"/>
        <w:bottom w:val="none" w:sz="0" w:space="0" w:color="auto"/>
        <w:right w:val="none" w:sz="0" w:space="0" w:color="auto"/>
      </w:divBdr>
    </w:div>
    <w:div w:id="1163666050">
      <w:bodyDiv w:val="1"/>
      <w:marLeft w:val="0"/>
      <w:marRight w:val="0"/>
      <w:marTop w:val="0"/>
      <w:marBottom w:val="0"/>
      <w:divBdr>
        <w:top w:val="none" w:sz="0" w:space="0" w:color="auto"/>
        <w:left w:val="none" w:sz="0" w:space="0" w:color="auto"/>
        <w:bottom w:val="none" w:sz="0" w:space="0" w:color="auto"/>
        <w:right w:val="none" w:sz="0" w:space="0" w:color="auto"/>
      </w:divBdr>
    </w:div>
    <w:div w:id="1282110371">
      <w:bodyDiv w:val="1"/>
      <w:marLeft w:val="0"/>
      <w:marRight w:val="0"/>
      <w:marTop w:val="0"/>
      <w:marBottom w:val="0"/>
      <w:divBdr>
        <w:top w:val="none" w:sz="0" w:space="0" w:color="auto"/>
        <w:left w:val="none" w:sz="0" w:space="0" w:color="auto"/>
        <w:bottom w:val="none" w:sz="0" w:space="0" w:color="auto"/>
        <w:right w:val="none" w:sz="0" w:space="0" w:color="auto"/>
      </w:divBdr>
    </w:div>
    <w:div w:id="1285700181">
      <w:bodyDiv w:val="1"/>
      <w:marLeft w:val="0"/>
      <w:marRight w:val="0"/>
      <w:marTop w:val="0"/>
      <w:marBottom w:val="0"/>
      <w:divBdr>
        <w:top w:val="none" w:sz="0" w:space="0" w:color="auto"/>
        <w:left w:val="none" w:sz="0" w:space="0" w:color="auto"/>
        <w:bottom w:val="none" w:sz="0" w:space="0" w:color="auto"/>
        <w:right w:val="none" w:sz="0" w:space="0" w:color="auto"/>
      </w:divBdr>
    </w:div>
    <w:div w:id="1292441291">
      <w:bodyDiv w:val="1"/>
      <w:marLeft w:val="0"/>
      <w:marRight w:val="0"/>
      <w:marTop w:val="0"/>
      <w:marBottom w:val="0"/>
      <w:divBdr>
        <w:top w:val="none" w:sz="0" w:space="0" w:color="auto"/>
        <w:left w:val="none" w:sz="0" w:space="0" w:color="auto"/>
        <w:bottom w:val="none" w:sz="0" w:space="0" w:color="auto"/>
        <w:right w:val="none" w:sz="0" w:space="0" w:color="auto"/>
      </w:divBdr>
    </w:div>
    <w:div w:id="1418088575">
      <w:bodyDiv w:val="1"/>
      <w:marLeft w:val="0"/>
      <w:marRight w:val="0"/>
      <w:marTop w:val="0"/>
      <w:marBottom w:val="0"/>
      <w:divBdr>
        <w:top w:val="none" w:sz="0" w:space="0" w:color="auto"/>
        <w:left w:val="none" w:sz="0" w:space="0" w:color="auto"/>
        <w:bottom w:val="none" w:sz="0" w:space="0" w:color="auto"/>
        <w:right w:val="none" w:sz="0" w:space="0" w:color="auto"/>
      </w:divBdr>
    </w:div>
    <w:div w:id="1420515845">
      <w:bodyDiv w:val="1"/>
      <w:marLeft w:val="0"/>
      <w:marRight w:val="0"/>
      <w:marTop w:val="0"/>
      <w:marBottom w:val="0"/>
      <w:divBdr>
        <w:top w:val="none" w:sz="0" w:space="0" w:color="auto"/>
        <w:left w:val="none" w:sz="0" w:space="0" w:color="auto"/>
        <w:bottom w:val="none" w:sz="0" w:space="0" w:color="auto"/>
        <w:right w:val="none" w:sz="0" w:space="0" w:color="auto"/>
      </w:divBdr>
    </w:div>
    <w:div w:id="1465123711">
      <w:bodyDiv w:val="1"/>
      <w:marLeft w:val="0"/>
      <w:marRight w:val="0"/>
      <w:marTop w:val="0"/>
      <w:marBottom w:val="0"/>
      <w:divBdr>
        <w:top w:val="none" w:sz="0" w:space="0" w:color="auto"/>
        <w:left w:val="none" w:sz="0" w:space="0" w:color="auto"/>
        <w:bottom w:val="none" w:sz="0" w:space="0" w:color="auto"/>
        <w:right w:val="none" w:sz="0" w:space="0" w:color="auto"/>
      </w:divBdr>
    </w:div>
    <w:div w:id="1497647181">
      <w:bodyDiv w:val="1"/>
      <w:marLeft w:val="0"/>
      <w:marRight w:val="0"/>
      <w:marTop w:val="0"/>
      <w:marBottom w:val="0"/>
      <w:divBdr>
        <w:top w:val="none" w:sz="0" w:space="0" w:color="auto"/>
        <w:left w:val="none" w:sz="0" w:space="0" w:color="auto"/>
        <w:bottom w:val="none" w:sz="0" w:space="0" w:color="auto"/>
        <w:right w:val="none" w:sz="0" w:space="0" w:color="auto"/>
      </w:divBdr>
    </w:div>
    <w:div w:id="1504468858">
      <w:bodyDiv w:val="1"/>
      <w:marLeft w:val="0"/>
      <w:marRight w:val="0"/>
      <w:marTop w:val="0"/>
      <w:marBottom w:val="0"/>
      <w:divBdr>
        <w:top w:val="none" w:sz="0" w:space="0" w:color="auto"/>
        <w:left w:val="none" w:sz="0" w:space="0" w:color="auto"/>
        <w:bottom w:val="none" w:sz="0" w:space="0" w:color="auto"/>
        <w:right w:val="none" w:sz="0" w:space="0" w:color="auto"/>
      </w:divBdr>
    </w:div>
    <w:div w:id="1641688160">
      <w:bodyDiv w:val="1"/>
      <w:marLeft w:val="0"/>
      <w:marRight w:val="0"/>
      <w:marTop w:val="0"/>
      <w:marBottom w:val="0"/>
      <w:divBdr>
        <w:top w:val="none" w:sz="0" w:space="0" w:color="auto"/>
        <w:left w:val="none" w:sz="0" w:space="0" w:color="auto"/>
        <w:bottom w:val="none" w:sz="0" w:space="0" w:color="auto"/>
        <w:right w:val="none" w:sz="0" w:space="0" w:color="auto"/>
      </w:divBdr>
    </w:div>
    <w:div w:id="1663390932">
      <w:bodyDiv w:val="1"/>
      <w:marLeft w:val="0"/>
      <w:marRight w:val="0"/>
      <w:marTop w:val="0"/>
      <w:marBottom w:val="0"/>
      <w:divBdr>
        <w:top w:val="none" w:sz="0" w:space="0" w:color="auto"/>
        <w:left w:val="none" w:sz="0" w:space="0" w:color="auto"/>
        <w:bottom w:val="none" w:sz="0" w:space="0" w:color="auto"/>
        <w:right w:val="none" w:sz="0" w:space="0" w:color="auto"/>
      </w:divBdr>
    </w:div>
    <w:div w:id="1709836239">
      <w:bodyDiv w:val="1"/>
      <w:marLeft w:val="0"/>
      <w:marRight w:val="0"/>
      <w:marTop w:val="0"/>
      <w:marBottom w:val="0"/>
      <w:divBdr>
        <w:top w:val="none" w:sz="0" w:space="0" w:color="auto"/>
        <w:left w:val="none" w:sz="0" w:space="0" w:color="auto"/>
        <w:bottom w:val="none" w:sz="0" w:space="0" w:color="auto"/>
        <w:right w:val="none" w:sz="0" w:space="0" w:color="auto"/>
      </w:divBdr>
    </w:div>
    <w:div w:id="1758012522">
      <w:bodyDiv w:val="1"/>
      <w:marLeft w:val="0"/>
      <w:marRight w:val="0"/>
      <w:marTop w:val="0"/>
      <w:marBottom w:val="0"/>
      <w:divBdr>
        <w:top w:val="none" w:sz="0" w:space="0" w:color="auto"/>
        <w:left w:val="none" w:sz="0" w:space="0" w:color="auto"/>
        <w:bottom w:val="none" w:sz="0" w:space="0" w:color="auto"/>
        <w:right w:val="none" w:sz="0" w:space="0" w:color="auto"/>
      </w:divBdr>
    </w:div>
    <w:div w:id="1807508346">
      <w:bodyDiv w:val="1"/>
      <w:marLeft w:val="0"/>
      <w:marRight w:val="0"/>
      <w:marTop w:val="0"/>
      <w:marBottom w:val="0"/>
      <w:divBdr>
        <w:top w:val="none" w:sz="0" w:space="0" w:color="auto"/>
        <w:left w:val="none" w:sz="0" w:space="0" w:color="auto"/>
        <w:bottom w:val="none" w:sz="0" w:space="0" w:color="auto"/>
        <w:right w:val="none" w:sz="0" w:space="0" w:color="auto"/>
      </w:divBdr>
    </w:div>
    <w:div w:id="1819106157">
      <w:bodyDiv w:val="1"/>
      <w:marLeft w:val="0"/>
      <w:marRight w:val="0"/>
      <w:marTop w:val="0"/>
      <w:marBottom w:val="0"/>
      <w:divBdr>
        <w:top w:val="none" w:sz="0" w:space="0" w:color="auto"/>
        <w:left w:val="none" w:sz="0" w:space="0" w:color="auto"/>
        <w:bottom w:val="none" w:sz="0" w:space="0" w:color="auto"/>
        <w:right w:val="none" w:sz="0" w:space="0" w:color="auto"/>
      </w:divBdr>
    </w:div>
    <w:div w:id="1846167846">
      <w:bodyDiv w:val="1"/>
      <w:marLeft w:val="0"/>
      <w:marRight w:val="0"/>
      <w:marTop w:val="0"/>
      <w:marBottom w:val="0"/>
      <w:divBdr>
        <w:top w:val="none" w:sz="0" w:space="0" w:color="auto"/>
        <w:left w:val="none" w:sz="0" w:space="0" w:color="auto"/>
        <w:bottom w:val="none" w:sz="0" w:space="0" w:color="auto"/>
        <w:right w:val="none" w:sz="0" w:space="0" w:color="auto"/>
      </w:divBdr>
    </w:div>
    <w:div w:id="1902521447">
      <w:bodyDiv w:val="1"/>
      <w:marLeft w:val="0"/>
      <w:marRight w:val="0"/>
      <w:marTop w:val="0"/>
      <w:marBottom w:val="0"/>
      <w:divBdr>
        <w:top w:val="none" w:sz="0" w:space="0" w:color="auto"/>
        <w:left w:val="none" w:sz="0" w:space="0" w:color="auto"/>
        <w:bottom w:val="none" w:sz="0" w:space="0" w:color="auto"/>
        <w:right w:val="none" w:sz="0" w:space="0" w:color="auto"/>
      </w:divBdr>
    </w:div>
    <w:div w:id="1908803347">
      <w:bodyDiv w:val="1"/>
      <w:marLeft w:val="0"/>
      <w:marRight w:val="0"/>
      <w:marTop w:val="0"/>
      <w:marBottom w:val="0"/>
      <w:divBdr>
        <w:top w:val="none" w:sz="0" w:space="0" w:color="auto"/>
        <w:left w:val="none" w:sz="0" w:space="0" w:color="auto"/>
        <w:bottom w:val="none" w:sz="0" w:space="0" w:color="auto"/>
        <w:right w:val="none" w:sz="0" w:space="0" w:color="auto"/>
      </w:divBdr>
    </w:div>
    <w:div w:id="1956985857">
      <w:bodyDiv w:val="1"/>
      <w:marLeft w:val="0"/>
      <w:marRight w:val="0"/>
      <w:marTop w:val="0"/>
      <w:marBottom w:val="0"/>
      <w:divBdr>
        <w:top w:val="none" w:sz="0" w:space="0" w:color="auto"/>
        <w:left w:val="none" w:sz="0" w:space="0" w:color="auto"/>
        <w:bottom w:val="none" w:sz="0" w:space="0" w:color="auto"/>
        <w:right w:val="none" w:sz="0" w:space="0" w:color="auto"/>
      </w:divBdr>
    </w:div>
    <w:div w:id="1967613659">
      <w:bodyDiv w:val="1"/>
      <w:marLeft w:val="0"/>
      <w:marRight w:val="0"/>
      <w:marTop w:val="0"/>
      <w:marBottom w:val="0"/>
      <w:divBdr>
        <w:top w:val="none" w:sz="0" w:space="0" w:color="auto"/>
        <w:left w:val="none" w:sz="0" w:space="0" w:color="auto"/>
        <w:bottom w:val="none" w:sz="0" w:space="0" w:color="auto"/>
        <w:right w:val="none" w:sz="0" w:space="0" w:color="auto"/>
      </w:divBdr>
    </w:div>
    <w:div w:id="1983541116">
      <w:bodyDiv w:val="1"/>
      <w:marLeft w:val="0"/>
      <w:marRight w:val="0"/>
      <w:marTop w:val="0"/>
      <w:marBottom w:val="0"/>
      <w:divBdr>
        <w:top w:val="none" w:sz="0" w:space="0" w:color="auto"/>
        <w:left w:val="none" w:sz="0" w:space="0" w:color="auto"/>
        <w:bottom w:val="none" w:sz="0" w:space="0" w:color="auto"/>
        <w:right w:val="none" w:sz="0" w:space="0" w:color="auto"/>
      </w:divBdr>
    </w:div>
    <w:div w:id="2040734752">
      <w:bodyDiv w:val="1"/>
      <w:marLeft w:val="0"/>
      <w:marRight w:val="0"/>
      <w:marTop w:val="0"/>
      <w:marBottom w:val="0"/>
      <w:divBdr>
        <w:top w:val="none" w:sz="0" w:space="0" w:color="auto"/>
        <w:left w:val="none" w:sz="0" w:space="0" w:color="auto"/>
        <w:bottom w:val="none" w:sz="0" w:space="0" w:color="auto"/>
        <w:right w:val="none" w:sz="0" w:space="0" w:color="auto"/>
      </w:divBdr>
    </w:div>
    <w:div w:id="2047946504">
      <w:bodyDiv w:val="1"/>
      <w:marLeft w:val="0"/>
      <w:marRight w:val="0"/>
      <w:marTop w:val="0"/>
      <w:marBottom w:val="0"/>
      <w:divBdr>
        <w:top w:val="none" w:sz="0" w:space="0" w:color="auto"/>
        <w:left w:val="none" w:sz="0" w:space="0" w:color="auto"/>
        <w:bottom w:val="none" w:sz="0" w:space="0" w:color="auto"/>
        <w:right w:val="none" w:sz="0" w:space="0" w:color="auto"/>
      </w:divBdr>
    </w:div>
    <w:div w:id="21018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private-health-insurance/operating-rules-for-private-health-insurers-and-providers/become-a-second-tier-default-benefits-eligible-hospi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F2018L00718/latest/ver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7A00031/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hospitals@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da57bb351fc9fa96b183e74ef2fe3c32">
  <xsd:schema xmlns:xsd="http://www.w3.org/2001/XMLSchema" xmlns:xs="http://www.w3.org/2001/XMLSchema" xmlns:p="http://schemas.microsoft.com/office/2006/metadata/properties" xmlns:ns2="515d3cfa-8aa5-4e1a-acdf-425843e59d29" targetNamespace="http://schemas.microsoft.com/office/2006/metadata/properties" ma:root="true" ma:fieldsID="199e529430f31c904ddcf4716155e363"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5BEFC-2E10-4E78-92A8-7A9C2F2136FA}">
  <ds:schemaRefs>
    <ds:schemaRef ds:uri="http://schemas.openxmlformats.org/officeDocument/2006/bibliography"/>
  </ds:schemaRefs>
</ds:datastoreItem>
</file>

<file path=customXml/itemProps2.xml><?xml version="1.0" encoding="utf-8"?>
<ds:datastoreItem xmlns:ds="http://schemas.openxmlformats.org/officeDocument/2006/customXml" ds:itemID="{CCDB7EFD-EA1B-46E8-90A1-90227ABD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B4D00-8D6A-40FA-9F7C-3E2D52690349}">
  <ds:schemaRefs>
    <ds:schemaRef ds:uri="http://schemas.microsoft.com/sharepoint/v3/contenttype/forms"/>
  </ds:schemaRefs>
</ds:datastoreItem>
</file>

<file path=customXml/itemProps4.xml><?xml version="1.0" encoding="utf-8"?>
<ds:datastoreItem xmlns:ds="http://schemas.openxmlformats.org/officeDocument/2006/customXml" ds:itemID="{8F4E56BD-C2AD-4FC0-944F-C5AC777824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2228</Words>
  <Characters>13194</Characters>
  <Application>Microsoft Office Word</Application>
  <DocSecurity>0</DocSecurity>
  <Lines>488</Lines>
  <Paragraphs>350</Paragraphs>
  <ScaleCrop>false</ScaleCrop>
  <HeadingPairs>
    <vt:vector size="2" baseType="variant">
      <vt:variant>
        <vt:lpstr>Title</vt:lpstr>
      </vt:variant>
      <vt:variant>
        <vt:i4>1</vt:i4>
      </vt:variant>
    </vt:vector>
  </HeadingPairs>
  <TitlesOfParts>
    <vt:vector size="1" baseType="lpstr">
      <vt:lpstr>2024-2025 Cost Recovery Implementation Statement (CRIS) for Administration of Private Health Insurance Second-tier Benefits</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(CRIS) for Administration of Private Health Insurance Second-tier Benefits</dc:title>
  <dc:subject>Private health insurance</dc:subject>
  <dc:creator>Australian Government Department of Health, Disability and Ageing</dc:creator>
  <cp:keywords>Private Health Insurance; Private Hospitals;</cp:keywords>
  <cp:revision>3</cp:revision>
  <dcterms:created xsi:type="dcterms:W3CDTF">2025-06-29T22:56:00Z</dcterms:created>
  <dcterms:modified xsi:type="dcterms:W3CDTF">2025-06-29T22:57:00Z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