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E531" w14:textId="17326332" w:rsidR="7B3976AF" w:rsidRPr="000D787B" w:rsidRDefault="7B3976AF" w:rsidP="000D787B">
      <w:pPr>
        <w:pStyle w:val="Title"/>
      </w:pPr>
      <w:r w:rsidRPr="000D787B">
        <w:t>Capacity</w:t>
      </w:r>
      <w:r w:rsidR="008F0DDD" w:rsidRPr="000D787B">
        <w:t xml:space="preserve"> in the registered supporter context</w:t>
      </w:r>
      <w:r w:rsidR="000F6D45" w:rsidRPr="000D787B">
        <w:t xml:space="preserve"> </w:t>
      </w:r>
    </w:p>
    <w:p w14:paraId="7F783572" w14:textId="7502E4FE" w:rsidR="00C330C8" w:rsidRDefault="00C330C8" w:rsidP="000A5708">
      <w:pPr>
        <w:pStyle w:val="Subtitle"/>
      </w:pPr>
      <w:r>
        <w:t>Policy for registered supporters</w:t>
      </w:r>
    </w:p>
    <w:p w14:paraId="74680286" w14:textId="33D1775F" w:rsidR="00CE6502" w:rsidRDefault="004D073E" w:rsidP="003D2D88">
      <w:pPr>
        <w:pStyle w:val="Heading1"/>
      </w:pPr>
      <w:bookmarkStart w:id="0" w:name="_Toc211959421"/>
      <w:bookmarkStart w:id="1" w:name="_Toc212063423"/>
      <w:r>
        <w:t>Summary</w:t>
      </w:r>
      <w:bookmarkEnd w:id="0"/>
      <w:bookmarkEnd w:id="1"/>
    </w:p>
    <w:p w14:paraId="7AD37096" w14:textId="2ED4829A" w:rsidR="00C33D2D" w:rsidRPr="00513691" w:rsidRDefault="00D12299" w:rsidP="00513691">
      <w:r w:rsidRPr="00D12299">
        <w:t xml:space="preserve">This policy outlines </w:t>
      </w:r>
      <w:r w:rsidR="00C82FDB">
        <w:t xml:space="preserve">the concept of capacity </w:t>
      </w:r>
      <w:r w:rsidR="00DC33BF">
        <w:t xml:space="preserve">in the context of an older person’s ability to make </w:t>
      </w:r>
      <w:r w:rsidR="00A51BDF">
        <w:t xml:space="preserve">and communicate </w:t>
      </w:r>
      <w:r w:rsidR="00290811">
        <w:t xml:space="preserve">their own aged care </w:t>
      </w:r>
      <w:r w:rsidR="00DC33BF">
        <w:t xml:space="preserve">decisions </w:t>
      </w:r>
      <w:r w:rsidR="00290811">
        <w:t>and</w:t>
      </w:r>
      <w:r w:rsidR="009454C6">
        <w:t xml:space="preserve"> the registered supporter role under </w:t>
      </w:r>
      <w:r w:rsidRPr="00D12299">
        <w:t xml:space="preserve">the </w:t>
      </w:r>
      <w:r w:rsidRPr="00513691">
        <w:rPr>
          <w:rStyle w:val="Emphasis"/>
        </w:rPr>
        <w:t>Aged Care Act 2024 (</w:t>
      </w:r>
      <w:proofErr w:type="spellStart"/>
      <w:r w:rsidRPr="00513691">
        <w:rPr>
          <w:rStyle w:val="Emphasis"/>
        </w:rPr>
        <w:t>Cth</w:t>
      </w:r>
      <w:proofErr w:type="spellEnd"/>
      <w:r w:rsidR="00C82FDB" w:rsidRPr="00513691">
        <w:rPr>
          <w:rStyle w:val="Emphasis"/>
        </w:rPr>
        <w:t>)</w:t>
      </w:r>
      <w:r w:rsidR="002E28CC" w:rsidRPr="00513691">
        <w:rPr>
          <w:rStyle w:val="Emphasis"/>
        </w:rPr>
        <w:t xml:space="preserve"> </w:t>
      </w:r>
      <w:r w:rsidR="002E28CC">
        <w:t>(</w:t>
      </w:r>
      <w:r w:rsidR="002E28CC" w:rsidRPr="00513691">
        <w:t>the Act)</w:t>
      </w:r>
      <w:r w:rsidR="00C82FDB" w:rsidRPr="00513691">
        <w:t>.</w:t>
      </w:r>
    </w:p>
    <w:p w14:paraId="4430C228" w14:textId="77777777" w:rsidR="002D0427" w:rsidRPr="00513691" w:rsidRDefault="002D0427" w:rsidP="00513691">
      <w:pPr>
        <w:pStyle w:val="PolicyStatement"/>
        <w:rPr>
          <w:rStyle w:val="Strong"/>
        </w:rPr>
      </w:pPr>
      <w:r w:rsidRPr="00513691">
        <w:rPr>
          <w:rStyle w:val="Strong"/>
        </w:rPr>
        <w:t>Disclaimer</w:t>
      </w:r>
    </w:p>
    <w:p w14:paraId="1D955AFD" w14:textId="77777777" w:rsidR="002D0427" w:rsidRDefault="002D0427" w:rsidP="00513691">
      <w:pPr>
        <w:pStyle w:val="PolicyStatement"/>
      </w:pPr>
      <w:r>
        <w:t xml:space="preserve">This policy has been published in anticipation of the commencement of the </w:t>
      </w:r>
      <w:r w:rsidRPr="00513691">
        <w:rPr>
          <w:rStyle w:val="Emphasis"/>
        </w:rPr>
        <w:t>Aged Care Act 2024 (</w:t>
      </w:r>
      <w:proofErr w:type="spellStart"/>
      <w:r w:rsidRPr="00513691">
        <w:rPr>
          <w:rStyle w:val="Emphasis"/>
        </w:rPr>
        <w:t>Cth</w:t>
      </w:r>
      <w:proofErr w:type="spellEnd"/>
      <w:r w:rsidRPr="00513691">
        <w:rPr>
          <w:rStyle w:val="Emphasis"/>
        </w:rPr>
        <w:t>)</w:t>
      </w:r>
      <w:r>
        <w:t xml:space="preserve"> (the Act). The information in this policy is not applicable before the Act commences on 1 November 2025.</w:t>
      </w:r>
    </w:p>
    <w:p w14:paraId="05D06951" w14:textId="77777777" w:rsidR="002D0427" w:rsidRPr="00A11F4B" w:rsidRDefault="002D0427" w:rsidP="00513691">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2764EDE4" w14:textId="77777777" w:rsidR="002D0427" w:rsidRDefault="002D0427" w:rsidP="00513691">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660716C6" w14:textId="77777777" w:rsidR="002D0427" w:rsidRPr="00145BC6" w:rsidRDefault="002D0427" w:rsidP="00513691">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6E33C4AD" w14:textId="77777777" w:rsidR="00DE2C40" w:rsidRDefault="007C1A22" w:rsidP="00DE2C40">
      <w:pPr>
        <w:pStyle w:val="Heading1"/>
        <w:rPr>
          <w:lang w:eastAsia="en-AU"/>
        </w:rPr>
      </w:pPr>
      <w:bookmarkStart w:id="2" w:name="_Toc211959422"/>
      <w:bookmarkStart w:id="3" w:name="_Toc212063424"/>
      <w:r w:rsidRPr="007C1A22">
        <w:rPr>
          <w:lang w:eastAsia="en-AU"/>
        </w:rPr>
        <w:t>Version history</w:t>
      </w:r>
      <w:bookmarkEnd w:id="2"/>
      <w:bookmarkEnd w:id="3"/>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DE2C40" w:rsidRPr="006F54C6" w14:paraId="15120DD8" w14:textId="77777777" w:rsidTr="000952D2">
        <w:trPr>
          <w:tblHeader/>
        </w:trPr>
        <w:tc>
          <w:tcPr>
            <w:tcW w:w="1838" w:type="dxa"/>
          </w:tcPr>
          <w:p w14:paraId="2A70D559" w14:textId="77777777" w:rsidR="00DE2C40" w:rsidRPr="00513691" w:rsidRDefault="00DE2C40" w:rsidP="000952D2">
            <w:pPr>
              <w:pStyle w:val="TableHeader"/>
            </w:pPr>
            <w:r w:rsidRPr="00513691">
              <w:t xml:space="preserve">Version </w:t>
            </w:r>
          </w:p>
        </w:tc>
        <w:tc>
          <w:tcPr>
            <w:tcW w:w="3544" w:type="dxa"/>
          </w:tcPr>
          <w:p w14:paraId="45B56F4E" w14:textId="77777777" w:rsidR="00DE2C40" w:rsidRPr="00513691" w:rsidRDefault="00DE2C40" w:rsidP="000952D2">
            <w:pPr>
              <w:pStyle w:val="TableHeader"/>
            </w:pPr>
            <w:r w:rsidRPr="00513691">
              <w:t xml:space="preserve">Date published </w:t>
            </w:r>
          </w:p>
        </w:tc>
        <w:tc>
          <w:tcPr>
            <w:tcW w:w="3969" w:type="dxa"/>
          </w:tcPr>
          <w:p w14:paraId="5C7BD11C" w14:textId="77777777" w:rsidR="00DE2C40" w:rsidRPr="00513691" w:rsidRDefault="00DE2C40" w:rsidP="000952D2">
            <w:pPr>
              <w:pStyle w:val="TableHeader"/>
            </w:pPr>
            <w:r w:rsidRPr="00513691">
              <w:t>Commentary on changes</w:t>
            </w:r>
          </w:p>
        </w:tc>
      </w:tr>
      <w:tr w:rsidR="00DE2C40" w:rsidRPr="00C13D24" w14:paraId="2BBD8F9A" w14:textId="77777777" w:rsidTr="004F44B1">
        <w:tc>
          <w:tcPr>
            <w:tcW w:w="1838" w:type="dxa"/>
          </w:tcPr>
          <w:p w14:paraId="70A9D5CE" w14:textId="7DE08656" w:rsidR="00DE2C40" w:rsidRPr="00513691" w:rsidRDefault="00DE2C40" w:rsidP="00513691">
            <w:r w:rsidRPr="00513691">
              <w:t>1</w:t>
            </w:r>
          </w:p>
        </w:tc>
        <w:tc>
          <w:tcPr>
            <w:tcW w:w="3544" w:type="dxa"/>
          </w:tcPr>
          <w:p w14:paraId="3E7C44D6" w14:textId="77777777" w:rsidR="00DE2C40" w:rsidRPr="00513691" w:rsidRDefault="00DE2C40" w:rsidP="00513691">
            <w:r w:rsidRPr="00513691">
              <w:t>October 2025</w:t>
            </w:r>
          </w:p>
        </w:tc>
        <w:tc>
          <w:tcPr>
            <w:tcW w:w="3969" w:type="dxa"/>
          </w:tcPr>
          <w:p w14:paraId="4069891A" w14:textId="77777777" w:rsidR="00DE2C40" w:rsidRPr="00513691" w:rsidRDefault="00DE2C40" w:rsidP="00513691">
            <w:r w:rsidRPr="00513691">
              <w:t>First version published.</w:t>
            </w:r>
          </w:p>
        </w:tc>
      </w:tr>
    </w:tbl>
    <w:p w14:paraId="5785499B" w14:textId="6A9195FC" w:rsidR="006D5674" w:rsidRPr="00DE2C40" w:rsidRDefault="006D5674" w:rsidP="00513691">
      <w:pPr>
        <w:rPr>
          <w:lang w:eastAsia="en-AU"/>
        </w:rPr>
      </w:pPr>
      <w:r>
        <w:br w:type="page"/>
      </w:r>
    </w:p>
    <w:sdt>
      <w:sdtPr>
        <w:id w:val="-561869259"/>
        <w:docPartObj>
          <w:docPartGallery w:val="Table of Contents"/>
          <w:docPartUnique/>
        </w:docPartObj>
      </w:sdtPr>
      <w:sdtEndPr>
        <w:rPr>
          <w:rFonts w:eastAsia="Arial"/>
          <w:bCs/>
          <w:noProof/>
          <w:color w:val="000000" w:themeColor="text1"/>
          <w:sz w:val="22"/>
          <w:lang w:val="en-AU"/>
        </w:rPr>
      </w:sdtEndPr>
      <w:sdtContent>
        <w:p w14:paraId="6270BF1C" w14:textId="7F295228" w:rsidR="00327933" w:rsidRDefault="00327933">
          <w:pPr>
            <w:pStyle w:val="TOCHeading"/>
          </w:pPr>
          <w:r>
            <w:t>Contents</w:t>
          </w:r>
        </w:p>
        <w:p w14:paraId="60D589D4" w14:textId="540168EB" w:rsidR="00327933" w:rsidRPr="00327933" w:rsidRDefault="00327933" w:rsidP="00327933">
          <w:pPr>
            <w:pStyle w:val="TOC1"/>
          </w:pPr>
          <w:r>
            <w:fldChar w:fldCharType="begin"/>
          </w:r>
          <w:r>
            <w:instrText xml:space="preserve"> TOC \o "1-3" \h \z \u </w:instrText>
          </w:r>
          <w:r>
            <w:fldChar w:fldCharType="separate"/>
          </w:r>
          <w:hyperlink w:anchor="_Toc212063423" w:history="1">
            <w:r w:rsidRPr="00EA34AA">
              <w:rPr>
                <w:rStyle w:val="Hyperlink"/>
              </w:rPr>
              <w:t>Summary</w:t>
            </w:r>
            <w:r>
              <w:rPr>
                <w:webHidden/>
              </w:rPr>
              <w:tab/>
            </w:r>
            <w:r>
              <w:rPr>
                <w:webHidden/>
              </w:rPr>
              <w:fldChar w:fldCharType="begin"/>
            </w:r>
            <w:r>
              <w:rPr>
                <w:webHidden/>
              </w:rPr>
              <w:instrText xml:space="preserve"> PAGEREF _Toc212063423 \h </w:instrText>
            </w:r>
            <w:r>
              <w:rPr>
                <w:webHidden/>
              </w:rPr>
            </w:r>
            <w:r>
              <w:rPr>
                <w:webHidden/>
              </w:rPr>
              <w:fldChar w:fldCharType="separate"/>
            </w:r>
            <w:r w:rsidR="00331747">
              <w:rPr>
                <w:webHidden/>
              </w:rPr>
              <w:t>1</w:t>
            </w:r>
            <w:r>
              <w:rPr>
                <w:webHidden/>
              </w:rPr>
              <w:fldChar w:fldCharType="end"/>
            </w:r>
          </w:hyperlink>
        </w:p>
        <w:p w14:paraId="7B156C3E" w14:textId="2F75E725" w:rsidR="00327933" w:rsidRPr="00327933" w:rsidRDefault="00327933" w:rsidP="00327933">
          <w:pPr>
            <w:pStyle w:val="TOC1"/>
          </w:pPr>
          <w:hyperlink w:anchor="_Toc212063424" w:history="1">
            <w:r w:rsidRPr="00EA34AA">
              <w:rPr>
                <w:rStyle w:val="Hyperlink"/>
                <w:lang w:eastAsia="en-AU"/>
              </w:rPr>
              <w:t>Version history</w:t>
            </w:r>
            <w:r>
              <w:rPr>
                <w:webHidden/>
              </w:rPr>
              <w:tab/>
            </w:r>
            <w:r>
              <w:rPr>
                <w:webHidden/>
              </w:rPr>
              <w:fldChar w:fldCharType="begin"/>
            </w:r>
            <w:r>
              <w:rPr>
                <w:webHidden/>
              </w:rPr>
              <w:instrText xml:space="preserve"> PAGEREF _Toc212063424 \h </w:instrText>
            </w:r>
            <w:r>
              <w:rPr>
                <w:webHidden/>
              </w:rPr>
            </w:r>
            <w:r>
              <w:rPr>
                <w:webHidden/>
              </w:rPr>
              <w:fldChar w:fldCharType="separate"/>
            </w:r>
            <w:r w:rsidR="00331747">
              <w:rPr>
                <w:webHidden/>
              </w:rPr>
              <w:t>1</w:t>
            </w:r>
            <w:r>
              <w:rPr>
                <w:webHidden/>
              </w:rPr>
              <w:fldChar w:fldCharType="end"/>
            </w:r>
          </w:hyperlink>
        </w:p>
        <w:p w14:paraId="7FE68BBE" w14:textId="518BC6BA" w:rsidR="00327933" w:rsidRPr="00327933" w:rsidRDefault="00327933" w:rsidP="00327933">
          <w:pPr>
            <w:pStyle w:val="TOC1"/>
          </w:pPr>
          <w:hyperlink w:anchor="_Toc212063425" w:history="1">
            <w:r w:rsidRPr="00EA34AA">
              <w:rPr>
                <w:rStyle w:val="Hyperlink"/>
              </w:rPr>
              <w:t>Policy</w:t>
            </w:r>
            <w:r>
              <w:rPr>
                <w:webHidden/>
              </w:rPr>
              <w:tab/>
            </w:r>
            <w:r>
              <w:rPr>
                <w:webHidden/>
              </w:rPr>
              <w:fldChar w:fldCharType="begin"/>
            </w:r>
            <w:r>
              <w:rPr>
                <w:webHidden/>
              </w:rPr>
              <w:instrText xml:space="preserve"> PAGEREF _Toc212063425 \h </w:instrText>
            </w:r>
            <w:r>
              <w:rPr>
                <w:webHidden/>
              </w:rPr>
            </w:r>
            <w:r>
              <w:rPr>
                <w:webHidden/>
              </w:rPr>
              <w:fldChar w:fldCharType="separate"/>
            </w:r>
            <w:r w:rsidR="00331747">
              <w:rPr>
                <w:webHidden/>
              </w:rPr>
              <w:t>3</w:t>
            </w:r>
            <w:r>
              <w:rPr>
                <w:webHidden/>
              </w:rPr>
              <w:fldChar w:fldCharType="end"/>
            </w:r>
          </w:hyperlink>
        </w:p>
        <w:p w14:paraId="4A8BF6BA" w14:textId="7832E2D4" w:rsidR="00327933" w:rsidRPr="00327933" w:rsidRDefault="00327933" w:rsidP="00327933">
          <w:pPr>
            <w:pStyle w:val="TOC2"/>
          </w:pPr>
          <w:hyperlink w:anchor="_Toc212063426" w:history="1">
            <w:r w:rsidRPr="00EA34AA">
              <w:rPr>
                <w:rStyle w:val="Hyperlink"/>
              </w:rPr>
              <w:t>Capacity in the registered supporter context</w:t>
            </w:r>
            <w:r>
              <w:rPr>
                <w:webHidden/>
              </w:rPr>
              <w:tab/>
            </w:r>
            <w:r>
              <w:rPr>
                <w:webHidden/>
              </w:rPr>
              <w:fldChar w:fldCharType="begin"/>
            </w:r>
            <w:r>
              <w:rPr>
                <w:webHidden/>
              </w:rPr>
              <w:instrText xml:space="preserve"> PAGEREF _Toc212063426 \h </w:instrText>
            </w:r>
            <w:r>
              <w:rPr>
                <w:webHidden/>
              </w:rPr>
            </w:r>
            <w:r>
              <w:rPr>
                <w:webHidden/>
              </w:rPr>
              <w:fldChar w:fldCharType="separate"/>
            </w:r>
            <w:r w:rsidR="00331747">
              <w:rPr>
                <w:webHidden/>
              </w:rPr>
              <w:t>3</w:t>
            </w:r>
            <w:r>
              <w:rPr>
                <w:webHidden/>
              </w:rPr>
              <w:fldChar w:fldCharType="end"/>
            </w:r>
          </w:hyperlink>
        </w:p>
        <w:p w14:paraId="76851D67" w14:textId="2CD1CB33" w:rsidR="00327933" w:rsidRPr="00327933" w:rsidRDefault="00327933" w:rsidP="00327933">
          <w:pPr>
            <w:pStyle w:val="TOC2"/>
          </w:pPr>
          <w:hyperlink w:anchor="_Toc212063427" w:history="1">
            <w:r w:rsidRPr="00EA34AA">
              <w:rPr>
                <w:rStyle w:val="Hyperlink"/>
              </w:rPr>
              <w:t>Role of the System Governor</w:t>
            </w:r>
            <w:r>
              <w:rPr>
                <w:webHidden/>
              </w:rPr>
              <w:tab/>
            </w:r>
            <w:r>
              <w:rPr>
                <w:webHidden/>
              </w:rPr>
              <w:fldChar w:fldCharType="begin"/>
            </w:r>
            <w:r>
              <w:rPr>
                <w:webHidden/>
              </w:rPr>
              <w:instrText xml:space="preserve"> PAGEREF _Toc212063427 \h </w:instrText>
            </w:r>
            <w:r>
              <w:rPr>
                <w:webHidden/>
              </w:rPr>
            </w:r>
            <w:r>
              <w:rPr>
                <w:webHidden/>
              </w:rPr>
              <w:fldChar w:fldCharType="separate"/>
            </w:r>
            <w:r w:rsidR="00331747">
              <w:rPr>
                <w:webHidden/>
              </w:rPr>
              <w:t>3</w:t>
            </w:r>
            <w:r>
              <w:rPr>
                <w:webHidden/>
              </w:rPr>
              <w:fldChar w:fldCharType="end"/>
            </w:r>
          </w:hyperlink>
        </w:p>
        <w:p w14:paraId="6BC5DE78" w14:textId="004BE534" w:rsidR="00327933" w:rsidRPr="00327933" w:rsidRDefault="00327933" w:rsidP="00327933">
          <w:pPr>
            <w:pStyle w:val="TOC3"/>
          </w:pPr>
          <w:hyperlink w:anchor="_Toc212063428" w:history="1">
            <w:r w:rsidRPr="00EA34AA">
              <w:rPr>
                <w:rStyle w:val="Hyperlink"/>
              </w:rPr>
              <w:t>Actioning a person’s actions or decisions</w:t>
            </w:r>
            <w:r>
              <w:rPr>
                <w:webHidden/>
              </w:rPr>
              <w:tab/>
            </w:r>
            <w:r>
              <w:rPr>
                <w:webHidden/>
              </w:rPr>
              <w:fldChar w:fldCharType="begin"/>
            </w:r>
            <w:r>
              <w:rPr>
                <w:webHidden/>
              </w:rPr>
              <w:instrText xml:space="preserve"> PAGEREF _Toc212063428 \h </w:instrText>
            </w:r>
            <w:r>
              <w:rPr>
                <w:webHidden/>
              </w:rPr>
            </w:r>
            <w:r>
              <w:rPr>
                <w:webHidden/>
              </w:rPr>
              <w:fldChar w:fldCharType="separate"/>
            </w:r>
            <w:r w:rsidR="00331747">
              <w:rPr>
                <w:webHidden/>
              </w:rPr>
              <w:t>3</w:t>
            </w:r>
            <w:r>
              <w:rPr>
                <w:webHidden/>
              </w:rPr>
              <w:fldChar w:fldCharType="end"/>
            </w:r>
          </w:hyperlink>
        </w:p>
        <w:p w14:paraId="20F48AB8" w14:textId="17FFFC52" w:rsidR="00327933" w:rsidRPr="00327933" w:rsidRDefault="00327933" w:rsidP="00327933">
          <w:pPr>
            <w:pStyle w:val="TOC3"/>
          </w:pPr>
          <w:hyperlink w:anchor="_Toc212063429" w:history="1">
            <w:r w:rsidRPr="00EA34AA">
              <w:rPr>
                <w:rStyle w:val="Hyperlink"/>
              </w:rPr>
              <w:t>Complaints or disputes related to a person’s capacity</w:t>
            </w:r>
            <w:r>
              <w:rPr>
                <w:webHidden/>
              </w:rPr>
              <w:tab/>
            </w:r>
            <w:r>
              <w:rPr>
                <w:webHidden/>
              </w:rPr>
              <w:fldChar w:fldCharType="begin"/>
            </w:r>
            <w:r>
              <w:rPr>
                <w:webHidden/>
              </w:rPr>
              <w:instrText xml:space="preserve"> PAGEREF _Toc212063429 \h </w:instrText>
            </w:r>
            <w:r>
              <w:rPr>
                <w:webHidden/>
              </w:rPr>
            </w:r>
            <w:r>
              <w:rPr>
                <w:webHidden/>
              </w:rPr>
              <w:fldChar w:fldCharType="separate"/>
            </w:r>
            <w:r w:rsidR="00331747">
              <w:rPr>
                <w:webHidden/>
              </w:rPr>
              <w:t>5</w:t>
            </w:r>
            <w:r>
              <w:rPr>
                <w:webHidden/>
              </w:rPr>
              <w:fldChar w:fldCharType="end"/>
            </w:r>
          </w:hyperlink>
        </w:p>
        <w:p w14:paraId="607A88B0" w14:textId="02D5BAF7" w:rsidR="00327933" w:rsidRPr="00327933" w:rsidRDefault="00327933" w:rsidP="00327933">
          <w:pPr>
            <w:pStyle w:val="TOC2"/>
          </w:pPr>
          <w:hyperlink w:anchor="_Toc212063430" w:history="1">
            <w:r w:rsidRPr="00EA34AA">
              <w:rPr>
                <w:rStyle w:val="Hyperlink"/>
              </w:rPr>
              <w:t>Role of other persons or entities</w:t>
            </w:r>
            <w:r>
              <w:rPr>
                <w:webHidden/>
              </w:rPr>
              <w:tab/>
            </w:r>
            <w:r>
              <w:rPr>
                <w:webHidden/>
              </w:rPr>
              <w:fldChar w:fldCharType="begin"/>
            </w:r>
            <w:r>
              <w:rPr>
                <w:webHidden/>
              </w:rPr>
              <w:instrText xml:space="preserve"> PAGEREF _Toc212063430 \h </w:instrText>
            </w:r>
            <w:r>
              <w:rPr>
                <w:webHidden/>
              </w:rPr>
            </w:r>
            <w:r>
              <w:rPr>
                <w:webHidden/>
              </w:rPr>
              <w:fldChar w:fldCharType="separate"/>
            </w:r>
            <w:r w:rsidR="00331747">
              <w:rPr>
                <w:webHidden/>
              </w:rPr>
              <w:t>6</w:t>
            </w:r>
            <w:r>
              <w:rPr>
                <w:webHidden/>
              </w:rPr>
              <w:fldChar w:fldCharType="end"/>
            </w:r>
          </w:hyperlink>
        </w:p>
        <w:p w14:paraId="57DAAB97" w14:textId="25921D66" w:rsidR="00327933" w:rsidRPr="00327933" w:rsidRDefault="00327933" w:rsidP="00327933">
          <w:pPr>
            <w:pStyle w:val="TOC2"/>
          </w:pPr>
          <w:hyperlink w:anchor="_Toc212063431" w:history="1">
            <w:r w:rsidRPr="00EA34AA">
              <w:rPr>
                <w:rStyle w:val="Hyperlink"/>
              </w:rPr>
              <w:t>Key concepts</w:t>
            </w:r>
            <w:r>
              <w:rPr>
                <w:webHidden/>
              </w:rPr>
              <w:tab/>
            </w:r>
            <w:r>
              <w:rPr>
                <w:webHidden/>
              </w:rPr>
              <w:fldChar w:fldCharType="begin"/>
            </w:r>
            <w:r>
              <w:rPr>
                <w:webHidden/>
              </w:rPr>
              <w:instrText xml:space="preserve"> PAGEREF _Toc212063431 \h </w:instrText>
            </w:r>
            <w:r>
              <w:rPr>
                <w:webHidden/>
              </w:rPr>
            </w:r>
            <w:r>
              <w:rPr>
                <w:webHidden/>
              </w:rPr>
              <w:fldChar w:fldCharType="separate"/>
            </w:r>
            <w:r w:rsidR="00331747">
              <w:rPr>
                <w:webHidden/>
              </w:rPr>
              <w:t>6</w:t>
            </w:r>
            <w:r>
              <w:rPr>
                <w:webHidden/>
              </w:rPr>
              <w:fldChar w:fldCharType="end"/>
            </w:r>
          </w:hyperlink>
        </w:p>
        <w:p w14:paraId="7AF5B005" w14:textId="203F8846" w:rsidR="00327933" w:rsidRPr="00327933" w:rsidRDefault="00327933" w:rsidP="00327933">
          <w:pPr>
            <w:pStyle w:val="TOC3"/>
          </w:pPr>
          <w:hyperlink w:anchor="_Toc212063432" w:history="1">
            <w:r w:rsidRPr="00EA34AA">
              <w:rPr>
                <w:rStyle w:val="Hyperlink"/>
              </w:rPr>
              <w:t>Legal capacity</w:t>
            </w:r>
            <w:r>
              <w:rPr>
                <w:webHidden/>
              </w:rPr>
              <w:tab/>
            </w:r>
            <w:r>
              <w:rPr>
                <w:webHidden/>
              </w:rPr>
              <w:fldChar w:fldCharType="begin"/>
            </w:r>
            <w:r>
              <w:rPr>
                <w:webHidden/>
              </w:rPr>
              <w:instrText xml:space="preserve"> PAGEREF _Toc212063432 \h </w:instrText>
            </w:r>
            <w:r>
              <w:rPr>
                <w:webHidden/>
              </w:rPr>
            </w:r>
            <w:r>
              <w:rPr>
                <w:webHidden/>
              </w:rPr>
              <w:fldChar w:fldCharType="separate"/>
            </w:r>
            <w:r w:rsidR="00331747">
              <w:rPr>
                <w:webHidden/>
              </w:rPr>
              <w:t>6</w:t>
            </w:r>
            <w:r>
              <w:rPr>
                <w:webHidden/>
              </w:rPr>
              <w:fldChar w:fldCharType="end"/>
            </w:r>
          </w:hyperlink>
        </w:p>
        <w:p w14:paraId="3E6EACCC" w14:textId="1A2A52B9" w:rsidR="00327933" w:rsidRPr="00327933" w:rsidRDefault="00327933" w:rsidP="00327933">
          <w:pPr>
            <w:pStyle w:val="TOC3"/>
          </w:pPr>
          <w:hyperlink w:anchor="_Toc212063433" w:history="1">
            <w:r w:rsidRPr="00EA34AA">
              <w:rPr>
                <w:rStyle w:val="Hyperlink"/>
              </w:rPr>
              <w:t>Older people retain right to do things</w:t>
            </w:r>
            <w:r>
              <w:rPr>
                <w:webHidden/>
              </w:rPr>
              <w:tab/>
            </w:r>
            <w:r>
              <w:rPr>
                <w:webHidden/>
              </w:rPr>
              <w:fldChar w:fldCharType="begin"/>
            </w:r>
            <w:r>
              <w:rPr>
                <w:webHidden/>
              </w:rPr>
              <w:instrText xml:space="preserve"> PAGEREF _Toc212063433 \h </w:instrText>
            </w:r>
            <w:r>
              <w:rPr>
                <w:webHidden/>
              </w:rPr>
            </w:r>
            <w:r>
              <w:rPr>
                <w:webHidden/>
              </w:rPr>
              <w:fldChar w:fldCharType="separate"/>
            </w:r>
            <w:r w:rsidR="00331747">
              <w:rPr>
                <w:webHidden/>
              </w:rPr>
              <w:t>7</w:t>
            </w:r>
            <w:r>
              <w:rPr>
                <w:webHidden/>
              </w:rPr>
              <w:fldChar w:fldCharType="end"/>
            </w:r>
          </w:hyperlink>
        </w:p>
        <w:p w14:paraId="36E7E70D" w14:textId="752BF4FF" w:rsidR="00327933" w:rsidRPr="00327933" w:rsidRDefault="00327933" w:rsidP="00327933">
          <w:pPr>
            <w:pStyle w:val="TOC3"/>
          </w:pPr>
          <w:hyperlink w:anchor="_Toc212063434" w:history="1">
            <w:r w:rsidRPr="00EA34AA">
              <w:rPr>
                <w:rStyle w:val="Hyperlink"/>
              </w:rPr>
              <w:t>Meaning of a person’s capacity to make a particular decision</w:t>
            </w:r>
            <w:r>
              <w:rPr>
                <w:webHidden/>
              </w:rPr>
              <w:tab/>
            </w:r>
            <w:r>
              <w:rPr>
                <w:webHidden/>
              </w:rPr>
              <w:fldChar w:fldCharType="begin"/>
            </w:r>
            <w:r>
              <w:rPr>
                <w:webHidden/>
              </w:rPr>
              <w:instrText xml:space="preserve"> PAGEREF _Toc212063434 \h </w:instrText>
            </w:r>
            <w:r>
              <w:rPr>
                <w:webHidden/>
              </w:rPr>
            </w:r>
            <w:r>
              <w:rPr>
                <w:webHidden/>
              </w:rPr>
              <w:fldChar w:fldCharType="separate"/>
            </w:r>
            <w:r w:rsidR="00331747">
              <w:rPr>
                <w:webHidden/>
              </w:rPr>
              <w:t>7</w:t>
            </w:r>
            <w:r>
              <w:rPr>
                <w:webHidden/>
              </w:rPr>
              <w:fldChar w:fldCharType="end"/>
            </w:r>
          </w:hyperlink>
        </w:p>
        <w:p w14:paraId="7997A87F" w14:textId="13169704" w:rsidR="00327933" w:rsidRPr="00327933" w:rsidRDefault="00327933" w:rsidP="00327933">
          <w:pPr>
            <w:pStyle w:val="TOC3"/>
          </w:pPr>
          <w:hyperlink w:anchor="_Toc212063435" w:history="1">
            <w:r w:rsidRPr="00EA34AA">
              <w:rPr>
                <w:rStyle w:val="Hyperlink"/>
              </w:rPr>
              <w:t>Capacity specific to each decision</w:t>
            </w:r>
            <w:r>
              <w:rPr>
                <w:webHidden/>
              </w:rPr>
              <w:tab/>
            </w:r>
            <w:r>
              <w:rPr>
                <w:webHidden/>
              </w:rPr>
              <w:fldChar w:fldCharType="begin"/>
            </w:r>
            <w:r>
              <w:rPr>
                <w:webHidden/>
              </w:rPr>
              <w:instrText xml:space="preserve"> PAGEREF _Toc212063435 \h </w:instrText>
            </w:r>
            <w:r>
              <w:rPr>
                <w:webHidden/>
              </w:rPr>
            </w:r>
            <w:r>
              <w:rPr>
                <w:webHidden/>
              </w:rPr>
              <w:fldChar w:fldCharType="separate"/>
            </w:r>
            <w:r w:rsidR="00331747">
              <w:rPr>
                <w:webHidden/>
              </w:rPr>
              <w:t>8</w:t>
            </w:r>
            <w:r>
              <w:rPr>
                <w:webHidden/>
              </w:rPr>
              <w:fldChar w:fldCharType="end"/>
            </w:r>
          </w:hyperlink>
        </w:p>
        <w:p w14:paraId="4A281AFB" w14:textId="39F5191C" w:rsidR="00327933" w:rsidRPr="00327933" w:rsidRDefault="00327933" w:rsidP="00327933">
          <w:pPr>
            <w:pStyle w:val="TOC3"/>
          </w:pPr>
          <w:hyperlink w:anchor="_Toc212063436" w:history="1">
            <w:r w:rsidRPr="00EA34AA">
              <w:rPr>
                <w:rStyle w:val="Hyperlink"/>
              </w:rPr>
              <w:t>Presumption of capacity</w:t>
            </w:r>
            <w:r>
              <w:rPr>
                <w:webHidden/>
              </w:rPr>
              <w:tab/>
            </w:r>
            <w:r>
              <w:rPr>
                <w:webHidden/>
              </w:rPr>
              <w:fldChar w:fldCharType="begin"/>
            </w:r>
            <w:r>
              <w:rPr>
                <w:webHidden/>
              </w:rPr>
              <w:instrText xml:space="preserve"> PAGEREF _Toc212063436 \h </w:instrText>
            </w:r>
            <w:r>
              <w:rPr>
                <w:webHidden/>
              </w:rPr>
            </w:r>
            <w:r>
              <w:rPr>
                <w:webHidden/>
              </w:rPr>
              <w:fldChar w:fldCharType="separate"/>
            </w:r>
            <w:r w:rsidR="00331747">
              <w:rPr>
                <w:webHidden/>
              </w:rPr>
              <w:t>8</w:t>
            </w:r>
            <w:r>
              <w:rPr>
                <w:webHidden/>
              </w:rPr>
              <w:fldChar w:fldCharType="end"/>
            </w:r>
          </w:hyperlink>
        </w:p>
        <w:p w14:paraId="7F9FD8FC" w14:textId="13766711" w:rsidR="00327933" w:rsidRPr="00327933" w:rsidRDefault="00327933" w:rsidP="00327933">
          <w:pPr>
            <w:pStyle w:val="TOC2"/>
          </w:pPr>
          <w:hyperlink w:anchor="_Toc212063437" w:history="1">
            <w:r w:rsidRPr="00EA34AA">
              <w:rPr>
                <w:rStyle w:val="Hyperlink"/>
              </w:rPr>
              <w:t>Registered supporters’ involvement in capacity assessments</w:t>
            </w:r>
            <w:r>
              <w:rPr>
                <w:webHidden/>
              </w:rPr>
              <w:tab/>
            </w:r>
            <w:r>
              <w:rPr>
                <w:webHidden/>
              </w:rPr>
              <w:fldChar w:fldCharType="begin"/>
            </w:r>
            <w:r>
              <w:rPr>
                <w:webHidden/>
              </w:rPr>
              <w:instrText xml:space="preserve"> PAGEREF _Toc212063437 \h </w:instrText>
            </w:r>
            <w:r>
              <w:rPr>
                <w:webHidden/>
              </w:rPr>
            </w:r>
            <w:r>
              <w:rPr>
                <w:webHidden/>
              </w:rPr>
              <w:fldChar w:fldCharType="separate"/>
            </w:r>
            <w:r w:rsidR="00331747">
              <w:rPr>
                <w:webHidden/>
              </w:rPr>
              <w:t>9</w:t>
            </w:r>
            <w:r>
              <w:rPr>
                <w:webHidden/>
              </w:rPr>
              <w:fldChar w:fldCharType="end"/>
            </w:r>
          </w:hyperlink>
        </w:p>
        <w:p w14:paraId="32543887" w14:textId="404D6058" w:rsidR="00327933" w:rsidRPr="00327933" w:rsidRDefault="00327933" w:rsidP="00327933">
          <w:pPr>
            <w:pStyle w:val="TOC2"/>
          </w:pPr>
          <w:hyperlink w:anchor="_Toc212063438" w:history="1">
            <w:r w:rsidRPr="00EA34AA">
              <w:rPr>
                <w:rStyle w:val="Hyperlink"/>
              </w:rPr>
              <w:t>Active, appointed decision makers</w:t>
            </w:r>
            <w:r>
              <w:rPr>
                <w:webHidden/>
              </w:rPr>
              <w:tab/>
            </w:r>
            <w:r>
              <w:rPr>
                <w:webHidden/>
              </w:rPr>
              <w:fldChar w:fldCharType="begin"/>
            </w:r>
            <w:r>
              <w:rPr>
                <w:webHidden/>
              </w:rPr>
              <w:instrText xml:space="preserve"> PAGEREF _Toc212063438 \h </w:instrText>
            </w:r>
            <w:r>
              <w:rPr>
                <w:webHidden/>
              </w:rPr>
            </w:r>
            <w:r>
              <w:rPr>
                <w:webHidden/>
              </w:rPr>
              <w:fldChar w:fldCharType="separate"/>
            </w:r>
            <w:r w:rsidR="00331747">
              <w:rPr>
                <w:webHidden/>
              </w:rPr>
              <w:t>10</w:t>
            </w:r>
            <w:r>
              <w:rPr>
                <w:webHidden/>
              </w:rPr>
              <w:fldChar w:fldCharType="end"/>
            </w:r>
          </w:hyperlink>
        </w:p>
        <w:p w14:paraId="64096BFB" w14:textId="0FDF019F" w:rsidR="00327933" w:rsidRPr="00327933" w:rsidRDefault="00327933" w:rsidP="00327933">
          <w:pPr>
            <w:pStyle w:val="TOC3"/>
          </w:pPr>
          <w:hyperlink w:anchor="_Toc212063439" w:history="1">
            <w:r w:rsidRPr="00EA34AA">
              <w:rPr>
                <w:rStyle w:val="Hyperlink"/>
              </w:rPr>
              <w:t>Orders by state or territory courts, boards, panels or tribunals</w:t>
            </w:r>
            <w:r>
              <w:rPr>
                <w:webHidden/>
              </w:rPr>
              <w:tab/>
            </w:r>
            <w:r>
              <w:rPr>
                <w:webHidden/>
              </w:rPr>
              <w:fldChar w:fldCharType="begin"/>
            </w:r>
            <w:r>
              <w:rPr>
                <w:webHidden/>
              </w:rPr>
              <w:instrText xml:space="preserve"> PAGEREF _Toc212063439 \h </w:instrText>
            </w:r>
            <w:r>
              <w:rPr>
                <w:webHidden/>
              </w:rPr>
            </w:r>
            <w:r>
              <w:rPr>
                <w:webHidden/>
              </w:rPr>
              <w:fldChar w:fldCharType="separate"/>
            </w:r>
            <w:r w:rsidR="00331747">
              <w:rPr>
                <w:webHidden/>
              </w:rPr>
              <w:t>11</w:t>
            </w:r>
            <w:r>
              <w:rPr>
                <w:webHidden/>
              </w:rPr>
              <w:fldChar w:fldCharType="end"/>
            </w:r>
          </w:hyperlink>
        </w:p>
        <w:p w14:paraId="58806D53" w14:textId="3D47FDAD" w:rsidR="00327933" w:rsidRPr="00327933" w:rsidRDefault="00327933" w:rsidP="00327933">
          <w:pPr>
            <w:pStyle w:val="TOC2"/>
          </w:pPr>
          <w:hyperlink w:anchor="_Toc212063440" w:history="1">
            <w:r w:rsidRPr="00EA34AA">
              <w:rPr>
                <w:rStyle w:val="Hyperlink"/>
              </w:rPr>
              <w:t>Evidence relating to decision-making ability and capacity</w:t>
            </w:r>
            <w:r>
              <w:rPr>
                <w:webHidden/>
              </w:rPr>
              <w:tab/>
            </w:r>
            <w:r>
              <w:rPr>
                <w:webHidden/>
              </w:rPr>
              <w:fldChar w:fldCharType="begin"/>
            </w:r>
            <w:r>
              <w:rPr>
                <w:webHidden/>
              </w:rPr>
              <w:instrText xml:space="preserve"> PAGEREF _Toc212063440 \h </w:instrText>
            </w:r>
            <w:r>
              <w:rPr>
                <w:webHidden/>
              </w:rPr>
            </w:r>
            <w:r>
              <w:rPr>
                <w:webHidden/>
              </w:rPr>
              <w:fldChar w:fldCharType="separate"/>
            </w:r>
            <w:r w:rsidR="00331747">
              <w:rPr>
                <w:webHidden/>
              </w:rPr>
              <w:t>11</w:t>
            </w:r>
            <w:r>
              <w:rPr>
                <w:webHidden/>
              </w:rPr>
              <w:fldChar w:fldCharType="end"/>
            </w:r>
          </w:hyperlink>
        </w:p>
        <w:p w14:paraId="51EEEDA1" w14:textId="3F4ECBDA" w:rsidR="00327933" w:rsidRPr="00327933" w:rsidRDefault="00327933" w:rsidP="00327933">
          <w:pPr>
            <w:pStyle w:val="TOC3"/>
          </w:pPr>
          <w:hyperlink w:anchor="_Toc212063441" w:history="1">
            <w:r w:rsidRPr="00EA34AA">
              <w:rPr>
                <w:rStyle w:val="Hyperlink"/>
              </w:rPr>
              <w:t>Opinions about a person’s decision-making ability and capacity</w:t>
            </w:r>
            <w:r>
              <w:rPr>
                <w:webHidden/>
              </w:rPr>
              <w:tab/>
            </w:r>
            <w:r>
              <w:rPr>
                <w:webHidden/>
              </w:rPr>
              <w:fldChar w:fldCharType="begin"/>
            </w:r>
            <w:r>
              <w:rPr>
                <w:webHidden/>
              </w:rPr>
              <w:instrText xml:space="preserve"> PAGEREF _Toc212063441 \h </w:instrText>
            </w:r>
            <w:r>
              <w:rPr>
                <w:webHidden/>
              </w:rPr>
            </w:r>
            <w:r>
              <w:rPr>
                <w:webHidden/>
              </w:rPr>
              <w:fldChar w:fldCharType="separate"/>
            </w:r>
            <w:r w:rsidR="00331747">
              <w:rPr>
                <w:webHidden/>
              </w:rPr>
              <w:t>12</w:t>
            </w:r>
            <w:r>
              <w:rPr>
                <w:webHidden/>
              </w:rPr>
              <w:fldChar w:fldCharType="end"/>
            </w:r>
          </w:hyperlink>
        </w:p>
        <w:p w14:paraId="561F2994" w14:textId="12179EB0" w:rsidR="00327933" w:rsidRPr="00327933" w:rsidRDefault="00327933" w:rsidP="00327933">
          <w:pPr>
            <w:pStyle w:val="TOC3"/>
          </w:pPr>
          <w:hyperlink w:anchor="_Toc212063442" w:history="1">
            <w:r w:rsidRPr="00EA34AA">
              <w:rPr>
                <w:rStyle w:val="Hyperlink"/>
              </w:rPr>
              <w:t>Standards for medical evidence</w:t>
            </w:r>
            <w:r>
              <w:rPr>
                <w:webHidden/>
              </w:rPr>
              <w:tab/>
            </w:r>
            <w:r>
              <w:rPr>
                <w:webHidden/>
              </w:rPr>
              <w:fldChar w:fldCharType="begin"/>
            </w:r>
            <w:r>
              <w:rPr>
                <w:webHidden/>
              </w:rPr>
              <w:instrText xml:space="preserve"> PAGEREF _Toc212063442 \h </w:instrText>
            </w:r>
            <w:r>
              <w:rPr>
                <w:webHidden/>
              </w:rPr>
            </w:r>
            <w:r>
              <w:rPr>
                <w:webHidden/>
              </w:rPr>
              <w:fldChar w:fldCharType="separate"/>
            </w:r>
            <w:r w:rsidR="00331747">
              <w:rPr>
                <w:webHidden/>
              </w:rPr>
              <w:t>12</w:t>
            </w:r>
            <w:r>
              <w:rPr>
                <w:webHidden/>
              </w:rPr>
              <w:fldChar w:fldCharType="end"/>
            </w:r>
          </w:hyperlink>
        </w:p>
        <w:p w14:paraId="048B08C8" w14:textId="4A04382E" w:rsidR="00327933" w:rsidRPr="00327933" w:rsidRDefault="00327933" w:rsidP="00327933">
          <w:pPr>
            <w:pStyle w:val="TOC3"/>
          </w:pPr>
          <w:hyperlink w:anchor="_Toc212063443" w:history="1">
            <w:r w:rsidRPr="00EA34AA">
              <w:rPr>
                <w:rStyle w:val="Hyperlink"/>
              </w:rPr>
              <w:t>Providing evidence relating to capacity to the System Governor</w:t>
            </w:r>
            <w:r>
              <w:rPr>
                <w:webHidden/>
              </w:rPr>
              <w:tab/>
            </w:r>
            <w:r>
              <w:rPr>
                <w:webHidden/>
              </w:rPr>
              <w:fldChar w:fldCharType="begin"/>
            </w:r>
            <w:r>
              <w:rPr>
                <w:webHidden/>
              </w:rPr>
              <w:instrText xml:space="preserve"> PAGEREF _Toc212063443 \h </w:instrText>
            </w:r>
            <w:r>
              <w:rPr>
                <w:webHidden/>
              </w:rPr>
            </w:r>
            <w:r>
              <w:rPr>
                <w:webHidden/>
              </w:rPr>
              <w:fldChar w:fldCharType="separate"/>
            </w:r>
            <w:r w:rsidR="00331747">
              <w:rPr>
                <w:webHidden/>
              </w:rPr>
              <w:t>14</w:t>
            </w:r>
            <w:r>
              <w:rPr>
                <w:webHidden/>
              </w:rPr>
              <w:fldChar w:fldCharType="end"/>
            </w:r>
          </w:hyperlink>
        </w:p>
        <w:p w14:paraId="64DC975A" w14:textId="64BF1326" w:rsidR="00327933" w:rsidRPr="00327933" w:rsidRDefault="00327933" w:rsidP="00327933">
          <w:pPr>
            <w:pStyle w:val="TOC2"/>
          </w:pPr>
          <w:hyperlink w:anchor="_Toc212063444" w:history="1">
            <w:r w:rsidRPr="00EA34AA">
              <w:rPr>
                <w:rStyle w:val="Hyperlink"/>
              </w:rPr>
              <w:t>Complaints</w:t>
            </w:r>
            <w:r>
              <w:rPr>
                <w:webHidden/>
              </w:rPr>
              <w:tab/>
            </w:r>
            <w:r>
              <w:rPr>
                <w:webHidden/>
              </w:rPr>
              <w:fldChar w:fldCharType="begin"/>
            </w:r>
            <w:r>
              <w:rPr>
                <w:webHidden/>
              </w:rPr>
              <w:instrText xml:space="preserve"> PAGEREF _Toc212063444 \h </w:instrText>
            </w:r>
            <w:r>
              <w:rPr>
                <w:webHidden/>
              </w:rPr>
            </w:r>
            <w:r>
              <w:rPr>
                <w:webHidden/>
              </w:rPr>
              <w:fldChar w:fldCharType="separate"/>
            </w:r>
            <w:r w:rsidR="00331747">
              <w:rPr>
                <w:webHidden/>
              </w:rPr>
              <w:t>16</w:t>
            </w:r>
            <w:r>
              <w:rPr>
                <w:webHidden/>
              </w:rPr>
              <w:fldChar w:fldCharType="end"/>
            </w:r>
          </w:hyperlink>
        </w:p>
        <w:p w14:paraId="7DA74875" w14:textId="0B2EE2FE" w:rsidR="00327933" w:rsidRPr="00327933" w:rsidRDefault="00327933" w:rsidP="00327933">
          <w:pPr>
            <w:pStyle w:val="TOC1"/>
          </w:pPr>
          <w:hyperlink w:anchor="_Toc212063445" w:history="1">
            <w:r w:rsidRPr="00EA34AA">
              <w:rPr>
                <w:rStyle w:val="Hyperlink"/>
              </w:rPr>
              <w:t>Audience</w:t>
            </w:r>
            <w:r>
              <w:rPr>
                <w:webHidden/>
              </w:rPr>
              <w:tab/>
            </w:r>
            <w:r>
              <w:rPr>
                <w:webHidden/>
              </w:rPr>
              <w:fldChar w:fldCharType="begin"/>
            </w:r>
            <w:r>
              <w:rPr>
                <w:webHidden/>
              </w:rPr>
              <w:instrText xml:space="preserve"> PAGEREF _Toc212063445 \h </w:instrText>
            </w:r>
            <w:r>
              <w:rPr>
                <w:webHidden/>
              </w:rPr>
            </w:r>
            <w:r>
              <w:rPr>
                <w:webHidden/>
              </w:rPr>
              <w:fldChar w:fldCharType="separate"/>
            </w:r>
            <w:r w:rsidR="00331747">
              <w:rPr>
                <w:webHidden/>
              </w:rPr>
              <w:t>16</w:t>
            </w:r>
            <w:r>
              <w:rPr>
                <w:webHidden/>
              </w:rPr>
              <w:fldChar w:fldCharType="end"/>
            </w:r>
          </w:hyperlink>
        </w:p>
        <w:p w14:paraId="1593BEDF" w14:textId="0B327E06" w:rsidR="00327933" w:rsidRPr="00327933" w:rsidRDefault="00327933" w:rsidP="00327933">
          <w:pPr>
            <w:pStyle w:val="TOC1"/>
          </w:pPr>
          <w:hyperlink w:anchor="_Toc212063446" w:history="1">
            <w:r w:rsidRPr="00EA34AA">
              <w:rPr>
                <w:rStyle w:val="Hyperlink"/>
              </w:rPr>
              <w:t>Roles and Responsibilities</w:t>
            </w:r>
            <w:r>
              <w:rPr>
                <w:webHidden/>
              </w:rPr>
              <w:tab/>
            </w:r>
            <w:r>
              <w:rPr>
                <w:webHidden/>
              </w:rPr>
              <w:fldChar w:fldCharType="begin"/>
            </w:r>
            <w:r>
              <w:rPr>
                <w:webHidden/>
              </w:rPr>
              <w:instrText xml:space="preserve"> PAGEREF _Toc212063446 \h </w:instrText>
            </w:r>
            <w:r>
              <w:rPr>
                <w:webHidden/>
              </w:rPr>
            </w:r>
            <w:r>
              <w:rPr>
                <w:webHidden/>
              </w:rPr>
              <w:fldChar w:fldCharType="separate"/>
            </w:r>
            <w:r w:rsidR="00331747">
              <w:rPr>
                <w:webHidden/>
              </w:rPr>
              <w:t>16</w:t>
            </w:r>
            <w:r>
              <w:rPr>
                <w:webHidden/>
              </w:rPr>
              <w:fldChar w:fldCharType="end"/>
            </w:r>
          </w:hyperlink>
        </w:p>
        <w:p w14:paraId="600E28FB" w14:textId="09D8E64A" w:rsidR="00327933" w:rsidRPr="00327933" w:rsidRDefault="00327933" w:rsidP="00327933">
          <w:pPr>
            <w:pStyle w:val="TOC1"/>
          </w:pPr>
          <w:hyperlink w:anchor="_Toc212063447" w:history="1">
            <w:r w:rsidRPr="00EA34AA">
              <w:rPr>
                <w:rStyle w:val="Hyperlink"/>
              </w:rPr>
              <w:t>Contact</w:t>
            </w:r>
            <w:r>
              <w:rPr>
                <w:webHidden/>
              </w:rPr>
              <w:tab/>
            </w:r>
            <w:r>
              <w:rPr>
                <w:webHidden/>
              </w:rPr>
              <w:fldChar w:fldCharType="begin"/>
            </w:r>
            <w:r>
              <w:rPr>
                <w:webHidden/>
              </w:rPr>
              <w:instrText xml:space="preserve"> PAGEREF _Toc212063447 \h </w:instrText>
            </w:r>
            <w:r>
              <w:rPr>
                <w:webHidden/>
              </w:rPr>
            </w:r>
            <w:r>
              <w:rPr>
                <w:webHidden/>
              </w:rPr>
              <w:fldChar w:fldCharType="separate"/>
            </w:r>
            <w:r w:rsidR="00331747">
              <w:rPr>
                <w:webHidden/>
              </w:rPr>
              <w:t>17</w:t>
            </w:r>
            <w:r>
              <w:rPr>
                <w:webHidden/>
              </w:rPr>
              <w:fldChar w:fldCharType="end"/>
            </w:r>
          </w:hyperlink>
        </w:p>
        <w:p w14:paraId="1A471953" w14:textId="7311C4DD" w:rsidR="00327933" w:rsidRPr="00327933" w:rsidRDefault="00327933" w:rsidP="00327933">
          <w:pPr>
            <w:pStyle w:val="TOC1"/>
          </w:pPr>
          <w:hyperlink w:anchor="_Toc212063448" w:history="1">
            <w:r w:rsidRPr="00EA34AA">
              <w:rPr>
                <w:rStyle w:val="Hyperlink"/>
              </w:rPr>
              <w:t>Definitions</w:t>
            </w:r>
            <w:r>
              <w:rPr>
                <w:webHidden/>
              </w:rPr>
              <w:tab/>
            </w:r>
            <w:r>
              <w:rPr>
                <w:webHidden/>
              </w:rPr>
              <w:fldChar w:fldCharType="begin"/>
            </w:r>
            <w:r>
              <w:rPr>
                <w:webHidden/>
              </w:rPr>
              <w:instrText xml:space="preserve"> PAGEREF _Toc212063448 \h </w:instrText>
            </w:r>
            <w:r>
              <w:rPr>
                <w:webHidden/>
              </w:rPr>
            </w:r>
            <w:r>
              <w:rPr>
                <w:webHidden/>
              </w:rPr>
              <w:fldChar w:fldCharType="separate"/>
            </w:r>
            <w:r w:rsidR="00331747">
              <w:rPr>
                <w:webHidden/>
              </w:rPr>
              <w:t>17</w:t>
            </w:r>
            <w:r>
              <w:rPr>
                <w:webHidden/>
              </w:rPr>
              <w:fldChar w:fldCharType="end"/>
            </w:r>
          </w:hyperlink>
        </w:p>
        <w:p w14:paraId="34A34D76" w14:textId="06F84BC8" w:rsidR="00327933" w:rsidRPr="00327933" w:rsidRDefault="00327933" w:rsidP="00327933">
          <w:pPr>
            <w:pStyle w:val="TOC1"/>
          </w:pPr>
          <w:hyperlink w:anchor="_Toc212063449" w:history="1">
            <w:r w:rsidRPr="00EA34AA">
              <w:rPr>
                <w:rStyle w:val="Hyperlink"/>
              </w:rPr>
              <w:t>Related legislation</w:t>
            </w:r>
            <w:r>
              <w:rPr>
                <w:webHidden/>
              </w:rPr>
              <w:tab/>
            </w:r>
            <w:r>
              <w:rPr>
                <w:webHidden/>
              </w:rPr>
              <w:fldChar w:fldCharType="begin"/>
            </w:r>
            <w:r>
              <w:rPr>
                <w:webHidden/>
              </w:rPr>
              <w:instrText xml:space="preserve"> PAGEREF _Toc212063449 \h </w:instrText>
            </w:r>
            <w:r>
              <w:rPr>
                <w:webHidden/>
              </w:rPr>
            </w:r>
            <w:r>
              <w:rPr>
                <w:webHidden/>
              </w:rPr>
              <w:fldChar w:fldCharType="separate"/>
            </w:r>
            <w:r w:rsidR="00331747">
              <w:rPr>
                <w:webHidden/>
              </w:rPr>
              <w:t>17</w:t>
            </w:r>
            <w:r>
              <w:rPr>
                <w:webHidden/>
              </w:rPr>
              <w:fldChar w:fldCharType="end"/>
            </w:r>
          </w:hyperlink>
        </w:p>
        <w:p w14:paraId="1A607FCC" w14:textId="6A8B5ADA" w:rsidR="00327933" w:rsidRDefault="00327933">
          <w:r>
            <w:rPr>
              <w:b/>
              <w:bCs/>
              <w:noProof/>
            </w:rPr>
            <w:fldChar w:fldCharType="end"/>
          </w:r>
        </w:p>
      </w:sdtContent>
    </w:sdt>
    <w:p w14:paraId="15E30E90" w14:textId="2BF7D10A" w:rsidR="004F762E" w:rsidRPr="00D04362" w:rsidRDefault="004F762E" w:rsidP="00513691">
      <w:r>
        <w:br w:type="page"/>
      </w:r>
    </w:p>
    <w:p w14:paraId="46CB46C5" w14:textId="7A1D3D22" w:rsidR="002E2C12" w:rsidRDefault="00896E8C" w:rsidP="002E2C12">
      <w:pPr>
        <w:pStyle w:val="Heading1"/>
      </w:pPr>
      <w:bookmarkStart w:id="4" w:name="_Toc211959423"/>
      <w:bookmarkStart w:id="5" w:name="_Toc212063425"/>
      <w:r>
        <w:lastRenderedPageBreak/>
        <w:t>Policy</w:t>
      </w:r>
      <w:bookmarkEnd w:id="4"/>
      <w:bookmarkEnd w:id="5"/>
    </w:p>
    <w:p w14:paraId="1B9C8428" w14:textId="36703040" w:rsidR="005E3E73" w:rsidRPr="000D787B" w:rsidRDefault="005E3E73" w:rsidP="000D787B">
      <w:pPr>
        <w:pStyle w:val="Heading2"/>
      </w:pPr>
      <w:bookmarkStart w:id="6" w:name="_Toc211959424"/>
      <w:bookmarkStart w:id="7" w:name="_Toc212063426"/>
      <w:r w:rsidRPr="000D787B">
        <w:t xml:space="preserve">Capacity </w:t>
      </w:r>
      <w:r w:rsidR="008E2DD7" w:rsidRPr="000D787B">
        <w:t>in the</w:t>
      </w:r>
      <w:r w:rsidR="00913BC5" w:rsidRPr="000D787B">
        <w:t xml:space="preserve"> registered supporter context</w:t>
      </w:r>
      <w:bookmarkEnd w:id="6"/>
      <w:bookmarkEnd w:id="7"/>
    </w:p>
    <w:p w14:paraId="7F5C2CFA" w14:textId="5FBEAF22" w:rsidR="00AB7147" w:rsidRDefault="00AB7147" w:rsidP="00513691">
      <w:r w:rsidRPr="006A76DF">
        <w:t xml:space="preserve">Everyone has the right to make decisions about their life, including the support and services they receive from aged care. </w:t>
      </w:r>
      <w:bookmarkStart w:id="8" w:name="_Hlk193278626"/>
      <w:r>
        <w:t xml:space="preserve">A key change under the Act is that every older person is presumed to have the ability to make </w:t>
      </w:r>
      <w:r w:rsidR="00BE45EB">
        <w:t xml:space="preserve">their own </w:t>
      </w:r>
      <w:r>
        <w:t>decisions.</w:t>
      </w:r>
      <w:bookmarkEnd w:id="8"/>
    </w:p>
    <w:p w14:paraId="7E7231C2" w14:textId="0EA5E7E5" w:rsidR="0032589D" w:rsidRPr="00513691" w:rsidRDefault="00D22045" w:rsidP="00513691">
      <w:r w:rsidRPr="00513691">
        <w:t xml:space="preserve">The Act establishes a legal framework for the registration of supporters, which will help embed supported decision-making across the aged care system. </w:t>
      </w:r>
      <w:bookmarkStart w:id="9" w:name="_Hlk193278240"/>
      <w:r w:rsidR="0032589D" w:rsidRPr="00513691">
        <w:t xml:space="preserve">The registered supporter role is one of the changes under the Act that </w:t>
      </w:r>
      <w:r w:rsidR="00BE45EB" w:rsidRPr="00513691">
        <w:t>aim</w:t>
      </w:r>
      <w:r w:rsidR="004B2FBA" w:rsidRPr="00513691">
        <w:t>s</w:t>
      </w:r>
      <w:r w:rsidR="00BE45EB" w:rsidRPr="00513691">
        <w:t xml:space="preserve"> to </w:t>
      </w:r>
      <w:r w:rsidR="0032589D" w:rsidRPr="00513691">
        <w:t>promote older peoples</w:t>
      </w:r>
      <w:r w:rsidR="006700E2" w:rsidRPr="00513691">
        <w:t>’</w:t>
      </w:r>
      <w:r w:rsidR="0032589D" w:rsidRPr="00513691">
        <w:t xml:space="preserve"> right</w:t>
      </w:r>
      <w:r w:rsidR="006700E2" w:rsidRPr="00513691">
        <w:t>s</w:t>
      </w:r>
      <w:r w:rsidR="0032589D" w:rsidRPr="00513691">
        <w:t xml:space="preserve"> to be supported to make their own decisions.</w:t>
      </w:r>
      <w:bookmarkEnd w:id="9"/>
    </w:p>
    <w:p w14:paraId="54F04A05" w14:textId="3AF2CAFC" w:rsidR="00D22045" w:rsidRPr="00513691" w:rsidRDefault="00A41B15" w:rsidP="00513691">
      <w:r w:rsidRPr="00513691">
        <w:t>In understanding the role of a registered supporter</w:t>
      </w:r>
      <w:r w:rsidR="003C459F" w:rsidRPr="00513691">
        <w:t xml:space="preserve"> and their engagement with the older person they support,</w:t>
      </w:r>
      <w:r w:rsidR="00BD6644" w:rsidRPr="00513691">
        <w:t xml:space="preserve"> it is important to understand wh</w:t>
      </w:r>
      <w:r w:rsidR="008D1EC9" w:rsidRPr="00513691">
        <w:t xml:space="preserve">at </w:t>
      </w:r>
      <w:r w:rsidR="003C459F" w:rsidRPr="00513691">
        <w:t>capacity means:</w:t>
      </w:r>
    </w:p>
    <w:p w14:paraId="5ED98F0A" w14:textId="74210B64" w:rsidR="00D56A98" w:rsidRDefault="00156987" w:rsidP="00513691">
      <w:r w:rsidRPr="00513691">
        <w:rPr>
          <w:rStyle w:val="Strong"/>
        </w:rPr>
        <w:t>Capacity</w:t>
      </w:r>
      <w:r w:rsidRPr="00D01A23">
        <w:t xml:space="preserve"> is a legal concept referring to a person’s ability </w:t>
      </w:r>
      <w:r w:rsidR="000B6FB5" w:rsidRPr="00B70A16">
        <w:t xml:space="preserve">to make </w:t>
      </w:r>
      <w:r w:rsidR="009C6D07">
        <w:t xml:space="preserve">a </w:t>
      </w:r>
      <w:r w:rsidR="009018D1">
        <w:t>particular</w:t>
      </w:r>
      <w:r w:rsidR="009018D1" w:rsidRPr="00B70A16">
        <w:t xml:space="preserve"> </w:t>
      </w:r>
      <w:r w:rsidR="000B6FB5" w:rsidRPr="00B70A16">
        <w:t>decision</w:t>
      </w:r>
      <w:r w:rsidR="00657977">
        <w:t xml:space="preserve"> and to have th</w:t>
      </w:r>
      <w:r w:rsidR="00D046C8">
        <w:t>at</w:t>
      </w:r>
      <w:r w:rsidR="00657977">
        <w:t xml:space="preserve"> decision recognised and respected by</w:t>
      </w:r>
      <w:r w:rsidR="00A27DE0">
        <w:t xml:space="preserve"> the</w:t>
      </w:r>
      <w:r w:rsidR="00657977">
        <w:t xml:space="preserve"> law</w:t>
      </w:r>
      <w:r w:rsidRPr="00D01A23">
        <w:t>.</w:t>
      </w:r>
      <w:r w:rsidRPr="00D01A23" w:rsidDel="00657977">
        <w:t xml:space="preserve"> </w:t>
      </w:r>
      <w:r w:rsidRPr="00513691">
        <w:t>Capacity can fluctuate and change in relation to specific circumstances or decisions.</w:t>
      </w:r>
      <w:r>
        <w:t xml:space="preserve"> </w:t>
      </w:r>
      <w:r w:rsidR="00070988">
        <w:t xml:space="preserve">The meaning of capacity, and associated concepts, </w:t>
      </w:r>
      <w:r w:rsidR="00D14E0C">
        <w:t>differ</w:t>
      </w:r>
      <w:r w:rsidR="00070988">
        <w:t xml:space="preserve"> depending on what type of decision is being made and what legal frameworks are relevant to the decision. For example, the legal thresholds for determining a person’s decision-making capacity can be different between Commonwealth, state and territory arrangements.</w:t>
      </w:r>
      <w:r w:rsidR="00B7461A">
        <w:t xml:space="preserve"> Assessments of decision-making ability by m</w:t>
      </w:r>
      <w:r w:rsidR="00B7461A" w:rsidRPr="00DF5938">
        <w:t xml:space="preserve">edical professionals </w:t>
      </w:r>
      <w:r w:rsidR="00B7461A">
        <w:t>usually contribute to legal considerations of</w:t>
      </w:r>
      <w:r w:rsidR="00B7461A" w:rsidRPr="00DF5938">
        <w:t xml:space="preserve"> a person’s capacity.</w:t>
      </w:r>
    </w:p>
    <w:p w14:paraId="7DABE164" w14:textId="1E0235F0" w:rsidR="00C631BD" w:rsidRPr="00513691" w:rsidRDefault="00C631BD" w:rsidP="00513691">
      <w:r w:rsidRPr="00513691">
        <w:rPr>
          <w:rStyle w:val="Strong"/>
        </w:rPr>
        <w:t>Decision-making ability</w:t>
      </w:r>
      <w:r w:rsidRPr="00513691">
        <w:t xml:space="preserve"> refers to the ability of a person to make a</w:t>
      </w:r>
      <w:r w:rsidR="00294836" w:rsidRPr="00513691">
        <w:t xml:space="preserve"> particular</w:t>
      </w:r>
      <w:r w:rsidRPr="00513691">
        <w:t xml:space="preserve"> decision</w:t>
      </w:r>
      <w:r w:rsidR="006B7141" w:rsidRPr="00513691">
        <w:t>,</w:t>
      </w:r>
      <w:r w:rsidRPr="00513691">
        <w:t xml:space="preserve"> with the provision of relevant and appropriate support</w:t>
      </w:r>
      <w:r w:rsidR="006B7141" w:rsidRPr="00513691">
        <w:t>,</w:t>
      </w:r>
      <w:r w:rsidRPr="00513691">
        <w:t xml:space="preserve"> at a time when a decision needs to be made.</w:t>
      </w:r>
    </w:p>
    <w:p w14:paraId="709A36DD" w14:textId="4D637F89" w:rsidR="00A75D91" w:rsidRPr="00513691" w:rsidRDefault="00A75D91" w:rsidP="00513691">
      <w:r w:rsidRPr="00513691">
        <w:t xml:space="preserve">These </w:t>
      </w:r>
      <w:hyperlink w:anchor="_Key_concepts" w:history="1">
        <w:r w:rsidRPr="00513691">
          <w:rPr>
            <w:rStyle w:val="Hyperlink"/>
          </w:rPr>
          <w:t>key conc</w:t>
        </w:r>
        <w:bookmarkStart w:id="10" w:name="_Hlt208930846"/>
        <w:bookmarkStart w:id="11" w:name="_Hlt208930847"/>
        <w:r w:rsidRPr="00513691">
          <w:rPr>
            <w:rStyle w:val="Hyperlink"/>
          </w:rPr>
          <w:t>e</w:t>
        </w:r>
        <w:bookmarkEnd w:id="10"/>
        <w:bookmarkEnd w:id="11"/>
        <w:r w:rsidRPr="00513691">
          <w:rPr>
            <w:rStyle w:val="Hyperlink"/>
          </w:rPr>
          <w:t>pts</w:t>
        </w:r>
      </w:hyperlink>
      <w:r w:rsidRPr="00513691">
        <w:t xml:space="preserve"> are discussed in more detail later in this policy.</w:t>
      </w:r>
    </w:p>
    <w:p w14:paraId="520AAC8B" w14:textId="120B4721" w:rsidR="00E9338C" w:rsidRDefault="00766C79" w:rsidP="00E9338C">
      <w:pPr>
        <w:pStyle w:val="Heading2"/>
      </w:pPr>
      <w:bookmarkStart w:id="12" w:name="_Toc211959425"/>
      <w:bookmarkStart w:id="13" w:name="_Toc212063427"/>
      <w:r>
        <w:t>Role of the System Governor</w:t>
      </w:r>
      <w:bookmarkEnd w:id="12"/>
      <w:bookmarkEnd w:id="13"/>
    </w:p>
    <w:p w14:paraId="5B659C5C" w14:textId="5C1EF1CF" w:rsidR="00A01A68" w:rsidRDefault="009E2C6C" w:rsidP="00513691">
      <w:pPr>
        <w:rPr>
          <w:rFonts w:cs="Arial"/>
        </w:rPr>
      </w:pPr>
      <w:r>
        <w:rPr>
          <w:rFonts w:cs="Arial"/>
        </w:rPr>
        <w:t>E</w:t>
      </w:r>
      <w:r w:rsidR="09A96AB2" w:rsidRPr="00513691">
        <w:t>very older person is presumed to have the ability to make their own decisions.</w:t>
      </w:r>
      <w:r w:rsidRPr="00513691">
        <w:t xml:space="preserve"> This is known as the </w:t>
      </w:r>
      <w:hyperlink w:anchor="_Presumption_of_capacity" w:history="1">
        <w:r w:rsidRPr="00513691">
          <w:rPr>
            <w:rStyle w:val="Hyperlink"/>
          </w:rPr>
          <w:t>presumption of capacity</w:t>
        </w:r>
      </w:hyperlink>
      <w:r w:rsidRPr="00513691">
        <w:t xml:space="preserve"> and is elaborated on later in this policy.</w:t>
      </w:r>
    </w:p>
    <w:p w14:paraId="7E457FEB" w14:textId="17F31AC7" w:rsidR="00706EA6" w:rsidRDefault="00706EA6" w:rsidP="00D229A8">
      <w:pPr>
        <w:pStyle w:val="Heading3"/>
      </w:pPr>
      <w:bookmarkStart w:id="14" w:name="_Actioning_a_person’s"/>
      <w:bookmarkStart w:id="15" w:name="_Toc211959426"/>
      <w:bookmarkStart w:id="16" w:name="_Toc212063428"/>
      <w:bookmarkEnd w:id="14"/>
      <w:r>
        <w:t>Actioning a</w:t>
      </w:r>
      <w:r w:rsidRPr="75418F8C">
        <w:t xml:space="preserve"> person’s </w:t>
      </w:r>
      <w:r>
        <w:t xml:space="preserve">actions or </w:t>
      </w:r>
      <w:r w:rsidRPr="75418F8C">
        <w:t>decision</w:t>
      </w:r>
      <w:r>
        <w:t>s</w:t>
      </w:r>
      <w:bookmarkEnd w:id="15"/>
      <w:bookmarkEnd w:id="16"/>
    </w:p>
    <w:p w14:paraId="60793EBD" w14:textId="7312B5DE" w:rsidR="00A01A68" w:rsidRPr="00513691" w:rsidRDefault="00A01A68" w:rsidP="00513691">
      <w:r w:rsidRPr="75418F8C">
        <w:t xml:space="preserve">There are circumstances where the System Governor may consider a person’s </w:t>
      </w:r>
      <w:r w:rsidR="000844F4" w:rsidRPr="00513691">
        <w:t>ability</w:t>
      </w:r>
      <w:r w:rsidR="005F65C9" w:rsidRPr="00513691">
        <w:t xml:space="preserve"> or capacity</w:t>
      </w:r>
      <w:r w:rsidR="000844F4" w:rsidRPr="00513691">
        <w:t xml:space="preserve"> to make a particular decision</w:t>
      </w:r>
      <w:r w:rsidRPr="75418F8C">
        <w:t>. In doing so, the System Governor may come to an opinion about a person’s capacity</w:t>
      </w:r>
      <w:r w:rsidR="008E7073">
        <w:t>, and the legal force of their actions and decisions.</w:t>
      </w:r>
    </w:p>
    <w:p w14:paraId="4EF9FCDB" w14:textId="39FC384F" w:rsidR="00476F81" w:rsidRPr="00513691" w:rsidRDefault="00C03F25" w:rsidP="00513691">
      <w:r w:rsidRPr="00513691">
        <w:t xml:space="preserve">Factors that may affect </w:t>
      </w:r>
      <w:r w:rsidR="001566F0" w:rsidRPr="00513691">
        <w:t xml:space="preserve">the System Governor’s consideration of a person’s capacity to make </w:t>
      </w:r>
      <w:proofErr w:type="gramStart"/>
      <w:r w:rsidR="001566F0" w:rsidRPr="00513691">
        <w:t>particular decisions</w:t>
      </w:r>
      <w:proofErr w:type="gramEnd"/>
      <w:r w:rsidR="001566F0" w:rsidRPr="00513691">
        <w:t xml:space="preserve"> – and subsequently the System Governor’s consideration of </w:t>
      </w:r>
      <w:r w:rsidRPr="00513691">
        <w:t xml:space="preserve">the legal force </w:t>
      </w:r>
      <w:r w:rsidRPr="00513691" w:rsidDel="001566F0">
        <w:t xml:space="preserve">of </w:t>
      </w:r>
      <w:r w:rsidR="001566F0" w:rsidRPr="00513691">
        <w:t>those</w:t>
      </w:r>
      <w:r w:rsidRPr="00513691">
        <w:t xml:space="preserve"> decisions </w:t>
      </w:r>
      <w:r w:rsidR="00476F81" w:rsidRPr="00513691">
        <w:t>–</w:t>
      </w:r>
      <w:r w:rsidRPr="00513691">
        <w:t xml:space="preserve"> include</w:t>
      </w:r>
      <w:r w:rsidR="00476F81" w:rsidRPr="00513691">
        <w:t xml:space="preserve"> the:</w:t>
      </w:r>
    </w:p>
    <w:p w14:paraId="45C4E4A5" w14:textId="136EF7FF" w:rsidR="00476F81" w:rsidRPr="00513691" w:rsidRDefault="00C03F25" w:rsidP="00513691">
      <w:r w:rsidRPr="00513691">
        <w:t>extent of, and evidence demonstrating, a person’s loss of decision-making ability</w:t>
      </w:r>
    </w:p>
    <w:p w14:paraId="6A829769" w14:textId="4EC600C4" w:rsidR="00476F81" w:rsidRPr="00513691" w:rsidRDefault="00C03F25" w:rsidP="00513691">
      <w:r w:rsidRPr="00513691">
        <w:t xml:space="preserve">authority someone </w:t>
      </w:r>
      <w:proofErr w:type="gramStart"/>
      <w:r w:rsidRPr="00513691">
        <w:t>has to</w:t>
      </w:r>
      <w:proofErr w:type="gramEnd"/>
      <w:r w:rsidRPr="00513691">
        <w:t xml:space="preserve"> make decisions on another person’s behalf</w:t>
      </w:r>
      <w:r w:rsidR="00B47229" w:rsidRPr="00513691">
        <w:t>, if any</w:t>
      </w:r>
      <w:r w:rsidRPr="00513691">
        <w:t>, and</w:t>
      </w:r>
    </w:p>
    <w:p w14:paraId="268AF713" w14:textId="28D10709" w:rsidR="00C03F25" w:rsidRPr="00513691" w:rsidRDefault="00C03F25" w:rsidP="00513691">
      <w:r w:rsidRPr="00513691">
        <w:t xml:space="preserve">Commonwealth, state or territory arrangements under which </w:t>
      </w:r>
      <w:r w:rsidR="00B61C63" w:rsidRPr="00513691">
        <w:t xml:space="preserve">any </w:t>
      </w:r>
      <w:r w:rsidRPr="00513691">
        <w:t>appointment is made.</w:t>
      </w:r>
    </w:p>
    <w:p w14:paraId="7E8A204B" w14:textId="39B22437" w:rsidR="00E9338C" w:rsidRPr="00513691" w:rsidRDefault="00C03F25" w:rsidP="00513691">
      <w:r w:rsidRPr="00513691">
        <w:lastRenderedPageBreak/>
        <w:t xml:space="preserve">The circumstances where the System Governor may consider </w:t>
      </w:r>
      <w:r w:rsidR="00EA59A0" w:rsidRPr="00513691">
        <w:t xml:space="preserve">a person’s </w:t>
      </w:r>
      <w:r w:rsidR="00E01553" w:rsidRPr="00513691">
        <w:t>ability to make a particular decision</w:t>
      </w:r>
      <w:r w:rsidR="00E01553" w:rsidRPr="00513691" w:rsidDel="00E01553">
        <w:t xml:space="preserve"> </w:t>
      </w:r>
      <w:r w:rsidR="00EA59A0" w:rsidRPr="00513691">
        <w:t xml:space="preserve">and </w:t>
      </w:r>
      <w:r w:rsidR="0091599F" w:rsidRPr="00513691">
        <w:t xml:space="preserve">their </w:t>
      </w:r>
      <w:r w:rsidR="00EA59A0" w:rsidRPr="00513691">
        <w:t>capacity include</w:t>
      </w:r>
      <w:r w:rsidR="00E9338C" w:rsidRPr="00513691">
        <w:t>:</w:t>
      </w:r>
    </w:p>
    <w:p w14:paraId="687E6DF8" w14:textId="320389FB" w:rsidR="008506C5" w:rsidRPr="00513691" w:rsidRDefault="008506C5" w:rsidP="00513691">
      <w:pPr>
        <w:pStyle w:val="ListBullet"/>
      </w:pPr>
      <w:r w:rsidRPr="00513691">
        <w:t>Regarding an older person:</w:t>
      </w:r>
    </w:p>
    <w:p w14:paraId="01323FB9" w14:textId="53083D07" w:rsidR="00FA6542" w:rsidRPr="00513691" w:rsidRDefault="00E9338C" w:rsidP="00513691">
      <w:pPr>
        <w:pStyle w:val="ListBullet2"/>
      </w:pPr>
      <w:r w:rsidRPr="7C518483">
        <w:t xml:space="preserve">Where an older person </w:t>
      </w:r>
      <w:r w:rsidR="00FA6542" w:rsidRPr="7C518483">
        <w:t xml:space="preserve">seeks to </w:t>
      </w:r>
      <w:proofErr w:type="gramStart"/>
      <w:r w:rsidR="00FA6542" w:rsidRPr="7C518483">
        <w:t>make a decision</w:t>
      </w:r>
      <w:proofErr w:type="gramEnd"/>
      <w:r w:rsidR="00FA6542" w:rsidRPr="7C518483">
        <w:t xml:space="preserve"> under, or for the purposes of, the Act, </w:t>
      </w:r>
      <w:r w:rsidR="00604BC5" w:rsidRPr="7C518483">
        <w:t xml:space="preserve">and </w:t>
      </w:r>
      <w:r w:rsidR="00C84350" w:rsidRPr="7C518483">
        <w:t xml:space="preserve">the System Governor is in receipt of information that suggests the older person does not have decision-making capacity for that decision. </w:t>
      </w:r>
      <w:r w:rsidR="004B6E98" w:rsidRPr="7C518483">
        <w:t xml:space="preserve">This extends to all decisions under, or for the purposes of, the Act. </w:t>
      </w:r>
      <w:r w:rsidR="003B1A8F" w:rsidRPr="7C518483">
        <w:t xml:space="preserve">Examples </w:t>
      </w:r>
      <w:r w:rsidR="004B6E98" w:rsidRPr="7C518483">
        <w:t>include:</w:t>
      </w:r>
    </w:p>
    <w:p w14:paraId="5277B1FD" w14:textId="473FD41D" w:rsidR="00FA6542" w:rsidRPr="00513691" w:rsidRDefault="004A30E0" w:rsidP="00513691">
      <w:pPr>
        <w:pStyle w:val="ListBullet3"/>
      </w:pPr>
      <w:r w:rsidRPr="00513691">
        <w:t>r</w:t>
      </w:r>
      <w:r w:rsidR="00FA6542" w:rsidRPr="00513691">
        <w:t>equesting the registration of a supporter or the cancellation of a supporter’s registration</w:t>
      </w:r>
    </w:p>
    <w:p w14:paraId="4E09B605" w14:textId="06F02B1A" w:rsidR="003E62AD" w:rsidRPr="00513691" w:rsidRDefault="004A30E0" w:rsidP="00513691">
      <w:pPr>
        <w:pStyle w:val="ListBullet3"/>
      </w:pPr>
      <w:r w:rsidRPr="00513691">
        <w:t>s</w:t>
      </w:r>
      <w:r w:rsidR="003E62AD" w:rsidRPr="00513691">
        <w:t>eeking assessments for Australian Government-funded aged care services</w:t>
      </w:r>
    </w:p>
    <w:p w14:paraId="23521B29" w14:textId="6161E9DF" w:rsidR="00FA6542" w:rsidRPr="00513691" w:rsidRDefault="004A30E0" w:rsidP="00513691">
      <w:pPr>
        <w:pStyle w:val="ListBullet3"/>
      </w:pPr>
      <w:r w:rsidRPr="00513691">
        <w:t>u</w:t>
      </w:r>
      <w:r w:rsidR="00FA6542" w:rsidRPr="00513691">
        <w:t>pdat</w:t>
      </w:r>
      <w:r w:rsidR="002A179F" w:rsidRPr="00513691">
        <w:t>ing</w:t>
      </w:r>
      <w:r w:rsidR="00FA6542" w:rsidRPr="00513691">
        <w:t xml:space="preserve"> </w:t>
      </w:r>
      <w:r w:rsidR="003E62AD" w:rsidRPr="00513691">
        <w:t xml:space="preserve">or seeking information </w:t>
      </w:r>
      <w:r w:rsidR="00FA6542" w:rsidRPr="00513691">
        <w:t>held by the System Governor</w:t>
      </w:r>
      <w:r w:rsidR="00B61C63" w:rsidRPr="00513691">
        <w:t>, and</w:t>
      </w:r>
    </w:p>
    <w:p w14:paraId="1FAA329D" w14:textId="52C10EDB" w:rsidR="003E62AD" w:rsidRPr="00513691" w:rsidRDefault="004A30E0" w:rsidP="00513691">
      <w:pPr>
        <w:pStyle w:val="ListBullet3"/>
      </w:pPr>
      <w:r w:rsidRPr="00513691">
        <w:t>s</w:t>
      </w:r>
      <w:r w:rsidR="003E62AD" w:rsidRPr="00513691">
        <w:t>eeking reconsideration of decisions</w:t>
      </w:r>
      <w:r w:rsidR="00604BC5" w:rsidRPr="00513691">
        <w:t xml:space="preserve"> made by the System Governor</w:t>
      </w:r>
      <w:r w:rsidR="00B61C63" w:rsidRPr="00513691">
        <w:t>.</w:t>
      </w:r>
    </w:p>
    <w:p w14:paraId="0E624358" w14:textId="525D0038" w:rsidR="007521A0" w:rsidRPr="000A5708" w:rsidRDefault="007521A0" w:rsidP="00513691">
      <w:pPr>
        <w:pStyle w:val="Indentnormaltext"/>
      </w:pPr>
      <w:r>
        <w:t xml:space="preserve">To confirm, if the System Governor </w:t>
      </w:r>
      <w:r w:rsidR="004923CF">
        <w:t>forms an opinion</w:t>
      </w:r>
      <w:r>
        <w:t xml:space="preserve"> that an older person does not have capacity for some or all decisions, this can be </w:t>
      </w:r>
      <w:proofErr w:type="gramStart"/>
      <w:r>
        <w:t>taken into account</w:t>
      </w:r>
      <w:proofErr w:type="gramEnd"/>
      <w:r>
        <w:t xml:space="preserve"> in any engagement with the System Governor; this consideration is not confined to the registration process for supporters.</w:t>
      </w:r>
    </w:p>
    <w:p w14:paraId="20535FA8" w14:textId="5B104B23" w:rsidR="00E67759" w:rsidRPr="00513691" w:rsidRDefault="00E9338C" w:rsidP="00513691">
      <w:pPr>
        <w:pStyle w:val="ListBullet"/>
      </w:pPr>
      <w:r w:rsidRPr="00513691">
        <w:t>Where a</w:t>
      </w:r>
      <w:r w:rsidR="00405448" w:rsidRPr="00513691">
        <w:t xml:space="preserve"> person </w:t>
      </w:r>
      <w:r w:rsidRPr="00513691">
        <w:t>is registered, or seeking to register, as a supporter without the consent of the older person by virtue of their being a</w:t>
      </w:r>
      <w:r w:rsidR="000A5708" w:rsidRPr="00513691">
        <w:t>n</w:t>
      </w:r>
      <w:r w:rsidRPr="00513691" w:rsidDel="00405448">
        <w:t xml:space="preserve"> </w:t>
      </w:r>
      <w:r w:rsidRPr="00513691">
        <w:t>appointed decision make</w:t>
      </w:r>
      <w:r w:rsidR="00667B71" w:rsidRPr="00513691">
        <w:t>r</w:t>
      </w:r>
      <w:r w:rsidRPr="00513691">
        <w:t xml:space="preserve"> and where their legal authority </w:t>
      </w:r>
      <w:r w:rsidR="00405448" w:rsidRPr="00513691">
        <w:t>is activated by</w:t>
      </w:r>
      <w:r w:rsidRPr="00513691">
        <w:t xml:space="preserve"> the older person experiencing, or having experienced, a loss of capacity.</w:t>
      </w:r>
    </w:p>
    <w:p w14:paraId="15AC9504" w14:textId="4CEF628B" w:rsidR="008506C5" w:rsidRPr="00513691" w:rsidRDefault="008506C5" w:rsidP="00513691">
      <w:pPr>
        <w:pStyle w:val="ListBullet"/>
      </w:pPr>
      <w:r w:rsidRPr="00513691">
        <w:t>Regarding the capacity of a registered supporter:</w:t>
      </w:r>
    </w:p>
    <w:p w14:paraId="13B8BD77" w14:textId="6742A9A7" w:rsidR="00E9338C" w:rsidRPr="00513691" w:rsidRDefault="00E9338C" w:rsidP="00513691">
      <w:r w:rsidRPr="00513691">
        <w:t>Where information about a registered supporter’s capacity has been provided to the System Governor that suggests the registered supporter may not be able to act as a registered supporter</w:t>
      </w:r>
      <w:r w:rsidR="009A064D" w:rsidRPr="00513691">
        <w:t>. This includes where the registered supporter is also an active, appointed decision maker and</w:t>
      </w:r>
      <w:r w:rsidR="004072CA" w:rsidRPr="00513691">
        <w:t xml:space="preserve"> </w:t>
      </w:r>
      <w:r w:rsidR="009A064D" w:rsidRPr="00513691">
        <w:t>the</w:t>
      </w:r>
      <w:r w:rsidR="00E97B1D" w:rsidRPr="00513691">
        <w:t xml:space="preserve">ir </w:t>
      </w:r>
      <w:r w:rsidR="004072CA" w:rsidRPr="00513691">
        <w:t xml:space="preserve">authority for the older person </w:t>
      </w:r>
      <w:r w:rsidR="00E97B1D" w:rsidRPr="00513691">
        <w:t>is</w:t>
      </w:r>
      <w:r w:rsidR="00FC2955" w:rsidRPr="00513691">
        <w:t xml:space="preserve"> </w:t>
      </w:r>
      <w:r w:rsidR="00C56B2C" w:rsidRPr="00513691">
        <w:t>in question</w:t>
      </w:r>
      <w:r w:rsidR="00313F79" w:rsidRPr="00513691" w:rsidDel="00D03C55">
        <w:t xml:space="preserve"> </w:t>
      </w:r>
      <w:r w:rsidR="00313F79" w:rsidRPr="00513691">
        <w:t xml:space="preserve">because they </w:t>
      </w:r>
      <w:r w:rsidR="00EA2B8D" w:rsidRPr="00513691">
        <w:t xml:space="preserve">may </w:t>
      </w:r>
      <w:r w:rsidR="00313F79" w:rsidRPr="00513691">
        <w:t>have lost decision-making</w:t>
      </w:r>
      <w:r w:rsidR="004072CA" w:rsidRPr="00513691" w:rsidDel="00313F79">
        <w:t xml:space="preserve"> capacity</w:t>
      </w:r>
      <w:r w:rsidR="008506C5" w:rsidRPr="00513691" w:rsidDel="00313F79">
        <w:t>.</w:t>
      </w:r>
    </w:p>
    <w:p w14:paraId="29232D2B" w14:textId="54D6BAF2" w:rsidR="00022A23" w:rsidRDefault="0056272C" w:rsidP="00D229A8">
      <w:pPr>
        <w:pStyle w:val="Heading4"/>
      </w:pPr>
      <w:r>
        <w:t xml:space="preserve">Considerations and </w:t>
      </w:r>
      <w:r w:rsidR="0070281B">
        <w:t>response</w:t>
      </w:r>
      <w:r>
        <w:t xml:space="preserve"> of the System Governor</w:t>
      </w:r>
      <w:r w:rsidR="006D6006">
        <w:t>, including via My Aged Care</w:t>
      </w:r>
    </w:p>
    <w:p w14:paraId="6CCD8117" w14:textId="239B4F8F" w:rsidR="00A81EA8" w:rsidRPr="00513691" w:rsidRDefault="00A81EA8" w:rsidP="00513691">
      <w:r w:rsidRPr="00513691">
        <w:t xml:space="preserve">To confirm, the System Governor would not necessarily block an older person or </w:t>
      </w:r>
      <w:r w:rsidR="0056272C" w:rsidRPr="00513691">
        <w:t xml:space="preserve">registered </w:t>
      </w:r>
      <w:r w:rsidRPr="00513691">
        <w:t>supporter from making and communicating a decision as a default response in the above circumstances; however, the System Governor will consider if the decision has legal force and can be actioned.</w:t>
      </w:r>
    </w:p>
    <w:p w14:paraId="0448E909" w14:textId="76ABF658" w:rsidR="00B66483" w:rsidRDefault="00A81EA8" w:rsidP="00513691">
      <w:r w:rsidRPr="75418F8C">
        <w:t xml:space="preserve">Information held by the System Governor relating to the capacity of a person is likely </w:t>
      </w:r>
      <w:r w:rsidR="007D0067">
        <w:t xml:space="preserve">to be </w:t>
      </w:r>
      <w:r w:rsidRPr="75418F8C">
        <w:t xml:space="preserve">information that was provided to My Aged Care. As such, My Aged Care may be in receipt of information relating to the capacity of a person. Where a person’s </w:t>
      </w:r>
      <w:r w:rsidR="002134B9">
        <w:t xml:space="preserve">capacity to make </w:t>
      </w:r>
      <w:proofErr w:type="gramStart"/>
      <w:r w:rsidR="002134B9">
        <w:t>particular decisions</w:t>
      </w:r>
      <w:proofErr w:type="gramEnd"/>
      <w:r w:rsidR="002134B9">
        <w:t xml:space="preserve"> </w:t>
      </w:r>
      <w:r w:rsidR="001D6B43">
        <w:t>is</w:t>
      </w:r>
      <w:r w:rsidRPr="75418F8C">
        <w:t xml:space="preserve"> in question, My Aged Care may be unable to seamlessly engage with that person</w:t>
      </w:r>
      <w:r w:rsidR="00245856">
        <w:t>.</w:t>
      </w:r>
    </w:p>
    <w:p w14:paraId="2430F2CE" w14:textId="2934015B" w:rsidR="00245856" w:rsidRDefault="00245856" w:rsidP="00513691">
      <w:r>
        <w:t>In these circumstance</w:t>
      </w:r>
      <w:r w:rsidR="00EB5163">
        <w:t>s</w:t>
      </w:r>
      <w:r>
        <w:t>, My Aged Care</w:t>
      </w:r>
      <w:r w:rsidR="00022A23">
        <w:t xml:space="preserve"> or the System Governor</w:t>
      </w:r>
      <w:r w:rsidR="00A81EA8" w:rsidRPr="75418F8C" w:rsidDel="00245856">
        <w:t xml:space="preserve"> </w:t>
      </w:r>
      <w:r w:rsidR="00A81EA8" w:rsidRPr="75418F8C">
        <w:t>may</w:t>
      </w:r>
      <w:r>
        <w:t>:</w:t>
      </w:r>
    </w:p>
    <w:p w14:paraId="5F1DBBF4" w14:textId="5693ED3A" w:rsidR="00245856" w:rsidRPr="00513691" w:rsidRDefault="00A81EA8" w:rsidP="00513691">
      <w:pPr>
        <w:pStyle w:val="ListBullet"/>
      </w:pPr>
      <w:r w:rsidRPr="00245856">
        <w:t>seek to involve</w:t>
      </w:r>
      <w:r w:rsidR="005E1696" w:rsidRPr="00245856">
        <w:t xml:space="preserve"> </w:t>
      </w:r>
      <w:r w:rsidR="00245856">
        <w:t>the older person’s</w:t>
      </w:r>
      <w:r w:rsidRPr="00245856">
        <w:t xml:space="preserve"> active, appointed decision maker (if that </w:t>
      </w:r>
      <w:r w:rsidR="000440B4">
        <w:t xml:space="preserve">older </w:t>
      </w:r>
      <w:r w:rsidRPr="00245856">
        <w:t>person has one</w:t>
      </w:r>
      <w:r w:rsidR="00CE4A8F">
        <w:t xml:space="preserve"> and they are known to the System Governor</w:t>
      </w:r>
      <w:r w:rsidRPr="00245856">
        <w:t>)</w:t>
      </w:r>
    </w:p>
    <w:p w14:paraId="5FDD6F69" w14:textId="61899648" w:rsidR="00F4337E" w:rsidRPr="00513691" w:rsidRDefault="00F4337E" w:rsidP="00513691">
      <w:pPr>
        <w:pStyle w:val="ListBullet"/>
      </w:pPr>
      <w:r>
        <w:lastRenderedPageBreak/>
        <w:t>s</w:t>
      </w:r>
      <w:r w:rsidR="000440B4">
        <w:t>eek to</w:t>
      </w:r>
      <w:r>
        <w:t xml:space="preserve"> involve the older person’s </w:t>
      </w:r>
      <w:r w:rsidR="001623DD" w:rsidRPr="00245856">
        <w:t xml:space="preserve">registered supporter (if the older person’s will and preferences regarding </w:t>
      </w:r>
      <w:r w:rsidR="004F1B6B" w:rsidRPr="00245856">
        <w:t xml:space="preserve">the </w:t>
      </w:r>
      <w:proofErr w:type="gramStart"/>
      <w:r w:rsidR="004F1B6B" w:rsidRPr="00245856">
        <w:t>particular decision(s)</w:t>
      </w:r>
      <w:proofErr w:type="gramEnd"/>
      <w:r w:rsidR="004F1B6B" w:rsidRPr="00245856">
        <w:t xml:space="preserve"> </w:t>
      </w:r>
      <w:r w:rsidR="001623DD" w:rsidRPr="00245856">
        <w:t>are known to that registered supporter)</w:t>
      </w:r>
    </w:p>
    <w:p w14:paraId="63E65750" w14:textId="79E921BE" w:rsidR="00F4337E" w:rsidRPr="00513691" w:rsidRDefault="00A81EA8" w:rsidP="00513691">
      <w:pPr>
        <w:pStyle w:val="ListBullet"/>
      </w:pPr>
      <w:r w:rsidRPr="00245856">
        <w:t xml:space="preserve">request information to </w:t>
      </w:r>
      <w:r w:rsidR="008F0CA3">
        <w:t>inform the System Governor’s understanding of</w:t>
      </w:r>
      <w:r w:rsidR="008F0CA3" w:rsidRPr="00245856">
        <w:t xml:space="preserve"> </w:t>
      </w:r>
      <w:r w:rsidRPr="00245856">
        <w:t>a person’s capacity</w:t>
      </w:r>
      <w:r w:rsidR="00D766EA">
        <w:t xml:space="preserve">, including from </w:t>
      </w:r>
      <w:r w:rsidR="00EA0089">
        <w:t>health</w:t>
      </w:r>
      <w:r w:rsidR="00BC5A46">
        <w:t xml:space="preserve"> practitioners</w:t>
      </w:r>
      <w:r w:rsidR="00C02489">
        <w:t xml:space="preserve"> or a state and territory </w:t>
      </w:r>
      <w:r w:rsidR="00C02489" w:rsidRPr="00245856">
        <w:t>court, board, panel or tribunal</w:t>
      </w:r>
    </w:p>
    <w:p w14:paraId="5718689B" w14:textId="693B4695" w:rsidR="00F4337E" w:rsidRPr="00513691" w:rsidRDefault="00A81EA8" w:rsidP="00513691">
      <w:pPr>
        <w:pStyle w:val="ListBullet"/>
      </w:pPr>
      <w:r w:rsidRPr="00245856">
        <w:t>seek legal advice, and/or</w:t>
      </w:r>
    </w:p>
    <w:p w14:paraId="22DE4BBD" w14:textId="71A7CDBA" w:rsidR="00A81EA8" w:rsidRPr="00513691" w:rsidRDefault="00BC5A46" w:rsidP="00513691">
      <w:pPr>
        <w:pStyle w:val="ListBullet"/>
      </w:pPr>
      <w:r>
        <w:t>notify other bodies or authorities</w:t>
      </w:r>
      <w:r w:rsidR="00AD0937">
        <w:t xml:space="preserve"> including </w:t>
      </w:r>
      <w:r w:rsidR="00C02489">
        <w:t xml:space="preserve">law enforcement authorities or </w:t>
      </w:r>
      <w:r w:rsidR="00AD0937">
        <w:t xml:space="preserve">a </w:t>
      </w:r>
      <w:r w:rsidR="00A81EA8" w:rsidRPr="00245856">
        <w:t>state or territory court, board, panel or tribunal</w:t>
      </w:r>
      <w:r w:rsidR="00AD0937">
        <w:t xml:space="preserve"> (for example, if the System Governor considers</w:t>
      </w:r>
      <w:r w:rsidR="00AD0937" w:rsidRPr="00D6759B">
        <w:t xml:space="preserve"> </w:t>
      </w:r>
      <w:r w:rsidR="00AD0937">
        <w:t xml:space="preserve">the disclosure is necessary to </w:t>
      </w:r>
      <w:r w:rsidR="00A51F32">
        <w:t>mitigate</w:t>
      </w:r>
      <w:r w:rsidR="001F4302" w:rsidRPr="00D6759B">
        <w:t xml:space="preserve"> </w:t>
      </w:r>
      <w:r w:rsidR="00AD0937" w:rsidRPr="00D6759B">
        <w:t>or prevent a serious threat to the safety, health or wellbeing of an older person</w:t>
      </w:r>
      <w:r w:rsidR="00AD0937">
        <w:t>)</w:t>
      </w:r>
      <w:r w:rsidR="00A81EA8" w:rsidRPr="00245856">
        <w:t>.</w:t>
      </w:r>
    </w:p>
    <w:p w14:paraId="4BEBEE97" w14:textId="4498D7DC" w:rsidR="7E8DDD7C" w:rsidRPr="00EF7D28" w:rsidRDefault="7E8DDD7C" w:rsidP="000D787B">
      <w:pPr>
        <w:pStyle w:val="Heading3"/>
      </w:pPr>
      <w:bookmarkStart w:id="17" w:name="_Toc211959427"/>
      <w:bookmarkStart w:id="18" w:name="_Toc212063429"/>
      <w:r w:rsidRPr="75418F8C">
        <w:t xml:space="preserve">Complaints </w:t>
      </w:r>
      <w:r w:rsidR="00081F20">
        <w:t xml:space="preserve">or disputes </w:t>
      </w:r>
      <w:r w:rsidRPr="75418F8C">
        <w:t>related to a person’s capacity</w:t>
      </w:r>
      <w:bookmarkEnd w:id="17"/>
      <w:bookmarkEnd w:id="18"/>
    </w:p>
    <w:p w14:paraId="277CEEBF" w14:textId="3C653DA1" w:rsidR="00593AE7" w:rsidRDefault="00593AE7" w:rsidP="000D787B">
      <w:pPr>
        <w:pStyle w:val="Heading4"/>
      </w:pPr>
      <w:r>
        <w:t>Where the older person has an active, appointed decision maker</w:t>
      </w:r>
    </w:p>
    <w:p w14:paraId="7FE8E2BB" w14:textId="2FE1CB34" w:rsidR="00A81EA8" w:rsidRDefault="00A81EA8" w:rsidP="00513691">
      <w:r w:rsidRPr="75418F8C">
        <w:t xml:space="preserve">Where the System Governor receives information about a person’s capacity in relation to a complaint or dispute </w:t>
      </w:r>
      <w:r w:rsidR="0039338D">
        <w:t xml:space="preserve">involving </w:t>
      </w:r>
      <w:r w:rsidRPr="75418F8C">
        <w:t xml:space="preserve">active, appointed decision makers, the System Governor </w:t>
      </w:r>
      <w:r w:rsidRPr="3168AD16">
        <w:t>w</w:t>
      </w:r>
      <w:r w:rsidR="006D18B8">
        <w:t>ill</w:t>
      </w:r>
      <w:r w:rsidRPr="3168AD16" w:rsidDel="00087010">
        <w:t xml:space="preserve"> </w:t>
      </w:r>
      <w:r w:rsidR="00087010" w:rsidRPr="3168AD16">
        <w:t xml:space="preserve">encourage </w:t>
      </w:r>
      <w:r w:rsidRPr="3168AD16">
        <w:t xml:space="preserve">the </w:t>
      </w:r>
      <w:r w:rsidR="009D1A30" w:rsidRPr="3168AD16">
        <w:t xml:space="preserve">appointed decision makers to </w:t>
      </w:r>
      <w:r w:rsidR="00EE746D" w:rsidRPr="3168AD16">
        <w:t xml:space="preserve">direct </w:t>
      </w:r>
      <w:r w:rsidR="009D1A30" w:rsidRPr="3168AD16">
        <w:t>the dispute</w:t>
      </w:r>
      <w:r w:rsidRPr="3168AD16">
        <w:t xml:space="preserve"> to</w:t>
      </w:r>
      <w:r w:rsidRPr="3168AD16" w:rsidDel="00897B00">
        <w:t xml:space="preserve"> </w:t>
      </w:r>
      <w:r w:rsidR="00897B00" w:rsidRPr="3168AD16">
        <w:t xml:space="preserve">the relevant </w:t>
      </w:r>
      <w:r w:rsidRPr="3168AD16">
        <w:t xml:space="preserve">state or territory court, board, panel or tribunal </w:t>
      </w:r>
      <w:r w:rsidR="00897B00" w:rsidRPr="3168AD16">
        <w:t>for</w:t>
      </w:r>
      <w:r w:rsidRPr="3168AD16">
        <w:t xml:space="preserve"> </w:t>
      </w:r>
      <w:r w:rsidR="004F3E30" w:rsidRPr="3168AD16">
        <w:t>consideration</w:t>
      </w:r>
      <w:r w:rsidRPr="3168AD16">
        <w:t>.</w:t>
      </w:r>
      <w:r w:rsidRPr="75418F8C">
        <w:t xml:space="preserve"> </w:t>
      </w:r>
      <w:r w:rsidR="0039338D">
        <w:t xml:space="preserve">This includes complaints or disputes relating to the capacity of the older person and/or appointed decision makers, regardless of whether they are registered supporters. </w:t>
      </w:r>
      <w:r w:rsidR="00301848">
        <w:t>T</w:t>
      </w:r>
      <w:r w:rsidRPr="3168AD16">
        <w:t>he</w:t>
      </w:r>
      <w:r w:rsidRPr="75418F8C">
        <w:t xml:space="preserve"> System Governor does not have authority for </w:t>
      </w:r>
      <w:r w:rsidR="6D0129D0" w:rsidRPr="75418F8C">
        <w:t>appointed decision</w:t>
      </w:r>
      <w:r w:rsidRPr="75418F8C">
        <w:t xml:space="preserve"> makers, including disputes </w:t>
      </w:r>
      <w:r w:rsidR="6E4DA8C6" w:rsidRPr="75418F8C">
        <w:t>about their substitute decision-making</w:t>
      </w:r>
      <w:r w:rsidRPr="75418F8C">
        <w:t xml:space="preserve"> authority.</w:t>
      </w:r>
    </w:p>
    <w:p w14:paraId="4B25C6F2" w14:textId="77777777" w:rsidR="00A94FEC" w:rsidRDefault="00893128" w:rsidP="00513691">
      <w:r w:rsidRPr="00893128">
        <w:t xml:space="preserve">Though the System Governor cannot </w:t>
      </w:r>
      <w:r w:rsidR="00C8310A">
        <w:t xml:space="preserve">resolve disputes </w:t>
      </w:r>
      <w:r w:rsidR="00EA14FA">
        <w:t>surrounding</w:t>
      </w:r>
      <w:r w:rsidRPr="00893128">
        <w:t xml:space="preserve"> </w:t>
      </w:r>
      <w:r w:rsidR="00EA14FA">
        <w:t xml:space="preserve">the authority of </w:t>
      </w:r>
      <w:r w:rsidRPr="00893128">
        <w:t xml:space="preserve">active, appointed decision maker’s </w:t>
      </w:r>
      <w:r w:rsidR="00EA14FA">
        <w:t>r</w:t>
      </w:r>
      <w:r w:rsidR="00A94FEC">
        <w:t>elating</w:t>
      </w:r>
      <w:r w:rsidR="00EA14FA">
        <w:t xml:space="preserve"> to </w:t>
      </w:r>
      <w:r w:rsidR="00A94FEC">
        <w:t>an</w:t>
      </w:r>
      <w:r w:rsidR="00EA14FA">
        <w:t xml:space="preserve"> older person’s capacity</w:t>
      </w:r>
      <w:r w:rsidRPr="00893128">
        <w:t>, the System Governor may notify other bodies</w:t>
      </w:r>
      <w:r w:rsidR="00C8310A">
        <w:t xml:space="preserve"> </w:t>
      </w:r>
      <w:r w:rsidR="00AD0937">
        <w:t xml:space="preserve">or authorities </w:t>
      </w:r>
      <w:r w:rsidR="00083F64">
        <w:t>where the System Governor considers</w:t>
      </w:r>
      <w:r w:rsidR="00D6759B" w:rsidRPr="00D6759B">
        <w:t xml:space="preserve"> </w:t>
      </w:r>
      <w:r w:rsidR="00D6759B">
        <w:t>the disclosure is</w:t>
      </w:r>
      <w:r w:rsidR="00A94FEC">
        <w:t>:</w:t>
      </w:r>
    </w:p>
    <w:p w14:paraId="29000387" w14:textId="6B27EF10" w:rsidR="00A94FEC" w:rsidRPr="00513691" w:rsidRDefault="00A94FEC" w:rsidP="00513691">
      <w:pPr>
        <w:pStyle w:val="ListBullet"/>
      </w:pPr>
      <w:r w:rsidRPr="00513691">
        <w:t>n</w:t>
      </w:r>
      <w:r w:rsidR="00D6759B" w:rsidRPr="00513691">
        <w:t xml:space="preserve">ecessary to </w:t>
      </w:r>
      <w:r w:rsidR="00064C96" w:rsidRPr="00513691">
        <w:t>mitigate</w:t>
      </w:r>
      <w:r w:rsidR="00B431D0" w:rsidRPr="00513691">
        <w:t xml:space="preserve"> </w:t>
      </w:r>
      <w:r w:rsidR="00D6759B" w:rsidRPr="00513691">
        <w:t>or prevent a serious threat to the safety, health or wellbeing of an older person</w:t>
      </w:r>
    </w:p>
    <w:p w14:paraId="20954891" w14:textId="6E9D4D0E" w:rsidR="00A94FEC" w:rsidRPr="00513691" w:rsidRDefault="00365F9E" w:rsidP="00513691">
      <w:pPr>
        <w:pStyle w:val="ListBullet"/>
      </w:pPr>
      <w:r w:rsidRPr="00513691">
        <w:t>for</w:t>
      </w:r>
      <w:r w:rsidR="0010374C" w:rsidRPr="00513691">
        <w:t xml:space="preserve"> the</w:t>
      </w:r>
      <w:r w:rsidRPr="00513691">
        <w:t xml:space="preserve"> purpose of, or in relation to, reporting a past threat to an older person’s life, health or safety</w:t>
      </w:r>
      <w:r w:rsidR="00C8310A" w:rsidRPr="00513691">
        <w:t>, or</w:t>
      </w:r>
    </w:p>
    <w:p w14:paraId="28693EA1" w14:textId="77BE363A" w:rsidR="00A94FEC" w:rsidRPr="00513691" w:rsidRDefault="00C8310A" w:rsidP="00513691">
      <w:pPr>
        <w:pStyle w:val="ListBullet"/>
      </w:pPr>
      <w:r w:rsidRPr="00513691">
        <w:t>in the public interest</w:t>
      </w:r>
      <w:r w:rsidR="00893128" w:rsidRPr="00513691">
        <w:t>.</w:t>
      </w:r>
    </w:p>
    <w:p w14:paraId="2C00D47C" w14:textId="1193F6E2" w:rsidR="00570A82" w:rsidRPr="00A94FEC" w:rsidRDefault="000C786A" w:rsidP="00513691">
      <w:r w:rsidRPr="00A94FEC">
        <w:t xml:space="preserve">If these circumstances are met, </w:t>
      </w:r>
      <w:r w:rsidR="00C8310A" w:rsidRPr="00A94FEC">
        <w:t xml:space="preserve">the System Governor </w:t>
      </w:r>
      <w:r w:rsidR="0010374C">
        <w:t xml:space="preserve">may </w:t>
      </w:r>
      <w:r w:rsidR="00C8310A" w:rsidRPr="00A94FEC">
        <w:t xml:space="preserve">notify </w:t>
      </w:r>
      <w:r w:rsidR="00384B96">
        <w:t>the</w:t>
      </w:r>
      <w:r w:rsidR="00C8310A" w:rsidRPr="00A94FEC">
        <w:t xml:space="preserve"> state or territory court, board, panel or tribunal</w:t>
      </w:r>
      <w:r w:rsidR="009A404F">
        <w:t xml:space="preserve"> who </w:t>
      </w:r>
      <w:r w:rsidR="007D2979">
        <w:t>afforded the active, appointed decision makers their authority</w:t>
      </w:r>
      <w:r w:rsidR="00C8310A" w:rsidRPr="00A94FEC">
        <w:t>.</w:t>
      </w:r>
    </w:p>
    <w:p w14:paraId="4BFE8D8C" w14:textId="457B478E" w:rsidR="00570A82" w:rsidRDefault="00570A82" w:rsidP="000D787B">
      <w:pPr>
        <w:pStyle w:val="Heading4"/>
      </w:pPr>
      <w:r>
        <w:t>Where the older person does not have a known active, appointed decision maker</w:t>
      </w:r>
    </w:p>
    <w:p w14:paraId="26137BDA" w14:textId="2F86A84B" w:rsidR="00384B96" w:rsidRPr="002C6A5B" w:rsidRDefault="00BA217C" w:rsidP="00513691">
      <w:r w:rsidRPr="002C6A5B">
        <w:t>Where the System Governor receives information about a</w:t>
      </w:r>
      <w:r w:rsidR="00E561FC">
        <w:t>n older</w:t>
      </w:r>
      <w:r w:rsidRPr="002C6A5B">
        <w:t xml:space="preserve"> person’s </w:t>
      </w:r>
      <w:r w:rsidR="00295865">
        <w:t>decision-making ability</w:t>
      </w:r>
      <w:r w:rsidRPr="002C6A5B">
        <w:t xml:space="preserve"> in relation to a complaint or dispute </w:t>
      </w:r>
      <w:r w:rsidR="009D137F">
        <w:t xml:space="preserve">and </w:t>
      </w:r>
      <w:r w:rsidR="00295865">
        <w:t xml:space="preserve">that raises questions about the </w:t>
      </w:r>
      <w:r w:rsidR="00E561FC">
        <w:t>older person’s capacity</w:t>
      </w:r>
      <w:r w:rsidR="00F54402">
        <w:t>, and</w:t>
      </w:r>
      <w:r w:rsidR="00CC77D6" w:rsidRPr="002C6A5B">
        <w:t xml:space="preserve"> the System Governor is not aware of any active, appointed decision makers for the older person</w:t>
      </w:r>
      <w:r w:rsidRPr="002C6A5B">
        <w:t xml:space="preserve">, the System Governor </w:t>
      </w:r>
      <w:r w:rsidR="007D2979" w:rsidRPr="00DC03F0">
        <w:t>cannot appoint someone as the older person’s appointed decision maker</w:t>
      </w:r>
      <w:r w:rsidR="00367BBD" w:rsidRPr="00DC03F0">
        <w:t xml:space="preserve"> or grant anyone decision-making authority for the older person</w:t>
      </w:r>
      <w:r w:rsidR="007D2979" w:rsidRPr="00DC03F0">
        <w:t>.</w:t>
      </w:r>
    </w:p>
    <w:p w14:paraId="300B68C1" w14:textId="79EFB998" w:rsidR="00367BBD" w:rsidRPr="00DC03F0" w:rsidRDefault="00384B96" w:rsidP="00513691">
      <w:r w:rsidRPr="002C6A5B">
        <w:t>The System Governor w</w:t>
      </w:r>
      <w:r w:rsidR="000F0373" w:rsidRPr="002C6A5B">
        <w:t xml:space="preserve">ill provide the older person </w:t>
      </w:r>
      <w:r w:rsidR="00F850B0" w:rsidRPr="002C6A5B">
        <w:t xml:space="preserve">and those involved in the dispute with information and resources </w:t>
      </w:r>
      <w:r w:rsidR="000B1CD5" w:rsidRPr="002C6A5B">
        <w:t>to support them</w:t>
      </w:r>
      <w:r w:rsidR="00672BA7" w:rsidRPr="00DC03F0">
        <w:t>, including support</w:t>
      </w:r>
      <w:r w:rsidR="000B1CD5" w:rsidRPr="002C6A5B">
        <w:t xml:space="preserve"> to resolve the dispute. </w:t>
      </w:r>
      <w:r w:rsidR="00672BA7" w:rsidRPr="00DC03F0">
        <w:t xml:space="preserve">For </w:t>
      </w:r>
      <w:r w:rsidR="00672BA7" w:rsidRPr="00DC03F0">
        <w:lastRenderedPageBreak/>
        <w:t>example,</w:t>
      </w:r>
      <w:r w:rsidR="00C77EF7">
        <w:t xml:space="preserve"> this may include</w:t>
      </w:r>
      <w:r w:rsidR="003067B4" w:rsidRPr="00E53FC7">
        <w:t xml:space="preserve"> information on</w:t>
      </w:r>
      <w:r w:rsidR="00E961F1" w:rsidRPr="00DC03F0">
        <w:t xml:space="preserve"> </w:t>
      </w:r>
      <w:r w:rsidR="002C6A5B" w:rsidRPr="00DC03F0">
        <w:t>relevant state or territory court, board, panel or tribunal</w:t>
      </w:r>
      <w:r w:rsidR="006973A1" w:rsidRPr="00E53FC7">
        <w:t xml:space="preserve"> processes, including urgent applications to appoint a decision maker.</w:t>
      </w:r>
    </w:p>
    <w:p w14:paraId="1CD55323" w14:textId="44B3B7E4" w:rsidR="00B41565" w:rsidRDefault="00367BBD" w:rsidP="00513691">
      <w:r w:rsidRPr="00DC03F0">
        <w:t xml:space="preserve">Additionally, </w:t>
      </w:r>
      <w:r w:rsidR="00672BA7" w:rsidRPr="00DC03F0">
        <w:t>i</w:t>
      </w:r>
      <w:r w:rsidR="00887567" w:rsidRPr="00DC03F0">
        <w:t>f the older person</w:t>
      </w:r>
      <w:r w:rsidR="00887567" w:rsidRPr="002C6A5B">
        <w:t xml:space="preserve">, their registered supporters </w:t>
      </w:r>
      <w:r w:rsidR="00672BA7" w:rsidRPr="00DC03F0">
        <w:t>and/</w:t>
      </w:r>
      <w:r w:rsidR="00887567" w:rsidRPr="002C6A5B">
        <w:t>or other people supporting the older person</w:t>
      </w:r>
      <w:r w:rsidR="00887567" w:rsidRPr="00DC03F0">
        <w:t xml:space="preserve"> require further assistance accessing aged care services and supports, they </w:t>
      </w:r>
      <w:r w:rsidR="00672BA7" w:rsidRPr="00DC03F0">
        <w:t>would be encouraged to</w:t>
      </w:r>
      <w:r w:rsidR="00887567" w:rsidRPr="00DC03F0">
        <w:t xml:space="preserve"> </w:t>
      </w:r>
      <w:r w:rsidR="00B41565">
        <w:t xml:space="preserve">access other supports </w:t>
      </w:r>
      <w:r w:rsidR="003A10A3">
        <w:t>such as</w:t>
      </w:r>
      <w:r w:rsidR="00B41565">
        <w:t>:</w:t>
      </w:r>
    </w:p>
    <w:p w14:paraId="2D0842AF" w14:textId="37A9B904" w:rsidR="00887567" w:rsidRPr="00513691" w:rsidRDefault="00887567" w:rsidP="00513691">
      <w:pPr>
        <w:pStyle w:val="ListBullet"/>
      </w:pPr>
      <w:r w:rsidRPr="00513691">
        <w:t>contact</w:t>
      </w:r>
      <w:r w:rsidR="00B41565" w:rsidRPr="00513691">
        <w:t>ing</w:t>
      </w:r>
      <w:r w:rsidRPr="00513691">
        <w:t xml:space="preserve"> the </w:t>
      </w:r>
      <w:hyperlink r:id="rId12" w:history="1">
        <w:r w:rsidRPr="00DC03F0">
          <w:rPr>
            <w:rStyle w:val="Hyperlink"/>
          </w:rPr>
          <w:t>Older Persons Advocacy Network</w:t>
        </w:r>
      </w:hyperlink>
      <w:r w:rsidRPr="00DC03F0">
        <w:t xml:space="preserve"> (OPAN)</w:t>
      </w:r>
      <w:r w:rsidR="00B41565" w:rsidRPr="00B41565">
        <w:t xml:space="preserve"> for support from an independent advocate</w:t>
      </w:r>
      <w:r w:rsidRPr="00B41565" w:rsidDel="00B41565">
        <w:t>.</w:t>
      </w:r>
      <w:r w:rsidRPr="00B279FD">
        <w:t xml:space="preserve"> OPAN provides free, independent and confidential advocacy support to older people</w:t>
      </w:r>
      <w:r w:rsidR="00B41565" w:rsidRPr="00B41565">
        <w:t>, their families, and others supporting them.</w:t>
      </w:r>
    </w:p>
    <w:p w14:paraId="032B8E9D" w14:textId="7896CA0F" w:rsidR="00B41565" w:rsidRPr="00513691" w:rsidRDefault="00423456" w:rsidP="00513691">
      <w:pPr>
        <w:pStyle w:val="ListBullet"/>
      </w:pPr>
      <w:r w:rsidRPr="00513691">
        <w:t xml:space="preserve">accessing a </w:t>
      </w:r>
      <w:hyperlink r:id="rId13" w:history="1">
        <w:r w:rsidRPr="00513691">
          <w:rPr>
            <w:rStyle w:val="Hyperlink"/>
          </w:rPr>
          <w:t>care finder service</w:t>
        </w:r>
      </w:hyperlink>
      <w:r w:rsidR="00FA1E14">
        <w:t>. Care finders provide a free service to support vulnerable people who have no one else to support them when navigating aged care services.</w:t>
      </w:r>
    </w:p>
    <w:p w14:paraId="30622E35" w14:textId="02679F0E" w:rsidR="00A94FEC" w:rsidRPr="00DC03F0" w:rsidRDefault="00A7214E" w:rsidP="00513691">
      <w:r>
        <w:t xml:space="preserve">As outlined above, the </w:t>
      </w:r>
      <w:r w:rsidRPr="00893128">
        <w:t xml:space="preserve">System Governor may </w:t>
      </w:r>
      <w:r w:rsidR="00745880">
        <w:t xml:space="preserve">also </w:t>
      </w:r>
      <w:r w:rsidRPr="00893128">
        <w:t>notify other bodies</w:t>
      </w:r>
      <w:r>
        <w:t xml:space="preserve"> or authorities</w:t>
      </w:r>
      <w:r w:rsidR="00951D19">
        <w:t xml:space="preserve"> where there is a current or past threat to an older person.</w:t>
      </w:r>
    </w:p>
    <w:p w14:paraId="7457EF79" w14:textId="71539ADF" w:rsidR="00841AB7" w:rsidRPr="000D787B" w:rsidRDefault="00766C79" w:rsidP="000D787B">
      <w:pPr>
        <w:pStyle w:val="Heading2"/>
      </w:pPr>
      <w:bookmarkStart w:id="19" w:name="_Toc211959428"/>
      <w:bookmarkStart w:id="20" w:name="_Toc212063430"/>
      <w:r w:rsidRPr="000D787B">
        <w:t>Role of other persons</w:t>
      </w:r>
      <w:r w:rsidR="00F90DF5" w:rsidRPr="000D787B">
        <w:t xml:space="preserve"> or entities</w:t>
      </w:r>
      <w:bookmarkEnd w:id="19"/>
      <w:bookmarkEnd w:id="20"/>
    </w:p>
    <w:p w14:paraId="4A59718C" w14:textId="25FCE799" w:rsidR="00637990" w:rsidRPr="00513691" w:rsidRDefault="00841AB7" w:rsidP="00513691">
      <w:r w:rsidRPr="00513691">
        <w:t xml:space="preserve">The System Governor </w:t>
      </w:r>
      <w:r w:rsidR="0058320A" w:rsidRPr="00513691">
        <w:t xml:space="preserve">is one </w:t>
      </w:r>
      <w:r w:rsidR="004D2A7B" w:rsidRPr="00513691">
        <w:t xml:space="preserve">authority </w:t>
      </w:r>
      <w:r w:rsidRPr="00513691">
        <w:t>perform</w:t>
      </w:r>
      <w:r w:rsidR="004D2A7B" w:rsidRPr="00513691">
        <w:t xml:space="preserve">ing </w:t>
      </w:r>
      <w:r w:rsidRPr="00513691">
        <w:t>function</w:t>
      </w:r>
      <w:r w:rsidR="004D2A7B" w:rsidRPr="00513691">
        <w:t>s</w:t>
      </w:r>
      <w:r w:rsidRPr="00513691">
        <w:t xml:space="preserve"> under the Act. There are many other people</w:t>
      </w:r>
      <w:r w:rsidR="00A54D93" w:rsidRPr="00513691">
        <w:t xml:space="preserve"> or entities</w:t>
      </w:r>
      <w:r w:rsidRPr="00513691">
        <w:t xml:space="preserve"> who engage with older person</w:t>
      </w:r>
      <w:r w:rsidR="004601F4" w:rsidRPr="00513691">
        <w:t>s</w:t>
      </w:r>
      <w:r w:rsidRPr="00513691">
        <w:t xml:space="preserve"> seeking or receiving Australian Government-funded aged care services. These</w:t>
      </w:r>
      <w:r w:rsidR="004601F4" w:rsidRPr="00513691">
        <w:t xml:space="preserve"> include the My Aged Care contact centre, aged care assessors, aged care providers, and the Aged Care Quality and Safety Commission.</w:t>
      </w:r>
    </w:p>
    <w:p w14:paraId="24D2DE68" w14:textId="3275629F" w:rsidR="004601F4" w:rsidRPr="00513691" w:rsidRDefault="00B72896" w:rsidP="00513691">
      <w:r w:rsidRPr="00513691">
        <w:t xml:space="preserve">While </w:t>
      </w:r>
      <w:r w:rsidR="002515BA" w:rsidRPr="00513691">
        <w:t>an older person’s ability to make a particular decision</w:t>
      </w:r>
      <w:r w:rsidR="007464E2" w:rsidRPr="00513691">
        <w:t xml:space="preserve"> and </w:t>
      </w:r>
      <w:r w:rsidR="002515BA" w:rsidRPr="00513691">
        <w:t xml:space="preserve">their </w:t>
      </w:r>
      <w:r w:rsidR="007464E2" w:rsidRPr="00513691">
        <w:t>capacity</w:t>
      </w:r>
      <w:r w:rsidR="002515BA" w:rsidRPr="00513691">
        <w:t xml:space="preserve"> </w:t>
      </w:r>
      <w:r w:rsidR="00637990" w:rsidRPr="00513691">
        <w:t xml:space="preserve">may be considered </w:t>
      </w:r>
      <w:r w:rsidR="00A54D93" w:rsidRPr="00513691">
        <w:t xml:space="preserve">by different people and </w:t>
      </w:r>
      <w:r w:rsidR="00D86097" w:rsidRPr="00513691">
        <w:t xml:space="preserve">entities </w:t>
      </w:r>
      <w:r w:rsidR="00637990" w:rsidRPr="00513691">
        <w:t>as appropriate in each circumstance, the capacity of an older person should be presumed across the aged care system, and for each decision.</w:t>
      </w:r>
    </w:p>
    <w:p w14:paraId="047600EE" w14:textId="64D50625" w:rsidR="00E9338C" w:rsidDel="002C0498" w:rsidRDefault="002C0498" w:rsidP="00A75D91">
      <w:pPr>
        <w:pStyle w:val="Heading2"/>
      </w:pPr>
      <w:bookmarkStart w:id="21" w:name="_Key_concepts"/>
      <w:bookmarkStart w:id="22" w:name="_Toc211959429"/>
      <w:bookmarkStart w:id="23" w:name="_Toc212063431"/>
      <w:bookmarkEnd w:id="21"/>
      <w:r w:rsidRPr="00AF5580">
        <w:t>Key concepts</w:t>
      </w:r>
      <w:bookmarkEnd w:id="22"/>
      <w:bookmarkEnd w:id="23"/>
    </w:p>
    <w:p w14:paraId="20C3E32B" w14:textId="27BE9C02" w:rsidR="00C061BC" w:rsidRPr="00513691" w:rsidRDefault="00C061BC" w:rsidP="00513691">
      <w:r w:rsidRPr="00513691">
        <w:t xml:space="preserve">The meaning of capacity, and associated concepts, </w:t>
      </w:r>
      <w:r w:rsidR="001A0B0B" w:rsidRPr="00513691">
        <w:t>differ</w:t>
      </w:r>
      <w:r w:rsidRPr="00513691">
        <w:t xml:space="preserve"> depending on what type of decision is being made and what legal frameworks are relevant to the decision. For example, </w:t>
      </w:r>
      <w:r w:rsidR="0067785A" w:rsidRPr="00513691">
        <w:t xml:space="preserve">the legal thresholds for determining a person’s decision-making capacity can be different between Commonwealth, state and territory </w:t>
      </w:r>
      <w:r w:rsidR="00D86097" w:rsidRPr="00513691">
        <w:t>arrangements</w:t>
      </w:r>
      <w:r w:rsidR="0067785A" w:rsidRPr="00513691">
        <w:t>.</w:t>
      </w:r>
    </w:p>
    <w:p w14:paraId="21AB823C" w14:textId="3AD18444" w:rsidR="00B0157F" w:rsidRPr="00513691" w:rsidRDefault="0067785A" w:rsidP="00513691">
      <w:r w:rsidRPr="00513691">
        <w:t>This policy aims to provide general information about concepts that are important to the System Governor’s functions under the Act.</w:t>
      </w:r>
    </w:p>
    <w:p w14:paraId="2E671F48" w14:textId="4ACE8B0B" w:rsidR="002C0498" w:rsidRPr="00513691" w:rsidRDefault="00B0157F" w:rsidP="00513691">
      <w:r w:rsidRPr="00513691">
        <w:t>T</w:t>
      </w:r>
      <w:r w:rsidR="0067785A" w:rsidRPr="00513691">
        <w:t xml:space="preserve">he System Governor and other persons performing functions under the Act will need </w:t>
      </w:r>
      <w:r w:rsidR="00CA32D7" w:rsidRPr="00513691">
        <w:t xml:space="preserve">to </w:t>
      </w:r>
      <w:r w:rsidRPr="00513691">
        <w:t xml:space="preserve">consider the circumstances specific to Commonwealth, state and territory </w:t>
      </w:r>
      <w:r w:rsidR="00CA32D7" w:rsidRPr="00513691">
        <w:t>arrangements</w:t>
      </w:r>
      <w:r w:rsidRPr="00513691">
        <w:t>. Likewise, appointed decision makers must consider their specific circumstances to ensure that they exercise decision-making authority within the scope of their active, legal authority.</w:t>
      </w:r>
    </w:p>
    <w:p w14:paraId="59C44A32" w14:textId="77777777" w:rsidR="00943F3D" w:rsidRPr="00513691" w:rsidRDefault="00943F3D" w:rsidP="00513691">
      <w:pPr>
        <w:pStyle w:val="Heading3"/>
      </w:pPr>
      <w:bookmarkStart w:id="24" w:name="_Meaning_of_capacity"/>
      <w:bookmarkStart w:id="25" w:name="_Toc211959430"/>
      <w:bookmarkStart w:id="26" w:name="_Toc212063432"/>
      <w:bookmarkEnd w:id="24"/>
      <w:r w:rsidRPr="00513691">
        <w:t>Legal capacity</w:t>
      </w:r>
      <w:bookmarkEnd w:id="25"/>
      <w:bookmarkEnd w:id="26"/>
    </w:p>
    <w:p w14:paraId="5A5F4C96" w14:textId="0FBB1293" w:rsidR="00943F3D" w:rsidRPr="00513691" w:rsidRDefault="00943F3D" w:rsidP="00513691">
      <w:r w:rsidRPr="00513691">
        <w:t>Legal capacity is about a person’s decisions and actions being recognised and respected by the law. It refers to both legal standing (</w:t>
      </w:r>
      <w:r w:rsidR="0044577C" w:rsidRPr="00513691">
        <w:t>that is,</w:t>
      </w:r>
      <w:r w:rsidRPr="00513691">
        <w:t xml:space="preserve"> the ability to hold rights and duties, and to be recognised as a legal person) and legal agency (</w:t>
      </w:r>
      <w:r w:rsidR="0044577C" w:rsidRPr="00513691">
        <w:t xml:space="preserve">that is, </w:t>
      </w:r>
      <w:r w:rsidRPr="00513691">
        <w:t>the ability to exercise th</w:t>
      </w:r>
      <w:r w:rsidR="002A0EF4" w:rsidRPr="00513691">
        <w:t>o</w:t>
      </w:r>
      <w:r w:rsidRPr="00513691">
        <w:t xml:space="preserve">se rights and duties and to perform acts with legal effects). For example, there are ages below which children are not considered able to have the legal capacity to </w:t>
      </w:r>
      <w:proofErr w:type="gramStart"/>
      <w:r w:rsidRPr="00513691">
        <w:t>enter into</w:t>
      </w:r>
      <w:proofErr w:type="gramEnd"/>
      <w:r w:rsidRPr="00513691">
        <w:t xml:space="preserve"> certain contracts, get married, or make a Will.</w:t>
      </w:r>
    </w:p>
    <w:p w14:paraId="1509E9F7" w14:textId="0B62F51B" w:rsidR="00943F3D" w:rsidRPr="00513691" w:rsidRDefault="00943F3D" w:rsidP="00513691">
      <w:r w:rsidRPr="00513691">
        <w:lastRenderedPageBreak/>
        <w:t xml:space="preserve">Adults, including all older people, are taken to have legal capacity unless they are determined to have temporarily or permanently lost their capacity to make a particular decision. This means an older person has the right to make their own decisions, and have those decisions recognised and respected by the law. Older people </w:t>
      </w:r>
      <w:r w:rsidRPr="00513691" w:rsidDel="007D1D5B">
        <w:t xml:space="preserve">may </w:t>
      </w:r>
      <w:r w:rsidRPr="00513691">
        <w:t>also be provided with the support they require to exercise their rights and duties and to perform acts with legal effects.</w:t>
      </w:r>
    </w:p>
    <w:p w14:paraId="3861698B" w14:textId="77777777" w:rsidR="00943F3D" w:rsidRDefault="00943F3D" w:rsidP="000D787B">
      <w:pPr>
        <w:pStyle w:val="Heading3"/>
      </w:pPr>
      <w:bookmarkStart w:id="27" w:name="_Toc211959431"/>
      <w:bookmarkStart w:id="28" w:name="_Toc212063433"/>
      <w:r>
        <w:t>Older people retain right to do things</w:t>
      </w:r>
      <w:bookmarkEnd w:id="27"/>
      <w:bookmarkEnd w:id="28"/>
    </w:p>
    <w:p w14:paraId="0C1AD7E9" w14:textId="77777777" w:rsidR="00943F3D" w:rsidRPr="00513691" w:rsidRDefault="00943F3D" w:rsidP="00513691">
      <w:r w:rsidRPr="00513691">
        <w:t xml:space="preserve">Having a registered supporter </w:t>
      </w:r>
      <w:r w:rsidRPr="00513691">
        <w:rPr>
          <w:rStyle w:val="Strong"/>
        </w:rPr>
        <w:t>does not</w:t>
      </w:r>
      <w:r w:rsidRPr="00513691">
        <w:t xml:space="preserve"> stop an older person from being able to receive information, make decisions, or communicate directly with others including aged care providers, My Aged Care and assessors. Older people can keep requesting, receiving and communicating information and making decisions.</w:t>
      </w:r>
    </w:p>
    <w:p w14:paraId="7CD9B406" w14:textId="6748B5C9" w:rsidR="00943F3D" w:rsidRPr="00513691" w:rsidRDefault="00943F3D" w:rsidP="00513691">
      <w:r w:rsidRPr="00513691">
        <w:t>The registration of a supporter itself cannot be used to signal in any way that an older person does not have capacity.</w:t>
      </w:r>
    </w:p>
    <w:p w14:paraId="46DC34BA" w14:textId="0211A7DE" w:rsidR="00943F3D" w:rsidRPr="00513691" w:rsidRDefault="00943F3D" w:rsidP="00513691">
      <w:r w:rsidRPr="00513691">
        <w:t>Registered supporters may only act within the scope of their role and in line with their duties under the Act. Becoming a registered supporter does not grant someone decision-making authority for an older person.</w:t>
      </w:r>
    </w:p>
    <w:p w14:paraId="19D1BFE0" w14:textId="0CA2B79B" w:rsidR="00F820E2" w:rsidRDefault="00F820E2" w:rsidP="00F820E2">
      <w:pPr>
        <w:pStyle w:val="Heading3"/>
      </w:pPr>
      <w:bookmarkStart w:id="29" w:name="_Toc211959432"/>
      <w:bookmarkStart w:id="30" w:name="_Toc212063434"/>
      <w:r>
        <w:t xml:space="preserve">Meaning of </w:t>
      </w:r>
      <w:r w:rsidR="00D046C8">
        <w:t xml:space="preserve">a person’s </w:t>
      </w:r>
      <w:r>
        <w:t xml:space="preserve">capacity </w:t>
      </w:r>
      <w:r w:rsidR="00701907">
        <w:t xml:space="preserve">to make </w:t>
      </w:r>
      <w:r w:rsidR="00D046C8">
        <w:t xml:space="preserve">a particular </w:t>
      </w:r>
      <w:r w:rsidR="00701907">
        <w:t>decision</w:t>
      </w:r>
      <w:bookmarkEnd w:id="29"/>
      <w:bookmarkEnd w:id="30"/>
    </w:p>
    <w:p w14:paraId="7A087C18" w14:textId="7D40921A" w:rsidR="00EF3000" w:rsidRDefault="006A6B96" w:rsidP="00513691">
      <w:r>
        <w:t xml:space="preserve">The Act does not define capacity. </w:t>
      </w:r>
      <w:r w:rsidR="00722521">
        <w:t>I</w:t>
      </w:r>
      <w:r>
        <w:t>n this policy</w:t>
      </w:r>
      <w:r w:rsidR="004E2012">
        <w:t>,</w:t>
      </w:r>
      <w:r w:rsidDel="006A6B96">
        <w:t xml:space="preserve"> </w:t>
      </w:r>
      <w:r w:rsidR="001D4CA2">
        <w:t>a</w:t>
      </w:r>
      <w:r w:rsidR="00D046C8">
        <w:t xml:space="preserve"> person’s c</w:t>
      </w:r>
      <w:r w:rsidR="00EF3000">
        <w:t xml:space="preserve">apacity </w:t>
      </w:r>
      <w:r w:rsidR="00EF3000" w:rsidRPr="00EF3000">
        <w:t xml:space="preserve">is a legal concept referring to a person’s ability to make </w:t>
      </w:r>
      <w:r w:rsidR="008A3F71">
        <w:t>a particular</w:t>
      </w:r>
      <w:r w:rsidR="00EF3000" w:rsidRPr="00EF3000">
        <w:t xml:space="preserve"> decision and to have those decisions recognised and respected by the law.</w:t>
      </w:r>
    </w:p>
    <w:p w14:paraId="7DF9377F" w14:textId="6B145D17" w:rsidR="00F820E2" w:rsidRDefault="004E2012" w:rsidP="00513691">
      <w:r>
        <w:t>Under</w:t>
      </w:r>
      <w:r w:rsidR="0047503D" w:rsidDel="004E2012">
        <w:t xml:space="preserve"> </w:t>
      </w:r>
      <w:r w:rsidR="0047503D">
        <w:t xml:space="preserve">certain legal frameworks, </w:t>
      </w:r>
      <w:r w:rsidR="00F820E2" w:rsidRPr="00571978">
        <w:t>a person is generally said to have capacity</w:t>
      </w:r>
      <w:r w:rsidR="00F820E2" w:rsidRPr="00B70A16">
        <w:t xml:space="preserve"> </w:t>
      </w:r>
      <w:r w:rsidR="00B0157F" w:rsidRPr="00B70A16">
        <w:t xml:space="preserve">for a </w:t>
      </w:r>
      <w:r w:rsidR="00273385" w:rsidRPr="00B70A16">
        <w:t>decision</w:t>
      </w:r>
      <w:r w:rsidR="00F820E2" w:rsidRPr="00571978">
        <w:t xml:space="preserve"> if they </w:t>
      </w:r>
      <w:proofErr w:type="gramStart"/>
      <w:r w:rsidR="00F820E2" w:rsidRPr="00571978">
        <w:t>are able to</w:t>
      </w:r>
      <w:proofErr w:type="gramEnd"/>
      <w:r w:rsidR="00F820E2" w:rsidRPr="00571978">
        <w:t>:</w:t>
      </w:r>
      <w:r w:rsidR="00F820E2" w:rsidRPr="00571978">
        <w:rPr>
          <w:rStyle w:val="EndnoteReference"/>
        </w:rPr>
        <w:endnoteReference w:id="2"/>
      </w:r>
    </w:p>
    <w:p w14:paraId="5CD2FC25" w14:textId="77777777" w:rsidR="00F820E2" w:rsidRPr="00513691" w:rsidRDefault="00F820E2" w:rsidP="00513691">
      <w:pPr>
        <w:pStyle w:val="ListBullet"/>
      </w:pPr>
      <w:r w:rsidRPr="00513691">
        <w:t>understand the information relevant to the decision and effect of the decision</w:t>
      </w:r>
    </w:p>
    <w:p w14:paraId="251FFEC5" w14:textId="77777777" w:rsidR="00F820E2" w:rsidRPr="00513691" w:rsidRDefault="00F820E2" w:rsidP="00513691">
      <w:pPr>
        <w:pStyle w:val="ListBullet"/>
      </w:pPr>
      <w:r w:rsidRPr="00513691">
        <w:t xml:space="preserve">retain that information to the extent necessary to make the decision </w:t>
      </w:r>
    </w:p>
    <w:p w14:paraId="577D918C" w14:textId="3E820C69" w:rsidR="00F820E2" w:rsidRPr="00513691" w:rsidRDefault="00F820E2" w:rsidP="00513691">
      <w:pPr>
        <w:pStyle w:val="ListBullet"/>
      </w:pPr>
      <w:r w:rsidRPr="00513691">
        <w:t>consider, use or weigh that information as part of the process of making the decision, and</w:t>
      </w:r>
    </w:p>
    <w:p w14:paraId="07459ABA" w14:textId="77777777" w:rsidR="00F820E2" w:rsidRPr="00513691" w:rsidRDefault="00F820E2" w:rsidP="00513691">
      <w:pPr>
        <w:pStyle w:val="ListBullet"/>
      </w:pPr>
      <w:r w:rsidRPr="00513691">
        <w:t xml:space="preserve">communicate the decision and the person’s views and needs as to the decision in some way, including by speech, gestures, written word or other means. </w:t>
      </w:r>
    </w:p>
    <w:p w14:paraId="144D9682" w14:textId="42235D98" w:rsidR="00F820E2" w:rsidRDefault="00F820E2" w:rsidP="00513691">
      <w:r>
        <w:t>In determining whether a person has capacity</w:t>
      </w:r>
      <w:r w:rsidR="00465224">
        <w:t xml:space="preserve"> for a decision</w:t>
      </w:r>
      <w:r>
        <w:t xml:space="preserve">, </w:t>
      </w:r>
      <w:r w:rsidR="00516474">
        <w:t>legal frameworks may also</w:t>
      </w:r>
      <w:r w:rsidR="00BD2509">
        <w:t xml:space="preserve"> </w:t>
      </w:r>
      <w:r>
        <w:t>consider:</w:t>
      </w:r>
      <w:r>
        <w:rPr>
          <w:rStyle w:val="EndnoteReference"/>
        </w:rPr>
        <w:endnoteReference w:id="3"/>
      </w:r>
    </w:p>
    <w:p w14:paraId="7F93B0E5" w14:textId="320639A4" w:rsidR="00F820E2" w:rsidRPr="00513691" w:rsidRDefault="00F820E2" w:rsidP="00513691">
      <w:pPr>
        <w:pStyle w:val="ListBullet"/>
      </w:pPr>
      <w:r w:rsidRPr="00513691">
        <w:t xml:space="preserve">a person may have capacity for some </w:t>
      </w:r>
      <w:r w:rsidR="00465224" w:rsidRPr="00513691">
        <w:t xml:space="preserve">decisions </w:t>
      </w:r>
      <w:r w:rsidRPr="00513691">
        <w:t>and not others</w:t>
      </w:r>
    </w:p>
    <w:p w14:paraId="5FF63FD2" w14:textId="78FEC34B" w:rsidR="00F820E2" w:rsidRPr="00513691" w:rsidRDefault="00F820E2" w:rsidP="00513691">
      <w:pPr>
        <w:pStyle w:val="ListBullet"/>
      </w:pPr>
      <w:r w:rsidRPr="00513691">
        <w:t xml:space="preserve">if a person does not have capacity for a </w:t>
      </w:r>
      <w:r w:rsidR="00465224" w:rsidRPr="00513691">
        <w:t>decision</w:t>
      </w:r>
      <w:r w:rsidRPr="00513691">
        <w:t>, it may be temporary and not permanent</w:t>
      </w:r>
    </w:p>
    <w:p w14:paraId="04FB343C" w14:textId="3332EF62" w:rsidR="00F820E2" w:rsidRPr="00513691" w:rsidRDefault="00F820E2" w:rsidP="00513691">
      <w:pPr>
        <w:pStyle w:val="ListBullet"/>
      </w:pPr>
      <w:r w:rsidRPr="00513691">
        <w:t xml:space="preserve">it should not be assumed that a person does not have capacity for a </w:t>
      </w:r>
      <w:r w:rsidR="00465224" w:rsidRPr="00513691">
        <w:t xml:space="preserve">decision </w:t>
      </w:r>
      <w:proofErr w:type="gramStart"/>
      <w:r w:rsidRPr="00513691">
        <w:t>on the basis of</w:t>
      </w:r>
      <w:proofErr w:type="gramEnd"/>
      <w:r w:rsidRPr="00513691">
        <w:t xml:space="preserve"> the person’s appearance</w:t>
      </w:r>
    </w:p>
    <w:p w14:paraId="340F8637" w14:textId="30261961" w:rsidR="00F820E2" w:rsidRPr="00513691" w:rsidRDefault="00F820E2" w:rsidP="00513691">
      <w:pPr>
        <w:pStyle w:val="ListBullet"/>
      </w:pPr>
      <w:r w:rsidRPr="00513691">
        <w:t xml:space="preserve">it should not be assumed that a person does not have capacity for a </w:t>
      </w:r>
      <w:r w:rsidR="00465224" w:rsidRPr="00513691">
        <w:t xml:space="preserve">decision </w:t>
      </w:r>
      <w:r w:rsidRPr="00513691">
        <w:t>merely because the person makes a decision that is, in the opinion of others, unwise, and</w:t>
      </w:r>
    </w:p>
    <w:p w14:paraId="529CAA18" w14:textId="2BC15922" w:rsidR="00F820E2" w:rsidRPr="00513691" w:rsidRDefault="00F820E2" w:rsidP="00513691">
      <w:pPr>
        <w:pStyle w:val="ListBullet"/>
      </w:pPr>
      <w:r w:rsidRPr="00513691">
        <w:t xml:space="preserve">a person has capacity for a </w:t>
      </w:r>
      <w:r w:rsidR="00465224" w:rsidRPr="00513691">
        <w:t xml:space="preserve">decision </w:t>
      </w:r>
      <w:r w:rsidRPr="00513691">
        <w:t xml:space="preserve">if it is possible for the person to </w:t>
      </w:r>
      <w:proofErr w:type="gramStart"/>
      <w:r w:rsidRPr="00513691">
        <w:t>make a decision</w:t>
      </w:r>
      <w:proofErr w:type="gramEnd"/>
      <w:r w:rsidRPr="00513691">
        <w:t xml:space="preserve"> in the matter with practica</w:t>
      </w:r>
      <w:r w:rsidR="00785EED" w:rsidRPr="00513691">
        <w:t>l</w:t>
      </w:r>
      <w:r w:rsidRPr="00513691">
        <w:t xml:space="preserve"> and appropriate support.</w:t>
      </w:r>
    </w:p>
    <w:p w14:paraId="5F364ACF" w14:textId="3142A7BB" w:rsidR="00F820E2" w:rsidRDefault="00F820E2" w:rsidP="00513691">
      <w:r>
        <w:lastRenderedPageBreak/>
        <w:t xml:space="preserve">Decision-making support </w:t>
      </w:r>
      <w:r w:rsidRPr="00DB1026">
        <w:t>includ</w:t>
      </w:r>
      <w:r>
        <w:t>es</w:t>
      </w:r>
      <w:r w:rsidRPr="00DB1026">
        <w:t xml:space="preserve"> universal design and accessibility measures and recognition of diverse, non-conventional methods of communication</w:t>
      </w:r>
      <w:r>
        <w:t>. Non-conventional methods of communication include the expression of decisions non-verbally or through observed behaviour.</w:t>
      </w:r>
    </w:p>
    <w:p w14:paraId="40E0DD36" w14:textId="28958D64" w:rsidR="00F820E2" w:rsidRDefault="00F820E2" w:rsidP="00513691">
      <w:r>
        <w:t>Decision-making support may involve a range of persons, services, and assistive technologies and is not exclusive to, or dependent on</w:t>
      </w:r>
      <w:r w:rsidR="000D1566">
        <w:t>,</w:t>
      </w:r>
      <w:r>
        <w:t xml:space="preserve"> the involvement of a registered supporter.</w:t>
      </w:r>
    </w:p>
    <w:p w14:paraId="0D933DAE" w14:textId="03797051" w:rsidR="00F820E2" w:rsidRDefault="00F820E2" w:rsidP="00513691">
      <w:r>
        <w:t xml:space="preserve">There are also things that, by themselves, should </w:t>
      </w:r>
      <w:r w:rsidRPr="00513691">
        <w:rPr>
          <w:rStyle w:val="Strong"/>
        </w:rPr>
        <w:t>not</w:t>
      </w:r>
      <w:r>
        <w:t xml:space="preserve"> be considered indications that a person does not have capacity</w:t>
      </w:r>
      <w:r w:rsidR="00465224">
        <w:t xml:space="preserve"> for a decision</w:t>
      </w:r>
      <w:r>
        <w:t>. These include that the person:</w:t>
      </w:r>
      <w:r>
        <w:rPr>
          <w:rStyle w:val="EndnoteReference"/>
        </w:rPr>
        <w:endnoteReference w:id="4"/>
      </w:r>
    </w:p>
    <w:p w14:paraId="64B2069D" w14:textId="77777777" w:rsidR="00F820E2" w:rsidRPr="00513691" w:rsidRDefault="00F820E2" w:rsidP="00513691">
      <w:pPr>
        <w:pStyle w:val="ListBullet"/>
      </w:pPr>
      <w:r w:rsidRPr="00513691">
        <w:t xml:space="preserve">is eccentric </w:t>
      </w:r>
    </w:p>
    <w:p w14:paraId="1CB49D0A" w14:textId="77777777" w:rsidR="00F820E2" w:rsidRPr="00513691" w:rsidRDefault="00F820E2" w:rsidP="00513691">
      <w:pPr>
        <w:pStyle w:val="ListBullet"/>
      </w:pPr>
      <w:r w:rsidRPr="00513691">
        <w:t>makes, what is considered by others to be, unwise decisions</w:t>
      </w:r>
    </w:p>
    <w:p w14:paraId="57F9409A" w14:textId="77777777" w:rsidR="00F820E2" w:rsidRPr="00513691" w:rsidRDefault="00F820E2" w:rsidP="00513691">
      <w:pPr>
        <w:pStyle w:val="ListBullet"/>
      </w:pPr>
      <w:r w:rsidRPr="00513691">
        <w:t xml:space="preserve">does or does not express a particular political or religious opinion </w:t>
      </w:r>
    </w:p>
    <w:p w14:paraId="10304816" w14:textId="77777777" w:rsidR="00F820E2" w:rsidRPr="00513691" w:rsidRDefault="00F820E2" w:rsidP="00513691">
      <w:pPr>
        <w:pStyle w:val="ListBullet"/>
      </w:pPr>
      <w:r w:rsidRPr="00513691">
        <w:t xml:space="preserve">has a particular sexual orientation or expresses a particular sexual preference </w:t>
      </w:r>
    </w:p>
    <w:p w14:paraId="274A3C4D" w14:textId="77777777" w:rsidR="00F820E2" w:rsidRPr="00513691" w:rsidRDefault="00F820E2" w:rsidP="00513691">
      <w:pPr>
        <w:pStyle w:val="ListBullet"/>
      </w:pPr>
      <w:r w:rsidRPr="00513691">
        <w:t>engages or has engaged in illegal or immoral conduct, or</w:t>
      </w:r>
    </w:p>
    <w:p w14:paraId="65F81450" w14:textId="77777777" w:rsidR="00F820E2" w:rsidRPr="00513691" w:rsidRDefault="00F820E2" w:rsidP="00513691">
      <w:pPr>
        <w:pStyle w:val="ListBullet"/>
      </w:pPr>
      <w:r w:rsidRPr="00513691">
        <w:t>takes or has taken drugs, including alcohol.</w:t>
      </w:r>
    </w:p>
    <w:p w14:paraId="36845D4C" w14:textId="77777777" w:rsidR="00273385" w:rsidRDefault="00273385" w:rsidP="00273385">
      <w:pPr>
        <w:pStyle w:val="Heading3"/>
      </w:pPr>
      <w:bookmarkStart w:id="31" w:name="_Toc211959433"/>
      <w:bookmarkStart w:id="32" w:name="_Toc212063435"/>
      <w:r>
        <w:t>Capacity specific to each decision</w:t>
      </w:r>
      <w:bookmarkEnd w:id="31"/>
      <w:bookmarkEnd w:id="32"/>
    </w:p>
    <w:p w14:paraId="3141BD89" w14:textId="414FC031" w:rsidR="003059DA" w:rsidRDefault="00727F49" w:rsidP="00513691">
      <w:r>
        <w:t>The capacity of each person is specific to the decision they are making.</w:t>
      </w:r>
    </w:p>
    <w:p w14:paraId="601009EA" w14:textId="736E0BE6" w:rsidR="00727F49" w:rsidRDefault="00727F49" w:rsidP="00513691">
      <w:r>
        <w:t>This means that the decision-making ability of a person, and their capacity, should be considered in each circumstance.</w:t>
      </w:r>
    </w:p>
    <w:p w14:paraId="63365AF4" w14:textId="4AABCF45" w:rsidR="00727F49" w:rsidRDefault="00E36AD6" w:rsidP="00513691">
      <w:r>
        <w:t>I</w:t>
      </w:r>
      <w:r w:rsidR="003059DA">
        <w:t xml:space="preserve">f </w:t>
      </w:r>
      <w:r w:rsidR="0001413C">
        <w:t xml:space="preserve">an active, appointed decision maker seeks to </w:t>
      </w:r>
      <w:proofErr w:type="gramStart"/>
      <w:r w:rsidR="0001413C">
        <w:t>make a decision</w:t>
      </w:r>
      <w:proofErr w:type="gramEnd"/>
      <w:r w:rsidR="0001413C">
        <w:t xml:space="preserve"> on behalf of an older person, they must be able to provide proof that the</w:t>
      </w:r>
      <w:r>
        <w:t xml:space="preserve">ir authority is </w:t>
      </w:r>
      <w:proofErr w:type="gramStart"/>
      <w:r>
        <w:t>active</w:t>
      </w:r>
      <w:proofErr w:type="gramEnd"/>
      <w:r>
        <w:t xml:space="preserve"> and they are acting within the scope of their authority. This may </w:t>
      </w:r>
      <w:r w:rsidR="00D229B0">
        <w:t xml:space="preserve">necessitate them providing </w:t>
      </w:r>
      <w:r>
        <w:t xml:space="preserve">proof that they have legal decision-making authority for that </w:t>
      </w:r>
      <w:r w:rsidR="00D229B0">
        <w:t xml:space="preserve">particular </w:t>
      </w:r>
      <w:r>
        <w:t>decision. Sometimes, they may also be asked to provide medical evidence that the older person does not</w:t>
      </w:r>
      <w:r w:rsidR="002414E9">
        <w:t xml:space="preserve"> currently</w:t>
      </w:r>
      <w:r>
        <w:t xml:space="preserve"> </w:t>
      </w:r>
      <w:proofErr w:type="gramStart"/>
      <w:r>
        <w:t xml:space="preserve">have </w:t>
      </w:r>
      <w:r w:rsidR="002414E9">
        <w:t>the ability to</w:t>
      </w:r>
      <w:proofErr w:type="gramEnd"/>
      <w:r w:rsidR="002414E9">
        <w:t xml:space="preserve"> make</w:t>
      </w:r>
      <w:r>
        <w:t xml:space="preserve"> that decision.</w:t>
      </w:r>
    </w:p>
    <w:p w14:paraId="458AC937" w14:textId="7035A892" w:rsidR="00713200" w:rsidRPr="00B70A16" w:rsidRDefault="00E36AD6" w:rsidP="00513691">
      <w:r>
        <w:t xml:space="preserve">The </w:t>
      </w:r>
      <w:hyperlink w:anchor="_Specificity_of_medical" w:history="1">
        <w:r w:rsidRPr="00342236">
          <w:rPr>
            <w:rStyle w:val="Hyperlink"/>
          </w:rPr>
          <w:t>specificity of medical evidence</w:t>
        </w:r>
      </w:hyperlink>
      <w:r>
        <w:t xml:space="preserve"> is discussed in more detail later in this policy.</w:t>
      </w:r>
    </w:p>
    <w:p w14:paraId="0ACD572E" w14:textId="388FF02B" w:rsidR="00CE6502" w:rsidRDefault="008472B6" w:rsidP="00B70A16">
      <w:pPr>
        <w:pStyle w:val="Heading3"/>
      </w:pPr>
      <w:bookmarkStart w:id="33" w:name="_Presumption_of_capacity"/>
      <w:bookmarkStart w:id="34" w:name="_Toc211959434"/>
      <w:bookmarkStart w:id="35" w:name="_Toc212063436"/>
      <w:bookmarkEnd w:id="33"/>
      <w:r>
        <w:t>Presumption of capacity</w:t>
      </w:r>
      <w:bookmarkEnd w:id="34"/>
      <w:bookmarkEnd w:id="35"/>
    </w:p>
    <w:p w14:paraId="411A56BB" w14:textId="72833772" w:rsidR="00FF4128" w:rsidRPr="00513691" w:rsidRDefault="00FF4128" w:rsidP="00513691">
      <w:r>
        <w:t>A key change under the Act is that every older person is presumed to have the ability to make their own decisions</w:t>
      </w:r>
      <w:r w:rsidR="00354843">
        <w:t xml:space="preserve"> and to have those decisions respected</w:t>
      </w:r>
      <w:r w:rsidR="0091394C">
        <w:t xml:space="preserve"> and recognised by law</w:t>
      </w:r>
      <w:r>
        <w:t xml:space="preserve">. This is known as the </w:t>
      </w:r>
      <w:r w:rsidRPr="00C631BD">
        <w:t>presumption of capacity</w:t>
      </w:r>
      <w:r>
        <w:t xml:space="preserve">. </w:t>
      </w:r>
      <w:r w:rsidRPr="00513691">
        <w:t>This means that other people, for example registered supporters, workers, health professionals and carers, should assume in the first instance that an older person can make their own decisions and do things themselves.</w:t>
      </w:r>
    </w:p>
    <w:p w14:paraId="6AF331AE" w14:textId="2A329014" w:rsidR="0052130C" w:rsidRPr="00513691" w:rsidRDefault="0052130C" w:rsidP="00513691">
      <w:r w:rsidRPr="00513691">
        <w:t>The presumption of capacity applies to every decision to be made. This means that an older person is presumed to be able to make every new decision</w:t>
      </w:r>
      <w:r w:rsidR="00662625" w:rsidRPr="00513691">
        <w:t>.</w:t>
      </w:r>
      <w:r w:rsidRPr="00513691">
        <w:t xml:space="preserve"> If an older person </w:t>
      </w:r>
      <w:proofErr w:type="gramStart"/>
      <w:r w:rsidRPr="00513691">
        <w:t>is not able to</w:t>
      </w:r>
      <w:proofErr w:type="gramEnd"/>
      <w:r w:rsidRPr="00513691">
        <w:t xml:space="preserve"> </w:t>
      </w:r>
      <w:proofErr w:type="gramStart"/>
      <w:r w:rsidRPr="00513691">
        <w:t>make a decision</w:t>
      </w:r>
      <w:proofErr w:type="gramEnd"/>
      <w:r w:rsidRPr="00513691">
        <w:t xml:space="preserve"> on one occasion, it does not mean the older person should be excluded from decision-making on other occasions.</w:t>
      </w:r>
    </w:p>
    <w:p w14:paraId="7304E0E7" w14:textId="77777777" w:rsidR="00995473" w:rsidRDefault="00995473" w:rsidP="00513691">
      <w:r>
        <w:t>The Act respects the decisions made by an older person, with or without supports.</w:t>
      </w:r>
    </w:p>
    <w:p w14:paraId="65AAF1F9" w14:textId="34566F9E" w:rsidR="004714F5" w:rsidRDefault="00FF4128" w:rsidP="00513691">
      <w:r>
        <w:lastRenderedPageBreak/>
        <w:t>While the Act does not explicitly use the phrase ‘presumption of capacity’ when referring to an older person, the presumption is embedded in the Act</w:t>
      </w:r>
      <w:r w:rsidR="00C3127F">
        <w:t>. This includes</w:t>
      </w:r>
      <w:r>
        <w:t xml:space="preserve"> through the new Statement of Rights and the roles and duties of a registered supporter.</w:t>
      </w:r>
    </w:p>
    <w:p w14:paraId="24C4392A" w14:textId="6681F179" w:rsidR="00ED5BCA" w:rsidRDefault="00FF4128" w:rsidP="00513691">
      <w:r>
        <w:t>For example, the Statement of Rights includes the right of an older person to exercise choice and make decisions that affect their life</w:t>
      </w:r>
      <w:r w:rsidR="006900A0">
        <w:t xml:space="preserve">. The Statement also includes the right </w:t>
      </w:r>
      <w:r>
        <w:t>to be supported to make those decisions</w:t>
      </w:r>
      <w:r w:rsidR="006900A0">
        <w:t xml:space="preserve"> if necessary, and have those decisions respected</w:t>
      </w:r>
      <w:r w:rsidR="004714F5" w:rsidRPr="00513691">
        <w:t xml:space="preserve">. </w:t>
      </w:r>
      <w:r w:rsidR="00663C14" w:rsidRPr="00513691">
        <w:t>T</w:t>
      </w:r>
      <w:r w:rsidR="00ED5BCA" w:rsidRPr="00513691">
        <w:t xml:space="preserve">he Act </w:t>
      </w:r>
      <w:r w:rsidR="00663C14" w:rsidRPr="00513691">
        <w:t>also</w:t>
      </w:r>
      <w:r w:rsidR="00ED5BCA" w:rsidRPr="00513691">
        <w:t xml:space="preserve"> requires registered supporters to apply their best endeavours to maintain the decision-making ability of the older person. When supporting an older person to do a thing under the Act, a registered supporter must support the older person only to the extent necessary for them to do the thing themselves.</w:t>
      </w:r>
    </w:p>
    <w:p w14:paraId="25D6B51E" w14:textId="16203EF8" w:rsidR="007206FF" w:rsidRPr="00513691" w:rsidRDefault="007206FF" w:rsidP="007206FF">
      <w:pPr>
        <w:pStyle w:val="Heading4"/>
      </w:pPr>
      <w:r w:rsidRPr="00CB3682">
        <w:t xml:space="preserve">Fluctuating </w:t>
      </w:r>
      <w:r w:rsidR="00354843">
        <w:t>ability</w:t>
      </w:r>
    </w:p>
    <w:p w14:paraId="38EF03EF" w14:textId="4B102276" w:rsidR="007206FF" w:rsidRDefault="007206FF" w:rsidP="00513691">
      <w:r>
        <w:rPr>
          <w:rFonts w:cs="Arial"/>
        </w:rPr>
        <w:t>The Act</w:t>
      </w:r>
      <w:r>
        <w:t xml:space="preserve"> recognises that an older person’s ability to </w:t>
      </w:r>
      <w:proofErr w:type="gramStart"/>
      <w:r>
        <w:t>make</w:t>
      </w:r>
      <w:r w:rsidR="005848C5">
        <w:t xml:space="preserve"> a</w:t>
      </w:r>
      <w:r>
        <w:t xml:space="preserve"> decision</w:t>
      </w:r>
      <w:proofErr w:type="gramEnd"/>
      <w:r>
        <w:t xml:space="preserve"> can fluctuate and seeks to maintain an older person’s connection to their decision-making for as long</w:t>
      </w:r>
      <w:r w:rsidR="00E031F6">
        <w:t xml:space="preserve"> as</w:t>
      </w:r>
      <w:r>
        <w:t>, and to the greatest extent, possible.</w:t>
      </w:r>
      <w:r w:rsidR="0097408B">
        <w:t xml:space="preserve"> An older person’s experience of fluctuating ability to make decisions does not mean that the</w:t>
      </w:r>
      <w:r w:rsidR="00CF7FCB">
        <w:t xml:space="preserve"> older person</w:t>
      </w:r>
      <w:r w:rsidR="0097408B">
        <w:t xml:space="preserve"> lose</w:t>
      </w:r>
      <w:r w:rsidR="00CF7FCB">
        <w:t>s</w:t>
      </w:r>
      <w:r w:rsidR="0097408B">
        <w:t xml:space="preserve"> their capacity to make decisions and have those </w:t>
      </w:r>
      <w:r w:rsidR="00733351">
        <w:t xml:space="preserve">decisions </w:t>
      </w:r>
      <w:r w:rsidR="0097408B">
        <w:t>respected and recognised by law.</w:t>
      </w:r>
      <w:r w:rsidR="00CF7FCB">
        <w:t xml:space="preserve">  </w:t>
      </w:r>
      <w:r w:rsidR="005848C5">
        <w:t xml:space="preserve">An older </w:t>
      </w:r>
      <w:r w:rsidR="00CF7FCB">
        <w:t xml:space="preserve">person </w:t>
      </w:r>
      <w:r w:rsidR="005848C5">
        <w:t xml:space="preserve">experiencing fluctuating ability to </w:t>
      </w:r>
      <w:proofErr w:type="gramStart"/>
      <w:r w:rsidR="005848C5">
        <w:t>make a decision</w:t>
      </w:r>
      <w:proofErr w:type="gramEnd"/>
      <w:r w:rsidR="005848C5">
        <w:t xml:space="preserve"> </w:t>
      </w:r>
      <w:r w:rsidR="00CF7FCB">
        <w:t>should be supported to make the decision.</w:t>
      </w:r>
    </w:p>
    <w:p w14:paraId="4476BEF7" w14:textId="21DB7C16" w:rsidR="007206FF" w:rsidRDefault="007206FF" w:rsidP="00513691">
      <w:r w:rsidRPr="13295296">
        <w:t>Registered</w:t>
      </w:r>
      <w:r>
        <w:t xml:space="preserve"> supporters</w:t>
      </w:r>
      <w:r w:rsidR="007F430C">
        <w:t>, aged care providers and workers, and people supporting an older person</w:t>
      </w:r>
      <w:r>
        <w:t xml:space="preserve"> </w:t>
      </w:r>
      <w:r w:rsidRPr="13295296">
        <w:t>should recognise</w:t>
      </w:r>
      <w:r>
        <w:t xml:space="preserve"> </w:t>
      </w:r>
      <w:r w:rsidRPr="006D2332">
        <w:t>that a</w:t>
      </w:r>
      <w:r>
        <w:t xml:space="preserve">n older </w:t>
      </w:r>
      <w:r w:rsidRPr="006D2332" w:rsidDel="00AF4F5D">
        <w:t xml:space="preserve">person’s ability to </w:t>
      </w:r>
      <w:proofErr w:type="gramStart"/>
      <w:r w:rsidRPr="006D2332" w:rsidDel="00AF4F5D">
        <w:t xml:space="preserve">make </w:t>
      </w:r>
      <w:r w:rsidR="00170D40">
        <w:t xml:space="preserve">a </w:t>
      </w:r>
      <w:r w:rsidRPr="006D2332" w:rsidDel="00AF4F5D">
        <w:t>decision</w:t>
      </w:r>
      <w:proofErr w:type="gramEnd"/>
      <w:r w:rsidRPr="006D2332" w:rsidDel="00AF4F5D">
        <w:t xml:space="preserve"> and communicate their will and preferences may change from day to day or over time</w:t>
      </w:r>
      <w:r>
        <w:t xml:space="preserve">, </w:t>
      </w:r>
      <w:r w:rsidRPr="006D2332">
        <w:t xml:space="preserve">depending on the </w:t>
      </w:r>
      <w:r>
        <w:t>circumstances and d</w:t>
      </w:r>
      <w:r w:rsidRPr="006D2332">
        <w:t>ecision being made</w:t>
      </w:r>
      <w:r w:rsidRPr="0278539F">
        <w:t>.</w:t>
      </w:r>
    </w:p>
    <w:p w14:paraId="569A6C90" w14:textId="496153DF" w:rsidR="00DD3B8C" w:rsidRPr="00513691" w:rsidRDefault="007206FF" w:rsidP="00513691">
      <w:r w:rsidRPr="00513691">
        <w:t xml:space="preserve">The role of a registered supporter is </w:t>
      </w:r>
      <w:r w:rsidR="001A04AF" w:rsidRPr="39FD4AD2">
        <w:rPr>
          <w:rFonts w:cs="Arial"/>
        </w:rPr>
        <w:t xml:space="preserve">to </w:t>
      </w:r>
      <w:r w:rsidRPr="00513691">
        <w:t>help older people to make and communicate their own aged care decisions, when the older person wants or needs help from their registered supporter. This may mean an older person m</w:t>
      </w:r>
      <w:r w:rsidR="003A65FF" w:rsidRPr="00513691">
        <w:t>ight</w:t>
      </w:r>
      <w:r w:rsidRPr="00513691">
        <w:t xml:space="preserve"> require different types or levels of support at certain times of the day, on certain days, or during </w:t>
      </w:r>
      <w:r w:rsidR="003A65FF" w:rsidRPr="00513691">
        <w:t xml:space="preserve">certain </w:t>
      </w:r>
      <w:r w:rsidRPr="00513691">
        <w:t>periods in their life.</w:t>
      </w:r>
    </w:p>
    <w:p w14:paraId="78C88BBB" w14:textId="7AB2770B" w:rsidR="00764FEE" w:rsidRDefault="00112261" w:rsidP="0051545D">
      <w:pPr>
        <w:pStyle w:val="Heading2"/>
      </w:pPr>
      <w:bookmarkStart w:id="36" w:name="_Toc211959435"/>
      <w:bookmarkStart w:id="37" w:name="_Toc212063437"/>
      <w:r>
        <w:t xml:space="preserve">Registered supporters’ involvement in </w:t>
      </w:r>
      <w:r w:rsidR="00A54F06">
        <w:t>capacity assessments</w:t>
      </w:r>
      <w:bookmarkEnd w:id="36"/>
      <w:bookmarkEnd w:id="37"/>
    </w:p>
    <w:p w14:paraId="13F9E476" w14:textId="2AA84796" w:rsidR="00BC3794" w:rsidRPr="00885C0D" w:rsidRDefault="00BC3794" w:rsidP="00513691">
      <w:pPr>
        <w:rPr>
          <w:rFonts w:cs="Arial"/>
        </w:rPr>
      </w:pPr>
      <w:r>
        <w:t xml:space="preserve">A registered supporter’s role is to </w:t>
      </w:r>
      <w:r w:rsidRPr="005002F0">
        <w:t xml:space="preserve">support the older person </w:t>
      </w:r>
      <w:r>
        <w:t>to make their own decisions.</w:t>
      </w:r>
      <w:r w:rsidRPr="005002F0">
        <w:t xml:space="preserve"> </w:t>
      </w:r>
      <w:r>
        <w:t xml:space="preserve">It is </w:t>
      </w:r>
      <w:r w:rsidRPr="00885C0D">
        <w:t xml:space="preserve">not the role of a registered supporter to make assessments of </w:t>
      </w:r>
      <w:r w:rsidR="005848C5">
        <w:t xml:space="preserve">decision-making ability or </w:t>
      </w:r>
      <w:r w:rsidRPr="00885C0D">
        <w:t>capacity</w:t>
      </w:r>
      <w:r w:rsidR="00242CB9" w:rsidRPr="00885C0D">
        <w:t>.</w:t>
      </w:r>
    </w:p>
    <w:p w14:paraId="176A6DA8" w14:textId="7BAE1810" w:rsidR="007C5C68" w:rsidRPr="00B70A16" w:rsidRDefault="001F42A5" w:rsidP="00513691">
      <w:r w:rsidRPr="00885C0D">
        <w:t xml:space="preserve">However, </w:t>
      </w:r>
      <w:r w:rsidR="004F5AC0" w:rsidRPr="00885C0D">
        <w:t xml:space="preserve">the </w:t>
      </w:r>
      <w:r w:rsidR="00AC79D0">
        <w:t xml:space="preserve">decision-making ability and/or </w:t>
      </w:r>
      <w:r w:rsidR="004F5AC0" w:rsidRPr="00885C0D">
        <w:t xml:space="preserve">capacity </w:t>
      </w:r>
      <w:r w:rsidR="006C4527" w:rsidRPr="00885C0D">
        <w:t xml:space="preserve">of an older person </w:t>
      </w:r>
      <w:r w:rsidR="009E710F" w:rsidRPr="00885C0D">
        <w:t xml:space="preserve">will be relevant to the way in which a registered supporter can undertake their </w:t>
      </w:r>
      <w:proofErr w:type="gramStart"/>
      <w:r w:rsidR="00542177" w:rsidRPr="00885C0D">
        <w:t>role</w:t>
      </w:r>
      <w:r w:rsidR="00C919EE">
        <w:t>,</w:t>
      </w:r>
      <w:r w:rsidR="00542177" w:rsidRPr="00885C0D">
        <w:t xml:space="preserve"> or</w:t>
      </w:r>
      <w:proofErr w:type="gramEnd"/>
      <w:r w:rsidR="00542177" w:rsidRPr="00885C0D">
        <w:t xml:space="preserve"> become or remain registered as a supporter.</w:t>
      </w:r>
      <w:r w:rsidR="002B3FC4" w:rsidRPr="00885C0D">
        <w:t xml:space="preserve"> </w:t>
      </w:r>
      <w:r w:rsidR="00C75FCB" w:rsidRPr="00B70A16">
        <w:t>For example</w:t>
      </w:r>
      <w:r w:rsidR="007C5C68" w:rsidRPr="00B70A16">
        <w:t>:</w:t>
      </w:r>
    </w:p>
    <w:p w14:paraId="5A9D1D11" w14:textId="0B8D02AD" w:rsidR="00C66473" w:rsidRPr="00B70A16" w:rsidRDefault="00C75FCB" w:rsidP="00513691">
      <w:pPr>
        <w:pStyle w:val="ListBullet"/>
      </w:pPr>
      <w:r w:rsidRPr="00B70A16">
        <w:t xml:space="preserve">if an older person cannot </w:t>
      </w:r>
      <w:proofErr w:type="gramStart"/>
      <w:r w:rsidRPr="00B70A16">
        <w:t>make a decision</w:t>
      </w:r>
      <w:proofErr w:type="gramEnd"/>
      <w:r w:rsidRPr="00B70A16">
        <w:t>, or communicate their decision, will, or preference to a registered supporter, that registered supporter may</w:t>
      </w:r>
      <w:r w:rsidR="007C5C68" w:rsidRPr="00B70A16">
        <w:t xml:space="preserve"> not be able to help the older person make or communicate their decision, will, or preference</w:t>
      </w:r>
      <w:r w:rsidR="00F34B76">
        <w:t>s</w:t>
      </w:r>
      <w:r w:rsidR="007C5C68" w:rsidRPr="00B70A16">
        <w:t>.</w:t>
      </w:r>
    </w:p>
    <w:p w14:paraId="6AECC37C" w14:textId="65989BD6" w:rsidR="004F2304" w:rsidRPr="00B70A16" w:rsidRDefault="007C5C68" w:rsidP="00513691">
      <w:pPr>
        <w:pStyle w:val="ListBullet"/>
      </w:pPr>
      <w:r w:rsidRPr="00B70A16">
        <w:t xml:space="preserve">if a registered supporter believes that the person they support </w:t>
      </w:r>
      <w:r w:rsidR="00CF7378" w:rsidRPr="00B70A16">
        <w:t>has a</w:t>
      </w:r>
      <w:r w:rsidRPr="00B70A16">
        <w:t xml:space="preserve"> substitute decision-making arrangement </w:t>
      </w:r>
      <w:r w:rsidR="00CF7378" w:rsidRPr="00B70A16">
        <w:t xml:space="preserve">that </w:t>
      </w:r>
      <w:r w:rsidRPr="00B70A16">
        <w:t xml:space="preserve">may be active, they may be involved in </w:t>
      </w:r>
      <w:r w:rsidR="0018424A" w:rsidRPr="00B70A16">
        <w:t>an assessment of the older person’s capacity</w:t>
      </w:r>
      <w:r w:rsidR="000628E0">
        <w:t xml:space="preserve"> (for example by </w:t>
      </w:r>
      <w:r w:rsidR="00890970">
        <w:t>arranging assessments, assisting during an assessment, or receiving the outcomes of assessments)</w:t>
      </w:r>
      <w:r w:rsidR="0018424A" w:rsidRPr="00B70A16">
        <w:t>.</w:t>
      </w:r>
    </w:p>
    <w:p w14:paraId="3DD77706" w14:textId="5DD54558" w:rsidR="001F42A5" w:rsidRPr="00513691" w:rsidRDefault="0018424A" w:rsidP="00513691">
      <w:r w:rsidRPr="00513691">
        <w:lastRenderedPageBreak/>
        <w:t>However, unless</w:t>
      </w:r>
      <w:r w:rsidR="001C22DD" w:rsidRPr="00513691">
        <w:t xml:space="preserve"> the assessment of capacity is directly related to </w:t>
      </w:r>
      <w:r w:rsidR="00593E16" w:rsidRPr="00513691">
        <w:t>a thing that the registered supporter is assisting the older person to do under</w:t>
      </w:r>
      <w:r w:rsidRPr="00513691">
        <w:t>,</w:t>
      </w:r>
      <w:r w:rsidR="00593E16" w:rsidRPr="00513691">
        <w:t xml:space="preserve"> or for the purposes of</w:t>
      </w:r>
      <w:r w:rsidRPr="00513691">
        <w:t>,</w:t>
      </w:r>
      <w:r w:rsidR="00593E16" w:rsidRPr="00513691">
        <w:t xml:space="preserve"> the Act, the registered supporter is likely to </w:t>
      </w:r>
      <w:r w:rsidR="00A463E5" w:rsidRPr="00513691">
        <w:t xml:space="preserve">be </w:t>
      </w:r>
      <w:r w:rsidR="00C00396" w:rsidRPr="00513691">
        <w:t>involved in an assessment of capacity in a role other than</w:t>
      </w:r>
      <w:r w:rsidR="00FC655E" w:rsidRPr="00513691">
        <w:t xml:space="preserve"> as</w:t>
      </w:r>
      <w:r w:rsidR="00C00396" w:rsidRPr="00513691">
        <w:t xml:space="preserve"> a registered supporter. For example, they may be involved as a partner, family member, friend, or carer.</w:t>
      </w:r>
    </w:p>
    <w:p w14:paraId="40A58F40" w14:textId="5152A394" w:rsidR="00764FEE" w:rsidRPr="00513691" w:rsidRDefault="00764FEE" w:rsidP="00513691">
      <w:r w:rsidRPr="00513691">
        <w:t xml:space="preserve">An assessment of capacity should only occur if something was observed in the older person’s behaviour that makes themselves or others question their </w:t>
      </w:r>
      <w:r w:rsidR="008B424A" w:rsidRPr="00513691">
        <w:t>ability to make decisions</w:t>
      </w:r>
      <w:r w:rsidRPr="00513691">
        <w:t>. </w:t>
      </w:r>
      <w:r w:rsidR="009E068F" w:rsidRPr="00513691">
        <w:t>However, i</w:t>
      </w:r>
      <w:r w:rsidRPr="00513691">
        <w:t xml:space="preserve">f a person’s </w:t>
      </w:r>
      <w:r w:rsidR="008B424A" w:rsidRPr="00513691">
        <w:t xml:space="preserve">ability to make decisions </w:t>
      </w:r>
      <w:r w:rsidRPr="00513691">
        <w:t>is in question, this does not necessarily mean they do not have capacity.</w:t>
      </w:r>
    </w:p>
    <w:p w14:paraId="7CC3B8B7" w14:textId="634F5727" w:rsidR="00392179" w:rsidRDefault="00392179" w:rsidP="00513691">
      <w:r>
        <w:t>If an assessment of an older person’s capacity is planned,</w:t>
      </w:r>
      <w:r w:rsidR="00764FEE">
        <w:t xml:space="preserve"> registered supporters</w:t>
      </w:r>
      <w:r w:rsidR="0037542F">
        <w:t xml:space="preserve"> </w:t>
      </w:r>
      <w:r w:rsidR="00052DA3">
        <w:t>should</w:t>
      </w:r>
      <w:r w:rsidR="009244E4">
        <w:t xml:space="preserve"> </w:t>
      </w:r>
      <w:r w:rsidR="0037542F">
        <w:t>speak to the older person</w:t>
      </w:r>
      <w:r w:rsidR="00342FD2">
        <w:t xml:space="preserve"> about </w:t>
      </w:r>
      <w:r w:rsidR="00C02D4C">
        <w:t>the assessment</w:t>
      </w:r>
      <w:r w:rsidR="00B7357F">
        <w:t xml:space="preserve"> </w:t>
      </w:r>
      <w:r w:rsidR="007E48B5">
        <w:t>and</w:t>
      </w:r>
      <w:r w:rsidR="00B7357F">
        <w:t xml:space="preserve"> </w:t>
      </w:r>
      <w:r w:rsidR="009244E4">
        <w:t>remind them of their decision-making rights including the right to be supported to make decisions</w:t>
      </w:r>
      <w:r w:rsidR="00172841">
        <w:t>,</w:t>
      </w:r>
      <w:r w:rsidR="009244E4">
        <w:t xml:space="preserve"> even if they are experiencing changes in decision-making ability</w:t>
      </w:r>
      <w:r w:rsidR="00400ADD">
        <w:t xml:space="preserve">. </w:t>
      </w:r>
      <w:r w:rsidR="009378B5">
        <w:t xml:space="preserve">In line with the </w:t>
      </w:r>
      <w:r w:rsidR="00E67861">
        <w:t xml:space="preserve">known will and preferences </w:t>
      </w:r>
      <w:r w:rsidR="009378B5">
        <w:t>of the older person, t</w:t>
      </w:r>
      <w:r w:rsidR="00400ADD">
        <w:t>he</w:t>
      </w:r>
      <w:r w:rsidR="00FF5E25">
        <w:t xml:space="preserve"> registered supporter</w:t>
      </w:r>
      <w:r w:rsidR="00764FEE">
        <w:t xml:space="preserve"> may</w:t>
      </w:r>
      <w:r w:rsidR="00400ADD">
        <w:t xml:space="preserve"> also</w:t>
      </w:r>
      <w:r w:rsidR="00764FEE">
        <w:t xml:space="preserve"> engage other </w:t>
      </w:r>
      <w:r w:rsidR="007D7DFD">
        <w:t xml:space="preserve">trusted </w:t>
      </w:r>
      <w:r w:rsidR="00764FEE">
        <w:t>persons in an older person’s life.</w:t>
      </w:r>
    </w:p>
    <w:p w14:paraId="520099F1" w14:textId="2BEB7C39" w:rsidR="00764FEE" w:rsidRDefault="00764FEE" w:rsidP="00513691">
      <w:r>
        <w:t>Registered supporters should keep in mind their duty to act honestly, diligently and in good faith, and to act in a manner that promotes the will, preferences and personal, cultural and social wellbeing of the older person. Registered supporters must also uphold their duty to support the older person only to the extent necessary for the older person to do the thing themselves and apply their best endeavours to maintain the ability of the older person to make their own decisions.</w:t>
      </w:r>
    </w:p>
    <w:p w14:paraId="705E3912" w14:textId="3A5E910C" w:rsidR="00E349C9" w:rsidRPr="0051545D" w:rsidRDefault="00E349C9" w:rsidP="00B70A16">
      <w:pPr>
        <w:pStyle w:val="Heading2"/>
      </w:pPr>
      <w:bookmarkStart w:id="38" w:name="_Toc211959436"/>
      <w:bookmarkStart w:id="39" w:name="_Toc212063438"/>
      <w:r w:rsidRPr="0051545D">
        <w:t>Active, appointed decision makers</w:t>
      </w:r>
      <w:bookmarkEnd w:id="38"/>
      <w:bookmarkEnd w:id="39"/>
    </w:p>
    <w:p w14:paraId="7A3765E9" w14:textId="4A988908" w:rsidR="001946C0" w:rsidRPr="00513691" w:rsidRDefault="001946C0" w:rsidP="00513691">
      <w:r w:rsidRPr="00513691">
        <w:t>Some registered supporters also have guardianship, enduring power of attorney or similar</w:t>
      </w:r>
      <w:r w:rsidR="002A4E7B" w:rsidRPr="00513691">
        <w:t xml:space="preserve"> legal authority for an older person</w:t>
      </w:r>
      <w:r w:rsidRPr="00513691">
        <w:t xml:space="preserve">. These people are appointed decision makers for the older person and can make decisions on their behalf under </w:t>
      </w:r>
      <w:r w:rsidR="005C70EB" w:rsidRPr="00513691">
        <w:t xml:space="preserve">Commonwealth, </w:t>
      </w:r>
      <w:r w:rsidRPr="00513691">
        <w:t>state or territory arrangements. An appointed decision maker can only make decisions on the older person’s behalf in line with their legal authority and if that legal authority is active.</w:t>
      </w:r>
    </w:p>
    <w:p w14:paraId="62C8BB0A" w14:textId="6DF836C1" w:rsidR="00562657" w:rsidRPr="00513691" w:rsidRDefault="00562657" w:rsidP="00513691">
      <w:r>
        <w:t xml:space="preserve">If registered as a supporter, an active, appointed decision maker is </w:t>
      </w:r>
      <w:r w:rsidR="000E5135">
        <w:t>labe</w:t>
      </w:r>
      <w:r>
        <w:t xml:space="preserve">lled a </w:t>
      </w:r>
      <w:r w:rsidRPr="00513691">
        <w:rPr>
          <w:rStyle w:val="Strong"/>
        </w:rPr>
        <w:t>’supporter guardian’</w:t>
      </w:r>
      <w:r>
        <w:t>.</w:t>
      </w:r>
    </w:p>
    <w:p w14:paraId="50D191B2" w14:textId="189F5E2C" w:rsidR="009002CE" w:rsidRDefault="009002CE" w:rsidP="00513691">
      <w:r>
        <w:t>Appointed decision makers are responsible for understanding and acting in accordance with the evidential requirements and conditions o</w:t>
      </w:r>
      <w:r w:rsidR="007B424C">
        <w:t>f</w:t>
      </w:r>
      <w:r>
        <w:t xml:space="preserve"> their decision-making authority. These requirements and conditions are set out under the Commonwealth, state or territory arrangements that granted them the decision-making authority.</w:t>
      </w:r>
    </w:p>
    <w:p w14:paraId="359A3FD5" w14:textId="79F52E3D" w:rsidR="00562657" w:rsidRPr="00513691" w:rsidRDefault="008D182A" w:rsidP="00513691">
      <w:r w:rsidRPr="00513691">
        <w:t xml:space="preserve">If an appointed decision maker’s decision-making authority is not active because the older person </w:t>
      </w:r>
      <w:proofErr w:type="gramStart"/>
      <w:r w:rsidRPr="00513691">
        <w:t xml:space="preserve">has </w:t>
      </w:r>
      <w:r w:rsidR="00FD70A1" w:rsidRPr="00513691">
        <w:t xml:space="preserve">the ability </w:t>
      </w:r>
      <w:r w:rsidRPr="00513691">
        <w:t>to</w:t>
      </w:r>
      <w:proofErr w:type="gramEnd"/>
      <w:r w:rsidRPr="00513691">
        <w:t xml:space="preserve"> make their own decisions, the appointed decision maker should not make decisions on the</w:t>
      </w:r>
      <w:r w:rsidR="00805BF4" w:rsidRPr="00513691">
        <w:t xml:space="preserve"> older person’s</w:t>
      </w:r>
      <w:r w:rsidRPr="00513691">
        <w:t xml:space="preserve"> behalf. </w:t>
      </w:r>
      <w:r w:rsidR="00562657" w:rsidRPr="00513691">
        <w:t>I</w:t>
      </w:r>
      <w:r w:rsidRPr="00513691">
        <w:t xml:space="preserve">nstead, the appointed decision maker should support the older person to make and </w:t>
      </w:r>
      <w:r w:rsidR="00CA7BD9" w:rsidRPr="00513691">
        <w:t>communicate</w:t>
      </w:r>
      <w:r w:rsidRPr="00513691">
        <w:t xml:space="preserve"> their own </w:t>
      </w:r>
      <w:r w:rsidR="00CA7BD9" w:rsidRPr="00513691">
        <w:t>decisions</w:t>
      </w:r>
      <w:r w:rsidRPr="00513691">
        <w:t xml:space="preserve">. They can do </w:t>
      </w:r>
      <w:r w:rsidR="00EA29E1" w:rsidRPr="00513691">
        <w:t xml:space="preserve">so </w:t>
      </w:r>
      <w:r w:rsidR="00CA7BD9" w:rsidRPr="00513691">
        <w:t>regardless of whether they are a registered supporter</w:t>
      </w:r>
      <w:r w:rsidR="00FB44DC" w:rsidRPr="00513691">
        <w:t>, as the Act recognises the</w:t>
      </w:r>
      <w:r w:rsidR="005141F4" w:rsidRPr="00513691">
        <w:t xml:space="preserve"> right for </w:t>
      </w:r>
      <w:r w:rsidR="00BC75AB" w:rsidRPr="00513691">
        <w:t xml:space="preserve">older people to have </w:t>
      </w:r>
      <w:r w:rsidR="005141F4" w:rsidRPr="00513691">
        <w:t>other people support them in making decisions</w:t>
      </w:r>
      <w:r w:rsidR="00CA7BD9" w:rsidRPr="00513691">
        <w:t xml:space="preserve">. </w:t>
      </w:r>
      <w:r w:rsidR="006C1CF5" w:rsidRPr="00513691">
        <w:t>I</w:t>
      </w:r>
      <w:r w:rsidR="00CA7BD9" w:rsidRPr="00513691">
        <w:t xml:space="preserve">f the older person wants them to be their registered </w:t>
      </w:r>
      <w:r w:rsidR="006C1CF5" w:rsidRPr="00513691">
        <w:t>supporter</w:t>
      </w:r>
      <w:r w:rsidR="00CA7BD9" w:rsidRPr="00513691">
        <w:t>, a relationship can be established with the consent of the older person.</w:t>
      </w:r>
    </w:p>
    <w:p w14:paraId="311B31AF" w14:textId="0B3A2E91" w:rsidR="00701920" w:rsidRPr="00513691" w:rsidRDefault="00562657" w:rsidP="00513691">
      <w:pPr>
        <w:pStyle w:val="Boxtype"/>
      </w:pPr>
      <w:r w:rsidRPr="00513691">
        <w:lastRenderedPageBreak/>
        <w:t>Appointed decision makers are responsible for understanding and acting in accordance with the requirements and conditions o</w:t>
      </w:r>
      <w:r w:rsidR="00DA5629" w:rsidRPr="00513691">
        <w:t>f</w:t>
      </w:r>
      <w:r w:rsidRPr="00513691">
        <w:t xml:space="preserve"> their decision-making authority. This means </w:t>
      </w:r>
      <w:r w:rsidR="001C49F9" w:rsidRPr="00513691">
        <w:t>knowing and understanding any</w:t>
      </w:r>
      <w:r w:rsidRPr="00513691">
        <w:t xml:space="preserve"> requirements and conditions of their specific decision-making authority. Appointed decision makers </w:t>
      </w:r>
      <w:r w:rsidR="001616F1" w:rsidRPr="00513691">
        <w:t>cannot</w:t>
      </w:r>
      <w:r w:rsidRPr="00513691">
        <w:t xml:space="preserve"> rely on </w:t>
      </w:r>
      <w:r w:rsidR="00233073" w:rsidRPr="00513691">
        <w:t xml:space="preserve">this policy as legal </w:t>
      </w:r>
      <w:r w:rsidRPr="00513691">
        <w:t>guidance.</w:t>
      </w:r>
    </w:p>
    <w:p w14:paraId="64661DFB" w14:textId="52BBE8DB" w:rsidR="00B10657" w:rsidRPr="00C36E45" w:rsidRDefault="00B10657" w:rsidP="00B70A16">
      <w:pPr>
        <w:pStyle w:val="Heading3"/>
      </w:pPr>
      <w:bookmarkStart w:id="40" w:name="_Toc211959437"/>
      <w:bookmarkStart w:id="41" w:name="_Toc212063439"/>
      <w:r w:rsidRPr="00C36E45">
        <w:t>Orders by state or territory courts, boards</w:t>
      </w:r>
      <w:r w:rsidR="00A508EA" w:rsidRPr="00B70A16">
        <w:t>, panels</w:t>
      </w:r>
      <w:r w:rsidRPr="00C36E45">
        <w:t xml:space="preserve"> or tribunals</w:t>
      </w:r>
      <w:bookmarkEnd w:id="40"/>
      <w:bookmarkEnd w:id="41"/>
    </w:p>
    <w:p w14:paraId="24B9D1E8" w14:textId="0827235E" w:rsidR="00764FEE" w:rsidRDefault="00764FEE" w:rsidP="00513691">
      <w:r w:rsidRPr="00C36E45">
        <w:t xml:space="preserve">State and territory boards, courts, </w:t>
      </w:r>
      <w:r w:rsidR="005C4704" w:rsidRPr="00C36E45">
        <w:t xml:space="preserve">panels </w:t>
      </w:r>
      <w:r w:rsidRPr="00C36E45">
        <w:t xml:space="preserve">and tribunals generally consider assessments </w:t>
      </w:r>
      <w:r w:rsidR="00ED6E82">
        <w:t xml:space="preserve">by health professionals </w:t>
      </w:r>
      <w:r w:rsidRPr="00C36E45">
        <w:t xml:space="preserve">when making guardianship and administration orders. Where a state or territory board, court, </w:t>
      </w:r>
      <w:r w:rsidR="001450F4" w:rsidRPr="00C36E45">
        <w:t xml:space="preserve">panel </w:t>
      </w:r>
      <w:r w:rsidRPr="00C36E45">
        <w:t xml:space="preserve">or tribunal has made a formal finding </w:t>
      </w:r>
      <w:r w:rsidR="007B2455" w:rsidRPr="00B70A16">
        <w:t>that an older person does not have capacity for a decision</w:t>
      </w:r>
      <w:r w:rsidR="001450F4" w:rsidRPr="00C36E45">
        <w:t>,</w:t>
      </w:r>
      <w:r w:rsidRPr="00C36E45">
        <w:t xml:space="preserve"> and </w:t>
      </w:r>
      <w:r w:rsidR="00B10657" w:rsidRPr="00C36E45">
        <w:t>subsequently made an order granting a person decision-making authority for an older person, the order itself may be taken as evidence that the court, board, or tribunal has made a finding that the older person does not have capacity. The System Governor will consider each legal document on a case-by-case basis.</w:t>
      </w:r>
    </w:p>
    <w:p w14:paraId="0EA36FF6" w14:textId="43B6BC69" w:rsidR="00C66473" w:rsidRDefault="00F67B21" w:rsidP="00B70A16">
      <w:pPr>
        <w:pStyle w:val="Heading2"/>
      </w:pPr>
      <w:bookmarkStart w:id="42" w:name="_Standards_for_medical"/>
      <w:bookmarkStart w:id="43" w:name="_Toc211959438"/>
      <w:bookmarkStart w:id="44" w:name="_Toc212063440"/>
      <w:bookmarkEnd w:id="42"/>
      <w:r>
        <w:t xml:space="preserve">Evidence relating to </w:t>
      </w:r>
      <w:r w:rsidR="00F417C5">
        <w:t>decision-making ability</w:t>
      </w:r>
      <w:r w:rsidR="00727534">
        <w:t xml:space="preserve"> a</w:t>
      </w:r>
      <w:r w:rsidR="00DE16AD">
        <w:t>n</w:t>
      </w:r>
      <w:r w:rsidR="00727534">
        <w:t xml:space="preserve">d </w:t>
      </w:r>
      <w:r w:rsidR="00C66473">
        <w:t>capacity</w:t>
      </w:r>
      <w:bookmarkEnd w:id="43"/>
      <w:bookmarkEnd w:id="44"/>
    </w:p>
    <w:p w14:paraId="55093CA4" w14:textId="3A3B2848" w:rsidR="002D4C64" w:rsidRDefault="005F65C9" w:rsidP="00513691">
      <w:r w:rsidRPr="75418F8C">
        <w:t xml:space="preserve">There are circumstances where the System Governor may consider a person’s </w:t>
      </w:r>
      <w:r w:rsidRPr="00513691">
        <w:t>ability or capacity to make a particular decision</w:t>
      </w:r>
      <w:r w:rsidRPr="75418F8C">
        <w:t xml:space="preserve">. In doing so, the System Governor may come to an opinion about a person’s capacity, </w:t>
      </w:r>
      <w:r>
        <w:t>including</w:t>
      </w:r>
      <w:r w:rsidRPr="75418F8C">
        <w:t xml:space="preserve"> the legal force of their actions and decisions.</w:t>
      </w:r>
      <w:r w:rsidR="007758DB">
        <w:t xml:space="preserve"> This may be the older person or registered supporter.</w:t>
      </w:r>
    </w:p>
    <w:p w14:paraId="328692BB" w14:textId="3B6B4D55" w:rsidR="008A09F3" w:rsidRDefault="002D4C64" w:rsidP="00513691">
      <w:r>
        <w:rPr>
          <w:rFonts w:cs="Arial"/>
        </w:rPr>
        <w:t xml:space="preserve">These circumstances are elaborated </w:t>
      </w:r>
      <w:hyperlink w:anchor="_Actioning_a_person’s" w:history="1">
        <w:r w:rsidR="00C0115E" w:rsidRPr="00513691">
          <w:rPr>
            <w:rStyle w:val="Hyperlink"/>
          </w:rPr>
          <w:t>earlier</w:t>
        </w:r>
      </w:hyperlink>
      <w:r w:rsidR="003E091D">
        <w:t xml:space="preserve"> in this </w:t>
      </w:r>
      <w:r w:rsidR="005026A0">
        <w:t>policy</w:t>
      </w:r>
      <w:r>
        <w:rPr>
          <w:rFonts w:cs="Arial"/>
        </w:rPr>
        <w:t xml:space="preserve">, but to </w:t>
      </w:r>
      <w:r>
        <w:t xml:space="preserve">confirm, if the System Governor has evidence to suggest an older person </w:t>
      </w:r>
      <w:r w:rsidR="007758DB">
        <w:t xml:space="preserve">or registered supporter </w:t>
      </w:r>
      <w:r>
        <w:t>does not have capacity for some or all decisions, this can be taken into account in any engagement with the System Governor</w:t>
      </w:r>
      <w:r w:rsidR="00FA7126">
        <w:t>.</w:t>
      </w:r>
    </w:p>
    <w:p w14:paraId="49FCB141" w14:textId="04F0C6D2" w:rsidR="005D11F3" w:rsidRDefault="00FA7126" w:rsidP="00513691">
      <w:r>
        <w:t xml:space="preserve">This may include legal and medical evidence that is provided for the purposes of </w:t>
      </w:r>
      <w:r w:rsidR="00435126">
        <w:t>demonstrating</w:t>
      </w:r>
      <w:r>
        <w:t xml:space="preserve"> there is an </w:t>
      </w:r>
      <w:r w:rsidR="004E24CD">
        <w:t>active</w:t>
      </w:r>
      <w:r w:rsidR="008A09F3">
        <w:t>,</w:t>
      </w:r>
      <w:r w:rsidR="004E24CD">
        <w:t xml:space="preserve"> </w:t>
      </w:r>
      <w:r>
        <w:t>appointed decision maker</w:t>
      </w:r>
      <w:r w:rsidR="00435126">
        <w:t xml:space="preserve"> who ha</w:t>
      </w:r>
      <w:r w:rsidR="008E573A">
        <w:t>s</w:t>
      </w:r>
      <w:r w:rsidR="00435126">
        <w:t xml:space="preserve"> requested to be registered as a supporter without the older person’s consent, </w:t>
      </w:r>
      <w:r>
        <w:t xml:space="preserve">or medical </w:t>
      </w:r>
      <w:r w:rsidR="007758DB">
        <w:t xml:space="preserve">evidence about an older person or registered supporter </w:t>
      </w:r>
      <w:r w:rsidR="007D1318">
        <w:t>that is provided in isolation, likely relating to a dispute about the older person</w:t>
      </w:r>
      <w:r w:rsidR="007758DB">
        <w:t xml:space="preserve"> or registered supporter’s</w:t>
      </w:r>
      <w:r w:rsidR="007D1318">
        <w:t xml:space="preserve"> </w:t>
      </w:r>
      <w:r w:rsidR="005D11F3">
        <w:t>decision-making ability and capacity.</w:t>
      </w:r>
    </w:p>
    <w:p w14:paraId="4A4479D8" w14:textId="26ED5645" w:rsidR="002D4C64" w:rsidRPr="00DC03F0" w:rsidRDefault="005D11F3" w:rsidP="00513691">
      <w:pPr>
        <w:rPr>
          <w:rFonts w:cs="Arial"/>
        </w:rPr>
      </w:pPr>
      <w:r>
        <w:t xml:space="preserve">The System Governor’s </w:t>
      </w:r>
      <w:r w:rsidRPr="005D11F3">
        <w:t>consider</w:t>
      </w:r>
      <w:r w:rsidR="007758DB">
        <w:t>ation of</w:t>
      </w:r>
      <w:r w:rsidRPr="005D11F3">
        <w:t xml:space="preserve"> a person’s </w:t>
      </w:r>
      <w:r w:rsidRPr="00513691">
        <w:t>ability or capacity to make a particular decision</w:t>
      </w:r>
      <w:r w:rsidRPr="005D11F3">
        <w:t xml:space="preserve"> </w:t>
      </w:r>
      <w:r w:rsidR="002D4C64">
        <w:t xml:space="preserve">is not confined to the registration process for </w:t>
      </w:r>
      <w:r w:rsidR="008A09F3">
        <w:t>supporters but</w:t>
      </w:r>
      <w:r w:rsidR="007758DB">
        <w:t xml:space="preserve"> extends also to actioning decisions or actions </w:t>
      </w:r>
      <w:r w:rsidR="008666C5">
        <w:t>made by older people and registered supporters</w:t>
      </w:r>
      <w:r w:rsidR="002D4C64">
        <w:t>.</w:t>
      </w:r>
      <w:r w:rsidR="00044810">
        <w:t xml:space="preserve"> Th</w:t>
      </w:r>
      <w:r w:rsidR="00DD64CE">
        <w:t>e System Governor</w:t>
      </w:r>
      <w:r w:rsidR="00044810">
        <w:t xml:space="preserve"> </w:t>
      </w:r>
      <w:r w:rsidR="00DD64CE">
        <w:t>will consider</w:t>
      </w:r>
      <w:r w:rsidR="00044810">
        <w:t xml:space="preserve"> whether those decisions or action</w:t>
      </w:r>
      <w:r w:rsidR="00B95A27">
        <w:t>s</w:t>
      </w:r>
      <w:r w:rsidR="00044810">
        <w:t xml:space="preserve"> have legal force.</w:t>
      </w:r>
    </w:p>
    <w:p w14:paraId="128174B2" w14:textId="28420591" w:rsidR="005F65C9" w:rsidRPr="00513691" w:rsidRDefault="005F65C9" w:rsidP="00513691">
      <w:r w:rsidRPr="00513691">
        <w:t xml:space="preserve">Factors that may affect the legal force of actions and decisions taken by a person include the extent of, and evidence demonstrating, a person’s loss of decision-making ability, the authority someone </w:t>
      </w:r>
      <w:proofErr w:type="gramStart"/>
      <w:r w:rsidRPr="00513691">
        <w:t>has to</w:t>
      </w:r>
      <w:proofErr w:type="gramEnd"/>
      <w:r w:rsidRPr="00513691">
        <w:t xml:space="preserve"> make decisions on another person’s behalf, and the Commonwealth, state or territory arrangements under which that appointment is made.</w:t>
      </w:r>
    </w:p>
    <w:p w14:paraId="68C6BFA0" w14:textId="56F722DA" w:rsidR="00494A80" w:rsidRDefault="00494A80" w:rsidP="000D787B">
      <w:pPr>
        <w:pStyle w:val="Heading3"/>
      </w:pPr>
      <w:bookmarkStart w:id="45" w:name="_Toc211959439"/>
      <w:bookmarkStart w:id="46" w:name="_Toc212063441"/>
      <w:r>
        <w:lastRenderedPageBreak/>
        <w:t xml:space="preserve">Opinions about a person’s </w:t>
      </w:r>
      <w:r w:rsidR="009F6C2D">
        <w:t>decision-making ability and capacity</w:t>
      </w:r>
      <w:bookmarkEnd w:id="45"/>
      <w:bookmarkEnd w:id="46"/>
      <w:r w:rsidR="009F6C2D">
        <w:t xml:space="preserve"> </w:t>
      </w:r>
    </w:p>
    <w:p w14:paraId="2F0AD9A7" w14:textId="07B831D2" w:rsidR="00C66473" w:rsidRPr="00996EFE" w:rsidRDefault="00C66473" w:rsidP="00513691">
      <w:r w:rsidRPr="00996EFE">
        <w:t xml:space="preserve">While there is no restriction on who can express an opinion about </w:t>
      </w:r>
      <w:r>
        <w:t>an older person’s capacity</w:t>
      </w:r>
      <w:r w:rsidRPr="00996EFE">
        <w:t xml:space="preserve">, ultimately this is a legal question on which </w:t>
      </w:r>
      <w:r w:rsidR="00E13A8B">
        <w:t>people</w:t>
      </w:r>
      <w:r w:rsidR="00ED2D92">
        <w:t xml:space="preserve"> and bodies</w:t>
      </w:r>
      <w:r w:rsidR="00E13A8B">
        <w:t xml:space="preserve"> routinely seek </w:t>
      </w:r>
      <w:r w:rsidRPr="00996EFE">
        <w:t>professional opinions.</w:t>
      </w:r>
    </w:p>
    <w:p w14:paraId="67E81D82" w14:textId="5409BF7C" w:rsidR="00D73C15" w:rsidRDefault="00C66473" w:rsidP="00513691">
      <w:pPr>
        <w:rPr>
          <w:rFonts w:cs="Arial"/>
        </w:rPr>
      </w:pPr>
      <w:r w:rsidRPr="00996EFE">
        <w:t xml:space="preserve">Health professionals, like general practitioners, geriatricians, psychologists, and neuropsychologists, are often asked for their professional opinions about whether people </w:t>
      </w:r>
      <w:proofErr w:type="gramStart"/>
      <w:r w:rsidR="00D470E9">
        <w:t>have the ability to</w:t>
      </w:r>
      <w:proofErr w:type="gramEnd"/>
      <w:r w:rsidR="00D470E9" w:rsidRPr="00996EFE">
        <w:t xml:space="preserve"> </w:t>
      </w:r>
      <w:r w:rsidRPr="00996EFE">
        <w:t xml:space="preserve">make </w:t>
      </w:r>
      <w:proofErr w:type="gramStart"/>
      <w:r w:rsidRPr="00996EFE">
        <w:t>particular decisions</w:t>
      </w:r>
      <w:proofErr w:type="gramEnd"/>
      <w:r w:rsidRPr="00996EFE">
        <w:t xml:space="preserve">, such as health care decisions. </w:t>
      </w:r>
      <w:r>
        <w:t xml:space="preserve">As such, </w:t>
      </w:r>
      <w:r>
        <w:rPr>
          <w:rFonts w:cs="Arial"/>
        </w:rPr>
        <w:t>the opinion of health</w:t>
      </w:r>
      <w:r w:rsidRPr="00DF5938">
        <w:rPr>
          <w:rFonts w:cs="Arial"/>
        </w:rPr>
        <w:t xml:space="preserve"> professionals </w:t>
      </w:r>
      <w:r>
        <w:rPr>
          <w:rFonts w:cs="Arial"/>
        </w:rPr>
        <w:t xml:space="preserve">usually </w:t>
      </w:r>
      <w:r w:rsidR="00A349AC">
        <w:rPr>
          <w:rFonts w:cs="Arial"/>
        </w:rPr>
        <w:t>contributes</w:t>
      </w:r>
      <w:r>
        <w:rPr>
          <w:rFonts w:cs="Arial"/>
        </w:rPr>
        <w:t xml:space="preserve"> to legal assessments of</w:t>
      </w:r>
      <w:r w:rsidRPr="00DF5938">
        <w:rPr>
          <w:rFonts w:cs="Arial"/>
        </w:rPr>
        <w:t xml:space="preserve"> a person’s capacity.</w:t>
      </w:r>
    </w:p>
    <w:p w14:paraId="4E4CB8BA" w14:textId="70C4D90D" w:rsidR="00C66473" w:rsidRDefault="00C66473" w:rsidP="00513691">
      <w:r>
        <w:t>Opinions of an older person’s</w:t>
      </w:r>
      <w:r w:rsidDel="00F417C5">
        <w:t xml:space="preserve"> </w:t>
      </w:r>
      <w:r w:rsidR="00F417C5">
        <w:t xml:space="preserve">ability to make a particular decision or </w:t>
      </w:r>
      <w:proofErr w:type="gramStart"/>
      <w:r w:rsidR="00F417C5">
        <w:t>particular decisions</w:t>
      </w:r>
      <w:proofErr w:type="gramEnd"/>
      <w:r>
        <w:t xml:space="preserve"> should be documented and clearly outline the health professional’s opinion. </w:t>
      </w:r>
      <w:r w:rsidRPr="00B70A16">
        <w:t>This may then be used by the System Governor in a consideration of the older person’s capacity</w:t>
      </w:r>
      <w:r w:rsidR="0092547A">
        <w:t xml:space="preserve"> </w:t>
      </w:r>
      <w:r w:rsidR="00905510">
        <w:t xml:space="preserve">to make </w:t>
      </w:r>
      <w:proofErr w:type="gramStart"/>
      <w:r w:rsidR="005F65C9">
        <w:t>particular</w:t>
      </w:r>
      <w:r w:rsidR="00905510">
        <w:t xml:space="preserve"> decisions</w:t>
      </w:r>
      <w:proofErr w:type="gramEnd"/>
      <w:r w:rsidR="001C18C0">
        <w:t>.</w:t>
      </w:r>
    </w:p>
    <w:p w14:paraId="7057A856" w14:textId="1B77504B" w:rsidR="00C66473" w:rsidRDefault="00C66473" w:rsidP="00513691">
      <w:r w:rsidRPr="00996EFE">
        <w:t>Other professionals may also be involved</w:t>
      </w:r>
      <w:r w:rsidR="00371839">
        <w:t xml:space="preserve"> in assessments of the older person’s legal capacity</w:t>
      </w:r>
      <w:r w:rsidRPr="00996EFE">
        <w:t>, such as solicitors, especially in situations where legal documents like Enduring Powers of Attorney are being made.</w:t>
      </w:r>
    </w:p>
    <w:p w14:paraId="6DE1D33D" w14:textId="7FB1124A" w:rsidR="00C66473" w:rsidRPr="00996EFE" w:rsidRDefault="00C66473" w:rsidP="00513691">
      <w:r w:rsidRPr="00996EFE">
        <w:t>Where there is dispute</w:t>
      </w:r>
      <w:r w:rsidR="00A1195E">
        <w:t xml:space="preserve"> between the older person</w:t>
      </w:r>
      <w:r w:rsidR="00384EC0">
        <w:t>, their registered supporters, appointed decision makers and/or other</w:t>
      </w:r>
      <w:r w:rsidR="00977694">
        <w:t xml:space="preserve"> people</w:t>
      </w:r>
      <w:r w:rsidR="00384EC0">
        <w:t xml:space="preserve"> supporting the older person</w:t>
      </w:r>
      <w:r w:rsidRPr="00996EFE">
        <w:t>, the relevant state or territory civil and administrative tribunal has legal authority to make determination</w:t>
      </w:r>
      <w:r w:rsidR="002147B8">
        <w:t>s</w:t>
      </w:r>
      <w:r w:rsidRPr="00996EFE">
        <w:t xml:space="preserve"> about a person’s capacity.</w:t>
      </w:r>
    </w:p>
    <w:p w14:paraId="7DBB1094" w14:textId="0D6DFB9B" w:rsidR="00F67B21" w:rsidRDefault="00F67B21" w:rsidP="00B70A16">
      <w:pPr>
        <w:pStyle w:val="Heading3"/>
      </w:pPr>
      <w:bookmarkStart w:id="47" w:name="_Toc211959440"/>
      <w:bookmarkStart w:id="48" w:name="_Toc212063442"/>
      <w:r>
        <w:t>Standards for medical evidence</w:t>
      </w:r>
      <w:bookmarkEnd w:id="47"/>
      <w:bookmarkEnd w:id="48"/>
    </w:p>
    <w:p w14:paraId="0C780191" w14:textId="7C6A93CA" w:rsidR="00F67B21" w:rsidRDefault="00ED6E82" w:rsidP="00513691">
      <w:r>
        <w:t xml:space="preserve">As outlined above, relative to the regulation of </w:t>
      </w:r>
      <w:r w:rsidR="00B41474">
        <w:t xml:space="preserve">registered </w:t>
      </w:r>
      <w:r>
        <w:t>supporters, t</w:t>
      </w:r>
      <w:r w:rsidR="00F67B21">
        <w:t>here are circumstances where the System Governor may, or must, consider whether a person has capacity. In forming an opinion, the System Governor may consider medical evidence.</w:t>
      </w:r>
    </w:p>
    <w:p w14:paraId="65E9C4B3" w14:textId="5EDC5339" w:rsidR="00BE6FC0" w:rsidRDefault="00BE6FC0" w:rsidP="00513691">
      <w:r>
        <w:t>This policy describes the standards of evidence that the System Governor expects</w:t>
      </w:r>
      <w:r w:rsidR="00194CCF">
        <w:t>, not those of any other regulatory authority.</w:t>
      </w:r>
    </w:p>
    <w:p w14:paraId="16F34C75" w14:textId="760522D0" w:rsidR="00082EE6" w:rsidRDefault="00082EE6" w:rsidP="00082EE6">
      <w:pPr>
        <w:pStyle w:val="Heading4"/>
      </w:pPr>
      <w:r>
        <w:t>A diagnosis does not necessarily indicate a loss of capacity</w:t>
      </w:r>
    </w:p>
    <w:p w14:paraId="31DE19EC" w14:textId="281F941C" w:rsidR="00995B76" w:rsidRDefault="006C475B" w:rsidP="00513691">
      <w:r>
        <w:t xml:space="preserve">A diagnosis does not necessarily mean that a person no longer </w:t>
      </w:r>
      <w:proofErr w:type="gramStart"/>
      <w:r>
        <w:t>has the ability</w:t>
      </w:r>
      <w:r w:rsidDel="00A12AC5">
        <w:t xml:space="preserve"> </w:t>
      </w:r>
      <w:r w:rsidR="008E11ED">
        <w:t>to</w:t>
      </w:r>
      <w:proofErr w:type="gramEnd"/>
      <w:r w:rsidR="008E11ED">
        <w:t xml:space="preserve"> make some or all decisions for themselves. </w:t>
      </w:r>
      <w:r w:rsidR="001E3F02">
        <w:t>This in</w:t>
      </w:r>
      <w:r w:rsidR="002F6B6A">
        <w:t xml:space="preserve">cludes </w:t>
      </w:r>
      <w:r w:rsidR="007A633A">
        <w:t xml:space="preserve">diagnoses of </w:t>
      </w:r>
      <w:r w:rsidR="00CB45CA">
        <w:t xml:space="preserve">dementia, </w:t>
      </w:r>
      <w:r w:rsidR="002273E7">
        <w:t>mental illness</w:t>
      </w:r>
      <w:r w:rsidR="00996577">
        <w:t>, intellectual or cognitive disability, or acquired brain injury.</w:t>
      </w:r>
      <w:r w:rsidR="000C6DD6">
        <w:t xml:space="preserve"> </w:t>
      </w:r>
      <w:r w:rsidR="00996577">
        <w:t xml:space="preserve">For example, simply because a person has been diagnosed with dementia, does not </w:t>
      </w:r>
      <w:r w:rsidR="00AF48DD">
        <w:t xml:space="preserve">mean </w:t>
      </w:r>
      <w:r w:rsidR="00A65740">
        <w:t>that they lack decision-making ability for some or all decisions.</w:t>
      </w:r>
    </w:p>
    <w:p w14:paraId="69FA1937" w14:textId="3B65C819" w:rsidR="00B41474" w:rsidRDefault="00B41474" w:rsidP="00513691">
      <w:r>
        <w:t xml:space="preserve">Examples of other things that, by themselves, should </w:t>
      </w:r>
      <w:r w:rsidRPr="00B70A16">
        <w:t>not</w:t>
      </w:r>
      <w:r>
        <w:t xml:space="preserve"> be considered indications that a person does not have capacity for a decision are provided </w:t>
      </w:r>
      <w:hyperlink w:anchor="_Meaning_of_capacity" w:history="1">
        <w:r w:rsidRPr="00B41474">
          <w:rPr>
            <w:rStyle w:val="Hyperlink"/>
          </w:rPr>
          <w:t>earlier</w:t>
        </w:r>
      </w:hyperlink>
      <w:r>
        <w:t xml:space="preserve"> in this policy.</w:t>
      </w:r>
    </w:p>
    <w:p w14:paraId="61610249" w14:textId="104BE7BF" w:rsidR="00B5313A" w:rsidRDefault="007614E0" w:rsidP="00513691">
      <w:r>
        <w:t xml:space="preserve">Under the Act, </w:t>
      </w:r>
      <w:r w:rsidRPr="55D9A17F">
        <w:rPr>
          <w:rFonts w:cs="Arial"/>
        </w:rPr>
        <w:t xml:space="preserve">every older person is presumed to have the ability to make their own decisions. </w:t>
      </w:r>
      <w:r>
        <w:t xml:space="preserve">Accordingly, the System Governor will presume the capacity of a person unless the System </w:t>
      </w:r>
      <w:r w:rsidR="008B631A">
        <w:t>Governor</w:t>
      </w:r>
      <w:r>
        <w:t xml:space="preserve"> is in receipt of evidence that </w:t>
      </w:r>
      <w:r w:rsidR="25E2F120">
        <w:t xml:space="preserve">may </w:t>
      </w:r>
      <w:r w:rsidR="00995B76">
        <w:t xml:space="preserve">directly </w:t>
      </w:r>
      <w:r w:rsidR="008B631A">
        <w:t>rebut</w:t>
      </w:r>
      <w:r w:rsidR="003B09F2">
        <w:t xml:space="preserve"> this presumption. </w:t>
      </w:r>
      <w:r w:rsidR="008B631A">
        <w:t xml:space="preserve">This may be legal or </w:t>
      </w:r>
      <w:r w:rsidR="008B631A" w:rsidRPr="003B6590">
        <w:t xml:space="preserve">medical evidence. </w:t>
      </w:r>
      <w:r w:rsidR="001B3EA8" w:rsidRPr="003B6590">
        <w:t xml:space="preserve">For example, a person may provide both legal and medical evidence </w:t>
      </w:r>
      <w:r w:rsidR="000017FD" w:rsidRPr="003B6590">
        <w:t xml:space="preserve">to demonstrate they are an active, appointed decision maker </w:t>
      </w:r>
      <w:r w:rsidR="001B3EA8" w:rsidRPr="003B6590">
        <w:t>when</w:t>
      </w:r>
      <w:r w:rsidR="000017FD" w:rsidRPr="003B6590">
        <w:t xml:space="preserve"> </w:t>
      </w:r>
      <w:r w:rsidR="000017FD" w:rsidRPr="003B6590">
        <w:lastRenderedPageBreak/>
        <w:t xml:space="preserve">requesting to register as a supporter without the older person’s consent, or someone may </w:t>
      </w:r>
      <w:r w:rsidR="00C70F46" w:rsidRPr="003B6590">
        <w:t>provide the System Governor with medical evidence</w:t>
      </w:r>
      <w:r w:rsidR="00FA5501">
        <w:t xml:space="preserve"> alone</w:t>
      </w:r>
      <w:r w:rsidR="00C70F46" w:rsidRPr="003B6590">
        <w:t xml:space="preserve"> about the older person’s </w:t>
      </w:r>
      <w:r w:rsidR="007872EC">
        <w:t>decision-making ability</w:t>
      </w:r>
      <w:r w:rsidR="00C70F46" w:rsidRPr="003B6590">
        <w:t xml:space="preserve"> </w:t>
      </w:r>
      <w:r w:rsidR="00A664EF" w:rsidRPr="003B6590">
        <w:t>as part of a complaint or dispute.</w:t>
      </w:r>
    </w:p>
    <w:p w14:paraId="2E5976DE" w14:textId="134D6C64" w:rsidR="008E11ED" w:rsidRPr="00C66473" w:rsidRDefault="008B631A" w:rsidP="00513691">
      <w:r>
        <w:t>The following</w:t>
      </w:r>
      <w:r w:rsidR="00E36B1C">
        <w:t xml:space="preserve"> sections detail the expectations the System Governor has for medical evidence</w:t>
      </w:r>
      <w:r w:rsidR="00B41474">
        <w:t xml:space="preserve"> relative to the regulation of registered supporters</w:t>
      </w:r>
      <w:r w:rsidR="00E36B1C">
        <w:t>.</w:t>
      </w:r>
    </w:p>
    <w:p w14:paraId="3AD92884" w14:textId="4FF95AF9" w:rsidR="00467C12" w:rsidRPr="00C36E45" w:rsidDel="00CE7DA0" w:rsidRDefault="00467C12" w:rsidP="00B70A16">
      <w:pPr>
        <w:pStyle w:val="Heading4"/>
      </w:pPr>
      <w:r w:rsidRPr="00C36E45" w:rsidDel="00CE7DA0">
        <w:t>Currency of medical evidence</w:t>
      </w:r>
    </w:p>
    <w:p w14:paraId="7BC7D103" w14:textId="1499505D" w:rsidR="00B96D6F" w:rsidRDefault="00CA7BD9" w:rsidP="00513691">
      <w:r w:rsidDel="00CE7DA0">
        <w:t>Any</w:t>
      </w:r>
      <w:r w:rsidR="00467C12" w:rsidDel="00CE7DA0">
        <w:t xml:space="preserve"> medical evidence </w:t>
      </w:r>
      <w:r w:rsidDel="00CE7DA0">
        <w:t xml:space="preserve">of an older person’s decision-making ability </w:t>
      </w:r>
      <w:r w:rsidR="00467C12" w:rsidDel="00CE7DA0">
        <w:t>provided</w:t>
      </w:r>
      <w:r w:rsidDel="00CE7DA0">
        <w:t xml:space="preserve"> to </w:t>
      </w:r>
      <w:r w:rsidR="00655F93" w:rsidDel="00CE7DA0">
        <w:t>the System Governor</w:t>
      </w:r>
      <w:r w:rsidR="00467C12" w:rsidDel="00CE7DA0">
        <w:t xml:space="preserve"> must address the older person’s current </w:t>
      </w:r>
      <w:r w:rsidDel="00CE7DA0">
        <w:t>ability</w:t>
      </w:r>
      <w:r w:rsidR="00467C12" w:rsidDel="00CE7DA0">
        <w:t xml:space="preserve"> to make</w:t>
      </w:r>
      <w:r w:rsidR="00A12AC5">
        <w:t xml:space="preserve"> a particular</w:t>
      </w:r>
      <w:r w:rsidR="00467C12" w:rsidDel="00CE7DA0">
        <w:t xml:space="preserve"> </w:t>
      </w:r>
      <w:r w:rsidR="00783175">
        <w:t>decision</w:t>
      </w:r>
      <w:r w:rsidR="00A12AC5">
        <w:t xml:space="preserve"> or particular decision</w:t>
      </w:r>
      <w:r w:rsidR="00783175">
        <w:t>s</w:t>
      </w:r>
      <w:r w:rsidR="00467C12" w:rsidDel="00CE7DA0">
        <w:t xml:space="preserve">. Where possible, the medical evidence should have been recently obtained from a </w:t>
      </w:r>
      <w:r w:rsidR="00D13AA2">
        <w:t>health</w:t>
      </w:r>
      <w:r w:rsidR="00467C12" w:rsidDel="00CE7DA0">
        <w:t xml:space="preserve"> professional. However, i</w:t>
      </w:r>
      <w:r w:rsidR="00467C12" w:rsidRPr="00D53967" w:rsidDel="00CE7DA0">
        <w:t xml:space="preserve">f the medical evidence is not recent, it may still be </w:t>
      </w:r>
      <w:r w:rsidR="00467C12" w:rsidDel="00CE7DA0">
        <w:t xml:space="preserve">recognised if it continues to address the older person’s </w:t>
      </w:r>
      <w:r w:rsidR="004A6B88" w:rsidRPr="00513691">
        <w:t>ability to make a particular decision</w:t>
      </w:r>
      <w:r w:rsidR="00467C12" w:rsidDel="00CE7DA0">
        <w:t xml:space="preserve">. For example, </w:t>
      </w:r>
      <w:r w:rsidR="00B96D6F">
        <w:t>medical evidence:</w:t>
      </w:r>
    </w:p>
    <w:p w14:paraId="37F42FB6" w14:textId="0B42BEB7" w:rsidR="00467C12" w:rsidRPr="00513691" w:rsidDel="00CE7DA0" w:rsidRDefault="00467C12" w:rsidP="00513691">
      <w:pPr>
        <w:pStyle w:val="ListBullet"/>
      </w:pPr>
      <w:r w:rsidRPr="00513691" w:rsidDel="00CE7DA0">
        <w:t xml:space="preserve">could show an assessment that the older person is experiencing a loss of </w:t>
      </w:r>
      <w:r w:rsidR="00CA7BD9" w:rsidRPr="00513691" w:rsidDel="00CE7DA0">
        <w:t>ability</w:t>
      </w:r>
      <w:r w:rsidR="00A12AC5" w:rsidRPr="00513691">
        <w:t xml:space="preserve"> to make a particular decision or </w:t>
      </w:r>
      <w:proofErr w:type="gramStart"/>
      <w:r w:rsidR="00A12AC5" w:rsidRPr="00513691">
        <w:t>particular decisions</w:t>
      </w:r>
      <w:proofErr w:type="gramEnd"/>
      <w:r w:rsidRPr="00513691" w:rsidDel="00CE7DA0">
        <w:t xml:space="preserve"> which is expected to be enduring and unlikely to improve</w:t>
      </w:r>
      <w:r w:rsidR="00B96D6F" w:rsidRPr="00513691">
        <w:t xml:space="preserve">, </w:t>
      </w:r>
      <w:r w:rsidR="0031394A" w:rsidRPr="00513691">
        <w:t>or</w:t>
      </w:r>
    </w:p>
    <w:p w14:paraId="2DD73834" w14:textId="124AB918" w:rsidR="00467C12" w:rsidRPr="00513691" w:rsidDel="00CE7DA0" w:rsidRDefault="00467C12" w:rsidP="00513691">
      <w:pPr>
        <w:pStyle w:val="ListBullet"/>
      </w:pPr>
      <w:r w:rsidRPr="00513691" w:rsidDel="00CE7DA0">
        <w:t xml:space="preserve">which </w:t>
      </w:r>
      <w:proofErr w:type="gramStart"/>
      <w:r w:rsidRPr="00513691" w:rsidDel="00CE7DA0">
        <w:t>is</w:t>
      </w:r>
      <w:proofErr w:type="gramEnd"/>
      <w:r w:rsidRPr="00513691" w:rsidDel="00CE7DA0">
        <w:t xml:space="preserve"> several months old may still confirm the appointed decision maker’s authority to make decisions on behalf of the older person, if the medical evidence expected that the older person’s loss </w:t>
      </w:r>
      <w:r w:rsidR="00CA7BD9" w:rsidRPr="00513691" w:rsidDel="00CE7DA0">
        <w:t xml:space="preserve">of decision-making ability </w:t>
      </w:r>
      <w:r w:rsidRPr="00513691" w:rsidDel="00CE7DA0">
        <w:t>would remain unchanged since the date the evidence was obtained. The appointed decision maker may not have needed to activate their legal instrument until this time because a decision did not need to be made on the older person’s behalf.</w:t>
      </w:r>
    </w:p>
    <w:p w14:paraId="3493E9A0" w14:textId="5A41E42D" w:rsidR="00467C12" w:rsidDel="00CE7DA0" w:rsidRDefault="00467C12" w:rsidP="00513691">
      <w:r w:rsidRPr="00D53967" w:rsidDel="00CE7DA0">
        <w:t xml:space="preserve">The currency of </w:t>
      </w:r>
      <w:r w:rsidDel="00CE7DA0">
        <w:t xml:space="preserve">medical </w:t>
      </w:r>
      <w:r w:rsidRPr="00D53967" w:rsidDel="00CE7DA0">
        <w:t>evidence</w:t>
      </w:r>
      <w:r w:rsidDel="00CE7DA0">
        <w:t xml:space="preserve"> </w:t>
      </w:r>
      <w:r w:rsidRPr="00D53967" w:rsidDel="00CE7DA0">
        <w:t>will differ depending on</w:t>
      </w:r>
      <w:r w:rsidDel="00CE7DA0">
        <w:t xml:space="preserve"> the older</w:t>
      </w:r>
      <w:r w:rsidRPr="00D53967" w:rsidDel="00CE7DA0">
        <w:t xml:space="preserve"> </w:t>
      </w:r>
      <w:r w:rsidDel="00CE7DA0">
        <w:t>person’s</w:t>
      </w:r>
      <w:r w:rsidRPr="00D53967" w:rsidDel="00CE7DA0">
        <w:t xml:space="preserve"> circumstances</w:t>
      </w:r>
      <w:r w:rsidDel="00CE7DA0">
        <w:t xml:space="preserve"> and the legal instrument. </w:t>
      </w:r>
      <w:r w:rsidRPr="00E96879" w:rsidDel="00CE7DA0">
        <w:t xml:space="preserve">Ultimately, the currency of medical evidence is entirely dependent on context. There </w:t>
      </w:r>
      <w:r w:rsidDel="00CE7DA0">
        <w:t>are</w:t>
      </w:r>
      <w:r w:rsidRPr="00E96879" w:rsidDel="00CE7DA0">
        <w:t xml:space="preserve"> no set rule</w:t>
      </w:r>
      <w:r w:rsidDel="00CE7DA0">
        <w:t>s</w:t>
      </w:r>
      <w:r w:rsidRPr="00E96879" w:rsidDel="00CE7DA0">
        <w:t xml:space="preserve"> about how current a piece of evidence must be </w:t>
      </w:r>
      <w:r w:rsidDel="00CE7DA0">
        <w:t>for the System Governor to accept and recognise it</w:t>
      </w:r>
      <w:r w:rsidRPr="00E96879" w:rsidDel="00CE7DA0">
        <w:t>.</w:t>
      </w:r>
    </w:p>
    <w:p w14:paraId="23297D0B" w14:textId="2C690525" w:rsidR="009002CE" w:rsidRPr="00C36E45" w:rsidDel="00CE7DA0" w:rsidRDefault="009002CE" w:rsidP="00B70A16">
      <w:pPr>
        <w:pStyle w:val="Heading4"/>
      </w:pPr>
      <w:bookmarkStart w:id="49" w:name="_Specificity_of_medical"/>
      <w:bookmarkEnd w:id="49"/>
      <w:r w:rsidRPr="00C36E45" w:rsidDel="00CE7DA0">
        <w:t>Specificity of medical evidence</w:t>
      </w:r>
    </w:p>
    <w:p w14:paraId="242F903C" w14:textId="0FE7021D" w:rsidR="009002CE" w:rsidDel="00CE7DA0" w:rsidRDefault="00565D29" w:rsidP="00513691">
      <w:r w:rsidDel="00CE7DA0">
        <w:t xml:space="preserve">Any medical evidence of an older person’s </w:t>
      </w:r>
      <w:r w:rsidR="00B402FF" w:rsidRPr="00513691">
        <w:t>ability to make a particular decision</w:t>
      </w:r>
      <w:r w:rsidR="00B402FF" w:rsidDel="00B402FF">
        <w:t xml:space="preserve"> </w:t>
      </w:r>
      <w:r w:rsidDel="00CE7DA0">
        <w:t xml:space="preserve">provided to </w:t>
      </w:r>
      <w:r w:rsidR="00524243" w:rsidDel="00CE7DA0">
        <w:t xml:space="preserve">the System Governor </w:t>
      </w:r>
      <w:r w:rsidDel="00CE7DA0">
        <w:t>should</w:t>
      </w:r>
      <w:r w:rsidR="009002CE" w:rsidDel="00CE7DA0">
        <w:t xml:space="preserve"> specify the </w:t>
      </w:r>
      <w:proofErr w:type="gramStart"/>
      <w:r w:rsidR="00A12AC5">
        <w:t>particular decisions</w:t>
      </w:r>
      <w:proofErr w:type="gramEnd"/>
      <w:r w:rsidR="009C021E">
        <w:t xml:space="preserve"> the older person does not have the ability to make, in the </w:t>
      </w:r>
      <w:r w:rsidR="009002CE" w:rsidDel="00CE7DA0">
        <w:t>medical professional</w:t>
      </w:r>
      <w:r w:rsidR="009C021E">
        <w:t>’s opinion.</w:t>
      </w:r>
      <w:r w:rsidR="009002CE" w:rsidDel="009C021E">
        <w:t xml:space="preserve"> </w:t>
      </w:r>
      <w:r w:rsidR="002276DB" w:rsidDel="00CE7DA0">
        <w:t>If an appointed decision maker wishes to rely on this medical evidence to activate their legal authority, the</w:t>
      </w:r>
      <w:r w:rsidR="009002CE" w:rsidDel="00CE7DA0">
        <w:t xml:space="preserve"> </w:t>
      </w:r>
      <w:proofErr w:type="gramStart"/>
      <w:r w:rsidR="009C021E">
        <w:t>particular decisions</w:t>
      </w:r>
      <w:proofErr w:type="gramEnd"/>
      <w:r w:rsidR="009C021E">
        <w:t xml:space="preserve"> specified</w:t>
      </w:r>
      <w:r w:rsidR="009002CE" w:rsidDel="00CE7DA0">
        <w:t xml:space="preserve"> in the medical evidence must match the </w:t>
      </w:r>
      <w:proofErr w:type="gramStart"/>
      <w:r w:rsidR="009C021E">
        <w:t>particular decisions</w:t>
      </w:r>
      <w:proofErr w:type="gramEnd"/>
      <w:r w:rsidR="002276DB" w:rsidDel="00CE7DA0">
        <w:t xml:space="preserve"> for which</w:t>
      </w:r>
      <w:r w:rsidR="009002CE" w:rsidDel="00CE7DA0">
        <w:t xml:space="preserve"> the appointed decision maker has been granted </w:t>
      </w:r>
      <w:r w:rsidR="002276DB" w:rsidDel="00CE7DA0">
        <w:t xml:space="preserve">decision-making authority for </w:t>
      </w:r>
      <w:r w:rsidR="009002CE" w:rsidDel="00CE7DA0">
        <w:t>under their Commonwealth, state or territory arrangement.</w:t>
      </w:r>
    </w:p>
    <w:p w14:paraId="4FBD0997" w14:textId="47536A93" w:rsidR="009002CE" w:rsidDel="00CE7DA0" w:rsidRDefault="009002CE" w:rsidP="00513691">
      <w:r w:rsidDel="00CE7DA0">
        <w:t xml:space="preserve">For example, an appointed decision maker who can only exercise decision-making authority under a Commonwealth, state or territory arrangement </w:t>
      </w:r>
      <w:r w:rsidRPr="00745CF5" w:rsidDel="00CE7DA0">
        <w:t>if</w:t>
      </w:r>
      <w:r w:rsidDel="00CE7DA0">
        <w:t xml:space="preserve"> the older person loses the ability to make decisions for health matters must provide medical evidence that the older person does not have the ability to make</w:t>
      </w:r>
      <w:r w:rsidR="0041539E">
        <w:t xml:space="preserve"> </w:t>
      </w:r>
      <w:proofErr w:type="gramStart"/>
      <w:r w:rsidR="0041539E">
        <w:t>particular health</w:t>
      </w:r>
      <w:proofErr w:type="gramEnd"/>
      <w:r w:rsidDel="00CE7DA0">
        <w:t xml:space="preserve"> decisions.</w:t>
      </w:r>
      <w:r w:rsidR="00084ABF" w:rsidDel="00CE7DA0">
        <w:t xml:space="preserve"> </w:t>
      </w:r>
      <w:r w:rsidR="00C117A3">
        <w:t xml:space="preserve">As a result of </w:t>
      </w:r>
      <w:r w:rsidR="00D86C6D">
        <w:t>the appointed decision</w:t>
      </w:r>
      <w:r w:rsidR="001A183C">
        <w:t xml:space="preserve"> maker</w:t>
      </w:r>
      <w:r w:rsidR="00D45286">
        <w:t xml:space="preserve"> seeking medical evidence</w:t>
      </w:r>
      <w:r w:rsidR="004B7BA7" w:rsidDel="00CE7DA0">
        <w:t>, a qualified medical professional may find that the older person does not have</w:t>
      </w:r>
      <w:r w:rsidR="0041539E">
        <w:t xml:space="preserve"> the ability to make any decisions</w:t>
      </w:r>
      <w:r w:rsidR="004B7BA7" w:rsidDel="00CE7DA0">
        <w:t xml:space="preserve">, or </w:t>
      </w:r>
      <w:r w:rsidR="00D73F7E" w:rsidDel="00CE7DA0">
        <w:t xml:space="preserve">they may specify </w:t>
      </w:r>
      <w:r w:rsidR="0041539E">
        <w:t>that the older person does not have the ability to make health decisions</w:t>
      </w:r>
      <w:r w:rsidR="00D73F7E" w:rsidDel="00CE7DA0">
        <w:t>.</w:t>
      </w:r>
    </w:p>
    <w:p w14:paraId="0336DCBF" w14:textId="01673829" w:rsidR="00E21ACE" w:rsidRPr="00513691" w:rsidRDefault="00565D29" w:rsidP="00513691">
      <w:r w:rsidDel="00CE7DA0">
        <w:t xml:space="preserve">If </w:t>
      </w:r>
      <w:r w:rsidR="00D44265" w:rsidDel="00CE7DA0">
        <w:t xml:space="preserve">a Commonwealth, state or territory arrangement grants decision-making authority to a person for all </w:t>
      </w:r>
      <w:r w:rsidR="0041539E">
        <w:t>decisions</w:t>
      </w:r>
      <w:r w:rsidR="00733057" w:rsidDel="00CE7DA0">
        <w:t xml:space="preserve">, the medical evidence provided to </w:t>
      </w:r>
      <w:r w:rsidR="00524243" w:rsidDel="00CE7DA0">
        <w:t>the System Go</w:t>
      </w:r>
      <w:r w:rsidR="009064E1" w:rsidDel="00CE7DA0">
        <w:t>vernor</w:t>
      </w:r>
      <w:r w:rsidR="00733057" w:rsidDel="00CE7DA0">
        <w:t xml:space="preserve"> could cover </w:t>
      </w:r>
      <w:r w:rsidR="00733057" w:rsidDel="00CE7DA0">
        <w:lastRenderedPageBreak/>
        <w:t xml:space="preserve">all, or some </w:t>
      </w:r>
      <w:r w:rsidR="0041539E">
        <w:t>decisions</w:t>
      </w:r>
      <w:r w:rsidR="00733057" w:rsidDel="00CE7DA0">
        <w:t>.</w:t>
      </w:r>
      <w:r w:rsidR="00563FB2" w:rsidDel="00CE7DA0">
        <w:t xml:space="preserve"> If the medical evidence </w:t>
      </w:r>
      <w:r w:rsidR="004600EF" w:rsidDel="00CE7DA0">
        <w:t>provides</w:t>
      </w:r>
      <w:r w:rsidR="00563FB2" w:rsidDel="00CE7DA0">
        <w:t xml:space="preserve"> an assessment of an older person’s </w:t>
      </w:r>
      <w:r w:rsidR="0041539E">
        <w:t>ability to make only particular decisions</w:t>
      </w:r>
      <w:r w:rsidR="00563FB2" w:rsidDel="00CE7DA0">
        <w:t xml:space="preserve">, </w:t>
      </w:r>
      <w:r w:rsidR="009064E1" w:rsidDel="00CE7DA0">
        <w:t>the System Governor</w:t>
      </w:r>
      <w:r w:rsidR="00563FB2" w:rsidDel="00CE7DA0">
        <w:t xml:space="preserve"> can only accept </w:t>
      </w:r>
      <w:r w:rsidR="00241DBC" w:rsidDel="00CE7DA0">
        <w:t xml:space="preserve">that evidence in relation to those </w:t>
      </w:r>
      <w:proofErr w:type="gramStart"/>
      <w:r w:rsidR="001B20C2">
        <w:t>particular decisions</w:t>
      </w:r>
      <w:proofErr w:type="gramEnd"/>
      <w:r w:rsidR="00241DBC" w:rsidDel="00CE7DA0">
        <w:t>.</w:t>
      </w:r>
    </w:p>
    <w:p w14:paraId="3D76666E" w14:textId="08A56AD3" w:rsidR="00A7168D" w:rsidRDefault="0011344C" w:rsidP="001F6F80">
      <w:pPr>
        <w:pStyle w:val="Heading3"/>
      </w:pPr>
      <w:bookmarkStart w:id="50" w:name="_Toc211959441"/>
      <w:bookmarkStart w:id="51" w:name="_Toc212063443"/>
      <w:r w:rsidRPr="00A7168D">
        <w:t xml:space="preserve">Providing </w:t>
      </w:r>
      <w:r w:rsidR="001500A8" w:rsidRPr="004F08C1">
        <w:t>evidence</w:t>
      </w:r>
      <w:r w:rsidR="001500A8" w:rsidRPr="00A7168D">
        <w:t xml:space="preserve"> </w:t>
      </w:r>
      <w:r w:rsidR="004A5565">
        <w:t xml:space="preserve">relating to capacity </w:t>
      </w:r>
      <w:r w:rsidR="001500A8" w:rsidRPr="00A7168D">
        <w:t xml:space="preserve">to </w:t>
      </w:r>
      <w:r w:rsidR="00231707">
        <w:t>the System Governor</w:t>
      </w:r>
      <w:bookmarkEnd w:id="50"/>
      <w:bookmarkEnd w:id="51"/>
    </w:p>
    <w:p w14:paraId="5F6BBE44" w14:textId="6EAEC864" w:rsidR="004A5565" w:rsidRDefault="004A5565" w:rsidP="00513691">
      <w:r>
        <w:t>In general, circumstances where a person may wish to provide evidence to the System Governor relating to their own, or another person’s, capacity may include:</w:t>
      </w:r>
    </w:p>
    <w:p w14:paraId="110D9291" w14:textId="68A9C76F" w:rsidR="004A5565" w:rsidRPr="00513691" w:rsidRDefault="004A5565" w:rsidP="00513691">
      <w:pPr>
        <w:pStyle w:val="ListBullet"/>
      </w:pPr>
      <w:r w:rsidRPr="00513691">
        <w:t>where t</w:t>
      </w:r>
      <w:r w:rsidR="00066707" w:rsidRPr="00513691">
        <w:t>hey, or someone else, wishes to be recognised as an active, appointed decision maker</w:t>
      </w:r>
    </w:p>
    <w:p w14:paraId="29139C2C" w14:textId="40709FFB" w:rsidR="00066707" w:rsidRPr="00513691" w:rsidRDefault="00066707" w:rsidP="00513691">
      <w:pPr>
        <w:pStyle w:val="ListBullet"/>
      </w:pPr>
      <w:r w:rsidRPr="00513691">
        <w:t>where a registered supporter may not b</w:t>
      </w:r>
      <w:r w:rsidR="009C0B2E" w:rsidRPr="00513691">
        <w:t>e able to act as a supporter</w:t>
      </w:r>
      <w:r w:rsidR="004B4ABA" w:rsidRPr="00513691">
        <w:t xml:space="preserve"> because they may not have capacity</w:t>
      </w:r>
      <w:r w:rsidR="00515964" w:rsidRPr="00513691">
        <w:t>, or</w:t>
      </w:r>
    </w:p>
    <w:p w14:paraId="12807E87" w14:textId="191408D7" w:rsidR="009C0B2E" w:rsidRPr="00513691" w:rsidRDefault="009C0B2E" w:rsidP="00513691">
      <w:pPr>
        <w:pStyle w:val="ListBullet"/>
      </w:pPr>
      <w:r w:rsidRPr="00513691">
        <w:t>to dispute other information that the System Governor holds relating to a person’s capacity</w:t>
      </w:r>
      <w:r w:rsidR="00515964" w:rsidRPr="00513691">
        <w:t>.</w:t>
      </w:r>
    </w:p>
    <w:p w14:paraId="4CCA9354" w14:textId="02983876" w:rsidR="00A7168D" w:rsidRPr="00A7168D" w:rsidRDefault="00A7168D" w:rsidP="0051545D">
      <w:pPr>
        <w:pStyle w:val="Heading4"/>
      </w:pPr>
      <w:r>
        <w:t>Applying to become registered as a supporter</w:t>
      </w:r>
      <w:r w:rsidR="00E05608">
        <w:t xml:space="preserve"> guardian</w:t>
      </w:r>
    </w:p>
    <w:p w14:paraId="778EB4E0" w14:textId="7DACB04C" w:rsidR="007744D7" w:rsidRDefault="00467C12" w:rsidP="00513691">
      <w:r>
        <w:t>An a</w:t>
      </w:r>
      <w:r w:rsidR="007744D7">
        <w:t xml:space="preserve">ctive, appointed decision maker can apply to be registered as </w:t>
      </w:r>
      <w:r>
        <w:t xml:space="preserve">a </w:t>
      </w:r>
      <w:r w:rsidR="007744D7">
        <w:t xml:space="preserve">supporter without the consent of the older person they have decision-making authority for. </w:t>
      </w:r>
      <w:r w:rsidR="00EF6F94">
        <w:t xml:space="preserve">They must, however, provide the System Governor with </w:t>
      </w:r>
      <w:r w:rsidR="007E2484">
        <w:t xml:space="preserve">proof </w:t>
      </w:r>
      <w:r w:rsidR="00EF6F94">
        <w:t xml:space="preserve">they are an active, appointed decision maker for the older person. </w:t>
      </w:r>
      <w:r w:rsidR="003121AD" w:rsidRPr="00C36E45">
        <w:t>This is likely to be legal documentation. If the appointment is</w:t>
      </w:r>
      <w:r w:rsidR="003121AD" w:rsidRPr="00C36E45" w:rsidDel="001B4452">
        <w:t xml:space="preserve"> </w:t>
      </w:r>
      <w:r w:rsidR="001B4452">
        <w:t xml:space="preserve">activated </w:t>
      </w:r>
      <w:r w:rsidR="003121AD" w:rsidRPr="00C36E45">
        <w:t xml:space="preserve">on loss of the older person’s </w:t>
      </w:r>
      <w:r w:rsidR="00B053C8">
        <w:t>ability to make</w:t>
      </w:r>
      <w:r w:rsidR="000715FE" w:rsidRPr="00B70A16">
        <w:t xml:space="preserve"> all or some decisions</w:t>
      </w:r>
      <w:r w:rsidR="003121AD" w:rsidRPr="00C36E45">
        <w:t xml:space="preserve">, </w:t>
      </w:r>
      <w:r w:rsidR="000715FE" w:rsidRPr="00B70A16">
        <w:t>the System Governor will also seek</w:t>
      </w:r>
      <w:r w:rsidR="003121AD" w:rsidRPr="00B70A16">
        <w:t xml:space="preserve"> </w:t>
      </w:r>
      <w:r w:rsidR="003121AD" w:rsidRPr="00C36E45">
        <w:t xml:space="preserve">medical evidence </w:t>
      </w:r>
      <w:r w:rsidR="000715FE" w:rsidRPr="00B70A16">
        <w:t>to support this</w:t>
      </w:r>
      <w:r w:rsidR="003121AD" w:rsidRPr="00C36E45">
        <w:t>.</w:t>
      </w:r>
    </w:p>
    <w:p w14:paraId="249E5873" w14:textId="7B9563F2" w:rsidR="00244C5A" w:rsidRDefault="00C51BE6" w:rsidP="00513691">
      <w:r>
        <w:t>An application to register a supporter relationship</w:t>
      </w:r>
      <w:r w:rsidR="00244C5A">
        <w:t xml:space="preserve"> as an appointed decision maker</w:t>
      </w:r>
      <w:r>
        <w:t xml:space="preserve"> can be made:</w:t>
      </w:r>
    </w:p>
    <w:p w14:paraId="69B3FE1B" w14:textId="546D8118" w:rsidR="00244C5A" w:rsidRPr="00513691" w:rsidRDefault="00244C5A" w:rsidP="00513691">
      <w:pPr>
        <w:pStyle w:val="ListBullet"/>
      </w:pPr>
      <w:r w:rsidRPr="00513691">
        <w:t xml:space="preserve">using the My Aged Care ‘Apply Online’ </w:t>
      </w:r>
      <w:r w:rsidR="00B85B4F" w:rsidRPr="00513691">
        <w:t>a</w:t>
      </w:r>
      <w:r w:rsidRPr="00513691">
        <w:t>ssessment tool</w:t>
      </w:r>
    </w:p>
    <w:p w14:paraId="392832D7" w14:textId="77777777" w:rsidR="00244C5A" w:rsidRPr="00513691" w:rsidRDefault="00244C5A" w:rsidP="00513691">
      <w:pPr>
        <w:pStyle w:val="ListBullet"/>
      </w:pPr>
      <w:r w:rsidRPr="00513691">
        <w:t>using the My Aged Care digital registration form</w:t>
      </w:r>
    </w:p>
    <w:p w14:paraId="5633448F" w14:textId="77777777" w:rsidR="00244C5A" w:rsidRPr="00513691" w:rsidRDefault="00244C5A" w:rsidP="00513691">
      <w:pPr>
        <w:pStyle w:val="ListBullet"/>
      </w:pPr>
      <w:r w:rsidRPr="00513691">
        <w:t>downloading and completing a hard copy registration form</w:t>
      </w:r>
    </w:p>
    <w:p w14:paraId="07DA15B8" w14:textId="77777777" w:rsidR="00244C5A" w:rsidRPr="00513691" w:rsidRDefault="00244C5A" w:rsidP="00513691">
      <w:pPr>
        <w:pStyle w:val="ListBullet"/>
      </w:pPr>
      <w:r w:rsidRPr="00513691">
        <w:t>in person, with an aged care assessor</w:t>
      </w:r>
    </w:p>
    <w:p w14:paraId="547FD94F" w14:textId="77777777" w:rsidR="00244C5A" w:rsidRPr="00513691" w:rsidRDefault="00244C5A" w:rsidP="00513691">
      <w:pPr>
        <w:pStyle w:val="ListBullet"/>
      </w:pPr>
      <w:r w:rsidRPr="00513691">
        <w:t>in person, with an Aged Care Specialist Officer, or</w:t>
      </w:r>
    </w:p>
    <w:p w14:paraId="47C07EA5" w14:textId="77777777" w:rsidR="00244C5A" w:rsidRPr="00513691" w:rsidRDefault="00244C5A" w:rsidP="00513691">
      <w:pPr>
        <w:pStyle w:val="ListBullet"/>
      </w:pPr>
      <w:r w:rsidRPr="00513691">
        <w:t>in a My Aged Care Online Account.</w:t>
      </w:r>
    </w:p>
    <w:p w14:paraId="5A1A9CB4" w14:textId="01C23E34" w:rsidR="00AA07EB" w:rsidRDefault="00AA07EB" w:rsidP="00513691">
      <w:r w:rsidRPr="00AA07EB">
        <w:t xml:space="preserve">A registered supporter who is also an active, appointed decision maker is </w:t>
      </w:r>
      <w:r w:rsidR="000E2FDB">
        <w:t>labe</w:t>
      </w:r>
      <w:r w:rsidRPr="00AA07EB">
        <w:t>lled a ‘supporter guardian’.</w:t>
      </w:r>
    </w:p>
    <w:p w14:paraId="11E98321" w14:textId="5652858C" w:rsidR="00CE7DA0" w:rsidRDefault="007B038B" w:rsidP="00513691">
      <w:r>
        <w:t xml:space="preserve">Further information on the process of applying to register a supporter relationship is available on </w:t>
      </w:r>
      <w:hyperlink r:id="rId14" w:history="1">
        <w:r w:rsidRPr="006D0198">
          <w:rPr>
            <w:rStyle w:val="Hyperlink"/>
          </w:rPr>
          <w:t>My Aged Care</w:t>
        </w:r>
      </w:hyperlink>
      <w:r>
        <w:t xml:space="preserve"> </w:t>
      </w:r>
      <w:r w:rsidR="000070E2">
        <w:t xml:space="preserve">from 1 November 2025 </w:t>
      </w:r>
      <w:r>
        <w:t>and</w:t>
      </w:r>
      <w:r w:rsidR="00C305DA">
        <w:t xml:space="preserve"> the </w:t>
      </w:r>
      <w:hyperlink r:id="rId15" w:history="1">
        <w:r w:rsidR="00B3048E">
          <w:rPr>
            <w:rStyle w:val="Hyperlink"/>
          </w:rPr>
          <w:t>R</w:t>
        </w:r>
        <w:r w:rsidR="00C305DA" w:rsidRPr="00EF59E1">
          <w:rPr>
            <w:rStyle w:val="Hyperlink"/>
          </w:rPr>
          <w:t>egistration policy</w:t>
        </w:r>
      </w:hyperlink>
      <w:r w:rsidR="00C305DA">
        <w:t>.</w:t>
      </w:r>
    </w:p>
    <w:p w14:paraId="20B0B45A" w14:textId="5A8E9C5B" w:rsidR="00AA07EB" w:rsidRDefault="00AA07EB" w:rsidP="00AA07EB">
      <w:pPr>
        <w:pStyle w:val="Heading4"/>
      </w:pPr>
      <w:r>
        <w:t xml:space="preserve">Duty </w:t>
      </w:r>
      <w:r w:rsidR="00CE52EC">
        <w:t xml:space="preserve">of registered supporters </w:t>
      </w:r>
      <w:r>
        <w:t>to inform</w:t>
      </w:r>
      <w:r w:rsidR="000070E2">
        <w:t xml:space="preserve"> of changes in circumstances</w:t>
      </w:r>
    </w:p>
    <w:p w14:paraId="0F985A00" w14:textId="48829A38" w:rsidR="00CD2F3F" w:rsidRDefault="00025BB9" w:rsidP="00513691">
      <w:r>
        <w:t>R</w:t>
      </w:r>
      <w:r w:rsidR="00CD2F3F">
        <w:t xml:space="preserve">egistered </w:t>
      </w:r>
      <w:r w:rsidR="00CD2F3F" w:rsidRPr="6B24E819">
        <w:t>supporter</w:t>
      </w:r>
      <w:r>
        <w:t xml:space="preserve">s have a </w:t>
      </w:r>
      <w:hyperlink r:id="rId16" w:history="1">
        <w:r w:rsidRPr="00025BB9">
          <w:rPr>
            <w:rStyle w:val="Hyperlink"/>
          </w:rPr>
          <w:t>duty</w:t>
        </w:r>
      </w:hyperlink>
      <w:r>
        <w:t xml:space="preserve"> under the Act</w:t>
      </w:r>
      <w:r w:rsidR="00CD2F3F" w:rsidRPr="6B24E819">
        <w:t xml:space="preserve"> </w:t>
      </w:r>
      <w:r>
        <w:t>to</w:t>
      </w:r>
      <w:r w:rsidR="00CD2F3F" w:rsidRPr="6B24E819">
        <w:t xml:space="preserve"> notify the System Governor of any </w:t>
      </w:r>
      <w:r w:rsidR="00CD2F3F">
        <w:t xml:space="preserve">event or change in </w:t>
      </w:r>
      <w:r w:rsidR="00CD2F3F" w:rsidRPr="6B24E819">
        <w:t>circumstance</w:t>
      </w:r>
      <w:r w:rsidR="00CD2F3F">
        <w:t>s, or likely event or change in circumstances,</w:t>
      </w:r>
      <w:r w:rsidR="00CD2F3F" w:rsidRPr="6B24E819">
        <w:t xml:space="preserve"> that will or may affect their ability to:</w:t>
      </w:r>
    </w:p>
    <w:p w14:paraId="62C17E0D" w14:textId="77777777" w:rsidR="00CD2F3F" w:rsidRPr="00513691" w:rsidRDefault="00CD2F3F" w:rsidP="00513691">
      <w:pPr>
        <w:pStyle w:val="ListBullet"/>
      </w:pPr>
      <w:r w:rsidRPr="00513691">
        <w:t>act as a registered supporter</w:t>
      </w:r>
    </w:p>
    <w:p w14:paraId="340DA093" w14:textId="0CAD9ED0" w:rsidR="00CD2F3F" w:rsidRPr="00513691" w:rsidRDefault="00CD2F3F" w:rsidP="00513691">
      <w:pPr>
        <w:pStyle w:val="ListBullet"/>
      </w:pPr>
      <w:r w:rsidRPr="00513691">
        <w:lastRenderedPageBreak/>
        <w:t>comply with their duties</w:t>
      </w:r>
      <w:r w:rsidR="000103FA" w:rsidRPr="00513691">
        <w:t xml:space="preserve">, </w:t>
      </w:r>
      <w:r w:rsidRPr="00513691">
        <w:t>or any requirements or notices given to them by the System Governor, or</w:t>
      </w:r>
    </w:p>
    <w:p w14:paraId="09D5F7CE" w14:textId="77777777" w:rsidR="00CD2F3F" w:rsidRPr="00513691" w:rsidRDefault="00CD2F3F" w:rsidP="00513691">
      <w:pPr>
        <w:pStyle w:val="ListBullet"/>
      </w:pPr>
      <w:r w:rsidRPr="00513691">
        <w:t>be contacted by the System Governor.</w:t>
      </w:r>
    </w:p>
    <w:p w14:paraId="481A28DE" w14:textId="52C75FCB" w:rsidR="001560F1" w:rsidRDefault="00CD2F3F" w:rsidP="00513691">
      <w:r>
        <w:t xml:space="preserve">An event or change in circumstances may include that the older person </w:t>
      </w:r>
      <w:r w:rsidR="009762D2">
        <w:t xml:space="preserve">has regained their </w:t>
      </w:r>
      <w:r w:rsidR="00B053C8">
        <w:t>ability to make particular or all decisions</w:t>
      </w:r>
      <w:r w:rsidR="00FE610D">
        <w:t xml:space="preserve"> </w:t>
      </w:r>
      <w:r w:rsidR="009762D2">
        <w:t xml:space="preserve">such that prior assessments of decision-making ability </w:t>
      </w:r>
      <w:r w:rsidR="008B7B36">
        <w:t>and subsequent considerations of capacity are no longer relevant.</w:t>
      </w:r>
    </w:p>
    <w:p w14:paraId="27E4E8A0" w14:textId="237F6EAA" w:rsidR="00CD2F3F" w:rsidRDefault="008B7B36" w:rsidP="00513691">
      <w:r>
        <w:t>An event or change in circumstances may also be a change, or likely change, in the registered supporter’s own</w:t>
      </w:r>
      <w:r w:rsidR="008903DE">
        <w:t xml:space="preserve"> </w:t>
      </w:r>
      <w:r w:rsidR="00FE610D">
        <w:t xml:space="preserve">ability to make </w:t>
      </w:r>
      <w:proofErr w:type="gramStart"/>
      <w:r w:rsidR="00FE610D">
        <w:t>particular decisions</w:t>
      </w:r>
      <w:proofErr w:type="gramEnd"/>
      <w:r w:rsidR="00FE610D">
        <w:t xml:space="preserve"> </w:t>
      </w:r>
      <w:r w:rsidR="008903DE">
        <w:t xml:space="preserve">such that </w:t>
      </w:r>
      <w:r w:rsidR="005F3514">
        <w:t>they</w:t>
      </w:r>
      <w:r w:rsidR="008903DE">
        <w:t xml:space="preserve"> themselves</w:t>
      </w:r>
      <w:r w:rsidR="005F3514">
        <w:t xml:space="preserve"> are, or may be,</w:t>
      </w:r>
      <w:r w:rsidR="008903DE">
        <w:t xml:space="preserve"> unable to act as a registered supporter or an appointed decision maker</w:t>
      </w:r>
      <w:r>
        <w:t>.</w:t>
      </w:r>
    </w:p>
    <w:p w14:paraId="7090497D" w14:textId="723CF737" w:rsidR="00CD2F3F" w:rsidRDefault="00CD2F3F" w:rsidP="00513691">
      <w:r>
        <w:t>The registered supporter must inform the System Governor as soon as reasonably practicable after the event or change of circumstances happens, or when the registered supporter first becomes aware that the event or change in circumstances is likely to happen.</w:t>
      </w:r>
    </w:p>
    <w:p w14:paraId="61A3FD8D" w14:textId="4C4FACA7" w:rsidR="008903DE" w:rsidRDefault="008903DE" w:rsidP="00513691">
      <w:r>
        <w:t>A registered supporter can inform the System Governor by</w:t>
      </w:r>
      <w:r w:rsidR="003E5A82">
        <w:t xml:space="preserve"> making a </w:t>
      </w:r>
      <w:r w:rsidR="007A1B59">
        <w:t xml:space="preserve">submission directly to the System Governor responsible for supporters, using the online form available on the </w:t>
      </w:r>
      <w:hyperlink r:id="rId17" w:history="1">
        <w:r w:rsidR="007A1B59" w:rsidRPr="00F95009">
          <w:rPr>
            <w:rStyle w:val="Hyperlink"/>
          </w:rPr>
          <w:t>department webpage for registered supporters</w:t>
        </w:r>
      </w:hyperlink>
      <w:r w:rsidR="007A1B59">
        <w:t>.</w:t>
      </w:r>
    </w:p>
    <w:p w14:paraId="495B4683" w14:textId="4FFC3BC4" w:rsidR="00AA07EB" w:rsidRDefault="009F316D" w:rsidP="00AA07EB">
      <w:pPr>
        <w:pStyle w:val="Heading4"/>
      </w:pPr>
      <w:r>
        <w:t>Disputing information held by the System Governor</w:t>
      </w:r>
    </w:p>
    <w:p w14:paraId="18180EAD" w14:textId="3E15876A" w:rsidR="00D768EB" w:rsidRDefault="00370535" w:rsidP="00513691">
      <w:r>
        <w:t xml:space="preserve">Any person can provide information that challenges </w:t>
      </w:r>
      <w:r w:rsidR="008A5C42">
        <w:t>information already</w:t>
      </w:r>
      <w:r w:rsidR="00654D2C">
        <w:t xml:space="preserve"> considered or relied upon</w:t>
      </w:r>
      <w:r w:rsidR="008A5C42">
        <w:t xml:space="preserve"> by the System Governor. </w:t>
      </w:r>
      <w:r w:rsidR="00DC374D">
        <w:t xml:space="preserve">This information can </w:t>
      </w:r>
      <w:r w:rsidR="008A5C42">
        <w:t>relat</w:t>
      </w:r>
      <w:r w:rsidR="00DC374D">
        <w:t>e</w:t>
      </w:r>
      <w:r w:rsidR="008A5C42">
        <w:t xml:space="preserve"> to the capacity of a person</w:t>
      </w:r>
      <w:r w:rsidR="00DC374D">
        <w:t xml:space="preserve">, such as legal documentation or medical evidence. </w:t>
      </w:r>
      <w:r w:rsidR="003A5587">
        <w:t xml:space="preserve">For example, a person can provide medical </w:t>
      </w:r>
      <w:r w:rsidR="00361B4D">
        <w:t>and/</w:t>
      </w:r>
      <w:r w:rsidR="003A5587">
        <w:t xml:space="preserve">or legal documentation affirming an older person’s </w:t>
      </w:r>
      <w:r w:rsidR="00751DC1">
        <w:t xml:space="preserve">ability to make all or </w:t>
      </w:r>
      <w:proofErr w:type="gramStart"/>
      <w:r w:rsidR="00751DC1">
        <w:t>particular decisions</w:t>
      </w:r>
      <w:proofErr w:type="gramEnd"/>
      <w:r w:rsidR="003A5587">
        <w:t>, after the System Governor</w:t>
      </w:r>
      <w:r w:rsidR="00751DC1">
        <w:t xml:space="preserve"> has </w:t>
      </w:r>
      <w:r w:rsidR="00361B4D">
        <w:t>formed an opinion</w:t>
      </w:r>
      <w:r w:rsidR="009B7240">
        <w:t xml:space="preserve"> about the person’s capacity based </w:t>
      </w:r>
      <w:r w:rsidR="00BA1607">
        <w:t xml:space="preserve">on </w:t>
      </w:r>
      <w:r w:rsidR="009B7240">
        <w:t>evidence submitted earlier</w:t>
      </w:r>
      <w:r w:rsidR="00FC6ED5">
        <w:t>.</w:t>
      </w:r>
    </w:p>
    <w:p w14:paraId="1CC0E567" w14:textId="2092A47A" w:rsidR="003A5587" w:rsidRPr="00513691" w:rsidRDefault="00AC1E61" w:rsidP="00513691">
      <w:r w:rsidRPr="00513691">
        <w:t xml:space="preserve">If </w:t>
      </w:r>
      <w:r w:rsidR="00847D04" w:rsidRPr="00513691">
        <w:t xml:space="preserve">this new </w:t>
      </w:r>
      <w:r w:rsidR="431012CA" w:rsidRPr="00513691">
        <w:t>documentation</w:t>
      </w:r>
      <w:r w:rsidR="00847D04" w:rsidRPr="00513691">
        <w:t xml:space="preserve"> affects the legal decision-making authority of a supporter guardian</w:t>
      </w:r>
      <w:r w:rsidR="00FC6ED5" w:rsidRPr="00513691">
        <w:t xml:space="preserve">, the provision of this information could lead to </w:t>
      </w:r>
      <w:r w:rsidR="00134BF1" w:rsidRPr="00513691">
        <w:t>the suspension and/or cancellation of their registration as a supporter</w:t>
      </w:r>
      <w:r w:rsidR="00FC6ED5" w:rsidRPr="00513691">
        <w:t xml:space="preserve"> by the System Governor</w:t>
      </w:r>
      <w:r w:rsidR="00134BF1" w:rsidRPr="00513691">
        <w:t>.</w:t>
      </w:r>
    </w:p>
    <w:p w14:paraId="2A3B49B1" w14:textId="5AF8BF1A" w:rsidR="005A1156" w:rsidRPr="00513691" w:rsidRDefault="005A1156" w:rsidP="00513691">
      <w:r w:rsidRPr="00513691">
        <w:t>If a</w:t>
      </w:r>
      <w:r w:rsidR="00AC556D" w:rsidRPr="00513691">
        <w:t xml:space="preserve"> supporter guardian </w:t>
      </w:r>
      <w:r w:rsidRPr="00513691">
        <w:t>had relied on</w:t>
      </w:r>
      <w:r w:rsidR="00AC556D" w:rsidRPr="00513691">
        <w:t xml:space="preserve"> earlier</w:t>
      </w:r>
      <w:r w:rsidRPr="00513691">
        <w:t xml:space="preserve"> evidence to act dishonestly or in bad faith, </w:t>
      </w:r>
      <w:r w:rsidR="00AC556D" w:rsidRPr="00513691">
        <w:t>this</w:t>
      </w:r>
      <w:r w:rsidR="006704A8" w:rsidRPr="00513691">
        <w:t xml:space="preserve"> conduct may </w:t>
      </w:r>
      <w:r w:rsidR="00796037" w:rsidRPr="00513691">
        <w:t xml:space="preserve">also justify the suspension and cancellation of their registration as a </w:t>
      </w:r>
      <w:r w:rsidR="00AC556D" w:rsidRPr="00513691">
        <w:t>supporter and</w:t>
      </w:r>
      <w:r w:rsidR="00796037" w:rsidRPr="00513691">
        <w:t xml:space="preserve"> could </w:t>
      </w:r>
      <w:r w:rsidR="006704A8" w:rsidRPr="00513691">
        <w:t>be considered an offence under the Act. These offences are detailed in the Safeguards from Abuse policy.</w:t>
      </w:r>
    </w:p>
    <w:p w14:paraId="2A7D9C7B" w14:textId="5F8CFF0A" w:rsidR="00134BF1" w:rsidRPr="00513691" w:rsidRDefault="00134BF1" w:rsidP="00513691">
      <w:r w:rsidRPr="00513691">
        <w:t>Each case must be considered on a case-by-case basis. Where there is a dispute relating to the decision-making ability of an older person, the System Governor may refer the matter to the appropriate state and territory authority.</w:t>
      </w:r>
    </w:p>
    <w:p w14:paraId="46F1E4B9" w14:textId="416FC537" w:rsidR="00D919AB" w:rsidRDefault="003339C2" w:rsidP="00513691">
      <w:r w:rsidRPr="00513691">
        <w:t xml:space="preserve">Information relating to </w:t>
      </w:r>
      <w:r w:rsidR="00237FD2" w:rsidRPr="00513691">
        <w:t>an older person’s ability to make a particular decision</w:t>
      </w:r>
      <w:r w:rsidRPr="00513691">
        <w:t xml:space="preserve"> and</w:t>
      </w:r>
      <w:r>
        <w:t xml:space="preserve"> </w:t>
      </w:r>
      <w:r w:rsidR="00237FD2">
        <w:t xml:space="preserve">their </w:t>
      </w:r>
      <w:r>
        <w:t xml:space="preserve">capacity may also be raised as part of a request for internal review of a decision. </w:t>
      </w:r>
      <w:r w:rsidR="00D919AB">
        <w:t xml:space="preserve">For example, if an active, appointed decision maker is registered as a supporter without the consent of an older person, that older person has a right to request an internal review of the decision. As part of making this request, they may provide evidence disputing </w:t>
      </w:r>
      <w:r w:rsidR="007807D6">
        <w:t>the</w:t>
      </w:r>
      <w:r w:rsidR="00D919AB">
        <w:t xml:space="preserve"> information that the System Governor used to make their initial registration decision.</w:t>
      </w:r>
    </w:p>
    <w:p w14:paraId="6587A43E" w14:textId="6F4679D4" w:rsidR="009C0B2E" w:rsidRDefault="009C0B2E" w:rsidP="000D787B">
      <w:pPr>
        <w:pStyle w:val="Heading2"/>
      </w:pPr>
      <w:bookmarkStart w:id="52" w:name="_Toc211959442"/>
      <w:bookmarkStart w:id="53" w:name="_Toc212063444"/>
      <w:r>
        <w:lastRenderedPageBreak/>
        <w:t>Complaints</w:t>
      </w:r>
      <w:bookmarkEnd w:id="52"/>
      <w:bookmarkEnd w:id="53"/>
      <w:r>
        <w:t xml:space="preserve"> </w:t>
      </w:r>
    </w:p>
    <w:p w14:paraId="195F7460" w14:textId="7D96657C" w:rsidR="00CC110B" w:rsidRDefault="00370535" w:rsidP="00513691">
      <w:r>
        <w:t>Any person or organisation can raise a complaint with the System Governor</w:t>
      </w:r>
      <w:r w:rsidR="00D919AB">
        <w:t xml:space="preserve">. This includes complaints about </w:t>
      </w:r>
      <w:r w:rsidR="00CC110B">
        <w:t>the System Governor’s consideration of, and actions relating to, decision-making ability and capacity.</w:t>
      </w:r>
    </w:p>
    <w:p w14:paraId="7869C9FF" w14:textId="0D25FDB6" w:rsidR="009811CC" w:rsidRDefault="009811CC" w:rsidP="00513691">
      <w:r>
        <w:t xml:space="preserve">Complaints can be made by: </w:t>
      </w:r>
    </w:p>
    <w:p w14:paraId="3E5798D4" w14:textId="32DA8439" w:rsidR="009811CC" w:rsidRPr="00513691" w:rsidRDefault="009811CC" w:rsidP="00513691">
      <w:pPr>
        <w:pStyle w:val="ListBullet"/>
      </w:pPr>
      <w:r w:rsidRPr="00513691">
        <w:t xml:space="preserve">Calling My Aged Care on </w:t>
      </w:r>
      <w:r w:rsidR="00FC0EC2" w:rsidRPr="00513691">
        <w:t>1800 200 422</w:t>
      </w:r>
      <w:r w:rsidRPr="00513691">
        <w:t xml:space="preserve"> </w:t>
      </w:r>
      <w:r w:rsidR="00726E96" w:rsidRPr="00513691">
        <w:t xml:space="preserve">or </w:t>
      </w:r>
    </w:p>
    <w:p w14:paraId="01FF0658" w14:textId="1163F549" w:rsidR="00E61094" w:rsidRPr="00513691" w:rsidRDefault="00726E96" w:rsidP="00513691">
      <w:pPr>
        <w:pStyle w:val="ListBullet"/>
      </w:pPr>
      <w:r w:rsidRPr="00513691">
        <w:t>Submitting a complaint directly to the System Governor responsible for supporters.</w:t>
      </w:r>
    </w:p>
    <w:p w14:paraId="27CD07BB" w14:textId="7413C684" w:rsidR="00B241C3" w:rsidRPr="007E0EB6" w:rsidRDefault="00B241C3" w:rsidP="00513691">
      <w:r w:rsidRPr="007E0EB6">
        <w:t xml:space="preserve">The direct complaints pathway </w:t>
      </w:r>
      <w:r w:rsidR="006B1DA0">
        <w:t>to the System Governor responsible for supporters</w:t>
      </w:r>
      <w:r w:rsidR="006B1DA0" w:rsidRPr="007E0EB6">
        <w:t xml:space="preserve"> </w:t>
      </w:r>
      <w:r w:rsidRPr="007E0EB6">
        <w:t xml:space="preserve">is comprised of an online electronic form, accessible on the Department of Health, Disability and Ageing (the department) </w:t>
      </w:r>
      <w:hyperlink r:id="rId18" w:history="1">
        <w:r w:rsidR="00FA5479" w:rsidRPr="00FA5479">
          <w:rPr>
            <w:rStyle w:val="Hyperlink"/>
          </w:rPr>
          <w:t>webpage for registered supporters</w:t>
        </w:r>
      </w:hyperlink>
      <w:r>
        <w:t>,</w:t>
      </w:r>
      <w:r w:rsidRPr="007E0EB6">
        <w:t xml:space="preserve"> that can be completed by any person or body wishing to make a complaint. The online form requires the person or body to detail the complaint and enables them to upload any relevant documents or attachments.</w:t>
      </w:r>
    </w:p>
    <w:p w14:paraId="48DE4588" w14:textId="13C8413C" w:rsidR="00726E96" w:rsidRDefault="00587466" w:rsidP="00513691">
      <w:r>
        <w:t xml:space="preserve">More information on complaint making, including other </w:t>
      </w:r>
      <w:r w:rsidR="0009438E">
        <w:t xml:space="preserve">types of </w:t>
      </w:r>
      <w:r>
        <w:t>complaints</w:t>
      </w:r>
      <w:r w:rsidR="0009438E">
        <w:t xml:space="preserve"> such as</w:t>
      </w:r>
      <w:r w:rsidR="00B241C3">
        <w:t xml:space="preserve"> a person’s engagement or interaction with My Aged Care</w:t>
      </w:r>
      <w:r>
        <w:t xml:space="preserve"> or aged care providers, is available </w:t>
      </w:r>
      <w:r w:rsidR="003E5A82">
        <w:t xml:space="preserve">in the </w:t>
      </w:r>
      <w:r w:rsidR="00312A8A">
        <w:t>C</w:t>
      </w:r>
      <w:r w:rsidR="003E5A82">
        <w:t>omplaints and reviews of decisions policy.</w:t>
      </w:r>
    </w:p>
    <w:p w14:paraId="0228C0CC" w14:textId="1D0E290F" w:rsidR="002E2C12" w:rsidRDefault="002E2C12" w:rsidP="00B70A16">
      <w:pPr>
        <w:pStyle w:val="Heading1"/>
      </w:pPr>
      <w:bookmarkStart w:id="54" w:name="_Toc211959443"/>
      <w:bookmarkStart w:id="55" w:name="_Toc212063445"/>
      <w:r>
        <w:t>Audience</w:t>
      </w:r>
      <w:bookmarkEnd w:id="54"/>
      <w:bookmarkEnd w:id="55"/>
    </w:p>
    <w:p w14:paraId="690A47F0" w14:textId="524132C8" w:rsidR="008472B6" w:rsidRPr="008D4479" w:rsidRDefault="008472B6" w:rsidP="00513691">
      <w:r w:rsidRPr="00BB4A51">
        <w:t xml:space="preserve">This policy applies to </w:t>
      </w:r>
      <w:r w:rsidR="00242B00" w:rsidRPr="008D4479">
        <w:t xml:space="preserve">older people and their </w:t>
      </w:r>
      <w:r w:rsidR="00113970" w:rsidRPr="008D4479">
        <w:t xml:space="preserve">registered </w:t>
      </w:r>
      <w:r w:rsidRPr="008D4479">
        <w:t xml:space="preserve">supporters, including </w:t>
      </w:r>
      <w:r w:rsidR="00113970" w:rsidRPr="008D4479">
        <w:t>registered supporters who are also active, appointed decision makers</w:t>
      </w:r>
      <w:r w:rsidR="006066B9" w:rsidRPr="008D4479">
        <w:t xml:space="preserve"> (</w:t>
      </w:r>
      <w:r w:rsidR="0087238F">
        <w:t>that is</w:t>
      </w:r>
      <w:r w:rsidR="00D43E99">
        <w:t>,</w:t>
      </w:r>
      <w:r w:rsidR="006066B9" w:rsidRPr="008D4479">
        <w:t xml:space="preserve"> supporter guardians)</w:t>
      </w:r>
      <w:r w:rsidRPr="008D4479">
        <w:t>.</w:t>
      </w:r>
    </w:p>
    <w:p w14:paraId="5212C8AF" w14:textId="1AF69A71" w:rsidR="00BB4A51" w:rsidRPr="008D4479" w:rsidRDefault="00BB4A51" w:rsidP="00513691">
      <w:r w:rsidRPr="00BB4A51">
        <w:t xml:space="preserve">This policy is intended for all stakeholders across the aged care system – such as older people and their </w:t>
      </w:r>
      <w:r w:rsidR="00113970" w:rsidRPr="008D4479">
        <w:t xml:space="preserve">registered </w:t>
      </w:r>
      <w:r w:rsidRPr="008D4479">
        <w:t>supporters</w:t>
      </w:r>
      <w:r w:rsidR="001E6FF3">
        <w:t xml:space="preserve"> and appointed decision makers</w:t>
      </w:r>
      <w:r w:rsidRPr="008D4479">
        <w:t>, aged care providers and others who engage with My Aged Care and the broader aged care system.</w:t>
      </w:r>
    </w:p>
    <w:p w14:paraId="5E0E4E48" w14:textId="7840F08E" w:rsidR="002E2C12" w:rsidRDefault="003F2F3C" w:rsidP="00B70A16">
      <w:pPr>
        <w:pStyle w:val="Heading1"/>
      </w:pPr>
      <w:bookmarkStart w:id="56" w:name="_Toc211959444"/>
      <w:bookmarkStart w:id="57" w:name="_Toc212063446"/>
      <w:r>
        <w:t xml:space="preserve">Roles and </w:t>
      </w:r>
      <w:r w:rsidR="002E2C12">
        <w:t>Responsibilities</w:t>
      </w:r>
      <w:bookmarkEnd w:id="56"/>
      <w:bookmarkEnd w:id="57"/>
    </w:p>
    <w:p w14:paraId="61628A5C" w14:textId="047B46C9" w:rsidR="007D73AF" w:rsidRPr="00136F8F" w:rsidRDefault="007D73AF" w:rsidP="00513691">
      <w:r w:rsidRPr="007D73AF">
        <w:t xml:space="preserve">The </w:t>
      </w:r>
      <w:r w:rsidRPr="00513691">
        <w:rPr>
          <w:rStyle w:val="IntenseEmphasis"/>
        </w:rPr>
        <w:t>System Governor</w:t>
      </w:r>
      <w:r w:rsidRPr="007D73AF">
        <w:t xml:space="preserve"> </w:t>
      </w:r>
      <w:r w:rsidR="004F7604">
        <w:t>has many functions under the Act. One of these is responsibility</w:t>
      </w:r>
      <w:r w:rsidRPr="007D73AF">
        <w:t xml:space="preserve"> for</w:t>
      </w:r>
      <w:r w:rsidR="00136F8F">
        <w:t xml:space="preserve"> </w:t>
      </w:r>
      <w:r w:rsidRPr="007D73AF">
        <w:t xml:space="preserve">receiving, assessing, and actioning any requests for the registration </w:t>
      </w:r>
      <w:r w:rsidR="00136F8F">
        <w:t>of supporters</w:t>
      </w:r>
      <w:r w:rsidRPr="007D73AF">
        <w:t xml:space="preserve">. </w:t>
      </w:r>
      <w:r w:rsidR="00136F8F">
        <w:t>If a</w:t>
      </w:r>
      <w:r w:rsidR="00113970">
        <w:t xml:space="preserve"> person </w:t>
      </w:r>
      <w:r w:rsidR="00136F8F">
        <w:t xml:space="preserve">is purporting to act on behalf of an older person, the System Governor is responsible for seeking evidence, as required, to satisfy that the </w:t>
      </w:r>
      <w:r w:rsidR="00113970">
        <w:t xml:space="preserve">person is an active, appointed decision maker and </w:t>
      </w:r>
      <w:r w:rsidR="00136F8F">
        <w:t xml:space="preserve">is acting within the scope of their authority. </w:t>
      </w:r>
      <w:r w:rsidR="007E421D">
        <w:t xml:space="preserve">This may include that the older person does not have capacity for some or all decisions. If the System Governor forms an opinion that an older person does not have capacity for some or all decisions, this can be </w:t>
      </w:r>
      <w:proofErr w:type="gramStart"/>
      <w:r w:rsidR="007E421D">
        <w:t>taken into account</w:t>
      </w:r>
      <w:proofErr w:type="gramEnd"/>
      <w:r w:rsidR="007E421D">
        <w:t xml:space="preserve"> in any engagement with the System Governor; this consideration is not confined to the registration process for supporters. </w:t>
      </w:r>
      <w:r w:rsidR="00C336AD">
        <w:t>The System Governor</w:t>
      </w:r>
      <w:r w:rsidR="00B7659E">
        <w:t xml:space="preserve"> may also </w:t>
      </w:r>
      <w:r w:rsidR="00981FAB">
        <w:t>notify other</w:t>
      </w:r>
      <w:r w:rsidR="0045414A">
        <w:t xml:space="preserve"> bodies or authorities</w:t>
      </w:r>
      <w:r w:rsidR="001D4E08">
        <w:t>, for example,</w:t>
      </w:r>
      <w:r w:rsidR="0045414A">
        <w:t xml:space="preserve"> if </w:t>
      </w:r>
      <w:r w:rsidR="00B7659E">
        <w:t xml:space="preserve">the System Governor </w:t>
      </w:r>
      <w:r w:rsidR="00B7659E" w:rsidRPr="00B7659E">
        <w:t xml:space="preserve">considers the disclosure is necessary to </w:t>
      </w:r>
      <w:r w:rsidR="00ED601B">
        <w:t>mitigate</w:t>
      </w:r>
      <w:r w:rsidR="00ED601B" w:rsidRPr="00B7659E">
        <w:t xml:space="preserve"> </w:t>
      </w:r>
      <w:r w:rsidR="00B7659E" w:rsidRPr="00B7659E">
        <w:t>or prevent a serious threat to the safety, health or wellbeing of an older person</w:t>
      </w:r>
      <w:r w:rsidR="00B7659E">
        <w:t>.</w:t>
      </w:r>
    </w:p>
    <w:p w14:paraId="1C62CF74" w14:textId="00C8EF8F" w:rsidR="007D73AF" w:rsidRPr="007D73AF" w:rsidRDefault="00EF1C7E" w:rsidP="00513691">
      <w:r w:rsidRPr="00513691">
        <w:rPr>
          <w:rStyle w:val="IntenseEmphasis"/>
        </w:rPr>
        <w:t>Registered s</w:t>
      </w:r>
      <w:r w:rsidR="007D73AF" w:rsidRPr="00513691">
        <w:rPr>
          <w:rStyle w:val="IntenseEmphasis"/>
        </w:rPr>
        <w:t>upporters</w:t>
      </w:r>
      <w:r w:rsidR="007D73AF" w:rsidRPr="007D73AF">
        <w:t xml:space="preserve"> are responsible for understanding their role and duties.</w:t>
      </w:r>
      <w:r w:rsidR="00136F8F">
        <w:t xml:space="preserve"> </w:t>
      </w:r>
      <w:r w:rsidR="005771DB" w:rsidRPr="00513691">
        <w:rPr>
          <w:rStyle w:val="Strong"/>
        </w:rPr>
        <w:t>Supporter guardians</w:t>
      </w:r>
      <w:r w:rsidR="005771DB">
        <w:t xml:space="preserve"> may also have additional responsibilities under the Commonwealth, state or territory legal arrangement </w:t>
      </w:r>
      <w:r w:rsidR="00954AA1">
        <w:t>that</w:t>
      </w:r>
      <w:r w:rsidR="005771DB">
        <w:t xml:space="preserve"> they have relied on to become registered as a supporter guardian.</w:t>
      </w:r>
    </w:p>
    <w:p w14:paraId="15BD5B6D" w14:textId="34A4FE7D" w:rsidR="007D73AF" w:rsidRPr="007D73AF" w:rsidRDefault="007D73AF" w:rsidP="00513691">
      <w:r w:rsidRPr="00513691">
        <w:rPr>
          <w:rStyle w:val="IntenseEmphasis"/>
        </w:rPr>
        <w:lastRenderedPageBreak/>
        <w:t>Older people</w:t>
      </w:r>
      <w:r w:rsidRPr="007D73AF">
        <w:t xml:space="preserve"> are responsible for communicating with their </w:t>
      </w:r>
      <w:r w:rsidR="00962A3B">
        <w:t xml:space="preserve">registered </w:t>
      </w:r>
      <w:r w:rsidRPr="007D73AF">
        <w:t xml:space="preserve">supporters and directing them to act </w:t>
      </w:r>
      <w:r w:rsidR="00A7467D">
        <w:t>as they wish</w:t>
      </w:r>
      <w:r w:rsidRPr="007D73AF">
        <w:t xml:space="preserve">. </w:t>
      </w:r>
      <w:r w:rsidR="00291CAD">
        <w:t xml:space="preserve">Older people are also </w:t>
      </w:r>
      <w:r w:rsidR="00316182">
        <w:t>able to stay connected to their d</w:t>
      </w:r>
      <w:r w:rsidR="00291CAD">
        <w:t>ecision</w:t>
      </w:r>
      <w:r w:rsidR="00316182">
        <w:t>-making</w:t>
      </w:r>
      <w:r w:rsidR="00291CAD">
        <w:t xml:space="preserve">, </w:t>
      </w:r>
      <w:r w:rsidR="00D5329F">
        <w:t>if they choose to, for</w:t>
      </w:r>
      <w:r w:rsidR="00316182">
        <w:t xml:space="preserve"> as long as possible.</w:t>
      </w:r>
      <w:r w:rsidR="00D5329F">
        <w:t xml:space="preserve"> </w:t>
      </w:r>
      <w:r w:rsidRPr="007D73AF">
        <w:t xml:space="preserve">If an older person is </w:t>
      </w:r>
      <w:r w:rsidR="00EF7175">
        <w:t>not satisfied</w:t>
      </w:r>
      <w:r w:rsidR="00EF7175" w:rsidRPr="007D73AF">
        <w:t xml:space="preserve"> </w:t>
      </w:r>
      <w:r w:rsidRPr="007D73AF">
        <w:t xml:space="preserve">with the actions of their </w:t>
      </w:r>
      <w:r w:rsidR="00A7467D">
        <w:t xml:space="preserve">registered </w:t>
      </w:r>
      <w:r w:rsidRPr="007D73AF">
        <w:t xml:space="preserve">supporter and consider </w:t>
      </w:r>
      <w:r w:rsidR="00EF7175">
        <w:t>that their registered supporter has not</w:t>
      </w:r>
      <w:r w:rsidRPr="007D73AF">
        <w:t xml:space="preserve"> or cannot comply with their duties, they should raise this with the</w:t>
      </w:r>
      <w:r w:rsidR="00A7467D">
        <w:t xml:space="preserve"> registered</w:t>
      </w:r>
      <w:r w:rsidRPr="007D73AF">
        <w:t xml:space="preserve"> supporter. If they cannot agree on a pathway forward, the older person can escalate a concern, complaint, or request to cancel the supporter’s registration with the System Governor.</w:t>
      </w:r>
    </w:p>
    <w:p w14:paraId="49A35D5B" w14:textId="4EA4ED0E" w:rsidR="00C33D2D" w:rsidRDefault="007D73AF" w:rsidP="00513691">
      <w:r w:rsidRPr="00513691">
        <w:rPr>
          <w:rStyle w:val="IntenseEmphasis"/>
        </w:rPr>
        <w:t>Aged care providers and workers</w:t>
      </w:r>
      <w:r w:rsidRPr="007D73AF">
        <w:t xml:space="preserve"> are responsible for upholding their obligations under the Act and have broader responsibilities relating to safeguarding the welfare of older people that they provide aged care services to</w:t>
      </w:r>
      <w:r w:rsidR="00361CEA">
        <w:t xml:space="preserve">, including against the actions of registered supporters and </w:t>
      </w:r>
      <w:r w:rsidR="00C83A6B">
        <w:t xml:space="preserve">active, </w:t>
      </w:r>
      <w:r w:rsidR="00361CEA">
        <w:t>appointed decision makers</w:t>
      </w:r>
      <w:r w:rsidR="003B40FB">
        <w:t>.</w:t>
      </w:r>
    </w:p>
    <w:p w14:paraId="1B4235DA" w14:textId="48DD62FE" w:rsidR="002E2C12" w:rsidRDefault="002E2C12" w:rsidP="002E2C12">
      <w:pPr>
        <w:pStyle w:val="Heading1"/>
      </w:pPr>
      <w:bookmarkStart w:id="58" w:name="_Toc211959445"/>
      <w:bookmarkStart w:id="59" w:name="_Toc212063447"/>
      <w:r>
        <w:t>Contact</w:t>
      </w:r>
      <w:bookmarkEnd w:id="58"/>
      <w:bookmarkEnd w:id="59"/>
    </w:p>
    <w:p w14:paraId="0DE584D3" w14:textId="12D88FAB" w:rsidR="00BB4A51" w:rsidRPr="00BB4A51" w:rsidRDefault="00BB4A51" w:rsidP="00513691">
      <w:r w:rsidRPr="00BB4A51">
        <w:t>For any further information on this policy, please contact:</w:t>
      </w:r>
    </w:p>
    <w:p w14:paraId="39254BAC" w14:textId="3E6BB853" w:rsidR="00BB4A51" w:rsidRPr="00513691" w:rsidRDefault="00BB4A51" w:rsidP="00513691">
      <w:r w:rsidRPr="00BB4A51">
        <w:t>Supported Decision-Making Section</w:t>
      </w:r>
    </w:p>
    <w:p w14:paraId="562993BA" w14:textId="40457E45" w:rsidR="00C33D2D" w:rsidRPr="00513691" w:rsidRDefault="00BB4A51" w:rsidP="00513691">
      <w:r w:rsidRPr="00513691">
        <w:rPr>
          <w:rStyle w:val="Strong"/>
        </w:rPr>
        <w:t>Email:</w:t>
      </w:r>
      <w:r w:rsidRPr="00BB4A51">
        <w:t xml:space="preserve"> SupportedDecisionMaking@</w:t>
      </w:r>
      <w:r w:rsidRPr="00513691">
        <w:t>Health.gov.au</w:t>
      </w:r>
    </w:p>
    <w:p w14:paraId="7B83D67F" w14:textId="77777777" w:rsidR="00B90D0F" w:rsidRPr="002E2C12" w:rsidRDefault="00B90D0F" w:rsidP="00B70A16">
      <w:pPr>
        <w:pStyle w:val="Heading1"/>
      </w:pPr>
      <w:bookmarkStart w:id="60" w:name="_Toc211959446"/>
      <w:bookmarkStart w:id="61" w:name="_Toc212063448"/>
      <w:r w:rsidRPr="002E2C12">
        <w:t>Definitions</w:t>
      </w:r>
      <w:bookmarkEnd w:id="60"/>
      <w:bookmarkEnd w:id="61"/>
    </w:p>
    <w:p w14:paraId="0BC8AEE4" w14:textId="55EC97C2" w:rsidR="00B90D0F" w:rsidRPr="0008230E" w:rsidRDefault="00B90D0F" w:rsidP="00513691">
      <w:r w:rsidRPr="000A0E28">
        <w:t xml:space="preserve">To </w:t>
      </w:r>
      <w:r w:rsidRPr="008D4479">
        <w:t xml:space="preserve">learn more about some of the terms used in this policy, and across the Policy Library for registered supporters, please go to the </w:t>
      </w:r>
      <w:hyperlink r:id="rId19" w:history="1">
        <w:r w:rsidRPr="00592F97">
          <w:rPr>
            <w:rStyle w:val="Hyperlink"/>
          </w:rPr>
          <w:t>Glossary</w:t>
        </w:r>
      </w:hyperlink>
      <w:r w:rsidRPr="008D4479">
        <w:t>.</w:t>
      </w:r>
    </w:p>
    <w:p w14:paraId="2C568367" w14:textId="77777777" w:rsidR="00C33D2D" w:rsidRPr="00513691" w:rsidRDefault="00C33D2D" w:rsidP="00B70A16">
      <w:pPr>
        <w:pStyle w:val="Heading1"/>
      </w:pPr>
      <w:bookmarkStart w:id="62" w:name="_Toc211959447"/>
      <w:bookmarkStart w:id="63" w:name="_Toc212063449"/>
      <w:r w:rsidRPr="002E2C12">
        <w:t xml:space="preserve">Related </w:t>
      </w:r>
      <w:r>
        <w:t>legislation</w:t>
      </w:r>
      <w:bookmarkEnd w:id="62"/>
      <w:bookmarkEnd w:id="63"/>
    </w:p>
    <w:p w14:paraId="58380158" w14:textId="16005F48" w:rsidR="009040E9" w:rsidRPr="00513691" w:rsidRDefault="00810D0C" w:rsidP="00513691">
      <w:hyperlink r:id="rId20" w:history="1">
        <w:r w:rsidRPr="00513691">
          <w:rPr>
            <w:rStyle w:val="Hyperlink"/>
          </w:rPr>
          <w:t>Aged Care Act 2024 (</w:t>
        </w:r>
        <w:proofErr w:type="spellStart"/>
        <w:r w:rsidRPr="00513691">
          <w:rPr>
            <w:rStyle w:val="Hyperlink"/>
          </w:rPr>
          <w:t>Cth</w:t>
        </w:r>
        <w:proofErr w:type="spellEnd"/>
        <w:r w:rsidRPr="00513691">
          <w:rPr>
            <w:rStyle w:val="Hyperlink"/>
          </w:rPr>
          <w:t>)</w:t>
        </w:r>
      </w:hyperlink>
    </w:p>
    <w:sectPr w:rsidR="009040E9" w:rsidRPr="00513691" w:rsidSect="00B5398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1E6F" w14:textId="77777777" w:rsidR="00B51574" w:rsidRDefault="00B51574" w:rsidP="00513691">
      <w:r>
        <w:separator/>
      </w:r>
    </w:p>
    <w:p w14:paraId="5FCA3E1F" w14:textId="77777777" w:rsidR="00B51574" w:rsidRDefault="00B51574" w:rsidP="00513691"/>
  </w:endnote>
  <w:endnote w:type="continuationSeparator" w:id="0">
    <w:p w14:paraId="533DAC71" w14:textId="77777777" w:rsidR="00B51574" w:rsidRDefault="00B51574" w:rsidP="00513691">
      <w:r>
        <w:continuationSeparator/>
      </w:r>
    </w:p>
    <w:p w14:paraId="000D44E5" w14:textId="77777777" w:rsidR="00B51574" w:rsidRDefault="00B51574" w:rsidP="00513691"/>
  </w:endnote>
  <w:endnote w:type="continuationNotice" w:id="1">
    <w:p w14:paraId="0637F7E5" w14:textId="77777777" w:rsidR="00B51574" w:rsidRDefault="00B51574" w:rsidP="00513691"/>
  </w:endnote>
  <w:endnote w:id="2">
    <w:p w14:paraId="79301FB2" w14:textId="1C1DD709" w:rsidR="00F820E2" w:rsidRDefault="00F820E2" w:rsidP="00F820E2">
      <w:pPr>
        <w:pStyle w:val="FootnoteText"/>
      </w:pPr>
      <w:r>
        <w:rPr>
          <w:rStyle w:val="EndnoteReference"/>
        </w:rPr>
        <w:endnoteRef/>
      </w:r>
      <w:r>
        <w:t xml:space="preserve"> </w:t>
      </w:r>
      <w:r w:rsidRPr="6B67CF43">
        <w:rPr>
          <w:i/>
          <w:iCs/>
        </w:rPr>
        <w:t>Powers of Attorney Act 2014 (Vic</w:t>
      </w:r>
      <w:r>
        <w:rPr>
          <w:i/>
          <w:iCs/>
        </w:rPr>
        <w:t>)</w:t>
      </w:r>
      <w:r>
        <w:t xml:space="preserve">, s 4. Other state and territory enduring guardianship and attorney laws contain similar definitions. </w:t>
      </w:r>
    </w:p>
  </w:endnote>
  <w:endnote w:id="3">
    <w:p w14:paraId="463CD950" w14:textId="77777777" w:rsidR="00F820E2" w:rsidRDefault="00F820E2" w:rsidP="00513691">
      <w:pPr>
        <w:pStyle w:val="EndnoteText"/>
      </w:pPr>
      <w:r>
        <w:rPr>
          <w:rStyle w:val="EndnoteReference"/>
        </w:rPr>
        <w:endnoteRef/>
      </w:r>
      <w:r>
        <w:t xml:space="preserve"> Ibid.</w:t>
      </w:r>
    </w:p>
  </w:endnote>
  <w:endnote w:id="4">
    <w:p w14:paraId="2769B066" w14:textId="7B101514" w:rsidR="00F820E2" w:rsidRDefault="00F820E2" w:rsidP="00513691">
      <w:r>
        <w:rPr>
          <w:rStyle w:val="EndnoteReference"/>
        </w:rPr>
        <w:endnoteRef/>
      </w:r>
      <w:r>
        <w:t xml:space="preserve"> </w:t>
      </w:r>
      <w:r w:rsidRPr="00E7411C">
        <w:rPr>
          <w:i/>
        </w:rPr>
        <w:t>Powers of Attorney Act 2006 (ACT)</w:t>
      </w:r>
      <w:r w:rsidRPr="00E7411C">
        <w:t>, s 91. Other state and territory enduring guardianship and attorney laws may contain similar lists.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5673" w14:textId="10E766A7" w:rsidR="00387254" w:rsidRDefault="004B68BA">
    <w:pPr>
      <w:pStyle w:val="Footer"/>
    </w:pPr>
    <w:r>
      <w:rPr>
        <w:noProof/>
      </w:rPr>
      <mc:AlternateContent>
        <mc:Choice Requires="wps">
          <w:drawing>
            <wp:anchor distT="0" distB="0" distL="0" distR="0" simplePos="0" relativeHeight="251663368" behindDoc="0" locked="0" layoutInCell="1" allowOverlap="1" wp14:anchorId="1859D675" wp14:editId="141F958C">
              <wp:simplePos x="635" y="635"/>
              <wp:positionH relativeFrom="page">
                <wp:align>center</wp:align>
              </wp:positionH>
              <wp:positionV relativeFrom="page">
                <wp:align>bottom</wp:align>
              </wp:positionV>
              <wp:extent cx="551815" cy="480695"/>
              <wp:effectExtent l="0" t="0" r="635" b="0"/>
              <wp:wrapNone/>
              <wp:docPr id="8077997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03A040B" w14:textId="1CB9E30E" w:rsidR="004B68BA" w:rsidRPr="004B68BA" w:rsidRDefault="004B68BA" w:rsidP="00513691">
                          <w:pPr>
                            <w:rPr>
                              <w:noProof/>
                            </w:rPr>
                          </w:pPr>
                          <w:r w:rsidRPr="004B68BA">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9D675"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103A040B" w14:textId="1CB9E30E" w:rsidR="004B68BA" w:rsidRPr="004B68BA" w:rsidRDefault="004B68BA" w:rsidP="00513691">
                    <w:pPr>
                      <w:rPr>
                        <w:noProof/>
                      </w:rPr>
                    </w:pPr>
                    <w:r w:rsidRPr="004B68BA">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74AFC7D5" w:rsidR="00B53987" w:rsidRDefault="008A3018" w:rsidP="00B53987">
    <w:pPr>
      <w:pStyle w:val="Footer"/>
    </w:pPr>
    <w:r>
      <w:t xml:space="preserve">Department of Health, Disability and Ageing </w:t>
    </w:r>
    <w:r w:rsidR="00B53987">
      <w:t xml:space="preserve">– </w:t>
    </w:r>
    <w:r w:rsidR="009D16DA">
      <w:t>Capacity</w:t>
    </w:r>
    <w:r w:rsidR="00C47DB6">
      <w:t xml:space="preserve"> </w:t>
    </w:r>
    <w:r w:rsidR="004D073E">
      <w:t>P</w:t>
    </w:r>
    <w:r w:rsidR="009D16DA">
      <w:t>olicy</w:t>
    </w:r>
    <w:r w:rsidR="00203C90">
      <w:t xml:space="preserve"> V.1</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07D46E8E" w:rsidR="00B53987" w:rsidRDefault="008A3018" w:rsidP="00B53987">
    <w:pPr>
      <w:pStyle w:val="Footer"/>
    </w:pPr>
    <w:r>
      <w:t xml:space="preserve">Department of Health, Disability and Ageing </w:t>
    </w:r>
    <w:r w:rsidR="00B53987">
      <w:t xml:space="preserve">– </w:t>
    </w:r>
    <w:r w:rsidR="0015234B">
      <w:t xml:space="preserve">Capacity </w:t>
    </w:r>
    <w:r w:rsidR="004D073E">
      <w:t>P</w:t>
    </w:r>
    <w:r w:rsidR="0015234B">
      <w:t>olicy</w:t>
    </w:r>
    <w:r w:rsidR="00203C90">
      <w:t xml:space="preserve"> V.1</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90A2" w14:textId="77777777" w:rsidR="00B51574" w:rsidRDefault="00B51574" w:rsidP="00513691">
      <w:r>
        <w:separator/>
      </w:r>
    </w:p>
    <w:p w14:paraId="2C93654E" w14:textId="77777777" w:rsidR="00B51574" w:rsidRDefault="00B51574" w:rsidP="00513691"/>
  </w:footnote>
  <w:footnote w:type="continuationSeparator" w:id="0">
    <w:p w14:paraId="3F0AD577" w14:textId="77777777" w:rsidR="00B51574" w:rsidRDefault="00B51574" w:rsidP="00513691">
      <w:r>
        <w:continuationSeparator/>
      </w:r>
    </w:p>
    <w:p w14:paraId="1DAC183D" w14:textId="77777777" w:rsidR="00B51574" w:rsidRDefault="00B51574" w:rsidP="00513691"/>
  </w:footnote>
  <w:footnote w:type="continuationNotice" w:id="1">
    <w:p w14:paraId="75338B16" w14:textId="77777777" w:rsidR="00B51574" w:rsidRDefault="00B51574" w:rsidP="00513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1801" w14:textId="3B1BBD9D" w:rsidR="00387254" w:rsidRDefault="004B68BA">
    <w:pPr>
      <w:pStyle w:val="Header"/>
    </w:pPr>
    <w:r>
      <w:rPr>
        <w:noProof/>
      </w:rPr>
      <mc:AlternateContent>
        <mc:Choice Requires="wps">
          <w:drawing>
            <wp:anchor distT="0" distB="0" distL="0" distR="0" simplePos="0" relativeHeight="251660296" behindDoc="0" locked="0" layoutInCell="1" allowOverlap="1" wp14:anchorId="32460D8C" wp14:editId="61E04A58">
              <wp:simplePos x="635" y="635"/>
              <wp:positionH relativeFrom="page">
                <wp:align>center</wp:align>
              </wp:positionH>
              <wp:positionV relativeFrom="page">
                <wp:align>top</wp:align>
              </wp:positionV>
              <wp:extent cx="551815" cy="480695"/>
              <wp:effectExtent l="0" t="0" r="635" b="14605"/>
              <wp:wrapNone/>
              <wp:docPr id="17787337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DB6F264" w14:textId="4E7DC6E9" w:rsidR="004B68BA" w:rsidRPr="004B68BA" w:rsidRDefault="004B68BA" w:rsidP="00513691">
                          <w:pPr>
                            <w:rPr>
                              <w:noProof/>
                            </w:rPr>
                          </w:pPr>
                          <w:r w:rsidRPr="004B68BA">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60D8C"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DB6F264" w14:textId="4E7DC6E9" w:rsidR="004B68BA" w:rsidRPr="004B68BA" w:rsidRDefault="004B68BA" w:rsidP="00513691">
                    <w:pPr>
                      <w:rPr>
                        <w:noProof/>
                      </w:rPr>
                    </w:pPr>
                    <w:r w:rsidRPr="004B68BA">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67D2D46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10D637F3" w:rsidR="00B53987" w:rsidRDefault="0041688F">
    <w:pPr>
      <w:pStyle w:val="Header"/>
    </w:pPr>
    <w:r>
      <w:rPr>
        <w:noProof/>
      </w:rPr>
      <w:drawing>
        <wp:inline distT="0" distB="0" distL="0" distR="0" wp14:anchorId="0C364331" wp14:editId="052D0ECB">
          <wp:extent cx="5759450" cy="941705"/>
          <wp:effectExtent l="0" t="0" r="0" b="0"/>
          <wp:docPr id="169113250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1E055E"/>
    <w:lvl w:ilvl="0">
      <w:start w:val="1"/>
      <w:numFmt w:val="bullet"/>
      <w:pStyle w:val="ListBullet3"/>
      <w:lvlText w:val=""/>
      <w:lvlJc w:val="left"/>
      <w:pPr>
        <w:ind w:left="926" w:hanging="360"/>
      </w:pPr>
      <w:rPr>
        <w:rFonts w:ascii="Wingdings" w:hAnsi="Wingdings" w:cs="Wingdings" w:hint="default"/>
        <w:sz w:val="22"/>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A840EF"/>
    <w:multiLevelType w:val="hybridMultilevel"/>
    <w:tmpl w:val="9616355A"/>
    <w:lvl w:ilvl="0" w:tplc="46BABE24">
      <w:start w:val="1"/>
      <w:numFmt w:val="bullet"/>
      <w:lvlText w:val=""/>
      <w:lvlJc w:val="left"/>
      <w:pPr>
        <w:ind w:left="720" w:hanging="360"/>
      </w:pPr>
      <w:rPr>
        <w:rFonts w:ascii="Symbol" w:hAnsi="Symbol"/>
      </w:rPr>
    </w:lvl>
    <w:lvl w:ilvl="1" w:tplc="F61E7138">
      <w:start w:val="1"/>
      <w:numFmt w:val="bullet"/>
      <w:lvlText w:val=""/>
      <w:lvlJc w:val="left"/>
      <w:pPr>
        <w:ind w:left="720" w:hanging="360"/>
      </w:pPr>
      <w:rPr>
        <w:rFonts w:ascii="Symbol" w:hAnsi="Symbol"/>
      </w:rPr>
    </w:lvl>
    <w:lvl w:ilvl="2" w:tplc="CBAC022A">
      <w:start w:val="1"/>
      <w:numFmt w:val="bullet"/>
      <w:lvlText w:val=""/>
      <w:lvlJc w:val="left"/>
      <w:pPr>
        <w:ind w:left="720" w:hanging="360"/>
      </w:pPr>
      <w:rPr>
        <w:rFonts w:ascii="Symbol" w:hAnsi="Symbol"/>
      </w:rPr>
    </w:lvl>
    <w:lvl w:ilvl="3" w:tplc="41DE609C">
      <w:start w:val="1"/>
      <w:numFmt w:val="bullet"/>
      <w:lvlText w:val=""/>
      <w:lvlJc w:val="left"/>
      <w:pPr>
        <w:ind w:left="720" w:hanging="360"/>
      </w:pPr>
      <w:rPr>
        <w:rFonts w:ascii="Symbol" w:hAnsi="Symbol"/>
      </w:rPr>
    </w:lvl>
    <w:lvl w:ilvl="4" w:tplc="9ACE5A8C">
      <w:start w:val="1"/>
      <w:numFmt w:val="bullet"/>
      <w:lvlText w:val=""/>
      <w:lvlJc w:val="left"/>
      <w:pPr>
        <w:ind w:left="720" w:hanging="360"/>
      </w:pPr>
      <w:rPr>
        <w:rFonts w:ascii="Symbol" w:hAnsi="Symbol"/>
      </w:rPr>
    </w:lvl>
    <w:lvl w:ilvl="5" w:tplc="1CD0AC1C">
      <w:start w:val="1"/>
      <w:numFmt w:val="bullet"/>
      <w:lvlText w:val=""/>
      <w:lvlJc w:val="left"/>
      <w:pPr>
        <w:ind w:left="720" w:hanging="360"/>
      </w:pPr>
      <w:rPr>
        <w:rFonts w:ascii="Symbol" w:hAnsi="Symbol"/>
      </w:rPr>
    </w:lvl>
    <w:lvl w:ilvl="6" w:tplc="35684CDC">
      <w:start w:val="1"/>
      <w:numFmt w:val="bullet"/>
      <w:lvlText w:val=""/>
      <w:lvlJc w:val="left"/>
      <w:pPr>
        <w:ind w:left="720" w:hanging="360"/>
      </w:pPr>
      <w:rPr>
        <w:rFonts w:ascii="Symbol" w:hAnsi="Symbol"/>
      </w:rPr>
    </w:lvl>
    <w:lvl w:ilvl="7" w:tplc="F71210DE">
      <w:start w:val="1"/>
      <w:numFmt w:val="bullet"/>
      <w:lvlText w:val=""/>
      <w:lvlJc w:val="left"/>
      <w:pPr>
        <w:ind w:left="720" w:hanging="360"/>
      </w:pPr>
      <w:rPr>
        <w:rFonts w:ascii="Symbol" w:hAnsi="Symbol"/>
      </w:rPr>
    </w:lvl>
    <w:lvl w:ilvl="8" w:tplc="7FD0D398">
      <w:start w:val="1"/>
      <w:numFmt w:val="bullet"/>
      <w:lvlText w:val=""/>
      <w:lvlJc w:val="left"/>
      <w:pPr>
        <w:ind w:left="720" w:hanging="360"/>
      </w:pPr>
      <w:rPr>
        <w:rFonts w:ascii="Symbol" w:hAnsi="Symbol"/>
      </w:rPr>
    </w:lvl>
  </w:abstractNum>
  <w:abstractNum w:abstractNumId="10" w15:restartNumberingAfterBreak="0">
    <w:nsid w:val="04ED3AF4"/>
    <w:multiLevelType w:val="hybridMultilevel"/>
    <w:tmpl w:val="8C08865E"/>
    <w:lvl w:ilvl="0" w:tplc="C93EDF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5D79B3"/>
    <w:multiLevelType w:val="hybridMultilevel"/>
    <w:tmpl w:val="3F109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17781"/>
    <w:multiLevelType w:val="hybridMultilevel"/>
    <w:tmpl w:val="DE76D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AC3ECF"/>
    <w:multiLevelType w:val="multilevel"/>
    <w:tmpl w:val="913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926BF1"/>
    <w:multiLevelType w:val="hybridMultilevel"/>
    <w:tmpl w:val="AA6CA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4E7FFE"/>
    <w:multiLevelType w:val="hybridMultilevel"/>
    <w:tmpl w:val="14CE7DAE"/>
    <w:lvl w:ilvl="0" w:tplc="E0A26080">
      <w:start w:val="1"/>
      <w:numFmt w:val="bullet"/>
      <w:lvlText w:val=""/>
      <w:lvlJc w:val="left"/>
      <w:pPr>
        <w:ind w:left="1440" w:hanging="360"/>
      </w:pPr>
      <w:rPr>
        <w:rFonts w:ascii="Symbol" w:hAnsi="Symbol"/>
      </w:rPr>
    </w:lvl>
    <w:lvl w:ilvl="1" w:tplc="AC583FAE">
      <w:start w:val="1"/>
      <w:numFmt w:val="bullet"/>
      <w:lvlText w:val=""/>
      <w:lvlJc w:val="left"/>
      <w:pPr>
        <w:ind w:left="1440" w:hanging="360"/>
      </w:pPr>
      <w:rPr>
        <w:rFonts w:ascii="Symbol" w:hAnsi="Symbol"/>
      </w:rPr>
    </w:lvl>
    <w:lvl w:ilvl="2" w:tplc="67047744">
      <w:start w:val="1"/>
      <w:numFmt w:val="bullet"/>
      <w:lvlText w:val=""/>
      <w:lvlJc w:val="left"/>
      <w:pPr>
        <w:ind w:left="1440" w:hanging="360"/>
      </w:pPr>
      <w:rPr>
        <w:rFonts w:ascii="Symbol" w:hAnsi="Symbol"/>
      </w:rPr>
    </w:lvl>
    <w:lvl w:ilvl="3" w:tplc="D13C6AA4">
      <w:start w:val="1"/>
      <w:numFmt w:val="bullet"/>
      <w:lvlText w:val=""/>
      <w:lvlJc w:val="left"/>
      <w:pPr>
        <w:ind w:left="1440" w:hanging="360"/>
      </w:pPr>
      <w:rPr>
        <w:rFonts w:ascii="Symbol" w:hAnsi="Symbol"/>
      </w:rPr>
    </w:lvl>
    <w:lvl w:ilvl="4" w:tplc="8056C9F0">
      <w:start w:val="1"/>
      <w:numFmt w:val="bullet"/>
      <w:lvlText w:val=""/>
      <w:lvlJc w:val="left"/>
      <w:pPr>
        <w:ind w:left="1440" w:hanging="360"/>
      </w:pPr>
      <w:rPr>
        <w:rFonts w:ascii="Symbol" w:hAnsi="Symbol"/>
      </w:rPr>
    </w:lvl>
    <w:lvl w:ilvl="5" w:tplc="96E0A7FE">
      <w:start w:val="1"/>
      <w:numFmt w:val="bullet"/>
      <w:lvlText w:val=""/>
      <w:lvlJc w:val="left"/>
      <w:pPr>
        <w:ind w:left="1440" w:hanging="360"/>
      </w:pPr>
      <w:rPr>
        <w:rFonts w:ascii="Symbol" w:hAnsi="Symbol"/>
      </w:rPr>
    </w:lvl>
    <w:lvl w:ilvl="6" w:tplc="3ACAB68E">
      <w:start w:val="1"/>
      <w:numFmt w:val="bullet"/>
      <w:lvlText w:val=""/>
      <w:lvlJc w:val="left"/>
      <w:pPr>
        <w:ind w:left="1440" w:hanging="360"/>
      </w:pPr>
      <w:rPr>
        <w:rFonts w:ascii="Symbol" w:hAnsi="Symbol"/>
      </w:rPr>
    </w:lvl>
    <w:lvl w:ilvl="7" w:tplc="E93C470E">
      <w:start w:val="1"/>
      <w:numFmt w:val="bullet"/>
      <w:lvlText w:val=""/>
      <w:lvlJc w:val="left"/>
      <w:pPr>
        <w:ind w:left="1440" w:hanging="360"/>
      </w:pPr>
      <w:rPr>
        <w:rFonts w:ascii="Symbol" w:hAnsi="Symbol"/>
      </w:rPr>
    </w:lvl>
    <w:lvl w:ilvl="8" w:tplc="72D01554">
      <w:start w:val="1"/>
      <w:numFmt w:val="bullet"/>
      <w:lvlText w:val=""/>
      <w:lvlJc w:val="left"/>
      <w:pPr>
        <w:ind w:left="1440" w:hanging="360"/>
      </w:pPr>
      <w:rPr>
        <w:rFonts w:ascii="Symbol" w:hAnsi="Symbol"/>
      </w:rPr>
    </w:lvl>
  </w:abstractNum>
  <w:abstractNum w:abstractNumId="17" w15:restartNumberingAfterBreak="0">
    <w:nsid w:val="128D4F76"/>
    <w:multiLevelType w:val="multilevel"/>
    <w:tmpl w:val="74E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1D652D"/>
    <w:multiLevelType w:val="multilevel"/>
    <w:tmpl w:val="64C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982D42"/>
    <w:multiLevelType w:val="hybridMultilevel"/>
    <w:tmpl w:val="0A12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4207FC"/>
    <w:multiLevelType w:val="hybridMultilevel"/>
    <w:tmpl w:val="EFA06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085C8C"/>
    <w:multiLevelType w:val="hybridMultilevel"/>
    <w:tmpl w:val="41EC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E8523A"/>
    <w:multiLevelType w:val="multilevel"/>
    <w:tmpl w:val="7412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725D2A"/>
    <w:multiLevelType w:val="multilevel"/>
    <w:tmpl w:val="DD5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7339D4"/>
    <w:multiLevelType w:val="multilevel"/>
    <w:tmpl w:val="971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0328FE"/>
    <w:multiLevelType w:val="hybridMultilevel"/>
    <w:tmpl w:val="A4F49A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35FA76F0"/>
    <w:multiLevelType w:val="multilevel"/>
    <w:tmpl w:val="6F4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D2610E"/>
    <w:multiLevelType w:val="hybridMultilevel"/>
    <w:tmpl w:val="39526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85C6EEC"/>
    <w:multiLevelType w:val="hybridMultilevel"/>
    <w:tmpl w:val="6B286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45F620A7"/>
    <w:multiLevelType w:val="hybridMultilevel"/>
    <w:tmpl w:val="A5EAB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917292D"/>
    <w:multiLevelType w:val="hybridMultilevel"/>
    <w:tmpl w:val="CA4A2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BA11AB8"/>
    <w:multiLevelType w:val="hybridMultilevel"/>
    <w:tmpl w:val="78105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5A55D9"/>
    <w:multiLevelType w:val="multilevel"/>
    <w:tmpl w:val="C69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6300A4"/>
    <w:multiLevelType w:val="hybridMultilevel"/>
    <w:tmpl w:val="6B062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2747918"/>
    <w:multiLevelType w:val="hybridMultilevel"/>
    <w:tmpl w:val="CD2456B4"/>
    <w:lvl w:ilvl="0" w:tplc="B2201C66">
      <w:start w:val="1"/>
      <w:numFmt w:val="bullet"/>
      <w:lvlText w:val=""/>
      <w:lvlJc w:val="left"/>
      <w:pPr>
        <w:ind w:left="1440" w:hanging="360"/>
      </w:pPr>
      <w:rPr>
        <w:rFonts w:ascii="Symbol" w:hAnsi="Symbol"/>
      </w:rPr>
    </w:lvl>
    <w:lvl w:ilvl="1" w:tplc="FE56CD98">
      <w:start w:val="1"/>
      <w:numFmt w:val="bullet"/>
      <w:lvlText w:val=""/>
      <w:lvlJc w:val="left"/>
      <w:pPr>
        <w:ind w:left="1440" w:hanging="360"/>
      </w:pPr>
      <w:rPr>
        <w:rFonts w:ascii="Symbol" w:hAnsi="Symbol"/>
      </w:rPr>
    </w:lvl>
    <w:lvl w:ilvl="2" w:tplc="C99861BE">
      <w:start w:val="1"/>
      <w:numFmt w:val="bullet"/>
      <w:lvlText w:val=""/>
      <w:lvlJc w:val="left"/>
      <w:pPr>
        <w:ind w:left="1440" w:hanging="360"/>
      </w:pPr>
      <w:rPr>
        <w:rFonts w:ascii="Symbol" w:hAnsi="Symbol"/>
      </w:rPr>
    </w:lvl>
    <w:lvl w:ilvl="3" w:tplc="52528D8E">
      <w:start w:val="1"/>
      <w:numFmt w:val="bullet"/>
      <w:lvlText w:val=""/>
      <w:lvlJc w:val="left"/>
      <w:pPr>
        <w:ind w:left="1440" w:hanging="360"/>
      </w:pPr>
      <w:rPr>
        <w:rFonts w:ascii="Symbol" w:hAnsi="Symbol"/>
      </w:rPr>
    </w:lvl>
    <w:lvl w:ilvl="4" w:tplc="1DF0085A">
      <w:start w:val="1"/>
      <w:numFmt w:val="bullet"/>
      <w:lvlText w:val=""/>
      <w:lvlJc w:val="left"/>
      <w:pPr>
        <w:ind w:left="1440" w:hanging="360"/>
      </w:pPr>
      <w:rPr>
        <w:rFonts w:ascii="Symbol" w:hAnsi="Symbol"/>
      </w:rPr>
    </w:lvl>
    <w:lvl w:ilvl="5" w:tplc="D54C861A">
      <w:start w:val="1"/>
      <w:numFmt w:val="bullet"/>
      <w:lvlText w:val=""/>
      <w:lvlJc w:val="left"/>
      <w:pPr>
        <w:ind w:left="1440" w:hanging="360"/>
      </w:pPr>
      <w:rPr>
        <w:rFonts w:ascii="Symbol" w:hAnsi="Symbol"/>
      </w:rPr>
    </w:lvl>
    <w:lvl w:ilvl="6" w:tplc="011CDAB6">
      <w:start w:val="1"/>
      <w:numFmt w:val="bullet"/>
      <w:lvlText w:val=""/>
      <w:lvlJc w:val="left"/>
      <w:pPr>
        <w:ind w:left="1440" w:hanging="360"/>
      </w:pPr>
      <w:rPr>
        <w:rFonts w:ascii="Symbol" w:hAnsi="Symbol"/>
      </w:rPr>
    </w:lvl>
    <w:lvl w:ilvl="7" w:tplc="02C0D8C2">
      <w:start w:val="1"/>
      <w:numFmt w:val="bullet"/>
      <w:lvlText w:val=""/>
      <w:lvlJc w:val="left"/>
      <w:pPr>
        <w:ind w:left="1440" w:hanging="360"/>
      </w:pPr>
      <w:rPr>
        <w:rFonts w:ascii="Symbol" w:hAnsi="Symbol"/>
      </w:rPr>
    </w:lvl>
    <w:lvl w:ilvl="8" w:tplc="3B9AD3C2">
      <w:start w:val="1"/>
      <w:numFmt w:val="bullet"/>
      <w:lvlText w:val=""/>
      <w:lvlJc w:val="left"/>
      <w:pPr>
        <w:ind w:left="1440" w:hanging="360"/>
      </w:pPr>
      <w:rPr>
        <w:rFonts w:ascii="Symbol" w:hAnsi="Symbol"/>
      </w:rPr>
    </w:lvl>
  </w:abstractNum>
  <w:abstractNum w:abstractNumId="41" w15:restartNumberingAfterBreak="0">
    <w:nsid w:val="56106D37"/>
    <w:multiLevelType w:val="multilevel"/>
    <w:tmpl w:val="648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7635DA"/>
    <w:multiLevelType w:val="hybridMultilevel"/>
    <w:tmpl w:val="79680B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16A638B"/>
    <w:multiLevelType w:val="hybridMultilevel"/>
    <w:tmpl w:val="3E9A1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573A78"/>
    <w:multiLevelType w:val="multilevel"/>
    <w:tmpl w:val="A1CA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92711E"/>
    <w:multiLevelType w:val="hybridMultilevel"/>
    <w:tmpl w:val="A4D4C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D46B2E"/>
    <w:multiLevelType w:val="hybridMultilevel"/>
    <w:tmpl w:val="22101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1F0418"/>
    <w:multiLevelType w:val="hybridMultilevel"/>
    <w:tmpl w:val="865E2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12B5AA0"/>
    <w:multiLevelType w:val="multilevel"/>
    <w:tmpl w:val="D6A8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4B2CA1"/>
    <w:multiLevelType w:val="hybridMultilevel"/>
    <w:tmpl w:val="B600B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A59745A"/>
    <w:multiLevelType w:val="hybridMultilevel"/>
    <w:tmpl w:val="CCBE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A5558E"/>
    <w:multiLevelType w:val="hybridMultilevel"/>
    <w:tmpl w:val="DDFC8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B343F35"/>
    <w:multiLevelType w:val="multilevel"/>
    <w:tmpl w:val="24F6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7" w15:restartNumberingAfterBreak="0">
    <w:nsid w:val="7E7D53E4"/>
    <w:multiLevelType w:val="hybridMultilevel"/>
    <w:tmpl w:val="4CEEA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5171215">
    <w:abstractNumId w:val="19"/>
  </w:num>
  <w:num w:numId="2" w16cid:durableId="1306743019">
    <w:abstractNumId w:val="28"/>
  </w:num>
  <w:num w:numId="3" w16cid:durableId="1809544992">
    <w:abstractNumId w:val="56"/>
  </w:num>
  <w:num w:numId="4" w16cid:durableId="638191149">
    <w:abstractNumId w:val="39"/>
  </w:num>
  <w:num w:numId="5" w16cid:durableId="503975017">
    <w:abstractNumId w:val="49"/>
  </w:num>
  <w:num w:numId="6" w16cid:durableId="215359669">
    <w:abstractNumId w:val="8"/>
  </w:num>
  <w:num w:numId="7" w16cid:durableId="784039746">
    <w:abstractNumId w:val="34"/>
  </w:num>
  <w:num w:numId="8" w16cid:durableId="1530337326">
    <w:abstractNumId w:val="33"/>
  </w:num>
  <w:num w:numId="9" w16cid:durableId="799961229">
    <w:abstractNumId w:val="15"/>
  </w:num>
  <w:num w:numId="10" w16cid:durableId="1990748706">
    <w:abstractNumId w:val="43"/>
  </w:num>
  <w:num w:numId="11" w16cid:durableId="593899170">
    <w:abstractNumId w:val="27"/>
  </w:num>
  <w:num w:numId="12" w16cid:durableId="335155839">
    <w:abstractNumId w:val="35"/>
  </w:num>
  <w:num w:numId="13" w16cid:durableId="2119791443">
    <w:abstractNumId w:val="21"/>
  </w:num>
  <w:num w:numId="14" w16cid:durableId="2103648136">
    <w:abstractNumId w:val="9"/>
  </w:num>
  <w:num w:numId="15" w16cid:durableId="1089934175">
    <w:abstractNumId w:val="16"/>
  </w:num>
  <w:num w:numId="16" w16cid:durableId="1835103499">
    <w:abstractNumId w:val="7"/>
  </w:num>
  <w:num w:numId="17" w16cid:durableId="210196529">
    <w:abstractNumId w:val="8"/>
    <w:lvlOverride w:ilvl="0">
      <w:startOverride w:val="1"/>
    </w:lvlOverride>
  </w:num>
  <w:num w:numId="18" w16cid:durableId="1810857969">
    <w:abstractNumId w:val="13"/>
  </w:num>
  <w:num w:numId="19" w16cid:durableId="1996758693">
    <w:abstractNumId w:val="32"/>
  </w:num>
  <w:num w:numId="20" w16cid:durableId="1674914654">
    <w:abstractNumId w:val="48"/>
  </w:num>
  <w:num w:numId="21" w16cid:durableId="474026350">
    <w:abstractNumId w:val="5"/>
  </w:num>
  <w:num w:numId="22" w16cid:durableId="219294836">
    <w:abstractNumId w:val="4"/>
  </w:num>
  <w:num w:numId="23" w16cid:durableId="1057047598">
    <w:abstractNumId w:val="3"/>
  </w:num>
  <w:num w:numId="24" w16cid:durableId="1872105819">
    <w:abstractNumId w:val="2"/>
  </w:num>
  <w:num w:numId="25" w16cid:durableId="1149253252">
    <w:abstractNumId w:val="6"/>
  </w:num>
  <w:num w:numId="26" w16cid:durableId="1025398335">
    <w:abstractNumId w:val="1"/>
  </w:num>
  <w:num w:numId="27" w16cid:durableId="1180704368">
    <w:abstractNumId w:val="0"/>
  </w:num>
  <w:num w:numId="28" w16cid:durableId="1115442587">
    <w:abstractNumId w:val="23"/>
  </w:num>
  <w:num w:numId="29" w16cid:durableId="352608886">
    <w:abstractNumId w:val="36"/>
  </w:num>
  <w:num w:numId="30" w16cid:durableId="208495381">
    <w:abstractNumId w:val="46"/>
  </w:num>
  <w:num w:numId="31" w16cid:durableId="2136368174">
    <w:abstractNumId w:val="41"/>
  </w:num>
  <w:num w:numId="32" w16cid:durableId="209463203">
    <w:abstractNumId w:val="25"/>
  </w:num>
  <w:num w:numId="33" w16cid:durableId="1158301918">
    <w:abstractNumId w:val="18"/>
  </w:num>
  <w:num w:numId="34" w16cid:durableId="569466053">
    <w:abstractNumId w:val="24"/>
  </w:num>
  <w:num w:numId="35" w16cid:durableId="687296097">
    <w:abstractNumId w:val="55"/>
  </w:num>
  <w:num w:numId="36" w16cid:durableId="453449461">
    <w:abstractNumId w:val="45"/>
  </w:num>
  <w:num w:numId="37" w16cid:durableId="1660572958">
    <w:abstractNumId w:val="31"/>
  </w:num>
  <w:num w:numId="38" w16cid:durableId="1032532696">
    <w:abstractNumId w:val="29"/>
  </w:num>
  <w:num w:numId="39" w16cid:durableId="242181957">
    <w:abstractNumId w:val="51"/>
  </w:num>
  <w:num w:numId="40" w16cid:durableId="125977260">
    <w:abstractNumId w:val="26"/>
  </w:num>
  <w:num w:numId="41" w16cid:durableId="1030839204">
    <w:abstractNumId w:val="44"/>
  </w:num>
  <w:num w:numId="42" w16cid:durableId="1873574818">
    <w:abstractNumId w:val="17"/>
  </w:num>
  <w:num w:numId="43" w16cid:durableId="1605067578">
    <w:abstractNumId w:val="47"/>
  </w:num>
  <w:num w:numId="44" w16cid:durableId="1406682833">
    <w:abstractNumId w:val="14"/>
  </w:num>
  <w:num w:numId="45" w16cid:durableId="945774753">
    <w:abstractNumId w:val="40"/>
  </w:num>
  <w:num w:numId="46" w16cid:durableId="762724620">
    <w:abstractNumId w:val="37"/>
  </w:num>
  <w:num w:numId="47" w16cid:durableId="1868374237">
    <w:abstractNumId w:val="11"/>
  </w:num>
  <w:num w:numId="48" w16cid:durableId="1043017940">
    <w:abstractNumId w:val="53"/>
  </w:num>
  <w:num w:numId="49" w16cid:durableId="1405640058">
    <w:abstractNumId w:val="50"/>
  </w:num>
  <w:num w:numId="50" w16cid:durableId="767628152">
    <w:abstractNumId w:val="22"/>
  </w:num>
  <w:num w:numId="51" w16cid:durableId="695809989">
    <w:abstractNumId w:val="30"/>
  </w:num>
  <w:num w:numId="52" w16cid:durableId="1230653323">
    <w:abstractNumId w:val="52"/>
  </w:num>
  <w:num w:numId="53" w16cid:durableId="1047874020">
    <w:abstractNumId w:val="10"/>
  </w:num>
  <w:num w:numId="54" w16cid:durableId="766577684">
    <w:abstractNumId w:val="12"/>
  </w:num>
  <w:num w:numId="55" w16cid:durableId="1264680846">
    <w:abstractNumId w:val="38"/>
  </w:num>
  <w:num w:numId="56" w16cid:durableId="2109155300">
    <w:abstractNumId w:val="57"/>
  </w:num>
  <w:num w:numId="57" w16cid:durableId="1258250094">
    <w:abstractNumId w:val="42"/>
  </w:num>
  <w:num w:numId="58" w16cid:durableId="1074888592">
    <w:abstractNumId w:val="20"/>
  </w:num>
  <w:num w:numId="59" w16cid:durableId="1780369115">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631"/>
    <w:rsid w:val="000017FD"/>
    <w:rsid w:val="00001A5F"/>
    <w:rsid w:val="00003743"/>
    <w:rsid w:val="000047B4"/>
    <w:rsid w:val="00005022"/>
    <w:rsid w:val="00005627"/>
    <w:rsid w:val="00005712"/>
    <w:rsid w:val="00005F65"/>
    <w:rsid w:val="00006909"/>
    <w:rsid w:val="000070E2"/>
    <w:rsid w:val="00007FD8"/>
    <w:rsid w:val="000103FA"/>
    <w:rsid w:val="00010435"/>
    <w:rsid w:val="0001123F"/>
    <w:rsid w:val="0001169E"/>
    <w:rsid w:val="000117F8"/>
    <w:rsid w:val="0001413C"/>
    <w:rsid w:val="0001460F"/>
    <w:rsid w:val="000159B6"/>
    <w:rsid w:val="00015C83"/>
    <w:rsid w:val="00015E77"/>
    <w:rsid w:val="00016184"/>
    <w:rsid w:val="0001685A"/>
    <w:rsid w:val="0001708A"/>
    <w:rsid w:val="000201FA"/>
    <w:rsid w:val="000216A8"/>
    <w:rsid w:val="00021D0D"/>
    <w:rsid w:val="00022629"/>
    <w:rsid w:val="00022A23"/>
    <w:rsid w:val="00024E75"/>
    <w:rsid w:val="00025BB9"/>
    <w:rsid w:val="00026139"/>
    <w:rsid w:val="0002678A"/>
    <w:rsid w:val="00027601"/>
    <w:rsid w:val="00027B50"/>
    <w:rsid w:val="00033321"/>
    <w:rsid w:val="000338E5"/>
    <w:rsid w:val="00033E71"/>
    <w:rsid w:val="00033ECC"/>
    <w:rsid w:val="0003422F"/>
    <w:rsid w:val="000342CA"/>
    <w:rsid w:val="00034B29"/>
    <w:rsid w:val="000359A2"/>
    <w:rsid w:val="00035A74"/>
    <w:rsid w:val="000379BD"/>
    <w:rsid w:val="0004031D"/>
    <w:rsid w:val="00041B6F"/>
    <w:rsid w:val="00042535"/>
    <w:rsid w:val="00043A67"/>
    <w:rsid w:val="00043DC0"/>
    <w:rsid w:val="000440B4"/>
    <w:rsid w:val="0004444C"/>
    <w:rsid w:val="0004455C"/>
    <w:rsid w:val="00044810"/>
    <w:rsid w:val="000452D4"/>
    <w:rsid w:val="0004533A"/>
    <w:rsid w:val="00046FF0"/>
    <w:rsid w:val="00050176"/>
    <w:rsid w:val="000501E8"/>
    <w:rsid w:val="00050342"/>
    <w:rsid w:val="0005246C"/>
    <w:rsid w:val="00052DA3"/>
    <w:rsid w:val="00053BDB"/>
    <w:rsid w:val="00053F19"/>
    <w:rsid w:val="000545A1"/>
    <w:rsid w:val="0005525B"/>
    <w:rsid w:val="00055CE3"/>
    <w:rsid w:val="0005683E"/>
    <w:rsid w:val="00056EED"/>
    <w:rsid w:val="000578F3"/>
    <w:rsid w:val="00060658"/>
    <w:rsid w:val="00060864"/>
    <w:rsid w:val="000615EC"/>
    <w:rsid w:val="00061DC0"/>
    <w:rsid w:val="000628E0"/>
    <w:rsid w:val="00062A40"/>
    <w:rsid w:val="00063905"/>
    <w:rsid w:val="00064C96"/>
    <w:rsid w:val="00065A61"/>
    <w:rsid w:val="00066379"/>
    <w:rsid w:val="00066707"/>
    <w:rsid w:val="00067456"/>
    <w:rsid w:val="00070988"/>
    <w:rsid w:val="00070C4D"/>
    <w:rsid w:val="00071481"/>
    <w:rsid w:val="00071506"/>
    <w:rsid w:val="0007154F"/>
    <w:rsid w:val="000715FE"/>
    <w:rsid w:val="000730DD"/>
    <w:rsid w:val="00073CED"/>
    <w:rsid w:val="0008027C"/>
    <w:rsid w:val="000806F2"/>
    <w:rsid w:val="00081A27"/>
    <w:rsid w:val="00081AB1"/>
    <w:rsid w:val="00081F20"/>
    <w:rsid w:val="00082671"/>
    <w:rsid w:val="00082EE6"/>
    <w:rsid w:val="00083539"/>
    <w:rsid w:val="00083E20"/>
    <w:rsid w:val="00083F64"/>
    <w:rsid w:val="000844F4"/>
    <w:rsid w:val="00084569"/>
    <w:rsid w:val="00084A83"/>
    <w:rsid w:val="00084ABF"/>
    <w:rsid w:val="00085516"/>
    <w:rsid w:val="00087010"/>
    <w:rsid w:val="000902CA"/>
    <w:rsid w:val="00090316"/>
    <w:rsid w:val="00091093"/>
    <w:rsid w:val="000917F3"/>
    <w:rsid w:val="0009188F"/>
    <w:rsid w:val="00093355"/>
    <w:rsid w:val="00093981"/>
    <w:rsid w:val="0009438E"/>
    <w:rsid w:val="00094A5B"/>
    <w:rsid w:val="000952D2"/>
    <w:rsid w:val="0009578C"/>
    <w:rsid w:val="00096363"/>
    <w:rsid w:val="000A39AB"/>
    <w:rsid w:val="000A5708"/>
    <w:rsid w:val="000A5A7A"/>
    <w:rsid w:val="000A7FC7"/>
    <w:rsid w:val="000B067A"/>
    <w:rsid w:val="000B0B87"/>
    <w:rsid w:val="000B14D3"/>
    <w:rsid w:val="000B1540"/>
    <w:rsid w:val="000B1CD5"/>
    <w:rsid w:val="000B1E53"/>
    <w:rsid w:val="000B1F2E"/>
    <w:rsid w:val="000B22A2"/>
    <w:rsid w:val="000B2ACD"/>
    <w:rsid w:val="000B32FA"/>
    <w:rsid w:val="000B33FD"/>
    <w:rsid w:val="000B4ABA"/>
    <w:rsid w:val="000B59EF"/>
    <w:rsid w:val="000B5A82"/>
    <w:rsid w:val="000B60D0"/>
    <w:rsid w:val="000B66F8"/>
    <w:rsid w:val="000B6FB5"/>
    <w:rsid w:val="000B7510"/>
    <w:rsid w:val="000C0229"/>
    <w:rsid w:val="000C46B7"/>
    <w:rsid w:val="000C4B16"/>
    <w:rsid w:val="000C50C3"/>
    <w:rsid w:val="000C5E14"/>
    <w:rsid w:val="000C5F26"/>
    <w:rsid w:val="000C60BB"/>
    <w:rsid w:val="000C6443"/>
    <w:rsid w:val="000C6A0B"/>
    <w:rsid w:val="000C6DD6"/>
    <w:rsid w:val="000C6FAD"/>
    <w:rsid w:val="000C786A"/>
    <w:rsid w:val="000C7A3A"/>
    <w:rsid w:val="000C7DE1"/>
    <w:rsid w:val="000D1566"/>
    <w:rsid w:val="000D1589"/>
    <w:rsid w:val="000D21F6"/>
    <w:rsid w:val="000D3D97"/>
    <w:rsid w:val="000D4500"/>
    <w:rsid w:val="000D787B"/>
    <w:rsid w:val="000D7AEA"/>
    <w:rsid w:val="000E0871"/>
    <w:rsid w:val="000E1669"/>
    <w:rsid w:val="000E1694"/>
    <w:rsid w:val="000E1D2E"/>
    <w:rsid w:val="000E2772"/>
    <w:rsid w:val="000E2C66"/>
    <w:rsid w:val="000E2FDB"/>
    <w:rsid w:val="000E2FFC"/>
    <w:rsid w:val="000E4F50"/>
    <w:rsid w:val="000E5135"/>
    <w:rsid w:val="000E6E46"/>
    <w:rsid w:val="000F0373"/>
    <w:rsid w:val="000F123C"/>
    <w:rsid w:val="000F1B5D"/>
    <w:rsid w:val="000F2614"/>
    <w:rsid w:val="000F2FED"/>
    <w:rsid w:val="000F3B27"/>
    <w:rsid w:val="000F6D45"/>
    <w:rsid w:val="000F72BA"/>
    <w:rsid w:val="000F734B"/>
    <w:rsid w:val="000F7C0A"/>
    <w:rsid w:val="00101D26"/>
    <w:rsid w:val="00102841"/>
    <w:rsid w:val="0010374C"/>
    <w:rsid w:val="00104008"/>
    <w:rsid w:val="001042F1"/>
    <w:rsid w:val="00105331"/>
    <w:rsid w:val="0010616D"/>
    <w:rsid w:val="00107801"/>
    <w:rsid w:val="00107C58"/>
    <w:rsid w:val="00110478"/>
    <w:rsid w:val="00110B0C"/>
    <w:rsid w:val="001118F0"/>
    <w:rsid w:val="00112261"/>
    <w:rsid w:val="00112F7D"/>
    <w:rsid w:val="0011344C"/>
    <w:rsid w:val="00113970"/>
    <w:rsid w:val="00114DCF"/>
    <w:rsid w:val="001152F8"/>
    <w:rsid w:val="00115FD1"/>
    <w:rsid w:val="001160E2"/>
    <w:rsid w:val="0011711B"/>
    <w:rsid w:val="00117F8A"/>
    <w:rsid w:val="00120B7C"/>
    <w:rsid w:val="00121B9B"/>
    <w:rsid w:val="00122ADC"/>
    <w:rsid w:val="0012347E"/>
    <w:rsid w:val="00124368"/>
    <w:rsid w:val="00124DF5"/>
    <w:rsid w:val="00125600"/>
    <w:rsid w:val="001272A8"/>
    <w:rsid w:val="00130F59"/>
    <w:rsid w:val="00131754"/>
    <w:rsid w:val="0013225A"/>
    <w:rsid w:val="00132FE3"/>
    <w:rsid w:val="001339FF"/>
    <w:rsid w:val="00133EC0"/>
    <w:rsid w:val="00134BF1"/>
    <w:rsid w:val="00135DD5"/>
    <w:rsid w:val="00136F8F"/>
    <w:rsid w:val="001401D8"/>
    <w:rsid w:val="00140D8E"/>
    <w:rsid w:val="00141CE5"/>
    <w:rsid w:val="001430EB"/>
    <w:rsid w:val="00143368"/>
    <w:rsid w:val="00143944"/>
    <w:rsid w:val="00144908"/>
    <w:rsid w:val="001450F4"/>
    <w:rsid w:val="001500A8"/>
    <w:rsid w:val="00151001"/>
    <w:rsid w:val="00151FF5"/>
    <w:rsid w:val="0015234B"/>
    <w:rsid w:val="001541DA"/>
    <w:rsid w:val="0015589E"/>
    <w:rsid w:val="001560F1"/>
    <w:rsid w:val="001566F0"/>
    <w:rsid w:val="00156987"/>
    <w:rsid w:val="00156D96"/>
    <w:rsid w:val="001571C7"/>
    <w:rsid w:val="001572CF"/>
    <w:rsid w:val="00161094"/>
    <w:rsid w:val="001616F1"/>
    <w:rsid w:val="001619A7"/>
    <w:rsid w:val="001623DD"/>
    <w:rsid w:val="00164182"/>
    <w:rsid w:val="00165C8C"/>
    <w:rsid w:val="00165E21"/>
    <w:rsid w:val="00166209"/>
    <w:rsid w:val="00170D40"/>
    <w:rsid w:val="00172841"/>
    <w:rsid w:val="0017287E"/>
    <w:rsid w:val="00173B07"/>
    <w:rsid w:val="00174480"/>
    <w:rsid w:val="00174563"/>
    <w:rsid w:val="00174F05"/>
    <w:rsid w:val="00175BCC"/>
    <w:rsid w:val="001761CC"/>
    <w:rsid w:val="0017665C"/>
    <w:rsid w:val="00177AD2"/>
    <w:rsid w:val="00180B57"/>
    <w:rsid w:val="00180C29"/>
    <w:rsid w:val="001815A8"/>
    <w:rsid w:val="001840FA"/>
    <w:rsid w:val="0018424A"/>
    <w:rsid w:val="0018612B"/>
    <w:rsid w:val="0018634F"/>
    <w:rsid w:val="0018648B"/>
    <w:rsid w:val="00186A82"/>
    <w:rsid w:val="00186BA5"/>
    <w:rsid w:val="00186E4F"/>
    <w:rsid w:val="00190079"/>
    <w:rsid w:val="00190212"/>
    <w:rsid w:val="00190863"/>
    <w:rsid w:val="0019146B"/>
    <w:rsid w:val="00193FE8"/>
    <w:rsid w:val="00194579"/>
    <w:rsid w:val="00194687"/>
    <w:rsid w:val="001946C0"/>
    <w:rsid w:val="00194CCF"/>
    <w:rsid w:val="0019622E"/>
    <w:rsid w:val="001966A7"/>
    <w:rsid w:val="00197AD0"/>
    <w:rsid w:val="00197C5F"/>
    <w:rsid w:val="001A00C9"/>
    <w:rsid w:val="001A04AF"/>
    <w:rsid w:val="001A0761"/>
    <w:rsid w:val="001A0B0B"/>
    <w:rsid w:val="001A183C"/>
    <w:rsid w:val="001A32CB"/>
    <w:rsid w:val="001A3451"/>
    <w:rsid w:val="001A4627"/>
    <w:rsid w:val="001A4979"/>
    <w:rsid w:val="001A4A45"/>
    <w:rsid w:val="001A7F03"/>
    <w:rsid w:val="001A7F9D"/>
    <w:rsid w:val="001B15D3"/>
    <w:rsid w:val="001B20C2"/>
    <w:rsid w:val="001B3443"/>
    <w:rsid w:val="001B3EA8"/>
    <w:rsid w:val="001B3F4C"/>
    <w:rsid w:val="001B4452"/>
    <w:rsid w:val="001B5938"/>
    <w:rsid w:val="001B73A3"/>
    <w:rsid w:val="001C0326"/>
    <w:rsid w:val="001C18C0"/>
    <w:rsid w:val="001C192F"/>
    <w:rsid w:val="001C228C"/>
    <w:rsid w:val="001C22DD"/>
    <w:rsid w:val="001C3C42"/>
    <w:rsid w:val="001C49F9"/>
    <w:rsid w:val="001C6E5C"/>
    <w:rsid w:val="001D187F"/>
    <w:rsid w:val="001D473A"/>
    <w:rsid w:val="001D4834"/>
    <w:rsid w:val="001D4C57"/>
    <w:rsid w:val="001D4CA2"/>
    <w:rsid w:val="001D4E08"/>
    <w:rsid w:val="001D5561"/>
    <w:rsid w:val="001D6B43"/>
    <w:rsid w:val="001D7869"/>
    <w:rsid w:val="001E1915"/>
    <w:rsid w:val="001E304E"/>
    <w:rsid w:val="001E367C"/>
    <w:rsid w:val="001E3F02"/>
    <w:rsid w:val="001E4B59"/>
    <w:rsid w:val="001E6620"/>
    <w:rsid w:val="001E6AE9"/>
    <w:rsid w:val="001E6FF3"/>
    <w:rsid w:val="001E7C25"/>
    <w:rsid w:val="001F0970"/>
    <w:rsid w:val="001F0B12"/>
    <w:rsid w:val="001F2127"/>
    <w:rsid w:val="001F237A"/>
    <w:rsid w:val="001F253C"/>
    <w:rsid w:val="001F42A5"/>
    <w:rsid w:val="001F4302"/>
    <w:rsid w:val="001F6EF6"/>
    <w:rsid w:val="001F6F80"/>
    <w:rsid w:val="00200D5D"/>
    <w:rsid w:val="002026CD"/>
    <w:rsid w:val="00202B9E"/>
    <w:rsid w:val="002033FC"/>
    <w:rsid w:val="00203C90"/>
    <w:rsid w:val="00203CBF"/>
    <w:rsid w:val="0020406A"/>
    <w:rsid w:val="002044BB"/>
    <w:rsid w:val="00204BD7"/>
    <w:rsid w:val="00204BFA"/>
    <w:rsid w:val="00206C27"/>
    <w:rsid w:val="00206D6F"/>
    <w:rsid w:val="00210B09"/>
    <w:rsid w:val="00210C9E"/>
    <w:rsid w:val="00211840"/>
    <w:rsid w:val="0021208F"/>
    <w:rsid w:val="002121CA"/>
    <w:rsid w:val="00212AA0"/>
    <w:rsid w:val="002134B9"/>
    <w:rsid w:val="0021423F"/>
    <w:rsid w:val="002147B8"/>
    <w:rsid w:val="0021572B"/>
    <w:rsid w:val="00215AC0"/>
    <w:rsid w:val="00215ACA"/>
    <w:rsid w:val="00220E5F"/>
    <w:rsid w:val="002212B5"/>
    <w:rsid w:val="002222BC"/>
    <w:rsid w:val="00223AC2"/>
    <w:rsid w:val="00226668"/>
    <w:rsid w:val="002273E7"/>
    <w:rsid w:val="002276DB"/>
    <w:rsid w:val="00227729"/>
    <w:rsid w:val="00230D7F"/>
    <w:rsid w:val="00231707"/>
    <w:rsid w:val="00231A33"/>
    <w:rsid w:val="00231C3F"/>
    <w:rsid w:val="00232D61"/>
    <w:rsid w:val="00232FA1"/>
    <w:rsid w:val="00233073"/>
    <w:rsid w:val="00233809"/>
    <w:rsid w:val="002346DE"/>
    <w:rsid w:val="002355BC"/>
    <w:rsid w:val="00235676"/>
    <w:rsid w:val="00237FD2"/>
    <w:rsid w:val="00240046"/>
    <w:rsid w:val="002414E9"/>
    <w:rsid w:val="00241B6D"/>
    <w:rsid w:val="00241DBC"/>
    <w:rsid w:val="0024267F"/>
    <w:rsid w:val="002428E9"/>
    <w:rsid w:val="00242B00"/>
    <w:rsid w:val="00242CB9"/>
    <w:rsid w:val="00244C5A"/>
    <w:rsid w:val="00245856"/>
    <w:rsid w:val="0024797F"/>
    <w:rsid w:val="0025119E"/>
    <w:rsid w:val="00251269"/>
    <w:rsid w:val="002515BA"/>
    <w:rsid w:val="00251B12"/>
    <w:rsid w:val="00251C35"/>
    <w:rsid w:val="00252D02"/>
    <w:rsid w:val="002535C0"/>
    <w:rsid w:val="0025518D"/>
    <w:rsid w:val="00256587"/>
    <w:rsid w:val="0025746A"/>
    <w:rsid w:val="002579FE"/>
    <w:rsid w:val="00261D57"/>
    <w:rsid w:val="0026239F"/>
    <w:rsid w:val="00262491"/>
    <w:rsid w:val="00262ED1"/>
    <w:rsid w:val="0026311C"/>
    <w:rsid w:val="002634BE"/>
    <w:rsid w:val="002635F1"/>
    <w:rsid w:val="00264097"/>
    <w:rsid w:val="0026668C"/>
    <w:rsid w:val="00266AC1"/>
    <w:rsid w:val="0027178C"/>
    <w:rsid w:val="002719FA"/>
    <w:rsid w:val="0027263C"/>
    <w:rsid w:val="00272668"/>
    <w:rsid w:val="0027330B"/>
    <w:rsid w:val="00273385"/>
    <w:rsid w:val="00273ED7"/>
    <w:rsid w:val="00275A1A"/>
    <w:rsid w:val="00277778"/>
    <w:rsid w:val="002803AD"/>
    <w:rsid w:val="00281F10"/>
    <w:rsid w:val="00282052"/>
    <w:rsid w:val="002831A3"/>
    <w:rsid w:val="0028453D"/>
    <w:rsid w:val="0028519E"/>
    <w:rsid w:val="002856A5"/>
    <w:rsid w:val="0028623A"/>
    <w:rsid w:val="002872ED"/>
    <w:rsid w:val="00287DAE"/>
    <w:rsid w:val="002905C2"/>
    <w:rsid w:val="00290811"/>
    <w:rsid w:val="0029166E"/>
    <w:rsid w:val="0029175E"/>
    <w:rsid w:val="00291CAD"/>
    <w:rsid w:val="0029334F"/>
    <w:rsid w:val="00293D57"/>
    <w:rsid w:val="002945CC"/>
    <w:rsid w:val="00294836"/>
    <w:rsid w:val="00295865"/>
    <w:rsid w:val="00295AF2"/>
    <w:rsid w:val="00295C91"/>
    <w:rsid w:val="00297151"/>
    <w:rsid w:val="002A0EF4"/>
    <w:rsid w:val="002A179F"/>
    <w:rsid w:val="002A2915"/>
    <w:rsid w:val="002A2F31"/>
    <w:rsid w:val="002A4893"/>
    <w:rsid w:val="002A4E7B"/>
    <w:rsid w:val="002A4E93"/>
    <w:rsid w:val="002A5FCE"/>
    <w:rsid w:val="002B0434"/>
    <w:rsid w:val="002B141F"/>
    <w:rsid w:val="002B20E6"/>
    <w:rsid w:val="002B3797"/>
    <w:rsid w:val="002B3FC4"/>
    <w:rsid w:val="002B42A3"/>
    <w:rsid w:val="002B45BB"/>
    <w:rsid w:val="002B599C"/>
    <w:rsid w:val="002B7546"/>
    <w:rsid w:val="002C0498"/>
    <w:rsid w:val="002C0CDD"/>
    <w:rsid w:val="002C1E93"/>
    <w:rsid w:val="002C38C4"/>
    <w:rsid w:val="002C410C"/>
    <w:rsid w:val="002C60B4"/>
    <w:rsid w:val="002C65F0"/>
    <w:rsid w:val="002C6A5B"/>
    <w:rsid w:val="002C7A6A"/>
    <w:rsid w:val="002D0241"/>
    <w:rsid w:val="002D0427"/>
    <w:rsid w:val="002D1187"/>
    <w:rsid w:val="002D19CB"/>
    <w:rsid w:val="002D368F"/>
    <w:rsid w:val="002D3799"/>
    <w:rsid w:val="002D4AD4"/>
    <w:rsid w:val="002D4C64"/>
    <w:rsid w:val="002D73B0"/>
    <w:rsid w:val="002E17CF"/>
    <w:rsid w:val="002E1A1D"/>
    <w:rsid w:val="002E28CC"/>
    <w:rsid w:val="002E293B"/>
    <w:rsid w:val="002E2C12"/>
    <w:rsid w:val="002E4081"/>
    <w:rsid w:val="002E5B78"/>
    <w:rsid w:val="002F015E"/>
    <w:rsid w:val="002F273C"/>
    <w:rsid w:val="002F2979"/>
    <w:rsid w:val="002F33B3"/>
    <w:rsid w:val="002F398F"/>
    <w:rsid w:val="002F3AE3"/>
    <w:rsid w:val="002F3C96"/>
    <w:rsid w:val="002F4A7A"/>
    <w:rsid w:val="002F5661"/>
    <w:rsid w:val="002F6B6A"/>
    <w:rsid w:val="002F6FAD"/>
    <w:rsid w:val="002F71EC"/>
    <w:rsid w:val="00300AB2"/>
    <w:rsid w:val="00301848"/>
    <w:rsid w:val="00302843"/>
    <w:rsid w:val="00302E65"/>
    <w:rsid w:val="0030412E"/>
    <w:rsid w:val="0030464B"/>
    <w:rsid w:val="003058F6"/>
    <w:rsid w:val="003059DA"/>
    <w:rsid w:val="003067B4"/>
    <w:rsid w:val="0030786C"/>
    <w:rsid w:val="00310206"/>
    <w:rsid w:val="0031035F"/>
    <w:rsid w:val="00311451"/>
    <w:rsid w:val="003121AD"/>
    <w:rsid w:val="00312A8A"/>
    <w:rsid w:val="0031394A"/>
    <w:rsid w:val="00313F79"/>
    <w:rsid w:val="00315E34"/>
    <w:rsid w:val="00316182"/>
    <w:rsid w:val="00316F77"/>
    <w:rsid w:val="003172A3"/>
    <w:rsid w:val="00322194"/>
    <w:rsid w:val="003233DE"/>
    <w:rsid w:val="00323E55"/>
    <w:rsid w:val="0032466B"/>
    <w:rsid w:val="0032589D"/>
    <w:rsid w:val="003265BF"/>
    <w:rsid w:val="00327933"/>
    <w:rsid w:val="00327EBA"/>
    <w:rsid w:val="00331161"/>
    <w:rsid w:val="00331747"/>
    <w:rsid w:val="00331F41"/>
    <w:rsid w:val="003330EB"/>
    <w:rsid w:val="0033323E"/>
    <w:rsid w:val="003339C2"/>
    <w:rsid w:val="003375C5"/>
    <w:rsid w:val="00337B8B"/>
    <w:rsid w:val="003415FD"/>
    <w:rsid w:val="00341C68"/>
    <w:rsid w:val="00342236"/>
    <w:rsid w:val="00342524"/>
    <w:rsid w:val="003429F0"/>
    <w:rsid w:val="00342FD2"/>
    <w:rsid w:val="00345813"/>
    <w:rsid w:val="00345A82"/>
    <w:rsid w:val="00346086"/>
    <w:rsid w:val="00346AAE"/>
    <w:rsid w:val="00347D24"/>
    <w:rsid w:val="003505CC"/>
    <w:rsid w:val="0035097A"/>
    <w:rsid w:val="00350D89"/>
    <w:rsid w:val="00351797"/>
    <w:rsid w:val="00352A79"/>
    <w:rsid w:val="003540A4"/>
    <w:rsid w:val="00354342"/>
    <w:rsid w:val="00354843"/>
    <w:rsid w:val="00357BCC"/>
    <w:rsid w:val="00360868"/>
    <w:rsid w:val="00360E4E"/>
    <w:rsid w:val="00361B4D"/>
    <w:rsid w:val="00361CEA"/>
    <w:rsid w:val="00362E6B"/>
    <w:rsid w:val="00363F1D"/>
    <w:rsid w:val="00364932"/>
    <w:rsid w:val="003652C0"/>
    <w:rsid w:val="00365456"/>
    <w:rsid w:val="00365F9E"/>
    <w:rsid w:val="003667EF"/>
    <w:rsid w:val="00367BBD"/>
    <w:rsid w:val="0037019A"/>
    <w:rsid w:val="00370535"/>
    <w:rsid w:val="00370AAA"/>
    <w:rsid w:val="00371839"/>
    <w:rsid w:val="00371DA2"/>
    <w:rsid w:val="003721EF"/>
    <w:rsid w:val="00372DF7"/>
    <w:rsid w:val="00372F92"/>
    <w:rsid w:val="00373E1C"/>
    <w:rsid w:val="0037511B"/>
    <w:rsid w:val="0037542F"/>
    <w:rsid w:val="00375F77"/>
    <w:rsid w:val="003769A0"/>
    <w:rsid w:val="00377508"/>
    <w:rsid w:val="003775AC"/>
    <w:rsid w:val="00381B67"/>
    <w:rsid w:val="00381BBE"/>
    <w:rsid w:val="00382903"/>
    <w:rsid w:val="00382FF7"/>
    <w:rsid w:val="00383BD4"/>
    <w:rsid w:val="00384189"/>
    <w:rsid w:val="003846FF"/>
    <w:rsid w:val="00384867"/>
    <w:rsid w:val="00384B91"/>
    <w:rsid w:val="00384B96"/>
    <w:rsid w:val="00384EC0"/>
    <w:rsid w:val="0038501A"/>
    <w:rsid w:val="003857D4"/>
    <w:rsid w:val="00385AD4"/>
    <w:rsid w:val="00387254"/>
    <w:rsid w:val="00387924"/>
    <w:rsid w:val="00392179"/>
    <w:rsid w:val="00392847"/>
    <w:rsid w:val="00392E5F"/>
    <w:rsid w:val="0039338D"/>
    <w:rsid w:val="003936BE"/>
    <w:rsid w:val="0039384D"/>
    <w:rsid w:val="00393AD6"/>
    <w:rsid w:val="00393CD3"/>
    <w:rsid w:val="003943D3"/>
    <w:rsid w:val="00395187"/>
    <w:rsid w:val="00395C23"/>
    <w:rsid w:val="003A094F"/>
    <w:rsid w:val="003A10A3"/>
    <w:rsid w:val="003A2E4F"/>
    <w:rsid w:val="003A34B4"/>
    <w:rsid w:val="003A4438"/>
    <w:rsid w:val="003A4BC5"/>
    <w:rsid w:val="003A4EC5"/>
    <w:rsid w:val="003A5013"/>
    <w:rsid w:val="003A5078"/>
    <w:rsid w:val="003A5587"/>
    <w:rsid w:val="003A62DD"/>
    <w:rsid w:val="003A65FF"/>
    <w:rsid w:val="003A775A"/>
    <w:rsid w:val="003B0250"/>
    <w:rsid w:val="003B09F2"/>
    <w:rsid w:val="003B10C2"/>
    <w:rsid w:val="003B1A8F"/>
    <w:rsid w:val="003B1E6C"/>
    <w:rsid w:val="003B1ED9"/>
    <w:rsid w:val="003B213A"/>
    <w:rsid w:val="003B3F56"/>
    <w:rsid w:val="003B40FB"/>
    <w:rsid w:val="003B43AD"/>
    <w:rsid w:val="003B6590"/>
    <w:rsid w:val="003C0FEC"/>
    <w:rsid w:val="003C2AC8"/>
    <w:rsid w:val="003C459F"/>
    <w:rsid w:val="003C643B"/>
    <w:rsid w:val="003D033A"/>
    <w:rsid w:val="003D1626"/>
    <w:rsid w:val="003D17F9"/>
    <w:rsid w:val="003D2D88"/>
    <w:rsid w:val="003D41EA"/>
    <w:rsid w:val="003D4850"/>
    <w:rsid w:val="003D4E80"/>
    <w:rsid w:val="003D535A"/>
    <w:rsid w:val="003D58E5"/>
    <w:rsid w:val="003D590E"/>
    <w:rsid w:val="003D6445"/>
    <w:rsid w:val="003D7DCE"/>
    <w:rsid w:val="003E0755"/>
    <w:rsid w:val="003E091D"/>
    <w:rsid w:val="003E16B4"/>
    <w:rsid w:val="003E3094"/>
    <w:rsid w:val="003E5172"/>
    <w:rsid w:val="003E5265"/>
    <w:rsid w:val="003E5A82"/>
    <w:rsid w:val="003E62AD"/>
    <w:rsid w:val="003E680A"/>
    <w:rsid w:val="003F0955"/>
    <w:rsid w:val="003F103F"/>
    <w:rsid w:val="003F2F3C"/>
    <w:rsid w:val="003F42A9"/>
    <w:rsid w:val="003F4F06"/>
    <w:rsid w:val="003F5F4D"/>
    <w:rsid w:val="003F633D"/>
    <w:rsid w:val="003F646F"/>
    <w:rsid w:val="003F7107"/>
    <w:rsid w:val="00400ADD"/>
    <w:rsid w:val="00400F00"/>
    <w:rsid w:val="00401AA6"/>
    <w:rsid w:val="00402B27"/>
    <w:rsid w:val="00403006"/>
    <w:rsid w:val="00403648"/>
    <w:rsid w:val="00404F8B"/>
    <w:rsid w:val="00405256"/>
    <w:rsid w:val="00405448"/>
    <w:rsid w:val="004072CA"/>
    <w:rsid w:val="00407A7F"/>
    <w:rsid w:val="00407EDA"/>
    <w:rsid w:val="00410031"/>
    <w:rsid w:val="0041064C"/>
    <w:rsid w:val="004110DA"/>
    <w:rsid w:val="004113F0"/>
    <w:rsid w:val="00412353"/>
    <w:rsid w:val="00413127"/>
    <w:rsid w:val="004139D8"/>
    <w:rsid w:val="004143FF"/>
    <w:rsid w:val="0041539E"/>
    <w:rsid w:val="00415C81"/>
    <w:rsid w:val="0041688F"/>
    <w:rsid w:val="00422F88"/>
    <w:rsid w:val="0042301C"/>
    <w:rsid w:val="00423456"/>
    <w:rsid w:val="00423742"/>
    <w:rsid w:val="00423FA4"/>
    <w:rsid w:val="0042486E"/>
    <w:rsid w:val="004307BC"/>
    <w:rsid w:val="004310EE"/>
    <w:rsid w:val="00431F95"/>
    <w:rsid w:val="00432378"/>
    <w:rsid w:val="00435126"/>
    <w:rsid w:val="0043696E"/>
    <w:rsid w:val="00436D87"/>
    <w:rsid w:val="00436F7F"/>
    <w:rsid w:val="00440D65"/>
    <w:rsid w:val="00442BA4"/>
    <w:rsid w:val="00442E86"/>
    <w:rsid w:val="004435E6"/>
    <w:rsid w:val="004447CD"/>
    <w:rsid w:val="0044577C"/>
    <w:rsid w:val="00446ECA"/>
    <w:rsid w:val="00447E31"/>
    <w:rsid w:val="00450DC6"/>
    <w:rsid w:val="00453923"/>
    <w:rsid w:val="00453B90"/>
    <w:rsid w:val="0045414A"/>
    <w:rsid w:val="00454B9B"/>
    <w:rsid w:val="00454C88"/>
    <w:rsid w:val="00454DD9"/>
    <w:rsid w:val="00456024"/>
    <w:rsid w:val="00457858"/>
    <w:rsid w:val="004600EF"/>
    <w:rsid w:val="004601F4"/>
    <w:rsid w:val="00460876"/>
    <w:rsid w:val="00460B0B"/>
    <w:rsid w:val="00461023"/>
    <w:rsid w:val="00462FAC"/>
    <w:rsid w:val="00464631"/>
    <w:rsid w:val="00464B79"/>
    <w:rsid w:val="00465224"/>
    <w:rsid w:val="00466887"/>
    <w:rsid w:val="00467169"/>
    <w:rsid w:val="00467BBF"/>
    <w:rsid w:val="00467C12"/>
    <w:rsid w:val="004714F5"/>
    <w:rsid w:val="00471829"/>
    <w:rsid w:val="00473F2B"/>
    <w:rsid w:val="00474C4F"/>
    <w:rsid w:val="0047503D"/>
    <w:rsid w:val="00476997"/>
    <w:rsid w:val="00476A0A"/>
    <w:rsid w:val="00476F81"/>
    <w:rsid w:val="00481821"/>
    <w:rsid w:val="00481CC3"/>
    <w:rsid w:val="004834B6"/>
    <w:rsid w:val="004845DC"/>
    <w:rsid w:val="00484E8A"/>
    <w:rsid w:val="0048593C"/>
    <w:rsid w:val="004867E2"/>
    <w:rsid w:val="00486B43"/>
    <w:rsid w:val="00487836"/>
    <w:rsid w:val="00487EC6"/>
    <w:rsid w:val="00487EE8"/>
    <w:rsid w:val="004912B2"/>
    <w:rsid w:val="00491FBF"/>
    <w:rsid w:val="004923CF"/>
    <w:rsid w:val="0049278B"/>
    <w:rsid w:val="004929A9"/>
    <w:rsid w:val="004942B9"/>
    <w:rsid w:val="00494A44"/>
    <w:rsid w:val="00494A80"/>
    <w:rsid w:val="00497785"/>
    <w:rsid w:val="004977C3"/>
    <w:rsid w:val="004A0ED4"/>
    <w:rsid w:val="004A24D7"/>
    <w:rsid w:val="004A2DF5"/>
    <w:rsid w:val="004A30E0"/>
    <w:rsid w:val="004A313F"/>
    <w:rsid w:val="004A4063"/>
    <w:rsid w:val="004A4CC0"/>
    <w:rsid w:val="004A5565"/>
    <w:rsid w:val="004A6B88"/>
    <w:rsid w:val="004A7157"/>
    <w:rsid w:val="004A78D9"/>
    <w:rsid w:val="004B091B"/>
    <w:rsid w:val="004B17FB"/>
    <w:rsid w:val="004B1AD1"/>
    <w:rsid w:val="004B2FBA"/>
    <w:rsid w:val="004B4ABA"/>
    <w:rsid w:val="004B68BA"/>
    <w:rsid w:val="004B6E98"/>
    <w:rsid w:val="004B7BA7"/>
    <w:rsid w:val="004C2938"/>
    <w:rsid w:val="004C409B"/>
    <w:rsid w:val="004C4385"/>
    <w:rsid w:val="004C49C7"/>
    <w:rsid w:val="004C4CD9"/>
    <w:rsid w:val="004C5A1A"/>
    <w:rsid w:val="004C6BCF"/>
    <w:rsid w:val="004C7A20"/>
    <w:rsid w:val="004D0564"/>
    <w:rsid w:val="004D073E"/>
    <w:rsid w:val="004D2563"/>
    <w:rsid w:val="004D2A7B"/>
    <w:rsid w:val="004D2AD7"/>
    <w:rsid w:val="004D344A"/>
    <w:rsid w:val="004D3562"/>
    <w:rsid w:val="004D58BF"/>
    <w:rsid w:val="004D6379"/>
    <w:rsid w:val="004D7893"/>
    <w:rsid w:val="004E141A"/>
    <w:rsid w:val="004E16B8"/>
    <w:rsid w:val="004E2012"/>
    <w:rsid w:val="004E24CD"/>
    <w:rsid w:val="004E4335"/>
    <w:rsid w:val="004E4C50"/>
    <w:rsid w:val="004E51ED"/>
    <w:rsid w:val="004E729D"/>
    <w:rsid w:val="004E7AA9"/>
    <w:rsid w:val="004F08C1"/>
    <w:rsid w:val="004F0AF1"/>
    <w:rsid w:val="004F13EE"/>
    <w:rsid w:val="004F1953"/>
    <w:rsid w:val="004F1B6B"/>
    <w:rsid w:val="004F1EA5"/>
    <w:rsid w:val="004F2022"/>
    <w:rsid w:val="004F2304"/>
    <w:rsid w:val="004F3496"/>
    <w:rsid w:val="004F3E30"/>
    <w:rsid w:val="004F5AC0"/>
    <w:rsid w:val="004F66ED"/>
    <w:rsid w:val="004F7604"/>
    <w:rsid w:val="004F762E"/>
    <w:rsid w:val="004F7C05"/>
    <w:rsid w:val="00500F5A"/>
    <w:rsid w:val="00501C94"/>
    <w:rsid w:val="005026A0"/>
    <w:rsid w:val="0050432F"/>
    <w:rsid w:val="00505435"/>
    <w:rsid w:val="00505A85"/>
    <w:rsid w:val="00505ACE"/>
    <w:rsid w:val="0050601F"/>
    <w:rsid w:val="0050616B"/>
    <w:rsid w:val="00506228"/>
    <w:rsid w:val="00506432"/>
    <w:rsid w:val="00506E82"/>
    <w:rsid w:val="005112EF"/>
    <w:rsid w:val="00511461"/>
    <w:rsid w:val="00512F28"/>
    <w:rsid w:val="005132CE"/>
    <w:rsid w:val="00513691"/>
    <w:rsid w:val="005138D5"/>
    <w:rsid w:val="005141F4"/>
    <w:rsid w:val="0051545D"/>
    <w:rsid w:val="0051567F"/>
    <w:rsid w:val="00515964"/>
    <w:rsid w:val="00515AE9"/>
    <w:rsid w:val="00516474"/>
    <w:rsid w:val="005166F1"/>
    <w:rsid w:val="0051732B"/>
    <w:rsid w:val="00517815"/>
    <w:rsid w:val="0052051D"/>
    <w:rsid w:val="0052130C"/>
    <w:rsid w:val="00523613"/>
    <w:rsid w:val="00524120"/>
    <w:rsid w:val="00524243"/>
    <w:rsid w:val="005253C8"/>
    <w:rsid w:val="00527F60"/>
    <w:rsid w:val="00532D6A"/>
    <w:rsid w:val="00533C5B"/>
    <w:rsid w:val="005347C2"/>
    <w:rsid w:val="00534D1D"/>
    <w:rsid w:val="00535546"/>
    <w:rsid w:val="005358BF"/>
    <w:rsid w:val="00535DA2"/>
    <w:rsid w:val="0053612E"/>
    <w:rsid w:val="005365B6"/>
    <w:rsid w:val="0053686E"/>
    <w:rsid w:val="00537A55"/>
    <w:rsid w:val="00540E4E"/>
    <w:rsid w:val="00541C8E"/>
    <w:rsid w:val="00542088"/>
    <w:rsid w:val="00542177"/>
    <w:rsid w:val="00542AB4"/>
    <w:rsid w:val="00545EE6"/>
    <w:rsid w:val="00551515"/>
    <w:rsid w:val="00553EF5"/>
    <w:rsid w:val="00554F08"/>
    <w:rsid w:val="005550E7"/>
    <w:rsid w:val="005562DA"/>
    <w:rsid w:val="005564FB"/>
    <w:rsid w:val="005565C7"/>
    <w:rsid w:val="00556CC5"/>
    <w:rsid w:val="00557217"/>
    <w:rsid w:val="005572C7"/>
    <w:rsid w:val="00562657"/>
    <w:rsid w:val="0056272C"/>
    <w:rsid w:val="00563C60"/>
    <w:rsid w:val="00563FB2"/>
    <w:rsid w:val="00564EDC"/>
    <w:rsid w:val="005650ED"/>
    <w:rsid w:val="00565D29"/>
    <w:rsid w:val="005678D4"/>
    <w:rsid w:val="00570A82"/>
    <w:rsid w:val="00571978"/>
    <w:rsid w:val="0057282F"/>
    <w:rsid w:val="00574122"/>
    <w:rsid w:val="00575754"/>
    <w:rsid w:val="005771DB"/>
    <w:rsid w:val="00577673"/>
    <w:rsid w:val="00580078"/>
    <w:rsid w:val="00581093"/>
    <w:rsid w:val="00581FBA"/>
    <w:rsid w:val="0058311E"/>
    <w:rsid w:val="0058320A"/>
    <w:rsid w:val="005848C5"/>
    <w:rsid w:val="00587466"/>
    <w:rsid w:val="00591175"/>
    <w:rsid w:val="00591E20"/>
    <w:rsid w:val="00592F97"/>
    <w:rsid w:val="00593216"/>
    <w:rsid w:val="00593AE7"/>
    <w:rsid w:val="00593DD2"/>
    <w:rsid w:val="00593E16"/>
    <w:rsid w:val="00593EBE"/>
    <w:rsid w:val="00595408"/>
    <w:rsid w:val="00595C59"/>
    <w:rsid w:val="00595E84"/>
    <w:rsid w:val="005967F8"/>
    <w:rsid w:val="00596817"/>
    <w:rsid w:val="00596BFD"/>
    <w:rsid w:val="005A043A"/>
    <w:rsid w:val="005A0C59"/>
    <w:rsid w:val="005A0E4E"/>
    <w:rsid w:val="005A1156"/>
    <w:rsid w:val="005A212B"/>
    <w:rsid w:val="005A42EF"/>
    <w:rsid w:val="005A48EB"/>
    <w:rsid w:val="005A6CFB"/>
    <w:rsid w:val="005A71B1"/>
    <w:rsid w:val="005A7946"/>
    <w:rsid w:val="005A7FD2"/>
    <w:rsid w:val="005B1755"/>
    <w:rsid w:val="005B1B8D"/>
    <w:rsid w:val="005B3333"/>
    <w:rsid w:val="005B38F1"/>
    <w:rsid w:val="005B718B"/>
    <w:rsid w:val="005B71BF"/>
    <w:rsid w:val="005C05F4"/>
    <w:rsid w:val="005C3062"/>
    <w:rsid w:val="005C312A"/>
    <w:rsid w:val="005C3333"/>
    <w:rsid w:val="005C4704"/>
    <w:rsid w:val="005C5AEB"/>
    <w:rsid w:val="005C70EB"/>
    <w:rsid w:val="005D11E8"/>
    <w:rsid w:val="005D11F3"/>
    <w:rsid w:val="005D1CFA"/>
    <w:rsid w:val="005D3FB5"/>
    <w:rsid w:val="005D4373"/>
    <w:rsid w:val="005D52E0"/>
    <w:rsid w:val="005D575F"/>
    <w:rsid w:val="005D6DC1"/>
    <w:rsid w:val="005D6DD4"/>
    <w:rsid w:val="005E0A3F"/>
    <w:rsid w:val="005E1696"/>
    <w:rsid w:val="005E17D8"/>
    <w:rsid w:val="005E228E"/>
    <w:rsid w:val="005E2E7F"/>
    <w:rsid w:val="005E37E0"/>
    <w:rsid w:val="005E3E73"/>
    <w:rsid w:val="005E6094"/>
    <w:rsid w:val="005E6883"/>
    <w:rsid w:val="005E724C"/>
    <w:rsid w:val="005E73ED"/>
    <w:rsid w:val="005E772F"/>
    <w:rsid w:val="005F008F"/>
    <w:rsid w:val="005F1302"/>
    <w:rsid w:val="005F18F4"/>
    <w:rsid w:val="005F3514"/>
    <w:rsid w:val="005F3A13"/>
    <w:rsid w:val="005F4ECA"/>
    <w:rsid w:val="005F518A"/>
    <w:rsid w:val="005F65C9"/>
    <w:rsid w:val="005F7AB1"/>
    <w:rsid w:val="005F7FF8"/>
    <w:rsid w:val="00602AE9"/>
    <w:rsid w:val="006041BE"/>
    <w:rsid w:val="006043C7"/>
    <w:rsid w:val="00604BC5"/>
    <w:rsid w:val="00605773"/>
    <w:rsid w:val="006066B9"/>
    <w:rsid w:val="00612EBC"/>
    <w:rsid w:val="0061465B"/>
    <w:rsid w:val="00614ADA"/>
    <w:rsid w:val="00616CC0"/>
    <w:rsid w:val="00617277"/>
    <w:rsid w:val="0061753C"/>
    <w:rsid w:val="00617625"/>
    <w:rsid w:val="00622166"/>
    <w:rsid w:val="00622AA1"/>
    <w:rsid w:val="00623776"/>
    <w:rsid w:val="00623F50"/>
    <w:rsid w:val="00624012"/>
    <w:rsid w:val="0062437E"/>
    <w:rsid w:val="00624B52"/>
    <w:rsid w:val="00630794"/>
    <w:rsid w:val="00631D3D"/>
    <w:rsid w:val="00631DF4"/>
    <w:rsid w:val="00632150"/>
    <w:rsid w:val="00632F03"/>
    <w:rsid w:val="00634175"/>
    <w:rsid w:val="00634C7B"/>
    <w:rsid w:val="0063571A"/>
    <w:rsid w:val="006372E0"/>
    <w:rsid w:val="00637990"/>
    <w:rsid w:val="0064019C"/>
    <w:rsid w:val="006408AC"/>
    <w:rsid w:val="00641BB5"/>
    <w:rsid w:val="00642D19"/>
    <w:rsid w:val="00643890"/>
    <w:rsid w:val="006438F5"/>
    <w:rsid w:val="00644B84"/>
    <w:rsid w:val="006464F4"/>
    <w:rsid w:val="00650D96"/>
    <w:rsid w:val="006511B6"/>
    <w:rsid w:val="0065193F"/>
    <w:rsid w:val="00652D41"/>
    <w:rsid w:val="00654C42"/>
    <w:rsid w:val="00654D2C"/>
    <w:rsid w:val="00655703"/>
    <w:rsid w:val="00655F93"/>
    <w:rsid w:val="0065698B"/>
    <w:rsid w:val="006574BD"/>
    <w:rsid w:val="00657977"/>
    <w:rsid w:val="00657FF8"/>
    <w:rsid w:val="00662625"/>
    <w:rsid w:val="00662AF8"/>
    <w:rsid w:val="00663814"/>
    <w:rsid w:val="00663C14"/>
    <w:rsid w:val="00663C63"/>
    <w:rsid w:val="00663CE6"/>
    <w:rsid w:val="00665925"/>
    <w:rsid w:val="0066741C"/>
    <w:rsid w:val="00667B71"/>
    <w:rsid w:val="006700E2"/>
    <w:rsid w:val="006704A8"/>
    <w:rsid w:val="00670D99"/>
    <w:rsid w:val="00670E2B"/>
    <w:rsid w:val="00671AED"/>
    <w:rsid w:val="00672BA7"/>
    <w:rsid w:val="006733D3"/>
    <w:rsid w:val="006734BB"/>
    <w:rsid w:val="006742A4"/>
    <w:rsid w:val="006749A9"/>
    <w:rsid w:val="006760B5"/>
    <w:rsid w:val="0067697A"/>
    <w:rsid w:val="00676C3E"/>
    <w:rsid w:val="0067785A"/>
    <w:rsid w:val="006819FD"/>
    <w:rsid w:val="006821EB"/>
    <w:rsid w:val="00683CAC"/>
    <w:rsid w:val="0068668D"/>
    <w:rsid w:val="0068682D"/>
    <w:rsid w:val="00687C78"/>
    <w:rsid w:val="006900A0"/>
    <w:rsid w:val="00690D8D"/>
    <w:rsid w:val="00691037"/>
    <w:rsid w:val="006936F7"/>
    <w:rsid w:val="00694937"/>
    <w:rsid w:val="0069525D"/>
    <w:rsid w:val="0069634C"/>
    <w:rsid w:val="00696BDB"/>
    <w:rsid w:val="006973A1"/>
    <w:rsid w:val="006A0668"/>
    <w:rsid w:val="006A2241"/>
    <w:rsid w:val="006A5DA3"/>
    <w:rsid w:val="006A5DE2"/>
    <w:rsid w:val="006A6B96"/>
    <w:rsid w:val="006A6DBD"/>
    <w:rsid w:val="006B114E"/>
    <w:rsid w:val="006B122B"/>
    <w:rsid w:val="006B1DA0"/>
    <w:rsid w:val="006B2286"/>
    <w:rsid w:val="006B2654"/>
    <w:rsid w:val="006B449B"/>
    <w:rsid w:val="006B456F"/>
    <w:rsid w:val="006B56BB"/>
    <w:rsid w:val="006B5A7D"/>
    <w:rsid w:val="006B70BF"/>
    <w:rsid w:val="006B7141"/>
    <w:rsid w:val="006C0449"/>
    <w:rsid w:val="006C0559"/>
    <w:rsid w:val="006C1CF5"/>
    <w:rsid w:val="006C2487"/>
    <w:rsid w:val="006C2916"/>
    <w:rsid w:val="006C4527"/>
    <w:rsid w:val="006C475B"/>
    <w:rsid w:val="006C5FA9"/>
    <w:rsid w:val="006C6F5F"/>
    <w:rsid w:val="006C7764"/>
    <w:rsid w:val="006C77A8"/>
    <w:rsid w:val="006D0198"/>
    <w:rsid w:val="006D132B"/>
    <w:rsid w:val="006D141F"/>
    <w:rsid w:val="006D18B8"/>
    <w:rsid w:val="006D1DE6"/>
    <w:rsid w:val="006D4098"/>
    <w:rsid w:val="006D4733"/>
    <w:rsid w:val="006D5674"/>
    <w:rsid w:val="006D6006"/>
    <w:rsid w:val="006D7681"/>
    <w:rsid w:val="006D7B2E"/>
    <w:rsid w:val="006E02EA"/>
    <w:rsid w:val="006E0968"/>
    <w:rsid w:val="006E0A86"/>
    <w:rsid w:val="006E2AF6"/>
    <w:rsid w:val="006E2D21"/>
    <w:rsid w:val="006E2D75"/>
    <w:rsid w:val="006E3ECA"/>
    <w:rsid w:val="006E503F"/>
    <w:rsid w:val="006E58E8"/>
    <w:rsid w:val="006E6264"/>
    <w:rsid w:val="006E77C7"/>
    <w:rsid w:val="006E7F62"/>
    <w:rsid w:val="006E7F64"/>
    <w:rsid w:val="006F0442"/>
    <w:rsid w:val="006F0C04"/>
    <w:rsid w:val="006F0C50"/>
    <w:rsid w:val="006F162C"/>
    <w:rsid w:val="006F4B4B"/>
    <w:rsid w:val="00700283"/>
    <w:rsid w:val="00701275"/>
    <w:rsid w:val="00701907"/>
    <w:rsid w:val="00701920"/>
    <w:rsid w:val="0070281B"/>
    <w:rsid w:val="0070323B"/>
    <w:rsid w:val="007046FB"/>
    <w:rsid w:val="007048C5"/>
    <w:rsid w:val="00704DA8"/>
    <w:rsid w:val="00706E93"/>
    <w:rsid w:val="00706EA6"/>
    <w:rsid w:val="00707F56"/>
    <w:rsid w:val="00707FD6"/>
    <w:rsid w:val="00710405"/>
    <w:rsid w:val="00711BD8"/>
    <w:rsid w:val="00711D24"/>
    <w:rsid w:val="00713200"/>
    <w:rsid w:val="00713558"/>
    <w:rsid w:val="00714DF0"/>
    <w:rsid w:val="00714EF2"/>
    <w:rsid w:val="00715E5F"/>
    <w:rsid w:val="00716112"/>
    <w:rsid w:val="007206FF"/>
    <w:rsid w:val="00720D08"/>
    <w:rsid w:val="00721F14"/>
    <w:rsid w:val="00722521"/>
    <w:rsid w:val="00722C5C"/>
    <w:rsid w:val="00723924"/>
    <w:rsid w:val="0072404B"/>
    <w:rsid w:val="007261EF"/>
    <w:rsid w:val="007263B9"/>
    <w:rsid w:val="00726E96"/>
    <w:rsid w:val="00727534"/>
    <w:rsid w:val="00727F49"/>
    <w:rsid w:val="0073165F"/>
    <w:rsid w:val="00733057"/>
    <w:rsid w:val="00733351"/>
    <w:rsid w:val="007334B9"/>
    <w:rsid w:val="007334F8"/>
    <w:rsid w:val="007339CD"/>
    <w:rsid w:val="00734073"/>
    <w:rsid w:val="00734920"/>
    <w:rsid w:val="007352C5"/>
    <w:rsid w:val="007359D8"/>
    <w:rsid w:val="00735A64"/>
    <w:rsid w:val="007362D4"/>
    <w:rsid w:val="00736FDE"/>
    <w:rsid w:val="007373E1"/>
    <w:rsid w:val="00740DD4"/>
    <w:rsid w:val="0074163E"/>
    <w:rsid w:val="00742A53"/>
    <w:rsid w:val="0074432E"/>
    <w:rsid w:val="007449C1"/>
    <w:rsid w:val="00745201"/>
    <w:rsid w:val="00745880"/>
    <w:rsid w:val="00745CF5"/>
    <w:rsid w:val="007464E2"/>
    <w:rsid w:val="00747517"/>
    <w:rsid w:val="00751DC1"/>
    <w:rsid w:val="007521A0"/>
    <w:rsid w:val="0075299E"/>
    <w:rsid w:val="00753045"/>
    <w:rsid w:val="00755785"/>
    <w:rsid w:val="007614E0"/>
    <w:rsid w:val="00762A19"/>
    <w:rsid w:val="0076335A"/>
    <w:rsid w:val="00764FEE"/>
    <w:rsid w:val="007651A2"/>
    <w:rsid w:val="00765904"/>
    <w:rsid w:val="0076672A"/>
    <w:rsid w:val="00766C79"/>
    <w:rsid w:val="007704B7"/>
    <w:rsid w:val="007710C1"/>
    <w:rsid w:val="0077259C"/>
    <w:rsid w:val="00773D26"/>
    <w:rsid w:val="007744D7"/>
    <w:rsid w:val="00774A73"/>
    <w:rsid w:val="00774B5E"/>
    <w:rsid w:val="007758DB"/>
    <w:rsid w:val="00775E45"/>
    <w:rsid w:val="00776619"/>
    <w:rsid w:val="00776E74"/>
    <w:rsid w:val="007807D6"/>
    <w:rsid w:val="00781072"/>
    <w:rsid w:val="007813EE"/>
    <w:rsid w:val="0078174C"/>
    <w:rsid w:val="0078185F"/>
    <w:rsid w:val="00781E1F"/>
    <w:rsid w:val="00782011"/>
    <w:rsid w:val="00783175"/>
    <w:rsid w:val="00784EA7"/>
    <w:rsid w:val="00785169"/>
    <w:rsid w:val="007851DB"/>
    <w:rsid w:val="00785DAC"/>
    <w:rsid w:val="00785EED"/>
    <w:rsid w:val="007872EC"/>
    <w:rsid w:val="0079021F"/>
    <w:rsid w:val="0079177E"/>
    <w:rsid w:val="007937C8"/>
    <w:rsid w:val="007947F3"/>
    <w:rsid w:val="00795339"/>
    <w:rsid w:val="007954AB"/>
    <w:rsid w:val="00795588"/>
    <w:rsid w:val="007956C4"/>
    <w:rsid w:val="00796037"/>
    <w:rsid w:val="007A133E"/>
    <w:rsid w:val="007A14C5"/>
    <w:rsid w:val="007A1B59"/>
    <w:rsid w:val="007A2B7A"/>
    <w:rsid w:val="007A3488"/>
    <w:rsid w:val="007A4A10"/>
    <w:rsid w:val="007A523E"/>
    <w:rsid w:val="007A633A"/>
    <w:rsid w:val="007A6FE2"/>
    <w:rsid w:val="007B038B"/>
    <w:rsid w:val="007B0B5C"/>
    <w:rsid w:val="007B1472"/>
    <w:rsid w:val="007B1760"/>
    <w:rsid w:val="007B2455"/>
    <w:rsid w:val="007B424C"/>
    <w:rsid w:val="007B504C"/>
    <w:rsid w:val="007C194A"/>
    <w:rsid w:val="007C1A22"/>
    <w:rsid w:val="007C1FDC"/>
    <w:rsid w:val="007C2F47"/>
    <w:rsid w:val="007C3251"/>
    <w:rsid w:val="007C43A5"/>
    <w:rsid w:val="007C5C68"/>
    <w:rsid w:val="007C6458"/>
    <w:rsid w:val="007C6D9C"/>
    <w:rsid w:val="007C7DDB"/>
    <w:rsid w:val="007D0067"/>
    <w:rsid w:val="007D1318"/>
    <w:rsid w:val="007D1D5B"/>
    <w:rsid w:val="007D2979"/>
    <w:rsid w:val="007D2CC7"/>
    <w:rsid w:val="007D35AA"/>
    <w:rsid w:val="007D5A93"/>
    <w:rsid w:val="007D6340"/>
    <w:rsid w:val="007D673D"/>
    <w:rsid w:val="007D73AF"/>
    <w:rsid w:val="007D7DFD"/>
    <w:rsid w:val="007E073B"/>
    <w:rsid w:val="007E0FB8"/>
    <w:rsid w:val="007E158C"/>
    <w:rsid w:val="007E2484"/>
    <w:rsid w:val="007E24A1"/>
    <w:rsid w:val="007E26EF"/>
    <w:rsid w:val="007E2A01"/>
    <w:rsid w:val="007E421D"/>
    <w:rsid w:val="007E48B5"/>
    <w:rsid w:val="007E4D09"/>
    <w:rsid w:val="007E5591"/>
    <w:rsid w:val="007E585A"/>
    <w:rsid w:val="007E5F8C"/>
    <w:rsid w:val="007E78B6"/>
    <w:rsid w:val="007F0319"/>
    <w:rsid w:val="007F0F03"/>
    <w:rsid w:val="007F19EB"/>
    <w:rsid w:val="007F2220"/>
    <w:rsid w:val="007F3098"/>
    <w:rsid w:val="007F3236"/>
    <w:rsid w:val="007F38AF"/>
    <w:rsid w:val="007F430C"/>
    <w:rsid w:val="007F4B3E"/>
    <w:rsid w:val="007F579A"/>
    <w:rsid w:val="007F6542"/>
    <w:rsid w:val="00800E5B"/>
    <w:rsid w:val="0080143F"/>
    <w:rsid w:val="008052BB"/>
    <w:rsid w:val="00805716"/>
    <w:rsid w:val="00805BF4"/>
    <w:rsid w:val="00807AD0"/>
    <w:rsid w:val="00810B08"/>
    <w:rsid w:val="00810D0C"/>
    <w:rsid w:val="008127AF"/>
    <w:rsid w:val="00812B46"/>
    <w:rsid w:val="00812FF1"/>
    <w:rsid w:val="008143B6"/>
    <w:rsid w:val="008152D9"/>
    <w:rsid w:val="00815700"/>
    <w:rsid w:val="0081574E"/>
    <w:rsid w:val="00816909"/>
    <w:rsid w:val="00817AA1"/>
    <w:rsid w:val="00817EC7"/>
    <w:rsid w:val="008223B4"/>
    <w:rsid w:val="00822E9E"/>
    <w:rsid w:val="00822F2D"/>
    <w:rsid w:val="008230F1"/>
    <w:rsid w:val="00824E5C"/>
    <w:rsid w:val="00824FBE"/>
    <w:rsid w:val="00825CEB"/>
    <w:rsid w:val="008264EB"/>
    <w:rsid w:val="00826B8F"/>
    <w:rsid w:val="00831660"/>
    <w:rsid w:val="00831E8A"/>
    <w:rsid w:val="00833A71"/>
    <w:rsid w:val="00833BBD"/>
    <w:rsid w:val="00835C76"/>
    <w:rsid w:val="00835C81"/>
    <w:rsid w:val="00836062"/>
    <w:rsid w:val="0083618C"/>
    <w:rsid w:val="008376E2"/>
    <w:rsid w:val="00841AB7"/>
    <w:rsid w:val="00843049"/>
    <w:rsid w:val="008442D4"/>
    <w:rsid w:val="0084455F"/>
    <w:rsid w:val="00845B55"/>
    <w:rsid w:val="008462FB"/>
    <w:rsid w:val="00846503"/>
    <w:rsid w:val="008472B6"/>
    <w:rsid w:val="00847D04"/>
    <w:rsid w:val="008506C5"/>
    <w:rsid w:val="0085104F"/>
    <w:rsid w:val="00851AA9"/>
    <w:rsid w:val="0085209B"/>
    <w:rsid w:val="00854628"/>
    <w:rsid w:val="00855781"/>
    <w:rsid w:val="00855E49"/>
    <w:rsid w:val="00856B66"/>
    <w:rsid w:val="00856DB2"/>
    <w:rsid w:val="008601AC"/>
    <w:rsid w:val="0086098B"/>
    <w:rsid w:val="00861A5F"/>
    <w:rsid w:val="00861D67"/>
    <w:rsid w:val="008629A8"/>
    <w:rsid w:val="008644AD"/>
    <w:rsid w:val="0086471F"/>
    <w:rsid w:val="00864951"/>
    <w:rsid w:val="00865735"/>
    <w:rsid w:val="008658CB"/>
    <w:rsid w:val="00865DDB"/>
    <w:rsid w:val="0086660C"/>
    <w:rsid w:val="008666C5"/>
    <w:rsid w:val="00867538"/>
    <w:rsid w:val="00870086"/>
    <w:rsid w:val="00871E6F"/>
    <w:rsid w:val="0087238F"/>
    <w:rsid w:val="008731ED"/>
    <w:rsid w:val="00873807"/>
    <w:rsid w:val="00873D90"/>
    <w:rsid w:val="00873E3C"/>
    <w:rsid w:val="00873FC8"/>
    <w:rsid w:val="008763C1"/>
    <w:rsid w:val="00876ABD"/>
    <w:rsid w:val="00880884"/>
    <w:rsid w:val="00881F8F"/>
    <w:rsid w:val="00882871"/>
    <w:rsid w:val="00883744"/>
    <w:rsid w:val="00884C63"/>
    <w:rsid w:val="008857EA"/>
    <w:rsid w:val="00885908"/>
    <w:rsid w:val="00885C0D"/>
    <w:rsid w:val="008864B7"/>
    <w:rsid w:val="00887567"/>
    <w:rsid w:val="0088760F"/>
    <w:rsid w:val="008877BE"/>
    <w:rsid w:val="008903DE"/>
    <w:rsid w:val="00890970"/>
    <w:rsid w:val="00892778"/>
    <w:rsid w:val="00893128"/>
    <w:rsid w:val="00893DD4"/>
    <w:rsid w:val="00894B13"/>
    <w:rsid w:val="00896391"/>
    <w:rsid w:val="00896583"/>
    <w:rsid w:val="0089677E"/>
    <w:rsid w:val="00896E8C"/>
    <w:rsid w:val="00897634"/>
    <w:rsid w:val="00897973"/>
    <w:rsid w:val="00897B00"/>
    <w:rsid w:val="008A09F3"/>
    <w:rsid w:val="008A138F"/>
    <w:rsid w:val="008A3018"/>
    <w:rsid w:val="008A3F71"/>
    <w:rsid w:val="008A43C9"/>
    <w:rsid w:val="008A5C42"/>
    <w:rsid w:val="008A7438"/>
    <w:rsid w:val="008A7ACF"/>
    <w:rsid w:val="008A7B41"/>
    <w:rsid w:val="008B0E4D"/>
    <w:rsid w:val="008B1334"/>
    <w:rsid w:val="008B25C7"/>
    <w:rsid w:val="008B424A"/>
    <w:rsid w:val="008B44FB"/>
    <w:rsid w:val="008B47B4"/>
    <w:rsid w:val="008B486D"/>
    <w:rsid w:val="008B48F3"/>
    <w:rsid w:val="008B4EFA"/>
    <w:rsid w:val="008B631A"/>
    <w:rsid w:val="008B7B36"/>
    <w:rsid w:val="008C0278"/>
    <w:rsid w:val="008C24E9"/>
    <w:rsid w:val="008C4A43"/>
    <w:rsid w:val="008C4CC4"/>
    <w:rsid w:val="008C52B3"/>
    <w:rsid w:val="008C7307"/>
    <w:rsid w:val="008C7590"/>
    <w:rsid w:val="008D050F"/>
    <w:rsid w:val="008D0533"/>
    <w:rsid w:val="008D0FD3"/>
    <w:rsid w:val="008D15B8"/>
    <w:rsid w:val="008D182A"/>
    <w:rsid w:val="008D1EC9"/>
    <w:rsid w:val="008D2751"/>
    <w:rsid w:val="008D2A7B"/>
    <w:rsid w:val="008D3837"/>
    <w:rsid w:val="008D42CB"/>
    <w:rsid w:val="008D4479"/>
    <w:rsid w:val="008D48C9"/>
    <w:rsid w:val="008D51FF"/>
    <w:rsid w:val="008D6381"/>
    <w:rsid w:val="008D7EF6"/>
    <w:rsid w:val="008E0936"/>
    <w:rsid w:val="008E0C77"/>
    <w:rsid w:val="008E1016"/>
    <w:rsid w:val="008E11ED"/>
    <w:rsid w:val="008E247E"/>
    <w:rsid w:val="008E2DD7"/>
    <w:rsid w:val="008E2E2E"/>
    <w:rsid w:val="008E37E1"/>
    <w:rsid w:val="008E3FE9"/>
    <w:rsid w:val="008E573A"/>
    <w:rsid w:val="008E625F"/>
    <w:rsid w:val="008E7073"/>
    <w:rsid w:val="008E70D3"/>
    <w:rsid w:val="008F0CA3"/>
    <w:rsid w:val="008F0DDD"/>
    <w:rsid w:val="008F1BD5"/>
    <w:rsid w:val="008F20CE"/>
    <w:rsid w:val="008F264D"/>
    <w:rsid w:val="008F46CE"/>
    <w:rsid w:val="008F5406"/>
    <w:rsid w:val="008F589C"/>
    <w:rsid w:val="008F71AE"/>
    <w:rsid w:val="008F7434"/>
    <w:rsid w:val="008F7613"/>
    <w:rsid w:val="009002CE"/>
    <w:rsid w:val="00900C6D"/>
    <w:rsid w:val="009018D1"/>
    <w:rsid w:val="00901F4B"/>
    <w:rsid w:val="009040E9"/>
    <w:rsid w:val="00905510"/>
    <w:rsid w:val="009064E1"/>
    <w:rsid w:val="009074E1"/>
    <w:rsid w:val="00910D42"/>
    <w:rsid w:val="009112F7"/>
    <w:rsid w:val="00911DBE"/>
    <w:rsid w:val="009122AF"/>
    <w:rsid w:val="00912D54"/>
    <w:rsid w:val="0091389F"/>
    <w:rsid w:val="0091394C"/>
    <w:rsid w:val="00913BC5"/>
    <w:rsid w:val="00915961"/>
    <w:rsid w:val="0091599F"/>
    <w:rsid w:val="00915ABD"/>
    <w:rsid w:val="00917CE6"/>
    <w:rsid w:val="00920599"/>
    <w:rsid w:val="009208F7"/>
    <w:rsid w:val="00921649"/>
    <w:rsid w:val="00922517"/>
    <w:rsid w:val="00922722"/>
    <w:rsid w:val="00922BBD"/>
    <w:rsid w:val="009232CE"/>
    <w:rsid w:val="009233DF"/>
    <w:rsid w:val="009244E4"/>
    <w:rsid w:val="00924E8D"/>
    <w:rsid w:val="0092547A"/>
    <w:rsid w:val="009261E6"/>
    <w:rsid w:val="00926227"/>
    <w:rsid w:val="009267CE"/>
    <w:rsid w:val="009268E1"/>
    <w:rsid w:val="009271EE"/>
    <w:rsid w:val="00927A80"/>
    <w:rsid w:val="0093148F"/>
    <w:rsid w:val="00931965"/>
    <w:rsid w:val="00933EA0"/>
    <w:rsid w:val="009344AE"/>
    <w:rsid w:val="009344DE"/>
    <w:rsid w:val="00934660"/>
    <w:rsid w:val="00934EA5"/>
    <w:rsid w:val="00934F86"/>
    <w:rsid w:val="00936595"/>
    <w:rsid w:val="009369BC"/>
    <w:rsid w:val="0093781E"/>
    <w:rsid w:val="009378B5"/>
    <w:rsid w:val="0094293F"/>
    <w:rsid w:val="00942F5C"/>
    <w:rsid w:val="00943F3D"/>
    <w:rsid w:val="009441A2"/>
    <w:rsid w:val="009454C6"/>
    <w:rsid w:val="00945892"/>
    <w:rsid w:val="00945E7F"/>
    <w:rsid w:val="00946189"/>
    <w:rsid w:val="00946688"/>
    <w:rsid w:val="00950777"/>
    <w:rsid w:val="00951D19"/>
    <w:rsid w:val="00952CB1"/>
    <w:rsid w:val="00954AA1"/>
    <w:rsid w:val="00955287"/>
    <w:rsid w:val="009557C1"/>
    <w:rsid w:val="0095651C"/>
    <w:rsid w:val="00956F13"/>
    <w:rsid w:val="00960D6E"/>
    <w:rsid w:val="00962A3B"/>
    <w:rsid w:val="00963065"/>
    <w:rsid w:val="00965208"/>
    <w:rsid w:val="0096738C"/>
    <w:rsid w:val="00967726"/>
    <w:rsid w:val="00967F01"/>
    <w:rsid w:val="00970052"/>
    <w:rsid w:val="00972F1B"/>
    <w:rsid w:val="00973B11"/>
    <w:rsid w:val="0097408B"/>
    <w:rsid w:val="009741E1"/>
    <w:rsid w:val="00974B59"/>
    <w:rsid w:val="00974EDA"/>
    <w:rsid w:val="00975BFD"/>
    <w:rsid w:val="009762D2"/>
    <w:rsid w:val="009768F6"/>
    <w:rsid w:val="00976A17"/>
    <w:rsid w:val="00977694"/>
    <w:rsid w:val="009811CC"/>
    <w:rsid w:val="0098173C"/>
    <w:rsid w:val="00981FAB"/>
    <w:rsid w:val="0098340B"/>
    <w:rsid w:val="00983F4E"/>
    <w:rsid w:val="00984809"/>
    <w:rsid w:val="00984920"/>
    <w:rsid w:val="009849B4"/>
    <w:rsid w:val="00985222"/>
    <w:rsid w:val="00986830"/>
    <w:rsid w:val="00991D8D"/>
    <w:rsid w:val="009924C3"/>
    <w:rsid w:val="00993102"/>
    <w:rsid w:val="009941A0"/>
    <w:rsid w:val="009945E0"/>
    <w:rsid w:val="00995473"/>
    <w:rsid w:val="00995B76"/>
    <w:rsid w:val="00996577"/>
    <w:rsid w:val="00996EFE"/>
    <w:rsid w:val="00997794"/>
    <w:rsid w:val="009A064D"/>
    <w:rsid w:val="009A075F"/>
    <w:rsid w:val="009A243C"/>
    <w:rsid w:val="009A3EBC"/>
    <w:rsid w:val="009A404F"/>
    <w:rsid w:val="009A40B9"/>
    <w:rsid w:val="009A6743"/>
    <w:rsid w:val="009A6A2E"/>
    <w:rsid w:val="009A6A68"/>
    <w:rsid w:val="009B0C41"/>
    <w:rsid w:val="009B1570"/>
    <w:rsid w:val="009B4BF7"/>
    <w:rsid w:val="009B5289"/>
    <w:rsid w:val="009B6E20"/>
    <w:rsid w:val="009B7240"/>
    <w:rsid w:val="009B7B0F"/>
    <w:rsid w:val="009C021E"/>
    <w:rsid w:val="009C0885"/>
    <w:rsid w:val="009C0B2E"/>
    <w:rsid w:val="009C1071"/>
    <w:rsid w:val="009C1F92"/>
    <w:rsid w:val="009C271D"/>
    <w:rsid w:val="009C3A3B"/>
    <w:rsid w:val="009C454D"/>
    <w:rsid w:val="009C6BA6"/>
    <w:rsid w:val="009C6D07"/>
    <w:rsid w:val="009C6F10"/>
    <w:rsid w:val="009D137F"/>
    <w:rsid w:val="009D148F"/>
    <w:rsid w:val="009D16DA"/>
    <w:rsid w:val="009D1A30"/>
    <w:rsid w:val="009D2B41"/>
    <w:rsid w:val="009D2F14"/>
    <w:rsid w:val="009D329C"/>
    <w:rsid w:val="009D3D70"/>
    <w:rsid w:val="009D4AB2"/>
    <w:rsid w:val="009D5E34"/>
    <w:rsid w:val="009D61A7"/>
    <w:rsid w:val="009D6E31"/>
    <w:rsid w:val="009E068F"/>
    <w:rsid w:val="009E2332"/>
    <w:rsid w:val="009E247A"/>
    <w:rsid w:val="009E2C6C"/>
    <w:rsid w:val="009E2C8F"/>
    <w:rsid w:val="009E6F7E"/>
    <w:rsid w:val="009E7037"/>
    <w:rsid w:val="009E710F"/>
    <w:rsid w:val="009E7A57"/>
    <w:rsid w:val="009E7DC6"/>
    <w:rsid w:val="009F0942"/>
    <w:rsid w:val="009F0DAD"/>
    <w:rsid w:val="009F1785"/>
    <w:rsid w:val="009F189D"/>
    <w:rsid w:val="009F2458"/>
    <w:rsid w:val="009F316D"/>
    <w:rsid w:val="009F37A8"/>
    <w:rsid w:val="009F4803"/>
    <w:rsid w:val="009F4F6A"/>
    <w:rsid w:val="009F4F81"/>
    <w:rsid w:val="009F6C2D"/>
    <w:rsid w:val="009F75B4"/>
    <w:rsid w:val="009F7CD4"/>
    <w:rsid w:val="00A0016D"/>
    <w:rsid w:val="00A017EA"/>
    <w:rsid w:val="00A01A68"/>
    <w:rsid w:val="00A01C2E"/>
    <w:rsid w:val="00A02044"/>
    <w:rsid w:val="00A03050"/>
    <w:rsid w:val="00A0359F"/>
    <w:rsid w:val="00A04FB0"/>
    <w:rsid w:val="00A0709B"/>
    <w:rsid w:val="00A100D2"/>
    <w:rsid w:val="00A1195E"/>
    <w:rsid w:val="00A11C0D"/>
    <w:rsid w:val="00A12AC5"/>
    <w:rsid w:val="00A13EB5"/>
    <w:rsid w:val="00A1406F"/>
    <w:rsid w:val="00A14527"/>
    <w:rsid w:val="00A14E2B"/>
    <w:rsid w:val="00A15D45"/>
    <w:rsid w:val="00A16E36"/>
    <w:rsid w:val="00A20A3B"/>
    <w:rsid w:val="00A20D77"/>
    <w:rsid w:val="00A22F30"/>
    <w:rsid w:val="00A24109"/>
    <w:rsid w:val="00A24231"/>
    <w:rsid w:val="00A24961"/>
    <w:rsid w:val="00A24B10"/>
    <w:rsid w:val="00A27161"/>
    <w:rsid w:val="00A277EF"/>
    <w:rsid w:val="00A27DE0"/>
    <w:rsid w:val="00A30E9B"/>
    <w:rsid w:val="00A32B13"/>
    <w:rsid w:val="00A33423"/>
    <w:rsid w:val="00A349AC"/>
    <w:rsid w:val="00A36CF0"/>
    <w:rsid w:val="00A41B15"/>
    <w:rsid w:val="00A4350C"/>
    <w:rsid w:val="00A4512D"/>
    <w:rsid w:val="00A463E5"/>
    <w:rsid w:val="00A47C1D"/>
    <w:rsid w:val="00A50244"/>
    <w:rsid w:val="00A508EA"/>
    <w:rsid w:val="00A51BDF"/>
    <w:rsid w:val="00A51F32"/>
    <w:rsid w:val="00A54D93"/>
    <w:rsid w:val="00A54F06"/>
    <w:rsid w:val="00A60E50"/>
    <w:rsid w:val="00A62715"/>
    <w:rsid w:val="00A627D7"/>
    <w:rsid w:val="00A64076"/>
    <w:rsid w:val="00A65065"/>
    <w:rsid w:val="00A656A0"/>
    <w:rsid w:val="00A656C7"/>
    <w:rsid w:val="00A65740"/>
    <w:rsid w:val="00A664EF"/>
    <w:rsid w:val="00A705AF"/>
    <w:rsid w:val="00A7168D"/>
    <w:rsid w:val="00A719F6"/>
    <w:rsid w:val="00A7214E"/>
    <w:rsid w:val="00A72448"/>
    <w:rsid w:val="00A72454"/>
    <w:rsid w:val="00A73CEA"/>
    <w:rsid w:val="00A7467D"/>
    <w:rsid w:val="00A75B2C"/>
    <w:rsid w:val="00A75D91"/>
    <w:rsid w:val="00A76A92"/>
    <w:rsid w:val="00A76F6E"/>
    <w:rsid w:val="00A77696"/>
    <w:rsid w:val="00A80466"/>
    <w:rsid w:val="00A80557"/>
    <w:rsid w:val="00A8189B"/>
    <w:rsid w:val="00A81D33"/>
    <w:rsid w:val="00A81EA8"/>
    <w:rsid w:val="00A8341C"/>
    <w:rsid w:val="00A835B9"/>
    <w:rsid w:val="00A930AE"/>
    <w:rsid w:val="00A945FB"/>
    <w:rsid w:val="00A94FEC"/>
    <w:rsid w:val="00A977F5"/>
    <w:rsid w:val="00AA01CC"/>
    <w:rsid w:val="00AA0540"/>
    <w:rsid w:val="00AA07EB"/>
    <w:rsid w:val="00AA1A95"/>
    <w:rsid w:val="00AA2009"/>
    <w:rsid w:val="00AA25AA"/>
    <w:rsid w:val="00AA260F"/>
    <w:rsid w:val="00AA262B"/>
    <w:rsid w:val="00AA31ED"/>
    <w:rsid w:val="00AA3C2B"/>
    <w:rsid w:val="00AA6EC5"/>
    <w:rsid w:val="00AB0044"/>
    <w:rsid w:val="00AB12FF"/>
    <w:rsid w:val="00AB1C2F"/>
    <w:rsid w:val="00AB1DF5"/>
    <w:rsid w:val="00AB1EE7"/>
    <w:rsid w:val="00AB1F3C"/>
    <w:rsid w:val="00AB4B37"/>
    <w:rsid w:val="00AB4F22"/>
    <w:rsid w:val="00AB5762"/>
    <w:rsid w:val="00AB5897"/>
    <w:rsid w:val="00AB6C25"/>
    <w:rsid w:val="00AB7147"/>
    <w:rsid w:val="00AB7668"/>
    <w:rsid w:val="00AC01C4"/>
    <w:rsid w:val="00AC139F"/>
    <w:rsid w:val="00AC1E61"/>
    <w:rsid w:val="00AC2679"/>
    <w:rsid w:val="00AC4BE4"/>
    <w:rsid w:val="00AC4E32"/>
    <w:rsid w:val="00AC556D"/>
    <w:rsid w:val="00AC7664"/>
    <w:rsid w:val="00AC79D0"/>
    <w:rsid w:val="00AD05E6"/>
    <w:rsid w:val="00AD0937"/>
    <w:rsid w:val="00AD0CE8"/>
    <w:rsid w:val="00AD0D3F"/>
    <w:rsid w:val="00AD4DAE"/>
    <w:rsid w:val="00AD4E10"/>
    <w:rsid w:val="00AD6AB6"/>
    <w:rsid w:val="00AE10C6"/>
    <w:rsid w:val="00AE1D7D"/>
    <w:rsid w:val="00AE1E5D"/>
    <w:rsid w:val="00AE1E97"/>
    <w:rsid w:val="00AE2A8B"/>
    <w:rsid w:val="00AE2E97"/>
    <w:rsid w:val="00AE3F64"/>
    <w:rsid w:val="00AE5DDB"/>
    <w:rsid w:val="00AE7927"/>
    <w:rsid w:val="00AF1E21"/>
    <w:rsid w:val="00AF204B"/>
    <w:rsid w:val="00AF3541"/>
    <w:rsid w:val="00AF48DD"/>
    <w:rsid w:val="00AF5037"/>
    <w:rsid w:val="00AF5580"/>
    <w:rsid w:val="00AF6766"/>
    <w:rsid w:val="00AF7386"/>
    <w:rsid w:val="00AF7934"/>
    <w:rsid w:val="00AF7EA3"/>
    <w:rsid w:val="00B00B81"/>
    <w:rsid w:val="00B01064"/>
    <w:rsid w:val="00B0157F"/>
    <w:rsid w:val="00B0168E"/>
    <w:rsid w:val="00B04580"/>
    <w:rsid w:val="00B04B09"/>
    <w:rsid w:val="00B04BA2"/>
    <w:rsid w:val="00B04C3A"/>
    <w:rsid w:val="00B052B9"/>
    <w:rsid w:val="00B053C8"/>
    <w:rsid w:val="00B0586D"/>
    <w:rsid w:val="00B0616D"/>
    <w:rsid w:val="00B07ECC"/>
    <w:rsid w:val="00B10657"/>
    <w:rsid w:val="00B114AC"/>
    <w:rsid w:val="00B11E3A"/>
    <w:rsid w:val="00B128A8"/>
    <w:rsid w:val="00B13336"/>
    <w:rsid w:val="00B138C8"/>
    <w:rsid w:val="00B13BC2"/>
    <w:rsid w:val="00B13EE3"/>
    <w:rsid w:val="00B16A51"/>
    <w:rsid w:val="00B17B65"/>
    <w:rsid w:val="00B21FF4"/>
    <w:rsid w:val="00B23F91"/>
    <w:rsid w:val="00B241C3"/>
    <w:rsid w:val="00B279FD"/>
    <w:rsid w:val="00B30019"/>
    <w:rsid w:val="00B3048E"/>
    <w:rsid w:val="00B311DA"/>
    <w:rsid w:val="00B32222"/>
    <w:rsid w:val="00B3269F"/>
    <w:rsid w:val="00B3440D"/>
    <w:rsid w:val="00B34EB4"/>
    <w:rsid w:val="00B35155"/>
    <w:rsid w:val="00B3618D"/>
    <w:rsid w:val="00B36233"/>
    <w:rsid w:val="00B36611"/>
    <w:rsid w:val="00B37804"/>
    <w:rsid w:val="00B402FF"/>
    <w:rsid w:val="00B40509"/>
    <w:rsid w:val="00B41318"/>
    <w:rsid w:val="00B41474"/>
    <w:rsid w:val="00B41565"/>
    <w:rsid w:val="00B41829"/>
    <w:rsid w:val="00B41B08"/>
    <w:rsid w:val="00B42851"/>
    <w:rsid w:val="00B431D0"/>
    <w:rsid w:val="00B439EF"/>
    <w:rsid w:val="00B45AC3"/>
    <w:rsid w:val="00B45AC7"/>
    <w:rsid w:val="00B460F0"/>
    <w:rsid w:val="00B463F1"/>
    <w:rsid w:val="00B47229"/>
    <w:rsid w:val="00B4746B"/>
    <w:rsid w:val="00B51574"/>
    <w:rsid w:val="00B5313A"/>
    <w:rsid w:val="00B5372F"/>
    <w:rsid w:val="00B53987"/>
    <w:rsid w:val="00B56261"/>
    <w:rsid w:val="00B56390"/>
    <w:rsid w:val="00B61129"/>
    <w:rsid w:val="00B617C1"/>
    <w:rsid w:val="00B61C63"/>
    <w:rsid w:val="00B6238C"/>
    <w:rsid w:val="00B64F73"/>
    <w:rsid w:val="00B653E8"/>
    <w:rsid w:val="00B65516"/>
    <w:rsid w:val="00B6561A"/>
    <w:rsid w:val="00B65EFB"/>
    <w:rsid w:val="00B66364"/>
    <w:rsid w:val="00B66483"/>
    <w:rsid w:val="00B67E7F"/>
    <w:rsid w:val="00B70935"/>
    <w:rsid w:val="00B70A16"/>
    <w:rsid w:val="00B72896"/>
    <w:rsid w:val="00B72AF0"/>
    <w:rsid w:val="00B7357F"/>
    <w:rsid w:val="00B7461A"/>
    <w:rsid w:val="00B74D4D"/>
    <w:rsid w:val="00B75E30"/>
    <w:rsid w:val="00B75F91"/>
    <w:rsid w:val="00B7659E"/>
    <w:rsid w:val="00B77C66"/>
    <w:rsid w:val="00B81F3C"/>
    <w:rsid w:val="00B839B2"/>
    <w:rsid w:val="00B84D45"/>
    <w:rsid w:val="00B85B4F"/>
    <w:rsid w:val="00B9005A"/>
    <w:rsid w:val="00B90D0F"/>
    <w:rsid w:val="00B91855"/>
    <w:rsid w:val="00B92F73"/>
    <w:rsid w:val="00B9346D"/>
    <w:rsid w:val="00B939BF"/>
    <w:rsid w:val="00B93D59"/>
    <w:rsid w:val="00B93E33"/>
    <w:rsid w:val="00B94252"/>
    <w:rsid w:val="00B959EA"/>
    <w:rsid w:val="00B95A27"/>
    <w:rsid w:val="00B962EC"/>
    <w:rsid w:val="00B96D6F"/>
    <w:rsid w:val="00B9715A"/>
    <w:rsid w:val="00BA14BE"/>
    <w:rsid w:val="00BA1607"/>
    <w:rsid w:val="00BA217C"/>
    <w:rsid w:val="00BA2732"/>
    <w:rsid w:val="00BA293D"/>
    <w:rsid w:val="00BA40D7"/>
    <w:rsid w:val="00BA49BC"/>
    <w:rsid w:val="00BA548C"/>
    <w:rsid w:val="00BA56B7"/>
    <w:rsid w:val="00BA7348"/>
    <w:rsid w:val="00BA7A1E"/>
    <w:rsid w:val="00BA7B3B"/>
    <w:rsid w:val="00BB089F"/>
    <w:rsid w:val="00BB2F6C"/>
    <w:rsid w:val="00BB3875"/>
    <w:rsid w:val="00BB4A51"/>
    <w:rsid w:val="00BB5860"/>
    <w:rsid w:val="00BB65BD"/>
    <w:rsid w:val="00BB6AAD"/>
    <w:rsid w:val="00BC20D6"/>
    <w:rsid w:val="00BC2E0D"/>
    <w:rsid w:val="00BC3794"/>
    <w:rsid w:val="00BC4935"/>
    <w:rsid w:val="00BC4A19"/>
    <w:rsid w:val="00BC4E6D"/>
    <w:rsid w:val="00BC5030"/>
    <w:rsid w:val="00BC5A46"/>
    <w:rsid w:val="00BC5A65"/>
    <w:rsid w:val="00BC75AB"/>
    <w:rsid w:val="00BC77A9"/>
    <w:rsid w:val="00BD0617"/>
    <w:rsid w:val="00BD2509"/>
    <w:rsid w:val="00BD2E9B"/>
    <w:rsid w:val="00BD3356"/>
    <w:rsid w:val="00BD3C44"/>
    <w:rsid w:val="00BD4A2D"/>
    <w:rsid w:val="00BD4B52"/>
    <w:rsid w:val="00BD52AB"/>
    <w:rsid w:val="00BD5D26"/>
    <w:rsid w:val="00BD5ECE"/>
    <w:rsid w:val="00BD6644"/>
    <w:rsid w:val="00BD6FED"/>
    <w:rsid w:val="00BD7632"/>
    <w:rsid w:val="00BD7FB2"/>
    <w:rsid w:val="00BE0176"/>
    <w:rsid w:val="00BE1020"/>
    <w:rsid w:val="00BE17BC"/>
    <w:rsid w:val="00BE24E5"/>
    <w:rsid w:val="00BE370A"/>
    <w:rsid w:val="00BE39DC"/>
    <w:rsid w:val="00BE45EB"/>
    <w:rsid w:val="00BE47BE"/>
    <w:rsid w:val="00BE6847"/>
    <w:rsid w:val="00BE6FC0"/>
    <w:rsid w:val="00BE7839"/>
    <w:rsid w:val="00BF4815"/>
    <w:rsid w:val="00BF4A9C"/>
    <w:rsid w:val="00BF5216"/>
    <w:rsid w:val="00BF78BC"/>
    <w:rsid w:val="00C00265"/>
    <w:rsid w:val="00C00396"/>
    <w:rsid w:val="00C00930"/>
    <w:rsid w:val="00C0115E"/>
    <w:rsid w:val="00C02489"/>
    <w:rsid w:val="00C02D4C"/>
    <w:rsid w:val="00C03316"/>
    <w:rsid w:val="00C03F25"/>
    <w:rsid w:val="00C040B3"/>
    <w:rsid w:val="00C060AD"/>
    <w:rsid w:val="00C061BC"/>
    <w:rsid w:val="00C06548"/>
    <w:rsid w:val="00C067E4"/>
    <w:rsid w:val="00C06D77"/>
    <w:rsid w:val="00C113BF"/>
    <w:rsid w:val="00C117A3"/>
    <w:rsid w:val="00C12301"/>
    <w:rsid w:val="00C1707B"/>
    <w:rsid w:val="00C2176E"/>
    <w:rsid w:val="00C2244E"/>
    <w:rsid w:val="00C23430"/>
    <w:rsid w:val="00C2609A"/>
    <w:rsid w:val="00C26966"/>
    <w:rsid w:val="00C27D67"/>
    <w:rsid w:val="00C305DA"/>
    <w:rsid w:val="00C30C4B"/>
    <w:rsid w:val="00C31072"/>
    <w:rsid w:val="00C3127F"/>
    <w:rsid w:val="00C32580"/>
    <w:rsid w:val="00C325D4"/>
    <w:rsid w:val="00C330C8"/>
    <w:rsid w:val="00C3349A"/>
    <w:rsid w:val="00C336AD"/>
    <w:rsid w:val="00C3385C"/>
    <w:rsid w:val="00C33D2D"/>
    <w:rsid w:val="00C33FF9"/>
    <w:rsid w:val="00C36E45"/>
    <w:rsid w:val="00C37851"/>
    <w:rsid w:val="00C37D30"/>
    <w:rsid w:val="00C4048E"/>
    <w:rsid w:val="00C41066"/>
    <w:rsid w:val="00C4471C"/>
    <w:rsid w:val="00C4507B"/>
    <w:rsid w:val="00C45E27"/>
    <w:rsid w:val="00C4631F"/>
    <w:rsid w:val="00C46819"/>
    <w:rsid w:val="00C46DF5"/>
    <w:rsid w:val="00C46FF5"/>
    <w:rsid w:val="00C4775F"/>
    <w:rsid w:val="00C47CDE"/>
    <w:rsid w:val="00C47DB6"/>
    <w:rsid w:val="00C47F1D"/>
    <w:rsid w:val="00C50E16"/>
    <w:rsid w:val="00C51BE6"/>
    <w:rsid w:val="00C5424A"/>
    <w:rsid w:val="00C55258"/>
    <w:rsid w:val="00C56B2C"/>
    <w:rsid w:val="00C631BD"/>
    <w:rsid w:val="00C639FC"/>
    <w:rsid w:val="00C66473"/>
    <w:rsid w:val="00C67096"/>
    <w:rsid w:val="00C70F46"/>
    <w:rsid w:val="00C72D25"/>
    <w:rsid w:val="00C75FCB"/>
    <w:rsid w:val="00C77EF7"/>
    <w:rsid w:val="00C80C5E"/>
    <w:rsid w:val="00C81A4B"/>
    <w:rsid w:val="00C81BC4"/>
    <w:rsid w:val="00C8260F"/>
    <w:rsid w:val="00C82A00"/>
    <w:rsid w:val="00C82DB9"/>
    <w:rsid w:val="00C82E6C"/>
    <w:rsid w:val="00C82EEB"/>
    <w:rsid w:val="00C82FDB"/>
    <w:rsid w:val="00C830E1"/>
    <w:rsid w:val="00C8310A"/>
    <w:rsid w:val="00C83A6B"/>
    <w:rsid w:val="00C84350"/>
    <w:rsid w:val="00C85C4B"/>
    <w:rsid w:val="00C86B52"/>
    <w:rsid w:val="00C91412"/>
    <w:rsid w:val="00C919EE"/>
    <w:rsid w:val="00C9235A"/>
    <w:rsid w:val="00C940AC"/>
    <w:rsid w:val="00C971DC"/>
    <w:rsid w:val="00CA16B7"/>
    <w:rsid w:val="00CA22F6"/>
    <w:rsid w:val="00CA2840"/>
    <w:rsid w:val="00CA32D7"/>
    <w:rsid w:val="00CA39DB"/>
    <w:rsid w:val="00CA4ABB"/>
    <w:rsid w:val="00CA5CA6"/>
    <w:rsid w:val="00CA62AE"/>
    <w:rsid w:val="00CA7567"/>
    <w:rsid w:val="00CA7BD9"/>
    <w:rsid w:val="00CB2F65"/>
    <w:rsid w:val="00CB3522"/>
    <w:rsid w:val="00CB3682"/>
    <w:rsid w:val="00CB377D"/>
    <w:rsid w:val="00CB437F"/>
    <w:rsid w:val="00CB45CA"/>
    <w:rsid w:val="00CB5B1A"/>
    <w:rsid w:val="00CB5CB4"/>
    <w:rsid w:val="00CC110B"/>
    <w:rsid w:val="00CC220B"/>
    <w:rsid w:val="00CC300E"/>
    <w:rsid w:val="00CC4EFA"/>
    <w:rsid w:val="00CC5C43"/>
    <w:rsid w:val="00CC77D6"/>
    <w:rsid w:val="00CD0104"/>
    <w:rsid w:val="00CD02AE"/>
    <w:rsid w:val="00CD1365"/>
    <w:rsid w:val="00CD2A4F"/>
    <w:rsid w:val="00CD2F3F"/>
    <w:rsid w:val="00CD30ED"/>
    <w:rsid w:val="00CD690F"/>
    <w:rsid w:val="00CD709C"/>
    <w:rsid w:val="00CD719E"/>
    <w:rsid w:val="00CD7524"/>
    <w:rsid w:val="00CD7863"/>
    <w:rsid w:val="00CD7CDF"/>
    <w:rsid w:val="00CE03CA"/>
    <w:rsid w:val="00CE0C3D"/>
    <w:rsid w:val="00CE1370"/>
    <w:rsid w:val="00CE22F1"/>
    <w:rsid w:val="00CE2F7D"/>
    <w:rsid w:val="00CE4A8F"/>
    <w:rsid w:val="00CE50F2"/>
    <w:rsid w:val="00CE52EC"/>
    <w:rsid w:val="00CE623E"/>
    <w:rsid w:val="00CE6502"/>
    <w:rsid w:val="00CE7DA0"/>
    <w:rsid w:val="00CF1F96"/>
    <w:rsid w:val="00CF2C1D"/>
    <w:rsid w:val="00CF303F"/>
    <w:rsid w:val="00CF3D5E"/>
    <w:rsid w:val="00CF43EE"/>
    <w:rsid w:val="00CF6031"/>
    <w:rsid w:val="00CF7378"/>
    <w:rsid w:val="00CF74BE"/>
    <w:rsid w:val="00CF7D3C"/>
    <w:rsid w:val="00CF7F78"/>
    <w:rsid w:val="00CF7FCB"/>
    <w:rsid w:val="00D01A23"/>
    <w:rsid w:val="00D01C27"/>
    <w:rsid w:val="00D01F09"/>
    <w:rsid w:val="00D02206"/>
    <w:rsid w:val="00D028DF"/>
    <w:rsid w:val="00D03C55"/>
    <w:rsid w:val="00D04362"/>
    <w:rsid w:val="00D046C8"/>
    <w:rsid w:val="00D065F3"/>
    <w:rsid w:val="00D07084"/>
    <w:rsid w:val="00D07559"/>
    <w:rsid w:val="00D11865"/>
    <w:rsid w:val="00D11CB4"/>
    <w:rsid w:val="00D12299"/>
    <w:rsid w:val="00D13175"/>
    <w:rsid w:val="00D13AA2"/>
    <w:rsid w:val="00D147EB"/>
    <w:rsid w:val="00D14E0C"/>
    <w:rsid w:val="00D16150"/>
    <w:rsid w:val="00D2028F"/>
    <w:rsid w:val="00D20F15"/>
    <w:rsid w:val="00D22045"/>
    <w:rsid w:val="00D225AD"/>
    <w:rsid w:val="00D229A8"/>
    <w:rsid w:val="00D229B0"/>
    <w:rsid w:val="00D2794B"/>
    <w:rsid w:val="00D30C82"/>
    <w:rsid w:val="00D3262E"/>
    <w:rsid w:val="00D32A41"/>
    <w:rsid w:val="00D34667"/>
    <w:rsid w:val="00D35941"/>
    <w:rsid w:val="00D37443"/>
    <w:rsid w:val="00D37589"/>
    <w:rsid w:val="00D401E1"/>
    <w:rsid w:val="00D40308"/>
    <w:rsid w:val="00D408B4"/>
    <w:rsid w:val="00D43976"/>
    <w:rsid w:val="00D43E99"/>
    <w:rsid w:val="00D44265"/>
    <w:rsid w:val="00D44B21"/>
    <w:rsid w:val="00D44FBF"/>
    <w:rsid w:val="00D45286"/>
    <w:rsid w:val="00D4625E"/>
    <w:rsid w:val="00D470E9"/>
    <w:rsid w:val="00D50537"/>
    <w:rsid w:val="00D50CDB"/>
    <w:rsid w:val="00D51219"/>
    <w:rsid w:val="00D524C8"/>
    <w:rsid w:val="00D529C8"/>
    <w:rsid w:val="00D52EE8"/>
    <w:rsid w:val="00D531B6"/>
    <w:rsid w:val="00D5329F"/>
    <w:rsid w:val="00D53967"/>
    <w:rsid w:val="00D53BF8"/>
    <w:rsid w:val="00D55F16"/>
    <w:rsid w:val="00D56A98"/>
    <w:rsid w:val="00D60EDC"/>
    <w:rsid w:val="00D6120D"/>
    <w:rsid w:val="00D61B53"/>
    <w:rsid w:val="00D635A4"/>
    <w:rsid w:val="00D65099"/>
    <w:rsid w:val="00D65E2E"/>
    <w:rsid w:val="00D66761"/>
    <w:rsid w:val="00D6759B"/>
    <w:rsid w:val="00D67EEA"/>
    <w:rsid w:val="00D705E6"/>
    <w:rsid w:val="00D70E24"/>
    <w:rsid w:val="00D71FBE"/>
    <w:rsid w:val="00D72B61"/>
    <w:rsid w:val="00D73870"/>
    <w:rsid w:val="00D73C15"/>
    <w:rsid w:val="00D73F7E"/>
    <w:rsid w:val="00D75564"/>
    <w:rsid w:val="00D766EA"/>
    <w:rsid w:val="00D768EB"/>
    <w:rsid w:val="00D77F98"/>
    <w:rsid w:val="00D818A0"/>
    <w:rsid w:val="00D81C1D"/>
    <w:rsid w:val="00D83051"/>
    <w:rsid w:val="00D84A71"/>
    <w:rsid w:val="00D85E1D"/>
    <w:rsid w:val="00D86097"/>
    <w:rsid w:val="00D86B9F"/>
    <w:rsid w:val="00D86C6D"/>
    <w:rsid w:val="00D87BCF"/>
    <w:rsid w:val="00D87DC5"/>
    <w:rsid w:val="00D90244"/>
    <w:rsid w:val="00D919AB"/>
    <w:rsid w:val="00D92C53"/>
    <w:rsid w:val="00D9365C"/>
    <w:rsid w:val="00D94C9F"/>
    <w:rsid w:val="00DA3D1D"/>
    <w:rsid w:val="00DA5629"/>
    <w:rsid w:val="00DA7D51"/>
    <w:rsid w:val="00DB032E"/>
    <w:rsid w:val="00DB03AE"/>
    <w:rsid w:val="00DB136E"/>
    <w:rsid w:val="00DB1DE5"/>
    <w:rsid w:val="00DB36F8"/>
    <w:rsid w:val="00DB4B98"/>
    <w:rsid w:val="00DB56E4"/>
    <w:rsid w:val="00DB6286"/>
    <w:rsid w:val="00DB6457"/>
    <w:rsid w:val="00DB645F"/>
    <w:rsid w:val="00DB714D"/>
    <w:rsid w:val="00DB76E9"/>
    <w:rsid w:val="00DB7B1B"/>
    <w:rsid w:val="00DC03F0"/>
    <w:rsid w:val="00DC0A67"/>
    <w:rsid w:val="00DC1D5E"/>
    <w:rsid w:val="00DC26FE"/>
    <w:rsid w:val="00DC2A1F"/>
    <w:rsid w:val="00DC31A0"/>
    <w:rsid w:val="00DC33BF"/>
    <w:rsid w:val="00DC374D"/>
    <w:rsid w:val="00DC3FD2"/>
    <w:rsid w:val="00DC5220"/>
    <w:rsid w:val="00DC5907"/>
    <w:rsid w:val="00DC6C56"/>
    <w:rsid w:val="00DD0559"/>
    <w:rsid w:val="00DD102F"/>
    <w:rsid w:val="00DD2061"/>
    <w:rsid w:val="00DD3B8C"/>
    <w:rsid w:val="00DD57E6"/>
    <w:rsid w:val="00DD64CE"/>
    <w:rsid w:val="00DD74DB"/>
    <w:rsid w:val="00DD7B83"/>
    <w:rsid w:val="00DD7DAB"/>
    <w:rsid w:val="00DE04DE"/>
    <w:rsid w:val="00DE16AD"/>
    <w:rsid w:val="00DE1E35"/>
    <w:rsid w:val="00DE2C40"/>
    <w:rsid w:val="00DE3355"/>
    <w:rsid w:val="00DE4E21"/>
    <w:rsid w:val="00DE6AB8"/>
    <w:rsid w:val="00DE7DA4"/>
    <w:rsid w:val="00DF0C60"/>
    <w:rsid w:val="00DF24CF"/>
    <w:rsid w:val="00DF34A4"/>
    <w:rsid w:val="00DF370F"/>
    <w:rsid w:val="00DF486F"/>
    <w:rsid w:val="00DF5B5B"/>
    <w:rsid w:val="00DF61E8"/>
    <w:rsid w:val="00DF622C"/>
    <w:rsid w:val="00DF689D"/>
    <w:rsid w:val="00DF6BD8"/>
    <w:rsid w:val="00DF6C3C"/>
    <w:rsid w:val="00DF6DFF"/>
    <w:rsid w:val="00DF7619"/>
    <w:rsid w:val="00DF7E2D"/>
    <w:rsid w:val="00E01553"/>
    <w:rsid w:val="00E031F6"/>
    <w:rsid w:val="00E042D8"/>
    <w:rsid w:val="00E05608"/>
    <w:rsid w:val="00E05B42"/>
    <w:rsid w:val="00E0729C"/>
    <w:rsid w:val="00E073A2"/>
    <w:rsid w:val="00E07EE7"/>
    <w:rsid w:val="00E10DF3"/>
    <w:rsid w:val="00E1103B"/>
    <w:rsid w:val="00E119AD"/>
    <w:rsid w:val="00E13A8B"/>
    <w:rsid w:val="00E13CE8"/>
    <w:rsid w:val="00E1421F"/>
    <w:rsid w:val="00E154A4"/>
    <w:rsid w:val="00E15835"/>
    <w:rsid w:val="00E169F3"/>
    <w:rsid w:val="00E17A73"/>
    <w:rsid w:val="00E17ADF"/>
    <w:rsid w:val="00E17B44"/>
    <w:rsid w:val="00E201AA"/>
    <w:rsid w:val="00E20D32"/>
    <w:rsid w:val="00E20EB7"/>
    <w:rsid w:val="00E20F27"/>
    <w:rsid w:val="00E21A4E"/>
    <w:rsid w:val="00E21ACE"/>
    <w:rsid w:val="00E22443"/>
    <w:rsid w:val="00E232BF"/>
    <w:rsid w:val="00E251F8"/>
    <w:rsid w:val="00E25B1F"/>
    <w:rsid w:val="00E26A01"/>
    <w:rsid w:val="00E27FEA"/>
    <w:rsid w:val="00E30D29"/>
    <w:rsid w:val="00E33172"/>
    <w:rsid w:val="00E349C9"/>
    <w:rsid w:val="00E364D0"/>
    <w:rsid w:val="00E36AD6"/>
    <w:rsid w:val="00E36B1C"/>
    <w:rsid w:val="00E37ABD"/>
    <w:rsid w:val="00E407A0"/>
    <w:rsid w:val="00E4086F"/>
    <w:rsid w:val="00E40BC7"/>
    <w:rsid w:val="00E42BCE"/>
    <w:rsid w:val="00E43049"/>
    <w:rsid w:val="00E434C9"/>
    <w:rsid w:val="00E43813"/>
    <w:rsid w:val="00E43B3C"/>
    <w:rsid w:val="00E44326"/>
    <w:rsid w:val="00E46586"/>
    <w:rsid w:val="00E50188"/>
    <w:rsid w:val="00E50BB3"/>
    <w:rsid w:val="00E50E00"/>
    <w:rsid w:val="00E51084"/>
    <w:rsid w:val="00E5125F"/>
    <w:rsid w:val="00E515CB"/>
    <w:rsid w:val="00E518A2"/>
    <w:rsid w:val="00E51B1B"/>
    <w:rsid w:val="00E52260"/>
    <w:rsid w:val="00E523D6"/>
    <w:rsid w:val="00E531E9"/>
    <w:rsid w:val="00E538F5"/>
    <w:rsid w:val="00E53FC7"/>
    <w:rsid w:val="00E5602F"/>
    <w:rsid w:val="00E561FC"/>
    <w:rsid w:val="00E577B5"/>
    <w:rsid w:val="00E608C6"/>
    <w:rsid w:val="00E61094"/>
    <w:rsid w:val="00E63977"/>
    <w:rsid w:val="00E639B6"/>
    <w:rsid w:val="00E6434B"/>
    <w:rsid w:val="00E6463D"/>
    <w:rsid w:val="00E67759"/>
    <w:rsid w:val="00E67861"/>
    <w:rsid w:val="00E7105D"/>
    <w:rsid w:val="00E7255B"/>
    <w:rsid w:val="00E72E9B"/>
    <w:rsid w:val="00E73BCA"/>
    <w:rsid w:val="00E73CA1"/>
    <w:rsid w:val="00E7411C"/>
    <w:rsid w:val="00E76EA6"/>
    <w:rsid w:val="00E80B2F"/>
    <w:rsid w:val="00E82034"/>
    <w:rsid w:val="00E820EB"/>
    <w:rsid w:val="00E83676"/>
    <w:rsid w:val="00E83C9C"/>
    <w:rsid w:val="00E83D10"/>
    <w:rsid w:val="00E850C3"/>
    <w:rsid w:val="00E851FF"/>
    <w:rsid w:val="00E854F2"/>
    <w:rsid w:val="00E8744B"/>
    <w:rsid w:val="00E87818"/>
    <w:rsid w:val="00E87D36"/>
    <w:rsid w:val="00E87DF2"/>
    <w:rsid w:val="00E90F17"/>
    <w:rsid w:val="00E90F37"/>
    <w:rsid w:val="00E921E2"/>
    <w:rsid w:val="00E9338C"/>
    <w:rsid w:val="00E9462E"/>
    <w:rsid w:val="00E952A8"/>
    <w:rsid w:val="00E961F1"/>
    <w:rsid w:val="00E967E4"/>
    <w:rsid w:val="00E96879"/>
    <w:rsid w:val="00E97554"/>
    <w:rsid w:val="00E97B1D"/>
    <w:rsid w:val="00EA0089"/>
    <w:rsid w:val="00EA14FA"/>
    <w:rsid w:val="00EA29E1"/>
    <w:rsid w:val="00EA2B8D"/>
    <w:rsid w:val="00EA3E84"/>
    <w:rsid w:val="00EA3EFA"/>
    <w:rsid w:val="00EA470E"/>
    <w:rsid w:val="00EA47A7"/>
    <w:rsid w:val="00EA57EB"/>
    <w:rsid w:val="00EA59A0"/>
    <w:rsid w:val="00EA7508"/>
    <w:rsid w:val="00EB0C37"/>
    <w:rsid w:val="00EB2B21"/>
    <w:rsid w:val="00EB3226"/>
    <w:rsid w:val="00EB40BB"/>
    <w:rsid w:val="00EB5163"/>
    <w:rsid w:val="00EB55BE"/>
    <w:rsid w:val="00EB6A6B"/>
    <w:rsid w:val="00EB6DFE"/>
    <w:rsid w:val="00EB76D8"/>
    <w:rsid w:val="00EC0630"/>
    <w:rsid w:val="00EC131C"/>
    <w:rsid w:val="00EC207B"/>
    <w:rsid w:val="00EC213A"/>
    <w:rsid w:val="00EC6402"/>
    <w:rsid w:val="00EC6528"/>
    <w:rsid w:val="00EC722C"/>
    <w:rsid w:val="00EC7744"/>
    <w:rsid w:val="00ED0DAD"/>
    <w:rsid w:val="00ED0F46"/>
    <w:rsid w:val="00ED1023"/>
    <w:rsid w:val="00ED1DF6"/>
    <w:rsid w:val="00ED2373"/>
    <w:rsid w:val="00ED2D92"/>
    <w:rsid w:val="00ED39D4"/>
    <w:rsid w:val="00ED3B0F"/>
    <w:rsid w:val="00ED4E9D"/>
    <w:rsid w:val="00ED5BCA"/>
    <w:rsid w:val="00ED601B"/>
    <w:rsid w:val="00ED684A"/>
    <w:rsid w:val="00ED6E82"/>
    <w:rsid w:val="00ED72B3"/>
    <w:rsid w:val="00ED7CDC"/>
    <w:rsid w:val="00EE0D51"/>
    <w:rsid w:val="00EE2DFB"/>
    <w:rsid w:val="00EE3E8A"/>
    <w:rsid w:val="00EE61A1"/>
    <w:rsid w:val="00EE6C21"/>
    <w:rsid w:val="00EE746D"/>
    <w:rsid w:val="00EE7E1E"/>
    <w:rsid w:val="00EF1797"/>
    <w:rsid w:val="00EF1C7E"/>
    <w:rsid w:val="00EF2008"/>
    <w:rsid w:val="00EF3000"/>
    <w:rsid w:val="00EF3AB8"/>
    <w:rsid w:val="00EF3C3A"/>
    <w:rsid w:val="00EF43DF"/>
    <w:rsid w:val="00EF58B8"/>
    <w:rsid w:val="00EF5970"/>
    <w:rsid w:val="00EF59E1"/>
    <w:rsid w:val="00EF640A"/>
    <w:rsid w:val="00EF6B64"/>
    <w:rsid w:val="00EF6ECA"/>
    <w:rsid w:val="00EF6F94"/>
    <w:rsid w:val="00EF700E"/>
    <w:rsid w:val="00EF7175"/>
    <w:rsid w:val="00EF7D28"/>
    <w:rsid w:val="00F00D3F"/>
    <w:rsid w:val="00F01140"/>
    <w:rsid w:val="00F024E1"/>
    <w:rsid w:val="00F02687"/>
    <w:rsid w:val="00F03A90"/>
    <w:rsid w:val="00F05DD8"/>
    <w:rsid w:val="00F06C10"/>
    <w:rsid w:val="00F1096F"/>
    <w:rsid w:val="00F12589"/>
    <w:rsid w:val="00F12595"/>
    <w:rsid w:val="00F134D9"/>
    <w:rsid w:val="00F13E15"/>
    <w:rsid w:val="00F1403D"/>
    <w:rsid w:val="00F140A9"/>
    <w:rsid w:val="00F1463F"/>
    <w:rsid w:val="00F15A8C"/>
    <w:rsid w:val="00F15C00"/>
    <w:rsid w:val="00F16078"/>
    <w:rsid w:val="00F16751"/>
    <w:rsid w:val="00F20D32"/>
    <w:rsid w:val="00F20F44"/>
    <w:rsid w:val="00F20F63"/>
    <w:rsid w:val="00F21302"/>
    <w:rsid w:val="00F2138E"/>
    <w:rsid w:val="00F23082"/>
    <w:rsid w:val="00F23F1E"/>
    <w:rsid w:val="00F2430D"/>
    <w:rsid w:val="00F24831"/>
    <w:rsid w:val="00F24CEF"/>
    <w:rsid w:val="00F25D9B"/>
    <w:rsid w:val="00F271CD"/>
    <w:rsid w:val="00F27F9A"/>
    <w:rsid w:val="00F30E36"/>
    <w:rsid w:val="00F321DE"/>
    <w:rsid w:val="00F32F20"/>
    <w:rsid w:val="00F33777"/>
    <w:rsid w:val="00F3442B"/>
    <w:rsid w:val="00F34B76"/>
    <w:rsid w:val="00F4038A"/>
    <w:rsid w:val="00F40648"/>
    <w:rsid w:val="00F41505"/>
    <w:rsid w:val="00F417C5"/>
    <w:rsid w:val="00F41B68"/>
    <w:rsid w:val="00F4337E"/>
    <w:rsid w:val="00F4402A"/>
    <w:rsid w:val="00F444AA"/>
    <w:rsid w:val="00F44DAF"/>
    <w:rsid w:val="00F47DA2"/>
    <w:rsid w:val="00F500CA"/>
    <w:rsid w:val="00F519FC"/>
    <w:rsid w:val="00F538BC"/>
    <w:rsid w:val="00F53E52"/>
    <w:rsid w:val="00F54402"/>
    <w:rsid w:val="00F56618"/>
    <w:rsid w:val="00F576A1"/>
    <w:rsid w:val="00F609A9"/>
    <w:rsid w:val="00F616C6"/>
    <w:rsid w:val="00F616FF"/>
    <w:rsid w:val="00F6239D"/>
    <w:rsid w:val="00F6358E"/>
    <w:rsid w:val="00F63B40"/>
    <w:rsid w:val="00F64369"/>
    <w:rsid w:val="00F66D62"/>
    <w:rsid w:val="00F67B21"/>
    <w:rsid w:val="00F70653"/>
    <w:rsid w:val="00F715D2"/>
    <w:rsid w:val="00F71F20"/>
    <w:rsid w:val="00F7274F"/>
    <w:rsid w:val="00F74BD1"/>
    <w:rsid w:val="00F74E84"/>
    <w:rsid w:val="00F76FA8"/>
    <w:rsid w:val="00F77E20"/>
    <w:rsid w:val="00F80257"/>
    <w:rsid w:val="00F8091B"/>
    <w:rsid w:val="00F81793"/>
    <w:rsid w:val="00F818CC"/>
    <w:rsid w:val="00F820E2"/>
    <w:rsid w:val="00F83114"/>
    <w:rsid w:val="00F84417"/>
    <w:rsid w:val="00F850B0"/>
    <w:rsid w:val="00F85A23"/>
    <w:rsid w:val="00F8612B"/>
    <w:rsid w:val="00F86B2D"/>
    <w:rsid w:val="00F87B09"/>
    <w:rsid w:val="00F90DF5"/>
    <w:rsid w:val="00F9108C"/>
    <w:rsid w:val="00F93F08"/>
    <w:rsid w:val="00F944E1"/>
    <w:rsid w:val="00F946B1"/>
    <w:rsid w:val="00F94CED"/>
    <w:rsid w:val="00F95009"/>
    <w:rsid w:val="00F957D9"/>
    <w:rsid w:val="00F959CD"/>
    <w:rsid w:val="00F96697"/>
    <w:rsid w:val="00F9733A"/>
    <w:rsid w:val="00F9755E"/>
    <w:rsid w:val="00F97B99"/>
    <w:rsid w:val="00FA02BB"/>
    <w:rsid w:val="00FA1AC8"/>
    <w:rsid w:val="00FA1E14"/>
    <w:rsid w:val="00FA23CA"/>
    <w:rsid w:val="00FA24D3"/>
    <w:rsid w:val="00FA2947"/>
    <w:rsid w:val="00FA2CEE"/>
    <w:rsid w:val="00FA318C"/>
    <w:rsid w:val="00FA5479"/>
    <w:rsid w:val="00FA5501"/>
    <w:rsid w:val="00FA6542"/>
    <w:rsid w:val="00FA65B9"/>
    <w:rsid w:val="00FA7126"/>
    <w:rsid w:val="00FB0962"/>
    <w:rsid w:val="00FB18B9"/>
    <w:rsid w:val="00FB272F"/>
    <w:rsid w:val="00FB29E2"/>
    <w:rsid w:val="00FB330A"/>
    <w:rsid w:val="00FB38E4"/>
    <w:rsid w:val="00FB3BD4"/>
    <w:rsid w:val="00FB44DC"/>
    <w:rsid w:val="00FB5A52"/>
    <w:rsid w:val="00FB6F92"/>
    <w:rsid w:val="00FC026E"/>
    <w:rsid w:val="00FC091C"/>
    <w:rsid w:val="00FC0EC2"/>
    <w:rsid w:val="00FC1ABF"/>
    <w:rsid w:val="00FC2955"/>
    <w:rsid w:val="00FC3514"/>
    <w:rsid w:val="00FC5124"/>
    <w:rsid w:val="00FC655E"/>
    <w:rsid w:val="00FC6ED5"/>
    <w:rsid w:val="00FD0E5F"/>
    <w:rsid w:val="00FD1A61"/>
    <w:rsid w:val="00FD22E8"/>
    <w:rsid w:val="00FD4731"/>
    <w:rsid w:val="00FD4BD5"/>
    <w:rsid w:val="00FD4E12"/>
    <w:rsid w:val="00FD51EB"/>
    <w:rsid w:val="00FD6768"/>
    <w:rsid w:val="00FD70A1"/>
    <w:rsid w:val="00FE0304"/>
    <w:rsid w:val="00FE0AFB"/>
    <w:rsid w:val="00FE1A57"/>
    <w:rsid w:val="00FE1B2E"/>
    <w:rsid w:val="00FE219A"/>
    <w:rsid w:val="00FE610D"/>
    <w:rsid w:val="00FE62E4"/>
    <w:rsid w:val="00FF0AB0"/>
    <w:rsid w:val="00FF0F45"/>
    <w:rsid w:val="00FF26A8"/>
    <w:rsid w:val="00FF28AC"/>
    <w:rsid w:val="00FF4128"/>
    <w:rsid w:val="00FF4C40"/>
    <w:rsid w:val="00FF55D5"/>
    <w:rsid w:val="00FF5E25"/>
    <w:rsid w:val="00FF5FDB"/>
    <w:rsid w:val="00FF777D"/>
    <w:rsid w:val="00FF7F62"/>
    <w:rsid w:val="018E902D"/>
    <w:rsid w:val="09A96AB2"/>
    <w:rsid w:val="0A3B1379"/>
    <w:rsid w:val="0E6C29BF"/>
    <w:rsid w:val="0EF51E13"/>
    <w:rsid w:val="107731E2"/>
    <w:rsid w:val="130590EA"/>
    <w:rsid w:val="1E4F513A"/>
    <w:rsid w:val="1ECEF0C6"/>
    <w:rsid w:val="1FE4AE37"/>
    <w:rsid w:val="20625B11"/>
    <w:rsid w:val="226E07B4"/>
    <w:rsid w:val="25E2F120"/>
    <w:rsid w:val="262F3517"/>
    <w:rsid w:val="29DDF81D"/>
    <w:rsid w:val="2FABBB30"/>
    <w:rsid w:val="2FB2A1C0"/>
    <w:rsid w:val="30C977BC"/>
    <w:rsid w:val="3168AD16"/>
    <w:rsid w:val="37181130"/>
    <w:rsid w:val="39FD4AD2"/>
    <w:rsid w:val="3D50752C"/>
    <w:rsid w:val="3D9D56A4"/>
    <w:rsid w:val="3FADDB9E"/>
    <w:rsid w:val="431012CA"/>
    <w:rsid w:val="439C3B2C"/>
    <w:rsid w:val="45596CB8"/>
    <w:rsid w:val="4776E134"/>
    <w:rsid w:val="48B3D975"/>
    <w:rsid w:val="4ADE8AA5"/>
    <w:rsid w:val="519FDC31"/>
    <w:rsid w:val="5200D4AA"/>
    <w:rsid w:val="55D9A17F"/>
    <w:rsid w:val="57A0A4F8"/>
    <w:rsid w:val="597B2E9F"/>
    <w:rsid w:val="62040E8A"/>
    <w:rsid w:val="620A5B89"/>
    <w:rsid w:val="62B0A02B"/>
    <w:rsid w:val="675B369C"/>
    <w:rsid w:val="6B67CF43"/>
    <w:rsid w:val="6D0129D0"/>
    <w:rsid w:val="6E4DA8C6"/>
    <w:rsid w:val="702B57EB"/>
    <w:rsid w:val="741556DD"/>
    <w:rsid w:val="7501FC52"/>
    <w:rsid w:val="75418F8C"/>
    <w:rsid w:val="76844AE2"/>
    <w:rsid w:val="7B3976AF"/>
    <w:rsid w:val="7C518483"/>
    <w:rsid w:val="7E8DDD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4E466F93-011A-45C4-95FB-8408B3CB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952D2"/>
    <w:pPr>
      <w:spacing w:before="120" w:after="120" w:line="276" w:lineRule="auto"/>
    </w:pPr>
    <w:rPr>
      <w:rFonts w:ascii="Arial" w:eastAsia="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b w:val="0"/>
      <w:bCs w:val="0"/>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qFormat/>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513691"/>
    <w:rPr>
      <w:rFonts w:eastAsia="Arial"/>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0952D2"/>
    <w:pPr>
      <w:spacing w:before="80" w:after="80"/>
    </w:pPr>
    <w:rPr>
      <w:rFonts w:eastAsia="Cambria"/>
      <w:b/>
      <w:color w:val="auto"/>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basedOn w:val="Normal"/>
    <w:next w:val="Normal"/>
    <w:qFormat/>
    <w:rsid w:val="00513691"/>
    <w:pPr>
      <w:shd w:val="clear" w:color="auto" w:fill="D0EAED" w:themeFill="accent2" w:themeFillTint="33"/>
      <w:jc w:val="center"/>
    </w:pPr>
    <w:rPr>
      <w:b/>
      <w:bC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normaltextrun">
    <w:name w:val="normaltextrun"/>
    <w:basedOn w:val="DefaultParagraphFont"/>
    <w:rsid w:val="005B718B"/>
  </w:style>
  <w:style w:type="character" w:customStyle="1" w:styleId="eop">
    <w:name w:val="eop"/>
    <w:basedOn w:val="DefaultParagraphFont"/>
    <w:rsid w:val="005B718B"/>
  </w:style>
  <w:style w:type="paragraph" w:customStyle="1" w:styleId="paragraph">
    <w:name w:val="paragraph"/>
    <w:basedOn w:val="Normal"/>
    <w:rsid w:val="008D7EF6"/>
    <w:pPr>
      <w:spacing w:before="100" w:beforeAutospacing="1" w:after="100" w:afterAutospacing="1" w:line="240" w:lineRule="auto"/>
    </w:pPr>
    <w:rPr>
      <w:rFonts w:ascii="Times New Roman" w:hAnsi="Times New Roman"/>
      <w:color w:val="auto"/>
      <w:sz w:val="24"/>
      <w:lang w:eastAsia="en-AU"/>
    </w:rPr>
  </w:style>
  <w:style w:type="character" w:styleId="CommentReference">
    <w:name w:val="annotation reference"/>
    <w:basedOn w:val="DefaultParagraphFont"/>
    <w:uiPriority w:val="99"/>
    <w:unhideWhenUsed/>
    <w:rsid w:val="00242B00"/>
    <w:rPr>
      <w:sz w:val="16"/>
      <w:szCs w:val="16"/>
    </w:rPr>
  </w:style>
  <w:style w:type="paragraph" w:styleId="CommentText">
    <w:name w:val="annotation text"/>
    <w:basedOn w:val="Normal"/>
    <w:link w:val="CommentTextChar"/>
    <w:uiPriority w:val="99"/>
    <w:unhideWhenUsed/>
    <w:rsid w:val="00242B00"/>
    <w:pPr>
      <w:spacing w:line="240" w:lineRule="auto"/>
    </w:pPr>
    <w:rPr>
      <w:sz w:val="20"/>
      <w:szCs w:val="20"/>
    </w:rPr>
  </w:style>
  <w:style w:type="character" w:customStyle="1" w:styleId="CommentTextChar">
    <w:name w:val="Comment Text Char"/>
    <w:basedOn w:val="DefaultParagraphFont"/>
    <w:link w:val="CommentText"/>
    <w:uiPriority w:val="99"/>
    <w:rsid w:val="00242B0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42B00"/>
    <w:rPr>
      <w:b/>
      <w:bCs/>
    </w:rPr>
  </w:style>
  <w:style w:type="character" w:customStyle="1" w:styleId="CommentSubjectChar">
    <w:name w:val="Comment Subject Char"/>
    <w:basedOn w:val="CommentTextChar"/>
    <w:link w:val="CommentSubject"/>
    <w:semiHidden/>
    <w:rsid w:val="00242B00"/>
    <w:rPr>
      <w:rFonts w:ascii="Arial" w:hAnsi="Arial"/>
      <w:b/>
      <w:bCs/>
      <w:color w:val="000000" w:themeColor="text1"/>
      <w:lang w:eastAsia="en-US"/>
    </w:rPr>
  </w:style>
  <w:style w:type="paragraph" w:styleId="Revision">
    <w:name w:val="Revision"/>
    <w:hidden/>
    <w:uiPriority w:val="99"/>
    <w:semiHidden/>
    <w:rsid w:val="009F7CD4"/>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CD719E"/>
    <w:rPr>
      <w:vertAlign w:val="superscript"/>
    </w:rPr>
  </w:style>
  <w:style w:type="paragraph" w:styleId="EndnoteText">
    <w:name w:val="endnote text"/>
    <w:basedOn w:val="Normal"/>
    <w:link w:val="EndnoteTextChar"/>
    <w:unhideWhenUsed/>
    <w:rsid w:val="006A5DE2"/>
    <w:pPr>
      <w:spacing w:before="0" w:after="0" w:line="240" w:lineRule="auto"/>
    </w:pPr>
    <w:rPr>
      <w:sz w:val="20"/>
      <w:szCs w:val="20"/>
    </w:rPr>
  </w:style>
  <w:style w:type="character" w:customStyle="1" w:styleId="EndnoteTextChar">
    <w:name w:val="Endnote Text Char"/>
    <w:basedOn w:val="DefaultParagraphFont"/>
    <w:link w:val="EndnoteText"/>
    <w:rsid w:val="006A5DE2"/>
    <w:rPr>
      <w:rFonts w:ascii="Arial" w:hAnsi="Arial"/>
      <w:color w:val="000000" w:themeColor="text1"/>
      <w:lang w:eastAsia="en-US"/>
    </w:rPr>
  </w:style>
  <w:style w:type="character" w:styleId="EndnoteReference">
    <w:name w:val="endnote reference"/>
    <w:basedOn w:val="DefaultParagraphFont"/>
    <w:semiHidden/>
    <w:unhideWhenUsed/>
    <w:rsid w:val="006A5DE2"/>
    <w:rPr>
      <w:vertAlign w:val="superscript"/>
    </w:rPr>
  </w:style>
  <w:style w:type="character" w:customStyle="1" w:styleId="Heading2Char">
    <w:name w:val="Heading 2 Char"/>
    <w:basedOn w:val="DefaultParagraphFont"/>
    <w:link w:val="Heading2"/>
    <w:rsid w:val="00B90D0F"/>
    <w:rPr>
      <w:rFonts w:ascii="Arial" w:hAnsi="Arial" w:cs="Arial"/>
      <w:b/>
      <w:bCs/>
      <w:iCs/>
      <w:color w:val="358189"/>
      <w:sz w:val="36"/>
      <w:szCs w:val="28"/>
      <w:lang w:eastAsia="en-US"/>
    </w:rPr>
  </w:style>
  <w:style w:type="character" w:styleId="UnresolvedMention">
    <w:name w:val="Unresolved Mention"/>
    <w:basedOn w:val="DefaultParagraphFont"/>
    <w:uiPriority w:val="99"/>
    <w:semiHidden/>
    <w:unhideWhenUsed/>
    <w:rsid w:val="00ED684A"/>
    <w:rPr>
      <w:color w:val="605E5C"/>
      <w:shd w:val="clear" w:color="auto" w:fill="E1DFDD"/>
    </w:rPr>
  </w:style>
  <w:style w:type="character" w:styleId="FollowedHyperlink">
    <w:name w:val="FollowedHyperlink"/>
    <w:basedOn w:val="DefaultParagraphFont"/>
    <w:semiHidden/>
    <w:unhideWhenUsed/>
    <w:rsid w:val="001F6F80"/>
    <w:rPr>
      <w:color w:val="800080" w:themeColor="followedHyperlink"/>
      <w:u w:val="single"/>
    </w:rPr>
  </w:style>
  <w:style w:type="paragraph" w:styleId="TOCHeading">
    <w:name w:val="TOC Heading"/>
    <w:basedOn w:val="Heading1"/>
    <w:next w:val="Normal"/>
    <w:uiPriority w:val="39"/>
    <w:unhideWhenUsed/>
    <w:qFormat/>
    <w:rsid w:val="00513691"/>
    <w:pPr>
      <w:keepLines/>
      <w:spacing w:after="0" w:line="259" w:lineRule="auto"/>
      <w:outlineLvl w:val="9"/>
    </w:pPr>
    <w:rPr>
      <w:rFonts w:cs="Times New Roman"/>
      <w:bCs w:val="0"/>
      <w:color w:val="3F4A75" w:themeColor="text2"/>
      <w:kern w:val="0"/>
      <w:sz w:val="32"/>
      <w:szCs w:val="24"/>
      <w:lang w:val="en-GB"/>
    </w:rPr>
  </w:style>
  <w:style w:type="paragraph" w:styleId="TOC1">
    <w:name w:val="toc 1"/>
    <w:basedOn w:val="Normal"/>
    <w:next w:val="Normal"/>
    <w:autoRedefine/>
    <w:uiPriority w:val="39"/>
    <w:unhideWhenUsed/>
    <w:rsid w:val="00327933"/>
    <w:pPr>
      <w:tabs>
        <w:tab w:val="right" w:leader="dot" w:pos="9060"/>
      </w:tabs>
      <w:spacing w:after="100"/>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327933"/>
    <w:pPr>
      <w:tabs>
        <w:tab w:val="right" w:leader="dot" w:pos="9060"/>
      </w:tabs>
      <w:spacing w:after="100"/>
      <w:ind w:left="220"/>
    </w:pPr>
    <w:rPr>
      <w:rFonts w:asciiTheme="minorHAnsi" w:eastAsiaTheme="minorEastAsia" w:hAnsiTheme="minorHAnsi"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327933"/>
    <w:pPr>
      <w:tabs>
        <w:tab w:val="right" w:leader="dot" w:pos="9060"/>
      </w:tabs>
      <w:spacing w:after="100"/>
      <w:ind w:left="440"/>
    </w:pPr>
    <w:rPr>
      <w:rFonts w:asciiTheme="minorHAnsi" w:eastAsiaTheme="minorEastAsia" w:hAnsiTheme="minorHAnsi" w:cstheme="minorBidi"/>
      <w:noProof/>
      <w:color w:val="auto"/>
      <w:kern w:val="2"/>
      <w:sz w:val="24"/>
      <w:lang w:eastAsia="ja-JP"/>
      <w14:ligatures w14:val="standardContextual"/>
    </w:rPr>
  </w:style>
  <w:style w:type="character" w:styleId="Mention">
    <w:name w:val="Mention"/>
    <w:basedOn w:val="DefaultParagraphFont"/>
    <w:uiPriority w:val="99"/>
    <w:unhideWhenUsed/>
    <w:rsid w:val="003A4EC5"/>
    <w:rPr>
      <w:color w:val="2B579A"/>
      <w:shd w:val="clear" w:color="auto" w:fill="E1DFDD"/>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7B1472"/>
    <w:rPr>
      <w:rFonts w:ascii="Arial" w:hAnsi="Arial"/>
      <w:color w:val="000000" w:themeColor="text1"/>
      <w:sz w:val="22"/>
      <w:szCs w:val="24"/>
      <w:lang w:eastAsia="en-US"/>
    </w:rPr>
  </w:style>
  <w:style w:type="table" w:styleId="TableGridLight">
    <w:name w:val="Grid Table Light"/>
    <w:basedOn w:val="TableNormal"/>
    <w:uiPriority w:val="40"/>
    <w:rsid w:val="00DE2C40"/>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3">
    <w:name w:val="List Bullet 3"/>
    <w:basedOn w:val="Normal"/>
    <w:unhideWhenUsed/>
    <w:rsid w:val="00513691"/>
    <w:pPr>
      <w:numPr>
        <w:numId w:val="22"/>
      </w:numPr>
      <w:ind w:left="1378" w:hanging="357"/>
      <w:contextualSpacing/>
    </w:pPr>
  </w:style>
  <w:style w:type="paragraph" w:customStyle="1" w:styleId="Indentnormaltext">
    <w:name w:val="Indent normal text"/>
    <w:basedOn w:val="Normal"/>
    <w:link w:val="IndentnormaltextChar"/>
    <w:qFormat/>
    <w:rsid w:val="00513691"/>
    <w:pPr>
      <w:ind w:left="993"/>
    </w:pPr>
  </w:style>
  <w:style w:type="character" w:customStyle="1" w:styleId="IndentnormaltextChar">
    <w:name w:val="Indent normal text Char"/>
    <w:basedOn w:val="DefaultParagraphFont"/>
    <w:link w:val="Indentnormaltext"/>
    <w:rsid w:val="00513691"/>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7367">
      <w:bodyDiv w:val="1"/>
      <w:marLeft w:val="0"/>
      <w:marRight w:val="0"/>
      <w:marTop w:val="0"/>
      <w:marBottom w:val="0"/>
      <w:divBdr>
        <w:top w:val="none" w:sz="0" w:space="0" w:color="auto"/>
        <w:left w:val="none" w:sz="0" w:space="0" w:color="auto"/>
        <w:bottom w:val="none" w:sz="0" w:space="0" w:color="auto"/>
        <w:right w:val="none" w:sz="0" w:space="0" w:color="auto"/>
      </w:divBdr>
    </w:div>
    <w:div w:id="162861981">
      <w:bodyDiv w:val="1"/>
      <w:marLeft w:val="0"/>
      <w:marRight w:val="0"/>
      <w:marTop w:val="0"/>
      <w:marBottom w:val="0"/>
      <w:divBdr>
        <w:top w:val="none" w:sz="0" w:space="0" w:color="auto"/>
        <w:left w:val="none" w:sz="0" w:space="0" w:color="auto"/>
        <w:bottom w:val="none" w:sz="0" w:space="0" w:color="auto"/>
        <w:right w:val="none" w:sz="0" w:space="0" w:color="auto"/>
      </w:divBdr>
    </w:div>
    <w:div w:id="224148551">
      <w:bodyDiv w:val="1"/>
      <w:marLeft w:val="0"/>
      <w:marRight w:val="0"/>
      <w:marTop w:val="0"/>
      <w:marBottom w:val="0"/>
      <w:divBdr>
        <w:top w:val="none" w:sz="0" w:space="0" w:color="auto"/>
        <w:left w:val="none" w:sz="0" w:space="0" w:color="auto"/>
        <w:bottom w:val="none" w:sz="0" w:space="0" w:color="auto"/>
        <w:right w:val="none" w:sz="0" w:space="0" w:color="auto"/>
      </w:divBdr>
      <w:divsChild>
        <w:div w:id="202715538">
          <w:marLeft w:val="0"/>
          <w:marRight w:val="0"/>
          <w:marTop w:val="0"/>
          <w:marBottom w:val="0"/>
          <w:divBdr>
            <w:top w:val="none" w:sz="0" w:space="0" w:color="auto"/>
            <w:left w:val="none" w:sz="0" w:space="0" w:color="auto"/>
            <w:bottom w:val="none" w:sz="0" w:space="0" w:color="auto"/>
            <w:right w:val="none" w:sz="0" w:space="0" w:color="auto"/>
          </w:divBdr>
        </w:div>
        <w:div w:id="482476874">
          <w:marLeft w:val="0"/>
          <w:marRight w:val="0"/>
          <w:marTop w:val="0"/>
          <w:marBottom w:val="0"/>
          <w:divBdr>
            <w:top w:val="none" w:sz="0" w:space="0" w:color="auto"/>
            <w:left w:val="none" w:sz="0" w:space="0" w:color="auto"/>
            <w:bottom w:val="none" w:sz="0" w:space="0" w:color="auto"/>
            <w:right w:val="none" w:sz="0" w:space="0" w:color="auto"/>
          </w:divBdr>
        </w:div>
        <w:div w:id="667057176">
          <w:marLeft w:val="0"/>
          <w:marRight w:val="0"/>
          <w:marTop w:val="0"/>
          <w:marBottom w:val="0"/>
          <w:divBdr>
            <w:top w:val="none" w:sz="0" w:space="0" w:color="auto"/>
            <w:left w:val="none" w:sz="0" w:space="0" w:color="auto"/>
            <w:bottom w:val="none" w:sz="0" w:space="0" w:color="auto"/>
            <w:right w:val="none" w:sz="0" w:space="0" w:color="auto"/>
          </w:divBdr>
        </w:div>
        <w:div w:id="1077441868">
          <w:marLeft w:val="0"/>
          <w:marRight w:val="0"/>
          <w:marTop w:val="0"/>
          <w:marBottom w:val="0"/>
          <w:divBdr>
            <w:top w:val="none" w:sz="0" w:space="0" w:color="auto"/>
            <w:left w:val="none" w:sz="0" w:space="0" w:color="auto"/>
            <w:bottom w:val="none" w:sz="0" w:space="0" w:color="auto"/>
            <w:right w:val="none" w:sz="0" w:space="0" w:color="auto"/>
          </w:divBdr>
        </w:div>
        <w:div w:id="1122110429">
          <w:marLeft w:val="0"/>
          <w:marRight w:val="0"/>
          <w:marTop w:val="0"/>
          <w:marBottom w:val="0"/>
          <w:divBdr>
            <w:top w:val="none" w:sz="0" w:space="0" w:color="auto"/>
            <w:left w:val="none" w:sz="0" w:space="0" w:color="auto"/>
            <w:bottom w:val="none" w:sz="0" w:space="0" w:color="auto"/>
            <w:right w:val="none" w:sz="0" w:space="0" w:color="auto"/>
          </w:divBdr>
        </w:div>
        <w:div w:id="1312128881">
          <w:marLeft w:val="0"/>
          <w:marRight w:val="0"/>
          <w:marTop w:val="0"/>
          <w:marBottom w:val="0"/>
          <w:divBdr>
            <w:top w:val="none" w:sz="0" w:space="0" w:color="auto"/>
            <w:left w:val="none" w:sz="0" w:space="0" w:color="auto"/>
            <w:bottom w:val="none" w:sz="0" w:space="0" w:color="auto"/>
            <w:right w:val="none" w:sz="0" w:space="0" w:color="auto"/>
          </w:divBdr>
        </w:div>
        <w:div w:id="1652053368">
          <w:marLeft w:val="0"/>
          <w:marRight w:val="0"/>
          <w:marTop w:val="0"/>
          <w:marBottom w:val="0"/>
          <w:divBdr>
            <w:top w:val="none" w:sz="0" w:space="0" w:color="auto"/>
            <w:left w:val="none" w:sz="0" w:space="0" w:color="auto"/>
            <w:bottom w:val="none" w:sz="0" w:space="0" w:color="auto"/>
            <w:right w:val="none" w:sz="0" w:space="0" w:color="auto"/>
          </w:divBdr>
          <w:divsChild>
            <w:div w:id="740492534">
              <w:marLeft w:val="-75"/>
              <w:marRight w:val="0"/>
              <w:marTop w:val="30"/>
              <w:marBottom w:val="30"/>
              <w:divBdr>
                <w:top w:val="none" w:sz="0" w:space="0" w:color="auto"/>
                <w:left w:val="none" w:sz="0" w:space="0" w:color="auto"/>
                <w:bottom w:val="none" w:sz="0" w:space="0" w:color="auto"/>
                <w:right w:val="none" w:sz="0" w:space="0" w:color="auto"/>
              </w:divBdr>
              <w:divsChild>
                <w:div w:id="98068585">
                  <w:marLeft w:val="0"/>
                  <w:marRight w:val="0"/>
                  <w:marTop w:val="0"/>
                  <w:marBottom w:val="0"/>
                  <w:divBdr>
                    <w:top w:val="none" w:sz="0" w:space="0" w:color="auto"/>
                    <w:left w:val="none" w:sz="0" w:space="0" w:color="auto"/>
                    <w:bottom w:val="none" w:sz="0" w:space="0" w:color="auto"/>
                    <w:right w:val="none" w:sz="0" w:space="0" w:color="auto"/>
                  </w:divBdr>
                  <w:divsChild>
                    <w:div w:id="1949002776">
                      <w:marLeft w:val="0"/>
                      <w:marRight w:val="0"/>
                      <w:marTop w:val="0"/>
                      <w:marBottom w:val="0"/>
                      <w:divBdr>
                        <w:top w:val="none" w:sz="0" w:space="0" w:color="auto"/>
                        <w:left w:val="none" w:sz="0" w:space="0" w:color="auto"/>
                        <w:bottom w:val="none" w:sz="0" w:space="0" w:color="auto"/>
                        <w:right w:val="none" w:sz="0" w:space="0" w:color="auto"/>
                      </w:divBdr>
                    </w:div>
                  </w:divsChild>
                </w:div>
                <w:div w:id="244844884">
                  <w:marLeft w:val="0"/>
                  <w:marRight w:val="0"/>
                  <w:marTop w:val="0"/>
                  <w:marBottom w:val="0"/>
                  <w:divBdr>
                    <w:top w:val="none" w:sz="0" w:space="0" w:color="auto"/>
                    <w:left w:val="none" w:sz="0" w:space="0" w:color="auto"/>
                    <w:bottom w:val="none" w:sz="0" w:space="0" w:color="auto"/>
                    <w:right w:val="none" w:sz="0" w:space="0" w:color="auto"/>
                  </w:divBdr>
                  <w:divsChild>
                    <w:div w:id="1318529821">
                      <w:marLeft w:val="0"/>
                      <w:marRight w:val="0"/>
                      <w:marTop w:val="0"/>
                      <w:marBottom w:val="0"/>
                      <w:divBdr>
                        <w:top w:val="none" w:sz="0" w:space="0" w:color="auto"/>
                        <w:left w:val="none" w:sz="0" w:space="0" w:color="auto"/>
                        <w:bottom w:val="none" w:sz="0" w:space="0" w:color="auto"/>
                        <w:right w:val="none" w:sz="0" w:space="0" w:color="auto"/>
                      </w:divBdr>
                    </w:div>
                  </w:divsChild>
                </w:div>
                <w:div w:id="316880734">
                  <w:marLeft w:val="0"/>
                  <w:marRight w:val="0"/>
                  <w:marTop w:val="0"/>
                  <w:marBottom w:val="0"/>
                  <w:divBdr>
                    <w:top w:val="none" w:sz="0" w:space="0" w:color="auto"/>
                    <w:left w:val="none" w:sz="0" w:space="0" w:color="auto"/>
                    <w:bottom w:val="none" w:sz="0" w:space="0" w:color="auto"/>
                    <w:right w:val="none" w:sz="0" w:space="0" w:color="auto"/>
                  </w:divBdr>
                  <w:divsChild>
                    <w:div w:id="779571656">
                      <w:marLeft w:val="0"/>
                      <w:marRight w:val="0"/>
                      <w:marTop w:val="0"/>
                      <w:marBottom w:val="0"/>
                      <w:divBdr>
                        <w:top w:val="none" w:sz="0" w:space="0" w:color="auto"/>
                        <w:left w:val="none" w:sz="0" w:space="0" w:color="auto"/>
                        <w:bottom w:val="none" w:sz="0" w:space="0" w:color="auto"/>
                        <w:right w:val="none" w:sz="0" w:space="0" w:color="auto"/>
                      </w:divBdr>
                    </w:div>
                  </w:divsChild>
                </w:div>
                <w:div w:id="453403218">
                  <w:marLeft w:val="0"/>
                  <w:marRight w:val="0"/>
                  <w:marTop w:val="0"/>
                  <w:marBottom w:val="0"/>
                  <w:divBdr>
                    <w:top w:val="none" w:sz="0" w:space="0" w:color="auto"/>
                    <w:left w:val="none" w:sz="0" w:space="0" w:color="auto"/>
                    <w:bottom w:val="none" w:sz="0" w:space="0" w:color="auto"/>
                    <w:right w:val="none" w:sz="0" w:space="0" w:color="auto"/>
                  </w:divBdr>
                  <w:divsChild>
                    <w:div w:id="1006858005">
                      <w:marLeft w:val="0"/>
                      <w:marRight w:val="0"/>
                      <w:marTop w:val="0"/>
                      <w:marBottom w:val="0"/>
                      <w:divBdr>
                        <w:top w:val="none" w:sz="0" w:space="0" w:color="auto"/>
                        <w:left w:val="none" w:sz="0" w:space="0" w:color="auto"/>
                        <w:bottom w:val="none" w:sz="0" w:space="0" w:color="auto"/>
                        <w:right w:val="none" w:sz="0" w:space="0" w:color="auto"/>
                      </w:divBdr>
                    </w:div>
                  </w:divsChild>
                </w:div>
                <w:div w:id="1274745358">
                  <w:marLeft w:val="0"/>
                  <w:marRight w:val="0"/>
                  <w:marTop w:val="0"/>
                  <w:marBottom w:val="0"/>
                  <w:divBdr>
                    <w:top w:val="none" w:sz="0" w:space="0" w:color="auto"/>
                    <w:left w:val="none" w:sz="0" w:space="0" w:color="auto"/>
                    <w:bottom w:val="none" w:sz="0" w:space="0" w:color="auto"/>
                    <w:right w:val="none" w:sz="0" w:space="0" w:color="auto"/>
                  </w:divBdr>
                  <w:divsChild>
                    <w:div w:id="631984829">
                      <w:marLeft w:val="0"/>
                      <w:marRight w:val="0"/>
                      <w:marTop w:val="0"/>
                      <w:marBottom w:val="0"/>
                      <w:divBdr>
                        <w:top w:val="none" w:sz="0" w:space="0" w:color="auto"/>
                        <w:left w:val="none" w:sz="0" w:space="0" w:color="auto"/>
                        <w:bottom w:val="none" w:sz="0" w:space="0" w:color="auto"/>
                        <w:right w:val="none" w:sz="0" w:space="0" w:color="auto"/>
                      </w:divBdr>
                    </w:div>
                  </w:divsChild>
                </w:div>
                <w:div w:id="1440493473">
                  <w:marLeft w:val="0"/>
                  <w:marRight w:val="0"/>
                  <w:marTop w:val="0"/>
                  <w:marBottom w:val="0"/>
                  <w:divBdr>
                    <w:top w:val="none" w:sz="0" w:space="0" w:color="auto"/>
                    <w:left w:val="none" w:sz="0" w:space="0" w:color="auto"/>
                    <w:bottom w:val="none" w:sz="0" w:space="0" w:color="auto"/>
                    <w:right w:val="none" w:sz="0" w:space="0" w:color="auto"/>
                  </w:divBdr>
                  <w:divsChild>
                    <w:div w:id="7945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32672">
      <w:bodyDiv w:val="1"/>
      <w:marLeft w:val="0"/>
      <w:marRight w:val="0"/>
      <w:marTop w:val="0"/>
      <w:marBottom w:val="0"/>
      <w:divBdr>
        <w:top w:val="none" w:sz="0" w:space="0" w:color="auto"/>
        <w:left w:val="none" w:sz="0" w:space="0" w:color="auto"/>
        <w:bottom w:val="none" w:sz="0" w:space="0" w:color="auto"/>
        <w:right w:val="none" w:sz="0" w:space="0" w:color="auto"/>
      </w:divBdr>
    </w:div>
    <w:div w:id="321128434">
      <w:bodyDiv w:val="1"/>
      <w:marLeft w:val="0"/>
      <w:marRight w:val="0"/>
      <w:marTop w:val="0"/>
      <w:marBottom w:val="0"/>
      <w:divBdr>
        <w:top w:val="none" w:sz="0" w:space="0" w:color="auto"/>
        <w:left w:val="none" w:sz="0" w:space="0" w:color="auto"/>
        <w:bottom w:val="none" w:sz="0" w:space="0" w:color="auto"/>
        <w:right w:val="none" w:sz="0" w:space="0" w:color="auto"/>
      </w:divBdr>
      <w:divsChild>
        <w:div w:id="88963370">
          <w:marLeft w:val="0"/>
          <w:marRight w:val="0"/>
          <w:marTop w:val="0"/>
          <w:marBottom w:val="0"/>
          <w:divBdr>
            <w:top w:val="none" w:sz="0" w:space="0" w:color="auto"/>
            <w:left w:val="none" w:sz="0" w:space="0" w:color="auto"/>
            <w:bottom w:val="none" w:sz="0" w:space="0" w:color="auto"/>
            <w:right w:val="none" w:sz="0" w:space="0" w:color="auto"/>
          </w:divBdr>
        </w:div>
        <w:div w:id="871191330">
          <w:marLeft w:val="0"/>
          <w:marRight w:val="0"/>
          <w:marTop w:val="0"/>
          <w:marBottom w:val="0"/>
          <w:divBdr>
            <w:top w:val="none" w:sz="0" w:space="0" w:color="auto"/>
            <w:left w:val="none" w:sz="0" w:space="0" w:color="auto"/>
            <w:bottom w:val="none" w:sz="0" w:space="0" w:color="auto"/>
            <w:right w:val="none" w:sz="0" w:space="0" w:color="auto"/>
          </w:divBdr>
        </w:div>
        <w:div w:id="993534949">
          <w:marLeft w:val="0"/>
          <w:marRight w:val="0"/>
          <w:marTop w:val="0"/>
          <w:marBottom w:val="0"/>
          <w:divBdr>
            <w:top w:val="none" w:sz="0" w:space="0" w:color="auto"/>
            <w:left w:val="none" w:sz="0" w:space="0" w:color="auto"/>
            <w:bottom w:val="none" w:sz="0" w:space="0" w:color="auto"/>
            <w:right w:val="none" w:sz="0" w:space="0" w:color="auto"/>
          </w:divBdr>
        </w:div>
        <w:div w:id="1576742133">
          <w:marLeft w:val="0"/>
          <w:marRight w:val="0"/>
          <w:marTop w:val="0"/>
          <w:marBottom w:val="0"/>
          <w:divBdr>
            <w:top w:val="none" w:sz="0" w:space="0" w:color="auto"/>
            <w:left w:val="none" w:sz="0" w:space="0" w:color="auto"/>
            <w:bottom w:val="none" w:sz="0" w:space="0" w:color="auto"/>
            <w:right w:val="none" w:sz="0" w:space="0" w:color="auto"/>
          </w:divBdr>
        </w:div>
        <w:div w:id="1639188015">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23639130">
      <w:bodyDiv w:val="1"/>
      <w:marLeft w:val="0"/>
      <w:marRight w:val="0"/>
      <w:marTop w:val="0"/>
      <w:marBottom w:val="0"/>
      <w:divBdr>
        <w:top w:val="none" w:sz="0" w:space="0" w:color="auto"/>
        <w:left w:val="none" w:sz="0" w:space="0" w:color="auto"/>
        <w:bottom w:val="none" w:sz="0" w:space="0" w:color="auto"/>
        <w:right w:val="none" w:sz="0" w:space="0" w:color="auto"/>
      </w:divBdr>
    </w:div>
    <w:div w:id="575092106">
      <w:bodyDiv w:val="1"/>
      <w:marLeft w:val="0"/>
      <w:marRight w:val="0"/>
      <w:marTop w:val="0"/>
      <w:marBottom w:val="0"/>
      <w:divBdr>
        <w:top w:val="none" w:sz="0" w:space="0" w:color="auto"/>
        <w:left w:val="none" w:sz="0" w:space="0" w:color="auto"/>
        <w:bottom w:val="none" w:sz="0" w:space="0" w:color="auto"/>
        <w:right w:val="none" w:sz="0" w:space="0" w:color="auto"/>
      </w:divBdr>
      <w:divsChild>
        <w:div w:id="614407234">
          <w:marLeft w:val="0"/>
          <w:marRight w:val="0"/>
          <w:marTop w:val="0"/>
          <w:marBottom w:val="0"/>
          <w:divBdr>
            <w:top w:val="none" w:sz="0" w:space="0" w:color="auto"/>
            <w:left w:val="none" w:sz="0" w:space="0" w:color="auto"/>
            <w:bottom w:val="none" w:sz="0" w:space="0" w:color="auto"/>
            <w:right w:val="none" w:sz="0" w:space="0" w:color="auto"/>
          </w:divBdr>
          <w:divsChild>
            <w:div w:id="523323142">
              <w:marLeft w:val="0"/>
              <w:marRight w:val="0"/>
              <w:marTop w:val="0"/>
              <w:marBottom w:val="0"/>
              <w:divBdr>
                <w:top w:val="none" w:sz="0" w:space="0" w:color="auto"/>
                <w:left w:val="none" w:sz="0" w:space="0" w:color="auto"/>
                <w:bottom w:val="none" w:sz="0" w:space="0" w:color="auto"/>
                <w:right w:val="none" w:sz="0" w:space="0" w:color="auto"/>
              </w:divBdr>
            </w:div>
            <w:div w:id="1033573406">
              <w:marLeft w:val="0"/>
              <w:marRight w:val="0"/>
              <w:marTop w:val="0"/>
              <w:marBottom w:val="0"/>
              <w:divBdr>
                <w:top w:val="none" w:sz="0" w:space="0" w:color="auto"/>
                <w:left w:val="none" w:sz="0" w:space="0" w:color="auto"/>
                <w:bottom w:val="none" w:sz="0" w:space="0" w:color="auto"/>
                <w:right w:val="none" w:sz="0" w:space="0" w:color="auto"/>
              </w:divBdr>
            </w:div>
            <w:div w:id="1110398843">
              <w:marLeft w:val="0"/>
              <w:marRight w:val="0"/>
              <w:marTop w:val="0"/>
              <w:marBottom w:val="0"/>
              <w:divBdr>
                <w:top w:val="none" w:sz="0" w:space="0" w:color="auto"/>
                <w:left w:val="none" w:sz="0" w:space="0" w:color="auto"/>
                <w:bottom w:val="none" w:sz="0" w:space="0" w:color="auto"/>
                <w:right w:val="none" w:sz="0" w:space="0" w:color="auto"/>
              </w:divBdr>
            </w:div>
          </w:divsChild>
        </w:div>
        <w:div w:id="687869775">
          <w:marLeft w:val="0"/>
          <w:marRight w:val="0"/>
          <w:marTop w:val="0"/>
          <w:marBottom w:val="0"/>
          <w:divBdr>
            <w:top w:val="none" w:sz="0" w:space="0" w:color="auto"/>
            <w:left w:val="none" w:sz="0" w:space="0" w:color="auto"/>
            <w:bottom w:val="none" w:sz="0" w:space="0" w:color="auto"/>
            <w:right w:val="none" w:sz="0" w:space="0" w:color="auto"/>
          </w:divBdr>
          <w:divsChild>
            <w:div w:id="413163351">
              <w:marLeft w:val="0"/>
              <w:marRight w:val="0"/>
              <w:marTop w:val="0"/>
              <w:marBottom w:val="0"/>
              <w:divBdr>
                <w:top w:val="none" w:sz="0" w:space="0" w:color="auto"/>
                <w:left w:val="none" w:sz="0" w:space="0" w:color="auto"/>
                <w:bottom w:val="none" w:sz="0" w:space="0" w:color="auto"/>
                <w:right w:val="none" w:sz="0" w:space="0" w:color="auto"/>
              </w:divBdr>
            </w:div>
            <w:div w:id="1318192670">
              <w:marLeft w:val="0"/>
              <w:marRight w:val="0"/>
              <w:marTop w:val="0"/>
              <w:marBottom w:val="0"/>
              <w:divBdr>
                <w:top w:val="none" w:sz="0" w:space="0" w:color="auto"/>
                <w:left w:val="none" w:sz="0" w:space="0" w:color="auto"/>
                <w:bottom w:val="none" w:sz="0" w:space="0" w:color="auto"/>
                <w:right w:val="none" w:sz="0" w:space="0" w:color="auto"/>
              </w:divBdr>
            </w:div>
            <w:div w:id="1404640706">
              <w:marLeft w:val="0"/>
              <w:marRight w:val="0"/>
              <w:marTop w:val="0"/>
              <w:marBottom w:val="0"/>
              <w:divBdr>
                <w:top w:val="none" w:sz="0" w:space="0" w:color="auto"/>
                <w:left w:val="none" w:sz="0" w:space="0" w:color="auto"/>
                <w:bottom w:val="none" w:sz="0" w:space="0" w:color="auto"/>
                <w:right w:val="none" w:sz="0" w:space="0" w:color="auto"/>
              </w:divBdr>
            </w:div>
            <w:div w:id="15535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6221243">
      <w:bodyDiv w:val="1"/>
      <w:marLeft w:val="0"/>
      <w:marRight w:val="0"/>
      <w:marTop w:val="0"/>
      <w:marBottom w:val="0"/>
      <w:divBdr>
        <w:top w:val="none" w:sz="0" w:space="0" w:color="auto"/>
        <w:left w:val="none" w:sz="0" w:space="0" w:color="auto"/>
        <w:bottom w:val="none" w:sz="0" w:space="0" w:color="auto"/>
        <w:right w:val="none" w:sz="0" w:space="0" w:color="auto"/>
      </w:divBdr>
      <w:divsChild>
        <w:div w:id="278341900">
          <w:marLeft w:val="0"/>
          <w:marRight w:val="0"/>
          <w:marTop w:val="0"/>
          <w:marBottom w:val="0"/>
          <w:divBdr>
            <w:top w:val="none" w:sz="0" w:space="0" w:color="auto"/>
            <w:left w:val="none" w:sz="0" w:space="0" w:color="auto"/>
            <w:bottom w:val="none" w:sz="0" w:space="0" w:color="auto"/>
            <w:right w:val="none" w:sz="0" w:space="0" w:color="auto"/>
          </w:divBdr>
        </w:div>
        <w:div w:id="594291101">
          <w:marLeft w:val="0"/>
          <w:marRight w:val="0"/>
          <w:marTop w:val="0"/>
          <w:marBottom w:val="0"/>
          <w:divBdr>
            <w:top w:val="none" w:sz="0" w:space="0" w:color="auto"/>
            <w:left w:val="none" w:sz="0" w:space="0" w:color="auto"/>
            <w:bottom w:val="none" w:sz="0" w:space="0" w:color="auto"/>
            <w:right w:val="none" w:sz="0" w:space="0" w:color="auto"/>
          </w:divBdr>
        </w:div>
        <w:div w:id="850879764">
          <w:marLeft w:val="0"/>
          <w:marRight w:val="0"/>
          <w:marTop w:val="0"/>
          <w:marBottom w:val="0"/>
          <w:divBdr>
            <w:top w:val="none" w:sz="0" w:space="0" w:color="auto"/>
            <w:left w:val="none" w:sz="0" w:space="0" w:color="auto"/>
            <w:bottom w:val="none" w:sz="0" w:space="0" w:color="auto"/>
            <w:right w:val="none" w:sz="0" w:space="0" w:color="auto"/>
          </w:divBdr>
        </w:div>
        <w:div w:id="992295899">
          <w:marLeft w:val="0"/>
          <w:marRight w:val="0"/>
          <w:marTop w:val="0"/>
          <w:marBottom w:val="0"/>
          <w:divBdr>
            <w:top w:val="none" w:sz="0" w:space="0" w:color="auto"/>
            <w:left w:val="none" w:sz="0" w:space="0" w:color="auto"/>
            <w:bottom w:val="none" w:sz="0" w:space="0" w:color="auto"/>
            <w:right w:val="none" w:sz="0" w:space="0" w:color="auto"/>
          </w:divBdr>
        </w:div>
        <w:div w:id="1273853238">
          <w:marLeft w:val="0"/>
          <w:marRight w:val="0"/>
          <w:marTop w:val="0"/>
          <w:marBottom w:val="0"/>
          <w:divBdr>
            <w:top w:val="none" w:sz="0" w:space="0" w:color="auto"/>
            <w:left w:val="none" w:sz="0" w:space="0" w:color="auto"/>
            <w:bottom w:val="none" w:sz="0" w:space="0" w:color="auto"/>
            <w:right w:val="none" w:sz="0" w:space="0" w:color="auto"/>
          </w:divBdr>
        </w:div>
        <w:div w:id="1436560955">
          <w:marLeft w:val="0"/>
          <w:marRight w:val="0"/>
          <w:marTop w:val="0"/>
          <w:marBottom w:val="0"/>
          <w:divBdr>
            <w:top w:val="none" w:sz="0" w:space="0" w:color="auto"/>
            <w:left w:val="none" w:sz="0" w:space="0" w:color="auto"/>
            <w:bottom w:val="none" w:sz="0" w:space="0" w:color="auto"/>
            <w:right w:val="none" w:sz="0" w:space="0" w:color="auto"/>
          </w:divBdr>
          <w:divsChild>
            <w:div w:id="1114250878">
              <w:marLeft w:val="-75"/>
              <w:marRight w:val="0"/>
              <w:marTop w:val="30"/>
              <w:marBottom w:val="30"/>
              <w:divBdr>
                <w:top w:val="none" w:sz="0" w:space="0" w:color="auto"/>
                <w:left w:val="none" w:sz="0" w:space="0" w:color="auto"/>
                <w:bottom w:val="none" w:sz="0" w:space="0" w:color="auto"/>
                <w:right w:val="none" w:sz="0" w:space="0" w:color="auto"/>
              </w:divBdr>
              <w:divsChild>
                <w:div w:id="393893733">
                  <w:marLeft w:val="0"/>
                  <w:marRight w:val="0"/>
                  <w:marTop w:val="0"/>
                  <w:marBottom w:val="0"/>
                  <w:divBdr>
                    <w:top w:val="none" w:sz="0" w:space="0" w:color="auto"/>
                    <w:left w:val="none" w:sz="0" w:space="0" w:color="auto"/>
                    <w:bottom w:val="none" w:sz="0" w:space="0" w:color="auto"/>
                    <w:right w:val="none" w:sz="0" w:space="0" w:color="auto"/>
                  </w:divBdr>
                  <w:divsChild>
                    <w:div w:id="1280919224">
                      <w:marLeft w:val="0"/>
                      <w:marRight w:val="0"/>
                      <w:marTop w:val="0"/>
                      <w:marBottom w:val="0"/>
                      <w:divBdr>
                        <w:top w:val="none" w:sz="0" w:space="0" w:color="auto"/>
                        <w:left w:val="none" w:sz="0" w:space="0" w:color="auto"/>
                        <w:bottom w:val="none" w:sz="0" w:space="0" w:color="auto"/>
                        <w:right w:val="none" w:sz="0" w:space="0" w:color="auto"/>
                      </w:divBdr>
                    </w:div>
                  </w:divsChild>
                </w:div>
                <w:div w:id="430273065">
                  <w:marLeft w:val="0"/>
                  <w:marRight w:val="0"/>
                  <w:marTop w:val="0"/>
                  <w:marBottom w:val="0"/>
                  <w:divBdr>
                    <w:top w:val="none" w:sz="0" w:space="0" w:color="auto"/>
                    <w:left w:val="none" w:sz="0" w:space="0" w:color="auto"/>
                    <w:bottom w:val="none" w:sz="0" w:space="0" w:color="auto"/>
                    <w:right w:val="none" w:sz="0" w:space="0" w:color="auto"/>
                  </w:divBdr>
                  <w:divsChild>
                    <w:div w:id="1558398531">
                      <w:marLeft w:val="0"/>
                      <w:marRight w:val="0"/>
                      <w:marTop w:val="0"/>
                      <w:marBottom w:val="0"/>
                      <w:divBdr>
                        <w:top w:val="none" w:sz="0" w:space="0" w:color="auto"/>
                        <w:left w:val="none" w:sz="0" w:space="0" w:color="auto"/>
                        <w:bottom w:val="none" w:sz="0" w:space="0" w:color="auto"/>
                        <w:right w:val="none" w:sz="0" w:space="0" w:color="auto"/>
                      </w:divBdr>
                    </w:div>
                  </w:divsChild>
                </w:div>
                <w:div w:id="881089698">
                  <w:marLeft w:val="0"/>
                  <w:marRight w:val="0"/>
                  <w:marTop w:val="0"/>
                  <w:marBottom w:val="0"/>
                  <w:divBdr>
                    <w:top w:val="none" w:sz="0" w:space="0" w:color="auto"/>
                    <w:left w:val="none" w:sz="0" w:space="0" w:color="auto"/>
                    <w:bottom w:val="none" w:sz="0" w:space="0" w:color="auto"/>
                    <w:right w:val="none" w:sz="0" w:space="0" w:color="auto"/>
                  </w:divBdr>
                  <w:divsChild>
                    <w:div w:id="817501654">
                      <w:marLeft w:val="0"/>
                      <w:marRight w:val="0"/>
                      <w:marTop w:val="0"/>
                      <w:marBottom w:val="0"/>
                      <w:divBdr>
                        <w:top w:val="none" w:sz="0" w:space="0" w:color="auto"/>
                        <w:left w:val="none" w:sz="0" w:space="0" w:color="auto"/>
                        <w:bottom w:val="none" w:sz="0" w:space="0" w:color="auto"/>
                        <w:right w:val="none" w:sz="0" w:space="0" w:color="auto"/>
                      </w:divBdr>
                    </w:div>
                  </w:divsChild>
                </w:div>
                <w:div w:id="919094229">
                  <w:marLeft w:val="0"/>
                  <w:marRight w:val="0"/>
                  <w:marTop w:val="0"/>
                  <w:marBottom w:val="0"/>
                  <w:divBdr>
                    <w:top w:val="none" w:sz="0" w:space="0" w:color="auto"/>
                    <w:left w:val="none" w:sz="0" w:space="0" w:color="auto"/>
                    <w:bottom w:val="none" w:sz="0" w:space="0" w:color="auto"/>
                    <w:right w:val="none" w:sz="0" w:space="0" w:color="auto"/>
                  </w:divBdr>
                  <w:divsChild>
                    <w:div w:id="1744831426">
                      <w:marLeft w:val="0"/>
                      <w:marRight w:val="0"/>
                      <w:marTop w:val="0"/>
                      <w:marBottom w:val="0"/>
                      <w:divBdr>
                        <w:top w:val="none" w:sz="0" w:space="0" w:color="auto"/>
                        <w:left w:val="none" w:sz="0" w:space="0" w:color="auto"/>
                        <w:bottom w:val="none" w:sz="0" w:space="0" w:color="auto"/>
                        <w:right w:val="none" w:sz="0" w:space="0" w:color="auto"/>
                      </w:divBdr>
                    </w:div>
                  </w:divsChild>
                </w:div>
                <w:div w:id="1878928056">
                  <w:marLeft w:val="0"/>
                  <w:marRight w:val="0"/>
                  <w:marTop w:val="0"/>
                  <w:marBottom w:val="0"/>
                  <w:divBdr>
                    <w:top w:val="none" w:sz="0" w:space="0" w:color="auto"/>
                    <w:left w:val="none" w:sz="0" w:space="0" w:color="auto"/>
                    <w:bottom w:val="none" w:sz="0" w:space="0" w:color="auto"/>
                    <w:right w:val="none" w:sz="0" w:space="0" w:color="auto"/>
                  </w:divBdr>
                  <w:divsChild>
                    <w:div w:id="1664164249">
                      <w:marLeft w:val="0"/>
                      <w:marRight w:val="0"/>
                      <w:marTop w:val="0"/>
                      <w:marBottom w:val="0"/>
                      <w:divBdr>
                        <w:top w:val="none" w:sz="0" w:space="0" w:color="auto"/>
                        <w:left w:val="none" w:sz="0" w:space="0" w:color="auto"/>
                        <w:bottom w:val="none" w:sz="0" w:space="0" w:color="auto"/>
                        <w:right w:val="none" w:sz="0" w:space="0" w:color="auto"/>
                      </w:divBdr>
                    </w:div>
                  </w:divsChild>
                </w:div>
                <w:div w:id="1918200792">
                  <w:marLeft w:val="0"/>
                  <w:marRight w:val="0"/>
                  <w:marTop w:val="0"/>
                  <w:marBottom w:val="0"/>
                  <w:divBdr>
                    <w:top w:val="none" w:sz="0" w:space="0" w:color="auto"/>
                    <w:left w:val="none" w:sz="0" w:space="0" w:color="auto"/>
                    <w:bottom w:val="none" w:sz="0" w:space="0" w:color="auto"/>
                    <w:right w:val="none" w:sz="0" w:space="0" w:color="auto"/>
                  </w:divBdr>
                  <w:divsChild>
                    <w:div w:id="1625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8853">
          <w:marLeft w:val="0"/>
          <w:marRight w:val="0"/>
          <w:marTop w:val="0"/>
          <w:marBottom w:val="0"/>
          <w:divBdr>
            <w:top w:val="none" w:sz="0" w:space="0" w:color="auto"/>
            <w:left w:val="none" w:sz="0" w:space="0" w:color="auto"/>
            <w:bottom w:val="none" w:sz="0" w:space="0" w:color="auto"/>
            <w:right w:val="none" w:sz="0" w:space="0" w:color="auto"/>
          </w:divBdr>
        </w:div>
      </w:divsChild>
    </w:div>
    <w:div w:id="748304910">
      <w:bodyDiv w:val="1"/>
      <w:marLeft w:val="0"/>
      <w:marRight w:val="0"/>
      <w:marTop w:val="0"/>
      <w:marBottom w:val="0"/>
      <w:divBdr>
        <w:top w:val="none" w:sz="0" w:space="0" w:color="auto"/>
        <w:left w:val="none" w:sz="0" w:space="0" w:color="auto"/>
        <w:bottom w:val="none" w:sz="0" w:space="0" w:color="auto"/>
        <w:right w:val="none" w:sz="0" w:space="0" w:color="auto"/>
      </w:divBdr>
    </w:div>
    <w:div w:id="789014632">
      <w:bodyDiv w:val="1"/>
      <w:marLeft w:val="0"/>
      <w:marRight w:val="0"/>
      <w:marTop w:val="0"/>
      <w:marBottom w:val="0"/>
      <w:divBdr>
        <w:top w:val="none" w:sz="0" w:space="0" w:color="auto"/>
        <w:left w:val="none" w:sz="0" w:space="0" w:color="auto"/>
        <w:bottom w:val="none" w:sz="0" w:space="0" w:color="auto"/>
        <w:right w:val="none" w:sz="0" w:space="0" w:color="auto"/>
      </w:divBdr>
      <w:divsChild>
        <w:div w:id="1145505979">
          <w:marLeft w:val="0"/>
          <w:marRight w:val="0"/>
          <w:marTop w:val="0"/>
          <w:marBottom w:val="0"/>
          <w:divBdr>
            <w:top w:val="none" w:sz="0" w:space="0" w:color="auto"/>
            <w:left w:val="none" w:sz="0" w:space="0" w:color="auto"/>
            <w:bottom w:val="none" w:sz="0" w:space="0" w:color="auto"/>
            <w:right w:val="none" w:sz="0" w:space="0" w:color="auto"/>
          </w:divBdr>
        </w:div>
        <w:div w:id="1558083096">
          <w:marLeft w:val="0"/>
          <w:marRight w:val="0"/>
          <w:marTop w:val="0"/>
          <w:marBottom w:val="0"/>
          <w:divBdr>
            <w:top w:val="none" w:sz="0" w:space="0" w:color="auto"/>
            <w:left w:val="none" w:sz="0" w:space="0" w:color="auto"/>
            <w:bottom w:val="none" w:sz="0" w:space="0" w:color="auto"/>
            <w:right w:val="none" w:sz="0" w:space="0" w:color="auto"/>
          </w:divBdr>
        </w:div>
        <w:div w:id="1812478820">
          <w:marLeft w:val="0"/>
          <w:marRight w:val="0"/>
          <w:marTop w:val="0"/>
          <w:marBottom w:val="0"/>
          <w:divBdr>
            <w:top w:val="none" w:sz="0" w:space="0" w:color="auto"/>
            <w:left w:val="none" w:sz="0" w:space="0" w:color="auto"/>
            <w:bottom w:val="none" w:sz="0" w:space="0" w:color="auto"/>
            <w:right w:val="none" w:sz="0" w:space="0" w:color="auto"/>
          </w:divBdr>
        </w:div>
        <w:div w:id="2071730410">
          <w:marLeft w:val="0"/>
          <w:marRight w:val="0"/>
          <w:marTop w:val="0"/>
          <w:marBottom w:val="0"/>
          <w:divBdr>
            <w:top w:val="none" w:sz="0" w:space="0" w:color="auto"/>
            <w:left w:val="none" w:sz="0" w:space="0" w:color="auto"/>
            <w:bottom w:val="none" w:sz="0" w:space="0" w:color="auto"/>
            <w:right w:val="none" w:sz="0" w:space="0" w:color="auto"/>
          </w:divBdr>
        </w:div>
      </w:divsChild>
    </w:div>
    <w:div w:id="816335962">
      <w:bodyDiv w:val="1"/>
      <w:marLeft w:val="0"/>
      <w:marRight w:val="0"/>
      <w:marTop w:val="0"/>
      <w:marBottom w:val="0"/>
      <w:divBdr>
        <w:top w:val="none" w:sz="0" w:space="0" w:color="auto"/>
        <w:left w:val="none" w:sz="0" w:space="0" w:color="auto"/>
        <w:bottom w:val="none" w:sz="0" w:space="0" w:color="auto"/>
        <w:right w:val="none" w:sz="0" w:space="0" w:color="auto"/>
      </w:divBdr>
    </w:div>
    <w:div w:id="834301427">
      <w:bodyDiv w:val="1"/>
      <w:marLeft w:val="0"/>
      <w:marRight w:val="0"/>
      <w:marTop w:val="0"/>
      <w:marBottom w:val="0"/>
      <w:divBdr>
        <w:top w:val="none" w:sz="0" w:space="0" w:color="auto"/>
        <w:left w:val="none" w:sz="0" w:space="0" w:color="auto"/>
        <w:bottom w:val="none" w:sz="0" w:space="0" w:color="auto"/>
        <w:right w:val="none" w:sz="0" w:space="0" w:color="auto"/>
      </w:divBdr>
      <w:divsChild>
        <w:div w:id="503516859">
          <w:marLeft w:val="0"/>
          <w:marRight w:val="0"/>
          <w:marTop w:val="0"/>
          <w:marBottom w:val="0"/>
          <w:divBdr>
            <w:top w:val="none" w:sz="0" w:space="0" w:color="auto"/>
            <w:left w:val="none" w:sz="0" w:space="0" w:color="auto"/>
            <w:bottom w:val="none" w:sz="0" w:space="0" w:color="auto"/>
            <w:right w:val="none" w:sz="0" w:space="0" w:color="auto"/>
          </w:divBdr>
        </w:div>
        <w:div w:id="1584492302">
          <w:marLeft w:val="0"/>
          <w:marRight w:val="0"/>
          <w:marTop w:val="0"/>
          <w:marBottom w:val="0"/>
          <w:divBdr>
            <w:top w:val="none" w:sz="0" w:space="0" w:color="auto"/>
            <w:left w:val="none" w:sz="0" w:space="0" w:color="auto"/>
            <w:bottom w:val="none" w:sz="0" w:space="0" w:color="auto"/>
            <w:right w:val="none" w:sz="0" w:space="0" w:color="auto"/>
          </w:divBdr>
        </w:div>
      </w:divsChild>
    </w:div>
    <w:div w:id="849099312">
      <w:bodyDiv w:val="1"/>
      <w:marLeft w:val="0"/>
      <w:marRight w:val="0"/>
      <w:marTop w:val="0"/>
      <w:marBottom w:val="0"/>
      <w:divBdr>
        <w:top w:val="none" w:sz="0" w:space="0" w:color="auto"/>
        <w:left w:val="none" w:sz="0" w:space="0" w:color="auto"/>
        <w:bottom w:val="none" w:sz="0" w:space="0" w:color="auto"/>
        <w:right w:val="none" w:sz="0" w:space="0" w:color="auto"/>
      </w:divBdr>
      <w:divsChild>
        <w:div w:id="75250336">
          <w:marLeft w:val="0"/>
          <w:marRight w:val="0"/>
          <w:marTop w:val="0"/>
          <w:marBottom w:val="0"/>
          <w:divBdr>
            <w:top w:val="none" w:sz="0" w:space="0" w:color="auto"/>
            <w:left w:val="none" w:sz="0" w:space="0" w:color="auto"/>
            <w:bottom w:val="none" w:sz="0" w:space="0" w:color="auto"/>
            <w:right w:val="none" w:sz="0" w:space="0" w:color="auto"/>
          </w:divBdr>
        </w:div>
      </w:divsChild>
    </w:div>
    <w:div w:id="923875597">
      <w:bodyDiv w:val="1"/>
      <w:marLeft w:val="0"/>
      <w:marRight w:val="0"/>
      <w:marTop w:val="0"/>
      <w:marBottom w:val="0"/>
      <w:divBdr>
        <w:top w:val="none" w:sz="0" w:space="0" w:color="auto"/>
        <w:left w:val="none" w:sz="0" w:space="0" w:color="auto"/>
        <w:bottom w:val="none" w:sz="0" w:space="0" w:color="auto"/>
        <w:right w:val="none" w:sz="0" w:space="0" w:color="auto"/>
      </w:divBdr>
      <w:divsChild>
        <w:div w:id="896861741">
          <w:marLeft w:val="0"/>
          <w:marRight w:val="0"/>
          <w:marTop w:val="0"/>
          <w:marBottom w:val="0"/>
          <w:divBdr>
            <w:top w:val="none" w:sz="0" w:space="0" w:color="auto"/>
            <w:left w:val="none" w:sz="0" w:space="0" w:color="auto"/>
            <w:bottom w:val="none" w:sz="0" w:space="0" w:color="auto"/>
            <w:right w:val="none" w:sz="0" w:space="0" w:color="auto"/>
          </w:divBdr>
        </w:div>
        <w:div w:id="1085499084">
          <w:marLeft w:val="0"/>
          <w:marRight w:val="0"/>
          <w:marTop w:val="0"/>
          <w:marBottom w:val="0"/>
          <w:divBdr>
            <w:top w:val="none" w:sz="0" w:space="0" w:color="auto"/>
            <w:left w:val="none" w:sz="0" w:space="0" w:color="auto"/>
            <w:bottom w:val="none" w:sz="0" w:space="0" w:color="auto"/>
            <w:right w:val="none" w:sz="0" w:space="0" w:color="auto"/>
          </w:divBdr>
        </w:div>
        <w:div w:id="1478837060">
          <w:marLeft w:val="0"/>
          <w:marRight w:val="0"/>
          <w:marTop w:val="0"/>
          <w:marBottom w:val="0"/>
          <w:divBdr>
            <w:top w:val="none" w:sz="0" w:space="0" w:color="auto"/>
            <w:left w:val="none" w:sz="0" w:space="0" w:color="auto"/>
            <w:bottom w:val="none" w:sz="0" w:space="0" w:color="auto"/>
            <w:right w:val="none" w:sz="0" w:space="0" w:color="auto"/>
          </w:divBdr>
        </w:div>
        <w:div w:id="1788505562">
          <w:marLeft w:val="0"/>
          <w:marRight w:val="0"/>
          <w:marTop w:val="0"/>
          <w:marBottom w:val="0"/>
          <w:divBdr>
            <w:top w:val="none" w:sz="0" w:space="0" w:color="auto"/>
            <w:left w:val="none" w:sz="0" w:space="0" w:color="auto"/>
            <w:bottom w:val="none" w:sz="0" w:space="0" w:color="auto"/>
            <w:right w:val="none" w:sz="0" w:space="0" w:color="auto"/>
          </w:divBdr>
        </w:div>
        <w:div w:id="1800760609">
          <w:marLeft w:val="0"/>
          <w:marRight w:val="0"/>
          <w:marTop w:val="0"/>
          <w:marBottom w:val="0"/>
          <w:divBdr>
            <w:top w:val="none" w:sz="0" w:space="0" w:color="auto"/>
            <w:left w:val="none" w:sz="0" w:space="0" w:color="auto"/>
            <w:bottom w:val="none" w:sz="0" w:space="0" w:color="auto"/>
            <w:right w:val="none" w:sz="0" w:space="0" w:color="auto"/>
          </w:divBdr>
        </w:div>
        <w:div w:id="2132940878">
          <w:marLeft w:val="0"/>
          <w:marRight w:val="0"/>
          <w:marTop w:val="0"/>
          <w:marBottom w:val="0"/>
          <w:divBdr>
            <w:top w:val="none" w:sz="0" w:space="0" w:color="auto"/>
            <w:left w:val="none" w:sz="0" w:space="0" w:color="auto"/>
            <w:bottom w:val="none" w:sz="0" w:space="0" w:color="auto"/>
            <w:right w:val="none" w:sz="0" w:space="0" w:color="auto"/>
          </w:divBdr>
        </w:div>
      </w:divsChild>
    </w:div>
    <w:div w:id="1136949188">
      <w:bodyDiv w:val="1"/>
      <w:marLeft w:val="0"/>
      <w:marRight w:val="0"/>
      <w:marTop w:val="0"/>
      <w:marBottom w:val="0"/>
      <w:divBdr>
        <w:top w:val="none" w:sz="0" w:space="0" w:color="auto"/>
        <w:left w:val="none" w:sz="0" w:space="0" w:color="auto"/>
        <w:bottom w:val="none" w:sz="0" w:space="0" w:color="auto"/>
        <w:right w:val="none" w:sz="0" w:space="0" w:color="auto"/>
      </w:divBdr>
      <w:divsChild>
        <w:div w:id="383335705">
          <w:marLeft w:val="0"/>
          <w:marRight w:val="0"/>
          <w:marTop w:val="0"/>
          <w:marBottom w:val="0"/>
          <w:divBdr>
            <w:top w:val="none" w:sz="0" w:space="0" w:color="auto"/>
            <w:left w:val="none" w:sz="0" w:space="0" w:color="auto"/>
            <w:bottom w:val="none" w:sz="0" w:space="0" w:color="auto"/>
            <w:right w:val="none" w:sz="0" w:space="0" w:color="auto"/>
          </w:divBdr>
        </w:div>
        <w:div w:id="444662705">
          <w:marLeft w:val="0"/>
          <w:marRight w:val="0"/>
          <w:marTop w:val="0"/>
          <w:marBottom w:val="0"/>
          <w:divBdr>
            <w:top w:val="none" w:sz="0" w:space="0" w:color="auto"/>
            <w:left w:val="none" w:sz="0" w:space="0" w:color="auto"/>
            <w:bottom w:val="none" w:sz="0" w:space="0" w:color="auto"/>
            <w:right w:val="none" w:sz="0" w:space="0" w:color="auto"/>
          </w:divBdr>
        </w:div>
        <w:div w:id="626010676">
          <w:marLeft w:val="0"/>
          <w:marRight w:val="0"/>
          <w:marTop w:val="0"/>
          <w:marBottom w:val="0"/>
          <w:divBdr>
            <w:top w:val="none" w:sz="0" w:space="0" w:color="auto"/>
            <w:left w:val="none" w:sz="0" w:space="0" w:color="auto"/>
            <w:bottom w:val="none" w:sz="0" w:space="0" w:color="auto"/>
            <w:right w:val="none" w:sz="0" w:space="0" w:color="auto"/>
          </w:divBdr>
        </w:div>
        <w:div w:id="858466185">
          <w:marLeft w:val="0"/>
          <w:marRight w:val="0"/>
          <w:marTop w:val="0"/>
          <w:marBottom w:val="0"/>
          <w:divBdr>
            <w:top w:val="none" w:sz="0" w:space="0" w:color="auto"/>
            <w:left w:val="none" w:sz="0" w:space="0" w:color="auto"/>
            <w:bottom w:val="none" w:sz="0" w:space="0" w:color="auto"/>
            <w:right w:val="none" w:sz="0" w:space="0" w:color="auto"/>
          </w:divBdr>
          <w:divsChild>
            <w:div w:id="1964846832">
              <w:marLeft w:val="-75"/>
              <w:marRight w:val="0"/>
              <w:marTop w:val="30"/>
              <w:marBottom w:val="30"/>
              <w:divBdr>
                <w:top w:val="none" w:sz="0" w:space="0" w:color="auto"/>
                <w:left w:val="none" w:sz="0" w:space="0" w:color="auto"/>
                <w:bottom w:val="none" w:sz="0" w:space="0" w:color="auto"/>
                <w:right w:val="none" w:sz="0" w:space="0" w:color="auto"/>
              </w:divBdr>
              <w:divsChild>
                <w:div w:id="208343934">
                  <w:marLeft w:val="0"/>
                  <w:marRight w:val="0"/>
                  <w:marTop w:val="0"/>
                  <w:marBottom w:val="0"/>
                  <w:divBdr>
                    <w:top w:val="none" w:sz="0" w:space="0" w:color="auto"/>
                    <w:left w:val="none" w:sz="0" w:space="0" w:color="auto"/>
                    <w:bottom w:val="none" w:sz="0" w:space="0" w:color="auto"/>
                    <w:right w:val="none" w:sz="0" w:space="0" w:color="auto"/>
                  </w:divBdr>
                  <w:divsChild>
                    <w:div w:id="1294599432">
                      <w:marLeft w:val="0"/>
                      <w:marRight w:val="0"/>
                      <w:marTop w:val="0"/>
                      <w:marBottom w:val="0"/>
                      <w:divBdr>
                        <w:top w:val="none" w:sz="0" w:space="0" w:color="auto"/>
                        <w:left w:val="none" w:sz="0" w:space="0" w:color="auto"/>
                        <w:bottom w:val="none" w:sz="0" w:space="0" w:color="auto"/>
                        <w:right w:val="none" w:sz="0" w:space="0" w:color="auto"/>
                      </w:divBdr>
                    </w:div>
                  </w:divsChild>
                </w:div>
                <w:div w:id="520826032">
                  <w:marLeft w:val="0"/>
                  <w:marRight w:val="0"/>
                  <w:marTop w:val="0"/>
                  <w:marBottom w:val="0"/>
                  <w:divBdr>
                    <w:top w:val="none" w:sz="0" w:space="0" w:color="auto"/>
                    <w:left w:val="none" w:sz="0" w:space="0" w:color="auto"/>
                    <w:bottom w:val="none" w:sz="0" w:space="0" w:color="auto"/>
                    <w:right w:val="none" w:sz="0" w:space="0" w:color="auto"/>
                  </w:divBdr>
                  <w:divsChild>
                    <w:div w:id="1630432391">
                      <w:marLeft w:val="0"/>
                      <w:marRight w:val="0"/>
                      <w:marTop w:val="0"/>
                      <w:marBottom w:val="0"/>
                      <w:divBdr>
                        <w:top w:val="none" w:sz="0" w:space="0" w:color="auto"/>
                        <w:left w:val="none" w:sz="0" w:space="0" w:color="auto"/>
                        <w:bottom w:val="none" w:sz="0" w:space="0" w:color="auto"/>
                        <w:right w:val="none" w:sz="0" w:space="0" w:color="auto"/>
                      </w:divBdr>
                    </w:div>
                  </w:divsChild>
                </w:div>
                <w:div w:id="522401366">
                  <w:marLeft w:val="0"/>
                  <w:marRight w:val="0"/>
                  <w:marTop w:val="0"/>
                  <w:marBottom w:val="0"/>
                  <w:divBdr>
                    <w:top w:val="none" w:sz="0" w:space="0" w:color="auto"/>
                    <w:left w:val="none" w:sz="0" w:space="0" w:color="auto"/>
                    <w:bottom w:val="none" w:sz="0" w:space="0" w:color="auto"/>
                    <w:right w:val="none" w:sz="0" w:space="0" w:color="auto"/>
                  </w:divBdr>
                  <w:divsChild>
                    <w:div w:id="1082290692">
                      <w:marLeft w:val="0"/>
                      <w:marRight w:val="0"/>
                      <w:marTop w:val="0"/>
                      <w:marBottom w:val="0"/>
                      <w:divBdr>
                        <w:top w:val="none" w:sz="0" w:space="0" w:color="auto"/>
                        <w:left w:val="none" w:sz="0" w:space="0" w:color="auto"/>
                        <w:bottom w:val="none" w:sz="0" w:space="0" w:color="auto"/>
                        <w:right w:val="none" w:sz="0" w:space="0" w:color="auto"/>
                      </w:divBdr>
                    </w:div>
                  </w:divsChild>
                </w:div>
                <w:div w:id="538396975">
                  <w:marLeft w:val="0"/>
                  <w:marRight w:val="0"/>
                  <w:marTop w:val="0"/>
                  <w:marBottom w:val="0"/>
                  <w:divBdr>
                    <w:top w:val="none" w:sz="0" w:space="0" w:color="auto"/>
                    <w:left w:val="none" w:sz="0" w:space="0" w:color="auto"/>
                    <w:bottom w:val="none" w:sz="0" w:space="0" w:color="auto"/>
                    <w:right w:val="none" w:sz="0" w:space="0" w:color="auto"/>
                  </w:divBdr>
                  <w:divsChild>
                    <w:div w:id="780876301">
                      <w:marLeft w:val="0"/>
                      <w:marRight w:val="0"/>
                      <w:marTop w:val="0"/>
                      <w:marBottom w:val="0"/>
                      <w:divBdr>
                        <w:top w:val="none" w:sz="0" w:space="0" w:color="auto"/>
                        <w:left w:val="none" w:sz="0" w:space="0" w:color="auto"/>
                        <w:bottom w:val="none" w:sz="0" w:space="0" w:color="auto"/>
                        <w:right w:val="none" w:sz="0" w:space="0" w:color="auto"/>
                      </w:divBdr>
                    </w:div>
                  </w:divsChild>
                </w:div>
                <w:div w:id="627706243">
                  <w:marLeft w:val="0"/>
                  <w:marRight w:val="0"/>
                  <w:marTop w:val="0"/>
                  <w:marBottom w:val="0"/>
                  <w:divBdr>
                    <w:top w:val="none" w:sz="0" w:space="0" w:color="auto"/>
                    <w:left w:val="none" w:sz="0" w:space="0" w:color="auto"/>
                    <w:bottom w:val="none" w:sz="0" w:space="0" w:color="auto"/>
                    <w:right w:val="none" w:sz="0" w:space="0" w:color="auto"/>
                  </w:divBdr>
                  <w:divsChild>
                    <w:div w:id="700859538">
                      <w:marLeft w:val="0"/>
                      <w:marRight w:val="0"/>
                      <w:marTop w:val="0"/>
                      <w:marBottom w:val="0"/>
                      <w:divBdr>
                        <w:top w:val="none" w:sz="0" w:space="0" w:color="auto"/>
                        <w:left w:val="none" w:sz="0" w:space="0" w:color="auto"/>
                        <w:bottom w:val="none" w:sz="0" w:space="0" w:color="auto"/>
                        <w:right w:val="none" w:sz="0" w:space="0" w:color="auto"/>
                      </w:divBdr>
                    </w:div>
                  </w:divsChild>
                </w:div>
                <w:div w:id="1256935828">
                  <w:marLeft w:val="0"/>
                  <w:marRight w:val="0"/>
                  <w:marTop w:val="0"/>
                  <w:marBottom w:val="0"/>
                  <w:divBdr>
                    <w:top w:val="none" w:sz="0" w:space="0" w:color="auto"/>
                    <w:left w:val="none" w:sz="0" w:space="0" w:color="auto"/>
                    <w:bottom w:val="none" w:sz="0" w:space="0" w:color="auto"/>
                    <w:right w:val="none" w:sz="0" w:space="0" w:color="auto"/>
                  </w:divBdr>
                  <w:divsChild>
                    <w:div w:id="21237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6596">
          <w:marLeft w:val="0"/>
          <w:marRight w:val="0"/>
          <w:marTop w:val="0"/>
          <w:marBottom w:val="0"/>
          <w:divBdr>
            <w:top w:val="none" w:sz="0" w:space="0" w:color="auto"/>
            <w:left w:val="none" w:sz="0" w:space="0" w:color="auto"/>
            <w:bottom w:val="none" w:sz="0" w:space="0" w:color="auto"/>
            <w:right w:val="none" w:sz="0" w:space="0" w:color="auto"/>
          </w:divBdr>
        </w:div>
        <w:div w:id="1787700194">
          <w:marLeft w:val="0"/>
          <w:marRight w:val="0"/>
          <w:marTop w:val="0"/>
          <w:marBottom w:val="0"/>
          <w:divBdr>
            <w:top w:val="none" w:sz="0" w:space="0" w:color="auto"/>
            <w:left w:val="none" w:sz="0" w:space="0" w:color="auto"/>
            <w:bottom w:val="none" w:sz="0" w:space="0" w:color="auto"/>
            <w:right w:val="none" w:sz="0" w:space="0" w:color="auto"/>
          </w:divBdr>
        </w:div>
        <w:div w:id="1923485099">
          <w:marLeft w:val="0"/>
          <w:marRight w:val="0"/>
          <w:marTop w:val="0"/>
          <w:marBottom w:val="0"/>
          <w:divBdr>
            <w:top w:val="none" w:sz="0" w:space="0" w:color="auto"/>
            <w:left w:val="none" w:sz="0" w:space="0" w:color="auto"/>
            <w:bottom w:val="none" w:sz="0" w:space="0" w:color="auto"/>
            <w:right w:val="none" w:sz="0" w:space="0" w:color="auto"/>
          </w:divBdr>
        </w:div>
      </w:divsChild>
    </w:div>
    <w:div w:id="1139764732">
      <w:bodyDiv w:val="1"/>
      <w:marLeft w:val="0"/>
      <w:marRight w:val="0"/>
      <w:marTop w:val="0"/>
      <w:marBottom w:val="0"/>
      <w:divBdr>
        <w:top w:val="none" w:sz="0" w:space="0" w:color="auto"/>
        <w:left w:val="none" w:sz="0" w:space="0" w:color="auto"/>
        <w:bottom w:val="none" w:sz="0" w:space="0" w:color="auto"/>
        <w:right w:val="none" w:sz="0" w:space="0" w:color="auto"/>
      </w:divBdr>
      <w:divsChild>
        <w:div w:id="719474965">
          <w:marLeft w:val="0"/>
          <w:marRight w:val="0"/>
          <w:marTop w:val="0"/>
          <w:marBottom w:val="0"/>
          <w:divBdr>
            <w:top w:val="none" w:sz="0" w:space="0" w:color="auto"/>
            <w:left w:val="none" w:sz="0" w:space="0" w:color="auto"/>
            <w:bottom w:val="none" w:sz="0" w:space="0" w:color="auto"/>
            <w:right w:val="none" w:sz="0" w:space="0" w:color="auto"/>
          </w:divBdr>
        </w:div>
        <w:div w:id="1731729541">
          <w:marLeft w:val="0"/>
          <w:marRight w:val="0"/>
          <w:marTop w:val="0"/>
          <w:marBottom w:val="0"/>
          <w:divBdr>
            <w:top w:val="none" w:sz="0" w:space="0" w:color="auto"/>
            <w:left w:val="none" w:sz="0" w:space="0" w:color="auto"/>
            <w:bottom w:val="none" w:sz="0" w:space="0" w:color="auto"/>
            <w:right w:val="none" w:sz="0" w:space="0" w:color="auto"/>
          </w:divBdr>
        </w:div>
      </w:divsChild>
    </w:div>
    <w:div w:id="1223758188">
      <w:bodyDiv w:val="1"/>
      <w:marLeft w:val="0"/>
      <w:marRight w:val="0"/>
      <w:marTop w:val="0"/>
      <w:marBottom w:val="0"/>
      <w:divBdr>
        <w:top w:val="none" w:sz="0" w:space="0" w:color="auto"/>
        <w:left w:val="none" w:sz="0" w:space="0" w:color="auto"/>
        <w:bottom w:val="none" w:sz="0" w:space="0" w:color="auto"/>
        <w:right w:val="none" w:sz="0" w:space="0" w:color="auto"/>
      </w:divBdr>
      <w:divsChild>
        <w:div w:id="65812276">
          <w:marLeft w:val="0"/>
          <w:marRight w:val="0"/>
          <w:marTop w:val="0"/>
          <w:marBottom w:val="0"/>
          <w:divBdr>
            <w:top w:val="none" w:sz="0" w:space="0" w:color="auto"/>
            <w:left w:val="none" w:sz="0" w:space="0" w:color="auto"/>
            <w:bottom w:val="none" w:sz="0" w:space="0" w:color="auto"/>
            <w:right w:val="none" w:sz="0" w:space="0" w:color="auto"/>
          </w:divBdr>
        </w:div>
        <w:div w:id="152649976">
          <w:marLeft w:val="0"/>
          <w:marRight w:val="0"/>
          <w:marTop w:val="0"/>
          <w:marBottom w:val="0"/>
          <w:divBdr>
            <w:top w:val="none" w:sz="0" w:space="0" w:color="auto"/>
            <w:left w:val="none" w:sz="0" w:space="0" w:color="auto"/>
            <w:bottom w:val="none" w:sz="0" w:space="0" w:color="auto"/>
            <w:right w:val="none" w:sz="0" w:space="0" w:color="auto"/>
          </w:divBdr>
        </w:div>
        <w:div w:id="395706425">
          <w:marLeft w:val="0"/>
          <w:marRight w:val="0"/>
          <w:marTop w:val="0"/>
          <w:marBottom w:val="0"/>
          <w:divBdr>
            <w:top w:val="none" w:sz="0" w:space="0" w:color="auto"/>
            <w:left w:val="none" w:sz="0" w:space="0" w:color="auto"/>
            <w:bottom w:val="none" w:sz="0" w:space="0" w:color="auto"/>
            <w:right w:val="none" w:sz="0" w:space="0" w:color="auto"/>
          </w:divBdr>
        </w:div>
        <w:div w:id="580529176">
          <w:marLeft w:val="0"/>
          <w:marRight w:val="0"/>
          <w:marTop w:val="0"/>
          <w:marBottom w:val="0"/>
          <w:divBdr>
            <w:top w:val="none" w:sz="0" w:space="0" w:color="auto"/>
            <w:left w:val="none" w:sz="0" w:space="0" w:color="auto"/>
            <w:bottom w:val="none" w:sz="0" w:space="0" w:color="auto"/>
            <w:right w:val="none" w:sz="0" w:space="0" w:color="auto"/>
          </w:divBdr>
        </w:div>
        <w:div w:id="663169062">
          <w:marLeft w:val="0"/>
          <w:marRight w:val="0"/>
          <w:marTop w:val="0"/>
          <w:marBottom w:val="0"/>
          <w:divBdr>
            <w:top w:val="none" w:sz="0" w:space="0" w:color="auto"/>
            <w:left w:val="none" w:sz="0" w:space="0" w:color="auto"/>
            <w:bottom w:val="none" w:sz="0" w:space="0" w:color="auto"/>
            <w:right w:val="none" w:sz="0" w:space="0" w:color="auto"/>
          </w:divBdr>
        </w:div>
        <w:div w:id="873687609">
          <w:marLeft w:val="0"/>
          <w:marRight w:val="0"/>
          <w:marTop w:val="0"/>
          <w:marBottom w:val="0"/>
          <w:divBdr>
            <w:top w:val="none" w:sz="0" w:space="0" w:color="auto"/>
            <w:left w:val="none" w:sz="0" w:space="0" w:color="auto"/>
            <w:bottom w:val="none" w:sz="0" w:space="0" w:color="auto"/>
            <w:right w:val="none" w:sz="0" w:space="0" w:color="auto"/>
          </w:divBdr>
        </w:div>
        <w:div w:id="1303533582">
          <w:marLeft w:val="0"/>
          <w:marRight w:val="0"/>
          <w:marTop w:val="0"/>
          <w:marBottom w:val="0"/>
          <w:divBdr>
            <w:top w:val="none" w:sz="0" w:space="0" w:color="auto"/>
            <w:left w:val="none" w:sz="0" w:space="0" w:color="auto"/>
            <w:bottom w:val="none" w:sz="0" w:space="0" w:color="auto"/>
            <w:right w:val="none" w:sz="0" w:space="0" w:color="auto"/>
          </w:divBdr>
        </w:div>
      </w:divsChild>
    </w:div>
    <w:div w:id="122548739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4143067">
      <w:bodyDiv w:val="1"/>
      <w:marLeft w:val="0"/>
      <w:marRight w:val="0"/>
      <w:marTop w:val="0"/>
      <w:marBottom w:val="0"/>
      <w:divBdr>
        <w:top w:val="none" w:sz="0" w:space="0" w:color="auto"/>
        <w:left w:val="none" w:sz="0" w:space="0" w:color="auto"/>
        <w:bottom w:val="none" w:sz="0" w:space="0" w:color="auto"/>
        <w:right w:val="none" w:sz="0" w:space="0" w:color="auto"/>
      </w:divBdr>
      <w:divsChild>
        <w:div w:id="473719676">
          <w:marLeft w:val="0"/>
          <w:marRight w:val="0"/>
          <w:marTop w:val="0"/>
          <w:marBottom w:val="0"/>
          <w:divBdr>
            <w:top w:val="none" w:sz="0" w:space="0" w:color="auto"/>
            <w:left w:val="none" w:sz="0" w:space="0" w:color="auto"/>
            <w:bottom w:val="none" w:sz="0" w:space="0" w:color="auto"/>
            <w:right w:val="none" w:sz="0" w:space="0" w:color="auto"/>
          </w:divBdr>
        </w:div>
        <w:div w:id="982854788">
          <w:marLeft w:val="0"/>
          <w:marRight w:val="0"/>
          <w:marTop w:val="0"/>
          <w:marBottom w:val="0"/>
          <w:divBdr>
            <w:top w:val="none" w:sz="0" w:space="0" w:color="auto"/>
            <w:left w:val="none" w:sz="0" w:space="0" w:color="auto"/>
            <w:bottom w:val="none" w:sz="0" w:space="0" w:color="auto"/>
            <w:right w:val="none" w:sz="0" w:space="0" w:color="auto"/>
          </w:divBdr>
        </w:div>
        <w:div w:id="1376924078">
          <w:marLeft w:val="0"/>
          <w:marRight w:val="0"/>
          <w:marTop w:val="0"/>
          <w:marBottom w:val="0"/>
          <w:divBdr>
            <w:top w:val="none" w:sz="0" w:space="0" w:color="auto"/>
            <w:left w:val="none" w:sz="0" w:space="0" w:color="auto"/>
            <w:bottom w:val="none" w:sz="0" w:space="0" w:color="auto"/>
            <w:right w:val="none" w:sz="0" w:space="0" w:color="auto"/>
          </w:divBdr>
        </w:div>
        <w:div w:id="1428506034">
          <w:marLeft w:val="0"/>
          <w:marRight w:val="0"/>
          <w:marTop w:val="0"/>
          <w:marBottom w:val="0"/>
          <w:divBdr>
            <w:top w:val="none" w:sz="0" w:space="0" w:color="auto"/>
            <w:left w:val="none" w:sz="0" w:space="0" w:color="auto"/>
            <w:bottom w:val="none" w:sz="0" w:space="0" w:color="auto"/>
            <w:right w:val="none" w:sz="0" w:space="0" w:color="auto"/>
          </w:divBdr>
          <w:divsChild>
            <w:div w:id="1719863672">
              <w:marLeft w:val="-75"/>
              <w:marRight w:val="0"/>
              <w:marTop w:val="30"/>
              <w:marBottom w:val="30"/>
              <w:divBdr>
                <w:top w:val="none" w:sz="0" w:space="0" w:color="auto"/>
                <w:left w:val="none" w:sz="0" w:space="0" w:color="auto"/>
                <w:bottom w:val="none" w:sz="0" w:space="0" w:color="auto"/>
                <w:right w:val="none" w:sz="0" w:space="0" w:color="auto"/>
              </w:divBdr>
              <w:divsChild>
                <w:div w:id="469592932">
                  <w:marLeft w:val="0"/>
                  <w:marRight w:val="0"/>
                  <w:marTop w:val="0"/>
                  <w:marBottom w:val="0"/>
                  <w:divBdr>
                    <w:top w:val="none" w:sz="0" w:space="0" w:color="auto"/>
                    <w:left w:val="none" w:sz="0" w:space="0" w:color="auto"/>
                    <w:bottom w:val="none" w:sz="0" w:space="0" w:color="auto"/>
                    <w:right w:val="none" w:sz="0" w:space="0" w:color="auto"/>
                  </w:divBdr>
                  <w:divsChild>
                    <w:div w:id="247813480">
                      <w:marLeft w:val="0"/>
                      <w:marRight w:val="0"/>
                      <w:marTop w:val="0"/>
                      <w:marBottom w:val="0"/>
                      <w:divBdr>
                        <w:top w:val="none" w:sz="0" w:space="0" w:color="auto"/>
                        <w:left w:val="none" w:sz="0" w:space="0" w:color="auto"/>
                        <w:bottom w:val="none" w:sz="0" w:space="0" w:color="auto"/>
                        <w:right w:val="none" w:sz="0" w:space="0" w:color="auto"/>
                      </w:divBdr>
                    </w:div>
                  </w:divsChild>
                </w:div>
                <w:div w:id="703751941">
                  <w:marLeft w:val="0"/>
                  <w:marRight w:val="0"/>
                  <w:marTop w:val="0"/>
                  <w:marBottom w:val="0"/>
                  <w:divBdr>
                    <w:top w:val="none" w:sz="0" w:space="0" w:color="auto"/>
                    <w:left w:val="none" w:sz="0" w:space="0" w:color="auto"/>
                    <w:bottom w:val="none" w:sz="0" w:space="0" w:color="auto"/>
                    <w:right w:val="none" w:sz="0" w:space="0" w:color="auto"/>
                  </w:divBdr>
                  <w:divsChild>
                    <w:div w:id="2030134674">
                      <w:marLeft w:val="0"/>
                      <w:marRight w:val="0"/>
                      <w:marTop w:val="0"/>
                      <w:marBottom w:val="0"/>
                      <w:divBdr>
                        <w:top w:val="none" w:sz="0" w:space="0" w:color="auto"/>
                        <w:left w:val="none" w:sz="0" w:space="0" w:color="auto"/>
                        <w:bottom w:val="none" w:sz="0" w:space="0" w:color="auto"/>
                        <w:right w:val="none" w:sz="0" w:space="0" w:color="auto"/>
                      </w:divBdr>
                    </w:div>
                  </w:divsChild>
                </w:div>
                <w:div w:id="1107309932">
                  <w:marLeft w:val="0"/>
                  <w:marRight w:val="0"/>
                  <w:marTop w:val="0"/>
                  <w:marBottom w:val="0"/>
                  <w:divBdr>
                    <w:top w:val="none" w:sz="0" w:space="0" w:color="auto"/>
                    <w:left w:val="none" w:sz="0" w:space="0" w:color="auto"/>
                    <w:bottom w:val="none" w:sz="0" w:space="0" w:color="auto"/>
                    <w:right w:val="none" w:sz="0" w:space="0" w:color="auto"/>
                  </w:divBdr>
                  <w:divsChild>
                    <w:div w:id="1147666564">
                      <w:marLeft w:val="0"/>
                      <w:marRight w:val="0"/>
                      <w:marTop w:val="0"/>
                      <w:marBottom w:val="0"/>
                      <w:divBdr>
                        <w:top w:val="none" w:sz="0" w:space="0" w:color="auto"/>
                        <w:left w:val="none" w:sz="0" w:space="0" w:color="auto"/>
                        <w:bottom w:val="none" w:sz="0" w:space="0" w:color="auto"/>
                        <w:right w:val="none" w:sz="0" w:space="0" w:color="auto"/>
                      </w:divBdr>
                    </w:div>
                  </w:divsChild>
                </w:div>
                <w:div w:id="1425688407">
                  <w:marLeft w:val="0"/>
                  <w:marRight w:val="0"/>
                  <w:marTop w:val="0"/>
                  <w:marBottom w:val="0"/>
                  <w:divBdr>
                    <w:top w:val="none" w:sz="0" w:space="0" w:color="auto"/>
                    <w:left w:val="none" w:sz="0" w:space="0" w:color="auto"/>
                    <w:bottom w:val="none" w:sz="0" w:space="0" w:color="auto"/>
                    <w:right w:val="none" w:sz="0" w:space="0" w:color="auto"/>
                  </w:divBdr>
                  <w:divsChild>
                    <w:div w:id="1069038838">
                      <w:marLeft w:val="0"/>
                      <w:marRight w:val="0"/>
                      <w:marTop w:val="0"/>
                      <w:marBottom w:val="0"/>
                      <w:divBdr>
                        <w:top w:val="none" w:sz="0" w:space="0" w:color="auto"/>
                        <w:left w:val="none" w:sz="0" w:space="0" w:color="auto"/>
                        <w:bottom w:val="none" w:sz="0" w:space="0" w:color="auto"/>
                        <w:right w:val="none" w:sz="0" w:space="0" w:color="auto"/>
                      </w:divBdr>
                    </w:div>
                  </w:divsChild>
                </w:div>
                <w:div w:id="1512988291">
                  <w:marLeft w:val="0"/>
                  <w:marRight w:val="0"/>
                  <w:marTop w:val="0"/>
                  <w:marBottom w:val="0"/>
                  <w:divBdr>
                    <w:top w:val="none" w:sz="0" w:space="0" w:color="auto"/>
                    <w:left w:val="none" w:sz="0" w:space="0" w:color="auto"/>
                    <w:bottom w:val="none" w:sz="0" w:space="0" w:color="auto"/>
                    <w:right w:val="none" w:sz="0" w:space="0" w:color="auto"/>
                  </w:divBdr>
                  <w:divsChild>
                    <w:div w:id="2126188404">
                      <w:marLeft w:val="0"/>
                      <w:marRight w:val="0"/>
                      <w:marTop w:val="0"/>
                      <w:marBottom w:val="0"/>
                      <w:divBdr>
                        <w:top w:val="none" w:sz="0" w:space="0" w:color="auto"/>
                        <w:left w:val="none" w:sz="0" w:space="0" w:color="auto"/>
                        <w:bottom w:val="none" w:sz="0" w:space="0" w:color="auto"/>
                        <w:right w:val="none" w:sz="0" w:space="0" w:color="auto"/>
                      </w:divBdr>
                    </w:div>
                  </w:divsChild>
                </w:div>
                <w:div w:id="1581452659">
                  <w:marLeft w:val="0"/>
                  <w:marRight w:val="0"/>
                  <w:marTop w:val="0"/>
                  <w:marBottom w:val="0"/>
                  <w:divBdr>
                    <w:top w:val="none" w:sz="0" w:space="0" w:color="auto"/>
                    <w:left w:val="none" w:sz="0" w:space="0" w:color="auto"/>
                    <w:bottom w:val="none" w:sz="0" w:space="0" w:color="auto"/>
                    <w:right w:val="none" w:sz="0" w:space="0" w:color="auto"/>
                  </w:divBdr>
                  <w:divsChild>
                    <w:div w:id="611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4699">
          <w:marLeft w:val="0"/>
          <w:marRight w:val="0"/>
          <w:marTop w:val="0"/>
          <w:marBottom w:val="0"/>
          <w:divBdr>
            <w:top w:val="none" w:sz="0" w:space="0" w:color="auto"/>
            <w:left w:val="none" w:sz="0" w:space="0" w:color="auto"/>
            <w:bottom w:val="none" w:sz="0" w:space="0" w:color="auto"/>
            <w:right w:val="none" w:sz="0" w:space="0" w:color="auto"/>
          </w:divBdr>
        </w:div>
        <w:div w:id="1634021865">
          <w:marLeft w:val="0"/>
          <w:marRight w:val="0"/>
          <w:marTop w:val="0"/>
          <w:marBottom w:val="0"/>
          <w:divBdr>
            <w:top w:val="none" w:sz="0" w:space="0" w:color="auto"/>
            <w:left w:val="none" w:sz="0" w:space="0" w:color="auto"/>
            <w:bottom w:val="none" w:sz="0" w:space="0" w:color="auto"/>
            <w:right w:val="none" w:sz="0" w:space="0" w:color="auto"/>
          </w:divBdr>
        </w:div>
        <w:div w:id="1965038368">
          <w:marLeft w:val="0"/>
          <w:marRight w:val="0"/>
          <w:marTop w:val="0"/>
          <w:marBottom w:val="0"/>
          <w:divBdr>
            <w:top w:val="none" w:sz="0" w:space="0" w:color="auto"/>
            <w:left w:val="none" w:sz="0" w:space="0" w:color="auto"/>
            <w:bottom w:val="none" w:sz="0" w:space="0" w:color="auto"/>
            <w:right w:val="none" w:sz="0" w:space="0" w:color="auto"/>
          </w:divBdr>
        </w:div>
      </w:divsChild>
    </w:div>
    <w:div w:id="1266228609">
      <w:bodyDiv w:val="1"/>
      <w:marLeft w:val="0"/>
      <w:marRight w:val="0"/>
      <w:marTop w:val="0"/>
      <w:marBottom w:val="0"/>
      <w:divBdr>
        <w:top w:val="none" w:sz="0" w:space="0" w:color="auto"/>
        <w:left w:val="none" w:sz="0" w:space="0" w:color="auto"/>
        <w:bottom w:val="none" w:sz="0" w:space="0" w:color="auto"/>
        <w:right w:val="none" w:sz="0" w:space="0" w:color="auto"/>
      </w:divBdr>
      <w:divsChild>
        <w:div w:id="1524368466">
          <w:marLeft w:val="0"/>
          <w:marRight w:val="0"/>
          <w:marTop w:val="0"/>
          <w:marBottom w:val="0"/>
          <w:divBdr>
            <w:top w:val="none" w:sz="0" w:space="0" w:color="auto"/>
            <w:left w:val="none" w:sz="0" w:space="0" w:color="auto"/>
            <w:bottom w:val="none" w:sz="0" w:space="0" w:color="auto"/>
            <w:right w:val="none" w:sz="0" w:space="0" w:color="auto"/>
          </w:divBdr>
        </w:div>
      </w:divsChild>
    </w:div>
    <w:div w:id="1321035869">
      <w:bodyDiv w:val="1"/>
      <w:marLeft w:val="0"/>
      <w:marRight w:val="0"/>
      <w:marTop w:val="0"/>
      <w:marBottom w:val="0"/>
      <w:divBdr>
        <w:top w:val="none" w:sz="0" w:space="0" w:color="auto"/>
        <w:left w:val="none" w:sz="0" w:space="0" w:color="auto"/>
        <w:bottom w:val="none" w:sz="0" w:space="0" w:color="auto"/>
        <w:right w:val="none" w:sz="0" w:space="0" w:color="auto"/>
      </w:divBdr>
    </w:div>
    <w:div w:id="1339842156">
      <w:bodyDiv w:val="1"/>
      <w:marLeft w:val="0"/>
      <w:marRight w:val="0"/>
      <w:marTop w:val="0"/>
      <w:marBottom w:val="0"/>
      <w:divBdr>
        <w:top w:val="none" w:sz="0" w:space="0" w:color="auto"/>
        <w:left w:val="none" w:sz="0" w:space="0" w:color="auto"/>
        <w:bottom w:val="none" w:sz="0" w:space="0" w:color="auto"/>
        <w:right w:val="none" w:sz="0" w:space="0" w:color="auto"/>
      </w:divBdr>
      <w:divsChild>
        <w:div w:id="2981157">
          <w:marLeft w:val="0"/>
          <w:marRight w:val="0"/>
          <w:marTop w:val="0"/>
          <w:marBottom w:val="0"/>
          <w:divBdr>
            <w:top w:val="none" w:sz="0" w:space="0" w:color="auto"/>
            <w:left w:val="none" w:sz="0" w:space="0" w:color="auto"/>
            <w:bottom w:val="none" w:sz="0" w:space="0" w:color="auto"/>
            <w:right w:val="none" w:sz="0" w:space="0" w:color="auto"/>
          </w:divBdr>
        </w:div>
        <w:div w:id="8220838">
          <w:marLeft w:val="0"/>
          <w:marRight w:val="0"/>
          <w:marTop w:val="0"/>
          <w:marBottom w:val="0"/>
          <w:divBdr>
            <w:top w:val="none" w:sz="0" w:space="0" w:color="auto"/>
            <w:left w:val="none" w:sz="0" w:space="0" w:color="auto"/>
            <w:bottom w:val="none" w:sz="0" w:space="0" w:color="auto"/>
            <w:right w:val="none" w:sz="0" w:space="0" w:color="auto"/>
          </w:divBdr>
        </w:div>
        <w:div w:id="359090263">
          <w:marLeft w:val="0"/>
          <w:marRight w:val="0"/>
          <w:marTop w:val="0"/>
          <w:marBottom w:val="0"/>
          <w:divBdr>
            <w:top w:val="none" w:sz="0" w:space="0" w:color="auto"/>
            <w:left w:val="none" w:sz="0" w:space="0" w:color="auto"/>
            <w:bottom w:val="none" w:sz="0" w:space="0" w:color="auto"/>
            <w:right w:val="none" w:sz="0" w:space="0" w:color="auto"/>
          </w:divBdr>
        </w:div>
        <w:div w:id="809785026">
          <w:marLeft w:val="0"/>
          <w:marRight w:val="0"/>
          <w:marTop w:val="0"/>
          <w:marBottom w:val="0"/>
          <w:divBdr>
            <w:top w:val="none" w:sz="0" w:space="0" w:color="auto"/>
            <w:left w:val="none" w:sz="0" w:space="0" w:color="auto"/>
            <w:bottom w:val="none" w:sz="0" w:space="0" w:color="auto"/>
            <w:right w:val="none" w:sz="0" w:space="0" w:color="auto"/>
          </w:divBdr>
        </w:div>
        <w:div w:id="1210723034">
          <w:marLeft w:val="0"/>
          <w:marRight w:val="0"/>
          <w:marTop w:val="0"/>
          <w:marBottom w:val="0"/>
          <w:divBdr>
            <w:top w:val="none" w:sz="0" w:space="0" w:color="auto"/>
            <w:left w:val="none" w:sz="0" w:space="0" w:color="auto"/>
            <w:bottom w:val="none" w:sz="0" w:space="0" w:color="auto"/>
            <w:right w:val="none" w:sz="0" w:space="0" w:color="auto"/>
          </w:divBdr>
        </w:div>
        <w:div w:id="2114813014">
          <w:marLeft w:val="0"/>
          <w:marRight w:val="0"/>
          <w:marTop w:val="0"/>
          <w:marBottom w:val="0"/>
          <w:divBdr>
            <w:top w:val="none" w:sz="0" w:space="0" w:color="auto"/>
            <w:left w:val="none" w:sz="0" w:space="0" w:color="auto"/>
            <w:bottom w:val="none" w:sz="0" w:space="0" w:color="auto"/>
            <w:right w:val="none" w:sz="0" w:space="0" w:color="auto"/>
          </w:divBdr>
        </w:div>
      </w:divsChild>
    </w:div>
    <w:div w:id="1628271498">
      <w:bodyDiv w:val="1"/>
      <w:marLeft w:val="0"/>
      <w:marRight w:val="0"/>
      <w:marTop w:val="0"/>
      <w:marBottom w:val="0"/>
      <w:divBdr>
        <w:top w:val="none" w:sz="0" w:space="0" w:color="auto"/>
        <w:left w:val="none" w:sz="0" w:space="0" w:color="auto"/>
        <w:bottom w:val="none" w:sz="0" w:space="0" w:color="auto"/>
        <w:right w:val="none" w:sz="0" w:space="0" w:color="auto"/>
      </w:divBdr>
      <w:divsChild>
        <w:div w:id="349718698">
          <w:marLeft w:val="0"/>
          <w:marRight w:val="0"/>
          <w:marTop w:val="0"/>
          <w:marBottom w:val="0"/>
          <w:divBdr>
            <w:top w:val="none" w:sz="0" w:space="0" w:color="auto"/>
            <w:left w:val="none" w:sz="0" w:space="0" w:color="auto"/>
            <w:bottom w:val="none" w:sz="0" w:space="0" w:color="auto"/>
            <w:right w:val="none" w:sz="0" w:space="0" w:color="auto"/>
          </w:divBdr>
        </w:div>
        <w:div w:id="390736077">
          <w:marLeft w:val="0"/>
          <w:marRight w:val="0"/>
          <w:marTop w:val="0"/>
          <w:marBottom w:val="0"/>
          <w:divBdr>
            <w:top w:val="none" w:sz="0" w:space="0" w:color="auto"/>
            <w:left w:val="none" w:sz="0" w:space="0" w:color="auto"/>
            <w:bottom w:val="none" w:sz="0" w:space="0" w:color="auto"/>
            <w:right w:val="none" w:sz="0" w:space="0" w:color="auto"/>
          </w:divBdr>
        </w:div>
        <w:div w:id="1335457095">
          <w:marLeft w:val="0"/>
          <w:marRight w:val="0"/>
          <w:marTop w:val="0"/>
          <w:marBottom w:val="0"/>
          <w:divBdr>
            <w:top w:val="none" w:sz="0" w:space="0" w:color="auto"/>
            <w:left w:val="none" w:sz="0" w:space="0" w:color="auto"/>
            <w:bottom w:val="none" w:sz="0" w:space="0" w:color="auto"/>
            <w:right w:val="none" w:sz="0" w:space="0" w:color="auto"/>
          </w:divBdr>
        </w:div>
        <w:div w:id="1461680666">
          <w:marLeft w:val="0"/>
          <w:marRight w:val="0"/>
          <w:marTop w:val="0"/>
          <w:marBottom w:val="0"/>
          <w:divBdr>
            <w:top w:val="none" w:sz="0" w:space="0" w:color="auto"/>
            <w:left w:val="none" w:sz="0" w:space="0" w:color="auto"/>
            <w:bottom w:val="none" w:sz="0" w:space="0" w:color="auto"/>
            <w:right w:val="none" w:sz="0" w:space="0" w:color="auto"/>
          </w:divBdr>
        </w:div>
        <w:div w:id="1499998864">
          <w:marLeft w:val="0"/>
          <w:marRight w:val="0"/>
          <w:marTop w:val="0"/>
          <w:marBottom w:val="0"/>
          <w:divBdr>
            <w:top w:val="none" w:sz="0" w:space="0" w:color="auto"/>
            <w:left w:val="none" w:sz="0" w:space="0" w:color="auto"/>
            <w:bottom w:val="none" w:sz="0" w:space="0" w:color="auto"/>
            <w:right w:val="none" w:sz="0" w:space="0" w:color="auto"/>
          </w:divBdr>
        </w:div>
        <w:div w:id="1639218412">
          <w:marLeft w:val="0"/>
          <w:marRight w:val="0"/>
          <w:marTop w:val="0"/>
          <w:marBottom w:val="0"/>
          <w:divBdr>
            <w:top w:val="none" w:sz="0" w:space="0" w:color="auto"/>
            <w:left w:val="none" w:sz="0" w:space="0" w:color="auto"/>
            <w:bottom w:val="none" w:sz="0" w:space="0" w:color="auto"/>
            <w:right w:val="none" w:sz="0" w:space="0" w:color="auto"/>
          </w:divBdr>
        </w:div>
      </w:divsChild>
    </w:div>
    <w:div w:id="1649937695">
      <w:bodyDiv w:val="1"/>
      <w:marLeft w:val="0"/>
      <w:marRight w:val="0"/>
      <w:marTop w:val="0"/>
      <w:marBottom w:val="0"/>
      <w:divBdr>
        <w:top w:val="none" w:sz="0" w:space="0" w:color="auto"/>
        <w:left w:val="none" w:sz="0" w:space="0" w:color="auto"/>
        <w:bottom w:val="none" w:sz="0" w:space="0" w:color="auto"/>
        <w:right w:val="none" w:sz="0" w:space="0" w:color="auto"/>
      </w:divBdr>
      <w:divsChild>
        <w:div w:id="638802199">
          <w:marLeft w:val="0"/>
          <w:marRight w:val="0"/>
          <w:marTop w:val="0"/>
          <w:marBottom w:val="0"/>
          <w:divBdr>
            <w:top w:val="none" w:sz="0" w:space="0" w:color="auto"/>
            <w:left w:val="none" w:sz="0" w:space="0" w:color="auto"/>
            <w:bottom w:val="none" w:sz="0" w:space="0" w:color="auto"/>
            <w:right w:val="none" w:sz="0" w:space="0" w:color="auto"/>
          </w:divBdr>
          <w:divsChild>
            <w:div w:id="1089930382">
              <w:marLeft w:val="0"/>
              <w:marRight w:val="0"/>
              <w:marTop w:val="0"/>
              <w:marBottom w:val="0"/>
              <w:divBdr>
                <w:top w:val="none" w:sz="0" w:space="0" w:color="auto"/>
                <w:left w:val="none" w:sz="0" w:space="0" w:color="auto"/>
                <w:bottom w:val="none" w:sz="0" w:space="0" w:color="auto"/>
                <w:right w:val="none" w:sz="0" w:space="0" w:color="auto"/>
              </w:divBdr>
            </w:div>
            <w:div w:id="1303802549">
              <w:marLeft w:val="0"/>
              <w:marRight w:val="0"/>
              <w:marTop w:val="0"/>
              <w:marBottom w:val="0"/>
              <w:divBdr>
                <w:top w:val="none" w:sz="0" w:space="0" w:color="auto"/>
                <w:left w:val="none" w:sz="0" w:space="0" w:color="auto"/>
                <w:bottom w:val="none" w:sz="0" w:space="0" w:color="auto"/>
                <w:right w:val="none" w:sz="0" w:space="0" w:color="auto"/>
              </w:divBdr>
            </w:div>
            <w:div w:id="1627927019">
              <w:marLeft w:val="0"/>
              <w:marRight w:val="0"/>
              <w:marTop w:val="0"/>
              <w:marBottom w:val="0"/>
              <w:divBdr>
                <w:top w:val="none" w:sz="0" w:space="0" w:color="auto"/>
                <w:left w:val="none" w:sz="0" w:space="0" w:color="auto"/>
                <w:bottom w:val="none" w:sz="0" w:space="0" w:color="auto"/>
                <w:right w:val="none" w:sz="0" w:space="0" w:color="auto"/>
              </w:divBdr>
            </w:div>
          </w:divsChild>
        </w:div>
        <w:div w:id="1159809926">
          <w:marLeft w:val="0"/>
          <w:marRight w:val="0"/>
          <w:marTop w:val="0"/>
          <w:marBottom w:val="0"/>
          <w:divBdr>
            <w:top w:val="none" w:sz="0" w:space="0" w:color="auto"/>
            <w:left w:val="none" w:sz="0" w:space="0" w:color="auto"/>
            <w:bottom w:val="none" w:sz="0" w:space="0" w:color="auto"/>
            <w:right w:val="none" w:sz="0" w:space="0" w:color="auto"/>
          </w:divBdr>
          <w:divsChild>
            <w:div w:id="224801543">
              <w:marLeft w:val="0"/>
              <w:marRight w:val="0"/>
              <w:marTop w:val="0"/>
              <w:marBottom w:val="0"/>
              <w:divBdr>
                <w:top w:val="none" w:sz="0" w:space="0" w:color="auto"/>
                <w:left w:val="none" w:sz="0" w:space="0" w:color="auto"/>
                <w:bottom w:val="none" w:sz="0" w:space="0" w:color="auto"/>
                <w:right w:val="none" w:sz="0" w:space="0" w:color="auto"/>
              </w:divBdr>
            </w:div>
            <w:div w:id="1371102926">
              <w:marLeft w:val="0"/>
              <w:marRight w:val="0"/>
              <w:marTop w:val="0"/>
              <w:marBottom w:val="0"/>
              <w:divBdr>
                <w:top w:val="none" w:sz="0" w:space="0" w:color="auto"/>
                <w:left w:val="none" w:sz="0" w:space="0" w:color="auto"/>
                <w:bottom w:val="none" w:sz="0" w:space="0" w:color="auto"/>
                <w:right w:val="none" w:sz="0" w:space="0" w:color="auto"/>
              </w:divBdr>
            </w:div>
            <w:div w:id="1392541314">
              <w:marLeft w:val="0"/>
              <w:marRight w:val="0"/>
              <w:marTop w:val="0"/>
              <w:marBottom w:val="0"/>
              <w:divBdr>
                <w:top w:val="none" w:sz="0" w:space="0" w:color="auto"/>
                <w:left w:val="none" w:sz="0" w:space="0" w:color="auto"/>
                <w:bottom w:val="none" w:sz="0" w:space="0" w:color="auto"/>
                <w:right w:val="none" w:sz="0" w:space="0" w:color="auto"/>
              </w:divBdr>
            </w:div>
            <w:div w:id="20347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7490">
      <w:bodyDiv w:val="1"/>
      <w:marLeft w:val="0"/>
      <w:marRight w:val="0"/>
      <w:marTop w:val="0"/>
      <w:marBottom w:val="0"/>
      <w:divBdr>
        <w:top w:val="none" w:sz="0" w:space="0" w:color="auto"/>
        <w:left w:val="none" w:sz="0" w:space="0" w:color="auto"/>
        <w:bottom w:val="none" w:sz="0" w:space="0" w:color="auto"/>
        <w:right w:val="none" w:sz="0" w:space="0" w:color="auto"/>
      </w:divBdr>
      <w:divsChild>
        <w:div w:id="528832742">
          <w:marLeft w:val="0"/>
          <w:marRight w:val="0"/>
          <w:marTop w:val="0"/>
          <w:marBottom w:val="0"/>
          <w:divBdr>
            <w:top w:val="none" w:sz="0" w:space="0" w:color="auto"/>
            <w:left w:val="none" w:sz="0" w:space="0" w:color="auto"/>
            <w:bottom w:val="none" w:sz="0" w:space="0" w:color="auto"/>
            <w:right w:val="none" w:sz="0" w:space="0" w:color="auto"/>
          </w:divBdr>
        </w:div>
        <w:div w:id="1044792487">
          <w:marLeft w:val="0"/>
          <w:marRight w:val="0"/>
          <w:marTop w:val="0"/>
          <w:marBottom w:val="0"/>
          <w:divBdr>
            <w:top w:val="none" w:sz="0" w:space="0" w:color="auto"/>
            <w:left w:val="none" w:sz="0" w:space="0" w:color="auto"/>
            <w:bottom w:val="none" w:sz="0" w:space="0" w:color="auto"/>
            <w:right w:val="none" w:sz="0" w:space="0" w:color="auto"/>
          </w:divBdr>
        </w:div>
        <w:div w:id="1187014395">
          <w:marLeft w:val="0"/>
          <w:marRight w:val="0"/>
          <w:marTop w:val="0"/>
          <w:marBottom w:val="0"/>
          <w:divBdr>
            <w:top w:val="none" w:sz="0" w:space="0" w:color="auto"/>
            <w:left w:val="none" w:sz="0" w:space="0" w:color="auto"/>
            <w:bottom w:val="none" w:sz="0" w:space="0" w:color="auto"/>
            <w:right w:val="none" w:sz="0" w:space="0" w:color="auto"/>
          </w:divBdr>
        </w:div>
        <w:div w:id="1198736446">
          <w:marLeft w:val="0"/>
          <w:marRight w:val="0"/>
          <w:marTop w:val="0"/>
          <w:marBottom w:val="0"/>
          <w:divBdr>
            <w:top w:val="none" w:sz="0" w:space="0" w:color="auto"/>
            <w:left w:val="none" w:sz="0" w:space="0" w:color="auto"/>
            <w:bottom w:val="none" w:sz="0" w:space="0" w:color="auto"/>
            <w:right w:val="none" w:sz="0" w:space="0" w:color="auto"/>
          </w:divBdr>
        </w:div>
        <w:div w:id="2138184517">
          <w:marLeft w:val="0"/>
          <w:marRight w:val="0"/>
          <w:marTop w:val="0"/>
          <w:marBottom w:val="0"/>
          <w:divBdr>
            <w:top w:val="none" w:sz="0" w:space="0" w:color="auto"/>
            <w:left w:val="none" w:sz="0" w:space="0" w:color="auto"/>
            <w:bottom w:val="none" w:sz="0" w:space="0" w:color="auto"/>
            <w:right w:val="none" w:sz="0" w:space="0" w:color="auto"/>
          </w:divBdr>
        </w:div>
      </w:divsChild>
    </w:div>
    <w:div w:id="1827165083">
      <w:bodyDiv w:val="1"/>
      <w:marLeft w:val="0"/>
      <w:marRight w:val="0"/>
      <w:marTop w:val="0"/>
      <w:marBottom w:val="0"/>
      <w:divBdr>
        <w:top w:val="none" w:sz="0" w:space="0" w:color="auto"/>
        <w:left w:val="none" w:sz="0" w:space="0" w:color="auto"/>
        <w:bottom w:val="none" w:sz="0" w:space="0" w:color="auto"/>
        <w:right w:val="none" w:sz="0" w:space="0" w:color="auto"/>
      </w:divBdr>
    </w:div>
    <w:div w:id="1851528987">
      <w:bodyDiv w:val="1"/>
      <w:marLeft w:val="0"/>
      <w:marRight w:val="0"/>
      <w:marTop w:val="0"/>
      <w:marBottom w:val="0"/>
      <w:divBdr>
        <w:top w:val="none" w:sz="0" w:space="0" w:color="auto"/>
        <w:left w:val="none" w:sz="0" w:space="0" w:color="auto"/>
        <w:bottom w:val="none" w:sz="0" w:space="0" w:color="auto"/>
        <w:right w:val="none" w:sz="0" w:space="0" w:color="auto"/>
      </w:divBdr>
    </w:div>
    <w:div w:id="1885563145">
      <w:bodyDiv w:val="1"/>
      <w:marLeft w:val="0"/>
      <w:marRight w:val="0"/>
      <w:marTop w:val="0"/>
      <w:marBottom w:val="0"/>
      <w:divBdr>
        <w:top w:val="none" w:sz="0" w:space="0" w:color="auto"/>
        <w:left w:val="none" w:sz="0" w:space="0" w:color="auto"/>
        <w:bottom w:val="none" w:sz="0" w:space="0" w:color="auto"/>
        <w:right w:val="none" w:sz="0" w:space="0" w:color="auto"/>
      </w:divBdr>
      <w:divsChild>
        <w:div w:id="170804174">
          <w:marLeft w:val="0"/>
          <w:marRight w:val="0"/>
          <w:marTop w:val="0"/>
          <w:marBottom w:val="0"/>
          <w:divBdr>
            <w:top w:val="none" w:sz="0" w:space="0" w:color="auto"/>
            <w:left w:val="none" w:sz="0" w:space="0" w:color="auto"/>
            <w:bottom w:val="none" w:sz="0" w:space="0" w:color="auto"/>
            <w:right w:val="none" w:sz="0" w:space="0" w:color="auto"/>
          </w:divBdr>
        </w:div>
        <w:div w:id="514878879">
          <w:marLeft w:val="0"/>
          <w:marRight w:val="0"/>
          <w:marTop w:val="0"/>
          <w:marBottom w:val="0"/>
          <w:divBdr>
            <w:top w:val="none" w:sz="0" w:space="0" w:color="auto"/>
            <w:left w:val="none" w:sz="0" w:space="0" w:color="auto"/>
            <w:bottom w:val="none" w:sz="0" w:space="0" w:color="auto"/>
            <w:right w:val="none" w:sz="0" w:space="0" w:color="auto"/>
          </w:divBdr>
        </w:div>
        <w:div w:id="733696570">
          <w:marLeft w:val="0"/>
          <w:marRight w:val="0"/>
          <w:marTop w:val="0"/>
          <w:marBottom w:val="0"/>
          <w:divBdr>
            <w:top w:val="none" w:sz="0" w:space="0" w:color="auto"/>
            <w:left w:val="none" w:sz="0" w:space="0" w:color="auto"/>
            <w:bottom w:val="none" w:sz="0" w:space="0" w:color="auto"/>
            <w:right w:val="none" w:sz="0" w:space="0" w:color="auto"/>
          </w:divBdr>
        </w:div>
        <w:div w:id="891040496">
          <w:marLeft w:val="0"/>
          <w:marRight w:val="0"/>
          <w:marTop w:val="0"/>
          <w:marBottom w:val="0"/>
          <w:divBdr>
            <w:top w:val="none" w:sz="0" w:space="0" w:color="auto"/>
            <w:left w:val="none" w:sz="0" w:space="0" w:color="auto"/>
            <w:bottom w:val="none" w:sz="0" w:space="0" w:color="auto"/>
            <w:right w:val="none" w:sz="0" w:space="0" w:color="auto"/>
          </w:divBdr>
        </w:div>
        <w:div w:id="905458222">
          <w:marLeft w:val="0"/>
          <w:marRight w:val="0"/>
          <w:marTop w:val="0"/>
          <w:marBottom w:val="0"/>
          <w:divBdr>
            <w:top w:val="none" w:sz="0" w:space="0" w:color="auto"/>
            <w:left w:val="none" w:sz="0" w:space="0" w:color="auto"/>
            <w:bottom w:val="none" w:sz="0" w:space="0" w:color="auto"/>
            <w:right w:val="none" w:sz="0" w:space="0" w:color="auto"/>
          </w:divBdr>
        </w:div>
        <w:div w:id="1358971861">
          <w:marLeft w:val="0"/>
          <w:marRight w:val="0"/>
          <w:marTop w:val="0"/>
          <w:marBottom w:val="0"/>
          <w:divBdr>
            <w:top w:val="none" w:sz="0" w:space="0" w:color="auto"/>
            <w:left w:val="none" w:sz="0" w:space="0" w:color="auto"/>
            <w:bottom w:val="none" w:sz="0" w:space="0" w:color="auto"/>
            <w:right w:val="none" w:sz="0" w:space="0" w:color="auto"/>
          </w:divBdr>
        </w:div>
      </w:divsChild>
    </w:div>
    <w:div w:id="1970697018">
      <w:bodyDiv w:val="1"/>
      <w:marLeft w:val="0"/>
      <w:marRight w:val="0"/>
      <w:marTop w:val="0"/>
      <w:marBottom w:val="0"/>
      <w:divBdr>
        <w:top w:val="none" w:sz="0" w:space="0" w:color="auto"/>
        <w:left w:val="none" w:sz="0" w:space="0" w:color="auto"/>
        <w:bottom w:val="none" w:sz="0" w:space="0" w:color="auto"/>
        <w:right w:val="none" w:sz="0" w:space="0" w:color="auto"/>
      </w:divBdr>
      <w:divsChild>
        <w:div w:id="45840482">
          <w:marLeft w:val="0"/>
          <w:marRight w:val="0"/>
          <w:marTop w:val="0"/>
          <w:marBottom w:val="0"/>
          <w:divBdr>
            <w:top w:val="none" w:sz="0" w:space="0" w:color="auto"/>
            <w:left w:val="none" w:sz="0" w:space="0" w:color="auto"/>
            <w:bottom w:val="none" w:sz="0" w:space="0" w:color="auto"/>
            <w:right w:val="none" w:sz="0" w:space="0" w:color="auto"/>
          </w:divBdr>
          <w:divsChild>
            <w:div w:id="2057972719">
              <w:marLeft w:val="-75"/>
              <w:marRight w:val="0"/>
              <w:marTop w:val="30"/>
              <w:marBottom w:val="30"/>
              <w:divBdr>
                <w:top w:val="none" w:sz="0" w:space="0" w:color="auto"/>
                <w:left w:val="none" w:sz="0" w:space="0" w:color="auto"/>
                <w:bottom w:val="none" w:sz="0" w:space="0" w:color="auto"/>
                <w:right w:val="none" w:sz="0" w:space="0" w:color="auto"/>
              </w:divBdr>
              <w:divsChild>
                <w:div w:id="239677800">
                  <w:marLeft w:val="0"/>
                  <w:marRight w:val="0"/>
                  <w:marTop w:val="0"/>
                  <w:marBottom w:val="0"/>
                  <w:divBdr>
                    <w:top w:val="none" w:sz="0" w:space="0" w:color="auto"/>
                    <w:left w:val="none" w:sz="0" w:space="0" w:color="auto"/>
                    <w:bottom w:val="none" w:sz="0" w:space="0" w:color="auto"/>
                    <w:right w:val="none" w:sz="0" w:space="0" w:color="auto"/>
                  </w:divBdr>
                  <w:divsChild>
                    <w:div w:id="1433434061">
                      <w:marLeft w:val="0"/>
                      <w:marRight w:val="0"/>
                      <w:marTop w:val="0"/>
                      <w:marBottom w:val="0"/>
                      <w:divBdr>
                        <w:top w:val="none" w:sz="0" w:space="0" w:color="auto"/>
                        <w:left w:val="none" w:sz="0" w:space="0" w:color="auto"/>
                        <w:bottom w:val="none" w:sz="0" w:space="0" w:color="auto"/>
                        <w:right w:val="none" w:sz="0" w:space="0" w:color="auto"/>
                      </w:divBdr>
                    </w:div>
                  </w:divsChild>
                </w:div>
                <w:div w:id="880898633">
                  <w:marLeft w:val="0"/>
                  <w:marRight w:val="0"/>
                  <w:marTop w:val="0"/>
                  <w:marBottom w:val="0"/>
                  <w:divBdr>
                    <w:top w:val="none" w:sz="0" w:space="0" w:color="auto"/>
                    <w:left w:val="none" w:sz="0" w:space="0" w:color="auto"/>
                    <w:bottom w:val="none" w:sz="0" w:space="0" w:color="auto"/>
                    <w:right w:val="none" w:sz="0" w:space="0" w:color="auto"/>
                  </w:divBdr>
                  <w:divsChild>
                    <w:div w:id="1989895019">
                      <w:marLeft w:val="0"/>
                      <w:marRight w:val="0"/>
                      <w:marTop w:val="0"/>
                      <w:marBottom w:val="0"/>
                      <w:divBdr>
                        <w:top w:val="none" w:sz="0" w:space="0" w:color="auto"/>
                        <w:left w:val="none" w:sz="0" w:space="0" w:color="auto"/>
                        <w:bottom w:val="none" w:sz="0" w:space="0" w:color="auto"/>
                        <w:right w:val="none" w:sz="0" w:space="0" w:color="auto"/>
                      </w:divBdr>
                    </w:div>
                  </w:divsChild>
                </w:div>
                <w:div w:id="916787996">
                  <w:marLeft w:val="0"/>
                  <w:marRight w:val="0"/>
                  <w:marTop w:val="0"/>
                  <w:marBottom w:val="0"/>
                  <w:divBdr>
                    <w:top w:val="none" w:sz="0" w:space="0" w:color="auto"/>
                    <w:left w:val="none" w:sz="0" w:space="0" w:color="auto"/>
                    <w:bottom w:val="none" w:sz="0" w:space="0" w:color="auto"/>
                    <w:right w:val="none" w:sz="0" w:space="0" w:color="auto"/>
                  </w:divBdr>
                  <w:divsChild>
                    <w:div w:id="1113594576">
                      <w:marLeft w:val="0"/>
                      <w:marRight w:val="0"/>
                      <w:marTop w:val="0"/>
                      <w:marBottom w:val="0"/>
                      <w:divBdr>
                        <w:top w:val="none" w:sz="0" w:space="0" w:color="auto"/>
                        <w:left w:val="none" w:sz="0" w:space="0" w:color="auto"/>
                        <w:bottom w:val="none" w:sz="0" w:space="0" w:color="auto"/>
                        <w:right w:val="none" w:sz="0" w:space="0" w:color="auto"/>
                      </w:divBdr>
                    </w:div>
                  </w:divsChild>
                </w:div>
                <w:div w:id="951328933">
                  <w:marLeft w:val="0"/>
                  <w:marRight w:val="0"/>
                  <w:marTop w:val="0"/>
                  <w:marBottom w:val="0"/>
                  <w:divBdr>
                    <w:top w:val="none" w:sz="0" w:space="0" w:color="auto"/>
                    <w:left w:val="none" w:sz="0" w:space="0" w:color="auto"/>
                    <w:bottom w:val="none" w:sz="0" w:space="0" w:color="auto"/>
                    <w:right w:val="none" w:sz="0" w:space="0" w:color="auto"/>
                  </w:divBdr>
                  <w:divsChild>
                    <w:div w:id="2035769489">
                      <w:marLeft w:val="0"/>
                      <w:marRight w:val="0"/>
                      <w:marTop w:val="0"/>
                      <w:marBottom w:val="0"/>
                      <w:divBdr>
                        <w:top w:val="none" w:sz="0" w:space="0" w:color="auto"/>
                        <w:left w:val="none" w:sz="0" w:space="0" w:color="auto"/>
                        <w:bottom w:val="none" w:sz="0" w:space="0" w:color="auto"/>
                        <w:right w:val="none" w:sz="0" w:space="0" w:color="auto"/>
                      </w:divBdr>
                    </w:div>
                  </w:divsChild>
                </w:div>
                <w:div w:id="1233127847">
                  <w:marLeft w:val="0"/>
                  <w:marRight w:val="0"/>
                  <w:marTop w:val="0"/>
                  <w:marBottom w:val="0"/>
                  <w:divBdr>
                    <w:top w:val="none" w:sz="0" w:space="0" w:color="auto"/>
                    <w:left w:val="none" w:sz="0" w:space="0" w:color="auto"/>
                    <w:bottom w:val="none" w:sz="0" w:space="0" w:color="auto"/>
                    <w:right w:val="none" w:sz="0" w:space="0" w:color="auto"/>
                  </w:divBdr>
                  <w:divsChild>
                    <w:div w:id="679548144">
                      <w:marLeft w:val="0"/>
                      <w:marRight w:val="0"/>
                      <w:marTop w:val="0"/>
                      <w:marBottom w:val="0"/>
                      <w:divBdr>
                        <w:top w:val="none" w:sz="0" w:space="0" w:color="auto"/>
                        <w:left w:val="none" w:sz="0" w:space="0" w:color="auto"/>
                        <w:bottom w:val="none" w:sz="0" w:space="0" w:color="auto"/>
                        <w:right w:val="none" w:sz="0" w:space="0" w:color="auto"/>
                      </w:divBdr>
                    </w:div>
                  </w:divsChild>
                </w:div>
                <w:div w:id="1963802401">
                  <w:marLeft w:val="0"/>
                  <w:marRight w:val="0"/>
                  <w:marTop w:val="0"/>
                  <w:marBottom w:val="0"/>
                  <w:divBdr>
                    <w:top w:val="none" w:sz="0" w:space="0" w:color="auto"/>
                    <w:left w:val="none" w:sz="0" w:space="0" w:color="auto"/>
                    <w:bottom w:val="none" w:sz="0" w:space="0" w:color="auto"/>
                    <w:right w:val="none" w:sz="0" w:space="0" w:color="auto"/>
                  </w:divBdr>
                  <w:divsChild>
                    <w:div w:id="1166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89429">
          <w:marLeft w:val="0"/>
          <w:marRight w:val="0"/>
          <w:marTop w:val="0"/>
          <w:marBottom w:val="0"/>
          <w:divBdr>
            <w:top w:val="none" w:sz="0" w:space="0" w:color="auto"/>
            <w:left w:val="none" w:sz="0" w:space="0" w:color="auto"/>
            <w:bottom w:val="none" w:sz="0" w:space="0" w:color="auto"/>
            <w:right w:val="none" w:sz="0" w:space="0" w:color="auto"/>
          </w:divBdr>
        </w:div>
        <w:div w:id="812020163">
          <w:marLeft w:val="0"/>
          <w:marRight w:val="0"/>
          <w:marTop w:val="0"/>
          <w:marBottom w:val="0"/>
          <w:divBdr>
            <w:top w:val="none" w:sz="0" w:space="0" w:color="auto"/>
            <w:left w:val="none" w:sz="0" w:space="0" w:color="auto"/>
            <w:bottom w:val="none" w:sz="0" w:space="0" w:color="auto"/>
            <w:right w:val="none" w:sz="0" w:space="0" w:color="auto"/>
          </w:divBdr>
        </w:div>
        <w:div w:id="1207640875">
          <w:marLeft w:val="0"/>
          <w:marRight w:val="0"/>
          <w:marTop w:val="0"/>
          <w:marBottom w:val="0"/>
          <w:divBdr>
            <w:top w:val="none" w:sz="0" w:space="0" w:color="auto"/>
            <w:left w:val="none" w:sz="0" w:space="0" w:color="auto"/>
            <w:bottom w:val="none" w:sz="0" w:space="0" w:color="auto"/>
            <w:right w:val="none" w:sz="0" w:space="0" w:color="auto"/>
          </w:divBdr>
        </w:div>
        <w:div w:id="1432118246">
          <w:marLeft w:val="0"/>
          <w:marRight w:val="0"/>
          <w:marTop w:val="0"/>
          <w:marBottom w:val="0"/>
          <w:divBdr>
            <w:top w:val="none" w:sz="0" w:space="0" w:color="auto"/>
            <w:left w:val="none" w:sz="0" w:space="0" w:color="auto"/>
            <w:bottom w:val="none" w:sz="0" w:space="0" w:color="auto"/>
            <w:right w:val="none" w:sz="0" w:space="0" w:color="auto"/>
          </w:divBdr>
        </w:div>
        <w:div w:id="1459378154">
          <w:marLeft w:val="0"/>
          <w:marRight w:val="0"/>
          <w:marTop w:val="0"/>
          <w:marBottom w:val="0"/>
          <w:divBdr>
            <w:top w:val="none" w:sz="0" w:space="0" w:color="auto"/>
            <w:left w:val="none" w:sz="0" w:space="0" w:color="auto"/>
            <w:bottom w:val="none" w:sz="0" w:space="0" w:color="auto"/>
            <w:right w:val="none" w:sz="0" w:space="0" w:color="auto"/>
          </w:divBdr>
        </w:div>
        <w:div w:id="1963224361">
          <w:marLeft w:val="0"/>
          <w:marRight w:val="0"/>
          <w:marTop w:val="0"/>
          <w:marBottom w:val="0"/>
          <w:divBdr>
            <w:top w:val="none" w:sz="0" w:space="0" w:color="auto"/>
            <w:left w:val="none" w:sz="0" w:space="0" w:color="auto"/>
            <w:bottom w:val="none" w:sz="0" w:space="0" w:color="auto"/>
            <w:right w:val="none" w:sz="0" w:space="0" w:color="auto"/>
          </w:divBdr>
        </w:div>
      </w:divsChild>
    </w:div>
    <w:div w:id="2000768705">
      <w:bodyDiv w:val="1"/>
      <w:marLeft w:val="0"/>
      <w:marRight w:val="0"/>
      <w:marTop w:val="0"/>
      <w:marBottom w:val="0"/>
      <w:divBdr>
        <w:top w:val="none" w:sz="0" w:space="0" w:color="auto"/>
        <w:left w:val="none" w:sz="0" w:space="0" w:color="auto"/>
        <w:bottom w:val="none" w:sz="0" w:space="0" w:color="auto"/>
        <w:right w:val="none" w:sz="0" w:space="0" w:color="auto"/>
      </w:divBdr>
      <w:divsChild>
        <w:div w:id="1268655833">
          <w:marLeft w:val="0"/>
          <w:marRight w:val="0"/>
          <w:marTop w:val="0"/>
          <w:marBottom w:val="0"/>
          <w:divBdr>
            <w:top w:val="none" w:sz="0" w:space="0" w:color="auto"/>
            <w:left w:val="none" w:sz="0" w:space="0" w:color="auto"/>
            <w:bottom w:val="none" w:sz="0" w:space="0" w:color="auto"/>
            <w:right w:val="none" w:sz="0" w:space="0" w:color="auto"/>
          </w:divBdr>
        </w:div>
        <w:div w:id="1465613996">
          <w:marLeft w:val="0"/>
          <w:marRight w:val="0"/>
          <w:marTop w:val="0"/>
          <w:marBottom w:val="0"/>
          <w:divBdr>
            <w:top w:val="none" w:sz="0" w:space="0" w:color="auto"/>
            <w:left w:val="none" w:sz="0" w:space="0" w:color="auto"/>
            <w:bottom w:val="none" w:sz="0" w:space="0" w:color="auto"/>
            <w:right w:val="none" w:sz="0" w:space="0" w:color="auto"/>
          </w:divBdr>
        </w:div>
        <w:div w:id="1638221487">
          <w:marLeft w:val="0"/>
          <w:marRight w:val="0"/>
          <w:marTop w:val="0"/>
          <w:marBottom w:val="0"/>
          <w:divBdr>
            <w:top w:val="none" w:sz="0" w:space="0" w:color="auto"/>
            <w:left w:val="none" w:sz="0" w:space="0" w:color="auto"/>
            <w:bottom w:val="none" w:sz="0" w:space="0" w:color="auto"/>
            <w:right w:val="none" w:sz="0" w:space="0" w:color="auto"/>
          </w:divBdr>
        </w:div>
        <w:div w:id="1719351830">
          <w:marLeft w:val="0"/>
          <w:marRight w:val="0"/>
          <w:marTop w:val="0"/>
          <w:marBottom w:val="0"/>
          <w:divBdr>
            <w:top w:val="none" w:sz="0" w:space="0" w:color="auto"/>
            <w:left w:val="none" w:sz="0" w:space="0" w:color="auto"/>
            <w:bottom w:val="none" w:sz="0" w:space="0" w:color="auto"/>
            <w:right w:val="none" w:sz="0" w:space="0" w:color="auto"/>
          </w:divBdr>
        </w:div>
      </w:divsChild>
    </w:div>
    <w:div w:id="2099905493">
      <w:bodyDiv w:val="1"/>
      <w:marLeft w:val="0"/>
      <w:marRight w:val="0"/>
      <w:marTop w:val="0"/>
      <w:marBottom w:val="0"/>
      <w:divBdr>
        <w:top w:val="none" w:sz="0" w:space="0" w:color="auto"/>
        <w:left w:val="none" w:sz="0" w:space="0" w:color="auto"/>
        <w:bottom w:val="none" w:sz="0" w:space="0" w:color="auto"/>
        <w:right w:val="none" w:sz="0" w:space="0" w:color="auto"/>
      </w:divBdr>
      <w:divsChild>
        <w:div w:id="249436051">
          <w:marLeft w:val="0"/>
          <w:marRight w:val="0"/>
          <w:marTop w:val="0"/>
          <w:marBottom w:val="0"/>
          <w:divBdr>
            <w:top w:val="none" w:sz="0" w:space="0" w:color="auto"/>
            <w:left w:val="none" w:sz="0" w:space="0" w:color="auto"/>
            <w:bottom w:val="none" w:sz="0" w:space="0" w:color="auto"/>
            <w:right w:val="none" w:sz="0" w:space="0" w:color="auto"/>
          </w:divBdr>
        </w:div>
        <w:div w:id="282855054">
          <w:marLeft w:val="0"/>
          <w:marRight w:val="0"/>
          <w:marTop w:val="0"/>
          <w:marBottom w:val="0"/>
          <w:divBdr>
            <w:top w:val="none" w:sz="0" w:space="0" w:color="auto"/>
            <w:left w:val="none" w:sz="0" w:space="0" w:color="auto"/>
            <w:bottom w:val="none" w:sz="0" w:space="0" w:color="auto"/>
            <w:right w:val="none" w:sz="0" w:space="0" w:color="auto"/>
          </w:divBdr>
        </w:div>
        <w:div w:id="408043294">
          <w:marLeft w:val="0"/>
          <w:marRight w:val="0"/>
          <w:marTop w:val="0"/>
          <w:marBottom w:val="0"/>
          <w:divBdr>
            <w:top w:val="none" w:sz="0" w:space="0" w:color="auto"/>
            <w:left w:val="none" w:sz="0" w:space="0" w:color="auto"/>
            <w:bottom w:val="none" w:sz="0" w:space="0" w:color="auto"/>
            <w:right w:val="none" w:sz="0" w:space="0" w:color="auto"/>
          </w:divBdr>
        </w:div>
        <w:div w:id="528302996">
          <w:marLeft w:val="0"/>
          <w:marRight w:val="0"/>
          <w:marTop w:val="0"/>
          <w:marBottom w:val="0"/>
          <w:divBdr>
            <w:top w:val="none" w:sz="0" w:space="0" w:color="auto"/>
            <w:left w:val="none" w:sz="0" w:space="0" w:color="auto"/>
            <w:bottom w:val="none" w:sz="0" w:space="0" w:color="auto"/>
            <w:right w:val="none" w:sz="0" w:space="0" w:color="auto"/>
          </w:divBdr>
        </w:div>
        <w:div w:id="573125776">
          <w:marLeft w:val="0"/>
          <w:marRight w:val="0"/>
          <w:marTop w:val="0"/>
          <w:marBottom w:val="0"/>
          <w:divBdr>
            <w:top w:val="none" w:sz="0" w:space="0" w:color="auto"/>
            <w:left w:val="none" w:sz="0" w:space="0" w:color="auto"/>
            <w:bottom w:val="none" w:sz="0" w:space="0" w:color="auto"/>
            <w:right w:val="none" w:sz="0" w:space="0" w:color="auto"/>
          </w:divBdr>
        </w:div>
        <w:div w:id="1409041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gedcare.gov.au/help-care-finder" TargetMode="External"/><Relationship Id="rId18" Type="http://schemas.openxmlformats.org/officeDocument/2006/relationships/hyperlink" Target="https://www.health.gov.au/our-work/aged-care-act/about/registered-supporters-in-aged-car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pan.org.au/" TargetMode="External"/><Relationship Id="rId17" Type="http://schemas.openxmlformats.org/officeDocument/2006/relationships/hyperlink" Target="https://www.health.gov.au/our-work/aged-care-act/about/registered-supporters-in-aged-car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alth.gov.au/resources/publications/duties-policy?language=en" TargetMode="External"/><Relationship Id="rId20" Type="http://schemas.openxmlformats.org/officeDocument/2006/relationships/hyperlink" Target="https://www.legislation.gov.au/C2024A00104/asmade/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gov.au/resources/publications/registration-policy?language=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resources/publications/registered-supporters-glossary?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agedcare.gov.au/registering-support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4461C-057A-41DD-A5C5-887419580402}">
  <ds:schemaRefs>
    <ds:schemaRef ds:uri="http://schemas.openxmlformats.org/officeDocument/2006/bibliography"/>
  </ds:schemaRefs>
</ds:datastoreItem>
</file>

<file path=customXml/itemProps2.xml><?xml version="1.0" encoding="utf-8"?>
<ds:datastoreItem xmlns:ds="http://schemas.openxmlformats.org/officeDocument/2006/customXml" ds:itemID="{99EFCFE9-D2A8-407F-8B8C-E019ED48C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3919DB-749A-4FCB-BC6B-0DD69646902B}">
  <ds:schemaRefs>
    <ds:schemaRef ds:uri="http://schemas.microsoft.com/sharepoint/v3/contenttype/forms"/>
  </ds:schemaRefs>
</ds:datastoreItem>
</file>

<file path=customXml/itemProps4.xml><?xml version="1.0" encoding="utf-8"?>
<ds:datastoreItem xmlns:ds="http://schemas.openxmlformats.org/officeDocument/2006/customXml" ds:itemID="{9DD6D745-ED78-4564-96A8-E2357238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7165</Words>
  <Characters>38691</Characters>
  <Application>Microsoft Office Word</Application>
  <DocSecurity>0</DocSecurity>
  <Lines>667</Lines>
  <Paragraphs>309</Paragraphs>
  <ScaleCrop>false</ScaleCrop>
  <HeadingPairs>
    <vt:vector size="2" baseType="variant">
      <vt:variant>
        <vt:lpstr>Title</vt:lpstr>
      </vt:variant>
      <vt:variant>
        <vt:i4>1</vt:i4>
      </vt:variant>
    </vt:vector>
  </HeadingPairs>
  <TitlesOfParts>
    <vt:vector size="1" baseType="lpstr">
      <vt:lpstr>Capacity in the registered supporter context policy</vt:lpstr>
    </vt:vector>
  </TitlesOfParts>
  <Company/>
  <LinksUpToDate>false</LinksUpToDate>
  <CharactersWithSpaces>45547</CharactersWithSpaces>
  <SharedDoc>false</SharedDoc>
  <HLinks>
    <vt:vector size="222" baseType="variant">
      <vt:variant>
        <vt:i4>2949172</vt:i4>
      </vt:variant>
      <vt:variant>
        <vt:i4>177</vt:i4>
      </vt:variant>
      <vt:variant>
        <vt:i4>0</vt:i4>
      </vt:variant>
      <vt:variant>
        <vt:i4>5</vt:i4>
      </vt:variant>
      <vt:variant>
        <vt:lpwstr>https://www.legislation.gov.au/C2024A00104/asmade/text</vt:lpwstr>
      </vt:variant>
      <vt:variant>
        <vt:lpwstr/>
      </vt:variant>
      <vt:variant>
        <vt:i4>2949234</vt:i4>
      </vt:variant>
      <vt:variant>
        <vt:i4>174</vt:i4>
      </vt:variant>
      <vt:variant>
        <vt:i4>0</vt:i4>
      </vt:variant>
      <vt:variant>
        <vt:i4>5</vt:i4>
      </vt:variant>
      <vt:variant>
        <vt:lpwstr>https://www.health.gov.au/resources/publications/registered-supporters-glossary?language=en</vt:lpwstr>
      </vt:variant>
      <vt:variant>
        <vt:lpwstr/>
      </vt:variant>
      <vt:variant>
        <vt:i4>1310804</vt:i4>
      </vt:variant>
      <vt:variant>
        <vt:i4>171</vt:i4>
      </vt:variant>
      <vt:variant>
        <vt:i4>0</vt:i4>
      </vt:variant>
      <vt:variant>
        <vt:i4>5</vt:i4>
      </vt:variant>
      <vt:variant>
        <vt:lpwstr>https://www.health.gov.au/our-work/aged-care-act/about/registered-supporters-in-aged-care</vt:lpwstr>
      </vt:variant>
      <vt:variant>
        <vt:lpwstr/>
      </vt:variant>
      <vt:variant>
        <vt:i4>1310804</vt:i4>
      </vt:variant>
      <vt:variant>
        <vt:i4>168</vt:i4>
      </vt:variant>
      <vt:variant>
        <vt:i4>0</vt:i4>
      </vt:variant>
      <vt:variant>
        <vt:i4>5</vt:i4>
      </vt:variant>
      <vt:variant>
        <vt:lpwstr>https://www.health.gov.au/our-work/aged-care-act/about/registered-supporters-in-aged-care</vt:lpwstr>
      </vt:variant>
      <vt:variant>
        <vt:lpwstr/>
      </vt:variant>
      <vt:variant>
        <vt:i4>3276857</vt:i4>
      </vt:variant>
      <vt:variant>
        <vt:i4>165</vt:i4>
      </vt:variant>
      <vt:variant>
        <vt:i4>0</vt:i4>
      </vt:variant>
      <vt:variant>
        <vt:i4>5</vt:i4>
      </vt:variant>
      <vt:variant>
        <vt:lpwstr>https://www.health.gov.au/resources/publications/duties-policy?language=en</vt:lpwstr>
      </vt:variant>
      <vt:variant>
        <vt:lpwstr/>
      </vt:variant>
      <vt:variant>
        <vt:i4>4718664</vt:i4>
      </vt:variant>
      <vt:variant>
        <vt:i4>162</vt:i4>
      </vt:variant>
      <vt:variant>
        <vt:i4>0</vt:i4>
      </vt:variant>
      <vt:variant>
        <vt:i4>5</vt:i4>
      </vt:variant>
      <vt:variant>
        <vt:lpwstr>https://www.health.gov.au/resources/publications/registration-policy?language=en</vt:lpwstr>
      </vt:variant>
      <vt:variant>
        <vt:lpwstr/>
      </vt:variant>
      <vt:variant>
        <vt:i4>3014698</vt:i4>
      </vt:variant>
      <vt:variant>
        <vt:i4>159</vt:i4>
      </vt:variant>
      <vt:variant>
        <vt:i4>0</vt:i4>
      </vt:variant>
      <vt:variant>
        <vt:i4>5</vt:i4>
      </vt:variant>
      <vt:variant>
        <vt:lpwstr>http://www.myagedcare.gov.au/registering-supporter</vt:lpwstr>
      </vt:variant>
      <vt:variant>
        <vt:lpwstr/>
      </vt:variant>
      <vt:variant>
        <vt:i4>2228231</vt:i4>
      </vt:variant>
      <vt:variant>
        <vt:i4>156</vt:i4>
      </vt:variant>
      <vt:variant>
        <vt:i4>0</vt:i4>
      </vt:variant>
      <vt:variant>
        <vt:i4>5</vt:i4>
      </vt:variant>
      <vt:variant>
        <vt:lpwstr/>
      </vt:variant>
      <vt:variant>
        <vt:lpwstr>_Meaning_of_capacity</vt:lpwstr>
      </vt:variant>
      <vt:variant>
        <vt:i4>543227949</vt:i4>
      </vt:variant>
      <vt:variant>
        <vt:i4>153</vt:i4>
      </vt:variant>
      <vt:variant>
        <vt:i4>0</vt:i4>
      </vt:variant>
      <vt:variant>
        <vt:i4>5</vt:i4>
      </vt:variant>
      <vt:variant>
        <vt:lpwstr/>
      </vt:variant>
      <vt:variant>
        <vt:lpwstr>_Actioning_a_person’s</vt:lpwstr>
      </vt:variant>
      <vt:variant>
        <vt:i4>5963886</vt:i4>
      </vt:variant>
      <vt:variant>
        <vt:i4>150</vt:i4>
      </vt:variant>
      <vt:variant>
        <vt:i4>0</vt:i4>
      </vt:variant>
      <vt:variant>
        <vt:i4>5</vt:i4>
      </vt:variant>
      <vt:variant>
        <vt:lpwstr/>
      </vt:variant>
      <vt:variant>
        <vt:lpwstr>_Specificity_of_medical</vt:lpwstr>
      </vt:variant>
      <vt:variant>
        <vt:i4>4128866</vt:i4>
      </vt:variant>
      <vt:variant>
        <vt:i4>147</vt:i4>
      </vt:variant>
      <vt:variant>
        <vt:i4>0</vt:i4>
      </vt:variant>
      <vt:variant>
        <vt:i4>5</vt:i4>
      </vt:variant>
      <vt:variant>
        <vt:lpwstr>https://www.myagedcare.gov.au/help-care-finder</vt:lpwstr>
      </vt:variant>
      <vt:variant>
        <vt:lpwstr/>
      </vt:variant>
      <vt:variant>
        <vt:i4>4784201</vt:i4>
      </vt:variant>
      <vt:variant>
        <vt:i4>144</vt:i4>
      </vt:variant>
      <vt:variant>
        <vt:i4>0</vt:i4>
      </vt:variant>
      <vt:variant>
        <vt:i4>5</vt:i4>
      </vt:variant>
      <vt:variant>
        <vt:lpwstr>https://opan.org.au/</vt:lpwstr>
      </vt:variant>
      <vt:variant>
        <vt:lpwstr/>
      </vt:variant>
      <vt:variant>
        <vt:i4>3604501</vt:i4>
      </vt:variant>
      <vt:variant>
        <vt:i4>141</vt:i4>
      </vt:variant>
      <vt:variant>
        <vt:i4>0</vt:i4>
      </vt:variant>
      <vt:variant>
        <vt:i4>5</vt:i4>
      </vt:variant>
      <vt:variant>
        <vt:lpwstr/>
      </vt:variant>
      <vt:variant>
        <vt:lpwstr>_Presumption_of_capacity</vt:lpwstr>
      </vt:variant>
      <vt:variant>
        <vt:i4>917529</vt:i4>
      </vt:variant>
      <vt:variant>
        <vt:i4>138</vt:i4>
      </vt:variant>
      <vt:variant>
        <vt:i4>0</vt:i4>
      </vt:variant>
      <vt:variant>
        <vt:i4>5</vt:i4>
      </vt:variant>
      <vt:variant>
        <vt:lpwstr/>
      </vt:variant>
      <vt:variant>
        <vt:lpwstr>_Key_concepts</vt:lpwstr>
      </vt:variant>
      <vt:variant>
        <vt:i4>1507388</vt:i4>
      </vt:variant>
      <vt:variant>
        <vt:i4>131</vt:i4>
      </vt:variant>
      <vt:variant>
        <vt:i4>0</vt:i4>
      </vt:variant>
      <vt:variant>
        <vt:i4>5</vt:i4>
      </vt:variant>
      <vt:variant>
        <vt:lpwstr/>
      </vt:variant>
      <vt:variant>
        <vt:lpwstr>_Toc211593670</vt:lpwstr>
      </vt:variant>
      <vt:variant>
        <vt:i4>1441852</vt:i4>
      </vt:variant>
      <vt:variant>
        <vt:i4>125</vt:i4>
      </vt:variant>
      <vt:variant>
        <vt:i4>0</vt:i4>
      </vt:variant>
      <vt:variant>
        <vt:i4>5</vt:i4>
      </vt:variant>
      <vt:variant>
        <vt:lpwstr/>
      </vt:variant>
      <vt:variant>
        <vt:lpwstr>_Toc211593669</vt:lpwstr>
      </vt:variant>
      <vt:variant>
        <vt:i4>1441852</vt:i4>
      </vt:variant>
      <vt:variant>
        <vt:i4>119</vt:i4>
      </vt:variant>
      <vt:variant>
        <vt:i4>0</vt:i4>
      </vt:variant>
      <vt:variant>
        <vt:i4>5</vt:i4>
      </vt:variant>
      <vt:variant>
        <vt:lpwstr/>
      </vt:variant>
      <vt:variant>
        <vt:lpwstr>_Toc211593668</vt:lpwstr>
      </vt:variant>
      <vt:variant>
        <vt:i4>1441852</vt:i4>
      </vt:variant>
      <vt:variant>
        <vt:i4>113</vt:i4>
      </vt:variant>
      <vt:variant>
        <vt:i4>0</vt:i4>
      </vt:variant>
      <vt:variant>
        <vt:i4>5</vt:i4>
      </vt:variant>
      <vt:variant>
        <vt:lpwstr/>
      </vt:variant>
      <vt:variant>
        <vt:lpwstr>_Toc211593667</vt:lpwstr>
      </vt:variant>
      <vt:variant>
        <vt:i4>1441852</vt:i4>
      </vt:variant>
      <vt:variant>
        <vt:i4>107</vt:i4>
      </vt:variant>
      <vt:variant>
        <vt:i4>0</vt:i4>
      </vt:variant>
      <vt:variant>
        <vt:i4>5</vt:i4>
      </vt:variant>
      <vt:variant>
        <vt:lpwstr/>
      </vt:variant>
      <vt:variant>
        <vt:lpwstr>_Toc211593666</vt:lpwstr>
      </vt:variant>
      <vt:variant>
        <vt:i4>1441852</vt:i4>
      </vt:variant>
      <vt:variant>
        <vt:i4>101</vt:i4>
      </vt:variant>
      <vt:variant>
        <vt:i4>0</vt:i4>
      </vt:variant>
      <vt:variant>
        <vt:i4>5</vt:i4>
      </vt:variant>
      <vt:variant>
        <vt:lpwstr/>
      </vt:variant>
      <vt:variant>
        <vt:lpwstr>_Toc211593665</vt:lpwstr>
      </vt:variant>
      <vt:variant>
        <vt:i4>1441852</vt:i4>
      </vt:variant>
      <vt:variant>
        <vt:i4>95</vt:i4>
      </vt:variant>
      <vt:variant>
        <vt:i4>0</vt:i4>
      </vt:variant>
      <vt:variant>
        <vt:i4>5</vt:i4>
      </vt:variant>
      <vt:variant>
        <vt:lpwstr/>
      </vt:variant>
      <vt:variant>
        <vt:lpwstr>_Toc211593664</vt:lpwstr>
      </vt:variant>
      <vt:variant>
        <vt:i4>1441852</vt:i4>
      </vt:variant>
      <vt:variant>
        <vt:i4>89</vt:i4>
      </vt:variant>
      <vt:variant>
        <vt:i4>0</vt:i4>
      </vt:variant>
      <vt:variant>
        <vt:i4>5</vt:i4>
      </vt:variant>
      <vt:variant>
        <vt:lpwstr/>
      </vt:variant>
      <vt:variant>
        <vt:lpwstr>_Toc211593663</vt:lpwstr>
      </vt:variant>
      <vt:variant>
        <vt:i4>1441852</vt:i4>
      </vt:variant>
      <vt:variant>
        <vt:i4>83</vt:i4>
      </vt:variant>
      <vt:variant>
        <vt:i4>0</vt:i4>
      </vt:variant>
      <vt:variant>
        <vt:i4>5</vt:i4>
      </vt:variant>
      <vt:variant>
        <vt:lpwstr/>
      </vt:variant>
      <vt:variant>
        <vt:lpwstr>_Toc211593662</vt:lpwstr>
      </vt:variant>
      <vt:variant>
        <vt:i4>1441852</vt:i4>
      </vt:variant>
      <vt:variant>
        <vt:i4>77</vt:i4>
      </vt:variant>
      <vt:variant>
        <vt:i4>0</vt:i4>
      </vt:variant>
      <vt:variant>
        <vt:i4>5</vt:i4>
      </vt:variant>
      <vt:variant>
        <vt:lpwstr/>
      </vt:variant>
      <vt:variant>
        <vt:lpwstr>_Toc211593661</vt:lpwstr>
      </vt:variant>
      <vt:variant>
        <vt:i4>1441852</vt:i4>
      </vt:variant>
      <vt:variant>
        <vt:i4>71</vt:i4>
      </vt:variant>
      <vt:variant>
        <vt:i4>0</vt:i4>
      </vt:variant>
      <vt:variant>
        <vt:i4>5</vt:i4>
      </vt:variant>
      <vt:variant>
        <vt:lpwstr/>
      </vt:variant>
      <vt:variant>
        <vt:lpwstr>_Toc211593660</vt:lpwstr>
      </vt:variant>
      <vt:variant>
        <vt:i4>1376316</vt:i4>
      </vt:variant>
      <vt:variant>
        <vt:i4>65</vt:i4>
      </vt:variant>
      <vt:variant>
        <vt:i4>0</vt:i4>
      </vt:variant>
      <vt:variant>
        <vt:i4>5</vt:i4>
      </vt:variant>
      <vt:variant>
        <vt:lpwstr/>
      </vt:variant>
      <vt:variant>
        <vt:lpwstr>_Toc211593659</vt:lpwstr>
      </vt:variant>
      <vt:variant>
        <vt:i4>1376316</vt:i4>
      </vt:variant>
      <vt:variant>
        <vt:i4>59</vt:i4>
      </vt:variant>
      <vt:variant>
        <vt:i4>0</vt:i4>
      </vt:variant>
      <vt:variant>
        <vt:i4>5</vt:i4>
      </vt:variant>
      <vt:variant>
        <vt:lpwstr/>
      </vt:variant>
      <vt:variant>
        <vt:lpwstr>_Toc211593658</vt:lpwstr>
      </vt:variant>
      <vt:variant>
        <vt:i4>1376316</vt:i4>
      </vt:variant>
      <vt:variant>
        <vt:i4>53</vt:i4>
      </vt:variant>
      <vt:variant>
        <vt:i4>0</vt:i4>
      </vt:variant>
      <vt:variant>
        <vt:i4>5</vt:i4>
      </vt:variant>
      <vt:variant>
        <vt:lpwstr/>
      </vt:variant>
      <vt:variant>
        <vt:lpwstr>_Toc211593657</vt:lpwstr>
      </vt:variant>
      <vt:variant>
        <vt:i4>1376316</vt:i4>
      </vt:variant>
      <vt:variant>
        <vt:i4>47</vt:i4>
      </vt:variant>
      <vt:variant>
        <vt:i4>0</vt:i4>
      </vt:variant>
      <vt:variant>
        <vt:i4>5</vt:i4>
      </vt:variant>
      <vt:variant>
        <vt:lpwstr/>
      </vt:variant>
      <vt:variant>
        <vt:lpwstr>_Toc211593656</vt:lpwstr>
      </vt:variant>
      <vt:variant>
        <vt:i4>1376316</vt:i4>
      </vt:variant>
      <vt:variant>
        <vt:i4>41</vt:i4>
      </vt:variant>
      <vt:variant>
        <vt:i4>0</vt:i4>
      </vt:variant>
      <vt:variant>
        <vt:i4>5</vt:i4>
      </vt:variant>
      <vt:variant>
        <vt:lpwstr/>
      </vt:variant>
      <vt:variant>
        <vt:lpwstr>_Toc211593655</vt:lpwstr>
      </vt:variant>
      <vt:variant>
        <vt:i4>1376316</vt:i4>
      </vt:variant>
      <vt:variant>
        <vt:i4>35</vt:i4>
      </vt:variant>
      <vt:variant>
        <vt:i4>0</vt:i4>
      </vt:variant>
      <vt:variant>
        <vt:i4>5</vt:i4>
      </vt:variant>
      <vt:variant>
        <vt:lpwstr/>
      </vt:variant>
      <vt:variant>
        <vt:lpwstr>_Toc211593654</vt:lpwstr>
      </vt:variant>
      <vt:variant>
        <vt:i4>1376316</vt:i4>
      </vt:variant>
      <vt:variant>
        <vt:i4>29</vt:i4>
      </vt:variant>
      <vt:variant>
        <vt:i4>0</vt:i4>
      </vt:variant>
      <vt:variant>
        <vt:i4>5</vt:i4>
      </vt:variant>
      <vt:variant>
        <vt:lpwstr/>
      </vt:variant>
      <vt:variant>
        <vt:lpwstr>_Toc211593653</vt:lpwstr>
      </vt:variant>
      <vt:variant>
        <vt:i4>1376316</vt:i4>
      </vt:variant>
      <vt:variant>
        <vt:i4>23</vt:i4>
      </vt:variant>
      <vt:variant>
        <vt:i4>0</vt:i4>
      </vt:variant>
      <vt:variant>
        <vt:i4>5</vt:i4>
      </vt:variant>
      <vt:variant>
        <vt:lpwstr/>
      </vt:variant>
      <vt:variant>
        <vt:lpwstr>_Toc211593652</vt:lpwstr>
      </vt:variant>
      <vt:variant>
        <vt:i4>1376316</vt:i4>
      </vt:variant>
      <vt:variant>
        <vt:i4>17</vt:i4>
      </vt:variant>
      <vt:variant>
        <vt:i4>0</vt:i4>
      </vt:variant>
      <vt:variant>
        <vt:i4>5</vt:i4>
      </vt:variant>
      <vt:variant>
        <vt:lpwstr/>
      </vt:variant>
      <vt:variant>
        <vt:lpwstr>_Toc211593651</vt:lpwstr>
      </vt:variant>
      <vt:variant>
        <vt:i4>1376316</vt:i4>
      </vt:variant>
      <vt:variant>
        <vt:i4>11</vt:i4>
      </vt:variant>
      <vt:variant>
        <vt:i4>0</vt:i4>
      </vt:variant>
      <vt:variant>
        <vt:i4>5</vt:i4>
      </vt:variant>
      <vt:variant>
        <vt:lpwstr/>
      </vt:variant>
      <vt:variant>
        <vt:lpwstr>_Toc211593650</vt:lpwstr>
      </vt:variant>
      <vt:variant>
        <vt:i4>1310780</vt:i4>
      </vt:variant>
      <vt:variant>
        <vt:i4>5</vt:i4>
      </vt:variant>
      <vt:variant>
        <vt:i4>0</vt:i4>
      </vt:variant>
      <vt:variant>
        <vt:i4>5</vt:i4>
      </vt:variant>
      <vt:variant>
        <vt:lpwstr/>
      </vt:variant>
      <vt:variant>
        <vt:lpwstr>_Toc211593649</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in the registered supporter context policy</dc:title>
  <dc:subject>Policy for capacity in the registered supporter context</dc:subject>
  <dc:creator>Australian Government Department of Health, Disability and Ageing</dc:creator>
  <cp:keywords>Capacity; Registered Supporters</cp:keywords>
  <cp:lastModifiedBy>MASCHKE, Elvia</cp:lastModifiedBy>
  <cp:revision>6</cp:revision>
  <cp:lastPrinted>2025-10-22T11:11:00Z</cp:lastPrinted>
  <dcterms:created xsi:type="dcterms:W3CDTF">2025-10-21T06:18:00Z</dcterms:created>
  <dcterms:modified xsi:type="dcterms:W3CDTF">2025-10-22T11:11:00Z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4d9795a3,6a055289,2468e691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363b86f8,30260bdd,7dc8dfb0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2025-10-21T06:18:18Z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398cf154-3a84-4c4a-aabe-cbcfa7a12f57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