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FF787" w14:textId="3EE0E621" w:rsidR="00B366B5" w:rsidRPr="00B366B5" w:rsidRDefault="00B366B5" w:rsidP="00E91C32">
      <w:pPr>
        <w:rPr>
          <w:noProof/>
        </w:rPr>
      </w:pPr>
      <w:r w:rsidRPr="00E91C32">
        <w:rPr>
          <w:noProof/>
        </w:rPr>
        <w:drawing>
          <wp:inline distT="0" distB="0" distL="0" distR="0" wp14:anchorId="11EB0E3E" wp14:editId="1B0BE9A2">
            <wp:extent cx="4676775" cy="742087"/>
            <wp:effectExtent l="0" t="0" r="0" b="1270"/>
            <wp:docPr id="56531201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12010"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5100" cy="759275"/>
                    </a:xfrm>
                    <a:prstGeom prst="rect">
                      <a:avLst/>
                    </a:prstGeom>
                    <a:noFill/>
                    <a:ln>
                      <a:noFill/>
                    </a:ln>
                  </pic:spPr>
                </pic:pic>
              </a:graphicData>
            </a:graphic>
          </wp:inline>
        </w:drawing>
      </w:r>
    </w:p>
    <w:p w14:paraId="59B97E17" w14:textId="5D662E33" w:rsidR="00DB0FE6" w:rsidRPr="00B366B5" w:rsidRDefault="00DB0FE6" w:rsidP="00B366B5">
      <w:pPr>
        <w:pStyle w:val="Title"/>
        <w:spacing w:before="480" w:after="120"/>
        <w:rPr>
          <w:rFonts w:ascii="Arial" w:hAnsi="Arial"/>
          <w:color w:val="3F4A75"/>
          <w:spacing w:val="0"/>
          <w:sz w:val="44"/>
          <w:szCs w:val="48"/>
          <w14:ligatures w14:val="none"/>
        </w:rPr>
      </w:pPr>
      <w:r w:rsidRPr="00B366B5">
        <w:rPr>
          <w:rFonts w:ascii="Arial" w:hAnsi="Arial"/>
          <w:color w:val="3F4A75"/>
          <w:spacing w:val="0"/>
          <w:sz w:val="44"/>
          <w:szCs w:val="48"/>
          <w14:ligatures w14:val="none"/>
        </w:rPr>
        <w:t>Better Access redesign from 1 November 2025</w:t>
      </w:r>
    </w:p>
    <w:p w14:paraId="3C2711F8" w14:textId="072F02B9" w:rsidR="00DB0FE6" w:rsidRPr="00DB0FE6" w:rsidRDefault="00BA7226" w:rsidP="0063195F">
      <w:r>
        <w:rPr>
          <w:lang w:val="en-US"/>
        </w:rPr>
        <w:t>The Australian Government is</w:t>
      </w:r>
      <w:r w:rsidR="00DB0FE6" w:rsidRPr="00DB0FE6">
        <w:rPr>
          <w:lang w:val="en-US"/>
        </w:rPr>
        <w:t xml:space="preserve"> making changes to the </w:t>
      </w:r>
      <w:r w:rsidR="00DB0FE6" w:rsidRPr="00DB0FE6">
        <w:t xml:space="preserve">Better Access initiative </w:t>
      </w:r>
      <w:r w:rsidR="00DB0FE6" w:rsidRPr="00DB0FE6">
        <w:rPr>
          <w:lang w:val="en-US"/>
        </w:rPr>
        <w:t>to respond to the Better Access evaluation. These changes include:</w:t>
      </w:r>
    </w:p>
    <w:p w14:paraId="41E93A39" w14:textId="61034D54" w:rsidR="00DB0FE6" w:rsidRPr="0063195F" w:rsidRDefault="00DB0FE6" w:rsidP="0063195F">
      <w:pPr>
        <w:pStyle w:val="ListBullet"/>
        <w:rPr>
          <w:rFonts w:ascii="Arial" w:hAnsi="Arial" w:cs="Arial"/>
        </w:rPr>
      </w:pPr>
      <w:r w:rsidRPr="0063195F">
        <w:rPr>
          <w:rFonts w:ascii="Arial" w:hAnsi="Arial" w:cs="Arial"/>
        </w:rPr>
        <w:t xml:space="preserve">linking the preparation of a Mental Health Treatment Plan (MHTP), referrals for treatment and reviews of a MHTP to either a patient’s General Practitioner (GP) or Prescribed Medical Practitioner (PMP) at their MyMedicare registered practice </w:t>
      </w:r>
      <w:r w:rsidRPr="0063195F">
        <w:rPr>
          <w:rFonts w:ascii="Arial" w:hAnsi="Arial" w:cs="Arial"/>
          <w:b/>
          <w:bCs/>
          <w:u w:val="single"/>
        </w:rPr>
        <w:t>or</w:t>
      </w:r>
      <w:r w:rsidRPr="0063195F">
        <w:rPr>
          <w:rFonts w:ascii="Arial" w:hAnsi="Arial" w:cs="Arial"/>
        </w:rPr>
        <w:t xml:space="preserve"> their usual medical practitioner, to improve continuity of care. </w:t>
      </w:r>
    </w:p>
    <w:p w14:paraId="2B6B8276" w14:textId="7E2AE4FC" w:rsidR="00DB0FE6" w:rsidRPr="0063195F" w:rsidRDefault="00DB0FE6" w:rsidP="00E91C32">
      <w:pPr>
        <w:pStyle w:val="ListBullet"/>
        <w:rPr>
          <w:rFonts w:ascii="Arial" w:hAnsi="Arial" w:cs="Arial"/>
        </w:rPr>
      </w:pPr>
      <w:r w:rsidRPr="0063195F">
        <w:rPr>
          <w:rFonts w:ascii="Arial" w:hAnsi="Arial" w:cs="Arial"/>
        </w:rPr>
        <w:t xml:space="preserve">removal of MHTP review and mental health consultation items under the Medicare Benefit Schedule (MBS), with GPs and PMPs able to use time-tiered professional (general attendance) items to review, refer and/or provide ongoing mental health consultation for a patient’s mental health. </w:t>
      </w:r>
      <w:r w:rsidR="008A2C78" w:rsidRPr="0063195F">
        <w:rPr>
          <w:rFonts w:ascii="Arial" w:hAnsi="Arial" w:cs="Arial"/>
        </w:rPr>
        <w:t>This allows GPs greater flexibility to determine the appropriate amount of time they need to spend with the patient based on their individual circumstances.</w:t>
      </w:r>
    </w:p>
    <w:p w14:paraId="5678B5F8" w14:textId="09B1F224" w:rsidR="00DB0FE6" w:rsidRPr="0063195F" w:rsidRDefault="00BA7226" w:rsidP="00E91C32">
      <w:pPr>
        <w:pStyle w:val="ListBullet"/>
        <w:rPr>
          <w:rFonts w:ascii="Arial" w:hAnsi="Arial" w:cs="Arial"/>
        </w:rPr>
      </w:pPr>
      <w:r w:rsidRPr="0063195F">
        <w:rPr>
          <w:rFonts w:ascii="Arial" w:hAnsi="Arial" w:cs="Arial"/>
        </w:rPr>
        <w:t>development of g</w:t>
      </w:r>
      <w:r w:rsidR="00DB0FE6" w:rsidRPr="0063195F">
        <w:rPr>
          <w:rFonts w:ascii="Arial" w:hAnsi="Arial" w:cs="Arial"/>
        </w:rPr>
        <w:t>uidance and promotional material to support the sector and patients. GPs and PMPs will be encouraged to refer patients who require at least a moderate level of support for Better Access treatment services and, where psychological intervention under the Better Access initiative is not appropriate, to consider other interventions or pathways.</w:t>
      </w:r>
    </w:p>
    <w:p w14:paraId="7B2E4683" w14:textId="68B8F086" w:rsidR="00F90B85" w:rsidRPr="00B366B5" w:rsidRDefault="00F90B85" w:rsidP="00B366B5">
      <w:pPr>
        <w:pStyle w:val="Heading1"/>
        <w:keepLines w:val="0"/>
        <w:spacing w:before="240" w:after="60" w:line="240" w:lineRule="auto"/>
        <w:rPr>
          <w:rFonts w:ascii="Arial" w:eastAsia="Times New Roman" w:hAnsi="Arial" w:cs="Arial"/>
          <w:bCs/>
          <w:color w:val="3F4A75"/>
          <w:kern w:val="28"/>
          <w:sz w:val="36"/>
          <w:szCs w:val="36"/>
          <w14:ligatures w14:val="none"/>
        </w:rPr>
      </w:pPr>
      <w:r w:rsidRPr="00B366B5">
        <w:rPr>
          <w:rFonts w:ascii="Arial" w:eastAsia="Times New Roman" w:hAnsi="Arial" w:cs="Arial"/>
          <w:bCs/>
          <w:color w:val="3F4A75"/>
          <w:kern w:val="28"/>
          <w:sz w:val="36"/>
          <w:szCs w:val="36"/>
          <w14:ligatures w14:val="none"/>
        </w:rPr>
        <w:t xml:space="preserve">What </w:t>
      </w:r>
      <w:r w:rsidR="007960F5" w:rsidRPr="00B366B5">
        <w:rPr>
          <w:rFonts w:ascii="Arial" w:eastAsia="Times New Roman" w:hAnsi="Arial" w:cs="Arial"/>
          <w:bCs/>
          <w:color w:val="3F4A75"/>
          <w:kern w:val="28"/>
          <w:sz w:val="36"/>
          <w:szCs w:val="36"/>
          <w14:ligatures w14:val="none"/>
        </w:rPr>
        <w:t>is the impact of these changes</w:t>
      </w:r>
      <w:r w:rsidRPr="00B366B5">
        <w:rPr>
          <w:rFonts w:ascii="Arial" w:eastAsia="Times New Roman" w:hAnsi="Arial" w:cs="Arial"/>
          <w:bCs/>
          <w:color w:val="3F4A75"/>
          <w:kern w:val="28"/>
          <w:sz w:val="36"/>
          <w:szCs w:val="36"/>
          <w14:ligatures w14:val="none"/>
        </w:rPr>
        <w:t>?</w:t>
      </w:r>
    </w:p>
    <w:p w14:paraId="6FE9C169" w14:textId="47935B9C" w:rsidR="00DB0FE6" w:rsidRPr="0063195F" w:rsidRDefault="00DB0FE6" w:rsidP="00BA7226">
      <w:pPr>
        <w:spacing w:after="120"/>
        <w:rPr>
          <w:rFonts w:cs="Arial"/>
          <w:szCs w:val="32"/>
        </w:rPr>
      </w:pPr>
      <w:r w:rsidRPr="0063195F">
        <w:rPr>
          <w:rFonts w:cs="Arial"/>
          <w:szCs w:val="32"/>
        </w:rPr>
        <w:t xml:space="preserve">From 1 November 2025, Medicare benefits will only be payable for Better Access services where the mental health treatment plan, review of the mental health treatment plan and referrals has been undertaken at a patient’s MyMedicare registered practice </w:t>
      </w:r>
      <w:r w:rsidRPr="0063195F">
        <w:rPr>
          <w:rFonts w:cs="Arial"/>
          <w:b/>
          <w:bCs/>
          <w:szCs w:val="32"/>
          <w:u w:val="single"/>
        </w:rPr>
        <w:t>or</w:t>
      </w:r>
      <w:r w:rsidRPr="0063195F">
        <w:rPr>
          <w:rFonts w:cs="Arial"/>
          <w:szCs w:val="32"/>
        </w:rPr>
        <w:t xml:space="preserve"> by their usual medical practitioner.</w:t>
      </w:r>
    </w:p>
    <w:p w14:paraId="75ADBC92" w14:textId="77777777" w:rsidR="00DB0FE6" w:rsidRPr="0063195F" w:rsidRDefault="00DB0FE6" w:rsidP="00E91C32">
      <w:pPr>
        <w:pStyle w:val="ListBullet"/>
        <w:rPr>
          <w:rFonts w:ascii="Arial" w:hAnsi="Arial" w:cs="Arial"/>
        </w:rPr>
      </w:pPr>
      <w:r w:rsidRPr="0063195F">
        <w:rPr>
          <w:rFonts w:ascii="Arial" w:hAnsi="Arial" w:cs="Arial"/>
        </w:rPr>
        <w:t>A patient’s usual medical practitioner is someone who has provided the majority of services to the person in the past 12 months or who is likely to provide the majority of services to the person in the following 12 months. This includes other GPs and PMPs who are employed at the patient’s usual medical practice.</w:t>
      </w:r>
    </w:p>
    <w:p w14:paraId="25282EBE" w14:textId="56BA7318" w:rsidR="00DB0FE6" w:rsidRPr="0063195F" w:rsidRDefault="00DB0FE6" w:rsidP="00E91C32">
      <w:pPr>
        <w:pStyle w:val="ListBullet2"/>
        <w:rPr>
          <w:rFonts w:ascii="Arial" w:hAnsi="Arial" w:cs="Arial"/>
        </w:rPr>
      </w:pPr>
      <w:r w:rsidRPr="0063195F">
        <w:rPr>
          <w:rFonts w:ascii="Arial" w:hAnsi="Arial" w:cs="Arial"/>
        </w:rPr>
        <w:t>It is important to note that patients can choose to see their usual medical practitioner irrespective of their existing MyMedicare registered status. This is because patients may choose to seek mental health support through a separate GP or PMP for a wide variety of reasons, and these changes will not impact the ability for patients to continue to do this.</w:t>
      </w:r>
    </w:p>
    <w:p w14:paraId="1195F2B0" w14:textId="4B2FE33A" w:rsidR="00DB0FE6" w:rsidRPr="0063195F" w:rsidRDefault="00DB0FE6" w:rsidP="00E91C32">
      <w:pPr>
        <w:pStyle w:val="ListBullet"/>
        <w:rPr>
          <w:rFonts w:ascii="Arial" w:hAnsi="Arial" w:cs="Arial"/>
        </w:rPr>
      </w:pPr>
      <w:r w:rsidRPr="0063195F">
        <w:rPr>
          <w:rFonts w:ascii="Arial" w:hAnsi="Arial" w:cs="Arial"/>
        </w:rPr>
        <w:t>For example, if a patient is registered with a MyMedicare practice but wishes to see a GP at another practice</w:t>
      </w:r>
      <w:r w:rsidR="00BA7226" w:rsidRPr="0063195F">
        <w:rPr>
          <w:rFonts w:ascii="Arial" w:hAnsi="Arial" w:cs="Arial"/>
        </w:rPr>
        <w:t xml:space="preserve"> (e.g. a headspace GP)</w:t>
      </w:r>
      <w:r w:rsidRPr="0063195F">
        <w:rPr>
          <w:rFonts w:ascii="Arial" w:hAnsi="Arial" w:cs="Arial"/>
        </w:rPr>
        <w:t xml:space="preserve"> as they consider them to be their ‘usual medical practitioner’ for their mental health support needs, there is nothing precluding the patient from doing so because of the changes coming in to affect. </w:t>
      </w:r>
    </w:p>
    <w:p w14:paraId="7992B173" w14:textId="49DE48EB" w:rsidR="00280050" w:rsidRPr="0063195F" w:rsidRDefault="00BA7226" w:rsidP="00BA7226">
      <w:pPr>
        <w:spacing w:after="120"/>
        <w:rPr>
          <w:rFonts w:cs="Arial"/>
          <w:szCs w:val="32"/>
        </w:rPr>
      </w:pPr>
      <w:r w:rsidRPr="0063195F">
        <w:rPr>
          <w:rFonts w:cs="Arial"/>
          <w:szCs w:val="32"/>
        </w:rPr>
        <w:lastRenderedPageBreak/>
        <w:t>The department is also</w:t>
      </w:r>
      <w:r w:rsidR="00DB0FE6" w:rsidRPr="0063195F">
        <w:rPr>
          <w:rFonts w:cs="Arial"/>
          <w:szCs w:val="32"/>
        </w:rPr>
        <w:t xml:space="preserve"> in the final stages of developing guidance materials for GPs/PMPs and their patients to raise awareness of the available Australian Government-funded mental health supports available across the stepped care continuum to support referral of patients. These will be shared with the sector and will be made available on the department’s website once finalised. </w:t>
      </w:r>
    </w:p>
    <w:p w14:paraId="5FF2BDF1" w14:textId="77777777" w:rsidR="004E564B" w:rsidRPr="00B366B5" w:rsidRDefault="004E564B" w:rsidP="00B366B5">
      <w:pPr>
        <w:pStyle w:val="Heading1"/>
        <w:keepLines w:val="0"/>
        <w:spacing w:before="240" w:after="60" w:line="240" w:lineRule="auto"/>
        <w:rPr>
          <w:rFonts w:ascii="Arial" w:eastAsia="Times New Roman" w:hAnsi="Arial" w:cs="Arial"/>
          <w:bCs/>
          <w:color w:val="3F4A75"/>
          <w:kern w:val="28"/>
          <w:sz w:val="36"/>
          <w:szCs w:val="36"/>
          <w14:ligatures w14:val="none"/>
        </w:rPr>
      </w:pPr>
      <w:r w:rsidRPr="00B366B5">
        <w:rPr>
          <w:rFonts w:ascii="Arial" w:eastAsia="Times New Roman" w:hAnsi="Arial" w:cs="Arial"/>
          <w:bCs/>
          <w:color w:val="3F4A75"/>
          <w:kern w:val="28"/>
          <w:sz w:val="36"/>
          <w:szCs w:val="36"/>
          <w14:ligatures w14:val="none"/>
        </w:rPr>
        <w:t>Further information</w:t>
      </w:r>
    </w:p>
    <w:p w14:paraId="7E6DBD4F" w14:textId="7D573BE6" w:rsidR="004E564B" w:rsidRPr="0063195F" w:rsidRDefault="004E564B" w:rsidP="0063195F">
      <w:pPr>
        <w:rPr>
          <w:rFonts w:cs="Arial"/>
        </w:rPr>
      </w:pPr>
      <w:r w:rsidRPr="0063195F">
        <w:rPr>
          <w:rFonts w:cs="Arial"/>
        </w:rPr>
        <w:t xml:space="preserve">Further information on the Better Access initiative is available via: </w:t>
      </w:r>
      <w:hyperlink r:id="rId12" w:history="1">
        <w:r w:rsidR="0063195F" w:rsidRPr="0063195F">
          <w:rPr>
            <w:rStyle w:val="Hyperlink"/>
            <w:rFonts w:cs="Arial"/>
          </w:rPr>
          <w:t>https://www.health.gov.au/our-work/better-access-initiative</w:t>
        </w:r>
      </w:hyperlink>
      <w:r w:rsidRPr="0063195F">
        <w:rPr>
          <w:rFonts w:cs="Arial"/>
        </w:rPr>
        <w:t>.</w:t>
      </w:r>
    </w:p>
    <w:p w14:paraId="7B5BC864" w14:textId="17CDFDA5" w:rsidR="004E564B" w:rsidRPr="0063195F" w:rsidRDefault="004E564B" w:rsidP="00E91C32">
      <w:pPr>
        <w:spacing w:after="120"/>
        <w:rPr>
          <w:rFonts w:cs="Arial"/>
          <w:szCs w:val="32"/>
          <w:u w:val="single"/>
        </w:rPr>
      </w:pPr>
      <w:r w:rsidRPr="0063195F">
        <w:rPr>
          <w:rFonts w:cs="Arial"/>
          <w:szCs w:val="32"/>
        </w:rPr>
        <w:t>Information regarding eligibility, claiming and payment processes can be obtained from Services Australia on 132 011 or on the </w:t>
      </w:r>
      <w:hyperlink r:id="rId13" w:history="1">
        <w:r w:rsidRPr="0063195F">
          <w:rPr>
            <w:rStyle w:val="Hyperlink"/>
            <w:rFonts w:cs="Arial"/>
            <w:szCs w:val="32"/>
          </w:rPr>
          <w:t>Medicare website</w:t>
        </w:r>
      </w:hyperlink>
      <w:r w:rsidRPr="0063195F">
        <w:rPr>
          <w:rFonts w:cs="Arial"/>
          <w:szCs w:val="32"/>
          <w:u w:val="single"/>
        </w:rPr>
        <w:t>.</w:t>
      </w:r>
    </w:p>
    <w:sectPr w:rsidR="004E564B" w:rsidRPr="0063195F" w:rsidSect="00E91C32">
      <w:headerReference w:type="even" r:id="rId14"/>
      <w:footerReference w:type="even" r:id="rId15"/>
      <w:footerReference w:type="default" r:id="rId16"/>
      <w:headerReference w:type="first" r:id="rId17"/>
      <w:footerReference w:type="first" r:id="rId18"/>
      <w:pgSz w:w="11906" w:h="16838"/>
      <w:pgMar w:top="851" w:right="1274" w:bottom="567" w:left="1276" w:header="0"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F7DC" w14:textId="77777777" w:rsidR="006F20EB" w:rsidRDefault="006F20EB" w:rsidP="00BA7226">
      <w:pPr>
        <w:spacing w:after="0" w:line="240" w:lineRule="auto"/>
      </w:pPr>
      <w:r>
        <w:separator/>
      </w:r>
    </w:p>
  </w:endnote>
  <w:endnote w:type="continuationSeparator" w:id="0">
    <w:p w14:paraId="6947B3B3" w14:textId="77777777" w:rsidR="006F20EB" w:rsidRDefault="006F20EB" w:rsidP="00BA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8A46A" w14:textId="210A98A0" w:rsidR="00BA7226" w:rsidRDefault="005219CB">
    <w:pPr>
      <w:pStyle w:val="Footer"/>
    </w:pPr>
    <w:r>
      <w:rPr>
        <w:noProof/>
      </w:rPr>
      <mc:AlternateContent>
        <mc:Choice Requires="wps">
          <w:drawing>
            <wp:anchor distT="0" distB="0" distL="0" distR="0" simplePos="0" relativeHeight="251667456" behindDoc="0" locked="0" layoutInCell="1" allowOverlap="1" wp14:anchorId="2E8E023A" wp14:editId="79B644C2">
              <wp:simplePos x="635" y="635"/>
              <wp:positionH relativeFrom="page">
                <wp:align>center</wp:align>
              </wp:positionH>
              <wp:positionV relativeFrom="page">
                <wp:align>bottom</wp:align>
              </wp:positionV>
              <wp:extent cx="551815" cy="391160"/>
              <wp:effectExtent l="0" t="0" r="635" b="0"/>
              <wp:wrapNone/>
              <wp:docPr id="19813633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2B88706" w14:textId="7C20B510" w:rsidR="005219CB" w:rsidRPr="005219CB" w:rsidRDefault="005219CB" w:rsidP="005219CB">
                          <w:pPr>
                            <w:spacing w:after="0"/>
                            <w:rPr>
                              <w:rFonts w:ascii="Calibri" w:eastAsia="Calibri" w:hAnsi="Calibri" w:cs="Calibri"/>
                              <w:noProof/>
                              <w:color w:val="FF0000"/>
                            </w:rPr>
                          </w:pPr>
                          <w:r w:rsidRPr="005219C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8E023A"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" filled="f" stroked="f">
              <v:textbox style="mso-fit-shape-to-text:t" inset="0,0,0,15pt">
                <w:txbxContent>
                  <w:p w14:paraId="02B88706" w14:textId="7C20B510" w:rsidR="005219CB" w:rsidRPr="005219CB" w:rsidRDefault="005219CB" w:rsidP="005219CB">
                    <w:pPr>
                      <w:spacing w:after="0"/>
                      <w:rPr>
                        <w:rFonts w:ascii="Calibri" w:eastAsia="Calibri" w:hAnsi="Calibri" w:cs="Calibri"/>
                        <w:noProof/>
                        <w:color w:val="FF0000"/>
                      </w:rPr>
                    </w:pPr>
                    <w:r w:rsidRPr="005219CB">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2EA1" w14:textId="081C523F" w:rsidR="00B366B5" w:rsidRPr="00E91C32" w:rsidRDefault="00B366B5" w:rsidP="00E91C32">
    <w:pPr>
      <w:pStyle w:val="Footer"/>
      <w:tabs>
        <w:tab w:val="clear" w:pos="4513"/>
      </w:tabs>
      <w:rPr>
        <w:szCs w:val="20"/>
      </w:rPr>
    </w:pPr>
    <w:r>
      <w:t xml:space="preserve">Department of Health, Disability and Ageing – </w:t>
    </w:r>
    <w:r w:rsidR="0063195F">
      <w:br/>
    </w:r>
    <w:r>
      <w:t xml:space="preserve">Better Access redesign from 1 November </w:t>
    </w:r>
    <w:proofErr w:type="gramStart"/>
    <w:r>
      <w:t>2025  –</w:t>
    </w:r>
    <w:proofErr w:type="gramEnd"/>
    <w:r>
      <w:t xml:space="preserve"> September 2025</w:t>
    </w:r>
    <w:r w:rsidRPr="003D033A">
      <w:t xml:space="preserve"> </w:t>
    </w:r>
    <w:sdt>
      <w:sdtPr>
        <w:rPr>
          <w:szCs w:val="20"/>
        </w:rPr>
        <w:id w:val="601842316"/>
        <w:docPartObj>
          <w:docPartGallery w:val="Page Numbers (Bottom of Page)"/>
          <w:docPartUnique/>
        </w:docPartObj>
      </w:sdtPr>
      <w:sdtEndPr>
        <w:rPr>
          <w:noProof/>
        </w:rPr>
      </w:sdtEndPr>
      <w:sdtContent>
        <w:r>
          <w:rPr>
            <w:szCs w:val="20"/>
          </w:rPr>
          <w:tab/>
        </w:r>
        <w:r w:rsidRPr="006043C7">
          <w:rPr>
            <w:szCs w:val="20"/>
          </w:rPr>
          <w:fldChar w:fldCharType="begin"/>
        </w:r>
        <w:r w:rsidRPr="006043C7">
          <w:rPr>
            <w:szCs w:val="20"/>
          </w:rPr>
          <w:instrText xml:space="preserve"> PAGE   \* MERGEFORMAT </w:instrText>
        </w:r>
        <w:r w:rsidRPr="006043C7">
          <w:rPr>
            <w:szCs w:val="20"/>
          </w:rPr>
          <w:fldChar w:fldCharType="separate"/>
        </w:r>
        <w:r>
          <w:rPr>
            <w:szCs w:val="20"/>
          </w:rPr>
          <w:t>2</w:t>
        </w:r>
        <w:r w:rsidRPr="006043C7">
          <w:rPr>
            <w:noProof/>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BF02" w14:textId="30CBE601" w:rsidR="00BA7226" w:rsidRDefault="005219CB">
    <w:pPr>
      <w:pStyle w:val="Footer"/>
    </w:pPr>
    <w:r>
      <w:rPr>
        <w:noProof/>
      </w:rPr>
      <mc:AlternateContent>
        <mc:Choice Requires="wps">
          <w:drawing>
            <wp:anchor distT="0" distB="0" distL="0" distR="0" simplePos="0" relativeHeight="251666432" behindDoc="0" locked="0" layoutInCell="1" allowOverlap="1" wp14:anchorId="19436F09" wp14:editId="32995E4C">
              <wp:simplePos x="635" y="635"/>
              <wp:positionH relativeFrom="page">
                <wp:align>center</wp:align>
              </wp:positionH>
              <wp:positionV relativeFrom="page">
                <wp:align>bottom</wp:align>
              </wp:positionV>
              <wp:extent cx="551815" cy="391160"/>
              <wp:effectExtent l="0" t="0" r="635" b="0"/>
              <wp:wrapNone/>
              <wp:docPr id="6276364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63B852F" w14:textId="64714E43" w:rsidR="005219CB" w:rsidRPr="005219CB" w:rsidRDefault="005219CB" w:rsidP="005219CB">
                          <w:pPr>
                            <w:spacing w:after="0"/>
                            <w:rPr>
                              <w:rFonts w:ascii="Calibri" w:eastAsia="Calibri" w:hAnsi="Calibri" w:cs="Calibri"/>
                              <w:noProof/>
                              <w:color w:val="FF0000"/>
                            </w:rPr>
                          </w:pPr>
                          <w:r w:rsidRPr="005219C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436F09"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" filled="f" stroked="f">
              <v:textbox style="mso-fit-shape-to-text:t" inset="0,0,0,15pt">
                <w:txbxContent>
                  <w:p w14:paraId="763B852F" w14:textId="64714E43" w:rsidR="005219CB" w:rsidRPr="005219CB" w:rsidRDefault="005219CB" w:rsidP="005219CB">
                    <w:pPr>
                      <w:spacing w:after="0"/>
                      <w:rPr>
                        <w:rFonts w:ascii="Calibri" w:eastAsia="Calibri" w:hAnsi="Calibri" w:cs="Calibri"/>
                        <w:noProof/>
                        <w:color w:val="FF0000"/>
                      </w:rPr>
                    </w:pPr>
                    <w:r w:rsidRPr="005219CB">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FF0EA" w14:textId="77777777" w:rsidR="006F20EB" w:rsidRDefault="006F20EB" w:rsidP="00BA7226">
      <w:pPr>
        <w:spacing w:after="0" w:line="240" w:lineRule="auto"/>
      </w:pPr>
      <w:r>
        <w:separator/>
      </w:r>
    </w:p>
  </w:footnote>
  <w:footnote w:type="continuationSeparator" w:id="0">
    <w:p w14:paraId="1BFA9D21" w14:textId="77777777" w:rsidR="006F20EB" w:rsidRDefault="006F20EB" w:rsidP="00BA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96E1" w14:textId="186B2A17" w:rsidR="00BA7226" w:rsidRDefault="005219CB">
    <w:pPr>
      <w:pStyle w:val="Header"/>
    </w:pPr>
    <w:r>
      <w:rPr>
        <w:noProof/>
      </w:rPr>
      <mc:AlternateContent>
        <mc:Choice Requires="wps">
          <w:drawing>
            <wp:anchor distT="0" distB="0" distL="0" distR="0" simplePos="0" relativeHeight="251664384" behindDoc="0" locked="0" layoutInCell="1" allowOverlap="1" wp14:anchorId="623A6535" wp14:editId="318EBA17">
              <wp:simplePos x="635" y="635"/>
              <wp:positionH relativeFrom="page">
                <wp:align>center</wp:align>
              </wp:positionH>
              <wp:positionV relativeFrom="page">
                <wp:align>top</wp:align>
              </wp:positionV>
              <wp:extent cx="551815" cy="391160"/>
              <wp:effectExtent l="0" t="0" r="635" b="8890"/>
              <wp:wrapNone/>
              <wp:docPr id="16814179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1A2D9F1" w14:textId="7F8FB3CF" w:rsidR="005219CB" w:rsidRPr="005219CB" w:rsidRDefault="005219CB" w:rsidP="005219CB">
                          <w:pPr>
                            <w:spacing w:after="0"/>
                            <w:rPr>
                              <w:rFonts w:ascii="Calibri" w:eastAsia="Calibri" w:hAnsi="Calibri" w:cs="Calibri"/>
                              <w:noProof/>
                              <w:color w:val="FF0000"/>
                            </w:rPr>
                          </w:pPr>
                          <w:r w:rsidRPr="005219C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3A6535"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" filled="f" stroked="f">
              <v:textbox style="mso-fit-shape-to-text:t" inset="0,15pt,0,0">
                <w:txbxContent>
                  <w:p w14:paraId="21A2D9F1" w14:textId="7F8FB3CF" w:rsidR="005219CB" w:rsidRPr="005219CB" w:rsidRDefault="005219CB" w:rsidP="005219CB">
                    <w:pPr>
                      <w:spacing w:after="0"/>
                      <w:rPr>
                        <w:rFonts w:ascii="Calibri" w:eastAsia="Calibri" w:hAnsi="Calibri" w:cs="Calibri"/>
                        <w:noProof/>
                        <w:color w:val="FF0000"/>
                      </w:rPr>
                    </w:pPr>
                    <w:r w:rsidRPr="005219CB">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678A" w14:textId="3370786D" w:rsidR="00BA7226" w:rsidRDefault="005219CB">
    <w:pPr>
      <w:pStyle w:val="Header"/>
    </w:pPr>
    <w:r>
      <w:rPr>
        <w:noProof/>
      </w:rPr>
      <mc:AlternateContent>
        <mc:Choice Requires="wps">
          <w:drawing>
            <wp:anchor distT="0" distB="0" distL="0" distR="0" simplePos="0" relativeHeight="251663360" behindDoc="0" locked="0" layoutInCell="1" allowOverlap="1" wp14:anchorId="7CC8CD6D" wp14:editId="324465F2">
              <wp:simplePos x="635" y="635"/>
              <wp:positionH relativeFrom="page">
                <wp:align>center</wp:align>
              </wp:positionH>
              <wp:positionV relativeFrom="page">
                <wp:align>top</wp:align>
              </wp:positionV>
              <wp:extent cx="551815" cy="391160"/>
              <wp:effectExtent l="0" t="0" r="635" b="8890"/>
              <wp:wrapNone/>
              <wp:docPr id="7744456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D47EB36" w14:textId="4B1770C0" w:rsidR="005219CB" w:rsidRPr="005219CB" w:rsidRDefault="005219CB" w:rsidP="005219CB">
                          <w:pPr>
                            <w:spacing w:after="0"/>
                            <w:rPr>
                              <w:rFonts w:ascii="Calibri" w:eastAsia="Calibri" w:hAnsi="Calibri" w:cs="Calibri"/>
                              <w:noProof/>
                              <w:color w:val="FF0000"/>
                            </w:rPr>
                          </w:pPr>
                          <w:r w:rsidRPr="005219C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C8CD6D"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" filled="f" stroked="f">
              <v:textbox style="mso-fit-shape-to-text:t" inset="0,15pt,0,0">
                <w:txbxContent>
                  <w:p w14:paraId="7D47EB36" w14:textId="4B1770C0" w:rsidR="005219CB" w:rsidRPr="005219CB" w:rsidRDefault="005219CB" w:rsidP="005219CB">
                    <w:pPr>
                      <w:spacing w:after="0"/>
                      <w:rPr>
                        <w:rFonts w:ascii="Calibri" w:eastAsia="Calibri" w:hAnsi="Calibri" w:cs="Calibri"/>
                        <w:noProof/>
                        <w:color w:val="FF0000"/>
                      </w:rPr>
                    </w:pPr>
                    <w:r w:rsidRPr="005219CB">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7AC389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9CBF8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4730F3"/>
    <w:multiLevelType w:val="hybridMultilevel"/>
    <w:tmpl w:val="55C2547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AE6AA904">
      <w:start w:val="1"/>
      <w:numFmt w:val="bullet"/>
      <w:pStyle w:val="ListBullet2"/>
      <w:lvlText w:val="o"/>
      <w:lvlJc w:val="left"/>
      <w:pPr>
        <w:ind w:left="2160" w:hanging="360"/>
      </w:pPr>
      <w:rPr>
        <w:rFonts w:ascii="Courier New" w:hAnsi="Courier New" w:cs="Courier New"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2F3476E"/>
    <w:multiLevelType w:val="hybridMultilevel"/>
    <w:tmpl w:val="E78A4D7C"/>
    <w:lvl w:ilvl="0" w:tplc="43883482">
      <w:start w:val="1"/>
      <w:numFmt w:val="bullet"/>
      <w:lvlText w:val="•"/>
      <w:lvlJc w:val="left"/>
      <w:pPr>
        <w:tabs>
          <w:tab w:val="num" w:pos="720"/>
        </w:tabs>
        <w:ind w:left="720" w:hanging="360"/>
      </w:pPr>
      <w:rPr>
        <w:rFonts w:ascii="Arial" w:hAnsi="Arial" w:cs="Times New Roman" w:hint="default"/>
      </w:rPr>
    </w:lvl>
    <w:lvl w:ilvl="1" w:tplc="0C090001">
      <w:start w:val="1"/>
      <w:numFmt w:val="bullet"/>
      <w:lvlText w:val=""/>
      <w:lvlJc w:val="left"/>
      <w:pPr>
        <w:ind w:left="1440" w:hanging="360"/>
      </w:pPr>
      <w:rPr>
        <w:rFonts w:ascii="Symbol" w:hAnsi="Symbol" w:hint="default"/>
      </w:rPr>
    </w:lvl>
    <w:lvl w:ilvl="2" w:tplc="F5C2B188">
      <w:start w:val="1"/>
      <w:numFmt w:val="bullet"/>
      <w:lvlText w:val="•"/>
      <w:lvlJc w:val="left"/>
      <w:pPr>
        <w:tabs>
          <w:tab w:val="num" w:pos="2160"/>
        </w:tabs>
        <w:ind w:left="2160" w:hanging="360"/>
      </w:pPr>
      <w:rPr>
        <w:rFonts w:ascii="Arial" w:hAnsi="Arial" w:cs="Times New Roman" w:hint="default"/>
      </w:rPr>
    </w:lvl>
    <w:lvl w:ilvl="3" w:tplc="547C758A">
      <w:start w:val="1"/>
      <w:numFmt w:val="bullet"/>
      <w:lvlText w:val="•"/>
      <w:lvlJc w:val="left"/>
      <w:pPr>
        <w:tabs>
          <w:tab w:val="num" w:pos="2880"/>
        </w:tabs>
        <w:ind w:left="2880" w:hanging="360"/>
      </w:pPr>
      <w:rPr>
        <w:rFonts w:ascii="Arial" w:hAnsi="Arial" w:cs="Times New Roman" w:hint="default"/>
      </w:rPr>
    </w:lvl>
    <w:lvl w:ilvl="4" w:tplc="B66CC61C">
      <w:start w:val="1"/>
      <w:numFmt w:val="bullet"/>
      <w:lvlText w:val="•"/>
      <w:lvlJc w:val="left"/>
      <w:pPr>
        <w:tabs>
          <w:tab w:val="num" w:pos="3600"/>
        </w:tabs>
        <w:ind w:left="3600" w:hanging="360"/>
      </w:pPr>
      <w:rPr>
        <w:rFonts w:ascii="Arial" w:hAnsi="Arial" w:cs="Times New Roman" w:hint="default"/>
      </w:rPr>
    </w:lvl>
    <w:lvl w:ilvl="5" w:tplc="BB5438DC">
      <w:start w:val="1"/>
      <w:numFmt w:val="bullet"/>
      <w:lvlText w:val="•"/>
      <w:lvlJc w:val="left"/>
      <w:pPr>
        <w:tabs>
          <w:tab w:val="num" w:pos="4320"/>
        </w:tabs>
        <w:ind w:left="4320" w:hanging="360"/>
      </w:pPr>
      <w:rPr>
        <w:rFonts w:ascii="Arial" w:hAnsi="Arial" w:cs="Times New Roman" w:hint="default"/>
      </w:rPr>
    </w:lvl>
    <w:lvl w:ilvl="6" w:tplc="AFE8F612">
      <w:start w:val="1"/>
      <w:numFmt w:val="bullet"/>
      <w:lvlText w:val="•"/>
      <w:lvlJc w:val="left"/>
      <w:pPr>
        <w:tabs>
          <w:tab w:val="num" w:pos="5040"/>
        </w:tabs>
        <w:ind w:left="5040" w:hanging="360"/>
      </w:pPr>
      <w:rPr>
        <w:rFonts w:ascii="Arial" w:hAnsi="Arial" w:cs="Times New Roman" w:hint="default"/>
      </w:rPr>
    </w:lvl>
    <w:lvl w:ilvl="7" w:tplc="B5A2BCD0">
      <w:start w:val="1"/>
      <w:numFmt w:val="bullet"/>
      <w:lvlText w:val="•"/>
      <w:lvlJc w:val="left"/>
      <w:pPr>
        <w:tabs>
          <w:tab w:val="num" w:pos="5760"/>
        </w:tabs>
        <w:ind w:left="5760" w:hanging="360"/>
      </w:pPr>
      <w:rPr>
        <w:rFonts w:ascii="Arial" w:hAnsi="Arial" w:cs="Times New Roman" w:hint="default"/>
      </w:rPr>
    </w:lvl>
    <w:lvl w:ilvl="8" w:tplc="241A680C">
      <w:start w:val="1"/>
      <w:numFmt w:val="bullet"/>
      <w:lvlText w:val="•"/>
      <w:lvlJc w:val="left"/>
      <w:pPr>
        <w:tabs>
          <w:tab w:val="num" w:pos="6480"/>
        </w:tabs>
        <w:ind w:left="6480" w:hanging="360"/>
      </w:pPr>
      <w:rPr>
        <w:rFonts w:ascii="Arial" w:hAnsi="Arial" w:cs="Times New Roman" w:hint="default"/>
      </w:rPr>
    </w:lvl>
  </w:abstractNum>
  <w:num w:numId="1" w16cid:durableId="1942949680">
    <w:abstractNumId w:val="2"/>
  </w:num>
  <w:num w:numId="2" w16cid:durableId="1352219308">
    <w:abstractNumId w:val="3"/>
  </w:num>
  <w:num w:numId="3" w16cid:durableId="1668821624">
    <w:abstractNumId w:val="3"/>
  </w:num>
  <w:num w:numId="4" w16cid:durableId="1681538807">
    <w:abstractNumId w:val="2"/>
  </w:num>
  <w:num w:numId="5" w16cid:durableId="1167748029">
    <w:abstractNumId w:val="1"/>
  </w:num>
  <w:num w:numId="6" w16cid:durableId="871572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E6"/>
    <w:rsid w:val="0005747D"/>
    <w:rsid w:val="000A000E"/>
    <w:rsid w:val="00170126"/>
    <w:rsid w:val="00255B4E"/>
    <w:rsid w:val="00280050"/>
    <w:rsid w:val="002B268D"/>
    <w:rsid w:val="004E564B"/>
    <w:rsid w:val="005219CB"/>
    <w:rsid w:val="00536783"/>
    <w:rsid w:val="00550E00"/>
    <w:rsid w:val="005C23EB"/>
    <w:rsid w:val="0063195F"/>
    <w:rsid w:val="006A7465"/>
    <w:rsid w:val="006F20EB"/>
    <w:rsid w:val="00726567"/>
    <w:rsid w:val="007960F5"/>
    <w:rsid w:val="007D0630"/>
    <w:rsid w:val="007E7E89"/>
    <w:rsid w:val="008537C3"/>
    <w:rsid w:val="008A2C78"/>
    <w:rsid w:val="008C7826"/>
    <w:rsid w:val="00A93EA6"/>
    <w:rsid w:val="00AA4394"/>
    <w:rsid w:val="00B366B5"/>
    <w:rsid w:val="00B57191"/>
    <w:rsid w:val="00B5734E"/>
    <w:rsid w:val="00BA0F20"/>
    <w:rsid w:val="00BA7226"/>
    <w:rsid w:val="00C46776"/>
    <w:rsid w:val="00DB0FE6"/>
    <w:rsid w:val="00DD4D9E"/>
    <w:rsid w:val="00DF43BE"/>
    <w:rsid w:val="00E12661"/>
    <w:rsid w:val="00E3232D"/>
    <w:rsid w:val="00E91C32"/>
    <w:rsid w:val="00F116E6"/>
    <w:rsid w:val="00F14D6C"/>
    <w:rsid w:val="00F64A6B"/>
    <w:rsid w:val="00F746C0"/>
    <w:rsid w:val="00F90B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E0923"/>
  <w15:chartTrackingRefBased/>
  <w15:docId w15:val="{3D8A6DBB-C2B0-43C1-8A8C-D827E26F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95F"/>
    <w:pPr>
      <w:spacing w:after="240" w:line="276" w:lineRule="auto"/>
    </w:pPr>
    <w:rPr>
      <w:sz w:val="24"/>
    </w:rPr>
  </w:style>
  <w:style w:type="paragraph" w:styleId="Heading1">
    <w:name w:val="heading 1"/>
    <w:basedOn w:val="Normal"/>
    <w:next w:val="Normal"/>
    <w:link w:val="Heading1Char"/>
    <w:qFormat/>
    <w:rsid w:val="00DB0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F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F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0F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0F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0F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0F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0F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F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F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0F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0F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0F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0F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0FE6"/>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DB0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B0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F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F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0FE6"/>
    <w:pPr>
      <w:spacing w:before="160"/>
      <w:jc w:val="center"/>
    </w:pPr>
    <w:rPr>
      <w:i/>
      <w:iCs/>
      <w:color w:val="404040" w:themeColor="text1" w:themeTint="BF"/>
    </w:rPr>
  </w:style>
  <w:style w:type="character" w:customStyle="1" w:styleId="QuoteChar">
    <w:name w:val="Quote Char"/>
    <w:basedOn w:val="DefaultParagraphFont"/>
    <w:link w:val="Quote"/>
    <w:uiPriority w:val="29"/>
    <w:rsid w:val="00DB0FE6"/>
    <w:rPr>
      <w:i/>
      <w:iCs/>
      <w:color w:val="404040" w:themeColor="text1" w:themeTint="BF"/>
    </w:rPr>
  </w:style>
  <w:style w:type="paragraph" w:styleId="ListParagraph">
    <w:name w:val="List Paragraph"/>
    <w:basedOn w:val="Normal"/>
    <w:uiPriority w:val="34"/>
    <w:qFormat/>
    <w:rsid w:val="00DB0FE6"/>
    <w:pPr>
      <w:ind w:left="720"/>
      <w:contextualSpacing/>
    </w:pPr>
  </w:style>
  <w:style w:type="character" w:styleId="IntenseEmphasis">
    <w:name w:val="Intense Emphasis"/>
    <w:basedOn w:val="DefaultParagraphFont"/>
    <w:uiPriority w:val="21"/>
    <w:qFormat/>
    <w:rsid w:val="00DB0FE6"/>
    <w:rPr>
      <w:i/>
      <w:iCs/>
      <w:color w:val="0F4761" w:themeColor="accent1" w:themeShade="BF"/>
    </w:rPr>
  </w:style>
  <w:style w:type="paragraph" w:styleId="IntenseQuote">
    <w:name w:val="Intense Quote"/>
    <w:basedOn w:val="Normal"/>
    <w:next w:val="Normal"/>
    <w:link w:val="IntenseQuoteChar"/>
    <w:uiPriority w:val="30"/>
    <w:qFormat/>
    <w:rsid w:val="00DB0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FE6"/>
    <w:rPr>
      <w:i/>
      <w:iCs/>
      <w:color w:val="0F4761" w:themeColor="accent1" w:themeShade="BF"/>
    </w:rPr>
  </w:style>
  <w:style w:type="character" w:styleId="IntenseReference">
    <w:name w:val="Intense Reference"/>
    <w:basedOn w:val="DefaultParagraphFont"/>
    <w:uiPriority w:val="32"/>
    <w:qFormat/>
    <w:rsid w:val="00DB0FE6"/>
    <w:rPr>
      <w:b/>
      <w:bCs/>
      <w:smallCaps/>
      <w:color w:val="0F4761" w:themeColor="accent1" w:themeShade="BF"/>
      <w:spacing w:val="5"/>
    </w:rPr>
  </w:style>
  <w:style w:type="paragraph" w:styleId="Header">
    <w:name w:val="header"/>
    <w:basedOn w:val="Normal"/>
    <w:link w:val="HeaderChar"/>
    <w:uiPriority w:val="99"/>
    <w:unhideWhenUsed/>
    <w:rsid w:val="00BA7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226"/>
  </w:style>
  <w:style w:type="paragraph" w:styleId="Footer">
    <w:name w:val="footer"/>
    <w:basedOn w:val="Normal"/>
    <w:link w:val="FooterChar"/>
    <w:uiPriority w:val="99"/>
    <w:unhideWhenUsed/>
    <w:qFormat/>
    <w:rsid w:val="00BA7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226"/>
  </w:style>
  <w:style w:type="paragraph" w:styleId="Revision">
    <w:name w:val="Revision"/>
    <w:hidden/>
    <w:uiPriority w:val="99"/>
    <w:semiHidden/>
    <w:rsid w:val="008A2C78"/>
    <w:pPr>
      <w:spacing w:after="0" w:line="240" w:lineRule="auto"/>
    </w:pPr>
  </w:style>
  <w:style w:type="character" w:styleId="Hyperlink">
    <w:name w:val="Hyperlink"/>
    <w:basedOn w:val="DefaultParagraphFont"/>
    <w:uiPriority w:val="99"/>
    <w:unhideWhenUsed/>
    <w:rsid w:val="004E564B"/>
    <w:rPr>
      <w:color w:val="467886" w:themeColor="hyperlink"/>
      <w:u w:val="single"/>
    </w:rPr>
  </w:style>
  <w:style w:type="character" w:styleId="UnresolvedMention">
    <w:name w:val="Unresolved Mention"/>
    <w:basedOn w:val="DefaultParagraphFont"/>
    <w:uiPriority w:val="99"/>
    <w:semiHidden/>
    <w:unhideWhenUsed/>
    <w:rsid w:val="004E564B"/>
    <w:rPr>
      <w:color w:val="605E5C"/>
      <w:shd w:val="clear" w:color="auto" w:fill="E1DFDD"/>
    </w:rPr>
  </w:style>
  <w:style w:type="paragraph" w:styleId="ListBullet">
    <w:name w:val="List Bullet"/>
    <w:basedOn w:val="Normal"/>
    <w:uiPriority w:val="99"/>
    <w:unhideWhenUsed/>
    <w:rsid w:val="00E91C32"/>
    <w:pPr>
      <w:numPr>
        <w:numId w:val="5"/>
      </w:numPr>
      <w:spacing w:before="60" w:after="60"/>
    </w:pPr>
    <w:rPr>
      <w:rFonts w:ascii="Calibri" w:hAnsi="Calibri"/>
    </w:rPr>
  </w:style>
  <w:style w:type="paragraph" w:styleId="ListBullet2">
    <w:name w:val="List Bullet 2"/>
    <w:basedOn w:val="Normal"/>
    <w:uiPriority w:val="99"/>
    <w:unhideWhenUsed/>
    <w:rsid w:val="00E91C32"/>
    <w:pPr>
      <w:numPr>
        <w:ilvl w:val="2"/>
        <w:numId w:val="1"/>
      </w:numPr>
      <w:spacing w:after="120"/>
      <w:ind w:left="1276" w:hanging="283"/>
    </w:pPr>
    <w:rPr>
      <w:rFonts w:ascii="Calibri" w:hAnsi="Calibri" w:cs="Calibri"/>
      <w:szCs w:val="32"/>
    </w:rPr>
  </w:style>
  <w:style w:type="character" w:styleId="FollowedHyperlink">
    <w:name w:val="FollowedHyperlink"/>
    <w:basedOn w:val="DefaultParagraphFont"/>
    <w:uiPriority w:val="99"/>
    <w:semiHidden/>
    <w:unhideWhenUsed/>
    <w:rsid w:val="006319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71357">
      <w:bodyDiv w:val="1"/>
      <w:marLeft w:val="0"/>
      <w:marRight w:val="0"/>
      <w:marTop w:val="0"/>
      <w:marBottom w:val="0"/>
      <w:divBdr>
        <w:top w:val="none" w:sz="0" w:space="0" w:color="auto"/>
        <w:left w:val="none" w:sz="0" w:space="0" w:color="auto"/>
        <w:bottom w:val="none" w:sz="0" w:space="0" w:color="auto"/>
        <w:right w:val="none" w:sz="0" w:space="0" w:color="auto"/>
      </w:divBdr>
    </w:div>
    <w:div w:id="755520495">
      <w:bodyDiv w:val="1"/>
      <w:marLeft w:val="0"/>
      <w:marRight w:val="0"/>
      <w:marTop w:val="0"/>
      <w:marBottom w:val="0"/>
      <w:divBdr>
        <w:top w:val="none" w:sz="0" w:space="0" w:color="auto"/>
        <w:left w:val="none" w:sz="0" w:space="0" w:color="auto"/>
        <w:bottom w:val="none" w:sz="0" w:space="0" w:color="auto"/>
        <w:right w:val="none" w:sz="0" w:space="0" w:color="auto"/>
      </w:divBdr>
    </w:div>
    <w:div w:id="1072583237">
      <w:bodyDiv w:val="1"/>
      <w:marLeft w:val="0"/>
      <w:marRight w:val="0"/>
      <w:marTop w:val="0"/>
      <w:marBottom w:val="0"/>
      <w:divBdr>
        <w:top w:val="none" w:sz="0" w:space="0" w:color="auto"/>
        <w:left w:val="none" w:sz="0" w:space="0" w:color="auto"/>
        <w:bottom w:val="none" w:sz="0" w:space="0" w:color="auto"/>
        <w:right w:val="none" w:sz="0" w:space="0" w:color="auto"/>
      </w:divBdr>
    </w:div>
    <w:div w:id="1099640338">
      <w:bodyDiv w:val="1"/>
      <w:marLeft w:val="0"/>
      <w:marRight w:val="0"/>
      <w:marTop w:val="0"/>
      <w:marBottom w:val="0"/>
      <w:divBdr>
        <w:top w:val="none" w:sz="0" w:space="0" w:color="auto"/>
        <w:left w:val="none" w:sz="0" w:space="0" w:color="auto"/>
        <w:bottom w:val="none" w:sz="0" w:space="0" w:color="auto"/>
        <w:right w:val="none" w:sz="0" w:space="0" w:color="auto"/>
      </w:divBdr>
    </w:div>
    <w:div w:id="1156872483">
      <w:bodyDiv w:val="1"/>
      <w:marLeft w:val="0"/>
      <w:marRight w:val="0"/>
      <w:marTop w:val="0"/>
      <w:marBottom w:val="0"/>
      <w:divBdr>
        <w:top w:val="none" w:sz="0" w:space="0" w:color="auto"/>
        <w:left w:val="none" w:sz="0" w:space="0" w:color="auto"/>
        <w:bottom w:val="none" w:sz="0" w:space="0" w:color="auto"/>
        <w:right w:val="none" w:sz="0" w:space="0" w:color="auto"/>
      </w:divBdr>
    </w:div>
    <w:div w:id="1210189368">
      <w:bodyDiv w:val="1"/>
      <w:marLeft w:val="0"/>
      <w:marRight w:val="0"/>
      <w:marTop w:val="0"/>
      <w:marBottom w:val="0"/>
      <w:divBdr>
        <w:top w:val="none" w:sz="0" w:space="0" w:color="auto"/>
        <w:left w:val="none" w:sz="0" w:space="0" w:color="auto"/>
        <w:bottom w:val="none" w:sz="0" w:space="0" w:color="auto"/>
        <w:right w:val="none" w:sz="0" w:space="0" w:color="auto"/>
      </w:divBdr>
    </w:div>
    <w:div w:id="1772630353">
      <w:bodyDiv w:val="1"/>
      <w:marLeft w:val="0"/>
      <w:marRight w:val="0"/>
      <w:marTop w:val="0"/>
      <w:marBottom w:val="0"/>
      <w:divBdr>
        <w:top w:val="none" w:sz="0" w:space="0" w:color="auto"/>
        <w:left w:val="none" w:sz="0" w:space="0" w:color="auto"/>
        <w:bottom w:val="none" w:sz="0" w:space="0" w:color="auto"/>
        <w:right w:val="none" w:sz="0" w:space="0" w:color="auto"/>
      </w:divBdr>
    </w:div>
    <w:div w:id="180318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manservices.gov.au/customer/themes/medicare-and-your-health"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our-work/better-access-initiativ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3155C-EE97-4436-8193-21C38454E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CC722F-F823-4200-85AE-8BA34302587E}">
  <ds:schemaRefs>
    <ds:schemaRef ds:uri="http://schemas.microsoft.com/sharepoint/v3/contenttype/forms"/>
  </ds:schemaRefs>
</ds:datastoreItem>
</file>

<file path=customXml/itemProps3.xml><?xml version="1.0" encoding="utf-8"?>
<ds:datastoreItem xmlns:ds="http://schemas.openxmlformats.org/officeDocument/2006/customXml" ds:itemID="{26458D0F-C9A8-4E14-A307-E56E32AE717E}">
  <ds:schemaRefs>
    <ds:schemaRef ds:uri="http://schemas.openxmlformats.org/officeDocument/2006/bibliography"/>
  </ds:schemaRefs>
</ds:datastoreItem>
</file>

<file path=customXml/itemProps4.xml><?xml version="1.0" encoding="utf-8"?>
<ds:datastoreItem xmlns:ds="http://schemas.openxmlformats.org/officeDocument/2006/customXml" ds:itemID="{24D8BCF6-F83A-46ED-B7BE-9D4FE7D7A3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526</Words>
  <Characters>2946</Characters>
  <Application>Microsoft Office Word</Application>
  <DocSecurity>0</DocSecurity>
  <Lines>58</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Access redesign from 1 November 2025 </dc:title>
  <dc:subject>Mental health and suicide prevention</dc:subject>
  <dc:creator>Australian Government Department of Health, Disability and Ageing</dc:creator>
  <cp:keywords>Mental health and suicide prevention; Better Access initiative</cp:keywords>
  <dc:description/>
  <cp:lastModifiedBy>HOOD, Jodi</cp:lastModifiedBy>
  <cp:revision>14</cp:revision>
  <cp:lastPrinted>2025-09-10T02:20:00Z</cp:lastPrinted>
  <dcterms:created xsi:type="dcterms:W3CDTF">2025-09-09T02:03:00Z</dcterms:created>
  <dcterms:modified xsi:type="dcterms:W3CDTF">2025-10-01T06:45:00Z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28d40e89,2e291a36,643866ef,3e30f7c9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47ad9a26,2568f90c,761934a4,1780f24c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2025-09-09T02:03:21Z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e0403638-3870-4d48-82bf-10cddc9c2747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