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1430" w14:textId="34E189E8" w:rsidR="00F8502E" w:rsidRPr="00CF6351" w:rsidRDefault="00F8502E" w:rsidP="00F51B9D">
      <w:pPr>
        <w:pStyle w:val="Title"/>
      </w:pPr>
      <w:r w:rsidRPr="00CF6351">
        <w:t>Fact sheet for patients</w:t>
      </w:r>
      <w:r w:rsidR="00432BE5" w:rsidRPr="00CF6351">
        <w:t>:</w:t>
      </w:r>
      <w:r w:rsidRPr="00CF6351">
        <w:t xml:space="preserve"> Better Access to Psychiatrists, </w:t>
      </w:r>
      <w:r w:rsidRPr="00F51B9D">
        <w:t>Psychologists</w:t>
      </w:r>
      <w:r w:rsidRPr="00CF6351">
        <w:t xml:space="preserve"> and General Practitioners through the MBS initiative</w:t>
      </w:r>
    </w:p>
    <w:p w14:paraId="1AC0C57E" w14:textId="77777777" w:rsidR="00F37A87" w:rsidRPr="00E40792" w:rsidRDefault="00F37A87" w:rsidP="00E40792">
      <w:pPr>
        <w:pStyle w:val="Title"/>
        <w:sectPr w:rsidR="00F37A87" w:rsidRPr="00E40792" w:rsidSect="00692998">
          <w:headerReference w:type="even" r:id="rId11"/>
          <w:headerReference w:type="default" r:id="rId12"/>
          <w:footerReference w:type="even" r:id="rId13"/>
          <w:footerReference w:type="default" r:id="rId14"/>
          <w:headerReference w:type="first" r:id="rId15"/>
          <w:footerReference w:type="first" r:id="rId16"/>
          <w:pgSz w:w="11906" w:h="16838"/>
          <w:pgMar w:top="0" w:right="1418" w:bottom="1418" w:left="1418" w:header="851" w:footer="709" w:gutter="0"/>
          <w:cols w:space="708"/>
          <w:titlePg/>
          <w:docGrid w:linePitch="360"/>
        </w:sectPr>
      </w:pPr>
    </w:p>
    <w:p w14:paraId="3880BF46" w14:textId="7B25FF12" w:rsidR="00F37A87" w:rsidRPr="00F51B9D" w:rsidRDefault="00F37A87" w:rsidP="00F51B9D">
      <w:pPr>
        <w:pStyle w:val="IntroPara"/>
      </w:pPr>
      <w:bookmarkStart w:id="0" w:name="_Hlk210225112"/>
      <w:r w:rsidRPr="00F51B9D">
        <w:t>The </w:t>
      </w:r>
      <w:r w:rsidRPr="00F51B9D">
        <w:rPr>
          <w:rStyle w:val="Emphasis"/>
        </w:rPr>
        <w:t>Better Access to Psychiatrists, Psychologists and General Practitioners through the Medicare Benefits Schedule</w:t>
      </w:r>
      <w:r w:rsidRPr="00F51B9D">
        <w:t xml:space="preserve"> (Better Access) initiative aims to improve outcomes for </w:t>
      </w:r>
      <w:r w:rsidR="002527F7" w:rsidRPr="00F51B9D">
        <w:t xml:space="preserve">patients </w:t>
      </w:r>
      <w:r w:rsidRPr="00F51B9D">
        <w:t>with a clinically diagnosed mental disorder through evidence</w:t>
      </w:r>
      <w:r w:rsidR="001B2555" w:rsidRPr="00F51B9D">
        <w:t>-</w:t>
      </w:r>
      <w:r w:rsidRPr="00F51B9D">
        <w:t>based treatment.</w:t>
      </w:r>
      <w:bookmarkEnd w:id="0"/>
    </w:p>
    <w:p w14:paraId="437B8A85" w14:textId="2427BB40" w:rsidR="0071489A" w:rsidRPr="00CF6351" w:rsidRDefault="00F8502E" w:rsidP="0071489A">
      <w:pPr>
        <w:pStyle w:val="Heading1"/>
      </w:pPr>
      <w:r w:rsidRPr="00CF6351">
        <w:t xml:space="preserve">What Medicare services can be provided under the </w:t>
      </w:r>
      <w:r w:rsidR="0071489A" w:rsidRPr="00CF6351">
        <w:t>Better Access initiative?</w:t>
      </w:r>
    </w:p>
    <w:p w14:paraId="28623C4D" w14:textId="77777777" w:rsidR="006F0E51" w:rsidRPr="00F51B9D" w:rsidRDefault="0071489A" w:rsidP="00F51B9D">
      <w:r w:rsidRPr="00F51B9D">
        <w:t xml:space="preserve">Medicare </w:t>
      </w:r>
      <w:r w:rsidR="00591D1F" w:rsidRPr="00F51B9D">
        <w:t>benefits</w:t>
      </w:r>
      <w:r w:rsidRPr="00F51B9D">
        <w:t xml:space="preserve"> are available</w:t>
      </w:r>
      <w:r w:rsidR="00F479EC" w:rsidRPr="00F51B9D">
        <w:t xml:space="preserve"> to patients </w:t>
      </w:r>
      <w:r w:rsidR="00486D7D" w:rsidRPr="00F51B9D">
        <w:t>for selected mental health treatment services provided by eligible general practitioners (GPs), eligible prescribed medical practitioners (PMPs)</w:t>
      </w:r>
      <w:r w:rsidR="003E4C81" w:rsidRPr="00F51B9D">
        <w:t xml:space="preserve">, psychologists (eligible clinical and eligible registered), </w:t>
      </w:r>
      <w:r w:rsidR="003714FA" w:rsidRPr="00F51B9D">
        <w:t xml:space="preserve">eligible social workers and eligible </w:t>
      </w:r>
      <w:r w:rsidR="00091BB2" w:rsidRPr="00F51B9D">
        <w:t>occupational therapists.</w:t>
      </w:r>
    </w:p>
    <w:p w14:paraId="757DE80E" w14:textId="4474959F" w:rsidR="0071489A" w:rsidRPr="00F51B9D" w:rsidRDefault="006F0E51" w:rsidP="00F51B9D">
      <w:r w:rsidRPr="00F51B9D">
        <w:t xml:space="preserve">Through Better Access, eligible patients </w:t>
      </w:r>
      <w:r w:rsidR="002F431E" w:rsidRPr="00F51B9D">
        <w:t>can claim a Medicare benefit</w:t>
      </w:r>
      <w:r w:rsidR="0071489A" w:rsidRPr="00F51B9D">
        <w:t xml:space="preserve"> for up to </w:t>
      </w:r>
      <w:r w:rsidR="001B2555" w:rsidRPr="00F51B9D">
        <w:t xml:space="preserve">10 </w:t>
      </w:r>
      <w:r w:rsidR="0071489A" w:rsidRPr="00F51B9D">
        <w:t xml:space="preserve">individual and </w:t>
      </w:r>
      <w:r w:rsidR="001B2555" w:rsidRPr="00F51B9D">
        <w:t xml:space="preserve">10 </w:t>
      </w:r>
      <w:r w:rsidR="0071489A" w:rsidRPr="00F51B9D">
        <w:t xml:space="preserve">group </w:t>
      </w:r>
      <w:r w:rsidR="002F431E" w:rsidRPr="00F51B9D">
        <w:t xml:space="preserve">therapy </w:t>
      </w:r>
      <w:r w:rsidR="0071489A" w:rsidRPr="00F51B9D">
        <w:t xml:space="preserve">mental health </w:t>
      </w:r>
      <w:r w:rsidR="002F431E" w:rsidRPr="00F51B9D">
        <w:t xml:space="preserve">treatment </w:t>
      </w:r>
      <w:r w:rsidR="0071489A" w:rsidRPr="00F51B9D">
        <w:t xml:space="preserve">services per calendar year </w:t>
      </w:r>
      <w:r w:rsidR="00C21C4E" w:rsidRPr="00F51B9D">
        <w:t>(1 January to 3</w:t>
      </w:r>
      <w:r w:rsidR="006353C3" w:rsidRPr="00F51B9D">
        <w:t>1</w:t>
      </w:r>
      <w:r w:rsidR="00C21C4E" w:rsidRPr="00F51B9D">
        <w:t xml:space="preserve"> December) </w:t>
      </w:r>
      <w:r w:rsidR="00C45EFB" w:rsidRPr="00F51B9D">
        <w:t xml:space="preserve">if they have been </w:t>
      </w:r>
      <w:r w:rsidR="0071489A" w:rsidRPr="00F51B9D">
        <w:t xml:space="preserve">assessed </w:t>
      </w:r>
      <w:r w:rsidR="004215B1" w:rsidRPr="00F51B9D">
        <w:t xml:space="preserve">with a clinically diagnosed </w:t>
      </w:r>
      <w:r w:rsidR="0071489A" w:rsidRPr="00F51B9D">
        <w:t xml:space="preserve">mental disorder </w:t>
      </w:r>
      <w:r w:rsidR="004215B1" w:rsidRPr="00F51B9D">
        <w:t xml:space="preserve">and </w:t>
      </w:r>
      <w:r w:rsidR="00A54256" w:rsidRPr="00F51B9D">
        <w:t>have</w:t>
      </w:r>
      <w:r w:rsidR="0071489A" w:rsidRPr="00F51B9D">
        <w:t>:</w:t>
      </w:r>
    </w:p>
    <w:p w14:paraId="7A3C55D2" w14:textId="2AA3827E" w:rsidR="0071489A" w:rsidRPr="00F51B9D" w:rsidRDefault="002E516D" w:rsidP="00F51B9D">
      <w:pPr>
        <w:pStyle w:val="ListBullet"/>
      </w:pPr>
      <w:r w:rsidRPr="00F51B9D">
        <w:t xml:space="preserve">a referral from a </w:t>
      </w:r>
      <w:r w:rsidR="0071489A" w:rsidRPr="00F51B9D">
        <w:t xml:space="preserve">GP </w:t>
      </w:r>
      <w:r w:rsidRPr="00F51B9D">
        <w:t xml:space="preserve">or PMP as part of a </w:t>
      </w:r>
      <w:r w:rsidR="0071489A" w:rsidRPr="00F51B9D">
        <w:t>Mental Health Treatment Plan</w:t>
      </w:r>
      <w:r w:rsidR="00811796" w:rsidRPr="00F51B9D">
        <w:t xml:space="preserve"> (MHTP)</w:t>
      </w:r>
      <w:r w:rsidR="0071489A" w:rsidRPr="00F51B9D">
        <w:t xml:space="preserve"> or</w:t>
      </w:r>
      <w:r w:rsidR="00891C1B" w:rsidRPr="00F51B9D">
        <w:t xml:space="preserve"> </w:t>
      </w:r>
      <w:r w:rsidR="001C7E70" w:rsidRPr="00F51B9D">
        <w:t>a psychiatrist assessment and management plan (PAMP) or</w:t>
      </w:r>
    </w:p>
    <w:p w14:paraId="4B181FDD" w14:textId="7D538B6C" w:rsidR="001C7E70" w:rsidRPr="00F51B9D" w:rsidRDefault="001C7E70" w:rsidP="00F51B9D">
      <w:pPr>
        <w:pStyle w:val="ListBullet"/>
      </w:pPr>
      <w:r w:rsidRPr="00F51B9D">
        <w:t xml:space="preserve">a direct referral from a </w:t>
      </w:r>
      <w:r w:rsidR="0071489A" w:rsidRPr="00F51B9D">
        <w:t>psychiatrist or</w:t>
      </w:r>
    </w:p>
    <w:p w14:paraId="03370886" w14:textId="4B60E979" w:rsidR="0071489A" w:rsidRPr="00F51B9D" w:rsidRDefault="001C7E70" w:rsidP="00F51B9D">
      <w:pPr>
        <w:pStyle w:val="ListBullet"/>
      </w:pPr>
      <w:r w:rsidRPr="00F51B9D">
        <w:t xml:space="preserve">a direct referral from a </w:t>
      </w:r>
      <w:r w:rsidR="0071489A" w:rsidRPr="00F51B9D">
        <w:t>paediatrician.</w:t>
      </w:r>
    </w:p>
    <w:p w14:paraId="32195FA3" w14:textId="27B4087D" w:rsidR="008D37BD" w:rsidRPr="00F51B9D" w:rsidRDefault="0071489A" w:rsidP="00F51B9D">
      <w:r w:rsidRPr="00F51B9D">
        <w:t>Mental health</w:t>
      </w:r>
      <w:r w:rsidR="00C21C4E" w:rsidRPr="00F51B9D">
        <w:t xml:space="preserve"> treatment</w:t>
      </w:r>
      <w:r w:rsidRPr="00F51B9D">
        <w:t xml:space="preserve"> services under this initiative include psychological therapy services</w:t>
      </w:r>
      <w:r w:rsidR="00ED2536" w:rsidRPr="00F51B9D">
        <w:t xml:space="preserve"> </w:t>
      </w:r>
      <w:r w:rsidRPr="00F51B9D">
        <w:t xml:space="preserve">provided by </w:t>
      </w:r>
      <w:r w:rsidR="00101644" w:rsidRPr="00F51B9D">
        <w:t xml:space="preserve">eligible </w:t>
      </w:r>
      <w:r w:rsidRPr="00F51B9D">
        <w:t xml:space="preserve">clinical psychologists and focussed psychological strategies provided by appropriately qualified GPs </w:t>
      </w:r>
      <w:r w:rsidR="00C21C4E" w:rsidRPr="00F51B9D">
        <w:t>and</w:t>
      </w:r>
      <w:r w:rsidR="004B2370" w:rsidRPr="00F51B9D">
        <w:t xml:space="preserve"> PMPs, </w:t>
      </w:r>
      <w:r w:rsidRPr="00F51B9D">
        <w:t>psychologists</w:t>
      </w:r>
      <w:r w:rsidR="00581643" w:rsidRPr="00F51B9D">
        <w:t xml:space="preserve"> (eligible registered)</w:t>
      </w:r>
      <w:r w:rsidRPr="00F51B9D">
        <w:t xml:space="preserve">, </w:t>
      </w:r>
      <w:r w:rsidR="00581643" w:rsidRPr="00F51B9D">
        <w:t xml:space="preserve">eligible </w:t>
      </w:r>
      <w:r w:rsidRPr="00F51B9D">
        <w:t xml:space="preserve">social workers and </w:t>
      </w:r>
      <w:r w:rsidR="00581643" w:rsidRPr="00F51B9D">
        <w:t xml:space="preserve">eligible </w:t>
      </w:r>
      <w:r w:rsidRPr="00F51B9D">
        <w:t>occupational therapists.</w:t>
      </w:r>
    </w:p>
    <w:p w14:paraId="714EB6BF" w14:textId="2F356151" w:rsidR="0071489A" w:rsidRPr="00F51B9D" w:rsidRDefault="0071489A" w:rsidP="00F51B9D">
      <w:r w:rsidRPr="00F51B9D">
        <w:t xml:space="preserve">Psychiatrists and paediatricians </w:t>
      </w:r>
      <w:r w:rsidR="009B240A" w:rsidRPr="00F51B9D">
        <w:t>can</w:t>
      </w:r>
      <w:r w:rsidRPr="00F51B9D">
        <w:t xml:space="preserve"> directly refer patients with </w:t>
      </w:r>
      <w:r w:rsidR="00581643" w:rsidRPr="00F51B9D">
        <w:t xml:space="preserve">a clinically diagnosed </w:t>
      </w:r>
      <w:r w:rsidRPr="00F51B9D">
        <w:t>mental disorder</w:t>
      </w:r>
      <w:r w:rsidR="009B240A" w:rsidRPr="00F51B9D">
        <w:t xml:space="preserve"> to Better Access</w:t>
      </w:r>
      <w:r w:rsidRPr="00F51B9D">
        <w:t xml:space="preserve"> for mental health </w:t>
      </w:r>
      <w:r w:rsidR="001E5490" w:rsidRPr="00F51B9D">
        <w:t xml:space="preserve">treatment </w:t>
      </w:r>
      <w:r w:rsidRPr="00F51B9D">
        <w:t>services</w:t>
      </w:r>
      <w:r w:rsidR="009B240A" w:rsidRPr="00F51B9D">
        <w:t xml:space="preserve"> without a MHTP or </w:t>
      </w:r>
      <w:r w:rsidR="001E5490" w:rsidRPr="00F51B9D">
        <w:t xml:space="preserve">a </w:t>
      </w:r>
      <w:r w:rsidR="009B240A" w:rsidRPr="00F51B9D">
        <w:t>PAMP.</w:t>
      </w:r>
      <w:r w:rsidR="00180DAF" w:rsidRPr="00F51B9D">
        <w:t xml:space="preserve"> </w:t>
      </w:r>
    </w:p>
    <w:p w14:paraId="78069934" w14:textId="77777777" w:rsidR="00CF6351" w:rsidRPr="00F51B9D" w:rsidRDefault="00CF6351" w:rsidP="00F51B9D">
      <w:r w:rsidRPr="00F51B9D">
        <w:br w:type="page"/>
      </w:r>
    </w:p>
    <w:p w14:paraId="73C5B4D2" w14:textId="4AC80F7A" w:rsidR="0071489A" w:rsidRPr="00CF6351" w:rsidRDefault="0071489A" w:rsidP="0071489A">
      <w:pPr>
        <w:pStyle w:val="Heading1"/>
      </w:pPr>
      <w:r w:rsidRPr="00CF6351">
        <w:lastRenderedPageBreak/>
        <w:t>What are the eligibility requirements?</w:t>
      </w:r>
    </w:p>
    <w:p w14:paraId="642AF4CE" w14:textId="7CC427F9" w:rsidR="00C21C4E" w:rsidRPr="00F51B9D" w:rsidRDefault="0071489A" w:rsidP="00F51B9D">
      <w:r w:rsidRPr="00F51B9D">
        <w:t>The Better Access initiative is available to</w:t>
      </w:r>
      <w:r w:rsidR="006116AB" w:rsidRPr="00F51B9D">
        <w:t xml:space="preserve"> </w:t>
      </w:r>
      <w:r w:rsidR="002527F7" w:rsidRPr="00F51B9D">
        <w:t>patients</w:t>
      </w:r>
      <w:r w:rsidRPr="00F51B9D">
        <w:t xml:space="preserve"> </w:t>
      </w:r>
      <w:r w:rsidR="00C3656B" w:rsidRPr="00F51B9D">
        <w:t xml:space="preserve">who have been </w:t>
      </w:r>
      <w:r w:rsidRPr="00F51B9D">
        <w:t xml:space="preserve">assessed </w:t>
      </w:r>
      <w:r w:rsidR="00BC770D" w:rsidRPr="00F51B9D">
        <w:t xml:space="preserve">by </w:t>
      </w:r>
      <w:r w:rsidR="0033467E" w:rsidRPr="00F51B9D">
        <w:t xml:space="preserve">a GP, psychiatrist or paediatrician as having a </w:t>
      </w:r>
      <w:r w:rsidRPr="00F51B9D">
        <w:t xml:space="preserve">mental disorder </w:t>
      </w:r>
      <w:r w:rsidR="009E6F08" w:rsidRPr="00F51B9D">
        <w:t xml:space="preserve">requiring at least moderate care needs, </w:t>
      </w:r>
      <w:r w:rsidRPr="00F51B9D">
        <w:t>who would benefit from a structured approach to the management of their treatment needs.</w:t>
      </w:r>
    </w:p>
    <w:p w14:paraId="65DC8BA9" w14:textId="3240AA27" w:rsidR="00024F03" w:rsidRPr="00F51B9D" w:rsidRDefault="00745253" w:rsidP="00F51B9D">
      <w:r w:rsidRPr="00F51B9D">
        <w:t>A m</w:t>
      </w:r>
      <w:r w:rsidR="0071489A" w:rsidRPr="00F51B9D">
        <w:t>ental disorder</w:t>
      </w:r>
      <w:r w:rsidR="00024F03" w:rsidRPr="00F51B9D">
        <w:rPr>
          <w:vertAlign w:val="superscript"/>
        </w:rPr>
        <w:footnoteReference w:id="2"/>
      </w:r>
      <w:r w:rsidR="0071489A" w:rsidRPr="00F51B9D">
        <w:t xml:space="preserve"> </w:t>
      </w:r>
      <w:r w:rsidR="00024F03" w:rsidRPr="00F51B9D">
        <w:t>means a significant impairment of any or all of an individual’s cognitive, affective and relational abilities that:</w:t>
      </w:r>
    </w:p>
    <w:p w14:paraId="26477601" w14:textId="63961A36" w:rsidR="00024F03" w:rsidRPr="00F51B9D" w:rsidRDefault="00024F03" w:rsidP="00F51B9D">
      <w:pPr>
        <w:pStyle w:val="ListContinue"/>
      </w:pPr>
      <w:r w:rsidRPr="00F51B9D">
        <w:t xml:space="preserve">may require medical intervention; and </w:t>
      </w:r>
    </w:p>
    <w:p w14:paraId="322D7A6F" w14:textId="4A98D687" w:rsidR="00024F03" w:rsidRPr="00F51B9D" w:rsidRDefault="00024F03" w:rsidP="00F51B9D">
      <w:pPr>
        <w:pStyle w:val="ListContinue"/>
      </w:pPr>
      <w:r w:rsidRPr="00F51B9D">
        <w:t xml:space="preserve">may be a recognised, medically diagnosable illness or disorder; and </w:t>
      </w:r>
    </w:p>
    <w:p w14:paraId="30BD64EB" w14:textId="54553550" w:rsidR="00024F03" w:rsidRPr="00F51B9D" w:rsidRDefault="00024F03" w:rsidP="00F51B9D">
      <w:pPr>
        <w:pStyle w:val="ListContinue"/>
      </w:pPr>
      <w:r w:rsidRPr="00F51B9D">
        <w:t>is not dementia, delirium, tobacco use disorder or mental retardation.</w:t>
      </w:r>
    </w:p>
    <w:p w14:paraId="3349B9D5" w14:textId="37F1B2C1" w:rsidR="00BF58BA" w:rsidRPr="00F51B9D" w:rsidRDefault="008A1686" w:rsidP="00F51B9D">
      <w:r w:rsidRPr="00F51B9D">
        <w:t>To be eligible for a Medicare benefit under Better Access, a patient must have either a MHTP or a PAMP in place which identif</w:t>
      </w:r>
      <w:r w:rsidR="009A3579" w:rsidRPr="00F51B9D">
        <w:t>ies</w:t>
      </w:r>
      <w:r w:rsidRPr="00F51B9D">
        <w:t xml:space="preserve"> and document</w:t>
      </w:r>
      <w:r w:rsidR="009A3579" w:rsidRPr="00F51B9D">
        <w:t>s</w:t>
      </w:r>
      <w:r w:rsidRPr="00F51B9D">
        <w:t xml:space="preserve"> the care the patient care needs, supporting a structured approach to treatment. </w:t>
      </w:r>
    </w:p>
    <w:p w14:paraId="5A2B1FD0" w14:textId="7B5139F9" w:rsidR="009E6F08" w:rsidRPr="00F51B9D" w:rsidRDefault="009A3579" w:rsidP="00F51B9D">
      <w:r w:rsidRPr="00F51B9D">
        <w:t>In addition</w:t>
      </w:r>
      <w:r w:rsidR="009E6F08" w:rsidRPr="00F51B9D">
        <w:t xml:space="preserve">, </w:t>
      </w:r>
      <w:r w:rsidRPr="00F51B9D">
        <w:t xml:space="preserve">a Medicare benefit will only be paid if </w:t>
      </w:r>
      <w:r w:rsidR="008A1686" w:rsidRPr="00F51B9D">
        <w:t xml:space="preserve">the patient </w:t>
      </w:r>
      <w:r w:rsidRPr="00F51B9D">
        <w:t>has</w:t>
      </w:r>
      <w:r w:rsidR="008A1686" w:rsidRPr="00F51B9D">
        <w:t xml:space="preserve"> a valid referral for mental health treatment services</w:t>
      </w:r>
      <w:r w:rsidRPr="00F51B9D">
        <w:t xml:space="preserve">. The referral </w:t>
      </w:r>
      <w:r w:rsidR="009E6F08" w:rsidRPr="00F51B9D">
        <w:t>must have been undertaken by either a GP or PMP at the general practice they are enrolled in for MyMedicare, or their usual medical practitioner. This includes</w:t>
      </w:r>
      <w:r w:rsidR="00363FD9" w:rsidRPr="00F51B9D">
        <w:t xml:space="preserve"> a GP or PMP who is located at the medical practice that has provided the majority of a patient’s care over the previous 12 months or will be providing the majority of your care over the next 12 months. This restriction does not apply if a patient has received a direct referral from a psychiatrist or a paediatrician.</w:t>
      </w:r>
    </w:p>
    <w:p w14:paraId="69E70E72" w14:textId="6485CB07" w:rsidR="00996C7B" w:rsidRPr="00F51B9D" w:rsidRDefault="00664898" w:rsidP="00F51B9D">
      <w:r w:rsidRPr="00F51B9D">
        <w:t xml:space="preserve">Further information on MyMedicare, including eligibility requirements, how to register, and exemptions to eligibility requirements is available in </w:t>
      </w:r>
      <w:hyperlink r:id="rId17" w:history="1">
        <w:r w:rsidRPr="00F51B9D">
          <w:rPr>
            <w:rStyle w:val="Hyperlink"/>
          </w:rPr>
          <w:t>Information for MyMedicare patients</w:t>
        </w:r>
      </w:hyperlink>
      <w:r w:rsidRPr="00F51B9D">
        <w:t xml:space="preserve"> in the MyMedicare section of the </w:t>
      </w:r>
      <w:hyperlink r:id="rId18" w:history="1">
        <w:r w:rsidRPr="00F51B9D">
          <w:rPr>
            <w:rStyle w:val="Hyperlink"/>
          </w:rPr>
          <w:t>Australian Government Department of Health, Disability and Ageing</w:t>
        </w:r>
      </w:hyperlink>
      <w:r w:rsidRPr="00F51B9D">
        <w:t xml:space="preserve"> website.</w:t>
      </w:r>
    </w:p>
    <w:p w14:paraId="101749F7" w14:textId="058B5946" w:rsidR="00177E32" w:rsidRPr="00CF6351" w:rsidRDefault="00363FD9" w:rsidP="0071489A">
      <w:pPr>
        <w:pStyle w:val="Heading1"/>
      </w:pPr>
      <w:r w:rsidRPr="00CF6351">
        <w:t>What fees are associated with Better Access services?</w:t>
      </w:r>
    </w:p>
    <w:p w14:paraId="4F2F564E" w14:textId="2C5B4396" w:rsidR="00363FD9" w:rsidRPr="00F51B9D" w:rsidRDefault="00AD0247" w:rsidP="00F51B9D">
      <w:r w:rsidRPr="00F51B9D">
        <w:t xml:space="preserve">Under Medicare, </w:t>
      </w:r>
      <w:r w:rsidR="00C21C4E" w:rsidRPr="00F51B9D">
        <w:t>GPs and PMPs, including allied health professionals,</w:t>
      </w:r>
      <w:r w:rsidRPr="00F51B9D">
        <w:t xml:space="preserve"> are free to decide how they set their own fees and bulk billing arrangements</w:t>
      </w:r>
      <w:r w:rsidR="00C21C4E" w:rsidRPr="00F51B9D">
        <w:t>,</w:t>
      </w:r>
      <w:r w:rsidRPr="00F51B9D">
        <w:t xml:space="preserve"> and are under no obligation to charge the Medicare Benefits Schedule fee set by Government or to bulk bill. Charges in excess of the Medicare benefit for Better Access </w:t>
      </w:r>
      <w:r w:rsidR="00C21C4E" w:rsidRPr="00F51B9D">
        <w:t>services</w:t>
      </w:r>
      <w:r w:rsidRPr="00F51B9D">
        <w:t xml:space="preserve"> are the responsibility of the patient.</w:t>
      </w:r>
    </w:p>
    <w:p w14:paraId="273F15C2" w14:textId="42800606" w:rsidR="0046567F" w:rsidRPr="00F51B9D" w:rsidRDefault="0046567F" w:rsidP="00F51B9D">
      <w:r w:rsidRPr="00F51B9D">
        <w:t>Patients need to decide if they will use Medicare or their private health insurance ancillary cover to pay for these services. Patients cannot use their private health insurance ancillary cover to ‘top up’ the Medicare benefit paid for the services. If a patient has exhausted their Better Access mental health treat</w:t>
      </w:r>
      <w:r w:rsidR="00C21C4E" w:rsidRPr="00F51B9D">
        <w:t>ment</w:t>
      </w:r>
      <w:r w:rsidRPr="00F51B9D">
        <w:t xml:space="preserve"> services, and if they have appropriate private health insurance which covers psychological services, they may claim from their private health fund. The benefit payable to members of private health</w:t>
      </w:r>
      <w:r w:rsidR="00C21C4E" w:rsidRPr="00F51B9D">
        <w:t xml:space="preserve"> insurance</w:t>
      </w:r>
      <w:r w:rsidRPr="00F51B9D">
        <w:t xml:space="preserve"> funds will vary based on the level of their ancillary cover.</w:t>
      </w:r>
    </w:p>
    <w:p w14:paraId="3CFED678" w14:textId="183DA608" w:rsidR="0071489A" w:rsidRPr="00E40792" w:rsidRDefault="0071489A" w:rsidP="00E40792">
      <w:pPr>
        <w:pStyle w:val="Heading1"/>
      </w:pPr>
      <w:r w:rsidRPr="00E40792">
        <w:lastRenderedPageBreak/>
        <w:t>How can I access these services under Medicare?</w:t>
      </w:r>
    </w:p>
    <w:p w14:paraId="17768607" w14:textId="77777777" w:rsidR="0071489A" w:rsidRPr="00E40792" w:rsidRDefault="0071489A" w:rsidP="00E40792">
      <w:pPr>
        <w:pStyle w:val="Heading2"/>
      </w:pPr>
      <w:r w:rsidRPr="00E40792">
        <w:t>Step 1:</w:t>
      </w:r>
    </w:p>
    <w:p w14:paraId="141CBADE" w14:textId="3AB6CA3B" w:rsidR="002D2EB5" w:rsidRPr="00F51B9D" w:rsidRDefault="0071489A" w:rsidP="00F51B9D">
      <w:r w:rsidRPr="00F51B9D">
        <w:t>Visit your GP</w:t>
      </w:r>
      <w:r w:rsidR="0052224C" w:rsidRPr="00F51B9D">
        <w:t xml:space="preserve"> </w:t>
      </w:r>
      <w:r w:rsidR="00C21C4E" w:rsidRPr="00F51B9D">
        <w:t xml:space="preserve">or </w:t>
      </w:r>
      <w:r w:rsidR="0052224C" w:rsidRPr="00F51B9D">
        <w:t>PMP</w:t>
      </w:r>
      <w:r w:rsidR="002D2EB5" w:rsidRPr="00F51B9D">
        <w:t>, psychiatrist or paediatrician</w:t>
      </w:r>
      <w:r w:rsidRPr="00F51B9D">
        <w:t xml:space="preserve"> </w:t>
      </w:r>
      <w:r w:rsidR="002D2EB5" w:rsidRPr="00F51B9D">
        <w:t xml:space="preserve">who </w:t>
      </w:r>
      <w:r w:rsidRPr="00F51B9D">
        <w:t>will assess whether you have a mental disorder</w:t>
      </w:r>
      <w:r w:rsidR="00684062" w:rsidRPr="00F51B9D">
        <w:t xml:space="preserve"> </w:t>
      </w:r>
      <w:r w:rsidR="00C460AC" w:rsidRPr="00F51B9D">
        <w:t>requiring at least a moderate level of support</w:t>
      </w:r>
      <w:r w:rsidR="00C21C4E" w:rsidRPr="00F51B9D">
        <w:t>,</w:t>
      </w:r>
      <w:r w:rsidR="00C460AC" w:rsidRPr="00F51B9D">
        <w:t xml:space="preserve"> </w:t>
      </w:r>
      <w:r w:rsidR="00684062" w:rsidRPr="00F51B9D">
        <w:t xml:space="preserve">and </w:t>
      </w:r>
      <w:r w:rsidR="00C460AC" w:rsidRPr="00F51B9D">
        <w:t xml:space="preserve">your </w:t>
      </w:r>
      <w:r w:rsidR="00684062" w:rsidRPr="00F51B9D">
        <w:t>eligib</w:t>
      </w:r>
      <w:r w:rsidR="00C460AC" w:rsidRPr="00F51B9D">
        <w:t>ility</w:t>
      </w:r>
      <w:r w:rsidR="00684062" w:rsidRPr="00F51B9D">
        <w:t xml:space="preserve"> to receive Better Access services.</w:t>
      </w:r>
    </w:p>
    <w:p w14:paraId="308A5CA5" w14:textId="73801614" w:rsidR="00C460AC" w:rsidRPr="00F51B9D" w:rsidRDefault="00C460AC" w:rsidP="00F51B9D">
      <w:r w:rsidRPr="00F51B9D">
        <w:t>Consideration will also be given to other treatment interventions and pathways (e</w:t>
      </w:r>
      <w:r w:rsidR="00B60FB0" w:rsidRPr="00F51B9D">
        <w:t>.</w:t>
      </w:r>
      <w:r w:rsidRPr="00F51B9D">
        <w:t>g. digital mental health services, Medicare Mental Health Centres, etc) should your level of support not require psychological intervention under the Better Access initiative.</w:t>
      </w:r>
    </w:p>
    <w:p w14:paraId="5FCEAFE5" w14:textId="7080D0E8" w:rsidR="0071489A" w:rsidRPr="00E40792" w:rsidRDefault="0071489A" w:rsidP="00E40792">
      <w:pPr>
        <w:pStyle w:val="Heading2"/>
      </w:pPr>
      <w:r w:rsidRPr="00E40792">
        <w:t>Step 2:</w:t>
      </w:r>
    </w:p>
    <w:p w14:paraId="6477F6F4" w14:textId="1ED9A949" w:rsidR="001E2788" w:rsidRPr="00F51B9D" w:rsidRDefault="009A3579" w:rsidP="00F51B9D">
      <w:r w:rsidRPr="00F51B9D">
        <w:t>If you are visiting your GP or PMP to claim a Medicare benefit under the Better Access initiative, you must see a GP or PMP at your nominated MyMedicare registered practice or your usual medical practitioner.</w:t>
      </w:r>
      <w:r w:rsidR="001E2788" w:rsidRPr="00F51B9D">
        <w:t xml:space="preserve"> Your usual medical practitioner is someone who has provided the majority of services to you in the past 12 months or who is likely to provide the majority of services to you in the following 12 months. This includes other GPs and PMPs who are employed at your usual medical practice.</w:t>
      </w:r>
    </w:p>
    <w:p w14:paraId="2F68CBBA" w14:textId="7B26319B" w:rsidR="00C460AC" w:rsidRPr="00F51B9D" w:rsidRDefault="00C460AC" w:rsidP="00F51B9D">
      <w:r w:rsidRPr="00F51B9D">
        <w:t>If you are eligible to receive Better Access mental health treatment services, a MHTP or PAMP will be prepared</w:t>
      </w:r>
      <w:r w:rsidR="00816165" w:rsidRPr="00F51B9D">
        <w:t xml:space="preserve"> where </w:t>
      </w:r>
      <w:r w:rsidR="005927D7" w:rsidRPr="00F51B9D">
        <w:t xml:space="preserve">you </w:t>
      </w:r>
      <w:r w:rsidR="00816165" w:rsidRPr="00F51B9D">
        <w:t xml:space="preserve">will be asked a series of questions </w:t>
      </w:r>
      <w:r w:rsidR="005927D7" w:rsidRPr="00F51B9D">
        <w:t>including identifying and discussing referral options</w:t>
      </w:r>
      <w:r w:rsidR="007F284E" w:rsidRPr="00F51B9D">
        <w:t xml:space="preserve"> with you</w:t>
      </w:r>
      <w:r w:rsidR="005927D7" w:rsidRPr="00F51B9D">
        <w:t>.</w:t>
      </w:r>
      <w:r w:rsidR="00CB076D" w:rsidRPr="00F51B9D">
        <w:t xml:space="preserve"> </w:t>
      </w:r>
    </w:p>
    <w:p w14:paraId="125BBAC2" w14:textId="52E6D934" w:rsidR="00452BC2" w:rsidRPr="00F51B9D" w:rsidRDefault="00F61B4A" w:rsidP="00F51B9D">
      <w:r w:rsidRPr="00F51B9D">
        <w:t xml:space="preserve">In addition to the </w:t>
      </w:r>
      <w:r w:rsidR="007F284E" w:rsidRPr="00F51B9D">
        <w:t>MHTP or PAMP</w:t>
      </w:r>
      <w:r w:rsidRPr="00F51B9D">
        <w:t xml:space="preserve">, you will be provided </w:t>
      </w:r>
      <w:r w:rsidR="007F284E" w:rsidRPr="00F51B9D">
        <w:t>a referral.</w:t>
      </w:r>
      <w:r w:rsidR="00B6102D" w:rsidRPr="00F51B9D">
        <w:t xml:space="preserve"> </w:t>
      </w:r>
      <w:r w:rsidR="007F284E" w:rsidRPr="00F51B9D">
        <w:t xml:space="preserve">Your referral </w:t>
      </w:r>
      <w:r w:rsidR="00C21C4E" w:rsidRPr="00F51B9D">
        <w:t>will advise</w:t>
      </w:r>
      <w:r w:rsidR="00B2555F" w:rsidRPr="00F51B9D">
        <w:t xml:space="preserve"> how many mental health treatment services you are entitled to</w:t>
      </w:r>
      <w:r w:rsidR="00452BC2" w:rsidRPr="00F51B9D">
        <w:t xml:space="preserve"> (up to 6 services in your initial course of treatment). </w:t>
      </w:r>
    </w:p>
    <w:p w14:paraId="1DB3714D" w14:textId="13B4608C" w:rsidR="007F284E" w:rsidRPr="00F51B9D" w:rsidRDefault="00452BC2" w:rsidP="00F51B9D">
      <w:r w:rsidRPr="00F51B9D">
        <w:t xml:space="preserve">Your referral </w:t>
      </w:r>
      <w:r w:rsidR="007F284E" w:rsidRPr="00F51B9D">
        <w:t>must be provided to the allied health professional to receive mental health treatment services</w:t>
      </w:r>
      <w:r w:rsidR="00C21C4E" w:rsidRPr="00F51B9D">
        <w:t xml:space="preserve"> under Better Access</w:t>
      </w:r>
      <w:r w:rsidR="007F284E" w:rsidRPr="00F51B9D">
        <w:t>. You may wish to provide your MHTP or PAMP to the allied health professional</w:t>
      </w:r>
      <w:r w:rsidR="005513CB" w:rsidRPr="00F51B9D">
        <w:t xml:space="preserve"> – this is up to you</w:t>
      </w:r>
      <w:r w:rsidR="007F284E" w:rsidRPr="00F51B9D">
        <w:t xml:space="preserve">. </w:t>
      </w:r>
    </w:p>
    <w:p w14:paraId="009D2BB6" w14:textId="28324D2A" w:rsidR="00BC6D59" w:rsidRPr="00F51B9D" w:rsidRDefault="00BC6D59" w:rsidP="00F51B9D">
      <w:r w:rsidRPr="00F51B9D">
        <w:t>If you see a psychiatrist or paediatrician, they will prepare a direct referral instead</w:t>
      </w:r>
      <w:r w:rsidR="00C21C4E" w:rsidRPr="00F51B9D">
        <w:t xml:space="preserve">, but this referral must still be provided </w:t>
      </w:r>
      <w:r w:rsidR="00CF6351" w:rsidRPr="00F51B9D">
        <w:t xml:space="preserve">to </w:t>
      </w:r>
      <w:r w:rsidR="00C21C4E" w:rsidRPr="00F51B9D">
        <w:t>the allied health professional to receive a mental health treatment service</w:t>
      </w:r>
      <w:r w:rsidRPr="00F51B9D">
        <w:t>.</w:t>
      </w:r>
    </w:p>
    <w:p w14:paraId="4F4AD4C9" w14:textId="77777777" w:rsidR="0071489A" w:rsidRPr="00E40792" w:rsidRDefault="0071489A" w:rsidP="00E40792">
      <w:pPr>
        <w:pStyle w:val="Heading2"/>
      </w:pPr>
      <w:r w:rsidRPr="00E40792">
        <w:t>Step 3:</w:t>
      </w:r>
    </w:p>
    <w:p w14:paraId="4C6DA723" w14:textId="18319AD5" w:rsidR="00287E4F" w:rsidRPr="00F51B9D" w:rsidRDefault="0055183B" w:rsidP="00F51B9D">
      <w:r w:rsidRPr="00F51B9D">
        <w:t xml:space="preserve">Patients referred to Better Access </w:t>
      </w:r>
      <w:r w:rsidR="001903E0" w:rsidRPr="00F51B9D">
        <w:t xml:space="preserve">mental health treatment services </w:t>
      </w:r>
      <w:r w:rsidRPr="00F51B9D">
        <w:t xml:space="preserve">are eligible for Medicare </w:t>
      </w:r>
      <w:r w:rsidR="000A6945" w:rsidRPr="00F51B9D">
        <w:t xml:space="preserve">benefits </w:t>
      </w:r>
      <w:r w:rsidRPr="00F51B9D">
        <w:t xml:space="preserve">for a maximum of 10 individual and 10 group </w:t>
      </w:r>
      <w:r w:rsidR="000B0A8B" w:rsidRPr="00F51B9D">
        <w:t>therapy mental</w:t>
      </w:r>
      <w:r w:rsidRPr="00F51B9D">
        <w:t xml:space="preserve"> health </w:t>
      </w:r>
      <w:r w:rsidR="000B0A8B" w:rsidRPr="00F51B9D">
        <w:t xml:space="preserve">treatment </w:t>
      </w:r>
      <w:r w:rsidRPr="00F51B9D">
        <w:t xml:space="preserve">services each calendar year. </w:t>
      </w:r>
    </w:p>
    <w:p w14:paraId="72038EDF" w14:textId="155BE486" w:rsidR="0055183B" w:rsidRPr="00F51B9D" w:rsidRDefault="00287E4F" w:rsidP="00F51B9D">
      <w:r w:rsidRPr="00F51B9D">
        <w:t xml:space="preserve">Your GP </w:t>
      </w:r>
      <w:r w:rsidR="00C21C4E" w:rsidRPr="00F51B9D">
        <w:t>or</w:t>
      </w:r>
      <w:r w:rsidRPr="00F51B9D">
        <w:t xml:space="preserve"> PMP, psychiatri</w:t>
      </w:r>
      <w:r w:rsidR="000374EE" w:rsidRPr="00F51B9D">
        <w:t xml:space="preserve">st or paediatrician will decide how many mental health treatment services you will receive in a course of treatment. </w:t>
      </w:r>
      <w:r w:rsidR="000A7716" w:rsidRPr="00F51B9D">
        <w:t xml:space="preserve">The maximum </w:t>
      </w:r>
      <w:r w:rsidR="0048005C" w:rsidRPr="00F51B9D">
        <w:t>limit for each course of treatment is:</w:t>
      </w:r>
    </w:p>
    <w:p w14:paraId="1EF261E1" w14:textId="5D6510FA" w:rsidR="0048005C" w:rsidRPr="00F51B9D" w:rsidRDefault="0048005C" w:rsidP="00F51B9D">
      <w:pPr>
        <w:pStyle w:val="ListBullet"/>
      </w:pPr>
      <w:r w:rsidRPr="00F51B9D">
        <w:t>Initial course of treatment under Better Access – a maximum of 6 services, and</w:t>
      </w:r>
    </w:p>
    <w:p w14:paraId="348EB455" w14:textId="40A4EE25" w:rsidR="0048005C" w:rsidRPr="00F51B9D" w:rsidRDefault="00CA2C6A" w:rsidP="00F51B9D">
      <w:pPr>
        <w:pStyle w:val="ListBullet"/>
      </w:pPr>
      <w:r w:rsidRPr="00F51B9D">
        <w:t>Subsequent course of treatment under Better Access – the remaining services up to a cap of 10 services per calendar year.</w:t>
      </w:r>
    </w:p>
    <w:p w14:paraId="1657D228" w14:textId="246F34BD" w:rsidR="005A0F0F" w:rsidRPr="00E40792" w:rsidRDefault="005A0F0F" w:rsidP="00E40792">
      <w:pPr>
        <w:pStyle w:val="Heading2"/>
      </w:pPr>
      <w:r w:rsidRPr="00E40792">
        <w:t>Step 4:</w:t>
      </w:r>
    </w:p>
    <w:p w14:paraId="49F1DF0E" w14:textId="6EC176ED" w:rsidR="00CE769A" w:rsidRPr="00F51B9D" w:rsidRDefault="0071489A" w:rsidP="00F51B9D">
      <w:r w:rsidRPr="00F51B9D">
        <w:t xml:space="preserve">Depending on your </w:t>
      </w:r>
      <w:r w:rsidR="00287E4F" w:rsidRPr="00F51B9D">
        <w:t xml:space="preserve">mental </w:t>
      </w:r>
      <w:r w:rsidRPr="00F51B9D">
        <w:t xml:space="preserve">health care needs </w:t>
      </w:r>
      <w:r w:rsidR="00DC68EA" w:rsidRPr="00F51B9D">
        <w:t xml:space="preserve">and </w:t>
      </w:r>
      <w:r w:rsidRPr="00F51B9D">
        <w:t xml:space="preserve">following the initial course of treatment (a maximum of </w:t>
      </w:r>
      <w:r w:rsidR="004F4F2F" w:rsidRPr="00F51B9D">
        <w:t xml:space="preserve">6 </w:t>
      </w:r>
      <w:r w:rsidR="004F7651" w:rsidRPr="00F51B9D">
        <w:t xml:space="preserve">services </w:t>
      </w:r>
      <w:r w:rsidR="0055183B" w:rsidRPr="00F51B9D">
        <w:t>on your initial referral</w:t>
      </w:r>
      <w:r w:rsidRPr="00F51B9D">
        <w:t xml:space="preserve">), you can return to your </w:t>
      </w:r>
      <w:r w:rsidR="00B463B6" w:rsidRPr="00F51B9D">
        <w:t>referring practitioner (</w:t>
      </w:r>
      <w:r w:rsidRPr="00F51B9D">
        <w:t>GP</w:t>
      </w:r>
      <w:r w:rsidR="004F4F2F" w:rsidRPr="00F51B9D">
        <w:t xml:space="preserve"> </w:t>
      </w:r>
      <w:r w:rsidR="00C21C4E" w:rsidRPr="00F51B9D">
        <w:t>or</w:t>
      </w:r>
      <w:r w:rsidR="004F4F2F" w:rsidRPr="00F51B9D">
        <w:t xml:space="preserve"> PMP</w:t>
      </w:r>
      <w:r w:rsidRPr="00F51B9D">
        <w:t>, psychiatrist or paediatrician</w:t>
      </w:r>
      <w:r w:rsidR="00B463B6" w:rsidRPr="00F51B9D">
        <w:t>)</w:t>
      </w:r>
      <w:r w:rsidRPr="00F51B9D">
        <w:t xml:space="preserve"> </w:t>
      </w:r>
      <w:r w:rsidR="00ED3D6B" w:rsidRPr="00F51B9D">
        <w:t xml:space="preserve">who will assess if you </w:t>
      </w:r>
      <w:r w:rsidR="00C21C4E" w:rsidRPr="00F51B9D">
        <w:t>require</w:t>
      </w:r>
      <w:r w:rsidR="00ED3D6B" w:rsidRPr="00F51B9D">
        <w:t xml:space="preserve"> </w:t>
      </w:r>
      <w:r w:rsidR="00585620" w:rsidRPr="00F51B9D">
        <w:t xml:space="preserve">further treatment. </w:t>
      </w:r>
      <w:r w:rsidR="007B6E3E" w:rsidRPr="00F51B9D">
        <w:t xml:space="preserve">When </w:t>
      </w:r>
      <w:r w:rsidR="007B6E3E" w:rsidRPr="00F51B9D">
        <w:lastRenderedPageBreak/>
        <w:t xml:space="preserve">considering you for further treatment, your referring </w:t>
      </w:r>
      <w:r w:rsidR="001D4196" w:rsidRPr="00F51B9D">
        <w:t xml:space="preserve">practitioner will consider the </w:t>
      </w:r>
      <w:r w:rsidR="007B6E3E" w:rsidRPr="00F51B9D">
        <w:t xml:space="preserve">written report received from the allied </w:t>
      </w:r>
      <w:r w:rsidR="001D4196" w:rsidRPr="00F51B9D">
        <w:t xml:space="preserve">health </w:t>
      </w:r>
      <w:r w:rsidR="007B6E3E" w:rsidRPr="00F51B9D">
        <w:t xml:space="preserve">professional at the completion of your initial course of treatment. </w:t>
      </w:r>
      <w:r w:rsidR="001341B9" w:rsidRPr="00F51B9D">
        <w:t>A</w:t>
      </w:r>
      <w:r w:rsidR="007B6E3E" w:rsidRPr="00F51B9D">
        <w:t xml:space="preserve"> review of your MHTP or PAMP</w:t>
      </w:r>
      <w:r w:rsidR="00452BC2" w:rsidRPr="00F51B9D">
        <w:t xml:space="preserve"> will </w:t>
      </w:r>
      <w:r w:rsidR="007B6E3E" w:rsidRPr="00F51B9D">
        <w:t>also be undertaken to ascertain whether your clinical needs have changed.</w:t>
      </w:r>
    </w:p>
    <w:p w14:paraId="1A523CCC" w14:textId="0EFC4FDF" w:rsidR="007B6E3E" w:rsidRPr="00F51B9D" w:rsidRDefault="00CE769A" w:rsidP="00F51B9D">
      <w:r w:rsidRPr="00F51B9D">
        <w:t xml:space="preserve">A review of your MHTP or PAMP is important as it ensures your treatment is effective. Your GP or PMP may adjust your plan to improve your outcomes. A review of your plan should not occur more than once every 3 months, or within 4 weeks of your MHTP or PAMP </w:t>
      </w:r>
      <w:r w:rsidR="00B4540A" w:rsidRPr="00F51B9D">
        <w:t>being prepared unless there are exceptional circumstances. An exceptional circumstance is when you have had a significant change in your mental health condition. To support your care, your MHTP or PAMP should be reviewed at least once per treatment course. Typically</w:t>
      </w:r>
      <w:r w:rsidR="00B60FB0" w:rsidRPr="00F51B9D">
        <w:t>,</w:t>
      </w:r>
      <w:r w:rsidR="00B4540A" w:rsidRPr="00F51B9D">
        <w:t xml:space="preserve"> you will not need more than 2 reviews each calendar year. </w:t>
      </w:r>
    </w:p>
    <w:p w14:paraId="55AABC1A" w14:textId="0090D58A" w:rsidR="00B463B6" w:rsidRPr="00F51B9D" w:rsidRDefault="00417239" w:rsidP="00F51B9D">
      <w:r w:rsidRPr="00F51B9D">
        <w:t xml:space="preserve">If you do require further treatment, a new referral will be prepared for you to obtain the remaining services (up to a total of 10 individual treatment services) per calendar year. </w:t>
      </w:r>
      <w:bookmarkStart w:id="1" w:name="_Hlk210225217"/>
      <w:r w:rsidR="00B463B6" w:rsidRPr="00F51B9D">
        <w:t xml:space="preserve">Your referring practitioner may </w:t>
      </w:r>
      <w:r w:rsidR="00462877" w:rsidRPr="00F51B9D">
        <w:t xml:space="preserve">also advise </w:t>
      </w:r>
      <w:r w:rsidR="00AB5BBF" w:rsidRPr="00F51B9D">
        <w:t xml:space="preserve">that in addition to individual services, </w:t>
      </w:r>
      <w:r w:rsidR="00471B8A" w:rsidRPr="00F51B9D">
        <w:t xml:space="preserve">you may like to </w:t>
      </w:r>
      <w:r w:rsidR="004A0746" w:rsidRPr="00F51B9D">
        <w:t>attend</w:t>
      </w:r>
      <w:r w:rsidR="00471B8A" w:rsidRPr="00F51B9D">
        <w:t xml:space="preserve"> group therapy mental health treatment services</w:t>
      </w:r>
      <w:r w:rsidR="004A0746" w:rsidRPr="00F51B9D">
        <w:t>, if appropriate</w:t>
      </w:r>
      <w:r w:rsidR="00471B8A" w:rsidRPr="00F51B9D">
        <w:t xml:space="preserve">, where up to 10 </w:t>
      </w:r>
      <w:r w:rsidR="002527F7" w:rsidRPr="00F51B9D">
        <w:t>patients</w:t>
      </w:r>
      <w:r w:rsidR="004A0746" w:rsidRPr="00F51B9D">
        <w:t xml:space="preserve"> </w:t>
      </w:r>
      <w:r w:rsidR="00192291" w:rsidRPr="00F51B9D">
        <w:t>will be in attendance</w:t>
      </w:r>
      <w:r w:rsidR="00455795" w:rsidRPr="00F51B9D">
        <w:t xml:space="preserve">. </w:t>
      </w:r>
      <w:bookmarkEnd w:id="1"/>
      <w:r w:rsidR="00455795" w:rsidRPr="00F51B9D">
        <w:t xml:space="preserve">Group therapy offers a structured and empathetic setting where you can share personal experiences, </w:t>
      </w:r>
      <w:r w:rsidR="00282625" w:rsidRPr="00F51B9D">
        <w:t xml:space="preserve">connect with others facing similar challenges, </w:t>
      </w:r>
      <w:r w:rsidR="00455795" w:rsidRPr="00F51B9D">
        <w:t xml:space="preserve">which fosters </w:t>
      </w:r>
      <w:r w:rsidR="00282625" w:rsidRPr="00F51B9D">
        <w:t xml:space="preserve">mutual </w:t>
      </w:r>
      <w:r w:rsidR="00455795" w:rsidRPr="00F51B9D">
        <w:t>support.</w:t>
      </w:r>
    </w:p>
    <w:p w14:paraId="04D1FA17" w14:textId="1F025EFE" w:rsidR="0071489A" w:rsidRPr="00F51B9D" w:rsidRDefault="0071489A" w:rsidP="00F51B9D">
      <w:r w:rsidRPr="00F51B9D">
        <w:t xml:space="preserve">If you </w:t>
      </w:r>
      <w:r w:rsidR="00393007" w:rsidRPr="00F51B9D">
        <w:t xml:space="preserve">have utilised </w:t>
      </w:r>
      <w:r w:rsidR="00CE34BF" w:rsidRPr="00F51B9D">
        <w:t xml:space="preserve">all your Better Access mental health treatment services in a calendar year and </w:t>
      </w:r>
      <w:r w:rsidRPr="00F51B9D">
        <w:t xml:space="preserve">require more, talk to your GP </w:t>
      </w:r>
      <w:r w:rsidR="006827D6" w:rsidRPr="00F51B9D">
        <w:t xml:space="preserve">or </w:t>
      </w:r>
      <w:r w:rsidR="00CE34BF" w:rsidRPr="00F51B9D">
        <w:t xml:space="preserve">PMP </w:t>
      </w:r>
      <w:r w:rsidRPr="00F51B9D">
        <w:t>and</w:t>
      </w:r>
      <w:r w:rsidR="006827D6" w:rsidRPr="00F51B9D">
        <w:t xml:space="preserve"> </w:t>
      </w:r>
      <w:r w:rsidRPr="00F51B9D">
        <w:t>/</w:t>
      </w:r>
      <w:r w:rsidR="006827D6" w:rsidRPr="00F51B9D">
        <w:t xml:space="preserve"> </w:t>
      </w:r>
      <w:r w:rsidRPr="00F51B9D">
        <w:t xml:space="preserve">or </w:t>
      </w:r>
      <w:r w:rsidR="00CE34BF" w:rsidRPr="00F51B9D">
        <w:t xml:space="preserve">your </w:t>
      </w:r>
      <w:r w:rsidRPr="00F51B9D">
        <w:t xml:space="preserve">treating </w:t>
      </w:r>
      <w:r w:rsidR="00CE34BF" w:rsidRPr="00F51B9D">
        <w:t xml:space="preserve">allied health professional </w:t>
      </w:r>
      <w:r w:rsidRPr="00F51B9D">
        <w:t xml:space="preserve">about other </w:t>
      </w:r>
      <w:r w:rsidR="00DD39BE" w:rsidRPr="00F51B9D">
        <w:t xml:space="preserve">alternative </w:t>
      </w:r>
      <w:r w:rsidRPr="00F51B9D">
        <w:t>options available, including services available through Primary Health Networks</w:t>
      </w:r>
      <w:r w:rsidR="00E6718C" w:rsidRPr="00F51B9D">
        <w:t xml:space="preserve"> </w:t>
      </w:r>
      <w:r w:rsidR="00C22F95" w:rsidRPr="00F51B9D">
        <w:t>(PHN</w:t>
      </w:r>
      <w:r w:rsidR="00461002" w:rsidRPr="00F51B9D">
        <w:t>s</w:t>
      </w:r>
      <w:r w:rsidR="00C22F95" w:rsidRPr="00F51B9D">
        <w:t>)</w:t>
      </w:r>
      <w:r w:rsidR="0055183B" w:rsidRPr="00F51B9D">
        <w:t xml:space="preserve"> and Medicare Mental Health </w:t>
      </w:r>
      <w:r w:rsidR="00CE34BF" w:rsidRPr="00F51B9D">
        <w:t>Centres</w:t>
      </w:r>
      <w:r w:rsidRPr="00F51B9D">
        <w:t>. To find your local PHN and what services may be available in your region, go to </w:t>
      </w:r>
      <w:hyperlink r:id="rId19" w:history="1">
        <w:r w:rsidRPr="00E40792">
          <w:rPr>
            <w:rStyle w:val="Hyperlink"/>
          </w:rPr>
          <w:t>www.health.gov.au/phn</w:t>
        </w:r>
      </w:hyperlink>
      <w:r w:rsidRPr="00F51B9D">
        <w:t> and use the map locator to search for your postcode.</w:t>
      </w:r>
      <w:r w:rsidR="0055183B" w:rsidRPr="00F51B9D">
        <w:t xml:space="preserve"> For more information on Medicare Mental Health Centres, you can make a free call </w:t>
      </w:r>
      <w:r w:rsidR="00D22934" w:rsidRPr="00F51B9D">
        <w:t xml:space="preserve">to the Medicare Mental Health Phone Service </w:t>
      </w:r>
      <w:r w:rsidR="0055183B" w:rsidRPr="00F51B9D">
        <w:t>on 1800</w:t>
      </w:r>
      <w:r w:rsidR="00D22934" w:rsidRPr="00F51B9D">
        <w:t> </w:t>
      </w:r>
      <w:r w:rsidR="0055183B" w:rsidRPr="00F51B9D">
        <w:t>595</w:t>
      </w:r>
      <w:r w:rsidR="00D22934" w:rsidRPr="00F51B9D">
        <w:t> </w:t>
      </w:r>
      <w:r w:rsidR="0055183B" w:rsidRPr="00F51B9D">
        <w:t>212</w:t>
      </w:r>
      <w:r w:rsidR="00D22934" w:rsidRPr="00F51B9D">
        <w:t xml:space="preserve"> or visit the Medicare Mental Health Centre website at </w:t>
      </w:r>
      <w:hyperlink r:id="rId20" w:history="1">
        <w:r w:rsidR="00D22934" w:rsidRPr="00F51B9D">
          <w:rPr>
            <w:rStyle w:val="Hyperlink"/>
          </w:rPr>
          <w:t>Home | Medicare Mental Health</w:t>
        </w:r>
      </w:hyperlink>
      <w:r w:rsidR="0055183B" w:rsidRPr="00F51B9D">
        <w:t>.</w:t>
      </w:r>
    </w:p>
    <w:p w14:paraId="0673FA62" w14:textId="0F56E740" w:rsidR="0071489A" w:rsidRPr="00E40792" w:rsidRDefault="00C12A10" w:rsidP="00E40792">
      <w:pPr>
        <w:pStyle w:val="Heading1"/>
      </w:pPr>
      <w:r w:rsidRPr="00E40792">
        <w:t xml:space="preserve">Telehealth (video and phone) services </w:t>
      </w:r>
    </w:p>
    <w:p w14:paraId="2C9236D3" w14:textId="03D76401" w:rsidR="00D65A34" w:rsidRPr="00F51B9D" w:rsidRDefault="00691793" w:rsidP="00F51B9D">
      <w:r w:rsidRPr="00F51B9D">
        <w:t xml:space="preserve">All </w:t>
      </w:r>
      <w:r w:rsidR="00BC02B3" w:rsidRPr="00F51B9D">
        <w:t xml:space="preserve">eligible Australians can access </w:t>
      </w:r>
      <w:r w:rsidR="00F32F46" w:rsidRPr="00F51B9D">
        <w:t xml:space="preserve">MBS </w:t>
      </w:r>
      <w:r w:rsidR="00BC02B3" w:rsidRPr="00F51B9D">
        <w:t>telehealth</w:t>
      </w:r>
      <w:r w:rsidR="00F32F46" w:rsidRPr="00F51B9D">
        <w:t xml:space="preserve"> (video and phone) services</w:t>
      </w:r>
      <w:r w:rsidR="00BC02B3" w:rsidRPr="00F51B9D">
        <w:t>, regardless of their location</w:t>
      </w:r>
      <w:r w:rsidR="000A6945" w:rsidRPr="00F51B9D">
        <w:t xml:space="preserve"> in Australia</w:t>
      </w:r>
      <w:r w:rsidR="00BC02B3" w:rsidRPr="00F51B9D">
        <w:t>, where it is safe and clinically appropriate to do so</w:t>
      </w:r>
      <w:r w:rsidR="00B241BC" w:rsidRPr="00F51B9D">
        <w:t>.</w:t>
      </w:r>
      <w:r w:rsidR="00916058" w:rsidRPr="00F51B9D">
        <w:t xml:space="preserve"> </w:t>
      </w:r>
      <w:r w:rsidR="00B241BC" w:rsidRPr="00F51B9D">
        <w:t xml:space="preserve">The same limits </w:t>
      </w:r>
      <w:r w:rsidR="0091709A" w:rsidRPr="00F51B9D">
        <w:t>with respect to the number of</w:t>
      </w:r>
      <w:r w:rsidR="00F91E87" w:rsidRPr="00F51B9D">
        <w:t xml:space="preserve"> Better Access</w:t>
      </w:r>
      <w:r w:rsidR="0091709A" w:rsidRPr="00F51B9D">
        <w:t xml:space="preserve"> services available in a calendar year </w:t>
      </w:r>
      <w:r w:rsidR="00E941F8" w:rsidRPr="00F51B9D">
        <w:t xml:space="preserve">still </w:t>
      </w:r>
      <w:r w:rsidR="0091709A" w:rsidRPr="00F51B9D">
        <w:t>appl</w:t>
      </w:r>
      <w:r w:rsidR="00E941F8" w:rsidRPr="00F51B9D">
        <w:t>y</w:t>
      </w:r>
      <w:r w:rsidR="00D65A34" w:rsidRPr="00F51B9D">
        <w:t>.</w:t>
      </w:r>
    </w:p>
    <w:p w14:paraId="23B4F715" w14:textId="7DF96302" w:rsidR="001D384E" w:rsidRPr="00F51B9D" w:rsidRDefault="00D65A34" w:rsidP="00F51B9D">
      <w:r w:rsidRPr="00F51B9D">
        <w:t xml:space="preserve">It is important to note </w:t>
      </w:r>
      <w:r w:rsidR="00B6666A" w:rsidRPr="00F51B9D">
        <w:t>that before accessing Better Access</w:t>
      </w:r>
      <w:r w:rsidR="00C42559" w:rsidRPr="00F51B9D">
        <w:t xml:space="preserve"> </w:t>
      </w:r>
      <w:r w:rsidR="00B6666A" w:rsidRPr="00F51B9D">
        <w:t xml:space="preserve">services, a patient will need both a MHTP </w:t>
      </w:r>
      <w:r w:rsidR="001F3874" w:rsidRPr="00F51B9D">
        <w:t xml:space="preserve">or PAMP, </w:t>
      </w:r>
      <w:r w:rsidR="00B6666A" w:rsidRPr="00F51B9D">
        <w:t xml:space="preserve">and a referral from </w:t>
      </w:r>
      <w:r w:rsidR="00C51312" w:rsidRPr="00F51B9D">
        <w:t>their</w:t>
      </w:r>
      <w:r w:rsidR="00B6666A" w:rsidRPr="00F51B9D">
        <w:t xml:space="preserve"> GP </w:t>
      </w:r>
      <w:r w:rsidR="00446B3E" w:rsidRPr="00F51B9D">
        <w:t>or</w:t>
      </w:r>
      <w:r w:rsidR="00C51312" w:rsidRPr="00F51B9D">
        <w:t xml:space="preserve"> PMP</w:t>
      </w:r>
      <w:r w:rsidR="001F3874" w:rsidRPr="00F51B9D">
        <w:t xml:space="preserve"> (or alternatively a direct referral from their psychiatrist or paediatrician)</w:t>
      </w:r>
      <w:r w:rsidR="00B6666A" w:rsidRPr="00F51B9D">
        <w:t xml:space="preserve">. To be eligible for telehealth </w:t>
      </w:r>
      <w:r w:rsidR="001F3874" w:rsidRPr="00F51B9D">
        <w:t xml:space="preserve">(video and phone) </w:t>
      </w:r>
      <w:r w:rsidR="00B6666A" w:rsidRPr="00F51B9D">
        <w:t xml:space="preserve">services </w:t>
      </w:r>
      <w:r w:rsidR="002527F7" w:rsidRPr="00F51B9D">
        <w:t xml:space="preserve">for the preparation of a MHTP </w:t>
      </w:r>
      <w:r w:rsidR="00B6666A" w:rsidRPr="00F51B9D">
        <w:t xml:space="preserve">under Better Access, </w:t>
      </w:r>
      <w:r w:rsidR="001F3874" w:rsidRPr="00F51B9D">
        <w:t>patients</w:t>
      </w:r>
      <w:r w:rsidR="00B6666A" w:rsidRPr="00F51B9D">
        <w:t xml:space="preserve"> must have had at least one face-to-face appointment</w:t>
      </w:r>
      <w:r w:rsidR="0099346A" w:rsidRPr="00F51B9D">
        <w:t xml:space="preserve"> in the previous 12 months</w:t>
      </w:r>
      <w:r w:rsidR="00B6666A" w:rsidRPr="00F51B9D">
        <w:t xml:space="preserve"> with </w:t>
      </w:r>
      <w:r w:rsidR="00265710" w:rsidRPr="00F51B9D">
        <w:t>a</w:t>
      </w:r>
      <w:r w:rsidR="00B6666A" w:rsidRPr="00F51B9D">
        <w:t xml:space="preserve"> GP</w:t>
      </w:r>
      <w:r w:rsidR="001F3874" w:rsidRPr="00F51B9D">
        <w:t xml:space="preserve"> </w:t>
      </w:r>
      <w:r w:rsidR="00446B3E" w:rsidRPr="00F51B9D">
        <w:t xml:space="preserve">or </w:t>
      </w:r>
      <w:r w:rsidR="001F3874" w:rsidRPr="00F51B9D">
        <w:t>PMP</w:t>
      </w:r>
      <w:r w:rsidR="00C42559" w:rsidRPr="00F51B9D">
        <w:t xml:space="preserve"> </w:t>
      </w:r>
      <w:r w:rsidR="00265710" w:rsidRPr="00F51B9D">
        <w:t xml:space="preserve">at </w:t>
      </w:r>
      <w:r w:rsidR="00996C7B" w:rsidRPr="00F51B9D">
        <w:t>their usual medical</w:t>
      </w:r>
      <w:r w:rsidR="00265710" w:rsidRPr="00F51B9D">
        <w:t xml:space="preserve"> practice </w:t>
      </w:r>
      <w:r w:rsidR="00C42559" w:rsidRPr="00F51B9D">
        <w:t xml:space="preserve">or meet any of the other </w:t>
      </w:r>
      <w:r w:rsidR="002A054D" w:rsidRPr="00F51B9D">
        <w:t>exemption</w:t>
      </w:r>
      <w:r w:rsidR="00265710" w:rsidRPr="00F51B9D">
        <w:t>s</w:t>
      </w:r>
      <w:r w:rsidR="002A054D" w:rsidRPr="00F51B9D">
        <w:t xml:space="preserve"> to the established clinical relationship rule</w:t>
      </w:r>
      <w:r w:rsidR="00996C7B" w:rsidRPr="00F51B9D">
        <w:t xml:space="preserve"> or are receiving their telehealth service from a GP or PMP at their MyMedicare registered practice</w:t>
      </w:r>
      <w:r w:rsidR="00B6666A" w:rsidRPr="00F51B9D">
        <w:t>.</w:t>
      </w:r>
      <w:r w:rsidR="002A054D" w:rsidRPr="00F51B9D">
        <w:t xml:space="preserve"> </w:t>
      </w:r>
      <w:r w:rsidR="00A470C9" w:rsidRPr="00F51B9D">
        <w:t xml:space="preserve">Further information on telehealth requirements and exemptions is available at </w:t>
      </w:r>
      <w:hyperlink r:id="rId21" w:history="1">
        <w:r w:rsidR="00304A70" w:rsidRPr="00F51B9D">
          <w:rPr>
            <w:rStyle w:val="Hyperlink"/>
          </w:rPr>
          <w:t>MBS Online - MBS Telehealth Services</w:t>
        </w:r>
      </w:hyperlink>
      <w:r w:rsidR="0067103A" w:rsidRPr="00F51B9D">
        <w:t>.</w:t>
      </w:r>
    </w:p>
    <w:p w14:paraId="367D9F6B" w14:textId="2ED1712E" w:rsidR="00F61A42" w:rsidRPr="00F51B9D" w:rsidRDefault="00F61A42" w:rsidP="00F51B9D">
      <w:r w:rsidRPr="00F51B9D">
        <w:t xml:space="preserve">There are also </w:t>
      </w:r>
      <w:r w:rsidR="0055183B" w:rsidRPr="00F51B9D">
        <w:t>several</w:t>
      </w:r>
      <w:r w:rsidRPr="00F51B9D">
        <w:t xml:space="preserve"> </w:t>
      </w:r>
      <w:r w:rsidR="0055183B" w:rsidRPr="00F51B9D">
        <w:t xml:space="preserve">MBS </w:t>
      </w:r>
      <w:r w:rsidRPr="00F51B9D">
        <w:t xml:space="preserve">items for the provision of group </w:t>
      </w:r>
      <w:r w:rsidR="00DA5A83" w:rsidRPr="00F51B9D">
        <w:t>t</w:t>
      </w:r>
      <w:r w:rsidR="00AB65F0" w:rsidRPr="00F51B9D">
        <w:t>herapy</w:t>
      </w:r>
      <w:r w:rsidRPr="00F51B9D">
        <w:t xml:space="preserve"> </w:t>
      </w:r>
      <w:r w:rsidR="00043066" w:rsidRPr="00F51B9D">
        <w:t xml:space="preserve">mental health treatment services </w:t>
      </w:r>
      <w:r w:rsidR="00F91E87" w:rsidRPr="00F51B9D">
        <w:t>offered</w:t>
      </w:r>
      <w:r w:rsidRPr="00F51B9D">
        <w:t xml:space="preserve"> via video</w:t>
      </w:r>
      <w:r w:rsidR="00F91E87" w:rsidRPr="00F51B9D">
        <w:t xml:space="preserve"> </w:t>
      </w:r>
      <w:r w:rsidRPr="00F51B9D">
        <w:t xml:space="preserve">to improve access to services for </w:t>
      </w:r>
      <w:r w:rsidR="002527F7" w:rsidRPr="00F51B9D">
        <w:t xml:space="preserve">patients </w:t>
      </w:r>
      <w:r w:rsidRPr="00F51B9D">
        <w:t>in rural, remote and very remote locations. Geographic eligibility for these services is determined according to Modified Monash Model classifications</w:t>
      </w:r>
      <w:r w:rsidR="00F62344" w:rsidRPr="00F51B9D">
        <w:t xml:space="preserve">. Eligible </w:t>
      </w:r>
      <w:r w:rsidRPr="00F51B9D">
        <w:t xml:space="preserve">patients must </w:t>
      </w:r>
      <w:r w:rsidR="00130FF7" w:rsidRPr="00F51B9D">
        <w:t xml:space="preserve">be </w:t>
      </w:r>
      <w:r w:rsidR="00434A59" w:rsidRPr="00F51B9D">
        <w:t xml:space="preserve">located </w:t>
      </w:r>
      <w:r w:rsidR="0055003A" w:rsidRPr="00F51B9D">
        <w:t>with</w:t>
      </w:r>
      <w:r w:rsidR="00130FF7" w:rsidRPr="00F51B9D">
        <w:t>in</w:t>
      </w:r>
      <w:r w:rsidR="00F62344" w:rsidRPr="00F51B9D">
        <w:t xml:space="preserve"> an MMM4-7</w:t>
      </w:r>
      <w:r w:rsidRPr="00F51B9D">
        <w:t xml:space="preserve"> area at the time of the </w:t>
      </w:r>
      <w:r w:rsidR="00130FF7" w:rsidRPr="00F51B9D">
        <w:t xml:space="preserve">telehealth </w:t>
      </w:r>
      <w:r w:rsidRPr="00F51B9D">
        <w:t>service</w:t>
      </w:r>
      <w:r w:rsidR="007B5476" w:rsidRPr="00F51B9D">
        <w:t xml:space="preserve"> to ensure patients living in regional and remote areas are able to access mental </w:t>
      </w:r>
      <w:r w:rsidR="007B5476" w:rsidRPr="00F51B9D">
        <w:lastRenderedPageBreak/>
        <w:t xml:space="preserve">health treatment options, rather than having to travel to metropolitan areas to receive </w:t>
      </w:r>
      <w:r w:rsidR="00301AC6" w:rsidRPr="00F51B9D">
        <w:t>mental health treatment</w:t>
      </w:r>
      <w:r w:rsidRPr="00F51B9D">
        <w:t xml:space="preserve">. </w:t>
      </w:r>
    </w:p>
    <w:p w14:paraId="4025722A" w14:textId="4D996312" w:rsidR="007F31D3" w:rsidRPr="00F51B9D" w:rsidRDefault="00F61A42" w:rsidP="00F51B9D">
      <w:r w:rsidRPr="00F51B9D">
        <w:t xml:space="preserve">While there are no restrictions on the </w:t>
      </w:r>
      <w:r w:rsidR="00130FF7" w:rsidRPr="00F51B9D">
        <w:t xml:space="preserve">allied health </w:t>
      </w:r>
      <w:r w:rsidR="00E469FF" w:rsidRPr="00F51B9D">
        <w:t>professional’s</w:t>
      </w:r>
      <w:r w:rsidR="00266F32" w:rsidRPr="00F51B9D">
        <w:t xml:space="preserve"> </w:t>
      </w:r>
      <w:r w:rsidRPr="00F51B9D">
        <w:t xml:space="preserve">location, </w:t>
      </w:r>
      <w:r w:rsidR="007F31D3" w:rsidRPr="00F51B9D">
        <w:t>a</w:t>
      </w:r>
      <w:r w:rsidRPr="00F51B9D">
        <w:t xml:space="preserve"> patient and </w:t>
      </w:r>
      <w:r w:rsidR="00266F32" w:rsidRPr="00F51B9D">
        <w:t xml:space="preserve">the allied health </w:t>
      </w:r>
      <w:r w:rsidR="00C37090" w:rsidRPr="00F51B9D">
        <w:t xml:space="preserve">professional </w:t>
      </w:r>
      <w:r w:rsidR="00C868D0" w:rsidRPr="00F51B9D">
        <w:t xml:space="preserve">must </w:t>
      </w:r>
      <w:r w:rsidRPr="00F51B9D">
        <w:t xml:space="preserve">be located a minimum of 15 kilometres apart at the time of the service, as measured by the most direct route by road. The patient or </w:t>
      </w:r>
      <w:r w:rsidR="00786B27" w:rsidRPr="00F51B9D">
        <w:t xml:space="preserve">allied health professional </w:t>
      </w:r>
      <w:r w:rsidRPr="00F51B9D">
        <w:t>is not permitted to travel to an area outside the minimum 15</w:t>
      </w:r>
      <w:r w:rsidR="00B60FB0" w:rsidRPr="00F51B9D">
        <w:t>-</w:t>
      </w:r>
      <w:r w:rsidRPr="00F51B9D">
        <w:t xml:space="preserve">kilometre distance in order to </w:t>
      </w:r>
      <w:r w:rsidR="002527F7" w:rsidRPr="00F51B9D">
        <w:t>meet this requirement</w:t>
      </w:r>
      <w:r w:rsidRPr="00F51B9D">
        <w:t xml:space="preserve"> when using these items</w:t>
      </w:r>
      <w:r w:rsidR="00421B1F" w:rsidRPr="00F51B9D">
        <w:t xml:space="preserve">. </w:t>
      </w:r>
      <w:r w:rsidR="000043CB" w:rsidRPr="00F51B9D">
        <w:t xml:space="preserve">More information about the Modified Monash Model areas 4-7, including links to a search tool to identify the classification of a specific location, is available </w:t>
      </w:r>
      <w:r w:rsidR="0055183B" w:rsidRPr="00F51B9D">
        <w:t xml:space="preserve">via: </w:t>
      </w:r>
      <w:hyperlink r:id="rId22" w:anchor="how-to-find-current-areas-under-the-mmm" w:history="1">
        <w:r w:rsidR="0055183B" w:rsidRPr="00F51B9D">
          <w:rPr>
            <w:rStyle w:val="Hyperlink"/>
          </w:rPr>
          <w:t>https://www.health.gov.au/Modified Monash Model</w:t>
        </w:r>
      </w:hyperlink>
      <w:r w:rsidR="0055183B" w:rsidRPr="00F51B9D">
        <w:t>.</w:t>
      </w:r>
    </w:p>
    <w:p w14:paraId="04A2C04E" w14:textId="6F11AAED" w:rsidR="0096299B" w:rsidRPr="00CF6351" w:rsidRDefault="0096299B" w:rsidP="0096299B">
      <w:pPr>
        <w:pStyle w:val="Heading1"/>
      </w:pPr>
      <w:r w:rsidRPr="00CF6351">
        <w:t>Family and</w:t>
      </w:r>
      <w:r w:rsidR="00E469FF">
        <w:t>/or</w:t>
      </w:r>
      <w:r w:rsidRPr="00CF6351">
        <w:t xml:space="preserve"> Carer Participation </w:t>
      </w:r>
      <w:r w:rsidR="0027019D" w:rsidRPr="00CF6351">
        <w:t>services</w:t>
      </w:r>
    </w:p>
    <w:p w14:paraId="1A051093" w14:textId="4F180BE5" w:rsidR="00B93526" w:rsidRPr="00F51B9D" w:rsidRDefault="00063FFA" w:rsidP="00F51B9D">
      <w:r w:rsidRPr="00F51B9D">
        <w:t>A</w:t>
      </w:r>
      <w:r w:rsidR="006E1BEB" w:rsidRPr="00F51B9D">
        <w:t xml:space="preserve"> patient’s </w:t>
      </w:r>
      <w:r w:rsidR="00AC2083" w:rsidRPr="00F51B9D">
        <w:t>family and</w:t>
      </w:r>
      <w:r w:rsidR="00BB23CA" w:rsidRPr="00F51B9D">
        <w:t>/or</w:t>
      </w:r>
      <w:r w:rsidR="00AC2083" w:rsidRPr="00F51B9D">
        <w:t xml:space="preserve"> carer</w:t>
      </w:r>
      <w:r w:rsidR="006E1BEB" w:rsidRPr="00F51B9D">
        <w:t xml:space="preserve"> can</w:t>
      </w:r>
      <w:r w:rsidR="00AC2083" w:rsidRPr="00F51B9D">
        <w:t xml:space="preserve"> </w:t>
      </w:r>
      <w:r w:rsidR="00530E37" w:rsidRPr="00F51B9D">
        <w:t xml:space="preserve">access </w:t>
      </w:r>
      <w:r w:rsidR="00BB23CA" w:rsidRPr="00F51B9D">
        <w:t xml:space="preserve">2 </w:t>
      </w:r>
      <w:r w:rsidR="008C2AE9" w:rsidRPr="00F51B9D">
        <w:t>Better Access</w:t>
      </w:r>
      <w:r w:rsidR="00BB23CA" w:rsidRPr="00F51B9D">
        <w:t xml:space="preserve"> mental health treatment</w:t>
      </w:r>
      <w:r w:rsidR="008C2AE9" w:rsidRPr="00F51B9D">
        <w:t xml:space="preserve"> services as part of</w:t>
      </w:r>
      <w:r w:rsidR="00AC2083" w:rsidRPr="00F51B9D">
        <w:t xml:space="preserve"> </w:t>
      </w:r>
      <w:r w:rsidR="006E1BEB" w:rsidRPr="00F51B9D">
        <w:t>the</w:t>
      </w:r>
      <w:r w:rsidR="00AC2083" w:rsidRPr="00F51B9D">
        <w:t xml:space="preserve"> patient’s </w:t>
      </w:r>
      <w:r w:rsidR="00583B1C" w:rsidRPr="00F51B9D">
        <w:t xml:space="preserve">course of </w:t>
      </w:r>
      <w:r w:rsidR="00AC2083" w:rsidRPr="00F51B9D">
        <w:t>treatment</w:t>
      </w:r>
      <w:r w:rsidR="00BB23CA" w:rsidRPr="00F51B9D">
        <w:t xml:space="preserve"> (provided the patient has given consent </w:t>
      </w:r>
      <w:r w:rsidR="00B93526" w:rsidRPr="00F51B9D">
        <w:t>for this to occur)</w:t>
      </w:r>
      <w:r w:rsidR="00AC2083" w:rsidRPr="00F51B9D">
        <w:t>.</w:t>
      </w:r>
      <w:r w:rsidR="00B93526" w:rsidRPr="00F51B9D">
        <w:t xml:space="preserve"> However, MBS benefits are only payable where the patient is not in attendance during the provision of the service to the family member or carer.</w:t>
      </w:r>
    </w:p>
    <w:p w14:paraId="6E7A5CC0" w14:textId="0CDF8C12" w:rsidR="00E30BA8" w:rsidRPr="00F51B9D" w:rsidRDefault="00E30BA8" w:rsidP="00F51B9D">
      <w:r w:rsidRPr="00F51B9D">
        <w:t>The</w:t>
      </w:r>
      <w:r w:rsidR="008C2AE9" w:rsidRPr="00F51B9D">
        <w:t>se</w:t>
      </w:r>
      <w:r w:rsidRPr="00F51B9D">
        <w:t xml:space="preserve"> </w:t>
      </w:r>
      <w:r w:rsidR="00B33A4B" w:rsidRPr="00F51B9D">
        <w:t xml:space="preserve">2 </w:t>
      </w:r>
      <w:r w:rsidR="008C2AE9" w:rsidRPr="00F51B9D">
        <w:t>services</w:t>
      </w:r>
      <w:r w:rsidRPr="00F51B9D">
        <w:t xml:space="preserve"> will count towards</w:t>
      </w:r>
      <w:r w:rsidR="00583B1C" w:rsidRPr="00F51B9D">
        <w:t>:</w:t>
      </w:r>
    </w:p>
    <w:p w14:paraId="3B20E285" w14:textId="1B494DF3" w:rsidR="00E30BA8" w:rsidRPr="00F51B9D" w:rsidRDefault="00A57102" w:rsidP="00F51B9D">
      <w:pPr>
        <w:pStyle w:val="ListBullet"/>
      </w:pPr>
      <w:r w:rsidRPr="00F51B9D">
        <w:t xml:space="preserve">the </w:t>
      </w:r>
      <w:r w:rsidR="00B33A4B" w:rsidRPr="00F51B9D">
        <w:t xml:space="preserve">initial course of treatment under Better Access – a maximum of 6 </w:t>
      </w:r>
      <w:r w:rsidR="00B60FB0" w:rsidRPr="00F51B9D">
        <w:t xml:space="preserve">individual </w:t>
      </w:r>
      <w:r w:rsidR="00B33A4B" w:rsidRPr="00F51B9D">
        <w:t>services, and</w:t>
      </w:r>
    </w:p>
    <w:p w14:paraId="4E63FCA2" w14:textId="6640321A" w:rsidR="00AC2083" w:rsidRPr="00F51B9D" w:rsidRDefault="00A57102" w:rsidP="00F51B9D">
      <w:pPr>
        <w:pStyle w:val="ListBullet"/>
      </w:pPr>
      <w:r w:rsidRPr="00F51B9D">
        <w:t xml:space="preserve">the subsequent course of treatment under Better Access – the remaining services up to a cap of 10 </w:t>
      </w:r>
      <w:r w:rsidR="00B60FB0" w:rsidRPr="00F51B9D">
        <w:t xml:space="preserve">individual </w:t>
      </w:r>
      <w:r w:rsidRPr="00F51B9D">
        <w:t>services per calendar year.</w:t>
      </w:r>
    </w:p>
    <w:p w14:paraId="479953BD" w14:textId="4D599270" w:rsidR="000E50C6" w:rsidRPr="00F51B9D" w:rsidRDefault="00CA4F27" w:rsidP="00F51B9D">
      <w:r w:rsidRPr="00F51B9D">
        <w:t xml:space="preserve">For example, if a patient has received a referral for 6 </w:t>
      </w:r>
      <w:r w:rsidR="00B60FB0" w:rsidRPr="00F51B9D">
        <w:t xml:space="preserve">individual </w:t>
      </w:r>
      <w:r w:rsidRPr="00F51B9D">
        <w:t>services in their initial course of treatment, and 2 of these services are provided to a family member or carer, you will only receive 4 individual ser</w:t>
      </w:r>
      <w:r w:rsidR="00A6584D" w:rsidRPr="00F51B9D">
        <w:t xml:space="preserve">vices. The patient will then be </w:t>
      </w:r>
      <w:r w:rsidR="00B60FB0" w:rsidRPr="00F51B9D">
        <w:t>reviewed</w:t>
      </w:r>
      <w:r w:rsidR="00A6584D" w:rsidRPr="00F51B9D">
        <w:t xml:space="preserve"> by their referring practitioner </w:t>
      </w:r>
      <w:r w:rsidR="00351C5E" w:rsidRPr="00F51B9D">
        <w:t xml:space="preserve">(GP, PMP, psychiatrist or paediatrician) </w:t>
      </w:r>
      <w:r w:rsidR="00A6584D" w:rsidRPr="00F51B9D">
        <w:t>to determine if they require a subsequent course of treatment where they may receive</w:t>
      </w:r>
      <w:r w:rsidR="00DF1781" w:rsidRPr="00F51B9D">
        <w:t xml:space="preserve"> </w:t>
      </w:r>
      <w:r w:rsidR="00B60FB0" w:rsidRPr="00F51B9D">
        <w:t>the</w:t>
      </w:r>
      <w:r w:rsidR="00DF1781" w:rsidRPr="00F51B9D">
        <w:t xml:space="preserve"> remaining 4 services.</w:t>
      </w:r>
    </w:p>
    <w:p w14:paraId="2E6D3B82" w14:textId="5AD8209F" w:rsidR="00C1761B" w:rsidRPr="00F51B9D" w:rsidRDefault="00AA6338" w:rsidP="00F51B9D">
      <w:r w:rsidRPr="00F51B9D">
        <w:t xml:space="preserve">For a family member or carer to be eligible, the </w:t>
      </w:r>
      <w:r w:rsidR="00614D12" w:rsidRPr="00F51B9D">
        <w:t>patient must have a MHTP or PAMP</w:t>
      </w:r>
      <w:r w:rsidR="004F7651" w:rsidRPr="00F51B9D">
        <w:t>,</w:t>
      </w:r>
      <w:r w:rsidR="00351C5E" w:rsidRPr="00F51B9D">
        <w:t xml:space="preserve"> and a referral.  In addition, </w:t>
      </w:r>
      <w:r w:rsidR="004F7651" w:rsidRPr="00F51B9D">
        <w:t xml:space="preserve">the </w:t>
      </w:r>
      <w:r w:rsidR="00C1761B" w:rsidRPr="00F51B9D">
        <w:t>patient’s referral for mental health treatment services must have been undertaken by either a GP or PMP at the general practice they are enrolled in for MyMedicare, or their usual medical practitioner. This restriction does not apply if a patient has received a direct referral from a psychiatrist or a paediatrician.</w:t>
      </w:r>
    </w:p>
    <w:p w14:paraId="41D82FD9" w14:textId="175FDE8F" w:rsidR="009B240A" w:rsidRPr="00F51B9D" w:rsidRDefault="00486C85" w:rsidP="00F51B9D">
      <w:r w:rsidRPr="00F51B9D">
        <w:t xml:space="preserve">More information on Family and Carer Participation under the Better Access Initiative can be found </w:t>
      </w:r>
      <w:r w:rsidR="009B240A" w:rsidRPr="00F51B9D">
        <w:t xml:space="preserve">via: </w:t>
      </w:r>
      <w:hyperlink r:id="rId23" w:history="1">
        <w:r w:rsidR="009B240A" w:rsidRPr="00F51B9D">
          <w:rPr>
            <w:rStyle w:val="Hyperlink"/>
          </w:rPr>
          <w:t>https://www.health.gov.au/Family and Carers Participation under Better Access</w:t>
        </w:r>
      </w:hyperlink>
      <w:r w:rsidR="009B240A" w:rsidRPr="00F51B9D">
        <w:t>.</w:t>
      </w:r>
    </w:p>
    <w:p w14:paraId="40C121A8" w14:textId="77777777" w:rsidR="0071489A" w:rsidRPr="00E40792" w:rsidRDefault="0071489A" w:rsidP="00E40792">
      <w:pPr>
        <w:pStyle w:val="Heading1"/>
      </w:pPr>
      <w:r w:rsidRPr="00E40792">
        <w:t>Further information</w:t>
      </w:r>
    </w:p>
    <w:p w14:paraId="471F6260" w14:textId="31CDC960" w:rsidR="0036117E" w:rsidRPr="00F51B9D" w:rsidRDefault="0071489A" w:rsidP="00F51B9D">
      <w:r w:rsidRPr="00F51B9D">
        <w:rPr>
          <w:rFonts w:eastAsiaTheme="majorEastAsia"/>
        </w:rPr>
        <w:t>Further information on the Better Access initiative</w:t>
      </w:r>
      <w:r w:rsidRPr="00F51B9D">
        <w:t xml:space="preserve"> is available </w:t>
      </w:r>
      <w:r w:rsidR="009B240A" w:rsidRPr="00F51B9D">
        <w:t xml:space="preserve">via: </w:t>
      </w:r>
      <w:hyperlink r:id="rId24" w:history="1">
        <w:r w:rsidR="009B240A" w:rsidRPr="00F51B9D">
          <w:rPr>
            <w:rStyle w:val="Hyperlink"/>
          </w:rPr>
          <w:t>https://www.health.gov.au/Better Access Initiative</w:t>
        </w:r>
      </w:hyperlink>
      <w:r w:rsidRPr="00F51B9D">
        <w:t>.</w:t>
      </w:r>
    </w:p>
    <w:p w14:paraId="514D4B02" w14:textId="46AE5BA3" w:rsidR="00A33D65" w:rsidRPr="00F51B9D" w:rsidRDefault="00A33D65" w:rsidP="00F51B9D">
      <w:pPr>
        <w:rPr>
          <w:rFonts w:eastAsiaTheme="majorEastAsia"/>
        </w:rPr>
      </w:pPr>
      <w:r w:rsidRPr="00F51B9D">
        <w:t>Patient’s seeking advice about Medicare services, patient benefits, or their Medicare claims can contact Services Australia on the Medicare General enquiry line on 132 011.</w:t>
      </w:r>
    </w:p>
    <w:sectPr w:rsidR="00A33D65" w:rsidRPr="00F51B9D" w:rsidSect="0055183B">
      <w:headerReference w:type="default" r:id="rId25"/>
      <w:type w:val="continuous"/>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BC54" w14:textId="77777777" w:rsidR="00891897" w:rsidRDefault="00891897" w:rsidP="006B56BB">
      <w:r>
        <w:separator/>
      </w:r>
    </w:p>
    <w:p w14:paraId="0033C55A" w14:textId="77777777" w:rsidR="00891897" w:rsidRDefault="00891897"/>
  </w:endnote>
  <w:endnote w:type="continuationSeparator" w:id="0">
    <w:p w14:paraId="30694235" w14:textId="77777777" w:rsidR="00891897" w:rsidRDefault="00891897" w:rsidP="006B56BB">
      <w:r>
        <w:continuationSeparator/>
      </w:r>
    </w:p>
    <w:p w14:paraId="511DA818" w14:textId="77777777" w:rsidR="00891897" w:rsidRDefault="00891897"/>
  </w:endnote>
  <w:endnote w:type="continuationNotice" w:id="1">
    <w:p w14:paraId="512CF108" w14:textId="77777777" w:rsidR="00891897" w:rsidRDefault="00891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3B4B" w14:textId="0FBD4DCD" w:rsidR="000902E3" w:rsidRDefault="000902E3">
    <w:pPr>
      <w:pStyle w:val="Footer"/>
    </w:pPr>
    <w:r>
      <w:rPr>
        <w:noProof/>
      </w:rPr>
      <mc:AlternateContent>
        <mc:Choice Requires="wps">
          <w:drawing>
            <wp:anchor distT="0" distB="0" distL="0" distR="0" simplePos="0" relativeHeight="251658246" behindDoc="0" locked="0" layoutInCell="1" allowOverlap="1" wp14:anchorId="6C5E731C" wp14:editId="5113EE26">
              <wp:simplePos x="635" y="635"/>
              <wp:positionH relativeFrom="page">
                <wp:align>center</wp:align>
              </wp:positionH>
              <wp:positionV relativeFrom="page">
                <wp:align>bottom</wp:align>
              </wp:positionV>
              <wp:extent cx="551815" cy="376555"/>
              <wp:effectExtent l="0" t="0" r="635" b="0"/>
              <wp:wrapNone/>
              <wp:docPr id="9983953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86229E" w14:textId="46EAC896" w:rsidR="000902E3" w:rsidRPr="000902E3" w:rsidRDefault="000902E3" w:rsidP="000902E3">
                          <w:pPr>
                            <w:rPr>
                              <w:rFonts w:ascii="Calibri" w:eastAsia="Calibri" w:hAnsi="Calibri" w:cs="Calibri"/>
                              <w:noProof/>
                              <w:color w:val="FF0000"/>
                              <w:sz w:val="24"/>
                            </w:rPr>
                          </w:pPr>
                          <w:r w:rsidRPr="000902E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E731C"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A86229E" w14:textId="46EAC896" w:rsidR="000902E3" w:rsidRPr="000902E3" w:rsidRDefault="000902E3" w:rsidP="000902E3">
                    <w:pPr>
                      <w:rPr>
                        <w:rFonts w:ascii="Calibri" w:eastAsia="Calibri" w:hAnsi="Calibri" w:cs="Calibri"/>
                        <w:noProof/>
                        <w:color w:val="FF0000"/>
                        <w:sz w:val="24"/>
                      </w:rPr>
                    </w:pPr>
                    <w:r w:rsidRPr="000902E3">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1F46" w14:textId="0E90C144" w:rsidR="00FD47EB" w:rsidRPr="00E40792" w:rsidRDefault="00FD47EB" w:rsidP="00E40792">
    <w:pPr>
      <w:pStyle w:val="Footer"/>
    </w:pPr>
    <w:r w:rsidRPr="00E40792">
      <w:t xml:space="preserve">Better Access initiative – Patient Factsheet </w:t>
    </w:r>
    <w:sdt>
      <w:sdtPr>
        <w:id w:val="-2050829847"/>
        <w:docPartObj>
          <w:docPartGallery w:val="Page Numbers (Bottom of Page)"/>
          <w:docPartUnique/>
        </w:docPartObj>
      </w:sdtPr>
      <w:sdtContent>
        <w:r w:rsidRPr="00E40792">
          <w:tab/>
        </w:r>
        <w:sdt>
          <w:sdtPr>
            <w:id w:val="949368674"/>
            <w:docPartObj>
              <w:docPartGallery w:val="Page Numbers (Bottom of Page)"/>
              <w:docPartUnique/>
            </w:docPartObj>
          </w:sdtPr>
          <w:sdtContent>
            <w:sdt>
              <w:sdtPr>
                <w:id w:val="41260238"/>
                <w:docPartObj>
                  <w:docPartGallery w:val="Page Numbers (Top of Page)"/>
                  <w:docPartUnique/>
                </w:docPartObj>
              </w:sdtPr>
              <w:sdtContent>
                <w:r w:rsidR="005B6BF8" w:rsidRPr="00E40792">
                  <w:tab/>
                </w:r>
                <w:r w:rsidRPr="00E40792">
                  <w:t xml:space="preserve">Page </w:t>
                </w:r>
                <w:r w:rsidRPr="00E40792">
                  <w:fldChar w:fldCharType="begin"/>
                </w:r>
                <w:r w:rsidRPr="00E40792">
                  <w:instrText xml:space="preserve"> PAGE </w:instrText>
                </w:r>
                <w:r w:rsidRPr="00E40792">
                  <w:fldChar w:fldCharType="separate"/>
                </w:r>
                <w:r w:rsidRPr="00E40792">
                  <w:t>1</w:t>
                </w:r>
                <w:r w:rsidRPr="00E40792">
                  <w:fldChar w:fldCharType="end"/>
                </w:r>
                <w:r w:rsidRPr="00E40792">
                  <w:t xml:space="preserve"> of </w:t>
                </w:r>
                <w:r w:rsidRPr="00E40792">
                  <w:fldChar w:fldCharType="begin"/>
                </w:r>
                <w:r w:rsidRPr="00E40792">
                  <w:instrText xml:space="preserve"> NUMPAGES  </w:instrText>
                </w:r>
                <w:r w:rsidRPr="00E40792">
                  <w:fldChar w:fldCharType="separate"/>
                </w:r>
                <w:r w:rsidRPr="00E40792">
                  <w:t>4</w:t>
                </w:r>
                <w:r w:rsidRPr="00E40792">
                  <w:fldChar w:fldCharType="end"/>
                </w:r>
              </w:sdtContent>
            </w:sdt>
          </w:sdtContent>
        </w:sdt>
        <w:r w:rsidRPr="00E40792">
          <w:t xml:space="preserve"> </w:t>
        </w:r>
      </w:sdtContent>
    </w:sdt>
  </w:p>
  <w:p w14:paraId="0BBEAB66" w14:textId="2511B2AF" w:rsidR="008D48C9" w:rsidRPr="00E40792" w:rsidRDefault="00FD47EB" w:rsidP="00E40792">
    <w:pPr>
      <w:pStyle w:val="Footer"/>
    </w:pPr>
    <w:r w:rsidRPr="00E40792">
      <w:t>Last updated – 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720C" w14:textId="4138D419" w:rsidR="003C2692" w:rsidRPr="00144290" w:rsidRDefault="003C2692" w:rsidP="00FE59C8">
    <w:pPr>
      <w:pStyle w:val="Footer"/>
      <w:rPr>
        <w:b/>
        <w:sz w:val="18"/>
        <w:szCs w:val="18"/>
      </w:rPr>
    </w:pPr>
    <w:r w:rsidRPr="00144290">
      <w:rPr>
        <w:b/>
        <w:sz w:val="18"/>
        <w:szCs w:val="18"/>
      </w:rPr>
      <w:t>Better Access initiative</w:t>
    </w:r>
    <w:r w:rsidR="00FD47EB" w:rsidRPr="00144290">
      <w:rPr>
        <w:b/>
        <w:sz w:val="18"/>
        <w:szCs w:val="18"/>
      </w:rPr>
      <w:t xml:space="preserve"> </w:t>
    </w:r>
    <w:r w:rsidRPr="00144290">
      <w:rPr>
        <w:b/>
        <w:sz w:val="18"/>
        <w:szCs w:val="18"/>
      </w:rPr>
      <w:t xml:space="preserve">– Patient Factsheet </w:t>
    </w:r>
    <w:sdt>
      <w:sdtPr>
        <w:rPr>
          <w:b/>
          <w:sz w:val="18"/>
          <w:szCs w:val="18"/>
        </w:rPr>
        <w:id w:val="-1401746750"/>
        <w:docPartObj>
          <w:docPartGallery w:val="Page Numbers (Bottom of Page)"/>
          <w:docPartUnique/>
        </w:docPartObj>
      </w:sdtPr>
      <w:sdtEndPr>
        <w:rPr>
          <w:noProof/>
        </w:rPr>
      </w:sdtEndPr>
      <w:sdtContent>
        <w:r w:rsidRPr="00144290">
          <w:rPr>
            <w:b/>
            <w:sz w:val="18"/>
            <w:szCs w:val="18"/>
          </w:rPr>
          <w:tab/>
        </w:r>
        <w:sdt>
          <w:sdtPr>
            <w:rPr>
              <w:b/>
              <w:sz w:val="18"/>
              <w:szCs w:val="18"/>
            </w:rPr>
            <w:id w:val="-310260570"/>
            <w:docPartObj>
              <w:docPartGallery w:val="Page Numbers (Bottom of Page)"/>
              <w:docPartUnique/>
            </w:docPartObj>
          </w:sdtPr>
          <w:sdtContent>
            <w:sdt>
              <w:sdtPr>
                <w:rPr>
                  <w:b/>
                  <w:sz w:val="18"/>
                  <w:szCs w:val="18"/>
                </w:rPr>
                <w:id w:val="1569537729"/>
                <w:docPartObj>
                  <w:docPartGallery w:val="Page Numbers (Top of Page)"/>
                  <w:docPartUnique/>
                </w:docPartObj>
              </w:sdtPr>
              <w:sdtContent>
                <w:r w:rsidR="0030052C" w:rsidRPr="00144290">
                  <w:rPr>
                    <w:b/>
                    <w:sz w:val="18"/>
                    <w:szCs w:val="18"/>
                  </w:rPr>
                  <w:tab/>
                </w:r>
                <w:r w:rsidRPr="00144290">
                  <w:rPr>
                    <w:b/>
                    <w:sz w:val="18"/>
                    <w:szCs w:val="18"/>
                  </w:rPr>
                  <w:t xml:space="preserve">Page </w:t>
                </w:r>
                <w:r w:rsidRPr="00144290">
                  <w:rPr>
                    <w:b/>
                    <w:sz w:val="18"/>
                    <w:szCs w:val="18"/>
                  </w:rPr>
                  <w:fldChar w:fldCharType="begin"/>
                </w:r>
                <w:r w:rsidRPr="00144290">
                  <w:rPr>
                    <w:b/>
                    <w:sz w:val="18"/>
                    <w:szCs w:val="18"/>
                  </w:rPr>
                  <w:instrText xml:space="preserve"> PAGE </w:instrText>
                </w:r>
                <w:r w:rsidRPr="00144290">
                  <w:rPr>
                    <w:b/>
                    <w:sz w:val="18"/>
                    <w:szCs w:val="18"/>
                  </w:rPr>
                  <w:fldChar w:fldCharType="separate"/>
                </w:r>
                <w:r w:rsidRPr="00144290">
                  <w:rPr>
                    <w:b/>
                    <w:sz w:val="18"/>
                    <w:szCs w:val="18"/>
                  </w:rPr>
                  <w:t>1</w:t>
                </w:r>
                <w:r w:rsidRPr="00144290">
                  <w:rPr>
                    <w:b/>
                    <w:sz w:val="18"/>
                    <w:szCs w:val="18"/>
                  </w:rPr>
                  <w:fldChar w:fldCharType="end"/>
                </w:r>
                <w:r w:rsidRPr="00144290">
                  <w:rPr>
                    <w:b/>
                    <w:sz w:val="18"/>
                    <w:szCs w:val="18"/>
                  </w:rPr>
                  <w:t xml:space="preserve"> of </w:t>
                </w:r>
                <w:r w:rsidRPr="00144290">
                  <w:rPr>
                    <w:b/>
                    <w:sz w:val="18"/>
                    <w:szCs w:val="18"/>
                  </w:rPr>
                  <w:fldChar w:fldCharType="begin"/>
                </w:r>
                <w:r w:rsidRPr="00144290">
                  <w:rPr>
                    <w:b/>
                    <w:sz w:val="18"/>
                    <w:szCs w:val="18"/>
                  </w:rPr>
                  <w:instrText xml:space="preserve"> NUMPAGES  </w:instrText>
                </w:r>
                <w:r w:rsidRPr="00144290">
                  <w:rPr>
                    <w:b/>
                    <w:sz w:val="18"/>
                    <w:szCs w:val="18"/>
                  </w:rPr>
                  <w:fldChar w:fldCharType="separate"/>
                </w:r>
                <w:r w:rsidRPr="00144290">
                  <w:rPr>
                    <w:b/>
                    <w:sz w:val="18"/>
                    <w:szCs w:val="18"/>
                  </w:rPr>
                  <w:t>4</w:t>
                </w:r>
                <w:r w:rsidRPr="00144290">
                  <w:rPr>
                    <w:b/>
                    <w:sz w:val="18"/>
                    <w:szCs w:val="18"/>
                  </w:rPr>
                  <w:fldChar w:fldCharType="end"/>
                </w:r>
              </w:sdtContent>
            </w:sdt>
          </w:sdtContent>
        </w:sdt>
        <w:r w:rsidRPr="00144290">
          <w:rPr>
            <w:b/>
            <w:sz w:val="18"/>
            <w:szCs w:val="18"/>
          </w:rPr>
          <w:t xml:space="preserve"> </w:t>
        </w:r>
      </w:sdtContent>
    </w:sdt>
  </w:p>
  <w:p w14:paraId="77B7F628" w14:textId="1EDA2432" w:rsidR="008D48C9" w:rsidRPr="00DE3355" w:rsidRDefault="003C2692" w:rsidP="003C2692">
    <w:pPr>
      <w:pStyle w:val="Footer"/>
      <w:tabs>
        <w:tab w:val="clear" w:pos="4513"/>
      </w:tabs>
    </w:pPr>
    <w:r w:rsidRPr="00A700B6">
      <w:rPr>
        <w:sz w:val="18"/>
        <w:szCs w:val="18"/>
      </w:rPr>
      <w:t xml:space="preserve">Last updated – </w:t>
    </w:r>
    <w:r>
      <w:rPr>
        <w:sz w:val="18"/>
        <w:szCs w:val="18"/>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90E1" w14:textId="77777777" w:rsidR="00891897" w:rsidRDefault="00891897" w:rsidP="00C04A1C">
      <w:r>
        <w:separator/>
      </w:r>
    </w:p>
  </w:footnote>
  <w:footnote w:type="continuationSeparator" w:id="0">
    <w:p w14:paraId="639173C9" w14:textId="77777777" w:rsidR="00891897" w:rsidRDefault="00891897" w:rsidP="006B56BB">
      <w:r>
        <w:continuationSeparator/>
      </w:r>
    </w:p>
    <w:p w14:paraId="5E13E505" w14:textId="77777777" w:rsidR="00891897" w:rsidRDefault="00891897"/>
  </w:footnote>
  <w:footnote w:type="continuationNotice" w:id="1">
    <w:p w14:paraId="618CC660" w14:textId="77777777" w:rsidR="00891897" w:rsidRDefault="00891897"/>
  </w:footnote>
  <w:footnote w:id="2">
    <w:p w14:paraId="31DA7E1D" w14:textId="515FA4B8" w:rsidR="00024F03" w:rsidRDefault="00024F03">
      <w:pPr>
        <w:pStyle w:val="FootnoteText"/>
      </w:pPr>
      <w:r w:rsidRPr="00024F03">
        <w:rPr>
          <w:rStyle w:val="FootnoteReference"/>
          <w:sz w:val="14"/>
          <w:szCs w:val="14"/>
        </w:rPr>
        <w:footnoteRef/>
      </w:r>
      <w:r w:rsidRPr="00024F03">
        <w:rPr>
          <w:sz w:val="14"/>
          <w:szCs w:val="14"/>
        </w:rPr>
        <w:t xml:space="preserve"> </w:t>
      </w:r>
      <w:r w:rsidRPr="00024F03">
        <w:rPr>
          <w:color w:val="000000" w:themeColor="text1"/>
          <w:sz w:val="16"/>
          <w:szCs w:val="14"/>
          <w:shd w:val="clear" w:color="auto" w:fill="FFFFFF"/>
        </w:rPr>
        <w:t>Diagnostic and Management Guidelines for Mental Disorders in Primary Care (ICD-10, Chapter 5, Primary Care Version), developed by the World Health Organisation</w:t>
      </w:r>
      <w:r>
        <w:rPr>
          <w:color w:val="000000" w:themeColor="text1"/>
          <w:sz w:val="16"/>
          <w:szCs w:val="14"/>
          <w:shd w:val="clear" w:color="auto" w:fill="FFFFFF"/>
        </w:rPr>
        <w:t>,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01E6" w14:textId="178D6349" w:rsidR="000902E3" w:rsidRDefault="000902E3">
    <w:pPr>
      <w:pStyle w:val="Header"/>
    </w:pPr>
    <w:r>
      <w:rPr>
        <w:noProof/>
      </w:rPr>
      <mc:AlternateContent>
        <mc:Choice Requires="wps">
          <w:drawing>
            <wp:anchor distT="0" distB="0" distL="0" distR="0" simplePos="0" relativeHeight="251658242" behindDoc="0" locked="0" layoutInCell="1" allowOverlap="1" wp14:anchorId="2626A75C" wp14:editId="372E0898">
              <wp:simplePos x="635" y="635"/>
              <wp:positionH relativeFrom="page">
                <wp:align>center</wp:align>
              </wp:positionH>
              <wp:positionV relativeFrom="page">
                <wp:align>top</wp:align>
              </wp:positionV>
              <wp:extent cx="551815" cy="376555"/>
              <wp:effectExtent l="0" t="0" r="635" b="4445"/>
              <wp:wrapNone/>
              <wp:docPr id="17950504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622C0A" w14:textId="5B4041D7" w:rsidR="000902E3" w:rsidRPr="000902E3" w:rsidRDefault="000902E3" w:rsidP="000902E3">
                          <w:pPr>
                            <w:rPr>
                              <w:rFonts w:ascii="Calibri" w:eastAsia="Calibri" w:hAnsi="Calibri" w:cs="Calibri"/>
                              <w:noProof/>
                              <w:color w:val="FF0000"/>
                              <w:sz w:val="24"/>
                            </w:rPr>
                          </w:pPr>
                          <w:r w:rsidRPr="000902E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75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2622C0A" w14:textId="5B4041D7" w:rsidR="000902E3" w:rsidRPr="000902E3" w:rsidRDefault="000902E3" w:rsidP="000902E3">
                    <w:pPr>
                      <w:rPr>
                        <w:rFonts w:ascii="Calibri" w:eastAsia="Calibri" w:hAnsi="Calibri" w:cs="Calibri"/>
                        <w:noProof/>
                        <w:color w:val="FF0000"/>
                        <w:sz w:val="24"/>
                      </w:rPr>
                    </w:pPr>
                    <w:r w:rsidRPr="000902E3">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4" w14:textId="089C6E7F" w:rsidR="008D48C9" w:rsidRDefault="000902E3" w:rsidP="00090316">
    <w:pPr>
      <w:pStyle w:val="Header"/>
    </w:pPr>
    <w:r>
      <w:rPr>
        <w:noProof/>
        <w:lang w:eastAsia="en-AU"/>
      </w:rPr>
      <mc:AlternateContent>
        <mc:Choice Requires="wps">
          <w:drawing>
            <wp:anchor distT="0" distB="0" distL="0" distR="0" simplePos="0" relativeHeight="251658243" behindDoc="0" locked="0" layoutInCell="1" allowOverlap="1" wp14:anchorId="7447A446" wp14:editId="504BB537">
              <wp:simplePos x="635" y="635"/>
              <wp:positionH relativeFrom="page">
                <wp:align>center</wp:align>
              </wp:positionH>
              <wp:positionV relativeFrom="page">
                <wp:align>top</wp:align>
              </wp:positionV>
              <wp:extent cx="551815" cy="376555"/>
              <wp:effectExtent l="0" t="0" r="635" b="4445"/>
              <wp:wrapNone/>
              <wp:docPr id="13246346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AD97A7" w14:textId="059F9B24" w:rsidR="000902E3" w:rsidRPr="000902E3" w:rsidRDefault="000902E3" w:rsidP="000902E3">
                          <w:pPr>
                            <w:rPr>
                              <w:rFonts w:ascii="Calibri" w:eastAsia="Calibri" w:hAnsi="Calibri" w:cs="Calibri"/>
                              <w:noProof/>
                              <w:color w:val="FF0000"/>
                              <w:sz w:val="24"/>
                            </w:rPr>
                          </w:pPr>
                          <w:r w:rsidRPr="000902E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47A446"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3AD97A7" w14:textId="059F9B24" w:rsidR="000902E3" w:rsidRPr="000902E3" w:rsidRDefault="000902E3" w:rsidP="000902E3">
                    <w:pPr>
                      <w:rPr>
                        <w:rFonts w:ascii="Calibri" w:eastAsia="Calibri" w:hAnsi="Calibri" w:cs="Calibri"/>
                        <w:noProof/>
                        <w:color w:val="FF0000"/>
                        <w:sz w:val="24"/>
                      </w:rPr>
                    </w:pPr>
                    <w:r w:rsidRPr="000902E3">
                      <w:rPr>
                        <w:rFonts w:ascii="Calibri" w:eastAsia="Calibri" w:hAnsi="Calibri" w:cs="Calibri"/>
                        <w:noProof/>
                        <w:color w:val="FF0000"/>
                        <w:sz w:val="24"/>
                      </w:rPr>
                      <w:t>OFFICIAL</w:t>
                    </w:r>
                  </w:p>
                </w:txbxContent>
              </v:textbox>
              <w10:wrap anchorx="page" anchory="page"/>
            </v:shape>
          </w:pict>
        </mc:Fallback>
      </mc:AlternateContent>
    </w:r>
    <w:r w:rsidR="008D48C9">
      <w:rPr>
        <w:noProof/>
        <w:lang w:eastAsia="en-AU"/>
      </w:rPr>
      <w:drawing>
        <wp:anchor distT="0" distB="0" distL="114300" distR="114300" simplePos="0" relativeHeight="251658240" behindDoc="0" locked="0" layoutInCell="1" allowOverlap="1" wp14:anchorId="0BBEAB69" wp14:editId="5DDC2EAB">
          <wp:simplePos x="0" y="0"/>
          <wp:positionH relativeFrom="column">
            <wp:posOffset>4688205</wp:posOffset>
          </wp:positionH>
          <wp:positionV relativeFrom="paragraph">
            <wp:posOffset>-3175</wp:posOffset>
          </wp:positionV>
          <wp:extent cx="1403985" cy="870585"/>
          <wp:effectExtent l="0" t="0" r="5715" b="5715"/>
          <wp:wrapSquare wrapText="bothSides"/>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870585"/>
                  </a:xfrm>
                  <a:prstGeom prst="rect">
                    <a:avLst/>
                  </a:prstGeom>
                </pic:spPr>
              </pic:pic>
            </a:graphicData>
          </a:graphic>
          <wp14:sizeRelH relativeFrom="margin">
            <wp14:pctWidth>0</wp14:pctWidth>
          </wp14:sizeRelH>
          <wp14:sizeRelV relativeFrom="margin">
            <wp14:pctHeight>0</wp14:pctHeight>
          </wp14:sizeRelV>
        </wp:anchor>
      </w:drawing>
    </w:r>
    <w:r w:rsidR="008D48C9">
      <w:rPr>
        <w:noProof/>
        <w:lang w:eastAsia="en-AU"/>
      </w:rPr>
      <w:drawing>
        <wp:inline distT="0" distB="0" distL="0" distR="0" wp14:anchorId="0BBEAB6B" wp14:editId="0982113E">
          <wp:extent cx="1404000" cy="932400"/>
          <wp:effectExtent l="0" t="0" r="5715" b="1270"/>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r w:rsidR="008D48C9">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4150" w14:textId="5780C92A" w:rsidR="000902E3" w:rsidRDefault="00725EA4">
    <w:pPr>
      <w:pStyle w:val="Header"/>
    </w:pPr>
    <w:r>
      <w:rPr>
        <w:noProof/>
        <w:lang w:eastAsia="en-AU"/>
      </w:rPr>
      <w:drawing>
        <wp:inline distT="0" distB="0" distL="0" distR="0" wp14:anchorId="45F28299" wp14:editId="5BA07271">
          <wp:extent cx="3343275" cy="533400"/>
          <wp:effectExtent l="0" t="0" r="9525" b="0"/>
          <wp:docPr id="1207914144" name="Picture 1" descr="A black background with a black square with coat of arms and Department of Health, Disability and Ageing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 black background with a black square with coat of arms and Department of Health, Disability and Ageing w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9976" w14:textId="6B93DE95" w:rsidR="008E0C77" w:rsidRDefault="008E0C77"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E5408790"/>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4E1584"/>
    <w:multiLevelType w:val="hybridMultilevel"/>
    <w:tmpl w:val="24D8C4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1967D1"/>
    <w:multiLevelType w:val="hybridMultilevel"/>
    <w:tmpl w:val="F2A8D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9EA217C0"/>
    <w:lvl w:ilvl="0" w:tplc="8FB46398">
      <w:start w:val="1"/>
      <w:numFmt w:val="decimal"/>
      <w:pStyle w:val="ListNumber2"/>
      <w:lvlText w:val="%1."/>
      <w:lvlJc w:val="left"/>
      <w:pPr>
        <w:ind w:left="644" w:hanging="360"/>
      </w:pPr>
      <w:rPr>
        <w:rFonts w:ascii="Calibri" w:hAnsi="Calibri" w:cs="Calibri" w:hint="default"/>
        <w:b w:val="0"/>
        <w:bCs w:val="0"/>
        <w:i w:val="0"/>
        <w:iCs w:val="0"/>
        <w:color w:val="auto"/>
        <w:spacing w:val="-8"/>
        <w:w w:val="92"/>
        <w:sz w:val="22"/>
        <w:szCs w:val="24"/>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16C0CE0"/>
    <w:multiLevelType w:val="multilevel"/>
    <w:tmpl w:val="389C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2EF532D"/>
    <w:multiLevelType w:val="hybridMultilevel"/>
    <w:tmpl w:val="23280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B8368BF"/>
    <w:multiLevelType w:val="multilevel"/>
    <w:tmpl w:val="6AB2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D28A2"/>
    <w:multiLevelType w:val="hybridMultilevel"/>
    <w:tmpl w:val="A982705A"/>
    <w:lvl w:ilvl="0" w:tplc="22662422">
      <w:start w:val="1"/>
      <w:numFmt w:val="decimal"/>
      <w:lvlText w:val="%1."/>
      <w:lvlJc w:val="left"/>
      <w:pPr>
        <w:ind w:left="1003" w:hanging="360"/>
      </w:pPr>
      <w:rPr>
        <w:rFonts w:ascii="Calibri" w:hAnsi="Calibri" w:cs="Calibri" w:hint="default"/>
        <w:b w:val="0"/>
        <w:bCs w:val="0"/>
        <w:i w:val="0"/>
        <w:iCs w:val="0"/>
        <w:color w:val="auto"/>
        <w:spacing w:val="-8"/>
        <w:w w:val="92"/>
        <w:sz w:val="22"/>
        <w:szCs w:val="24"/>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21" w15:restartNumberingAfterBreak="0">
    <w:nsid w:val="5EF528DD"/>
    <w:multiLevelType w:val="hybridMultilevel"/>
    <w:tmpl w:val="2E20D9A8"/>
    <w:lvl w:ilvl="0" w:tplc="9CB2D9C8">
      <w:start w:val="1"/>
      <w:numFmt w:val="lowerLetter"/>
      <w:pStyle w:val="ListContinue"/>
      <w:lvlText w:val="(%1)"/>
      <w:lvlJc w:val="lef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AC1627"/>
    <w:multiLevelType w:val="hybridMultilevel"/>
    <w:tmpl w:val="E6C6F9BA"/>
    <w:lvl w:ilvl="0" w:tplc="2488CCE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80400479">
    <w:abstractNumId w:val="7"/>
  </w:num>
  <w:num w:numId="2" w16cid:durableId="400567235">
    <w:abstractNumId w:val="17"/>
  </w:num>
  <w:num w:numId="3" w16cid:durableId="1731227457">
    <w:abstractNumId w:val="23"/>
  </w:num>
  <w:num w:numId="4" w16cid:durableId="214513472">
    <w:abstractNumId w:val="8"/>
  </w:num>
  <w:num w:numId="5" w16cid:durableId="357316697">
    <w:abstractNumId w:val="8"/>
    <w:lvlOverride w:ilvl="0">
      <w:startOverride w:val="1"/>
    </w:lvlOverride>
  </w:num>
  <w:num w:numId="6" w16cid:durableId="1351301535">
    <w:abstractNumId w:val="9"/>
  </w:num>
  <w:num w:numId="7" w16cid:durableId="1625426650">
    <w:abstractNumId w:val="16"/>
  </w:num>
  <w:num w:numId="8" w16cid:durableId="1213226498">
    <w:abstractNumId w:val="22"/>
  </w:num>
  <w:num w:numId="9" w16cid:durableId="1134062000">
    <w:abstractNumId w:val="5"/>
  </w:num>
  <w:num w:numId="10" w16cid:durableId="1998147114">
    <w:abstractNumId w:val="4"/>
  </w:num>
  <w:num w:numId="11" w16cid:durableId="1759406665">
    <w:abstractNumId w:val="3"/>
  </w:num>
  <w:num w:numId="12" w16cid:durableId="383259187">
    <w:abstractNumId w:val="2"/>
  </w:num>
  <w:num w:numId="13" w16cid:durableId="1369992455">
    <w:abstractNumId w:val="6"/>
  </w:num>
  <w:num w:numId="14" w16cid:durableId="613829984">
    <w:abstractNumId w:val="1"/>
  </w:num>
  <w:num w:numId="15" w16cid:durableId="818576657">
    <w:abstractNumId w:val="0"/>
  </w:num>
  <w:num w:numId="16" w16cid:durableId="1738437370">
    <w:abstractNumId w:val="25"/>
  </w:num>
  <w:num w:numId="17" w16cid:durableId="177350412">
    <w:abstractNumId w:val="10"/>
  </w:num>
  <w:num w:numId="18" w16cid:durableId="1465612380">
    <w:abstractNumId w:val="12"/>
  </w:num>
  <w:num w:numId="19" w16cid:durableId="57755287">
    <w:abstractNumId w:val="14"/>
  </w:num>
  <w:num w:numId="20" w16cid:durableId="529681866">
    <w:abstractNumId w:val="15"/>
  </w:num>
  <w:num w:numId="21" w16cid:durableId="1191644775">
    <w:abstractNumId w:val="19"/>
  </w:num>
  <w:num w:numId="22" w16cid:durableId="988902945">
    <w:abstractNumId w:val="10"/>
  </w:num>
  <w:num w:numId="23" w16cid:durableId="1645113997">
    <w:abstractNumId w:val="10"/>
  </w:num>
  <w:num w:numId="24" w16cid:durableId="74785489">
    <w:abstractNumId w:val="24"/>
  </w:num>
  <w:num w:numId="25" w16cid:durableId="481849739">
    <w:abstractNumId w:val="10"/>
  </w:num>
  <w:num w:numId="26" w16cid:durableId="1759057481">
    <w:abstractNumId w:val="13"/>
  </w:num>
  <w:num w:numId="27" w16cid:durableId="902638904">
    <w:abstractNumId w:val="10"/>
  </w:num>
  <w:num w:numId="28" w16cid:durableId="952781489">
    <w:abstractNumId w:val="10"/>
  </w:num>
  <w:num w:numId="29" w16cid:durableId="372458650">
    <w:abstractNumId w:val="10"/>
  </w:num>
  <w:num w:numId="30" w16cid:durableId="1065640156">
    <w:abstractNumId w:val="11"/>
  </w:num>
  <w:num w:numId="31" w16cid:durableId="1152867697">
    <w:abstractNumId w:val="18"/>
  </w:num>
  <w:num w:numId="32" w16cid:durableId="954869238">
    <w:abstractNumId w:val="10"/>
  </w:num>
  <w:num w:numId="33" w16cid:durableId="530998928">
    <w:abstractNumId w:val="20"/>
  </w:num>
  <w:num w:numId="34" w16cid:durableId="1224565225">
    <w:abstractNumId w:val="20"/>
    <w:lvlOverride w:ilvl="0">
      <w:startOverride w:val="1"/>
    </w:lvlOverride>
  </w:num>
  <w:num w:numId="35" w16cid:durableId="17272208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3743"/>
    <w:rsid w:val="000043CB"/>
    <w:rsid w:val="000047B4"/>
    <w:rsid w:val="00005712"/>
    <w:rsid w:val="00007929"/>
    <w:rsid w:val="00007FD8"/>
    <w:rsid w:val="000117F8"/>
    <w:rsid w:val="0001460F"/>
    <w:rsid w:val="000173FE"/>
    <w:rsid w:val="00022629"/>
    <w:rsid w:val="00024F03"/>
    <w:rsid w:val="00026139"/>
    <w:rsid w:val="00027601"/>
    <w:rsid w:val="000325F3"/>
    <w:rsid w:val="00033321"/>
    <w:rsid w:val="000338E5"/>
    <w:rsid w:val="00033ECC"/>
    <w:rsid w:val="0003422F"/>
    <w:rsid w:val="000374EE"/>
    <w:rsid w:val="00043066"/>
    <w:rsid w:val="00046FF0"/>
    <w:rsid w:val="00050176"/>
    <w:rsid w:val="000526B7"/>
    <w:rsid w:val="00063FFA"/>
    <w:rsid w:val="00066CCD"/>
    <w:rsid w:val="00067456"/>
    <w:rsid w:val="00071506"/>
    <w:rsid w:val="0007154F"/>
    <w:rsid w:val="000726E1"/>
    <w:rsid w:val="00081AB1"/>
    <w:rsid w:val="000902E3"/>
    <w:rsid w:val="00090316"/>
    <w:rsid w:val="00091BB2"/>
    <w:rsid w:val="00093981"/>
    <w:rsid w:val="00094FE7"/>
    <w:rsid w:val="000A11AB"/>
    <w:rsid w:val="000A6945"/>
    <w:rsid w:val="000A7273"/>
    <w:rsid w:val="000A76B1"/>
    <w:rsid w:val="000A7716"/>
    <w:rsid w:val="000B067A"/>
    <w:rsid w:val="000B0A8B"/>
    <w:rsid w:val="000B1540"/>
    <w:rsid w:val="000B1E53"/>
    <w:rsid w:val="000B33FD"/>
    <w:rsid w:val="000B41E7"/>
    <w:rsid w:val="000B4ABA"/>
    <w:rsid w:val="000C0678"/>
    <w:rsid w:val="000C0D12"/>
    <w:rsid w:val="000C396C"/>
    <w:rsid w:val="000C4A5C"/>
    <w:rsid w:val="000C4B16"/>
    <w:rsid w:val="000C50C3"/>
    <w:rsid w:val="000C5E14"/>
    <w:rsid w:val="000D21F6"/>
    <w:rsid w:val="000D3E6C"/>
    <w:rsid w:val="000D4500"/>
    <w:rsid w:val="000D7AEA"/>
    <w:rsid w:val="000E2C66"/>
    <w:rsid w:val="000E50C6"/>
    <w:rsid w:val="000E6412"/>
    <w:rsid w:val="000F123C"/>
    <w:rsid w:val="000F2FED"/>
    <w:rsid w:val="00101644"/>
    <w:rsid w:val="00103F90"/>
    <w:rsid w:val="0010616D"/>
    <w:rsid w:val="00110478"/>
    <w:rsid w:val="0011711B"/>
    <w:rsid w:val="00117F8A"/>
    <w:rsid w:val="00121B9B"/>
    <w:rsid w:val="00122326"/>
    <w:rsid w:val="00122ADC"/>
    <w:rsid w:val="00130F59"/>
    <w:rsid w:val="00130FF7"/>
    <w:rsid w:val="00133EC0"/>
    <w:rsid w:val="001341B9"/>
    <w:rsid w:val="00141CE5"/>
    <w:rsid w:val="00144290"/>
    <w:rsid w:val="00144908"/>
    <w:rsid w:val="00144D55"/>
    <w:rsid w:val="00151DD4"/>
    <w:rsid w:val="00152C60"/>
    <w:rsid w:val="001571C7"/>
    <w:rsid w:val="00161094"/>
    <w:rsid w:val="00162308"/>
    <w:rsid w:val="00162835"/>
    <w:rsid w:val="0017665C"/>
    <w:rsid w:val="00177AD2"/>
    <w:rsid w:val="00177E32"/>
    <w:rsid w:val="00180DAF"/>
    <w:rsid w:val="001815A8"/>
    <w:rsid w:val="00183D60"/>
    <w:rsid w:val="001840FA"/>
    <w:rsid w:val="00190079"/>
    <w:rsid w:val="001901E4"/>
    <w:rsid w:val="001903E0"/>
    <w:rsid w:val="00190A16"/>
    <w:rsid w:val="00192291"/>
    <w:rsid w:val="0019475D"/>
    <w:rsid w:val="0019622E"/>
    <w:rsid w:val="001966A7"/>
    <w:rsid w:val="001A31B5"/>
    <w:rsid w:val="001A4627"/>
    <w:rsid w:val="001A4979"/>
    <w:rsid w:val="001B15D3"/>
    <w:rsid w:val="001B1E1D"/>
    <w:rsid w:val="001B2555"/>
    <w:rsid w:val="001B3443"/>
    <w:rsid w:val="001C0326"/>
    <w:rsid w:val="001C192F"/>
    <w:rsid w:val="001C253A"/>
    <w:rsid w:val="001C3C42"/>
    <w:rsid w:val="001C678A"/>
    <w:rsid w:val="001C7211"/>
    <w:rsid w:val="001C7E70"/>
    <w:rsid w:val="001D384E"/>
    <w:rsid w:val="001D4196"/>
    <w:rsid w:val="001D4279"/>
    <w:rsid w:val="001D7869"/>
    <w:rsid w:val="001E2788"/>
    <w:rsid w:val="001E5490"/>
    <w:rsid w:val="001E5BCE"/>
    <w:rsid w:val="001E782F"/>
    <w:rsid w:val="001F0403"/>
    <w:rsid w:val="001F3692"/>
    <w:rsid w:val="001F3874"/>
    <w:rsid w:val="002026CD"/>
    <w:rsid w:val="002033FC"/>
    <w:rsid w:val="002041B9"/>
    <w:rsid w:val="002044BB"/>
    <w:rsid w:val="00205503"/>
    <w:rsid w:val="0020597E"/>
    <w:rsid w:val="00210B09"/>
    <w:rsid w:val="00210C9E"/>
    <w:rsid w:val="00211840"/>
    <w:rsid w:val="00211D35"/>
    <w:rsid w:val="00211FA8"/>
    <w:rsid w:val="00220E5F"/>
    <w:rsid w:val="002212B5"/>
    <w:rsid w:val="00222852"/>
    <w:rsid w:val="00226668"/>
    <w:rsid w:val="00233809"/>
    <w:rsid w:val="002338CA"/>
    <w:rsid w:val="00240046"/>
    <w:rsid w:val="00246E36"/>
    <w:rsid w:val="0024797F"/>
    <w:rsid w:val="0025119E"/>
    <w:rsid w:val="00251269"/>
    <w:rsid w:val="00251B3D"/>
    <w:rsid w:val="002527F7"/>
    <w:rsid w:val="002535C0"/>
    <w:rsid w:val="002541C4"/>
    <w:rsid w:val="002579FE"/>
    <w:rsid w:val="0026311C"/>
    <w:rsid w:val="00264FFD"/>
    <w:rsid w:val="00265710"/>
    <w:rsid w:val="0026668C"/>
    <w:rsid w:val="00266AC1"/>
    <w:rsid w:val="00266F32"/>
    <w:rsid w:val="0027019D"/>
    <w:rsid w:val="0027178C"/>
    <w:rsid w:val="002719FA"/>
    <w:rsid w:val="00272668"/>
    <w:rsid w:val="0027330B"/>
    <w:rsid w:val="00273F3B"/>
    <w:rsid w:val="002803AD"/>
    <w:rsid w:val="00281F01"/>
    <w:rsid w:val="00282052"/>
    <w:rsid w:val="00282625"/>
    <w:rsid w:val="00283D79"/>
    <w:rsid w:val="0028519E"/>
    <w:rsid w:val="002856A5"/>
    <w:rsid w:val="002872ED"/>
    <w:rsid w:val="00287E4F"/>
    <w:rsid w:val="002905C2"/>
    <w:rsid w:val="00295AF2"/>
    <w:rsid w:val="00295C91"/>
    <w:rsid w:val="00297151"/>
    <w:rsid w:val="00297777"/>
    <w:rsid w:val="002A054D"/>
    <w:rsid w:val="002B20E6"/>
    <w:rsid w:val="002B42A3"/>
    <w:rsid w:val="002B4E1F"/>
    <w:rsid w:val="002C0CDD"/>
    <w:rsid w:val="002C247C"/>
    <w:rsid w:val="002C38C4"/>
    <w:rsid w:val="002C4CBA"/>
    <w:rsid w:val="002D2EB5"/>
    <w:rsid w:val="002D71E4"/>
    <w:rsid w:val="002E1A1D"/>
    <w:rsid w:val="002E4081"/>
    <w:rsid w:val="002E516D"/>
    <w:rsid w:val="002E5B78"/>
    <w:rsid w:val="002F3AE3"/>
    <w:rsid w:val="002F431E"/>
    <w:rsid w:val="002F55AE"/>
    <w:rsid w:val="002F724C"/>
    <w:rsid w:val="0030052C"/>
    <w:rsid w:val="00301AC6"/>
    <w:rsid w:val="0030464B"/>
    <w:rsid w:val="00304A70"/>
    <w:rsid w:val="00305D17"/>
    <w:rsid w:val="0030786C"/>
    <w:rsid w:val="003233DE"/>
    <w:rsid w:val="0032466B"/>
    <w:rsid w:val="00326C35"/>
    <w:rsid w:val="00331C91"/>
    <w:rsid w:val="003330EB"/>
    <w:rsid w:val="00333DB2"/>
    <w:rsid w:val="0033467E"/>
    <w:rsid w:val="003406F4"/>
    <w:rsid w:val="003415FD"/>
    <w:rsid w:val="003429F0"/>
    <w:rsid w:val="003442A2"/>
    <w:rsid w:val="00344C69"/>
    <w:rsid w:val="00345A82"/>
    <w:rsid w:val="0035097A"/>
    <w:rsid w:val="00351C5E"/>
    <w:rsid w:val="003540A4"/>
    <w:rsid w:val="00357BCC"/>
    <w:rsid w:val="00360E4E"/>
    <w:rsid w:val="0036117E"/>
    <w:rsid w:val="003617E9"/>
    <w:rsid w:val="00363FD9"/>
    <w:rsid w:val="00370AAA"/>
    <w:rsid w:val="003714FA"/>
    <w:rsid w:val="00375A31"/>
    <w:rsid w:val="00375F77"/>
    <w:rsid w:val="00381BBE"/>
    <w:rsid w:val="00382903"/>
    <w:rsid w:val="003846FF"/>
    <w:rsid w:val="003857D4"/>
    <w:rsid w:val="00385AD4"/>
    <w:rsid w:val="0038654C"/>
    <w:rsid w:val="00387924"/>
    <w:rsid w:val="00393007"/>
    <w:rsid w:val="0039384D"/>
    <w:rsid w:val="00395C23"/>
    <w:rsid w:val="003A2E4F"/>
    <w:rsid w:val="003A4438"/>
    <w:rsid w:val="003A5013"/>
    <w:rsid w:val="003A5078"/>
    <w:rsid w:val="003A62DD"/>
    <w:rsid w:val="003A775A"/>
    <w:rsid w:val="003B213A"/>
    <w:rsid w:val="003B40BD"/>
    <w:rsid w:val="003B43AD"/>
    <w:rsid w:val="003B4C22"/>
    <w:rsid w:val="003C0FEC"/>
    <w:rsid w:val="003C2692"/>
    <w:rsid w:val="003C2A7D"/>
    <w:rsid w:val="003C2AC8"/>
    <w:rsid w:val="003D033A"/>
    <w:rsid w:val="003D17F9"/>
    <w:rsid w:val="003D2038"/>
    <w:rsid w:val="003D2D88"/>
    <w:rsid w:val="003D41EA"/>
    <w:rsid w:val="003D4850"/>
    <w:rsid w:val="003D535A"/>
    <w:rsid w:val="003D5B2E"/>
    <w:rsid w:val="003E122B"/>
    <w:rsid w:val="003E4C81"/>
    <w:rsid w:val="003E5265"/>
    <w:rsid w:val="003F0955"/>
    <w:rsid w:val="003F47C5"/>
    <w:rsid w:val="003F5F4D"/>
    <w:rsid w:val="003F646F"/>
    <w:rsid w:val="00400F00"/>
    <w:rsid w:val="00404F8B"/>
    <w:rsid w:val="00405256"/>
    <w:rsid w:val="00410031"/>
    <w:rsid w:val="00415C81"/>
    <w:rsid w:val="00416427"/>
    <w:rsid w:val="00417239"/>
    <w:rsid w:val="004215B1"/>
    <w:rsid w:val="00421B1D"/>
    <w:rsid w:val="00421B1F"/>
    <w:rsid w:val="00430A2C"/>
    <w:rsid w:val="00432378"/>
    <w:rsid w:val="00432BE5"/>
    <w:rsid w:val="00434A59"/>
    <w:rsid w:val="00440D65"/>
    <w:rsid w:val="004435E6"/>
    <w:rsid w:val="0044682B"/>
    <w:rsid w:val="00446B3E"/>
    <w:rsid w:val="00447E31"/>
    <w:rsid w:val="00452538"/>
    <w:rsid w:val="00452BC2"/>
    <w:rsid w:val="00452DBD"/>
    <w:rsid w:val="00453923"/>
    <w:rsid w:val="00454B9B"/>
    <w:rsid w:val="00455795"/>
    <w:rsid w:val="00457858"/>
    <w:rsid w:val="00460B0B"/>
    <w:rsid w:val="00461002"/>
    <w:rsid w:val="00461023"/>
    <w:rsid w:val="0046133F"/>
    <w:rsid w:val="00462877"/>
    <w:rsid w:val="00462FAC"/>
    <w:rsid w:val="00464631"/>
    <w:rsid w:val="00464B79"/>
    <w:rsid w:val="0046567F"/>
    <w:rsid w:val="00467BBF"/>
    <w:rsid w:val="00471B8A"/>
    <w:rsid w:val="00474491"/>
    <w:rsid w:val="004761F4"/>
    <w:rsid w:val="0048005C"/>
    <w:rsid w:val="0048593C"/>
    <w:rsid w:val="004867E2"/>
    <w:rsid w:val="00486C85"/>
    <w:rsid w:val="00486D7D"/>
    <w:rsid w:val="004929A9"/>
    <w:rsid w:val="004A0746"/>
    <w:rsid w:val="004A3839"/>
    <w:rsid w:val="004A592E"/>
    <w:rsid w:val="004A78D9"/>
    <w:rsid w:val="004B2370"/>
    <w:rsid w:val="004C2ECD"/>
    <w:rsid w:val="004C6BCF"/>
    <w:rsid w:val="004D20B1"/>
    <w:rsid w:val="004D58BF"/>
    <w:rsid w:val="004E4335"/>
    <w:rsid w:val="004F13EE"/>
    <w:rsid w:val="004F2022"/>
    <w:rsid w:val="004F3C9C"/>
    <w:rsid w:val="004F4F2F"/>
    <w:rsid w:val="004F7651"/>
    <w:rsid w:val="004F7C05"/>
    <w:rsid w:val="00501847"/>
    <w:rsid w:val="00501C94"/>
    <w:rsid w:val="0050641D"/>
    <w:rsid w:val="00506432"/>
    <w:rsid w:val="00517704"/>
    <w:rsid w:val="0052051D"/>
    <w:rsid w:val="00521AE1"/>
    <w:rsid w:val="0052224C"/>
    <w:rsid w:val="005242E8"/>
    <w:rsid w:val="00527BA1"/>
    <w:rsid w:val="00530E37"/>
    <w:rsid w:val="00533E4A"/>
    <w:rsid w:val="00541718"/>
    <w:rsid w:val="00545EE6"/>
    <w:rsid w:val="0055003A"/>
    <w:rsid w:val="005513CB"/>
    <w:rsid w:val="0055183B"/>
    <w:rsid w:val="005523D8"/>
    <w:rsid w:val="005550E7"/>
    <w:rsid w:val="005564FB"/>
    <w:rsid w:val="005572C7"/>
    <w:rsid w:val="005635BC"/>
    <w:rsid w:val="005650ED"/>
    <w:rsid w:val="00575754"/>
    <w:rsid w:val="00576251"/>
    <w:rsid w:val="00581643"/>
    <w:rsid w:val="00581FBA"/>
    <w:rsid w:val="00583B1C"/>
    <w:rsid w:val="00584C99"/>
    <w:rsid w:val="00585620"/>
    <w:rsid w:val="0058793E"/>
    <w:rsid w:val="00591D1F"/>
    <w:rsid w:val="00591E20"/>
    <w:rsid w:val="005927D7"/>
    <w:rsid w:val="00595408"/>
    <w:rsid w:val="00595B03"/>
    <w:rsid w:val="00595B6A"/>
    <w:rsid w:val="00595E84"/>
    <w:rsid w:val="005A0C59"/>
    <w:rsid w:val="005A0F0F"/>
    <w:rsid w:val="005A48EB"/>
    <w:rsid w:val="005A5AAF"/>
    <w:rsid w:val="005A6CFB"/>
    <w:rsid w:val="005B2642"/>
    <w:rsid w:val="005B6BF8"/>
    <w:rsid w:val="005C518E"/>
    <w:rsid w:val="005C5AEB"/>
    <w:rsid w:val="005D12A8"/>
    <w:rsid w:val="005E0A3F"/>
    <w:rsid w:val="005E5AE6"/>
    <w:rsid w:val="005E6883"/>
    <w:rsid w:val="005E772F"/>
    <w:rsid w:val="005F4ECA"/>
    <w:rsid w:val="005F5ACA"/>
    <w:rsid w:val="005F5EC5"/>
    <w:rsid w:val="005F776F"/>
    <w:rsid w:val="00603837"/>
    <w:rsid w:val="006041BE"/>
    <w:rsid w:val="006043C7"/>
    <w:rsid w:val="0060532B"/>
    <w:rsid w:val="006116AB"/>
    <w:rsid w:val="00614D12"/>
    <w:rsid w:val="00624B52"/>
    <w:rsid w:val="00630794"/>
    <w:rsid w:val="00631DF4"/>
    <w:rsid w:val="00634175"/>
    <w:rsid w:val="006353C3"/>
    <w:rsid w:val="006408AC"/>
    <w:rsid w:val="00642DD4"/>
    <w:rsid w:val="006511B6"/>
    <w:rsid w:val="00657FF8"/>
    <w:rsid w:val="00664496"/>
    <w:rsid w:val="00664898"/>
    <w:rsid w:val="00670D99"/>
    <w:rsid w:val="00670E2B"/>
    <w:rsid w:val="0067103A"/>
    <w:rsid w:val="006734BB"/>
    <w:rsid w:val="0067697A"/>
    <w:rsid w:val="006821EB"/>
    <w:rsid w:val="006827D6"/>
    <w:rsid w:val="0068369C"/>
    <w:rsid w:val="00684062"/>
    <w:rsid w:val="00685493"/>
    <w:rsid w:val="00691429"/>
    <w:rsid w:val="00691793"/>
    <w:rsid w:val="00692998"/>
    <w:rsid w:val="006B2286"/>
    <w:rsid w:val="006B2ABA"/>
    <w:rsid w:val="006B3A9A"/>
    <w:rsid w:val="006B56BB"/>
    <w:rsid w:val="006C02D4"/>
    <w:rsid w:val="006C77A8"/>
    <w:rsid w:val="006D4098"/>
    <w:rsid w:val="006D7681"/>
    <w:rsid w:val="006D7B2E"/>
    <w:rsid w:val="006E02EA"/>
    <w:rsid w:val="006E0968"/>
    <w:rsid w:val="006E1BEB"/>
    <w:rsid w:val="006E2AF6"/>
    <w:rsid w:val="006E3EAD"/>
    <w:rsid w:val="006F0E51"/>
    <w:rsid w:val="00701275"/>
    <w:rsid w:val="00707F56"/>
    <w:rsid w:val="00713558"/>
    <w:rsid w:val="00714174"/>
    <w:rsid w:val="0071489A"/>
    <w:rsid w:val="007209D7"/>
    <w:rsid w:val="00720D08"/>
    <w:rsid w:val="00722DFE"/>
    <w:rsid w:val="00725EA4"/>
    <w:rsid w:val="007263B9"/>
    <w:rsid w:val="00730E51"/>
    <w:rsid w:val="007334F8"/>
    <w:rsid w:val="007339CD"/>
    <w:rsid w:val="007359D8"/>
    <w:rsid w:val="007362D4"/>
    <w:rsid w:val="00745253"/>
    <w:rsid w:val="007618F9"/>
    <w:rsid w:val="00764094"/>
    <w:rsid w:val="0076672A"/>
    <w:rsid w:val="00771F08"/>
    <w:rsid w:val="00775E45"/>
    <w:rsid w:val="00776E74"/>
    <w:rsid w:val="00781AC8"/>
    <w:rsid w:val="00785169"/>
    <w:rsid w:val="00786B27"/>
    <w:rsid w:val="007907E2"/>
    <w:rsid w:val="007954AB"/>
    <w:rsid w:val="00797669"/>
    <w:rsid w:val="007A14C5"/>
    <w:rsid w:val="007A2092"/>
    <w:rsid w:val="007A4071"/>
    <w:rsid w:val="007A481A"/>
    <w:rsid w:val="007A4A10"/>
    <w:rsid w:val="007A65BB"/>
    <w:rsid w:val="007B1760"/>
    <w:rsid w:val="007B410F"/>
    <w:rsid w:val="007B5476"/>
    <w:rsid w:val="007B6E3E"/>
    <w:rsid w:val="007C1FDC"/>
    <w:rsid w:val="007C6D9C"/>
    <w:rsid w:val="007C7DDB"/>
    <w:rsid w:val="007D2CC7"/>
    <w:rsid w:val="007D673D"/>
    <w:rsid w:val="007D7F19"/>
    <w:rsid w:val="007E4D09"/>
    <w:rsid w:val="007F2220"/>
    <w:rsid w:val="007F284E"/>
    <w:rsid w:val="007F31D3"/>
    <w:rsid w:val="007F4844"/>
    <w:rsid w:val="007F4B3E"/>
    <w:rsid w:val="00811796"/>
    <w:rsid w:val="008127AF"/>
    <w:rsid w:val="00812B46"/>
    <w:rsid w:val="00815700"/>
    <w:rsid w:val="00816165"/>
    <w:rsid w:val="008172DC"/>
    <w:rsid w:val="008264EB"/>
    <w:rsid w:val="00826B8F"/>
    <w:rsid w:val="00831E8A"/>
    <w:rsid w:val="00832CE1"/>
    <w:rsid w:val="00833987"/>
    <w:rsid w:val="0083591A"/>
    <w:rsid w:val="00835C76"/>
    <w:rsid w:val="008376E2"/>
    <w:rsid w:val="00843049"/>
    <w:rsid w:val="00843619"/>
    <w:rsid w:val="0084610B"/>
    <w:rsid w:val="0085209B"/>
    <w:rsid w:val="00853894"/>
    <w:rsid w:val="00856B66"/>
    <w:rsid w:val="008601AC"/>
    <w:rsid w:val="00860E0C"/>
    <w:rsid w:val="00861A5F"/>
    <w:rsid w:val="00862FB1"/>
    <w:rsid w:val="008644AD"/>
    <w:rsid w:val="00865735"/>
    <w:rsid w:val="00865DDB"/>
    <w:rsid w:val="00865EBA"/>
    <w:rsid w:val="00867538"/>
    <w:rsid w:val="00873D90"/>
    <w:rsid w:val="00873FC8"/>
    <w:rsid w:val="00884C63"/>
    <w:rsid w:val="00885048"/>
    <w:rsid w:val="00885908"/>
    <w:rsid w:val="00885B62"/>
    <w:rsid w:val="008864B7"/>
    <w:rsid w:val="00891897"/>
    <w:rsid w:val="00891C1B"/>
    <w:rsid w:val="0089677E"/>
    <w:rsid w:val="008A1686"/>
    <w:rsid w:val="008A40D5"/>
    <w:rsid w:val="008A47FD"/>
    <w:rsid w:val="008A7438"/>
    <w:rsid w:val="008B1334"/>
    <w:rsid w:val="008B25C7"/>
    <w:rsid w:val="008C0278"/>
    <w:rsid w:val="008C24E9"/>
    <w:rsid w:val="008C2AE9"/>
    <w:rsid w:val="008D039F"/>
    <w:rsid w:val="008D0533"/>
    <w:rsid w:val="008D2C14"/>
    <w:rsid w:val="008D37BD"/>
    <w:rsid w:val="008D42CB"/>
    <w:rsid w:val="008D48C9"/>
    <w:rsid w:val="008D6381"/>
    <w:rsid w:val="008E0C77"/>
    <w:rsid w:val="008E15B0"/>
    <w:rsid w:val="008E625F"/>
    <w:rsid w:val="008F264D"/>
    <w:rsid w:val="009040E9"/>
    <w:rsid w:val="009074E1"/>
    <w:rsid w:val="009112F7"/>
    <w:rsid w:val="009122AF"/>
    <w:rsid w:val="00912D54"/>
    <w:rsid w:val="0091389F"/>
    <w:rsid w:val="00916058"/>
    <w:rsid w:val="0091709A"/>
    <w:rsid w:val="009208F7"/>
    <w:rsid w:val="00921649"/>
    <w:rsid w:val="00922517"/>
    <w:rsid w:val="00922722"/>
    <w:rsid w:val="009261E6"/>
    <w:rsid w:val="009268E1"/>
    <w:rsid w:val="00930194"/>
    <w:rsid w:val="00933C10"/>
    <w:rsid w:val="009344DE"/>
    <w:rsid w:val="00935E7F"/>
    <w:rsid w:val="00945E7F"/>
    <w:rsid w:val="00952AAF"/>
    <w:rsid w:val="009557C1"/>
    <w:rsid w:val="00956BB8"/>
    <w:rsid w:val="00960D6E"/>
    <w:rsid w:val="0096299B"/>
    <w:rsid w:val="00974B59"/>
    <w:rsid w:val="00975B57"/>
    <w:rsid w:val="0098340B"/>
    <w:rsid w:val="00986830"/>
    <w:rsid w:val="009924C3"/>
    <w:rsid w:val="00993102"/>
    <w:rsid w:val="0099346A"/>
    <w:rsid w:val="00996C7B"/>
    <w:rsid w:val="009A3579"/>
    <w:rsid w:val="009A3AF2"/>
    <w:rsid w:val="009B1570"/>
    <w:rsid w:val="009B240A"/>
    <w:rsid w:val="009C5D34"/>
    <w:rsid w:val="009C6F10"/>
    <w:rsid w:val="009D148F"/>
    <w:rsid w:val="009D3D70"/>
    <w:rsid w:val="009D56F4"/>
    <w:rsid w:val="009E6F08"/>
    <w:rsid w:val="009E6F7E"/>
    <w:rsid w:val="009E7A57"/>
    <w:rsid w:val="009F0E9A"/>
    <w:rsid w:val="009F479C"/>
    <w:rsid w:val="009F4803"/>
    <w:rsid w:val="009F4F6A"/>
    <w:rsid w:val="009F5197"/>
    <w:rsid w:val="00A12539"/>
    <w:rsid w:val="00A13B67"/>
    <w:rsid w:val="00A13EB5"/>
    <w:rsid w:val="00A16E36"/>
    <w:rsid w:val="00A20DC1"/>
    <w:rsid w:val="00A22A38"/>
    <w:rsid w:val="00A24961"/>
    <w:rsid w:val="00A24B10"/>
    <w:rsid w:val="00A277EF"/>
    <w:rsid w:val="00A300F2"/>
    <w:rsid w:val="00A30C00"/>
    <w:rsid w:val="00A30E9B"/>
    <w:rsid w:val="00A33D65"/>
    <w:rsid w:val="00A36012"/>
    <w:rsid w:val="00A4512D"/>
    <w:rsid w:val="00A46352"/>
    <w:rsid w:val="00A470C9"/>
    <w:rsid w:val="00A500A7"/>
    <w:rsid w:val="00A50244"/>
    <w:rsid w:val="00A52460"/>
    <w:rsid w:val="00A52DB0"/>
    <w:rsid w:val="00A54256"/>
    <w:rsid w:val="00A57102"/>
    <w:rsid w:val="00A60729"/>
    <w:rsid w:val="00A627D7"/>
    <w:rsid w:val="00A656C7"/>
    <w:rsid w:val="00A6584D"/>
    <w:rsid w:val="00A65F3F"/>
    <w:rsid w:val="00A705AF"/>
    <w:rsid w:val="00A70D92"/>
    <w:rsid w:val="00A72454"/>
    <w:rsid w:val="00A73A38"/>
    <w:rsid w:val="00A755DD"/>
    <w:rsid w:val="00A77696"/>
    <w:rsid w:val="00A80557"/>
    <w:rsid w:val="00A81D33"/>
    <w:rsid w:val="00A8341C"/>
    <w:rsid w:val="00A930AE"/>
    <w:rsid w:val="00AA1A95"/>
    <w:rsid w:val="00AA260F"/>
    <w:rsid w:val="00AA301A"/>
    <w:rsid w:val="00AA6338"/>
    <w:rsid w:val="00AB1EE7"/>
    <w:rsid w:val="00AB4B37"/>
    <w:rsid w:val="00AB5762"/>
    <w:rsid w:val="00AB5BBF"/>
    <w:rsid w:val="00AB65F0"/>
    <w:rsid w:val="00AC1E12"/>
    <w:rsid w:val="00AC2083"/>
    <w:rsid w:val="00AC2679"/>
    <w:rsid w:val="00AC4710"/>
    <w:rsid w:val="00AC4BE4"/>
    <w:rsid w:val="00AD0247"/>
    <w:rsid w:val="00AD05E6"/>
    <w:rsid w:val="00AD0D3F"/>
    <w:rsid w:val="00AD556C"/>
    <w:rsid w:val="00AE05CF"/>
    <w:rsid w:val="00AE1A93"/>
    <w:rsid w:val="00AE1D7D"/>
    <w:rsid w:val="00AE2A8B"/>
    <w:rsid w:val="00AE3F64"/>
    <w:rsid w:val="00AE784A"/>
    <w:rsid w:val="00AF7386"/>
    <w:rsid w:val="00AF7934"/>
    <w:rsid w:val="00B00B81"/>
    <w:rsid w:val="00B04580"/>
    <w:rsid w:val="00B04B09"/>
    <w:rsid w:val="00B152FF"/>
    <w:rsid w:val="00B16A51"/>
    <w:rsid w:val="00B241BC"/>
    <w:rsid w:val="00B2555F"/>
    <w:rsid w:val="00B31A2B"/>
    <w:rsid w:val="00B32222"/>
    <w:rsid w:val="00B33A4B"/>
    <w:rsid w:val="00B3498B"/>
    <w:rsid w:val="00B3618D"/>
    <w:rsid w:val="00B36233"/>
    <w:rsid w:val="00B42851"/>
    <w:rsid w:val="00B4540A"/>
    <w:rsid w:val="00B45AC7"/>
    <w:rsid w:val="00B463B6"/>
    <w:rsid w:val="00B516E9"/>
    <w:rsid w:val="00B5372F"/>
    <w:rsid w:val="00B56C1E"/>
    <w:rsid w:val="00B60FB0"/>
    <w:rsid w:val="00B6102D"/>
    <w:rsid w:val="00B61129"/>
    <w:rsid w:val="00B6666A"/>
    <w:rsid w:val="00B675F5"/>
    <w:rsid w:val="00B67E7F"/>
    <w:rsid w:val="00B723C5"/>
    <w:rsid w:val="00B7340E"/>
    <w:rsid w:val="00B75295"/>
    <w:rsid w:val="00B839B2"/>
    <w:rsid w:val="00B93526"/>
    <w:rsid w:val="00B94252"/>
    <w:rsid w:val="00B95B9E"/>
    <w:rsid w:val="00B95C8B"/>
    <w:rsid w:val="00B9715A"/>
    <w:rsid w:val="00BA14BE"/>
    <w:rsid w:val="00BA2732"/>
    <w:rsid w:val="00BA293D"/>
    <w:rsid w:val="00BA49BC"/>
    <w:rsid w:val="00BA56B7"/>
    <w:rsid w:val="00BA7A1E"/>
    <w:rsid w:val="00BB1408"/>
    <w:rsid w:val="00BB1688"/>
    <w:rsid w:val="00BB23CA"/>
    <w:rsid w:val="00BB2F6C"/>
    <w:rsid w:val="00BB3875"/>
    <w:rsid w:val="00BB5860"/>
    <w:rsid w:val="00BB6AAD"/>
    <w:rsid w:val="00BC02B3"/>
    <w:rsid w:val="00BC4A19"/>
    <w:rsid w:val="00BC4E6D"/>
    <w:rsid w:val="00BC6D59"/>
    <w:rsid w:val="00BC770D"/>
    <w:rsid w:val="00BC7F0A"/>
    <w:rsid w:val="00BD0617"/>
    <w:rsid w:val="00BD2E9B"/>
    <w:rsid w:val="00BD53E7"/>
    <w:rsid w:val="00BD7E47"/>
    <w:rsid w:val="00BD7FB2"/>
    <w:rsid w:val="00BE0AB7"/>
    <w:rsid w:val="00BE7DF9"/>
    <w:rsid w:val="00BF4190"/>
    <w:rsid w:val="00BF58BA"/>
    <w:rsid w:val="00BF698F"/>
    <w:rsid w:val="00C00930"/>
    <w:rsid w:val="00C04A1C"/>
    <w:rsid w:val="00C060AD"/>
    <w:rsid w:val="00C10EB9"/>
    <w:rsid w:val="00C113BF"/>
    <w:rsid w:val="00C12A10"/>
    <w:rsid w:val="00C1761B"/>
    <w:rsid w:val="00C2176E"/>
    <w:rsid w:val="00C21C4E"/>
    <w:rsid w:val="00C22C08"/>
    <w:rsid w:val="00C22F95"/>
    <w:rsid w:val="00C23430"/>
    <w:rsid w:val="00C253D1"/>
    <w:rsid w:val="00C27D67"/>
    <w:rsid w:val="00C338C6"/>
    <w:rsid w:val="00C3656B"/>
    <w:rsid w:val="00C37090"/>
    <w:rsid w:val="00C42559"/>
    <w:rsid w:val="00C45EFB"/>
    <w:rsid w:val="00C460AC"/>
    <w:rsid w:val="00C4631F"/>
    <w:rsid w:val="00C47CDE"/>
    <w:rsid w:val="00C50B73"/>
    <w:rsid w:val="00C50E16"/>
    <w:rsid w:val="00C51312"/>
    <w:rsid w:val="00C55258"/>
    <w:rsid w:val="00C6449E"/>
    <w:rsid w:val="00C70E33"/>
    <w:rsid w:val="00C763B3"/>
    <w:rsid w:val="00C77F23"/>
    <w:rsid w:val="00C82EEB"/>
    <w:rsid w:val="00C868D0"/>
    <w:rsid w:val="00C971DC"/>
    <w:rsid w:val="00CA16B7"/>
    <w:rsid w:val="00CA2C6A"/>
    <w:rsid w:val="00CA4F27"/>
    <w:rsid w:val="00CA5C11"/>
    <w:rsid w:val="00CA62AE"/>
    <w:rsid w:val="00CB076D"/>
    <w:rsid w:val="00CB5B1A"/>
    <w:rsid w:val="00CB5F99"/>
    <w:rsid w:val="00CB5FBB"/>
    <w:rsid w:val="00CB79A5"/>
    <w:rsid w:val="00CC220B"/>
    <w:rsid w:val="00CC250C"/>
    <w:rsid w:val="00CC5C43"/>
    <w:rsid w:val="00CD02AE"/>
    <w:rsid w:val="00CD2A4F"/>
    <w:rsid w:val="00CE03CA"/>
    <w:rsid w:val="00CE22F1"/>
    <w:rsid w:val="00CE2D36"/>
    <w:rsid w:val="00CE34BF"/>
    <w:rsid w:val="00CE422C"/>
    <w:rsid w:val="00CE50F2"/>
    <w:rsid w:val="00CE6502"/>
    <w:rsid w:val="00CE769A"/>
    <w:rsid w:val="00CE7EC9"/>
    <w:rsid w:val="00CF1203"/>
    <w:rsid w:val="00CF6351"/>
    <w:rsid w:val="00CF7D3C"/>
    <w:rsid w:val="00D006A9"/>
    <w:rsid w:val="00D009E1"/>
    <w:rsid w:val="00D01F09"/>
    <w:rsid w:val="00D147EB"/>
    <w:rsid w:val="00D17BF5"/>
    <w:rsid w:val="00D21430"/>
    <w:rsid w:val="00D22934"/>
    <w:rsid w:val="00D260CC"/>
    <w:rsid w:val="00D34667"/>
    <w:rsid w:val="00D401E1"/>
    <w:rsid w:val="00D408B4"/>
    <w:rsid w:val="00D524C8"/>
    <w:rsid w:val="00D63F2E"/>
    <w:rsid w:val="00D65A34"/>
    <w:rsid w:val="00D70E24"/>
    <w:rsid w:val="00D7272C"/>
    <w:rsid w:val="00D72B61"/>
    <w:rsid w:val="00D73BCF"/>
    <w:rsid w:val="00D87E6D"/>
    <w:rsid w:val="00DA2575"/>
    <w:rsid w:val="00DA3D1D"/>
    <w:rsid w:val="00DA5A83"/>
    <w:rsid w:val="00DB6286"/>
    <w:rsid w:val="00DB645F"/>
    <w:rsid w:val="00DB76E9"/>
    <w:rsid w:val="00DC0A67"/>
    <w:rsid w:val="00DC1D5E"/>
    <w:rsid w:val="00DC5220"/>
    <w:rsid w:val="00DC68EA"/>
    <w:rsid w:val="00DD2061"/>
    <w:rsid w:val="00DD39BE"/>
    <w:rsid w:val="00DD7DAB"/>
    <w:rsid w:val="00DE3355"/>
    <w:rsid w:val="00DE6EA0"/>
    <w:rsid w:val="00DF0C60"/>
    <w:rsid w:val="00DF1781"/>
    <w:rsid w:val="00DF486F"/>
    <w:rsid w:val="00DF5B5B"/>
    <w:rsid w:val="00DF7619"/>
    <w:rsid w:val="00E042D8"/>
    <w:rsid w:val="00E07EE7"/>
    <w:rsid w:val="00E1103B"/>
    <w:rsid w:val="00E126CD"/>
    <w:rsid w:val="00E17B44"/>
    <w:rsid w:val="00E20F27"/>
    <w:rsid w:val="00E22443"/>
    <w:rsid w:val="00E27FEA"/>
    <w:rsid w:val="00E30BA8"/>
    <w:rsid w:val="00E40792"/>
    <w:rsid w:val="00E4086F"/>
    <w:rsid w:val="00E43B3C"/>
    <w:rsid w:val="00E469FF"/>
    <w:rsid w:val="00E50188"/>
    <w:rsid w:val="00E50BB3"/>
    <w:rsid w:val="00E50CB0"/>
    <w:rsid w:val="00E50F9A"/>
    <w:rsid w:val="00E515CB"/>
    <w:rsid w:val="00E521D2"/>
    <w:rsid w:val="00E52260"/>
    <w:rsid w:val="00E54354"/>
    <w:rsid w:val="00E552CD"/>
    <w:rsid w:val="00E639B6"/>
    <w:rsid w:val="00E6434B"/>
    <w:rsid w:val="00E6463D"/>
    <w:rsid w:val="00E657B7"/>
    <w:rsid w:val="00E6718C"/>
    <w:rsid w:val="00E72E9B"/>
    <w:rsid w:val="00E850C3"/>
    <w:rsid w:val="00E87DF2"/>
    <w:rsid w:val="00E941F8"/>
    <w:rsid w:val="00E9462E"/>
    <w:rsid w:val="00EA156E"/>
    <w:rsid w:val="00EA470E"/>
    <w:rsid w:val="00EA47A7"/>
    <w:rsid w:val="00EA57EB"/>
    <w:rsid w:val="00EB3226"/>
    <w:rsid w:val="00EB331E"/>
    <w:rsid w:val="00EB4B1A"/>
    <w:rsid w:val="00EB7724"/>
    <w:rsid w:val="00EC213A"/>
    <w:rsid w:val="00EC5249"/>
    <w:rsid w:val="00EC7744"/>
    <w:rsid w:val="00ED017F"/>
    <w:rsid w:val="00ED0DAD"/>
    <w:rsid w:val="00ED0F46"/>
    <w:rsid w:val="00ED13FC"/>
    <w:rsid w:val="00ED2373"/>
    <w:rsid w:val="00ED2536"/>
    <w:rsid w:val="00ED3D1B"/>
    <w:rsid w:val="00ED3D6B"/>
    <w:rsid w:val="00ED4ED3"/>
    <w:rsid w:val="00ED741E"/>
    <w:rsid w:val="00EE3E8A"/>
    <w:rsid w:val="00EF58B8"/>
    <w:rsid w:val="00EF6ECA"/>
    <w:rsid w:val="00F00054"/>
    <w:rsid w:val="00F00D32"/>
    <w:rsid w:val="00F024E1"/>
    <w:rsid w:val="00F040ED"/>
    <w:rsid w:val="00F06034"/>
    <w:rsid w:val="00F06C10"/>
    <w:rsid w:val="00F1096F"/>
    <w:rsid w:val="00F12589"/>
    <w:rsid w:val="00F12595"/>
    <w:rsid w:val="00F134D9"/>
    <w:rsid w:val="00F1403D"/>
    <w:rsid w:val="00F1463F"/>
    <w:rsid w:val="00F14DCE"/>
    <w:rsid w:val="00F21302"/>
    <w:rsid w:val="00F22592"/>
    <w:rsid w:val="00F278CA"/>
    <w:rsid w:val="00F321DE"/>
    <w:rsid w:val="00F32F46"/>
    <w:rsid w:val="00F33777"/>
    <w:rsid w:val="00F37A87"/>
    <w:rsid w:val="00F40648"/>
    <w:rsid w:val="00F479EC"/>
    <w:rsid w:val="00F47DA2"/>
    <w:rsid w:val="00F50129"/>
    <w:rsid w:val="00F519FC"/>
    <w:rsid w:val="00F51B9D"/>
    <w:rsid w:val="00F61A42"/>
    <w:rsid w:val="00F61B4A"/>
    <w:rsid w:val="00F62344"/>
    <w:rsid w:val="00F6239D"/>
    <w:rsid w:val="00F6448C"/>
    <w:rsid w:val="00F715D2"/>
    <w:rsid w:val="00F7274F"/>
    <w:rsid w:val="00F74E84"/>
    <w:rsid w:val="00F76FA8"/>
    <w:rsid w:val="00F8502E"/>
    <w:rsid w:val="00F872D1"/>
    <w:rsid w:val="00F91E87"/>
    <w:rsid w:val="00F9328C"/>
    <w:rsid w:val="00F93F08"/>
    <w:rsid w:val="00F94CED"/>
    <w:rsid w:val="00F96703"/>
    <w:rsid w:val="00FA02BB"/>
    <w:rsid w:val="00FA1B6E"/>
    <w:rsid w:val="00FA2CEE"/>
    <w:rsid w:val="00FA318C"/>
    <w:rsid w:val="00FA473D"/>
    <w:rsid w:val="00FA55B8"/>
    <w:rsid w:val="00FB6F92"/>
    <w:rsid w:val="00FC026E"/>
    <w:rsid w:val="00FC5124"/>
    <w:rsid w:val="00FC6CCE"/>
    <w:rsid w:val="00FD4731"/>
    <w:rsid w:val="00FD47EB"/>
    <w:rsid w:val="00FD5B41"/>
    <w:rsid w:val="00FD6768"/>
    <w:rsid w:val="00FE59C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1E06E948-6639-426A-901E-94714FD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40792"/>
    <w:pPr>
      <w:spacing w:after="120" w:line="276" w:lineRule="auto"/>
    </w:pPr>
    <w:rPr>
      <w:rFonts w:asciiTheme="minorHAnsi" w:hAnsiTheme="minorHAnsi"/>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qFormat/>
    <w:rsid w:val="00E40792"/>
    <w:pPr>
      <w:keepNext/>
      <w:spacing w:before="240" w:after="60"/>
      <w:outlineLvl w:val="1"/>
    </w:pPr>
    <w:rPr>
      <w:rFonts w:ascii="Arial" w:hAnsi="Arial" w:cs="Arial"/>
      <w:bCs/>
      <w:iCs/>
      <w:color w:val="358189"/>
      <w:sz w:val="28"/>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8E15B0"/>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8376E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8376E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F51B9D"/>
    <w:pPr>
      <w:numPr>
        <w:numId w:val="19"/>
      </w:numPr>
    </w:pPr>
  </w:style>
  <w:style w:type="paragraph" w:styleId="ListBullet">
    <w:name w:val="List Bullet"/>
    <w:basedOn w:val="Normal"/>
    <w:qFormat/>
    <w:rsid w:val="00C04A1C"/>
    <w:pPr>
      <w:numPr>
        <w:numId w:val="17"/>
      </w:numPr>
      <w:spacing w:before="60" w:after="60"/>
      <w:ind w:left="584" w:hanging="357"/>
    </w:pPr>
    <w:rPr>
      <w:color w:val="000000" w:themeColor="text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E40792"/>
    <w:pPr>
      <w:pBdr>
        <w:top w:val="single" w:sz="8" w:space="1" w:color="auto"/>
      </w:pBdr>
      <w:tabs>
        <w:tab w:val="center" w:pos="4513"/>
        <w:tab w:val="right" w:pos="9026"/>
      </w:tabs>
    </w:pPr>
    <w:rPr>
      <w:sz w:val="20"/>
    </w:rPr>
  </w:style>
  <w:style w:type="character" w:customStyle="1" w:styleId="FooterChar">
    <w:name w:val="Footer Char"/>
    <w:basedOn w:val="DefaultParagraphFont"/>
    <w:link w:val="Footer"/>
    <w:uiPriority w:val="99"/>
    <w:rsid w:val="00E40792"/>
    <w:rPr>
      <w:rFonts w:asciiTheme="minorHAnsi" w:hAnsiTheme="minorHAnsi"/>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E40792"/>
    <w:rPr>
      <w:rFonts w:eastAsiaTheme="majorEastAsia"/>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38654C"/>
    <w:pPr>
      <w:spacing w:before="120" w:after="120"/>
    </w:pPr>
    <w:rPr>
      <w:rFonts w:cstheme="minorHAnsi"/>
      <w:sz w:val="26"/>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customStyle="1" w:styleId="Heading2Char">
    <w:name w:val="Heading 2 Char"/>
    <w:basedOn w:val="DefaultParagraphFont"/>
    <w:link w:val="Heading2"/>
    <w:rsid w:val="00E40792"/>
    <w:rPr>
      <w:rFonts w:ascii="Arial" w:hAnsi="Arial" w:cs="Arial"/>
      <w:bCs/>
      <w:iCs/>
      <w:color w:val="358189"/>
      <w:sz w:val="28"/>
      <w:szCs w:val="28"/>
      <w:lang w:eastAsia="en-US"/>
    </w:rPr>
  </w:style>
  <w:style w:type="paragraph" w:styleId="NormalWeb">
    <w:name w:val="Normal (Web)"/>
    <w:basedOn w:val="Normal"/>
    <w:uiPriority w:val="99"/>
    <w:unhideWhenUsed/>
    <w:rsid w:val="0071489A"/>
    <w:pPr>
      <w:spacing w:before="100" w:beforeAutospacing="1" w:after="100" w:afterAutospacing="1"/>
    </w:pPr>
    <w:rPr>
      <w:rFonts w:ascii="Times New Roman" w:hAnsi="Times New Roman"/>
      <w:sz w:val="24"/>
      <w:lang w:eastAsia="en-AU"/>
    </w:rPr>
  </w:style>
  <w:style w:type="paragraph" w:customStyle="1" w:styleId="Default">
    <w:name w:val="Default"/>
    <w:rsid w:val="00F8502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B2555"/>
    <w:rPr>
      <w:rFonts w:ascii="Arial" w:hAnsi="Arial"/>
      <w:sz w:val="22"/>
      <w:szCs w:val="24"/>
      <w:lang w:eastAsia="en-US"/>
    </w:rPr>
  </w:style>
  <w:style w:type="character" w:styleId="CommentReference">
    <w:name w:val="annotation reference"/>
    <w:basedOn w:val="DefaultParagraphFont"/>
    <w:semiHidden/>
    <w:unhideWhenUsed/>
    <w:rsid w:val="0068369C"/>
    <w:rPr>
      <w:sz w:val="16"/>
      <w:szCs w:val="16"/>
    </w:rPr>
  </w:style>
  <w:style w:type="paragraph" w:styleId="CommentText">
    <w:name w:val="annotation text"/>
    <w:basedOn w:val="Normal"/>
    <w:link w:val="CommentTextChar"/>
    <w:unhideWhenUsed/>
    <w:rsid w:val="0068369C"/>
    <w:rPr>
      <w:sz w:val="20"/>
      <w:szCs w:val="20"/>
    </w:rPr>
  </w:style>
  <w:style w:type="character" w:customStyle="1" w:styleId="CommentTextChar">
    <w:name w:val="Comment Text Char"/>
    <w:basedOn w:val="DefaultParagraphFont"/>
    <w:link w:val="CommentText"/>
    <w:rsid w:val="0068369C"/>
    <w:rPr>
      <w:rFonts w:ascii="Arial" w:hAnsi="Arial"/>
      <w:lang w:eastAsia="en-US"/>
    </w:rPr>
  </w:style>
  <w:style w:type="paragraph" w:styleId="CommentSubject">
    <w:name w:val="annotation subject"/>
    <w:basedOn w:val="CommentText"/>
    <w:next w:val="CommentText"/>
    <w:link w:val="CommentSubjectChar"/>
    <w:semiHidden/>
    <w:unhideWhenUsed/>
    <w:rsid w:val="0068369C"/>
    <w:rPr>
      <w:b/>
      <w:bCs/>
    </w:rPr>
  </w:style>
  <w:style w:type="character" w:customStyle="1" w:styleId="CommentSubjectChar">
    <w:name w:val="Comment Subject Char"/>
    <w:basedOn w:val="CommentTextChar"/>
    <w:link w:val="CommentSubject"/>
    <w:semiHidden/>
    <w:rsid w:val="0068369C"/>
    <w:rPr>
      <w:rFonts w:ascii="Arial" w:hAnsi="Arial"/>
      <w:b/>
      <w:bCs/>
      <w:lang w:eastAsia="en-US"/>
    </w:rPr>
  </w:style>
  <w:style w:type="character" w:styleId="UnresolvedMention">
    <w:name w:val="Unresolved Mention"/>
    <w:basedOn w:val="DefaultParagraphFont"/>
    <w:uiPriority w:val="99"/>
    <w:semiHidden/>
    <w:unhideWhenUsed/>
    <w:rsid w:val="00B675F5"/>
    <w:rPr>
      <w:color w:val="605E5C"/>
      <w:shd w:val="clear" w:color="auto" w:fill="E1DFDD"/>
    </w:rPr>
  </w:style>
  <w:style w:type="character" w:styleId="FollowedHyperlink">
    <w:name w:val="FollowedHyperlink"/>
    <w:basedOn w:val="DefaultParagraphFont"/>
    <w:semiHidden/>
    <w:unhideWhenUsed/>
    <w:rsid w:val="00DA2575"/>
    <w:rPr>
      <w:color w:val="800080" w:themeColor="followedHyperlink"/>
      <w:u w:val="single"/>
    </w:rPr>
  </w:style>
  <w:style w:type="paragraph" w:styleId="ListContinue">
    <w:name w:val="List Continue"/>
    <w:basedOn w:val="Normal"/>
    <w:unhideWhenUsed/>
    <w:rsid w:val="00F51B9D"/>
    <w:pPr>
      <w:numPr>
        <w:numId w:val="35"/>
      </w:numPr>
      <w:contextualSpacing/>
    </w:pPr>
    <w:rPr>
      <w:rFonts w:cstheme="minorHAnsi"/>
      <w:szCs w:val="22"/>
    </w:rPr>
  </w:style>
  <w:style w:type="character" w:styleId="FootnoteReference">
    <w:name w:val="footnote reference"/>
    <w:basedOn w:val="DefaultParagraphFont"/>
    <w:semiHidden/>
    <w:unhideWhenUsed/>
    <w:rsid w:val="00024F03"/>
    <w:rPr>
      <w:vertAlign w:val="superscript"/>
    </w:rPr>
  </w:style>
  <w:style w:type="character" w:styleId="BookTitle">
    <w:name w:val="Book Title"/>
    <w:aliases w:val="Description"/>
    <w:basedOn w:val="DefaultParagraphFont"/>
    <w:uiPriority w:val="33"/>
    <w:rsid w:val="00A300F2"/>
    <w:rPr>
      <w:rFonts w:asciiTheme="minorHAnsi" w:hAnsiTheme="minorHAnsi"/>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474">
      <w:bodyDiv w:val="1"/>
      <w:marLeft w:val="0"/>
      <w:marRight w:val="0"/>
      <w:marTop w:val="0"/>
      <w:marBottom w:val="0"/>
      <w:divBdr>
        <w:top w:val="none" w:sz="0" w:space="0" w:color="auto"/>
        <w:left w:val="none" w:sz="0" w:space="0" w:color="auto"/>
        <w:bottom w:val="none" w:sz="0" w:space="0" w:color="auto"/>
        <w:right w:val="none" w:sz="0" w:space="0" w:color="auto"/>
      </w:divBdr>
    </w:div>
    <w:div w:id="10624150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01174439">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8767710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493353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59673923">
      <w:bodyDiv w:val="1"/>
      <w:marLeft w:val="0"/>
      <w:marRight w:val="0"/>
      <w:marTop w:val="0"/>
      <w:marBottom w:val="0"/>
      <w:divBdr>
        <w:top w:val="none" w:sz="0" w:space="0" w:color="auto"/>
        <w:left w:val="none" w:sz="0" w:space="0" w:color="auto"/>
        <w:bottom w:val="none" w:sz="0" w:space="0" w:color="auto"/>
        <w:right w:val="none" w:sz="0" w:space="0" w:color="auto"/>
      </w:divBdr>
    </w:div>
    <w:div w:id="18841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bsonline.gov.au/internet/mbsonline/publishing.nsf/Content/Factsheet-Telehealth-Updates-April%202023"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our-work/mymedicare/patient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edicaremental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au/our-work/better-access-initiative?utm_source=health.gov.au&amp;utm_medium=callout-auto-custom&amp;utm_campaign=digital_transformatio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gov.au/sites/default/files/2023-03/better-access-involving-family-or-carers-in-my-mental-health-treatment.pdf" TargetMode="External"/><Relationship Id="rId10" Type="http://schemas.openxmlformats.org/officeDocument/2006/relationships/endnotes" Target="endnotes.xml"/><Relationship Id="rId19" Type="http://schemas.openxmlformats.org/officeDocument/2006/relationships/hyperlink" Target="http://www.health.gov.au/ph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au/topics/rural-health-workforce/classifications/mmm"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27BD2E77EA4458DC41A270DF2E32B" ma:contentTypeVersion="1" ma:contentTypeDescription="Create a new document." ma:contentTypeScope="" ma:versionID="a49a350987d3017ff06728879aa26c00">
  <xsd:schema xmlns:xsd="http://www.w3.org/2001/XMLSchema" xmlns:xs="http://www.w3.org/2001/XMLSchema" xmlns:p="http://schemas.microsoft.com/office/2006/metadata/properties" targetNamespace="http://schemas.microsoft.com/office/2006/metadata/properties" ma:root="true" ma:fieldsID="8b4f31dbc100d48dbd7c8e4c9fb187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2B1A7-4A2B-4DF9-8E14-FD47E89E917B}">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3AA30E-3DF0-495B-85E8-098BFA7C4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2299</Words>
  <Characters>12372</Characters>
  <Application>Microsoft Office Word</Application>
  <DocSecurity>0</DocSecurity>
  <Lines>187</Lines>
  <Paragraphs>72</Paragraphs>
  <ScaleCrop>false</ScaleCrop>
  <HeadingPairs>
    <vt:vector size="2" baseType="variant">
      <vt:variant>
        <vt:lpstr>Title</vt:lpstr>
      </vt:variant>
      <vt:variant>
        <vt:i4>1</vt:i4>
      </vt:variant>
    </vt:vector>
  </HeadingPairs>
  <TitlesOfParts>
    <vt:vector size="1" baseType="lpstr">
      <vt:lpstr>Fact sheet for patients: Better Access to Psychiatrists, Psychologists and General Practitioners through the MBS initiative</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for patients: Better Access to Psychiatrists, Psychologists and General Practitioners through the MBS initiative</dc:title>
  <dc:subject>Better Access Intiative</dc:subject>
  <dc:creator>Australian Government Department of Health, Disability and Ageing</dc:creator>
  <cp:keywords>Fact sheet, Mental Health, Medicare</cp:keywords>
  <dc:description>_x000d_
</dc:description>
  <cp:lastModifiedBy>MASCHKE, Elvia</cp:lastModifiedBy>
  <cp:revision>6</cp:revision>
  <cp:lastPrinted>2025-10-29T02:39:00Z</cp:lastPrinted>
  <dcterms:created xsi:type="dcterms:W3CDTF">2025-10-29T02:00:00Z</dcterms:created>
  <dcterms:modified xsi:type="dcterms:W3CDTF">2025-10-29T02:39:00Z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0x010100E0627BD2E77EA4458DC41A270DF2E32B</vt:lpwstr>
  </property>
  <property fmtid="{D5CDD505-2E9C-101B-9397-08002B2CF9AE}" pid="5" name="ClassificationContentMarkingHeaderShapeIds">
    <vt:lpwstr>1ae28c2e,6afe4bbe,4ef4521e,1cc4095a</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7111b736,3b824dca,864afac</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2025-09-23T05:40:03Z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66a0c217-27db-49a3-b232-e3cbaeec700c</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