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D42B" w14:textId="4BB51AE6" w:rsidR="00FB3833" w:rsidRPr="008579BE" w:rsidRDefault="00FB3833" w:rsidP="00462B6C">
      <w:pPr>
        <w:spacing w:before="360"/>
        <w:rPr>
          <w:b/>
          <w:bCs/>
          <w:sz w:val="56"/>
          <w:szCs w:val="56"/>
        </w:rPr>
      </w:pPr>
      <w:bookmarkStart w:id="0" w:name="_Toc183595287"/>
      <w:r w:rsidRPr="008579BE">
        <w:rPr>
          <w:b/>
          <w:bCs/>
          <w:sz w:val="56"/>
          <w:szCs w:val="56"/>
        </w:rPr>
        <w:t xml:space="preserve">Appendix </w:t>
      </w:r>
      <w:r w:rsidR="00BA2923" w:rsidRPr="008579BE">
        <w:rPr>
          <w:b/>
          <w:bCs/>
          <w:sz w:val="56"/>
          <w:szCs w:val="56"/>
        </w:rPr>
        <w:t>F</w:t>
      </w:r>
      <w:r w:rsidRPr="008579BE">
        <w:rPr>
          <w:b/>
          <w:bCs/>
          <w:sz w:val="56"/>
          <w:szCs w:val="56"/>
        </w:rPr>
        <w:t xml:space="preserve"> </w:t>
      </w:r>
      <w:r w:rsidR="00640482" w:rsidRPr="008579BE">
        <w:rPr>
          <w:b/>
          <w:bCs/>
          <w:sz w:val="56"/>
          <w:szCs w:val="56"/>
        </w:rPr>
        <w:t>–</w:t>
      </w:r>
      <w:r w:rsidRPr="008579BE">
        <w:rPr>
          <w:b/>
          <w:bCs/>
          <w:sz w:val="56"/>
          <w:szCs w:val="56"/>
        </w:rPr>
        <w:t xml:space="preserve"> </w:t>
      </w:r>
      <w:r w:rsidR="0078309B" w:rsidRPr="008579BE">
        <w:rPr>
          <w:b/>
          <w:bCs/>
          <w:sz w:val="56"/>
          <w:szCs w:val="56"/>
        </w:rPr>
        <w:t>CHSP</w:t>
      </w:r>
      <w:r w:rsidR="0094625F" w:rsidRPr="008579BE">
        <w:rPr>
          <w:b/>
          <w:bCs/>
          <w:sz w:val="56"/>
          <w:szCs w:val="56"/>
        </w:rPr>
        <w:t xml:space="preserve"> </w:t>
      </w:r>
      <w:r w:rsidRPr="008579BE">
        <w:rPr>
          <w:b/>
          <w:bCs/>
          <w:sz w:val="56"/>
          <w:szCs w:val="56"/>
        </w:rPr>
        <w:t xml:space="preserve">Compliance Framework </w:t>
      </w:r>
      <w:bookmarkEnd w:id="0"/>
      <w:r w:rsidR="099CB62E" w:rsidRPr="008579BE">
        <w:rPr>
          <w:b/>
          <w:bCs/>
          <w:sz w:val="56"/>
          <w:szCs w:val="56"/>
        </w:rPr>
        <w:t>202</w:t>
      </w:r>
      <w:r w:rsidR="2A0E0EF2" w:rsidRPr="008579BE">
        <w:rPr>
          <w:b/>
          <w:bCs/>
          <w:sz w:val="56"/>
          <w:szCs w:val="56"/>
        </w:rPr>
        <w:t>5</w:t>
      </w:r>
      <w:r w:rsidR="099CB62E" w:rsidRPr="008579BE">
        <w:rPr>
          <w:b/>
          <w:bCs/>
          <w:sz w:val="56"/>
          <w:szCs w:val="56"/>
        </w:rPr>
        <w:t>-2</w:t>
      </w:r>
      <w:r w:rsidR="1FE2375E" w:rsidRPr="008579BE">
        <w:rPr>
          <w:b/>
          <w:bCs/>
          <w:sz w:val="56"/>
          <w:szCs w:val="56"/>
        </w:rPr>
        <w:t>7</w:t>
      </w:r>
    </w:p>
    <w:sdt>
      <w:sdtPr>
        <w:rPr>
          <w:rFonts w:eastAsia="Times New Roman" w:cs="Times New Roman"/>
          <w:b w:val="0"/>
          <w:bCs w:val="0"/>
          <w:color w:val="1E1545"/>
          <w:sz w:val="24"/>
          <w:szCs w:val="24"/>
          <w:lang w:val="en-AU"/>
        </w:rPr>
        <w:id w:val="-1336528157"/>
        <w:docPartObj>
          <w:docPartGallery w:val="Table of Contents"/>
          <w:docPartUnique/>
        </w:docPartObj>
      </w:sdtPr>
      <w:sdtEndPr>
        <w:rPr>
          <w:noProof/>
        </w:rPr>
      </w:sdtEndPr>
      <w:sdtContent>
        <w:p w14:paraId="2B83AC21" w14:textId="0A00B4FA" w:rsidR="00C14DC9" w:rsidRPr="00E1380F" w:rsidRDefault="00C14DC9" w:rsidP="00E1380F">
          <w:pPr>
            <w:pStyle w:val="TOCHeading"/>
            <w:spacing w:after="0"/>
            <w:rPr>
              <w:color w:val="1E1545"/>
              <w:sz w:val="28"/>
              <w:szCs w:val="28"/>
            </w:rPr>
          </w:pPr>
          <w:r w:rsidRPr="00E1380F">
            <w:rPr>
              <w:color w:val="1E1545"/>
              <w:sz w:val="28"/>
              <w:szCs w:val="28"/>
            </w:rPr>
            <w:t>Contents</w:t>
          </w:r>
        </w:p>
        <w:p w14:paraId="3E696542" w14:textId="078B738C" w:rsidR="00AC7C64" w:rsidRDefault="00C14DC9">
          <w:pPr>
            <w:pStyle w:val="TOC2"/>
            <w:rPr>
              <w:rFonts w:asciiTheme="minorHAnsi" w:eastAsiaTheme="minorEastAsia" w:hAnsiTheme="minorHAnsi" w:cstheme="minorBidi"/>
              <w:noProof/>
              <w:color w:val="auto"/>
              <w:kern w:val="2"/>
              <w:lang w:eastAsia="en-AU"/>
              <w14:ligatures w14:val="standardContextual"/>
            </w:rPr>
          </w:pPr>
          <w:r w:rsidRPr="008579BE">
            <w:fldChar w:fldCharType="begin"/>
          </w:r>
          <w:r w:rsidRPr="008579BE">
            <w:instrText xml:space="preserve"> TOC \o "1-3" \h \z \u </w:instrText>
          </w:r>
          <w:r w:rsidRPr="008579BE">
            <w:fldChar w:fldCharType="separate"/>
          </w:r>
          <w:hyperlink w:anchor="_Toc210330184" w:history="1">
            <w:r w:rsidR="00AC7C64" w:rsidRPr="00B82373">
              <w:rPr>
                <w:rStyle w:val="Hyperlink"/>
                <w:noProof/>
              </w:rPr>
              <w:t>1. About the CHSP Compliance Framework</w:t>
            </w:r>
            <w:r w:rsidR="00AC7C64">
              <w:rPr>
                <w:noProof/>
                <w:webHidden/>
              </w:rPr>
              <w:tab/>
            </w:r>
            <w:r w:rsidR="00AC7C64">
              <w:rPr>
                <w:noProof/>
                <w:webHidden/>
              </w:rPr>
              <w:fldChar w:fldCharType="begin"/>
            </w:r>
            <w:r w:rsidR="00AC7C64">
              <w:rPr>
                <w:noProof/>
                <w:webHidden/>
              </w:rPr>
              <w:instrText xml:space="preserve"> PAGEREF _Toc210330184 \h </w:instrText>
            </w:r>
            <w:r w:rsidR="00AC7C64">
              <w:rPr>
                <w:noProof/>
                <w:webHidden/>
              </w:rPr>
            </w:r>
            <w:r w:rsidR="00AC7C64">
              <w:rPr>
                <w:noProof/>
                <w:webHidden/>
              </w:rPr>
              <w:fldChar w:fldCharType="separate"/>
            </w:r>
            <w:r w:rsidR="00B626B7">
              <w:rPr>
                <w:noProof/>
                <w:webHidden/>
              </w:rPr>
              <w:t>1</w:t>
            </w:r>
            <w:r w:rsidR="00AC7C64">
              <w:rPr>
                <w:noProof/>
                <w:webHidden/>
              </w:rPr>
              <w:fldChar w:fldCharType="end"/>
            </w:r>
          </w:hyperlink>
        </w:p>
        <w:p w14:paraId="6C5E5843" w14:textId="4EA68E19"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85" w:history="1">
            <w:r w:rsidRPr="00B82373">
              <w:rPr>
                <w:rStyle w:val="Hyperlink"/>
                <w:noProof/>
              </w:rPr>
              <w:t>2. CHSP and the Aged Care Act 2024</w:t>
            </w:r>
            <w:r>
              <w:rPr>
                <w:noProof/>
                <w:webHidden/>
              </w:rPr>
              <w:tab/>
            </w:r>
            <w:r>
              <w:rPr>
                <w:noProof/>
                <w:webHidden/>
              </w:rPr>
              <w:fldChar w:fldCharType="begin"/>
            </w:r>
            <w:r>
              <w:rPr>
                <w:noProof/>
                <w:webHidden/>
              </w:rPr>
              <w:instrText xml:space="preserve"> PAGEREF _Toc210330185 \h </w:instrText>
            </w:r>
            <w:r>
              <w:rPr>
                <w:noProof/>
                <w:webHidden/>
              </w:rPr>
            </w:r>
            <w:r>
              <w:rPr>
                <w:noProof/>
                <w:webHidden/>
              </w:rPr>
              <w:fldChar w:fldCharType="separate"/>
            </w:r>
            <w:r w:rsidR="00B626B7">
              <w:rPr>
                <w:noProof/>
                <w:webHidden/>
              </w:rPr>
              <w:t>3</w:t>
            </w:r>
            <w:r>
              <w:rPr>
                <w:noProof/>
                <w:webHidden/>
              </w:rPr>
              <w:fldChar w:fldCharType="end"/>
            </w:r>
          </w:hyperlink>
        </w:p>
        <w:p w14:paraId="7A6CE085" w14:textId="11881838"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86" w:history="1">
            <w:r w:rsidRPr="00B82373">
              <w:rPr>
                <w:rStyle w:val="Hyperlink"/>
                <w:noProof/>
              </w:rPr>
              <w:t>3. Data Exchange (DEX) oversight</w:t>
            </w:r>
            <w:r>
              <w:rPr>
                <w:noProof/>
                <w:webHidden/>
              </w:rPr>
              <w:tab/>
            </w:r>
            <w:r>
              <w:rPr>
                <w:noProof/>
                <w:webHidden/>
              </w:rPr>
              <w:fldChar w:fldCharType="begin"/>
            </w:r>
            <w:r>
              <w:rPr>
                <w:noProof/>
                <w:webHidden/>
              </w:rPr>
              <w:instrText xml:space="preserve"> PAGEREF _Toc210330186 \h </w:instrText>
            </w:r>
            <w:r>
              <w:rPr>
                <w:noProof/>
                <w:webHidden/>
              </w:rPr>
            </w:r>
            <w:r>
              <w:rPr>
                <w:noProof/>
                <w:webHidden/>
              </w:rPr>
              <w:fldChar w:fldCharType="separate"/>
            </w:r>
            <w:r w:rsidR="00B626B7">
              <w:rPr>
                <w:noProof/>
                <w:webHidden/>
              </w:rPr>
              <w:t>3</w:t>
            </w:r>
            <w:r>
              <w:rPr>
                <w:noProof/>
                <w:webHidden/>
              </w:rPr>
              <w:fldChar w:fldCharType="end"/>
            </w:r>
          </w:hyperlink>
        </w:p>
        <w:p w14:paraId="3DEE5AF5" w14:textId="39007AE4"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87" w:history="1">
            <w:r w:rsidRPr="00B82373">
              <w:rPr>
                <w:rStyle w:val="Hyperlink"/>
                <w:noProof/>
              </w:rPr>
              <w:t>5. Financial acquittals</w:t>
            </w:r>
            <w:r>
              <w:rPr>
                <w:noProof/>
                <w:webHidden/>
              </w:rPr>
              <w:tab/>
            </w:r>
            <w:r>
              <w:rPr>
                <w:noProof/>
                <w:webHidden/>
              </w:rPr>
              <w:fldChar w:fldCharType="begin"/>
            </w:r>
            <w:r>
              <w:rPr>
                <w:noProof/>
                <w:webHidden/>
              </w:rPr>
              <w:instrText xml:space="preserve"> PAGEREF _Toc210330187 \h </w:instrText>
            </w:r>
            <w:r>
              <w:rPr>
                <w:noProof/>
                <w:webHidden/>
              </w:rPr>
            </w:r>
            <w:r>
              <w:rPr>
                <w:noProof/>
                <w:webHidden/>
              </w:rPr>
              <w:fldChar w:fldCharType="separate"/>
            </w:r>
            <w:r w:rsidR="00B626B7">
              <w:rPr>
                <w:noProof/>
                <w:webHidden/>
              </w:rPr>
              <w:t>4</w:t>
            </w:r>
            <w:r>
              <w:rPr>
                <w:noProof/>
                <w:webHidden/>
              </w:rPr>
              <w:fldChar w:fldCharType="end"/>
            </w:r>
          </w:hyperlink>
        </w:p>
        <w:p w14:paraId="7C244097" w14:textId="18D15DF3" w:rsidR="00AC7C64" w:rsidRDefault="00AC7C64">
          <w:pPr>
            <w:pStyle w:val="TOC3"/>
            <w:rPr>
              <w:rFonts w:asciiTheme="minorHAnsi" w:eastAsiaTheme="minorEastAsia" w:hAnsiTheme="minorHAnsi" w:cstheme="minorBidi"/>
              <w:noProof/>
              <w:color w:val="auto"/>
              <w:kern w:val="2"/>
              <w:lang w:eastAsia="en-AU"/>
              <w14:ligatures w14:val="standardContextual"/>
            </w:rPr>
          </w:pPr>
          <w:hyperlink w:anchor="_Toc210330188" w:history="1">
            <w:r w:rsidRPr="00B82373">
              <w:rPr>
                <w:rStyle w:val="Hyperlink"/>
                <w:noProof/>
              </w:rPr>
              <w:t>5.1 Unspent funds</w:t>
            </w:r>
            <w:r>
              <w:rPr>
                <w:noProof/>
                <w:webHidden/>
              </w:rPr>
              <w:tab/>
            </w:r>
            <w:r>
              <w:rPr>
                <w:noProof/>
                <w:webHidden/>
              </w:rPr>
              <w:fldChar w:fldCharType="begin"/>
            </w:r>
            <w:r>
              <w:rPr>
                <w:noProof/>
                <w:webHidden/>
              </w:rPr>
              <w:instrText xml:space="preserve"> PAGEREF _Toc210330188 \h </w:instrText>
            </w:r>
            <w:r>
              <w:rPr>
                <w:noProof/>
                <w:webHidden/>
              </w:rPr>
            </w:r>
            <w:r>
              <w:rPr>
                <w:noProof/>
                <w:webHidden/>
              </w:rPr>
              <w:fldChar w:fldCharType="separate"/>
            </w:r>
            <w:r w:rsidR="00B626B7">
              <w:rPr>
                <w:noProof/>
                <w:webHidden/>
              </w:rPr>
              <w:t>4</w:t>
            </w:r>
            <w:r>
              <w:rPr>
                <w:noProof/>
                <w:webHidden/>
              </w:rPr>
              <w:fldChar w:fldCharType="end"/>
            </w:r>
          </w:hyperlink>
        </w:p>
        <w:p w14:paraId="15CEEE06" w14:textId="384BC0EC" w:rsidR="00AC7C64" w:rsidRDefault="00AC7C64">
          <w:pPr>
            <w:pStyle w:val="TOC3"/>
            <w:rPr>
              <w:rFonts w:asciiTheme="minorHAnsi" w:eastAsiaTheme="minorEastAsia" w:hAnsiTheme="minorHAnsi" w:cstheme="minorBidi"/>
              <w:noProof/>
              <w:color w:val="auto"/>
              <w:kern w:val="2"/>
              <w:lang w:eastAsia="en-AU"/>
              <w14:ligatures w14:val="standardContextual"/>
            </w:rPr>
          </w:pPr>
          <w:hyperlink w:anchor="_Toc210330189" w:history="1">
            <w:r w:rsidRPr="00B82373">
              <w:rPr>
                <w:rStyle w:val="Hyperlink"/>
                <w:noProof/>
              </w:rPr>
              <w:t>5.2 Financial viability</w:t>
            </w:r>
            <w:r>
              <w:rPr>
                <w:noProof/>
                <w:webHidden/>
              </w:rPr>
              <w:tab/>
            </w:r>
            <w:r>
              <w:rPr>
                <w:noProof/>
                <w:webHidden/>
              </w:rPr>
              <w:fldChar w:fldCharType="begin"/>
            </w:r>
            <w:r>
              <w:rPr>
                <w:noProof/>
                <w:webHidden/>
              </w:rPr>
              <w:instrText xml:space="preserve"> PAGEREF _Toc210330189 \h </w:instrText>
            </w:r>
            <w:r>
              <w:rPr>
                <w:noProof/>
                <w:webHidden/>
              </w:rPr>
            </w:r>
            <w:r>
              <w:rPr>
                <w:noProof/>
                <w:webHidden/>
              </w:rPr>
              <w:fldChar w:fldCharType="separate"/>
            </w:r>
            <w:r w:rsidR="00B626B7">
              <w:rPr>
                <w:noProof/>
                <w:webHidden/>
              </w:rPr>
              <w:t>5</w:t>
            </w:r>
            <w:r>
              <w:rPr>
                <w:noProof/>
                <w:webHidden/>
              </w:rPr>
              <w:fldChar w:fldCharType="end"/>
            </w:r>
          </w:hyperlink>
        </w:p>
        <w:p w14:paraId="3E8E17C0" w14:textId="03D6D668" w:rsidR="00AC7C64" w:rsidRDefault="00AC7C64">
          <w:pPr>
            <w:pStyle w:val="TOC3"/>
            <w:rPr>
              <w:rFonts w:asciiTheme="minorHAnsi" w:eastAsiaTheme="minorEastAsia" w:hAnsiTheme="minorHAnsi" w:cstheme="minorBidi"/>
              <w:noProof/>
              <w:color w:val="auto"/>
              <w:kern w:val="2"/>
              <w:lang w:eastAsia="en-AU"/>
              <w14:ligatures w14:val="standardContextual"/>
            </w:rPr>
          </w:pPr>
          <w:hyperlink w:anchor="_Toc210330190" w:history="1">
            <w:r w:rsidRPr="00B82373">
              <w:rPr>
                <w:rStyle w:val="Hyperlink"/>
                <w:noProof/>
              </w:rPr>
              <w:t>5.3 Exiting the program</w:t>
            </w:r>
            <w:r>
              <w:rPr>
                <w:noProof/>
                <w:webHidden/>
              </w:rPr>
              <w:tab/>
            </w:r>
            <w:r>
              <w:rPr>
                <w:noProof/>
                <w:webHidden/>
              </w:rPr>
              <w:fldChar w:fldCharType="begin"/>
            </w:r>
            <w:r>
              <w:rPr>
                <w:noProof/>
                <w:webHidden/>
              </w:rPr>
              <w:instrText xml:space="preserve"> PAGEREF _Toc210330190 \h </w:instrText>
            </w:r>
            <w:r>
              <w:rPr>
                <w:noProof/>
                <w:webHidden/>
              </w:rPr>
            </w:r>
            <w:r>
              <w:rPr>
                <w:noProof/>
                <w:webHidden/>
              </w:rPr>
              <w:fldChar w:fldCharType="separate"/>
            </w:r>
            <w:r w:rsidR="00B626B7">
              <w:rPr>
                <w:noProof/>
                <w:webHidden/>
              </w:rPr>
              <w:t>5</w:t>
            </w:r>
            <w:r>
              <w:rPr>
                <w:noProof/>
                <w:webHidden/>
              </w:rPr>
              <w:fldChar w:fldCharType="end"/>
            </w:r>
          </w:hyperlink>
        </w:p>
        <w:p w14:paraId="6C31E3BC" w14:textId="706C45D2"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1" w:history="1">
            <w:r w:rsidRPr="00B82373">
              <w:rPr>
                <w:rStyle w:val="Hyperlink"/>
                <w:noProof/>
              </w:rPr>
              <w:t>6. Sector Support and Development</w:t>
            </w:r>
            <w:r>
              <w:rPr>
                <w:noProof/>
                <w:webHidden/>
              </w:rPr>
              <w:tab/>
            </w:r>
            <w:r>
              <w:rPr>
                <w:noProof/>
                <w:webHidden/>
              </w:rPr>
              <w:fldChar w:fldCharType="begin"/>
            </w:r>
            <w:r>
              <w:rPr>
                <w:noProof/>
                <w:webHidden/>
              </w:rPr>
              <w:instrText xml:space="preserve"> PAGEREF _Toc210330191 \h </w:instrText>
            </w:r>
            <w:r>
              <w:rPr>
                <w:noProof/>
                <w:webHidden/>
              </w:rPr>
            </w:r>
            <w:r>
              <w:rPr>
                <w:noProof/>
                <w:webHidden/>
              </w:rPr>
              <w:fldChar w:fldCharType="separate"/>
            </w:r>
            <w:r w:rsidR="00B626B7">
              <w:rPr>
                <w:noProof/>
                <w:webHidden/>
              </w:rPr>
              <w:t>5</w:t>
            </w:r>
            <w:r>
              <w:rPr>
                <w:noProof/>
                <w:webHidden/>
              </w:rPr>
              <w:fldChar w:fldCharType="end"/>
            </w:r>
          </w:hyperlink>
        </w:p>
        <w:p w14:paraId="50FA8BF9" w14:textId="3EEE67DB"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2" w:history="1">
            <w:r w:rsidRPr="00B82373">
              <w:rPr>
                <w:rStyle w:val="Hyperlink"/>
                <w:noProof/>
              </w:rPr>
              <w:t>7. DEX performance reporting review</w:t>
            </w:r>
            <w:r>
              <w:rPr>
                <w:noProof/>
                <w:webHidden/>
              </w:rPr>
              <w:tab/>
            </w:r>
            <w:r>
              <w:rPr>
                <w:noProof/>
                <w:webHidden/>
              </w:rPr>
              <w:fldChar w:fldCharType="begin"/>
            </w:r>
            <w:r>
              <w:rPr>
                <w:noProof/>
                <w:webHidden/>
              </w:rPr>
              <w:instrText xml:space="preserve"> PAGEREF _Toc210330192 \h </w:instrText>
            </w:r>
            <w:r>
              <w:rPr>
                <w:noProof/>
                <w:webHidden/>
              </w:rPr>
            </w:r>
            <w:r>
              <w:rPr>
                <w:noProof/>
                <w:webHidden/>
              </w:rPr>
              <w:fldChar w:fldCharType="separate"/>
            </w:r>
            <w:r w:rsidR="00B626B7">
              <w:rPr>
                <w:noProof/>
                <w:webHidden/>
              </w:rPr>
              <w:t>5</w:t>
            </w:r>
            <w:r>
              <w:rPr>
                <w:noProof/>
                <w:webHidden/>
              </w:rPr>
              <w:fldChar w:fldCharType="end"/>
            </w:r>
          </w:hyperlink>
        </w:p>
        <w:p w14:paraId="36D89FDB" w14:textId="035B1ABE"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3" w:history="1">
            <w:r w:rsidRPr="00B82373">
              <w:rPr>
                <w:rStyle w:val="Hyperlink"/>
                <w:noProof/>
              </w:rPr>
              <w:t>8. Flexibility provisions</w:t>
            </w:r>
            <w:r>
              <w:rPr>
                <w:noProof/>
                <w:webHidden/>
              </w:rPr>
              <w:tab/>
            </w:r>
            <w:r>
              <w:rPr>
                <w:noProof/>
                <w:webHidden/>
              </w:rPr>
              <w:fldChar w:fldCharType="begin"/>
            </w:r>
            <w:r>
              <w:rPr>
                <w:noProof/>
                <w:webHidden/>
              </w:rPr>
              <w:instrText xml:space="preserve"> PAGEREF _Toc210330193 \h </w:instrText>
            </w:r>
            <w:r>
              <w:rPr>
                <w:noProof/>
                <w:webHidden/>
              </w:rPr>
            </w:r>
            <w:r>
              <w:rPr>
                <w:noProof/>
                <w:webHidden/>
              </w:rPr>
              <w:fldChar w:fldCharType="separate"/>
            </w:r>
            <w:r w:rsidR="00B626B7">
              <w:rPr>
                <w:noProof/>
                <w:webHidden/>
              </w:rPr>
              <w:t>6</w:t>
            </w:r>
            <w:r>
              <w:rPr>
                <w:noProof/>
                <w:webHidden/>
              </w:rPr>
              <w:fldChar w:fldCharType="end"/>
            </w:r>
          </w:hyperlink>
        </w:p>
        <w:p w14:paraId="2F796A94" w14:textId="61B7F643"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4" w:history="1">
            <w:r w:rsidRPr="00B82373">
              <w:rPr>
                <w:rStyle w:val="Hyperlink"/>
                <w:noProof/>
              </w:rPr>
              <w:t>9. My Aged Care</w:t>
            </w:r>
            <w:r>
              <w:rPr>
                <w:noProof/>
                <w:webHidden/>
              </w:rPr>
              <w:tab/>
            </w:r>
            <w:r>
              <w:rPr>
                <w:noProof/>
                <w:webHidden/>
              </w:rPr>
              <w:fldChar w:fldCharType="begin"/>
            </w:r>
            <w:r>
              <w:rPr>
                <w:noProof/>
                <w:webHidden/>
              </w:rPr>
              <w:instrText xml:space="preserve"> PAGEREF _Toc210330194 \h </w:instrText>
            </w:r>
            <w:r>
              <w:rPr>
                <w:noProof/>
                <w:webHidden/>
              </w:rPr>
            </w:r>
            <w:r>
              <w:rPr>
                <w:noProof/>
                <w:webHidden/>
              </w:rPr>
              <w:fldChar w:fldCharType="separate"/>
            </w:r>
            <w:r w:rsidR="00B626B7">
              <w:rPr>
                <w:noProof/>
                <w:webHidden/>
              </w:rPr>
              <w:t>6</w:t>
            </w:r>
            <w:r>
              <w:rPr>
                <w:noProof/>
                <w:webHidden/>
              </w:rPr>
              <w:fldChar w:fldCharType="end"/>
            </w:r>
          </w:hyperlink>
        </w:p>
        <w:p w14:paraId="5FFA7752" w14:textId="70BFDD0A" w:rsidR="00AC7C64" w:rsidRDefault="00AC7C64">
          <w:pPr>
            <w:pStyle w:val="TOC3"/>
            <w:rPr>
              <w:rFonts w:asciiTheme="minorHAnsi" w:eastAsiaTheme="minorEastAsia" w:hAnsiTheme="minorHAnsi" w:cstheme="minorBidi"/>
              <w:noProof/>
              <w:color w:val="auto"/>
              <w:kern w:val="2"/>
              <w:lang w:eastAsia="en-AU"/>
              <w14:ligatures w14:val="standardContextual"/>
            </w:rPr>
          </w:pPr>
          <w:hyperlink w:anchor="_Toc210330195" w:history="1">
            <w:r w:rsidRPr="00B82373">
              <w:rPr>
                <w:rStyle w:val="Hyperlink"/>
                <w:noProof/>
              </w:rPr>
              <w:t>9.1 Enhanced monitoring of My Aged Care client ID reporting</w:t>
            </w:r>
            <w:r>
              <w:rPr>
                <w:noProof/>
                <w:webHidden/>
              </w:rPr>
              <w:tab/>
            </w:r>
            <w:r>
              <w:rPr>
                <w:noProof/>
                <w:webHidden/>
              </w:rPr>
              <w:fldChar w:fldCharType="begin"/>
            </w:r>
            <w:r>
              <w:rPr>
                <w:noProof/>
                <w:webHidden/>
              </w:rPr>
              <w:instrText xml:space="preserve"> PAGEREF _Toc210330195 \h </w:instrText>
            </w:r>
            <w:r>
              <w:rPr>
                <w:noProof/>
                <w:webHidden/>
              </w:rPr>
            </w:r>
            <w:r>
              <w:rPr>
                <w:noProof/>
                <w:webHidden/>
              </w:rPr>
              <w:fldChar w:fldCharType="separate"/>
            </w:r>
            <w:r w:rsidR="00B626B7">
              <w:rPr>
                <w:noProof/>
                <w:webHidden/>
              </w:rPr>
              <w:t>7</w:t>
            </w:r>
            <w:r>
              <w:rPr>
                <w:noProof/>
                <w:webHidden/>
              </w:rPr>
              <w:fldChar w:fldCharType="end"/>
            </w:r>
          </w:hyperlink>
        </w:p>
        <w:p w14:paraId="26C0708A" w14:textId="224FD726"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6" w:history="1">
            <w:r w:rsidRPr="00B82373">
              <w:rPr>
                <w:rStyle w:val="Hyperlink"/>
                <w:noProof/>
              </w:rPr>
              <w:t>10. Wellness and reablement reporting</w:t>
            </w:r>
            <w:r>
              <w:rPr>
                <w:noProof/>
                <w:webHidden/>
              </w:rPr>
              <w:tab/>
            </w:r>
            <w:r>
              <w:rPr>
                <w:noProof/>
                <w:webHidden/>
              </w:rPr>
              <w:fldChar w:fldCharType="begin"/>
            </w:r>
            <w:r>
              <w:rPr>
                <w:noProof/>
                <w:webHidden/>
              </w:rPr>
              <w:instrText xml:space="preserve"> PAGEREF _Toc210330196 \h </w:instrText>
            </w:r>
            <w:r>
              <w:rPr>
                <w:noProof/>
                <w:webHidden/>
              </w:rPr>
            </w:r>
            <w:r>
              <w:rPr>
                <w:noProof/>
                <w:webHidden/>
              </w:rPr>
              <w:fldChar w:fldCharType="separate"/>
            </w:r>
            <w:r w:rsidR="00B626B7">
              <w:rPr>
                <w:noProof/>
                <w:webHidden/>
              </w:rPr>
              <w:t>7</w:t>
            </w:r>
            <w:r>
              <w:rPr>
                <w:noProof/>
                <w:webHidden/>
              </w:rPr>
              <w:fldChar w:fldCharType="end"/>
            </w:r>
          </w:hyperlink>
        </w:p>
        <w:p w14:paraId="3FAA1940" w14:textId="7A5C973A"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7" w:history="1">
            <w:r w:rsidRPr="00B82373">
              <w:rPr>
                <w:rStyle w:val="Hyperlink"/>
                <w:noProof/>
              </w:rPr>
              <w:t>11. Complaints and Feedback Management Report</w:t>
            </w:r>
            <w:r>
              <w:rPr>
                <w:noProof/>
                <w:webHidden/>
              </w:rPr>
              <w:tab/>
            </w:r>
            <w:r>
              <w:rPr>
                <w:noProof/>
                <w:webHidden/>
              </w:rPr>
              <w:fldChar w:fldCharType="begin"/>
            </w:r>
            <w:r>
              <w:rPr>
                <w:noProof/>
                <w:webHidden/>
              </w:rPr>
              <w:instrText xml:space="preserve"> PAGEREF _Toc210330197 \h </w:instrText>
            </w:r>
            <w:r>
              <w:rPr>
                <w:noProof/>
                <w:webHidden/>
              </w:rPr>
            </w:r>
            <w:r>
              <w:rPr>
                <w:noProof/>
                <w:webHidden/>
              </w:rPr>
              <w:fldChar w:fldCharType="separate"/>
            </w:r>
            <w:r w:rsidR="00B626B7">
              <w:rPr>
                <w:noProof/>
                <w:webHidden/>
              </w:rPr>
              <w:t>8</w:t>
            </w:r>
            <w:r>
              <w:rPr>
                <w:noProof/>
                <w:webHidden/>
              </w:rPr>
              <w:fldChar w:fldCharType="end"/>
            </w:r>
          </w:hyperlink>
        </w:p>
        <w:p w14:paraId="7B979226" w14:textId="3F108656" w:rsidR="00AC7C64" w:rsidRDefault="00AC7C64">
          <w:pPr>
            <w:pStyle w:val="TOC2"/>
            <w:rPr>
              <w:rFonts w:asciiTheme="minorHAnsi" w:eastAsiaTheme="minorEastAsia" w:hAnsiTheme="minorHAnsi" w:cstheme="minorBidi"/>
              <w:noProof/>
              <w:color w:val="auto"/>
              <w:kern w:val="2"/>
              <w:lang w:eastAsia="en-AU"/>
              <w14:ligatures w14:val="standardContextual"/>
            </w:rPr>
          </w:pPr>
          <w:hyperlink w:anchor="_Toc210330198" w:history="1">
            <w:r w:rsidRPr="00B82373">
              <w:rPr>
                <w:rStyle w:val="Hyperlink"/>
                <w:noProof/>
              </w:rPr>
              <w:t>12. Child Safety Compliance Statement</w:t>
            </w:r>
            <w:r>
              <w:rPr>
                <w:noProof/>
                <w:webHidden/>
              </w:rPr>
              <w:tab/>
            </w:r>
            <w:r>
              <w:rPr>
                <w:noProof/>
                <w:webHidden/>
              </w:rPr>
              <w:fldChar w:fldCharType="begin"/>
            </w:r>
            <w:r>
              <w:rPr>
                <w:noProof/>
                <w:webHidden/>
              </w:rPr>
              <w:instrText xml:space="preserve"> PAGEREF _Toc210330198 \h </w:instrText>
            </w:r>
            <w:r>
              <w:rPr>
                <w:noProof/>
                <w:webHidden/>
              </w:rPr>
            </w:r>
            <w:r>
              <w:rPr>
                <w:noProof/>
                <w:webHidden/>
              </w:rPr>
              <w:fldChar w:fldCharType="separate"/>
            </w:r>
            <w:r w:rsidR="00B626B7">
              <w:rPr>
                <w:noProof/>
                <w:webHidden/>
              </w:rPr>
              <w:t>8</w:t>
            </w:r>
            <w:r>
              <w:rPr>
                <w:noProof/>
                <w:webHidden/>
              </w:rPr>
              <w:fldChar w:fldCharType="end"/>
            </w:r>
          </w:hyperlink>
        </w:p>
        <w:p w14:paraId="170FF86F" w14:textId="00CEBD36" w:rsidR="00C14DC9" w:rsidRPr="008579BE" w:rsidRDefault="00C14DC9" w:rsidP="00C14DC9">
          <w:r w:rsidRPr="008579BE">
            <w:rPr>
              <w:b/>
              <w:bCs/>
              <w:noProof/>
            </w:rPr>
            <w:fldChar w:fldCharType="end"/>
          </w:r>
        </w:p>
      </w:sdtContent>
    </w:sdt>
    <w:p w14:paraId="61BF4139" w14:textId="55BA9E1E" w:rsidR="00FB3833" w:rsidRPr="008579BE" w:rsidRDefault="00212A00" w:rsidP="00913875">
      <w:pPr>
        <w:pStyle w:val="Heading2"/>
        <w:spacing w:before="360"/>
      </w:pPr>
      <w:bookmarkStart w:id="1" w:name="_Toc168402564"/>
      <w:bookmarkStart w:id="2" w:name="_Toc183595288"/>
      <w:bookmarkStart w:id="3" w:name="_Toc210330184"/>
      <w:r w:rsidRPr="008579BE">
        <w:t xml:space="preserve">1. </w:t>
      </w:r>
      <w:bookmarkEnd w:id="1"/>
      <w:r w:rsidR="00BB2210" w:rsidRPr="008579BE">
        <w:t>About the CHSP Compliance Framework</w:t>
      </w:r>
      <w:bookmarkEnd w:id="2"/>
      <w:bookmarkEnd w:id="3"/>
    </w:p>
    <w:p w14:paraId="01360C1D" w14:textId="2857BBB9" w:rsidR="00FB3833" w:rsidRPr="008579BE" w:rsidRDefault="194890D2" w:rsidP="003A75FA">
      <w:pPr>
        <w:spacing w:after="0"/>
        <w:ind w:left="17"/>
      </w:pPr>
      <w:r w:rsidRPr="008579BE">
        <w:rPr>
          <w:spacing w:val="-2"/>
          <w:position w:val="2"/>
        </w:rPr>
        <w:t xml:space="preserve">The </w:t>
      </w:r>
      <w:r w:rsidR="20675CAC" w:rsidRPr="008579BE">
        <w:rPr>
          <w:spacing w:val="-2"/>
          <w:position w:val="2"/>
        </w:rPr>
        <w:t>C</w:t>
      </w:r>
      <w:r w:rsidR="6A046E3F" w:rsidRPr="008579BE">
        <w:rPr>
          <w:spacing w:val="-2"/>
          <w:position w:val="2"/>
        </w:rPr>
        <w:t xml:space="preserve">ommonwealth </w:t>
      </w:r>
      <w:r w:rsidR="20675CAC" w:rsidRPr="008579BE">
        <w:rPr>
          <w:spacing w:val="-2"/>
          <w:position w:val="2"/>
        </w:rPr>
        <w:t>H</w:t>
      </w:r>
      <w:r w:rsidR="6A046E3F" w:rsidRPr="008579BE">
        <w:rPr>
          <w:spacing w:val="-2"/>
          <w:position w:val="2"/>
        </w:rPr>
        <w:t xml:space="preserve">ome </w:t>
      </w:r>
      <w:r w:rsidR="20675CAC" w:rsidRPr="008579BE">
        <w:rPr>
          <w:spacing w:val="-2"/>
          <w:position w:val="2"/>
        </w:rPr>
        <w:t>S</w:t>
      </w:r>
      <w:r w:rsidR="6A046E3F" w:rsidRPr="008579BE">
        <w:rPr>
          <w:spacing w:val="-2"/>
          <w:position w:val="2"/>
        </w:rPr>
        <w:t xml:space="preserve">upport </w:t>
      </w:r>
      <w:r w:rsidR="20675CAC" w:rsidRPr="008579BE">
        <w:rPr>
          <w:spacing w:val="-2"/>
          <w:position w:val="2"/>
        </w:rPr>
        <w:t>P</w:t>
      </w:r>
      <w:r w:rsidR="6A046E3F" w:rsidRPr="008579BE">
        <w:rPr>
          <w:spacing w:val="-2"/>
          <w:position w:val="2"/>
        </w:rPr>
        <w:t>rogram (CHSP)</w:t>
      </w:r>
      <w:r w:rsidR="20675CAC" w:rsidRPr="008579BE">
        <w:rPr>
          <w:spacing w:val="-2"/>
          <w:position w:val="2"/>
        </w:rPr>
        <w:t xml:space="preserve"> </w:t>
      </w:r>
      <w:r w:rsidR="15BABFE5" w:rsidRPr="008579BE">
        <w:rPr>
          <w:spacing w:val="-2"/>
          <w:position w:val="2"/>
        </w:rPr>
        <w:t>C</w:t>
      </w:r>
      <w:r w:rsidR="20675CAC" w:rsidRPr="008579BE">
        <w:rPr>
          <w:spacing w:val="-2"/>
          <w:position w:val="2"/>
        </w:rPr>
        <w:t xml:space="preserve">ompliance </w:t>
      </w:r>
      <w:r w:rsidR="15BABFE5" w:rsidRPr="008579BE">
        <w:rPr>
          <w:spacing w:val="-2"/>
          <w:position w:val="2"/>
        </w:rPr>
        <w:t>F</w:t>
      </w:r>
      <w:r w:rsidR="20675CAC" w:rsidRPr="008579BE">
        <w:rPr>
          <w:spacing w:val="-2"/>
          <w:position w:val="2"/>
        </w:rPr>
        <w:t>ramework</w:t>
      </w:r>
      <w:r w:rsidR="7DF1DB54" w:rsidRPr="008579BE">
        <w:rPr>
          <w:spacing w:val="-2"/>
          <w:position w:val="2"/>
        </w:rPr>
        <w:t xml:space="preserve"> (the Framework)</w:t>
      </w:r>
      <w:r w:rsidR="20675CAC" w:rsidRPr="008579BE">
        <w:rPr>
          <w:spacing w:val="-2"/>
          <w:position w:val="2"/>
        </w:rPr>
        <w:t xml:space="preserve"> </w:t>
      </w:r>
      <w:r w:rsidR="3758A241" w:rsidRPr="008579BE">
        <w:rPr>
          <w:spacing w:val="-2"/>
          <w:position w:val="2"/>
        </w:rPr>
        <w:t xml:space="preserve">outlines the performance and regulatory </w:t>
      </w:r>
      <w:r w:rsidR="0A01F28F" w:rsidRPr="008579BE">
        <w:rPr>
          <w:spacing w:val="-2"/>
          <w:position w:val="2"/>
        </w:rPr>
        <w:t>requirements</w:t>
      </w:r>
      <w:r w:rsidR="3758A241" w:rsidRPr="008579BE">
        <w:rPr>
          <w:spacing w:val="-2"/>
          <w:position w:val="2"/>
        </w:rPr>
        <w:t xml:space="preserve"> for all CHSP</w:t>
      </w:r>
      <w:r w:rsidR="13E1C036" w:rsidRPr="008579BE">
        <w:rPr>
          <w:spacing w:val="-2"/>
          <w:position w:val="2"/>
        </w:rPr>
        <w:t xml:space="preserve"> registered</w:t>
      </w:r>
      <w:r w:rsidR="3758A241" w:rsidRPr="008579BE">
        <w:rPr>
          <w:spacing w:val="-2"/>
          <w:position w:val="2"/>
        </w:rPr>
        <w:t xml:space="preserve"> providers. These </w:t>
      </w:r>
      <w:r w:rsidR="0A01F28F" w:rsidRPr="008579BE">
        <w:rPr>
          <w:spacing w:val="-2"/>
          <w:position w:val="2"/>
        </w:rPr>
        <w:t>includ</w:t>
      </w:r>
      <w:r w:rsidR="3758A241" w:rsidRPr="008579BE">
        <w:rPr>
          <w:spacing w:val="-2"/>
          <w:position w:val="2"/>
        </w:rPr>
        <w:t>e</w:t>
      </w:r>
      <w:r w:rsidR="20675CAC" w:rsidRPr="008579BE">
        <w:rPr>
          <w:spacing w:val="-2"/>
          <w:position w:val="2"/>
        </w:rPr>
        <w:t xml:space="preserve">: </w:t>
      </w:r>
    </w:p>
    <w:p w14:paraId="117B774D" w14:textId="77777777" w:rsidR="00FB3833" w:rsidRPr="008579BE" w:rsidRDefault="00FB3833" w:rsidP="00CC51E3">
      <w:pPr>
        <w:pStyle w:val="ListParagraph"/>
        <w:numPr>
          <w:ilvl w:val="0"/>
          <w:numId w:val="6"/>
        </w:numPr>
        <w:spacing w:after="0"/>
        <w:rPr>
          <w:spacing w:val="-2"/>
          <w:position w:val="2"/>
        </w:rPr>
      </w:pPr>
      <w:r w:rsidRPr="008579BE">
        <w:rPr>
          <w:spacing w:val="-2"/>
          <w:position w:val="2"/>
        </w:rPr>
        <w:t xml:space="preserve">performance against the grant agreement </w:t>
      </w:r>
    </w:p>
    <w:p w14:paraId="489C7261" w14:textId="77777777" w:rsidR="00FB3833" w:rsidRPr="008579BE" w:rsidRDefault="00FB3833" w:rsidP="00CC51E3">
      <w:pPr>
        <w:pStyle w:val="ListParagraph"/>
        <w:numPr>
          <w:ilvl w:val="0"/>
          <w:numId w:val="6"/>
        </w:numPr>
        <w:spacing w:after="0"/>
        <w:rPr>
          <w:spacing w:val="-2"/>
          <w:position w:val="2"/>
        </w:rPr>
      </w:pPr>
      <w:r w:rsidRPr="008579BE">
        <w:rPr>
          <w:spacing w:val="-2"/>
          <w:position w:val="2"/>
        </w:rPr>
        <w:t xml:space="preserve">submitting financial and reporting information </w:t>
      </w:r>
    </w:p>
    <w:p w14:paraId="34DCDB6D" w14:textId="5D4CC882" w:rsidR="00FB3833" w:rsidRPr="008579BE" w:rsidRDefault="00FB3833" w:rsidP="00CC51E3">
      <w:pPr>
        <w:pStyle w:val="ListParagraph"/>
        <w:numPr>
          <w:ilvl w:val="0"/>
          <w:numId w:val="6"/>
        </w:numPr>
        <w:spacing w:after="0"/>
        <w:rPr>
          <w:spacing w:val="-2"/>
          <w:position w:val="2"/>
        </w:rPr>
      </w:pPr>
      <w:r w:rsidRPr="008579BE">
        <w:rPr>
          <w:spacing w:val="-2"/>
          <w:position w:val="2"/>
        </w:rPr>
        <w:t xml:space="preserve">monitoring compliance against the </w:t>
      </w:r>
      <w:hyperlink r:id="rId11" w:history="1">
        <w:r w:rsidRPr="008579BE">
          <w:rPr>
            <w:rStyle w:val="Hyperlink"/>
            <w:spacing w:val="-2"/>
            <w:position w:val="2"/>
          </w:rPr>
          <w:t xml:space="preserve">Aged Care Quality </w:t>
        </w:r>
        <w:r w:rsidR="00900F2C" w:rsidRPr="008579BE">
          <w:rPr>
            <w:rStyle w:val="Hyperlink"/>
            <w:spacing w:val="-2"/>
            <w:position w:val="2"/>
          </w:rPr>
          <w:t>S</w:t>
        </w:r>
        <w:r w:rsidRPr="008579BE">
          <w:rPr>
            <w:rStyle w:val="Hyperlink"/>
            <w:spacing w:val="-2"/>
            <w:position w:val="2"/>
          </w:rPr>
          <w:t>tandards</w:t>
        </w:r>
      </w:hyperlink>
      <w:r w:rsidRPr="008579BE">
        <w:rPr>
          <w:spacing w:val="-2"/>
          <w:position w:val="2"/>
        </w:rPr>
        <w:t xml:space="preserve"> </w:t>
      </w:r>
      <w:r w:rsidR="00900F2C" w:rsidRPr="008579BE">
        <w:rPr>
          <w:spacing w:val="-2"/>
          <w:position w:val="2"/>
        </w:rPr>
        <w:t>(the Standards)</w:t>
      </w:r>
      <w:r w:rsidR="00246692">
        <w:rPr>
          <w:spacing w:val="-2"/>
          <w:position w:val="2"/>
        </w:rPr>
        <w:t xml:space="preserve"> for</w:t>
      </w:r>
      <w:r w:rsidR="007049FC">
        <w:rPr>
          <w:spacing w:val="-2"/>
          <w:position w:val="2"/>
        </w:rPr>
        <w:t xml:space="preserve"> relevant providers</w:t>
      </w:r>
    </w:p>
    <w:p w14:paraId="17DAC136" w14:textId="284C4400" w:rsidR="00FB3833" w:rsidRPr="008579BE" w:rsidRDefault="00FB3833" w:rsidP="00CC51E3">
      <w:pPr>
        <w:pStyle w:val="ListParagraph"/>
        <w:numPr>
          <w:ilvl w:val="0"/>
          <w:numId w:val="6"/>
        </w:numPr>
        <w:spacing w:after="0"/>
      </w:pPr>
      <w:r w:rsidRPr="008579BE">
        <w:rPr>
          <w:spacing w:val="-2"/>
          <w:position w:val="2"/>
        </w:rPr>
        <w:t xml:space="preserve">complying with obligations outlined in the CHSP Manual </w:t>
      </w:r>
      <w:r w:rsidR="3AF3F5F9" w:rsidRPr="008579BE">
        <w:rPr>
          <w:spacing w:val="-2"/>
          <w:position w:val="2"/>
        </w:rPr>
        <w:t>202</w:t>
      </w:r>
      <w:r w:rsidR="3A0AC6FA" w:rsidRPr="008579BE">
        <w:rPr>
          <w:spacing w:val="-2"/>
          <w:position w:val="2"/>
        </w:rPr>
        <w:t>5</w:t>
      </w:r>
      <w:r w:rsidR="3AF3F5F9" w:rsidRPr="008579BE">
        <w:rPr>
          <w:spacing w:val="-2"/>
          <w:position w:val="2"/>
        </w:rPr>
        <w:t>-2</w:t>
      </w:r>
      <w:r w:rsidR="79AAEF4E" w:rsidRPr="008579BE">
        <w:rPr>
          <w:spacing w:val="-2"/>
          <w:position w:val="2"/>
        </w:rPr>
        <w:t>7</w:t>
      </w:r>
      <w:r w:rsidR="00F56C8B">
        <w:rPr>
          <w:spacing w:val="-2"/>
          <w:position w:val="2"/>
        </w:rPr>
        <w:t xml:space="preserve"> and in the Aged Care Act 2024</w:t>
      </w:r>
      <w:r w:rsidR="00D65384">
        <w:rPr>
          <w:spacing w:val="-2"/>
          <w:position w:val="2"/>
        </w:rPr>
        <w:t xml:space="preserve"> </w:t>
      </w:r>
      <w:r w:rsidR="00D65384" w:rsidRPr="00BB2416">
        <w:rPr>
          <w:spacing w:val="-2"/>
          <w:position w:val="2"/>
        </w:rPr>
        <w:t>(the Act)</w:t>
      </w:r>
    </w:p>
    <w:p w14:paraId="3E32FB93" w14:textId="77777777" w:rsidR="00FB3833" w:rsidRPr="008579BE" w:rsidRDefault="00FB3833" w:rsidP="00CC51E3">
      <w:pPr>
        <w:pStyle w:val="ListParagraph"/>
        <w:numPr>
          <w:ilvl w:val="0"/>
          <w:numId w:val="6"/>
        </w:numPr>
        <w:spacing w:after="0"/>
        <w:rPr>
          <w:spacing w:val="-2"/>
          <w:position w:val="2"/>
        </w:rPr>
      </w:pPr>
      <w:r w:rsidRPr="008579BE">
        <w:rPr>
          <w:spacing w:val="-2"/>
          <w:position w:val="2"/>
        </w:rPr>
        <w:t xml:space="preserve">escalation of fraud related issues for investigation </w:t>
      </w:r>
    </w:p>
    <w:p w14:paraId="62920B4A" w14:textId="7FA5E547" w:rsidR="00FB3833" w:rsidRPr="008579BE" w:rsidRDefault="00FB3833" w:rsidP="00CC51E3">
      <w:pPr>
        <w:pStyle w:val="ListParagraph"/>
        <w:numPr>
          <w:ilvl w:val="0"/>
          <w:numId w:val="6"/>
        </w:numPr>
        <w:spacing w:after="0"/>
        <w:rPr>
          <w:spacing w:val="-2"/>
          <w:position w:val="2"/>
        </w:rPr>
      </w:pPr>
      <w:r w:rsidRPr="008579BE">
        <w:rPr>
          <w:spacing w:val="-2"/>
          <w:position w:val="2"/>
        </w:rPr>
        <w:lastRenderedPageBreak/>
        <w:t xml:space="preserve">meeting requirements </w:t>
      </w:r>
      <w:r w:rsidR="003A75FA" w:rsidRPr="008579BE">
        <w:rPr>
          <w:spacing w:val="-2"/>
          <w:position w:val="2"/>
        </w:rPr>
        <w:t>to maintain current and accurate information on</w:t>
      </w:r>
      <w:r w:rsidRPr="008579BE">
        <w:rPr>
          <w:spacing w:val="-2"/>
          <w:position w:val="2"/>
        </w:rPr>
        <w:t xml:space="preserve"> My Aged Care</w:t>
      </w:r>
      <w:r w:rsidR="00405283">
        <w:rPr>
          <w:spacing w:val="-2"/>
          <w:position w:val="2"/>
        </w:rPr>
        <w:t xml:space="preserve">, with the Community Grants Hub and with the Aged Care Quality and Safety </w:t>
      </w:r>
      <w:r w:rsidR="00524EC6">
        <w:rPr>
          <w:spacing w:val="-2"/>
          <w:position w:val="2"/>
        </w:rPr>
        <w:t>C</w:t>
      </w:r>
      <w:r w:rsidR="00405283">
        <w:rPr>
          <w:spacing w:val="-2"/>
          <w:position w:val="2"/>
        </w:rPr>
        <w:t>ommi</w:t>
      </w:r>
      <w:r w:rsidR="00F56C8B">
        <w:rPr>
          <w:spacing w:val="-2"/>
          <w:position w:val="2"/>
        </w:rPr>
        <w:t>ssion</w:t>
      </w:r>
      <w:r w:rsidRPr="008579BE">
        <w:rPr>
          <w:spacing w:val="-2"/>
          <w:position w:val="2"/>
        </w:rPr>
        <w:t xml:space="preserve">. </w:t>
      </w:r>
    </w:p>
    <w:p w14:paraId="31DDAACF" w14:textId="6BDE5E52" w:rsidR="00796E0E" w:rsidRPr="008579BE" w:rsidRDefault="00796E0E" w:rsidP="00796E0E">
      <w:pPr>
        <w:spacing w:after="0"/>
        <w:ind w:left="17"/>
        <w:rPr>
          <w:spacing w:val="-2"/>
          <w:position w:val="2"/>
        </w:rPr>
      </w:pPr>
      <w:r w:rsidRPr="008579BE">
        <w:rPr>
          <w:spacing w:val="-2"/>
          <w:position w:val="2"/>
        </w:rPr>
        <w:t xml:space="preserve">The Framework </w:t>
      </w:r>
      <w:r w:rsidR="000778FF" w:rsidRPr="008579BE">
        <w:rPr>
          <w:spacing w:val="-2"/>
          <w:position w:val="2"/>
        </w:rPr>
        <w:t xml:space="preserve">also covers </w:t>
      </w:r>
      <w:r w:rsidRPr="008579BE">
        <w:rPr>
          <w:spacing w:val="-2"/>
          <w:position w:val="2"/>
        </w:rPr>
        <w:t>the receipt of deliverables outlined within the grant agreement upon the expected due date, including:</w:t>
      </w:r>
    </w:p>
    <w:p w14:paraId="1FEE85D7" w14:textId="52A98F18" w:rsidR="00796E0E" w:rsidRPr="008579BE" w:rsidRDefault="00796E0E" w:rsidP="00796E0E">
      <w:pPr>
        <w:pStyle w:val="ListParagraph"/>
        <w:numPr>
          <w:ilvl w:val="0"/>
          <w:numId w:val="9"/>
        </w:numPr>
        <w:spacing w:after="0"/>
      </w:pPr>
      <w:r w:rsidRPr="008579BE">
        <w:rPr>
          <w:spacing w:val="-2"/>
          <w:position w:val="2"/>
        </w:rPr>
        <w:t xml:space="preserve">Data Exchange (DEX) monthly reporting </w:t>
      </w:r>
    </w:p>
    <w:p w14:paraId="1C915D41" w14:textId="703D6956" w:rsidR="00796E0E" w:rsidRPr="008579BE" w:rsidRDefault="000778FF" w:rsidP="00796E0E">
      <w:pPr>
        <w:pStyle w:val="ListParagraph"/>
        <w:numPr>
          <w:ilvl w:val="0"/>
          <w:numId w:val="9"/>
        </w:numPr>
        <w:spacing w:after="0"/>
        <w:rPr>
          <w:spacing w:val="-2"/>
          <w:position w:val="2"/>
        </w:rPr>
      </w:pPr>
      <w:r w:rsidRPr="008579BE">
        <w:rPr>
          <w:spacing w:val="-2"/>
          <w:position w:val="2"/>
        </w:rPr>
        <w:t>f</w:t>
      </w:r>
      <w:r w:rsidR="00796E0E" w:rsidRPr="008579BE">
        <w:rPr>
          <w:spacing w:val="-2"/>
          <w:position w:val="2"/>
        </w:rPr>
        <w:t xml:space="preserve">inancial </w:t>
      </w:r>
      <w:r w:rsidRPr="008579BE">
        <w:rPr>
          <w:spacing w:val="-2"/>
          <w:position w:val="2"/>
        </w:rPr>
        <w:t>a</w:t>
      </w:r>
      <w:r w:rsidR="00796E0E" w:rsidRPr="008579BE">
        <w:rPr>
          <w:spacing w:val="-2"/>
          <w:position w:val="2"/>
        </w:rPr>
        <w:t xml:space="preserve">cquittals </w:t>
      </w:r>
    </w:p>
    <w:p w14:paraId="0FB3396B" w14:textId="2D4D22CB" w:rsidR="00796E0E" w:rsidRPr="008579BE" w:rsidRDefault="00796E0E" w:rsidP="00796E0E">
      <w:pPr>
        <w:pStyle w:val="ListParagraph"/>
        <w:numPr>
          <w:ilvl w:val="0"/>
          <w:numId w:val="9"/>
        </w:numPr>
        <w:spacing w:after="0"/>
        <w:rPr>
          <w:spacing w:val="-2"/>
          <w:position w:val="2"/>
        </w:rPr>
      </w:pPr>
      <w:r w:rsidRPr="008579BE">
        <w:rPr>
          <w:spacing w:val="-2"/>
          <w:position w:val="2"/>
        </w:rPr>
        <w:t xml:space="preserve">Sector </w:t>
      </w:r>
      <w:r w:rsidR="00885666">
        <w:rPr>
          <w:spacing w:val="-2"/>
          <w:position w:val="2"/>
        </w:rPr>
        <w:t>s</w:t>
      </w:r>
      <w:r w:rsidRPr="008579BE">
        <w:rPr>
          <w:spacing w:val="-2"/>
          <w:position w:val="2"/>
        </w:rPr>
        <w:t xml:space="preserve">upport and </w:t>
      </w:r>
      <w:r w:rsidR="00885666">
        <w:rPr>
          <w:spacing w:val="-2"/>
          <w:position w:val="2"/>
        </w:rPr>
        <w:t>d</w:t>
      </w:r>
      <w:r w:rsidRPr="008579BE">
        <w:rPr>
          <w:spacing w:val="-2"/>
          <w:position w:val="2"/>
        </w:rPr>
        <w:t>evelopment (SSD) performance reports</w:t>
      </w:r>
    </w:p>
    <w:p w14:paraId="69AE7730" w14:textId="36231D7C" w:rsidR="00796E0E" w:rsidRPr="008579BE" w:rsidRDefault="000778FF" w:rsidP="00796E0E">
      <w:pPr>
        <w:pStyle w:val="ListParagraph"/>
        <w:numPr>
          <w:ilvl w:val="0"/>
          <w:numId w:val="9"/>
        </w:numPr>
        <w:spacing w:after="0"/>
        <w:rPr>
          <w:spacing w:val="-2"/>
          <w:position w:val="2"/>
        </w:rPr>
      </w:pPr>
      <w:r w:rsidRPr="008579BE">
        <w:rPr>
          <w:spacing w:val="-2"/>
          <w:position w:val="2"/>
        </w:rPr>
        <w:t>w</w:t>
      </w:r>
      <w:r w:rsidR="00796E0E" w:rsidRPr="008579BE">
        <w:rPr>
          <w:spacing w:val="-2"/>
          <w:position w:val="2"/>
        </w:rPr>
        <w:t>ellness &amp; reablement reports</w:t>
      </w:r>
    </w:p>
    <w:p w14:paraId="26989C49" w14:textId="65A22FB1" w:rsidR="0924BAE8" w:rsidRPr="008579BE" w:rsidRDefault="0924BAE8">
      <w:pPr>
        <w:pStyle w:val="ListParagraph"/>
        <w:numPr>
          <w:ilvl w:val="0"/>
          <w:numId w:val="9"/>
        </w:numPr>
        <w:spacing w:after="0"/>
      </w:pPr>
      <w:r w:rsidRPr="008579BE">
        <w:t>Child Safety Annual Statement of Compliance.</w:t>
      </w:r>
    </w:p>
    <w:p w14:paraId="5C200E82" w14:textId="7EF8AFB7" w:rsidR="00900F2C" w:rsidRPr="008579BE" w:rsidRDefault="00FB3833" w:rsidP="007D49C6">
      <w:pPr>
        <w:spacing w:after="0"/>
        <w:rPr>
          <w:spacing w:val="-2"/>
          <w:position w:val="2"/>
        </w:rPr>
      </w:pPr>
      <w:r w:rsidRPr="008579BE">
        <w:rPr>
          <w:spacing w:val="-2"/>
          <w:position w:val="2"/>
        </w:rPr>
        <w:t xml:space="preserve">The </w:t>
      </w:r>
      <w:r w:rsidR="00161E10">
        <w:rPr>
          <w:spacing w:val="-2"/>
          <w:position w:val="2"/>
        </w:rPr>
        <w:t>D</w:t>
      </w:r>
      <w:r w:rsidRPr="008579BE">
        <w:rPr>
          <w:spacing w:val="-2"/>
          <w:position w:val="2"/>
        </w:rPr>
        <w:t xml:space="preserve">epartment </w:t>
      </w:r>
      <w:r w:rsidR="00161E10">
        <w:rPr>
          <w:spacing w:val="-2"/>
          <w:position w:val="2"/>
        </w:rPr>
        <w:t xml:space="preserve">of Health, Disability and Ageing (the department) </w:t>
      </w:r>
      <w:r w:rsidRPr="008579BE">
        <w:rPr>
          <w:spacing w:val="-2"/>
          <w:position w:val="2"/>
        </w:rPr>
        <w:t>works</w:t>
      </w:r>
      <w:r w:rsidR="00642376" w:rsidRPr="008579BE">
        <w:rPr>
          <w:spacing w:val="-2"/>
          <w:position w:val="2"/>
        </w:rPr>
        <w:t xml:space="preserve"> with a number of other agencies, including:</w:t>
      </w:r>
      <w:r w:rsidRPr="008579BE">
        <w:rPr>
          <w:spacing w:val="-2"/>
          <w:position w:val="2"/>
        </w:rPr>
        <w:t xml:space="preserve"> </w:t>
      </w:r>
    </w:p>
    <w:p w14:paraId="680484DD" w14:textId="7F79588C" w:rsidR="007D49C6" w:rsidRPr="008579BE" w:rsidRDefault="007D49C6" w:rsidP="007D49C6">
      <w:pPr>
        <w:pStyle w:val="ListParagraph"/>
        <w:numPr>
          <w:ilvl w:val="0"/>
          <w:numId w:val="7"/>
        </w:numPr>
        <w:spacing w:after="0"/>
        <w:rPr>
          <w:spacing w:val="-2"/>
          <w:position w:val="2"/>
        </w:rPr>
      </w:pPr>
      <w:r w:rsidRPr="008579BE">
        <w:rPr>
          <w:spacing w:val="-2"/>
          <w:position w:val="2"/>
        </w:rPr>
        <w:t xml:space="preserve">The Aged Care Quality and Safety Commission (ACQSC) regarding provider compliance against the Standards </w:t>
      </w:r>
      <w:r w:rsidR="00AB2B72">
        <w:rPr>
          <w:spacing w:val="-2"/>
          <w:position w:val="2"/>
        </w:rPr>
        <w:t>and conditions of registration.</w:t>
      </w:r>
    </w:p>
    <w:p w14:paraId="2C2734A4" w14:textId="7E0166DC" w:rsidR="00D05ACF" w:rsidRPr="008579BE" w:rsidRDefault="00D05ACF" w:rsidP="00900F2C">
      <w:pPr>
        <w:pStyle w:val="ListParagraph"/>
        <w:numPr>
          <w:ilvl w:val="0"/>
          <w:numId w:val="7"/>
        </w:numPr>
        <w:spacing w:after="0"/>
      </w:pPr>
      <w:r w:rsidRPr="008579BE">
        <w:rPr>
          <w:spacing w:val="-2"/>
          <w:position w:val="2"/>
        </w:rPr>
        <w:t xml:space="preserve">The Department of Social Services </w:t>
      </w:r>
      <w:r w:rsidR="00FA1C46" w:rsidRPr="008579BE">
        <w:t xml:space="preserve">(DSS) </w:t>
      </w:r>
      <w:r w:rsidRPr="008579BE">
        <w:rPr>
          <w:spacing w:val="-2"/>
          <w:position w:val="2"/>
        </w:rPr>
        <w:t xml:space="preserve">Community Grants Hub (CGH) </w:t>
      </w:r>
      <w:r w:rsidR="00C81932" w:rsidRPr="008579BE">
        <w:rPr>
          <w:spacing w:val="-2"/>
          <w:position w:val="2"/>
        </w:rPr>
        <w:t>to</w:t>
      </w:r>
      <w:r w:rsidRPr="008579BE">
        <w:rPr>
          <w:spacing w:val="-2"/>
          <w:position w:val="2"/>
        </w:rPr>
        <w:t xml:space="preserve"> manage the reporting of service delivery and expenditure against the </w:t>
      </w:r>
      <w:r w:rsidR="33BA57BE" w:rsidRPr="008579BE">
        <w:rPr>
          <w:spacing w:val="-2"/>
          <w:position w:val="2"/>
        </w:rPr>
        <w:t>g</w:t>
      </w:r>
      <w:r w:rsidRPr="008579BE">
        <w:rPr>
          <w:spacing w:val="-2"/>
          <w:position w:val="2"/>
        </w:rPr>
        <w:t>rant</w:t>
      </w:r>
      <w:r w:rsidR="004F0CDB" w:rsidRPr="008579BE">
        <w:rPr>
          <w:spacing w:val="-2"/>
          <w:position w:val="2"/>
        </w:rPr>
        <w:t xml:space="preserve"> </w:t>
      </w:r>
      <w:r w:rsidR="626E2608" w:rsidRPr="008579BE">
        <w:rPr>
          <w:spacing w:val="-2"/>
          <w:position w:val="2"/>
        </w:rPr>
        <w:t>a</w:t>
      </w:r>
      <w:r w:rsidR="004F0CDB" w:rsidRPr="008579BE">
        <w:rPr>
          <w:spacing w:val="-2"/>
          <w:position w:val="2"/>
        </w:rPr>
        <w:t>greement</w:t>
      </w:r>
    </w:p>
    <w:p w14:paraId="0B34B4DE" w14:textId="77777777" w:rsidR="00461D65" w:rsidRDefault="00C235BF" w:rsidP="00461D65">
      <w:pPr>
        <w:pStyle w:val="ListParagraph"/>
        <w:numPr>
          <w:ilvl w:val="0"/>
          <w:numId w:val="7"/>
        </w:numPr>
        <w:spacing w:after="0"/>
      </w:pPr>
      <w:r w:rsidRPr="008579BE">
        <w:rPr>
          <w:spacing w:val="-2"/>
          <w:position w:val="2"/>
        </w:rPr>
        <w:t xml:space="preserve">The </w:t>
      </w:r>
      <w:r w:rsidR="00FB3833" w:rsidRPr="008579BE">
        <w:rPr>
          <w:spacing w:val="-2"/>
          <w:position w:val="2"/>
        </w:rPr>
        <w:t xml:space="preserve">National Indigenous Australians Agency </w:t>
      </w:r>
      <w:r w:rsidR="00900F2C" w:rsidRPr="008579BE">
        <w:rPr>
          <w:spacing w:val="-2"/>
          <w:position w:val="2"/>
        </w:rPr>
        <w:t xml:space="preserve">(NIAA) </w:t>
      </w:r>
      <w:r w:rsidR="00FB3833" w:rsidRPr="008579BE">
        <w:rPr>
          <w:spacing w:val="-2"/>
          <w:position w:val="2"/>
        </w:rPr>
        <w:t xml:space="preserve">for </w:t>
      </w:r>
      <w:r w:rsidR="00164EFA" w:rsidRPr="008579BE">
        <w:rPr>
          <w:spacing w:val="-2"/>
          <w:position w:val="2"/>
        </w:rPr>
        <w:t>F</w:t>
      </w:r>
      <w:r w:rsidR="00FB3833" w:rsidRPr="008579BE">
        <w:rPr>
          <w:spacing w:val="-2"/>
          <w:position w:val="2"/>
        </w:rPr>
        <w:t xml:space="preserve">irst </w:t>
      </w:r>
      <w:r w:rsidR="00164EFA" w:rsidRPr="008579BE">
        <w:rPr>
          <w:spacing w:val="-2"/>
          <w:position w:val="2"/>
        </w:rPr>
        <w:t>N</w:t>
      </w:r>
      <w:r w:rsidR="00FB3833" w:rsidRPr="008579BE">
        <w:rPr>
          <w:spacing w:val="-2"/>
          <w:position w:val="2"/>
        </w:rPr>
        <w:t>ation organisations.</w:t>
      </w:r>
      <w:r w:rsidR="00FB3833" w:rsidRPr="00BB2416">
        <w:rPr>
          <w:spacing w:val="-2"/>
          <w:position w:val="2"/>
        </w:rPr>
        <w:t xml:space="preserve"> </w:t>
      </w:r>
    </w:p>
    <w:p w14:paraId="0B12AE07" w14:textId="1534DCD4" w:rsidR="00461D65" w:rsidRDefault="001C5BCF" w:rsidP="00461D65">
      <w:pPr>
        <w:spacing w:after="0"/>
      </w:pPr>
      <w:r>
        <w:rPr>
          <w:spacing w:val="-2"/>
          <w:position w:val="2"/>
        </w:rPr>
        <w:t>T</w:t>
      </w:r>
      <w:r w:rsidR="00461D65" w:rsidRPr="00BB2416">
        <w:rPr>
          <w:spacing w:val="-2"/>
          <w:position w:val="2"/>
        </w:rPr>
        <w:t xml:space="preserve">he authority underpinning the monitoring and compliance activities in this Framework is the Act, </w:t>
      </w:r>
      <w:r w:rsidR="00474736">
        <w:rPr>
          <w:spacing w:val="-2"/>
          <w:position w:val="2"/>
        </w:rPr>
        <w:t xml:space="preserve">the Aged Care </w:t>
      </w:r>
      <w:r w:rsidR="00461D65" w:rsidRPr="00BB2416">
        <w:rPr>
          <w:spacing w:val="-2"/>
          <w:position w:val="2"/>
        </w:rPr>
        <w:t>Rules</w:t>
      </w:r>
      <w:r w:rsidR="00474736">
        <w:rPr>
          <w:spacing w:val="-2"/>
          <w:position w:val="2"/>
        </w:rPr>
        <w:t xml:space="preserve"> (the Rules)</w:t>
      </w:r>
      <w:r w:rsidR="00461D65" w:rsidRPr="00BB2416">
        <w:rPr>
          <w:spacing w:val="-2"/>
          <w:position w:val="2"/>
        </w:rPr>
        <w:t xml:space="preserve"> and the CHSP Grant Agreement, including the</w:t>
      </w:r>
      <w:r w:rsidR="00461D65">
        <w:rPr>
          <w:spacing w:val="-2"/>
          <w:position w:val="2"/>
        </w:rPr>
        <w:t xml:space="preserve"> </w:t>
      </w:r>
      <w:r w:rsidR="005022C5">
        <w:rPr>
          <w:spacing w:val="-2"/>
          <w:position w:val="2"/>
        </w:rPr>
        <w:t>CHSP </w:t>
      </w:r>
      <w:r w:rsidR="00461D65" w:rsidRPr="00BB2416">
        <w:rPr>
          <w:spacing w:val="-2"/>
          <w:position w:val="2"/>
        </w:rPr>
        <w:t>2025-27 Manual.</w:t>
      </w:r>
    </w:p>
    <w:p w14:paraId="6EE603C6" w14:textId="37DE9DBF" w:rsidR="007103AB" w:rsidRPr="000810A6" w:rsidRDefault="000810A6" w:rsidP="00461D65">
      <w:pPr>
        <w:spacing w:after="0"/>
        <w:rPr>
          <w:b/>
          <w:bCs/>
        </w:rPr>
      </w:pPr>
      <w:r w:rsidRPr="01CCEA13">
        <w:rPr>
          <w:b/>
          <w:bCs/>
        </w:rPr>
        <w:t>Diagram 1: Compliance model</w:t>
      </w:r>
    </w:p>
    <w:p w14:paraId="1F5BFD47" w14:textId="7F7CFB2A" w:rsidR="007103AB" w:rsidRDefault="619773C0" w:rsidP="01CCEA13">
      <w:pPr>
        <w:spacing w:after="0"/>
      </w:pPr>
      <w:r>
        <w:rPr>
          <w:noProof/>
        </w:rPr>
        <w:drawing>
          <wp:inline distT="0" distB="0" distL="0" distR="0" wp14:anchorId="7E03FE5D" wp14:editId="26879C42">
            <wp:extent cx="5522940" cy="2733675"/>
            <wp:effectExtent l="0" t="0" r="0" b="0"/>
            <wp:docPr id="8269960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96015" name=""/>
                    <pic:cNvPicPr/>
                  </pic:nvPicPr>
                  <pic:blipFill>
                    <a:blip r:embed="rId12">
                      <a:extLst>
                        <a:ext uri="{28A0092B-C50C-407E-A947-70E740481C1C}">
                          <a14:useLocalDpi xmlns:a14="http://schemas.microsoft.com/office/drawing/2010/main"/>
                        </a:ext>
                      </a:extLst>
                    </a:blip>
                    <a:stretch>
                      <a:fillRect/>
                    </a:stretch>
                  </pic:blipFill>
                  <pic:spPr>
                    <a:xfrm>
                      <a:off x="0" y="0"/>
                      <a:ext cx="5522940" cy="2733675"/>
                    </a:xfrm>
                    <a:prstGeom prst="rect">
                      <a:avLst/>
                    </a:prstGeom>
                  </pic:spPr>
                </pic:pic>
              </a:graphicData>
            </a:graphic>
          </wp:inline>
        </w:drawing>
      </w:r>
    </w:p>
    <w:p w14:paraId="4033EFFA" w14:textId="5D505F68" w:rsidR="006B2C8C" w:rsidRPr="00BB2416" w:rsidRDefault="006B2C8C" w:rsidP="00BB2416">
      <w:pPr>
        <w:spacing w:after="0"/>
      </w:pPr>
      <w:r w:rsidRPr="006B2C8C">
        <w:rPr>
          <w:spacing w:val="-2"/>
          <w:position w:val="2"/>
        </w:rPr>
        <w:t>When responding to non-compliance, the department will take a risk-based approach. The</w:t>
      </w:r>
      <w:r w:rsidR="00452914">
        <w:rPr>
          <w:spacing w:val="-2"/>
          <w:position w:val="2"/>
        </w:rPr>
        <w:t> </w:t>
      </w:r>
      <w:r w:rsidRPr="006B2C8C">
        <w:rPr>
          <w:spacing w:val="-2"/>
          <w:position w:val="2"/>
        </w:rPr>
        <w:t>department aims to adopt a tailored and flexible approach which considers the nature and severity of non-compliance.</w:t>
      </w:r>
    </w:p>
    <w:p w14:paraId="1A4B64BB" w14:textId="19BC6E84" w:rsidR="009D49C0" w:rsidRPr="008579BE" w:rsidRDefault="009D49C0" w:rsidP="009D16DE">
      <w:pPr>
        <w:pStyle w:val="Heading2"/>
      </w:pPr>
      <w:bookmarkStart w:id="4" w:name="_Toc210330185"/>
      <w:r w:rsidRPr="008579BE">
        <w:lastRenderedPageBreak/>
        <w:t>2. CHSP and the Aged Care Act 2024</w:t>
      </w:r>
      <w:bookmarkEnd w:id="4"/>
    </w:p>
    <w:p w14:paraId="1138F5BB" w14:textId="33145557" w:rsidR="0017477E" w:rsidRPr="008579BE" w:rsidRDefault="000810A6" w:rsidP="0017477E">
      <w:pPr>
        <w:spacing w:after="0"/>
      </w:pPr>
      <w:r>
        <w:rPr>
          <w:spacing w:val="-2"/>
          <w:position w:val="2"/>
        </w:rPr>
        <w:t>From 1 November 2025, t</w:t>
      </w:r>
      <w:r w:rsidR="0066254B" w:rsidRPr="008579BE">
        <w:rPr>
          <w:lang w:val="en-US"/>
        </w:rPr>
        <w:t xml:space="preserve">he Act </w:t>
      </w:r>
      <w:r w:rsidR="00164434">
        <w:rPr>
          <w:lang w:val="en-US"/>
        </w:rPr>
        <w:t xml:space="preserve">provides a new framework for </w:t>
      </w:r>
      <w:r w:rsidR="0066254B" w:rsidRPr="008579BE">
        <w:t>in-home aged care, including the CHSP.</w:t>
      </w:r>
      <w:r w:rsidR="0017477E" w:rsidRPr="008579BE">
        <w:t xml:space="preserve"> </w:t>
      </w:r>
    </w:p>
    <w:p w14:paraId="27C60C63" w14:textId="518AD6A2" w:rsidR="00267FE5" w:rsidRPr="008579BE" w:rsidRDefault="00267FE5" w:rsidP="00267FE5">
      <w:pPr>
        <w:spacing w:after="0"/>
      </w:pPr>
      <w:r>
        <w:t>CHSP</w:t>
      </w:r>
      <w:r w:rsidR="5C021A98">
        <w:t xml:space="preserve"> registered</w:t>
      </w:r>
      <w:r>
        <w:t xml:space="preserve"> providers will need to register to deliver Commonwealth funded aged care services</w:t>
      </w:r>
      <w:r w:rsidR="00671D89">
        <w:t xml:space="preserve">, with existing providers </w:t>
      </w:r>
      <w:r w:rsidR="003A7087">
        <w:t>deemed into relevant registration categories as of 1</w:t>
      </w:r>
      <w:r w:rsidR="000810A6">
        <w:t> </w:t>
      </w:r>
      <w:r w:rsidR="00624BDD">
        <w:t xml:space="preserve">November </w:t>
      </w:r>
      <w:r w:rsidR="003A7087">
        <w:t>2025</w:t>
      </w:r>
      <w:r>
        <w:t>. They will need to comply with a set of obligations, including conditions on their registration. They will need to do this even where they subcontract the delivery of services.</w:t>
      </w:r>
    </w:p>
    <w:p w14:paraId="6B26811D" w14:textId="11632529" w:rsidR="009D49C0" w:rsidRPr="008579BE" w:rsidRDefault="0021629D" w:rsidP="0017477E">
      <w:pPr>
        <w:spacing w:after="0"/>
        <w:rPr>
          <w:lang w:val="en-US"/>
        </w:rPr>
      </w:pPr>
      <w:r w:rsidRPr="230D37C8">
        <w:rPr>
          <w:lang w:val="en-US"/>
        </w:rPr>
        <w:t>All CHSP</w:t>
      </w:r>
      <w:r w:rsidR="52B8B222" w:rsidRPr="230D37C8">
        <w:rPr>
          <w:lang w:val="en-US"/>
        </w:rPr>
        <w:t xml:space="preserve"> registered</w:t>
      </w:r>
      <w:r w:rsidRPr="230D37C8">
        <w:rPr>
          <w:lang w:val="en-US"/>
        </w:rPr>
        <w:t xml:space="preserve"> providers will need to comply with the Rules</w:t>
      </w:r>
      <w:r w:rsidR="0017477E" w:rsidRPr="230D37C8">
        <w:rPr>
          <w:lang w:val="en-US"/>
        </w:rPr>
        <w:t xml:space="preserve"> as they apply to the CHSP.</w:t>
      </w:r>
      <w:r w:rsidR="00817AE8" w:rsidRPr="230D37C8">
        <w:rPr>
          <w:lang w:val="en-US"/>
        </w:rPr>
        <w:t xml:space="preserve"> </w:t>
      </w:r>
      <w:r w:rsidR="00817AE8">
        <w:t>The purpose of the Rules is to provide further detail on the</w:t>
      </w:r>
      <w:r w:rsidR="001577A8">
        <w:t xml:space="preserve"> requirements in the</w:t>
      </w:r>
      <w:r w:rsidR="00817AE8">
        <w:t xml:space="preserve"> Act.</w:t>
      </w:r>
    </w:p>
    <w:p w14:paraId="23AADCB0" w14:textId="0F1EE705" w:rsidR="00C91E1C" w:rsidRPr="008579BE" w:rsidRDefault="00C91E1C" w:rsidP="009D16DE">
      <w:pPr>
        <w:spacing w:after="0"/>
        <w:rPr>
          <w:spacing w:val="-2"/>
          <w:position w:val="2"/>
        </w:rPr>
      </w:pPr>
      <w:r w:rsidRPr="008579BE">
        <w:rPr>
          <w:lang w:val="en-US"/>
        </w:rPr>
        <w:t xml:space="preserve">Compliance against the </w:t>
      </w:r>
      <w:r w:rsidR="002D47C6">
        <w:rPr>
          <w:lang w:val="en-US"/>
        </w:rPr>
        <w:t>Act and</w:t>
      </w:r>
      <w:r w:rsidRPr="008579BE">
        <w:rPr>
          <w:lang w:val="en-US"/>
        </w:rPr>
        <w:t xml:space="preserve"> Rules</w:t>
      </w:r>
      <w:r w:rsidR="00D50D66" w:rsidRPr="008579BE">
        <w:rPr>
          <w:lang w:val="en-US"/>
        </w:rPr>
        <w:t>,</w:t>
      </w:r>
      <w:r w:rsidRPr="008579BE">
        <w:rPr>
          <w:lang w:val="en-US"/>
        </w:rPr>
        <w:t xml:space="preserve"> which apply to the CHSP</w:t>
      </w:r>
      <w:r w:rsidR="00D50D66" w:rsidRPr="008579BE">
        <w:rPr>
          <w:lang w:val="en-US"/>
        </w:rPr>
        <w:t>,</w:t>
      </w:r>
      <w:r w:rsidRPr="008579BE">
        <w:rPr>
          <w:lang w:val="en-US"/>
        </w:rPr>
        <w:t xml:space="preserve"> will be monitored as part of the Framework.</w:t>
      </w:r>
    </w:p>
    <w:p w14:paraId="332132BC" w14:textId="3ADEF239" w:rsidR="00FB3833" w:rsidRPr="008579BE" w:rsidRDefault="00624BDD" w:rsidP="00913875">
      <w:pPr>
        <w:pStyle w:val="Heading2"/>
        <w:spacing w:line="276" w:lineRule="auto"/>
      </w:pPr>
      <w:bookmarkStart w:id="5" w:name="_Toc183595289"/>
      <w:bookmarkStart w:id="6" w:name="_Toc210330186"/>
      <w:r>
        <w:t>3</w:t>
      </w:r>
      <w:r w:rsidR="00212A00" w:rsidRPr="008579BE">
        <w:t xml:space="preserve">. </w:t>
      </w:r>
      <w:r w:rsidR="00FB3833" w:rsidRPr="008579BE">
        <w:t xml:space="preserve">Data Exchange (DEX) </w:t>
      </w:r>
      <w:r w:rsidR="002D013B" w:rsidRPr="008579BE">
        <w:t>o</w:t>
      </w:r>
      <w:r w:rsidR="00FB3833" w:rsidRPr="008579BE">
        <w:t>versight</w:t>
      </w:r>
      <w:bookmarkEnd w:id="5"/>
      <w:bookmarkEnd w:id="6"/>
    </w:p>
    <w:p w14:paraId="5575C759" w14:textId="17571A5E" w:rsidR="00E648D2" w:rsidRPr="008579BE" w:rsidRDefault="00DA181A" w:rsidP="00CC51E3">
      <w:pPr>
        <w:spacing w:after="0"/>
        <w:ind w:left="17"/>
      </w:pPr>
      <w:r w:rsidRPr="008579BE">
        <w:rPr>
          <w:spacing w:val="-2"/>
          <w:position w:val="2"/>
        </w:rPr>
        <w:t>Since</w:t>
      </w:r>
      <w:r w:rsidR="00621D35" w:rsidRPr="008579BE">
        <w:rPr>
          <w:spacing w:val="-2"/>
          <w:position w:val="2"/>
        </w:rPr>
        <w:t xml:space="preserve"> </w:t>
      </w:r>
      <w:r w:rsidR="00FB3833" w:rsidRPr="008579BE">
        <w:rPr>
          <w:spacing w:val="-2"/>
          <w:position w:val="2"/>
        </w:rPr>
        <w:t>1 July 2022</w:t>
      </w:r>
      <w:r w:rsidR="00164EFA" w:rsidRPr="008579BE">
        <w:rPr>
          <w:spacing w:val="-2"/>
          <w:position w:val="2"/>
        </w:rPr>
        <w:t xml:space="preserve">, </w:t>
      </w:r>
      <w:r w:rsidR="00FB3833" w:rsidRPr="008579BE">
        <w:rPr>
          <w:spacing w:val="-2"/>
          <w:position w:val="2"/>
        </w:rPr>
        <w:t>CHSP</w:t>
      </w:r>
      <w:r w:rsidR="329627DF" w:rsidRPr="008579BE">
        <w:rPr>
          <w:spacing w:val="-2"/>
          <w:position w:val="2"/>
        </w:rPr>
        <w:t xml:space="preserve"> registered</w:t>
      </w:r>
      <w:r w:rsidR="00FB3833" w:rsidRPr="008579BE">
        <w:rPr>
          <w:spacing w:val="-2"/>
          <w:position w:val="2"/>
        </w:rPr>
        <w:t xml:space="preserve"> providers </w:t>
      </w:r>
      <w:r w:rsidR="00621D35" w:rsidRPr="008579BE">
        <w:rPr>
          <w:spacing w:val="-2"/>
          <w:position w:val="2"/>
        </w:rPr>
        <w:t>are</w:t>
      </w:r>
      <w:r w:rsidR="00FB3833" w:rsidRPr="008579BE">
        <w:rPr>
          <w:spacing w:val="-2"/>
          <w:position w:val="2"/>
        </w:rPr>
        <w:t xml:space="preserve"> contractually required to submit monthly performance reports through DEX for services delivered in the previous calendar month. This</w:t>
      </w:r>
      <w:r w:rsidR="00994DB1">
        <w:rPr>
          <w:spacing w:val="-2"/>
          <w:position w:val="2"/>
        </w:rPr>
        <w:t> </w:t>
      </w:r>
      <w:r w:rsidR="00FB3833" w:rsidRPr="008579BE">
        <w:rPr>
          <w:spacing w:val="-2"/>
          <w:position w:val="2"/>
        </w:rPr>
        <w:t xml:space="preserve">replaced the </w:t>
      </w:r>
      <w:r w:rsidR="00D27B64" w:rsidRPr="008579BE">
        <w:rPr>
          <w:spacing w:val="-2"/>
          <w:position w:val="2"/>
        </w:rPr>
        <w:t>6</w:t>
      </w:r>
      <w:r w:rsidR="00994DB1">
        <w:rPr>
          <w:spacing w:val="-2"/>
          <w:position w:val="2"/>
        </w:rPr>
        <w:t xml:space="preserve"> </w:t>
      </w:r>
      <w:r w:rsidR="00FB3833" w:rsidRPr="008579BE">
        <w:rPr>
          <w:spacing w:val="-2"/>
          <w:position w:val="2"/>
        </w:rPr>
        <w:t xml:space="preserve">monthly performance report process. </w:t>
      </w:r>
    </w:p>
    <w:p w14:paraId="1C417D60" w14:textId="256EF633" w:rsidR="00FB3833" w:rsidRDefault="3E92B513" w:rsidP="00CC51E3">
      <w:pPr>
        <w:spacing w:after="0"/>
        <w:ind w:left="17"/>
      </w:pPr>
      <w:r w:rsidRPr="4F68601E">
        <w:rPr>
          <w:rFonts w:eastAsia="Arial" w:cs="Arial"/>
        </w:rPr>
        <w:t xml:space="preserve">Section 166-610 of the Rules prescribes that a CHSP registered provider must give the System Governor a report about activity and performance data matters (the monthly performance report) each month. </w:t>
      </w:r>
    </w:p>
    <w:p w14:paraId="1BA43469" w14:textId="204A3DB4" w:rsidR="00FB3833" w:rsidRDefault="00E648D2" w:rsidP="00CC51E3">
      <w:pPr>
        <w:spacing w:after="0"/>
        <w:ind w:left="17"/>
      </w:pPr>
      <w:r w:rsidRPr="008579BE">
        <w:rPr>
          <w:spacing w:val="-2"/>
          <w:position w:val="2"/>
        </w:rPr>
        <w:t>C</w:t>
      </w:r>
      <w:r w:rsidR="00FB3833" w:rsidRPr="008579BE">
        <w:rPr>
          <w:spacing w:val="-2"/>
          <w:position w:val="2"/>
        </w:rPr>
        <w:t>ontractually providers must submit data for the preceding month by the 14th of the following month.</w:t>
      </w:r>
      <w:r w:rsidRPr="008579BE">
        <w:rPr>
          <w:spacing w:val="-2"/>
          <w:position w:val="2"/>
        </w:rPr>
        <w:t xml:space="preserve"> Providers can submit DEX reporting more frequently</w:t>
      </w:r>
      <w:r>
        <w:t xml:space="preserve"> if they prefer, such as daily, weekly, or fortnightly.</w:t>
      </w:r>
    </w:p>
    <w:p w14:paraId="19BDA263" w14:textId="77777777" w:rsidR="00AE1A1D" w:rsidRDefault="00AE1A1D" w:rsidP="00AE1A1D">
      <w:r w:rsidRPr="230D37C8">
        <w:rPr>
          <w:b/>
          <w:bCs/>
        </w:rPr>
        <w:t>Note:</w:t>
      </w:r>
      <w:r>
        <w:t xml:space="preserve"> </w:t>
      </w:r>
    </w:p>
    <w:p w14:paraId="1B0B65D7" w14:textId="77777777" w:rsidR="00AE1A1D" w:rsidRDefault="00AE1A1D" w:rsidP="00AE1A1D">
      <w:pPr>
        <w:pStyle w:val="ListParagraph"/>
        <w:keepLines/>
        <w:numPr>
          <w:ilvl w:val="0"/>
          <w:numId w:val="15"/>
        </w:numPr>
      </w:pPr>
      <w:r>
        <w:t xml:space="preserve">Providers who do not meet their performance reporting requirements by the due date will be subject to non-compliance actions. </w:t>
      </w:r>
    </w:p>
    <w:p w14:paraId="1F4EB396" w14:textId="77777777" w:rsidR="00AE1A1D" w:rsidRPr="005B4190" w:rsidRDefault="00AE1A1D" w:rsidP="00AE1A1D">
      <w:pPr>
        <w:pStyle w:val="ListParagraph"/>
        <w:keepLines/>
        <w:numPr>
          <w:ilvl w:val="0"/>
          <w:numId w:val="15"/>
        </w:numPr>
      </w:pPr>
      <w:r>
        <w:t>Exemptions from compliance action will only be considered in extenuating circumstances.</w:t>
      </w:r>
    </w:p>
    <w:p w14:paraId="057B5905" w14:textId="42E259BF" w:rsidR="00FB3833" w:rsidRPr="008579BE" w:rsidRDefault="00FB3833" w:rsidP="230D37C8">
      <w:pPr>
        <w:spacing w:after="0"/>
        <w:ind w:left="17"/>
      </w:pPr>
      <w:r w:rsidRPr="008579BE">
        <w:rPr>
          <w:spacing w:val="-2"/>
          <w:position w:val="2"/>
        </w:rPr>
        <w:t xml:space="preserve">The </w:t>
      </w:r>
      <w:r w:rsidR="000B5F26" w:rsidRPr="008579BE">
        <w:rPr>
          <w:spacing w:val="-2"/>
          <w:position w:val="2"/>
        </w:rPr>
        <w:t>CGH</w:t>
      </w:r>
      <w:r w:rsidR="009D19DD" w:rsidRPr="008579BE">
        <w:rPr>
          <w:spacing w:val="-2"/>
          <w:position w:val="2"/>
        </w:rPr>
        <w:t xml:space="preserve"> and the d</w:t>
      </w:r>
      <w:r w:rsidRPr="008579BE">
        <w:rPr>
          <w:spacing w:val="-2"/>
          <w:position w:val="2"/>
        </w:rPr>
        <w:t>epartment review</w:t>
      </w:r>
      <w:r w:rsidR="009D19DD" w:rsidRPr="008579BE">
        <w:rPr>
          <w:spacing w:val="-2"/>
          <w:position w:val="2"/>
        </w:rPr>
        <w:t xml:space="preserve"> </w:t>
      </w:r>
      <w:r w:rsidRPr="008579BE">
        <w:rPr>
          <w:spacing w:val="-2"/>
          <w:position w:val="2"/>
        </w:rPr>
        <w:t>the services delivered by providers and engag</w:t>
      </w:r>
      <w:r w:rsidR="5472E892" w:rsidRPr="008579BE">
        <w:rPr>
          <w:spacing w:val="-2"/>
          <w:position w:val="2"/>
        </w:rPr>
        <w:t>e</w:t>
      </w:r>
      <w:r w:rsidRPr="008579BE">
        <w:rPr>
          <w:spacing w:val="-2"/>
          <w:position w:val="2"/>
        </w:rPr>
        <w:t xml:space="preserve"> with providers where performance is low or of concern. This engagement </w:t>
      </w:r>
      <w:r w:rsidR="00E648D2" w:rsidRPr="008579BE">
        <w:rPr>
          <w:spacing w:val="-2"/>
          <w:position w:val="2"/>
        </w:rPr>
        <w:t>gives</w:t>
      </w:r>
      <w:r w:rsidRPr="008579BE">
        <w:rPr>
          <w:spacing w:val="-2"/>
          <w:position w:val="2"/>
        </w:rPr>
        <w:t xml:space="preserve"> insights </w:t>
      </w:r>
      <w:r w:rsidR="00E648D2" w:rsidRPr="008579BE">
        <w:rPr>
          <w:spacing w:val="-2"/>
          <w:position w:val="2"/>
        </w:rPr>
        <w:t>in</w:t>
      </w:r>
      <w:r w:rsidRPr="008579BE">
        <w:rPr>
          <w:spacing w:val="-2"/>
          <w:position w:val="2"/>
        </w:rPr>
        <w:t xml:space="preserve">to provider capacity, sector strain, workforce issues, region specific challenges and cost increases related to service delivery. </w:t>
      </w:r>
    </w:p>
    <w:p w14:paraId="02019F8E" w14:textId="3C2DA22F" w:rsidR="009101A6" w:rsidRPr="008579BE" w:rsidRDefault="009101A6" w:rsidP="00CC51E3">
      <w:pPr>
        <w:spacing w:after="0"/>
        <w:ind w:left="17"/>
      </w:pPr>
      <w:r w:rsidRPr="008579BE">
        <w:rPr>
          <w:spacing w:val="-2"/>
          <w:position w:val="2"/>
        </w:rPr>
        <w:t>My</w:t>
      </w:r>
      <w:r w:rsidR="00F54764">
        <w:rPr>
          <w:spacing w:val="-2"/>
          <w:position w:val="2"/>
        </w:rPr>
        <w:t xml:space="preserve"> </w:t>
      </w:r>
      <w:r w:rsidRPr="008579BE">
        <w:rPr>
          <w:spacing w:val="-2"/>
          <w:position w:val="2"/>
        </w:rPr>
        <w:t>Aged</w:t>
      </w:r>
      <w:r w:rsidR="00F54764">
        <w:rPr>
          <w:spacing w:val="-2"/>
          <w:position w:val="2"/>
        </w:rPr>
        <w:t xml:space="preserve"> </w:t>
      </w:r>
      <w:r w:rsidR="00EC1E81">
        <w:rPr>
          <w:spacing w:val="-2"/>
          <w:position w:val="2"/>
        </w:rPr>
        <w:t>Care</w:t>
      </w:r>
      <w:r w:rsidRPr="008579BE">
        <w:rPr>
          <w:spacing w:val="-2"/>
          <w:position w:val="2"/>
        </w:rPr>
        <w:t xml:space="preserve"> IDs will be required to be </w:t>
      </w:r>
      <w:r w:rsidR="00CB2A90" w:rsidRPr="008579BE">
        <w:rPr>
          <w:spacing w:val="-2"/>
          <w:position w:val="2"/>
        </w:rPr>
        <w:t>submitted</w:t>
      </w:r>
      <w:r w:rsidRPr="008579BE">
        <w:rPr>
          <w:spacing w:val="-2"/>
          <w:position w:val="2"/>
        </w:rPr>
        <w:t xml:space="preserve"> though DEX during 2025-26, however functionality will not be </w:t>
      </w:r>
      <w:r w:rsidR="0016523A" w:rsidRPr="008579BE">
        <w:rPr>
          <w:spacing w:val="-2"/>
          <w:position w:val="2"/>
        </w:rPr>
        <w:t xml:space="preserve">available until </w:t>
      </w:r>
      <w:r w:rsidR="00CB2A90">
        <w:rPr>
          <w:spacing w:val="-2"/>
          <w:position w:val="2"/>
        </w:rPr>
        <w:t>later</w:t>
      </w:r>
      <w:r w:rsidR="0016523A" w:rsidRPr="008579BE">
        <w:rPr>
          <w:spacing w:val="-2"/>
          <w:position w:val="2"/>
        </w:rPr>
        <w:t xml:space="preserve"> in the 2025-26 FY. Providers are required from 1</w:t>
      </w:r>
      <w:r w:rsidR="00F83E6B">
        <w:rPr>
          <w:spacing w:val="-2"/>
          <w:position w:val="2"/>
        </w:rPr>
        <w:t> </w:t>
      </w:r>
      <w:r w:rsidR="0016523A" w:rsidRPr="008579BE">
        <w:rPr>
          <w:spacing w:val="-2"/>
          <w:position w:val="2"/>
        </w:rPr>
        <w:t xml:space="preserve">July 2025 to collect the </w:t>
      </w:r>
      <w:r w:rsidR="00645DE6">
        <w:rPr>
          <w:spacing w:val="-2"/>
          <w:position w:val="2"/>
        </w:rPr>
        <w:t xml:space="preserve">My </w:t>
      </w:r>
      <w:r w:rsidR="0016523A" w:rsidRPr="008579BE">
        <w:rPr>
          <w:spacing w:val="-2"/>
          <w:position w:val="2"/>
        </w:rPr>
        <w:t xml:space="preserve">Aged Care IDs against services delivered in their client management </w:t>
      </w:r>
      <w:r w:rsidR="00FA724D" w:rsidRPr="008579BE">
        <w:rPr>
          <w:spacing w:val="-2"/>
          <w:position w:val="2"/>
        </w:rPr>
        <w:t>software</w:t>
      </w:r>
      <w:r w:rsidR="0016523A" w:rsidRPr="008579BE">
        <w:rPr>
          <w:spacing w:val="-2"/>
          <w:position w:val="2"/>
        </w:rPr>
        <w:t xml:space="preserve"> and provide this data once </w:t>
      </w:r>
      <w:r w:rsidR="000D1428" w:rsidRPr="008579BE">
        <w:rPr>
          <w:spacing w:val="-2"/>
          <w:position w:val="2"/>
        </w:rPr>
        <w:t>DEX My</w:t>
      </w:r>
      <w:r w:rsidR="00FA724D" w:rsidRPr="008579BE">
        <w:rPr>
          <w:spacing w:val="-2"/>
          <w:position w:val="2"/>
        </w:rPr>
        <w:t xml:space="preserve"> A</w:t>
      </w:r>
      <w:r w:rsidR="000D1428" w:rsidRPr="008579BE">
        <w:rPr>
          <w:spacing w:val="-2"/>
          <w:position w:val="2"/>
        </w:rPr>
        <w:t>ged</w:t>
      </w:r>
      <w:r w:rsidR="00FA724D" w:rsidRPr="008579BE">
        <w:rPr>
          <w:spacing w:val="-2"/>
          <w:position w:val="2"/>
        </w:rPr>
        <w:t xml:space="preserve"> C</w:t>
      </w:r>
      <w:r w:rsidR="000D1428" w:rsidRPr="008579BE">
        <w:rPr>
          <w:spacing w:val="-2"/>
          <w:position w:val="2"/>
        </w:rPr>
        <w:t xml:space="preserve">are </w:t>
      </w:r>
      <w:r w:rsidR="00FA724D" w:rsidRPr="008579BE">
        <w:rPr>
          <w:spacing w:val="-2"/>
          <w:position w:val="2"/>
        </w:rPr>
        <w:t xml:space="preserve">ID </w:t>
      </w:r>
      <w:r w:rsidR="000D1428" w:rsidRPr="008579BE">
        <w:rPr>
          <w:spacing w:val="-2"/>
          <w:position w:val="2"/>
        </w:rPr>
        <w:t>collection functionality is embedded</w:t>
      </w:r>
      <w:r w:rsidRPr="008579BE">
        <w:rPr>
          <w:spacing w:val="-2"/>
          <w:position w:val="2"/>
        </w:rPr>
        <w:t xml:space="preserve"> </w:t>
      </w:r>
      <w:r w:rsidR="000D1428" w:rsidRPr="008579BE">
        <w:rPr>
          <w:spacing w:val="-2"/>
          <w:position w:val="2"/>
        </w:rPr>
        <w:t>during the 20</w:t>
      </w:r>
      <w:r w:rsidR="00B922AD">
        <w:rPr>
          <w:spacing w:val="-2"/>
          <w:position w:val="2"/>
        </w:rPr>
        <w:t>2</w:t>
      </w:r>
      <w:r w:rsidR="000D1428" w:rsidRPr="008579BE">
        <w:rPr>
          <w:spacing w:val="-2"/>
          <w:position w:val="2"/>
        </w:rPr>
        <w:t>5-26 FY.</w:t>
      </w:r>
    </w:p>
    <w:p w14:paraId="186DA44F" w14:textId="0DDDFE2E" w:rsidR="00FB3833" w:rsidRPr="008579BE" w:rsidRDefault="0078280C" w:rsidP="00CC51E3">
      <w:pPr>
        <w:spacing w:after="0"/>
        <w:ind w:left="17"/>
      </w:pPr>
      <w:r w:rsidRPr="008579BE">
        <w:rPr>
          <w:spacing w:val="-2"/>
          <w:position w:val="2"/>
        </w:rPr>
        <w:lastRenderedPageBreak/>
        <w:t xml:space="preserve">If there are concerns at any time </w:t>
      </w:r>
      <w:r w:rsidR="676ADA1E" w:rsidRPr="008579BE">
        <w:rPr>
          <w:spacing w:val="-2"/>
          <w:position w:val="2"/>
        </w:rPr>
        <w:t xml:space="preserve">that </w:t>
      </w:r>
      <w:r w:rsidRPr="008579BE">
        <w:rPr>
          <w:spacing w:val="-2"/>
          <w:position w:val="2"/>
        </w:rPr>
        <w:t>the provider will fail to meet their DEX data reporting obligations,</w:t>
      </w:r>
      <w:r w:rsidR="00F237A6">
        <w:t xml:space="preserve"> providers may be placed on a Performance Improvement Plan. The Compliance team will monitor DEX outputs and performance for the following 6 months before deciding if a reduction in funding is appropriate. Furthermore, the Compliance team may request a provider to submit a business case to further outline the steps that will be undertaken to return to compliance and improve outputs.</w:t>
      </w:r>
      <w:r w:rsidR="00FB3833" w:rsidRPr="008579BE">
        <w:rPr>
          <w:spacing w:val="-2"/>
          <w:position w:val="2"/>
        </w:rPr>
        <w:t xml:space="preserve"> </w:t>
      </w:r>
    </w:p>
    <w:p w14:paraId="4F5C04BE" w14:textId="253B1603" w:rsidR="003B5E67" w:rsidRPr="008579BE" w:rsidRDefault="00614406" w:rsidP="00CC51E3">
      <w:pPr>
        <w:spacing w:after="0"/>
        <w:ind w:left="17"/>
        <w:rPr>
          <w:rFonts w:cs="Arial"/>
          <w:b/>
          <w:bCs/>
          <w:sz w:val="40"/>
          <w:szCs w:val="40"/>
        </w:rPr>
      </w:pPr>
      <w:bookmarkStart w:id="7" w:name="_Toc183595290"/>
      <w:r>
        <w:rPr>
          <w:rFonts w:cs="Arial"/>
          <w:b/>
          <w:bCs/>
          <w:sz w:val="40"/>
          <w:szCs w:val="40"/>
        </w:rPr>
        <w:t>4</w:t>
      </w:r>
      <w:r w:rsidR="00212A00" w:rsidRPr="008579BE">
        <w:rPr>
          <w:rFonts w:cs="Arial"/>
          <w:b/>
          <w:bCs/>
          <w:sz w:val="40"/>
          <w:szCs w:val="40"/>
        </w:rPr>
        <w:t xml:space="preserve">. </w:t>
      </w:r>
      <w:r w:rsidR="00FB3833" w:rsidRPr="008579BE">
        <w:rPr>
          <w:rFonts w:cs="Arial"/>
          <w:b/>
          <w:bCs/>
          <w:sz w:val="40"/>
          <w:szCs w:val="40"/>
        </w:rPr>
        <w:t>Fraud</w:t>
      </w:r>
      <w:bookmarkEnd w:id="7"/>
    </w:p>
    <w:p w14:paraId="2C406DE5" w14:textId="717E401D" w:rsidR="00FB3833" w:rsidRPr="008579BE" w:rsidRDefault="00E05C5F" w:rsidP="00CC51E3">
      <w:pPr>
        <w:spacing w:after="0"/>
        <w:ind w:left="17"/>
      </w:pPr>
      <w:r w:rsidRPr="008579BE">
        <w:rPr>
          <w:spacing w:val="-2"/>
          <w:position w:val="2"/>
        </w:rPr>
        <w:t>Any</w:t>
      </w:r>
      <w:r w:rsidR="001D1586" w:rsidRPr="008579BE">
        <w:rPr>
          <w:spacing w:val="-2"/>
          <w:position w:val="2"/>
        </w:rPr>
        <w:t xml:space="preserve"> suspected fraud within CHSP is escalated to the department</w:t>
      </w:r>
      <w:r w:rsidR="009D2055" w:rsidRPr="008579BE">
        <w:rPr>
          <w:spacing w:val="-2"/>
          <w:position w:val="2"/>
        </w:rPr>
        <w:t>’</w:t>
      </w:r>
      <w:r w:rsidR="001D1586" w:rsidRPr="008579BE">
        <w:rPr>
          <w:spacing w:val="-2"/>
          <w:position w:val="2"/>
        </w:rPr>
        <w:t xml:space="preserve">s fraud area for assessment and potential investigation in accordance with </w:t>
      </w:r>
      <w:r w:rsidR="2AF69391" w:rsidRPr="008579BE">
        <w:rPr>
          <w:spacing w:val="-2"/>
          <w:position w:val="2"/>
        </w:rPr>
        <w:t xml:space="preserve">s264 of the Act and </w:t>
      </w:r>
      <w:r w:rsidR="001D1586" w:rsidRPr="008579BE">
        <w:rPr>
          <w:spacing w:val="-2"/>
          <w:position w:val="2"/>
        </w:rPr>
        <w:t xml:space="preserve">the </w:t>
      </w:r>
      <w:hyperlink r:id="rId13" w:history="1">
        <w:r w:rsidR="001D1586" w:rsidRPr="000511C4">
          <w:rPr>
            <w:rStyle w:val="Hyperlink"/>
            <w:spacing w:val="-2"/>
            <w:position w:val="2"/>
          </w:rPr>
          <w:t>Fraud</w:t>
        </w:r>
        <w:r w:rsidR="008A13F8" w:rsidRPr="000511C4">
          <w:rPr>
            <w:rStyle w:val="Hyperlink"/>
            <w:spacing w:val="-2"/>
            <w:position w:val="2"/>
          </w:rPr>
          <w:t xml:space="preserve"> and Corruption</w:t>
        </w:r>
        <w:r w:rsidR="001D1586" w:rsidRPr="000511C4">
          <w:rPr>
            <w:rStyle w:val="Hyperlink"/>
            <w:spacing w:val="-2"/>
            <w:position w:val="2"/>
          </w:rPr>
          <w:t xml:space="preserve"> Control Plan</w:t>
        </w:r>
        <w:r w:rsidR="008A13F8" w:rsidRPr="000511C4">
          <w:rPr>
            <w:rStyle w:val="Hyperlink"/>
            <w:spacing w:val="-2"/>
            <w:position w:val="2"/>
          </w:rPr>
          <w:t xml:space="preserve"> 2023-25</w:t>
        </w:r>
      </w:hyperlink>
      <w:r w:rsidRPr="000511C4">
        <w:rPr>
          <w:spacing w:val="-2"/>
          <w:position w:val="2"/>
        </w:rPr>
        <w:t>.</w:t>
      </w:r>
      <w:r w:rsidR="00FB3833" w:rsidRPr="000511C4">
        <w:rPr>
          <w:spacing w:val="-2"/>
          <w:position w:val="2"/>
        </w:rPr>
        <w:t xml:space="preserve"> </w:t>
      </w:r>
      <w:r w:rsidR="0092733F">
        <w:t>Further information is available on the department’s website under</w:t>
      </w:r>
      <w:r w:rsidR="00FE3AF6">
        <w:t xml:space="preserve"> </w:t>
      </w:r>
      <w:hyperlink r:id="rId14" w:history="1">
        <w:r w:rsidR="00FE3AF6" w:rsidRPr="00FE3AF6">
          <w:rPr>
            <w:rStyle w:val="Hyperlink"/>
          </w:rPr>
          <w:t>Report suspected fraud</w:t>
        </w:r>
      </w:hyperlink>
      <w:r w:rsidR="00FE3AF6">
        <w:t>.</w:t>
      </w:r>
    </w:p>
    <w:p w14:paraId="3EC4BCEA" w14:textId="29350912" w:rsidR="00FB3833" w:rsidRPr="008579BE" w:rsidRDefault="00614406" w:rsidP="00913875">
      <w:pPr>
        <w:pStyle w:val="Heading2"/>
        <w:spacing w:line="276" w:lineRule="auto"/>
      </w:pPr>
      <w:bookmarkStart w:id="8" w:name="_Toc183595291"/>
      <w:bookmarkStart w:id="9" w:name="_Toc210330187"/>
      <w:r>
        <w:t>5</w:t>
      </w:r>
      <w:r w:rsidR="00212A00">
        <w:t xml:space="preserve">. </w:t>
      </w:r>
      <w:r w:rsidR="00FB3833">
        <w:t xml:space="preserve">Financial </w:t>
      </w:r>
      <w:r w:rsidR="00F340E8">
        <w:t>acquittals</w:t>
      </w:r>
      <w:bookmarkEnd w:id="8"/>
      <w:bookmarkEnd w:id="9"/>
    </w:p>
    <w:p w14:paraId="4BF8A272" w14:textId="0F18E173" w:rsidR="00FB3833" w:rsidRPr="008579BE" w:rsidRDefault="1EC270AD" w:rsidP="00CC51E3">
      <w:pPr>
        <w:spacing w:after="0"/>
        <w:ind w:left="17"/>
      </w:pPr>
      <w:r>
        <w:t>As specified in the CHSP Grant Agreement providers must spend the grant funding:</w:t>
      </w:r>
    </w:p>
    <w:p w14:paraId="6165B5FE" w14:textId="17DC5A2C" w:rsidR="00FB3833" w:rsidRPr="008579BE" w:rsidRDefault="1EC270AD" w:rsidP="00614406">
      <w:pPr>
        <w:pStyle w:val="ListParagraph"/>
        <w:numPr>
          <w:ilvl w:val="0"/>
          <w:numId w:val="1"/>
        </w:numPr>
        <w:spacing w:after="0"/>
      </w:pPr>
      <w:r>
        <w:t>only on carrying out the activity</w:t>
      </w:r>
    </w:p>
    <w:p w14:paraId="7A8950E2" w14:textId="13D99328" w:rsidR="00FB3833" w:rsidRPr="008579BE" w:rsidRDefault="1EC270AD" w:rsidP="00614406">
      <w:pPr>
        <w:pStyle w:val="ListParagraph"/>
        <w:numPr>
          <w:ilvl w:val="0"/>
          <w:numId w:val="1"/>
        </w:numPr>
        <w:spacing w:after="0"/>
      </w:pPr>
      <w:r>
        <w:t>in accordance with the CHSP Grant Agreement</w:t>
      </w:r>
    </w:p>
    <w:p w14:paraId="6246F3F3" w14:textId="555D4B22" w:rsidR="00FB3833" w:rsidRPr="008579BE" w:rsidRDefault="1EC270AD" w:rsidP="00614406">
      <w:pPr>
        <w:pStyle w:val="ListParagraph"/>
        <w:numPr>
          <w:ilvl w:val="0"/>
          <w:numId w:val="1"/>
        </w:numPr>
        <w:spacing w:after="0"/>
      </w:pPr>
      <w:r>
        <w:t>on clients who have been assessed and on services as defined under the service list.</w:t>
      </w:r>
    </w:p>
    <w:p w14:paraId="6A2A8DE1" w14:textId="3E789C05" w:rsidR="00FB3833" w:rsidRPr="008579BE" w:rsidRDefault="00C05915" w:rsidP="3B6C2A39">
      <w:pPr>
        <w:spacing w:after="0"/>
      </w:pPr>
      <w:r>
        <w:rPr>
          <w:spacing w:val="-2"/>
          <w:position w:val="2"/>
        </w:rPr>
        <w:t>Section 166-605 of the Rules prescribes t</w:t>
      </w:r>
      <w:r w:rsidR="00E179C3" w:rsidRPr="00E179C3">
        <w:rPr>
          <w:spacing w:val="-2"/>
          <w:position w:val="2"/>
        </w:rPr>
        <w:t xml:space="preserve">he </w:t>
      </w:r>
      <w:r w:rsidR="00FB3833" w:rsidRPr="008579BE">
        <w:rPr>
          <w:spacing w:val="-2"/>
          <w:position w:val="2"/>
        </w:rPr>
        <w:t>CHSP</w:t>
      </w:r>
      <w:r w:rsidR="2E21AA83">
        <w:t xml:space="preserve"> registered</w:t>
      </w:r>
      <w:r w:rsidR="00FB3833" w:rsidRPr="008579BE">
        <w:rPr>
          <w:spacing w:val="-2"/>
          <w:position w:val="2"/>
        </w:rPr>
        <w:t xml:space="preserve"> </w:t>
      </w:r>
      <w:r w:rsidR="743BF420" w:rsidRPr="008579BE">
        <w:rPr>
          <w:spacing w:val="-2"/>
          <w:position w:val="2"/>
        </w:rPr>
        <w:t xml:space="preserve">provider must </w:t>
      </w:r>
      <w:r w:rsidR="006749F4">
        <w:t>give the System Governor their annual financial declaration statement by 31 August after the end of the financial year</w:t>
      </w:r>
      <w:r w:rsidR="006749F4" w:rsidRPr="006749F4">
        <w:rPr>
          <w:spacing w:val="-2"/>
          <w:position w:val="2"/>
        </w:rPr>
        <w:t xml:space="preserve">, in a form approved by the System Governor. </w:t>
      </w:r>
      <w:r w:rsidR="2C449A14">
        <w:t>The financial declaration must also include a statement</w:t>
      </w:r>
      <w:r w:rsidR="108670E2">
        <w:t xml:space="preserve"> of compliance</w:t>
      </w:r>
      <w:r w:rsidR="2C449A14">
        <w:t xml:space="preserve"> </w:t>
      </w:r>
      <w:r w:rsidR="007A3BAF">
        <w:t xml:space="preserve">that </w:t>
      </w:r>
      <w:r w:rsidR="2C449A14">
        <w:t>the funding received under the grant was expended only on assessed clients and for services as defined under the service list.</w:t>
      </w:r>
    </w:p>
    <w:p w14:paraId="1C9024DE" w14:textId="756DD159" w:rsidR="00FB3833" w:rsidRPr="008579BE" w:rsidRDefault="00FB3833" w:rsidP="00CC51E3">
      <w:pPr>
        <w:spacing w:after="0"/>
        <w:ind w:left="17"/>
      </w:pPr>
      <w:r w:rsidRPr="008579BE">
        <w:rPr>
          <w:spacing w:val="-2"/>
          <w:position w:val="2"/>
        </w:rPr>
        <w:t xml:space="preserve">The provider should, given robust accounting processes, be able to provide the </w:t>
      </w:r>
      <w:r w:rsidR="00F340E8" w:rsidRPr="008579BE">
        <w:rPr>
          <w:spacing w:val="-2"/>
          <w:position w:val="2"/>
        </w:rPr>
        <w:t xml:space="preserve">financial acquittal </w:t>
      </w:r>
      <w:r w:rsidRPr="008579BE">
        <w:rPr>
          <w:spacing w:val="-2"/>
          <w:position w:val="2"/>
        </w:rPr>
        <w:t xml:space="preserve">within the required timeframe. </w:t>
      </w:r>
    </w:p>
    <w:p w14:paraId="0BB0A6EC" w14:textId="77777777" w:rsidR="0008174F" w:rsidRDefault="005124BF" w:rsidP="00CC51E3">
      <w:pPr>
        <w:spacing w:after="0"/>
        <w:ind w:left="17"/>
      </w:pPr>
      <w:r w:rsidRPr="008579BE">
        <w:rPr>
          <w:b/>
          <w:bCs/>
          <w:spacing w:val="-2"/>
          <w:position w:val="2"/>
        </w:rPr>
        <w:t>Note:</w:t>
      </w:r>
      <w:r w:rsidRPr="008579BE">
        <w:rPr>
          <w:spacing w:val="-2"/>
          <w:position w:val="2"/>
        </w:rPr>
        <w:t xml:space="preserve"> </w:t>
      </w:r>
    </w:p>
    <w:p w14:paraId="2D565F66" w14:textId="6BEEF118" w:rsidR="005124BF" w:rsidRPr="0041216A" w:rsidRDefault="0008174F" w:rsidP="230D37C8">
      <w:pPr>
        <w:pStyle w:val="ListParagraph"/>
        <w:numPr>
          <w:ilvl w:val="0"/>
          <w:numId w:val="16"/>
        </w:numPr>
        <w:spacing w:after="0"/>
      </w:pPr>
      <w:r w:rsidRPr="0041216A">
        <w:rPr>
          <w:spacing w:val="-2"/>
          <w:position w:val="2"/>
        </w:rPr>
        <w:t>T</w:t>
      </w:r>
      <w:r w:rsidR="005124BF" w:rsidRPr="0041216A">
        <w:rPr>
          <w:spacing w:val="-2"/>
          <w:position w:val="2"/>
        </w:rPr>
        <w:t xml:space="preserve">he department requires a financial acquittal, but not an </w:t>
      </w:r>
      <w:r w:rsidR="00623E29" w:rsidRPr="0041216A">
        <w:rPr>
          <w:spacing w:val="-2"/>
          <w:position w:val="2"/>
        </w:rPr>
        <w:t>a</w:t>
      </w:r>
      <w:r w:rsidR="005124BF" w:rsidRPr="0041216A">
        <w:rPr>
          <w:spacing w:val="-2"/>
          <w:position w:val="2"/>
        </w:rPr>
        <w:t xml:space="preserve">udited </w:t>
      </w:r>
      <w:r w:rsidR="00623E29" w:rsidRPr="0041216A">
        <w:rPr>
          <w:spacing w:val="-2"/>
          <w:position w:val="2"/>
        </w:rPr>
        <w:t>f</w:t>
      </w:r>
      <w:r w:rsidR="005124BF" w:rsidRPr="0041216A">
        <w:rPr>
          <w:spacing w:val="-2"/>
          <w:position w:val="2"/>
        </w:rPr>
        <w:t xml:space="preserve">inancial </w:t>
      </w:r>
      <w:r w:rsidR="00623E29" w:rsidRPr="0041216A">
        <w:rPr>
          <w:spacing w:val="-2"/>
          <w:position w:val="2"/>
        </w:rPr>
        <w:t>s</w:t>
      </w:r>
      <w:r w:rsidR="005124BF" w:rsidRPr="0041216A">
        <w:rPr>
          <w:spacing w:val="-2"/>
          <w:position w:val="2"/>
        </w:rPr>
        <w:t>tatement.</w:t>
      </w:r>
    </w:p>
    <w:p w14:paraId="6FE5FC34" w14:textId="77777777" w:rsidR="0041216A" w:rsidRDefault="0041216A" w:rsidP="0041216A">
      <w:pPr>
        <w:pStyle w:val="ListParagraph"/>
        <w:keepLines/>
        <w:numPr>
          <w:ilvl w:val="0"/>
          <w:numId w:val="15"/>
        </w:numPr>
      </w:pPr>
      <w:r>
        <w:t xml:space="preserve">Providers who do not meet their financial reporting requirements by the due date will be subject to non-compliance actions. </w:t>
      </w:r>
    </w:p>
    <w:p w14:paraId="134F428A" w14:textId="16D21773" w:rsidR="00F340E8" w:rsidRPr="008579BE" w:rsidRDefault="00614406" w:rsidP="230D37C8">
      <w:pPr>
        <w:pStyle w:val="Heading3"/>
        <w:spacing w:after="0"/>
        <w:ind w:left="17"/>
      </w:pPr>
      <w:bookmarkStart w:id="10" w:name="_Toc183595292"/>
      <w:bookmarkStart w:id="11" w:name="_Toc210330188"/>
      <w:r>
        <w:t>5</w:t>
      </w:r>
      <w:r w:rsidR="00F340E8">
        <w:t>.1 Unspent funds</w:t>
      </w:r>
      <w:bookmarkEnd w:id="10"/>
      <w:bookmarkEnd w:id="11"/>
    </w:p>
    <w:p w14:paraId="40DC7FB6" w14:textId="436256B8" w:rsidR="00F340E8" w:rsidRPr="008579BE" w:rsidRDefault="00F340E8" w:rsidP="00CC51E3">
      <w:pPr>
        <w:spacing w:after="0"/>
        <w:ind w:left="17"/>
      </w:pPr>
      <w:r w:rsidRPr="008579BE">
        <w:rPr>
          <w:spacing w:val="-2"/>
          <w:position w:val="2"/>
        </w:rPr>
        <w:t>The department has advised p</w:t>
      </w:r>
      <w:r w:rsidR="00FB3833" w:rsidRPr="008579BE">
        <w:rPr>
          <w:spacing w:val="-2"/>
          <w:position w:val="2"/>
        </w:rPr>
        <w:t xml:space="preserve">roviders that </w:t>
      </w:r>
      <w:r w:rsidRPr="008579BE">
        <w:rPr>
          <w:spacing w:val="-2"/>
          <w:position w:val="2"/>
        </w:rPr>
        <w:t xml:space="preserve">all </w:t>
      </w:r>
      <w:r w:rsidR="00FB3833" w:rsidRPr="008579BE">
        <w:rPr>
          <w:spacing w:val="-2"/>
          <w:position w:val="2"/>
        </w:rPr>
        <w:t xml:space="preserve">unspent funds </w:t>
      </w:r>
      <w:r w:rsidR="0CB7F991" w:rsidRPr="008579BE">
        <w:rPr>
          <w:spacing w:val="-2"/>
          <w:position w:val="2"/>
        </w:rPr>
        <w:t>are</w:t>
      </w:r>
      <w:r w:rsidRPr="008579BE">
        <w:rPr>
          <w:spacing w:val="-2"/>
          <w:position w:val="2"/>
        </w:rPr>
        <w:t xml:space="preserve"> </w:t>
      </w:r>
      <w:r w:rsidR="00FB3833" w:rsidRPr="008579BE">
        <w:rPr>
          <w:spacing w:val="-2"/>
          <w:position w:val="2"/>
        </w:rPr>
        <w:t>recovered</w:t>
      </w:r>
      <w:r w:rsidRPr="008579BE">
        <w:rPr>
          <w:spacing w:val="-2"/>
          <w:position w:val="2"/>
        </w:rPr>
        <w:t xml:space="preserve"> at the end of the financial year. </w:t>
      </w:r>
      <w:r w:rsidR="00D27A62" w:rsidRPr="008579BE">
        <w:rPr>
          <w:spacing w:val="-2"/>
          <w:position w:val="2"/>
        </w:rPr>
        <w:t>Funds are provided annual</w:t>
      </w:r>
      <w:r w:rsidR="64E90DD9" w:rsidRPr="008579BE">
        <w:rPr>
          <w:spacing w:val="-2"/>
          <w:position w:val="2"/>
        </w:rPr>
        <w:t>ly</w:t>
      </w:r>
      <w:r w:rsidR="00D27A62" w:rsidRPr="008579BE">
        <w:rPr>
          <w:spacing w:val="-2"/>
          <w:position w:val="2"/>
        </w:rPr>
        <w:t xml:space="preserve"> against annual service provision</w:t>
      </w:r>
      <w:r w:rsidR="13256E24" w:rsidRPr="008579BE">
        <w:rPr>
          <w:spacing w:val="-2"/>
          <w:position w:val="2"/>
        </w:rPr>
        <w:t xml:space="preserve"> and are reported in financial declaration as per s166-605</w:t>
      </w:r>
      <w:r w:rsidR="003F690D" w:rsidRPr="008579BE">
        <w:rPr>
          <w:spacing w:val="-2"/>
          <w:position w:val="2"/>
        </w:rPr>
        <w:t>.</w:t>
      </w:r>
    </w:p>
    <w:p w14:paraId="60E3138A" w14:textId="768102A3" w:rsidR="00FB3833" w:rsidRPr="008579BE" w:rsidRDefault="00FB3833" w:rsidP="00CC51E3">
      <w:pPr>
        <w:spacing w:after="0"/>
        <w:ind w:left="17"/>
      </w:pPr>
      <w:r>
        <w:t xml:space="preserve">Providers </w:t>
      </w:r>
      <w:r w:rsidR="00CA6DED">
        <w:t>are not permitted</w:t>
      </w:r>
      <w:r>
        <w:t xml:space="preserve"> </w:t>
      </w:r>
      <w:r w:rsidR="486A5F89">
        <w:t>to</w:t>
      </w:r>
      <w:r>
        <w:t xml:space="preserve"> spend </w:t>
      </w:r>
      <w:r w:rsidR="00CA5B3D">
        <w:t xml:space="preserve">or retain </w:t>
      </w:r>
      <w:r>
        <w:t>unspent funds</w:t>
      </w:r>
      <w:r w:rsidR="006C59A5">
        <w:t xml:space="preserve">. </w:t>
      </w:r>
      <w:r w:rsidR="00513337">
        <w:t xml:space="preserve">Providers </w:t>
      </w:r>
      <w:r w:rsidR="00513337" w:rsidRPr="230D37C8">
        <w:rPr>
          <w:b/>
          <w:bCs/>
        </w:rPr>
        <w:t>must</w:t>
      </w:r>
      <w:r w:rsidR="00513337">
        <w:t xml:space="preserve"> return unspent funds identified through the acquittal process for a financial year. </w:t>
      </w:r>
    </w:p>
    <w:p w14:paraId="0CDEA8DB" w14:textId="081C61C4" w:rsidR="00B7585C" w:rsidRDefault="00D5472B" w:rsidP="00B7585C">
      <w:pPr>
        <w:keepLines/>
      </w:pPr>
      <w:r w:rsidRPr="00B7585C">
        <w:rPr>
          <w:spacing w:val="-2"/>
          <w:position w:val="2"/>
        </w:rPr>
        <w:t xml:space="preserve">The department will issue the provider with a Debtor Tax Invoice to return any unspent funds. </w:t>
      </w:r>
      <w:r w:rsidR="00FB3833" w:rsidRPr="00B7585C">
        <w:rPr>
          <w:spacing w:val="-2"/>
          <w:position w:val="2"/>
        </w:rPr>
        <w:t xml:space="preserve">The repayment of these funds is monitored by the department. </w:t>
      </w:r>
    </w:p>
    <w:p w14:paraId="2CDA58C9" w14:textId="67CDBB6B" w:rsidR="00E65AFD" w:rsidRDefault="00B7585C" w:rsidP="00452914">
      <w:pPr>
        <w:keepLines/>
      </w:pPr>
      <w:r w:rsidRPr="00B7585C">
        <w:rPr>
          <w:b/>
          <w:bCs/>
          <w:spacing w:val="-2"/>
          <w:position w:val="2"/>
        </w:rPr>
        <w:lastRenderedPageBreak/>
        <w:t>Note:</w:t>
      </w:r>
      <w:r>
        <w:rPr>
          <w:spacing w:val="-2"/>
          <w:position w:val="2"/>
        </w:rPr>
        <w:t xml:space="preserve"> </w:t>
      </w:r>
      <w:r w:rsidR="00E65AFD" w:rsidRPr="00C2286C">
        <w:t xml:space="preserve">Providers who do not meet their </w:t>
      </w:r>
      <w:r w:rsidR="00E65AFD">
        <w:t>financial obligations to repay unspent funds</w:t>
      </w:r>
      <w:r w:rsidR="00E65AFD" w:rsidRPr="00C2286C">
        <w:t xml:space="preserve"> by the due date will be subject to non-compliance actions. </w:t>
      </w:r>
    </w:p>
    <w:p w14:paraId="0B83F3A1" w14:textId="44B4D8F8" w:rsidR="00F340E8" w:rsidRPr="006C01CB" w:rsidRDefault="00614406" w:rsidP="006C01CB">
      <w:pPr>
        <w:pStyle w:val="Heading3"/>
      </w:pPr>
      <w:bookmarkStart w:id="12" w:name="_Toc183595293"/>
      <w:bookmarkStart w:id="13" w:name="_Toc210330189"/>
      <w:r w:rsidRPr="006C01CB">
        <w:t>5</w:t>
      </w:r>
      <w:r w:rsidR="00F340E8" w:rsidRPr="006C01CB">
        <w:t>.2 Financial viability</w:t>
      </w:r>
      <w:bookmarkEnd w:id="12"/>
      <w:bookmarkEnd w:id="13"/>
    </w:p>
    <w:p w14:paraId="12152E12" w14:textId="7B3CF3C1" w:rsidR="00FB3833" w:rsidRPr="008579BE" w:rsidRDefault="3140131F" w:rsidP="4F68601E">
      <w:pPr>
        <w:keepLines/>
      </w:pPr>
      <w:r>
        <w:t xml:space="preserve">Financial viability </w:t>
      </w:r>
      <w:r w:rsidR="00FB3833" w:rsidRPr="008579BE">
        <w:rPr>
          <w:spacing w:val="-2"/>
          <w:position w:val="2"/>
        </w:rPr>
        <w:t xml:space="preserve">will be monitored for further compliance action </w:t>
      </w:r>
      <w:r w:rsidR="5C2B7EC3">
        <w:t>to ensure CHSP registered providers</w:t>
      </w:r>
      <w:r w:rsidR="4BD09568">
        <w:t xml:space="preserve"> are</w:t>
      </w:r>
      <w:r w:rsidR="2AED556B" w:rsidRPr="4F68601E">
        <w:rPr>
          <w:rFonts w:eastAsia="Arial" w:cs="Arial"/>
        </w:rPr>
        <w:t xml:space="preserve"> </w:t>
      </w:r>
      <w:r w:rsidR="0699AFC1" w:rsidRPr="4F68601E">
        <w:rPr>
          <w:rFonts w:eastAsia="Arial" w:cs="Arial"/>
        </w:rPr>
        <w:t xml:space="preserve">delivering services in accordance with their Activity Work Plan and </w:t>
      </w:r>
      <w:r w:rsidR="2AED556B" w:rsidRPr="4F68601E">
        <w:rPr>
          <w:rFonts w:eastAsia="Arial" w:cs="Arial"/>
        </w:rPr>
        <w:t>identifying options to sustainably manage their grant funds and mitigate impacts to client service continuity.</w:t>
      </w:r>
    </w:p>
    <w:p w14:paraId="0F0C0061" w14:textId="426FEC5A" w:rsidR="003D2267" w:rsidRPr="008579BE" w:rsidRDefault="00614406" w:rsidP="00913875">
      <w:pPr>
        <w:pStyle w:val="Heading3"/>
      </w:pPr>
      <w:bookmarkStart w:id="14" w:name="_Toc183595294"/>
      <w:bookmarkStart w:id="15" w:name="_Toc210330190"/>
      <w:r>
        <w:t>5</w:t>
      </w:r>
      <w:r w:rsidR="003D2267" w:rsidRPr="008579BE">
        <w:t>.3 Exiting the program</w:t>
      </w:r>
      <w:bookmarkEnd w:id="14"/>
      <w:bookmarkEnd w:id="15"/>
      <w:r w:rsidR="003D2267" w:rsidRPr="008579BE">
        <w:t xml:space="preserve"> </w:t>
      </w:r>
    </w:p>
    <w:p w14:paraId="1434032A" w14:textId="4B26509E" w:rsidR="003D2267" w:rsidRPr="008579BE" w:rsidRDefault="00FB3833" w:rsidP="00CC51E3">
      <w:pPr>
        <w:spacing w:after="0"/>
        <w:ind w:left="17"/>
      </w:pPr>
      <w:r w:rsidRPr="008579BE">
        <w:rPr>
          <w:spacing w:val="-2"/>
          <w:position w:val="2"/>
        </w:rPr>
        <w:t xml:space="preserve">CHSP </w:t>
      </w:r>
      <w:r w:rsidR="6F4A2AAA" w:rsidRPr="008579BE">
        <w:rPr>
          <w:spacing w:val="-2"/>
          <w:position w:val="2"/>
        </w:rPr>
        <w:t xml:space="preserve">registered </w:t>
      </w:r>
      <w:r w:rsidRPr="008579BE">
        <w:rPr>
          <w:spacing w:val="-2"/>
          <w:position w:val="2"/>
        </w:rPr>
        <w:t xml:space="preserve">providers who have relinquished funds and/or novated their funding agreement are still required to provide a </w:t>
      </w:r>
      <w:r w:rsidR="00F340E8" w:rsidRPr="008579BE">
        <w:rPr>
          <w:spacing w:val="-2"/>
          <w:position w:val="2"/>
        </w:rPr>
        <w:t>financial declaration statement</w:t>
      </w:r>
      <w:r w:rsidR="147B6D04" w:rsidRPr="008579BE">
        <w:rPr>
          <w:spacing w:val="-2"/>
          <w:position w:val="2"/>
        </w:rPr>
        <w:t xml:space="preserve"> (as per s166-605 of the </w:t>
      </w:r>
      <w:r w:rsidR="00AA6963">
        <w:rPr>
          <w:spacing w:val="-2"/>
          <w:position w:val="2"/>
        </w:rPr>
        <w:t>R</w:t>
      </w:r>
      <w:r w:rsidR="147B6D04" w:rsidRPr="008579BE">
        <w:rPr>
          <w:spacing w:val="-2"/>
          <w:position w:val="2"/>
        </w:rPr>
        <w:t>ules)</w:t>
      </w:r>
      <w:r w:rsidR="00AD428C">
        <w:rPr>
          <w:spacing w:val="-2"/>
          <w:position w:val="2"/>
        </w:rPr>
        <w:t xml:space="preserve"> </w:t>
      </w:r>
      <w:r w:rsidRPr="008579BE">
        <w:rPr>
          <w:spacing w:val="-2"/>
          <w:position w:val="2"/>
        </w:rPr>
        <w:t xml:space="preserve">for funds received </w:t>
      </w:r>
      <w:r w:rsidR="00EE4217" w:rsidRPr="008579BE">
        <w:rPr>
          <w:spacing w:val="-2"/>
          <w:position w:val="2"/>
        </w:rPr>
        <w:t>before</w:t>
      </w:r>
      <w:r w:rsidRPr="008579BE">
        <w:rPr>
          <w:spacing w:val="-2"/>
          <w:position w:val="2"/>
        </w:rPr>
        <w:t xml:space="preserve"> exiting the program. </w:t>
      </w:r>
    </w:p>
    <w:p w14:paraId="37C5755B" w14:textId="7C9D8785" w:rsidR="00FB3833" w:rsidRPr="008579BE" w:rsidRDefault="00FB3833" w:rsidP="00CC51E3">
      <w:pPr>
        <w:spacing w:after="0"/>
        <w:ind w:left="17"/>
        <w:rPr>
          <w:spacing w:val="-2"/>
          <w:position w:val="2"/>
        </w:rPr>
      </w:pPr>
      <w:r w:rsidRPr="008579BE">
        <w:rPr>
          <w:spacing w:val="-2"/>
          <w:position w:val="2"/>
        </w:rPr>
        <w:t>Acquittal processes</w:t>
      </w:r>
      <w:r w:rsidR="003D2267" w:rsidRPr="008579BE">
        <w:rPr>
          <w:spacing w:val="-2"/>
          <w:position w:val="2"/>
        </w:rPr>
        <w:t xml:space="preserve">, </w:t>
      </w:r>
      <w:r w:rsidRPr="008579BE">
        <w:rPr>
          <w:spacing w:val="-2"/>
          <w:position w:val="2"/>
        </w:rPr>
        <w:t>including compliance actions</w:t>
      </w:r>
      <w:r w:rsidR="003D2267" w:rsidRPr="008579BE">
        <w:rPr>
          <w:spacing w:val="-2"/>
          <w:position w:val="2"/>
        </w:rPr>
        <w:t xml:space="preserve">, </w:t>
      </w:r>
      <w:r w:rsidRPr="008579BE">
        <w:rPr>
          <w:spacing w:val="-2"/>
          <w:position w:val="2"/>
        </w:rPr>
        <w:t xml:space="preserve">are managed by </w:t>
      </w:r>
      <w:r w:rsidR="00F5675A" w:rsidRPr="008579BE">
        <w:rPr>
          <w:spacing w:val="-2"/>
          <w:position w:val="2"/>
        </w:rPr>
        <w:t>DSS</w:t>
      </w:r>
      <w:r w:rsidR="005124BF" w:rsidRPr="008579BE">
        <w:rPr>
          <w:spacing w:val="-2"/>
          <w:position w:val="2"/>
        </w:rPr>
        <w:t>,</w:t>
      </w:r>
      <w:r w:rsidR="00F5675A" w:rsidRPr="008579BE">
        <w:rPr>
          <w:spacing w:val="-2"/>
          <w:position w:val="2"/>
        </w:rPr>
        <w:t xml:space="preserve"> </w:t>
      </w:r>
      <w:r w:rsidRPr="008579BE">
        <w:rPr>
          <w:spacing w:val="-2"/>
          <w:position w:val="2"/>
        </w:rPr>
        <w:t>with processes in place for the management of inactive providers.</w:t>
      </w:r>
    </w:p>
    <w:p w14:paraId="2D3406AA" w14:textId="38B5E46C" w:rsidR="00FB3833" w:rsidRPr="008579BE" w:rsidRDefault="00614406" w:rsidP="00913875">
      <w:pPr>
        <w:pStyle w:val="Heading2"/>
        <w:spacing w:line="276" w:lineRule="auto"/>
      </w:pPr>
      <w:bookmarkStart w:id="16" w:name="_Toc183595295"/>
      <w:bookmarkStart w:id="17" w:name="_Toc210330191"/>
      <w:r>
        <w:t>6</w:t>
      </w:r>
      <w:r w:rsidR="00212A00" w:rsidRPr="008579BE">
        <w:t xml:space="preserve">. </w:t>
      </w:r>
      <w:r w:rsidR="00FB3833" w:rsidRPr="008579BE">
        <w:t>Sector Support and Development</w:t>
      </w:r>
      <w:bookmarkEnd w:id="16"/>
      <w:bookmarkEnd w:id="17"/>
    </w:p>
    <w:p w14:paraId="4319DBCC" w14:textId="77777777" w:rsidR="00EE4217" w:rsidRPr="008579BE" w:rsidRDefault="00FB3833" w:rsidP="00CC51E3">
      <w:pPr>
        <w:spacing w:after="0"/>
        <w:ind w:left="17"/>
        <w:rPr>
          <w:spacing w:val="-2"/>
          <w:position w:val="2"/>
        </w:rPr>
      </w:pPr>
      <w:r w:rsidRPr="008579BE">
        <w:rPr>
          <w:spacing w:val="-2"/>
          <w:position w:val="2"/>
        </w:rPr>
        <w:t xml:space="preserve">The department has administrator responsibilities for daily operations for the Sector Support and Development (SSD) Community of Practice (CoP). </w:t>
      </w:r>
    </w:p>
    <w:p w14:paraId="3FF08319" w14:textId="5C40F592" w:rsidR="00FB3833" w:rsidRPr="008579BE" w:rsidRDefault="00FB3833" w:rsidP="00CC51E3">
      <w:pPr>
        <w:spacing w:after="0"/>
        <w:ind w:left="17"/>
        <w:rPr>
          <w:spacing w:val="-2"/>
          <w:position w:val="2"/>
        </w:rPr>
      </w:pPr>
      <w:r w:rsidRPr="008579BE">
        <w:rPr>
          <w:spacing w:val="-2"/>
          <w:position w:val="2"/>
        </w:rPr>
        <w:t xml:space="preserve">The administration of the CoP includes management of access, delegation of </w:t>
      </w:r>
      <w:r w:rsidR="006B5CB3" w:rsidRPr="008579BE">
        <w:rPr>
          <w:spacing w:val="-2"/>
          <w:position w:val="2"/>
        </w:rPr>
        <w:t>m</w:t>
      </w:r>
      <w:r w:rsidRPr="008579BE">
        <w:rPr>
          <w:spacing w:val="-2"/>
          <w:position w:val="2"/>
        </w:rPr>
        <w:t xml:space="preserve">oderators, high level reporting and analytics and management of the SSD Network meetings. </w:t>
      </w:r>
    </w:p>
    <w:p w14:paraId="08E219AC" w14:textId="1A536578" w:rsidR="00FB3833" w:rsidRPr="008579BE" w:rsidRDefault="00FB3833" w:rsidP="00CC51E3">
      <w:pPr>
        <w:spacing w:after="0"/>
        <w:ind w:left="17"/>
      </w:pPr>
      <w:r w:rsidRPr="008579BE">
        <w:rPr>
          <w:spacing w:val="-2"/>
          <w:position w:val="2"/>
        </w:rPr>
        <w:t>The</w:t>
      </w:r>
      <w:r w:rsidR="00EE4217" w:rsidRPr="008579BE">
        <w:rPr>
          <w:spacing w:val="-2"/>
          <w:position w:val="2"/>
        </w:rPr>
        <w:t xml:space="preserve"> department tracks and monitors</w:t>
      </w:r>
      <w:r w:rsidRPr="008579BE">
        <w:rPr>
          <w:spacing w:val="-2"/>
          <w:position w:val="2"/>
        </w:rPr>
        <w:t xml:space="preserve"> receipt of </w:t>
      </w:r>
      <w:r w:rsidR="00EE4217" w:rsidRPr="008579BE">
        <w:rPr>
          <w:spacing w:val="-2"/>
          <w:position w:val="2"/>
        </w:rPr>
        <w:t xml:space="preserve">SSD </w:t>
      </w:r>
      <w:r w:rsidRPr="008579BE">
        <w:rPr>
          <w:spacing w:val="-2"/>
          <w:position w:val="2"/>
        </w:rPr>
        <w:t xml:space="preserve">Performance Reports and </w:t>
      </w:r>
      <w:r w:rsidR="00EE4217" w:rsidRPr="008579BE">
        <w:rPr>
          <w:spacing w:val="-2"/>
          <w:position w:val="2"/>
        </w:rPr>
        <w:t xml:space="preserve">Activity Work Plan </w:t>
      </w:r>
      <w:r w:rsidRPr="008579BE">
        <w:rPr>
          <w:spacing w:val="-2"/>
          <w:position w:val="2"/>
        </w:rPr>
        <w:t xml:space="preserve">deliverables. </w:t>
      </w:r>
      <w:r w:rsidR="00826FB7" w:rsidRPr="008579BE">
        <w:rPr>
          <w:spacing w:val="-2"/>
          <w:position w:val="2"/>
        </w:rPr>
        <w:t xml:space="preserve">The department will take compliance </w:t>
      </w:r>
      <w:r w:rsidRPr="008579BE">
        <w:rPr>
          <w:spacing w:val="-2"/>
          <w:position w:val="2"/>
        </w:rPr>
        <w:t>action</w:t>
      </w:r>
      <w:r w:rsidR="00826FB7" w:rsidRPr="008579BE">
        <w:rPr>
          <w:spacing w:val="-2"/>
          <w:position w:val="2"/>
        </w:rPr>
        <w:t xml:space="preserve">, </w:t>
      </w:r>
      <w:r w:rsidRPr="008579BE">
        <w:rPr>
          <w:spacing w:val="-2"/>
          <w:position w:val="2"/>
        </w:rPr>
        <w:t>includ</w:t>
      </w:r>
      <w:r w:rsidR="00826FB7" w:rsidRPr="008579BE">
        <w:rPr>
          <w:spacing w:val="-2"/>
          <w:position w:val="2"/>
        </w:rPr>
        <w:t xml:space="preserve">ing </w:t>
      </w:r>
      <w:r w:rsidRPr="008579BE">
        <w:rPr>
          <w:spacing w:val="-2"/>
          <w:position w:val="2"/>
        </w:rPr>
        <w:t>monitoring of the mandatory requirements under the CoP</w:t>
      </w:r>
      <w:r w:rsidR="00B42522" w:rsidRPr="008579BE">
        <w:rPr>
          <w:spacing w:val="-2"/>
          <w:position w:val="2"/>
        </w:rPr>
        <w:t>.</w:t>
      </w:r>
    </w:p>
    <w:p w14:paraId="64FF88D0" w14:textId="2C86BC92" w:rsidR="00FB3833" w:rsidRPr="008579BE" w:rsidRDefault="00614406" w:rsidP="00913875">
      <w:pPr>
        <w:pStyle w:val="Heading2"/>
        <w:spacing w:line="276" w:lineRule="auto"/>
      </w:pPr>
      <w:bookmarkStart w:id="18" w:name="_Toc183595296"/>
      <w:bookmarkStart w:id="19" w:name="_Toc210330192"/>
      <w:r>
        <w:t>7</w:t>
      </w:r>
      <w:r w:rsidR="00212A00" w:rsidRPr="008579BE">
        <w:t xml:space="preserve">. </w:t>
      </w:r>
      <w:r w:rsidR="00FB3833" w:rsidRPr="008579BE">
        <w:t xml:space="preserve">DEX </w:t>
      </w:r>
      <w:r w:rsidR="004A13F6" w:rsidRPr="008579BE">
        <w:t xml:space="preserve">performance </w:t>
      </w:r>
      <w:r w:rsidR="00212A00" w:rsidRPr="008579BE">
        <w:t>reporting review</w:t>
      </w:r>
      <w:bookmarkEnd w:id="18"/>
      <w:bookmarkEnd w:id="19"/>
    </w:p>
    <w:p w14:paraId="3CAC6BEF" w14:textId="2D62FCA9" w:rsidR="004A13F6" w:rsidRPr="006C01CB" w:rsidRDefault="00643184" w:rsidP="006C01CB">
      <w:pPr>
        <w:spacing w:after="0"/>
        <w:ind w:left="17"/>
      </w:pPr>
      <w:r w:rsidRPr="008579BE">
        <w:rPr>
          <w:spacing w:val="-2"/>
          <w:position w:val="2"/>
        </w:rPr>
        <w:t>The department monitors all CHSP service providers and undertake</w:t>
      </w:r>
      <w:r w:rsidR="6EAF2D77" w:rsidRPr="008579BE">
        <w:rPr>
          <w:spacing w:val="-2"/>
          <w:position w:val="2"/>
        </w:rPr>
        <w:t>s</w:t>
      </w:r>
      <w:r w:rsidRPr="008579BE">
        <w:rPr>
          <w:spacing w:val="-2"/>
          <w:position w:val="2"/>
        </w:rPr>
        <w:t xml:space="preserve"> a performance review against the entire agreement. </w:t>
      </w:r>
      <w:r w:rsidR="0097397D">
        <w:rPr>
          <w:spacing w:val="-2"/>
          <w:position w:val="2"/>
        </w:rPr>
        <w:t>T</w:t>
      </w:r>
      <w:r w:rsidR="001D7BB3" w:rsidRPr="008579BE">
        <w:rPr>
          <w:spacing w:val="-2"/>
          <w:position w:val="2"/>
        </w:rPr>
        <w:t xml:space="preserve">he department undertakes </w:t>
      </w:r>
      <w:r w:rsidR="0097397D">
        <w:rPr>
          <w:spacing w:val="-2"/>
          <w:position w:val="2"/>
        </w:rPr>
        <w:t xml:space="preserve">regular </w:t>
      </w:r>
      <w:r w:rsidR="004A13F6" w:rsidRPr="008579BE">
        <w:rPr>
          <w:spacing w:val="-2"/>
          <w:position w:val="2"/>
        </w:rPr>
        <w:t>audit</w:t>
      </w:r>
      <w:r w:rsidR="0097397D">
        <w:rPr>
          <w:spacing w:val="-2"/>
          <w:position w:val="2"/>
        </w:rPr>
        <w:t>s</w:t>
      </w:r>
      <w:r w:rsidR="004A13F6" w:rsidRPr="008579BE">
        <w:rPr>
          <w:spacing w:val="-2"/>
          <w:position w:val="2"/>
        </w:rPr>
        <w:t xml:space="preserve"> of service delivery based on DEX data submitted by providers. The department works in consultation with CGH to identify providers where potential compliance action may be appropriate. </w:t>
      </w:r>
    </w:p>
    <w:p w14:paraId="5501F7D0" w14:textId="6AE36CC4" w:rsidR="00F059D5" w:rsidRPr="008579BE" w:rsidRDefault="00F059D5" w:rsidP="00CC51E3">
      <w:pPr>
        <w:spacing w:after="0"/>
        <w:ind w:left="17"/>
        <w:rPr>
          <w:spacing w:val="-2"/>
          <w:position w:val="2"/>
        </w:rPr>
      </w:pPr>
      <w:r w:rsidRPr="008579BE">
        <w:rPr>
          <w:spacing w:val="-2"/>
          <w:position w:val="2"/>
        </w:rPr>
        <w:t xml:space="preserve">Providers will be assessed on all information </w:t>
      </w:r>
      <w:r w:rsidR="004A13F6" w:rsidRPr="008579BE">
        <w:rPr>
          <w:spacing w:val="-2"/>
          <w:position w:val="2"/>
        </w:rPr>
        <w:t xml:space="preserve">they </w:t>
      </w:r>
      <w:r w:rsidRPr="008579BE">
        <w:rPr>
          <w:spacing w:val="-2"/>
          <w:position w:val="2"/>
        </w:rPr>
        <w:t xml:space="preserve">provide to </w:t>
      </w:r>
      <w:r w:rsidR="004A13F6" w:rsidRPr="008579BE">
        <w:rPr>
          <w:spacing w:val="-2"/>
          <w:position w:val="2"/>
        </w:rPr>
        <w:t xml:space="preserve">DEX to </w:t>
      </w:r>
      <w:r w:rsidRPr="008579BE">
        <w:rPr>
          <w:spacing w:val="-2"/>
          <w:position w:val="2"/>
        </w:rPr>
        <w:t xml:space="preserve">determine if changes to the grant agreement are appropriate to meet local needs within the </w:t>
      </w:r>
      <w:r w:rsidR="004A13F6" w:rsidRPr="008579BE">
        <w:rPr>
          <w:spacing w:val="-2"/>
          <w:position w:val="2"/>
        </w:rPr>
        <w:t xml:space="preserve">Aged Care Planning Regions </w:t>
      </w:r>
      <w:r w:rsidR="00805C11" w:rsidRPr="008579BE">
        <w:rPr>
          <w:spacing w:val="-2"/>
          <w:position w:val="2"/>
        </w:rPr>
        <w:t xml:space="preserve">(ACPR) </w:t>
      </w:r>
      <w:r w:rsidR="001D7BB3" w:rsidRPr="008579BE">
        <w:rPr>
          <w:spacing w:val="-2"/>
          <w:position w:val="2"/>
        </w:rPr>
        <w:t xml:space="preserve">that they are </w:t>
      </w:r>
      <w:r w:rsidRPr="008579BE">
        <w:rPr>
          <w:spacing w:val="-2"/>
          <w:position w:val="2"/>
        </w:rPr>
        <w:t>funded within.</w:t>
      </w:r>
    </w:p>
    <w:p w14:paraId="62AE04D8" w14:textId="086BB7DF" w:rsidR="009101A6" w:rsidRPr="008579BE" w:rsidRDefault="001D7BB3" w:rsidP="00913875">
      <w:pPr>
        <w:spacing w:after="0"/>
        <w:rPr>
          <w:spacing w:val="-2"/>
          <w:position w:val="2"/>
        </w:rPr>
      </w:pPr>
      <w:r w:rsidRPr="008579BE">
        <w:rPr>
          <w:spacing w:val="-2"/>
          <w:position w:val="2"/>
        </w:rPr>
        <w:t xml:space="preserve">The department will work with providers to understand historical performance issues and potential adjustment to agreements to align to performance delivery. If </w:t>
      </w:r>
      <w:r w:rsidR="003E2CF5" w:rsidRPr="008579BE">
        <w:rPr>
          <w:spacing w:val="-2"/>
          <w:position w:val="2"/>
        </w:rPr>
        <w:t xml:space="preserve">the department </w:t>
      </w:r>
      <w:r w:rsidRPr="008579BE">
        <w:rPr>
          <w:spacing w:val="-2"/>
          <w:position w:val="2"/>
        </w:rPr>
        <w:t>needs</w:t>
      </w:r>
      <w:r w:rsidR="00FB3833" w:rsidRPr="008579BE">
        <w:rPr>
          <w:spacing w:val="-2"/>
          <w:position w:val="2"/>
        </w:rPr>
        <w:t xml:space="preserve"> </w:t>
      </w:r>
      <w:r w:rsidR="003E2CF5" w:rsidRPr="008579BE">
        <w:rPr>
          <w:spacing w:val="-2"/>
          <w:position w:val="2"/>
        </w:rPr>
        <w:t xml:space="preserve">further </w:t>
      </w:r>
      <w:r w:rsidR="00FB3833" w:rsidRPr="008579BE">
        <w:rPr>
          <w:spacing w:val="-2"/>
          <w:position w:val="2"/>
        </w:rPr>
        <w:t xml:space="preserve">information </w:t>
      </w:r>
      <w:r w:rsidR="003C3995" w:rsidRPr="008579BE">
        <w:rPr>
          <w:spacing w:val="-2"/>
          <w:position w:val="2"/>
        </w:rPr>
        <w:t xml:space="preserve">about </w:t>
      </w:r>
      <w:r w:rsidR="00FB3833" w:rsidRPr="008579BE">
        <w:rPr>
          <w:spacing w:val="-2"/>
          <w:position w:val="2"/>
        </w:rPr>
        <w:t>under delivery and</w:t>
      </w:r>
      <w:r w:rsidR="00693331" w:rsidRPr="008579BE">
        <w:rPr>
          <w:spacing w:val="-2"/>
          <w:position w:val="2"/>
        </w:rPr>
        <w:t>/or</w:t>
      </w:r>
      <w:r w:rsidR="00FB3833" w:rsidRPr="008579BE">
        <w:rPr>
          <w:spacing w:val="-2"/>
          <w:position w:val="2"/>
        </w:rPr>
        <w:t xml:space="preserve"> funding spent against the agreement</w:t>
      </w:r>
      <w:r w:rsidRPr="008579BE">
        <w:rPr>
          <w:spacing w:val="-2"/>
          <w:position w:val="2"/>
        </w:rPr>
        <w:t>, additional action and reporting may be required</w:t>
      </w:r>
      <w:r w:rsidR="00FB3833" w:rsidRPr="008579BE">
        <w:rPr>
          <w:spacing w:val="-2"/>
          <w:position w:val="2"/>
        </w:rPr>
        <w:t xml:space="preserve">. </w:t>
      </w:r>
    </w:p>
    <w:p w14:paraId="6AA52562" w14:textId="513A14B2" w:rsidR="00FB3833" w:rsidRPr="008579BE" w:rsidRDefault="00614406" w:rsidP="00913875">
      <w:pPr>
        <w:pStyle w:val="Heading2"/>
        <w:spacing w:line="276" w:lineRule="auto"/>
      </w:pPr>
      <w:bookmarkStart w:id="20" w:name="_Toc183595297"/>
      <w:bookmarkStart w:id="21" w:name="_Toc210330193"/>
      <w:r>
        <w:lastRenderedPageBreak/>
        <w:t>8</w:t>
      </w:r>
      <w:r w:rsidR="00212A00" w:rsidRPr="008579BE">
        <w:t xml:space="preserve">. </w:t>
      </w:r>
      <w:r w:rsidR="00FB3833" w:rsidRPr="008579BE">
        <w:t xml:space="preserve">Flexibility </w:t>
      </w:r>
      <w:r w:rsidR="00212A00" w:rsidRPr="008579BE">
        <w:t>provisions</w:t>
      </w:r>
      <w:bookmarkEnd w:id="20"/>
      <w:bookmarkEnd w:id="21"/>
    </w:p>
    <w:p w14:paraId="0E4742C8" w14:textId="0D8E7962" w:rsidR="00805C11" w:rsidRDefault="00FB3833" w:rsidP="00CC51E3">
      <w:pPr>
        <w:spacing w:after="0"/>
        <w:ind w:left="17"/>
        <w:rPr>
          <w:spacing w:val="-2"/>
          <w:position w:val="2"/>
        </w:rPr>
      </w:pPr>
      <w:r w:rsidRPr="008579BE">
        <w:rPr>
          <w:spacing w:val="-2"/>
          <w:position w:val="2"/>
        </w:rPr>
        <w:t>The CHSP</w:t>
      </w:r>
      <w:r w:rsidR="001F51E6">
        <w:rPr>
          <w:spacing w:val="-2"/>
          <w:position w:val="2"/>
        </w:rPr>
        <w:t xml:space="preserve"> 2025-27</w:t>
      </w:r>
      <w:r w:rsidR="00643184" w:rsidRPr="008579BE">
        <w:rPr>
          <w:spacing w:val="-2"/>
          <w:position w:val="2"/>
        </w:rPr>
        <w:t xml:space="preserve"> </w:t>
      </w:r>
      <w:r w:rsidRPr="008579BE">
        <w:rPr>
          <w:spacing w:val="-2"/>
          <w:position w:val="2"/>
        </w:rPr>
        <w:t xml:space="preserve">Manual outlines the flexibility provision </w:t>
      </w:r>
      <w:r w:rsidR="00805C11" w:rsidRPr="008579BE">
        <w:rPr>
          <w:spacing w:val="-2"/>
          <w:position w:val="2"/>
        </w:rPr>
        <w:t xml:space="preserve">for service providers. </w:t>
      </w:r>
    </w:p>
    <w:p w14:paraId="55AAACBC" w14:textId="18F1E801" w:rsidR="00102500" w:rsidRPr="005B4190" w:rsidRDefault="000724B0" w:rsidP="00102500">
      <w:r>
        <w:t>CHSP</w:t>
      </w:r>
      <w:r w:rsidR="74F3A658">
        <w:t xml:space="preserve"> registered</w:t>
      </w:r>
      <w:r w:rsidR="00102500">
        <w:t xml:space="preserve"> providers cannot move funds </w:t>
      </w:r>
      <w:r w:rsidR="00102500" w:rsidRPr="230D37C8">
        <w:rPr>
          <w:i/>
          <w:iCs/>
        </w:rPr>
        <w:t>out of or into</w:t>
      </w:r>
      <w:r w:rsidR="00102500">
        <w:t xml:space="preserve"> these service types without written approval from the department: </w:t>
      </w:r>
    </w:p>
    <w:p w14:paraId="0FB19D6A" w14:textId="4E7D0FC8" w:rsidR="00102500" w:rsidRPr="0009161E" w:rsidRDefault="00102500" w:rsidP="00102500">
      <w:pPr>
        <w:pStyle w:val="ListParagraph"/>
        <w:numPr>
          <w:ilvl w:val="0"/>
          <w:numId w:val="14"/>
        </w:numPr>
      </w:pPr>
      <w:r w:rsidRPr="0009161E">
        <w:t>Equipment and products</w:t>
      </w:r>
    </w:p>
    <w:p w14:paraId="2BF09B50" w14:textId="6562A70D" w:rsidR="00102500" w:rsidRPr="0009161E" w:rsidRDefault="00102500" w:rsidP="00102500">
      <w:pPr>
        <w:pStyle w:val="ListParagraph"/>
        <w:numPr>
          <w:ilvl w:val="0"/>
          <w:numId w:val="14"/>
        </w:numPr>
      </w:pPr>
      <w:r w:rsidRPr="0009161E">
        <w:t>Home adjustments</w:t>
      </w:r>
    </w:p>
    <w:p w14:paraId="4883218E" w14:textId="4AC477DD" w:rsidR="00102500" w:rsidRPr="0009161E" w:rsidRDefault="00102500" w:rsidP="00102500">
      <w:pPr>
        <w:pStyle w:val="ListParagraph"/>
        <w:numPr>
          <w:ilvl w:val="0"/>
          <w:numId w:val="14"/>
        </w:numPr>
      </w:pPr>
      <w:r w:rsidRPr="0009161E">
        <w:t xml:space="preserve">Specialised </w:t>
      </w:r>
      <w:r>
        <w:t>support services</w:t>
      </w:r>
    </w:p>
    <w:p w14:paraId="69AB2817" w14:textId="77777777" w:rsidR="00102500" w:rsidRPr="005B4190" w:rsidRDefault="00102500" w:rsidP="00102500">
      <w:pPr>
        <w:pStyle w:val="ListParagraph"/>
        <w:numPr>
          <w:ilvl w:val="0"/>
          <w:numId w:val="14"/>
        </w:numPr>
      </w:pPr>
      <w:r w:rsidRPr="005B4190">
        <w:t xml:space="preserve">Sector </w:t>
      </w:r>
      <w:r>
        <w:t>support and development</w:t>
      </w:r>
    </w:p>
    <w:p w14:paraId="3F9DA11A" w14:textId="5E53C29C" w:rsidR="00102500" w:rsidRPr="00102500" w:rsidRDefault="00102500" w:rsidP="00102500">
      <w:pPr>
        <w:pStyle w:val="ListParagraph"/>
        <w:numPr>
          <w:ilvl w:val="0"/>
          <w:numId w:val="14"/>
        </w:numPr>
      </w:pPr>
      <w:r w:rsidRPr="005B4190">
        <w:t>Hoarding and squalor assistance</w:t>
      </w:r>
      <w:r>
        <w:t>.</w:t>
      </w:r>
    </w:p>
    <w:p w14:paraId="6598FBEA" w14:textId="192DF843" w:rsidR="00805C11" w:rsidRPr="008579BE" w:rsidRDefault="00805C11" w:rsidP="00102500">
      <w:pPr>
        <w:spacing w:after="0"/>
        <w:rPr>
          <w:spacing w:val="-2"/>
          <w:position w:val="2"/>
        </w:rPr>
      </w:pPr>
      <w:r w:rsidRPr="008579BE">
        <w:rPr>
          <w:spacing w:val="-2"/>
          <w:position w:val="2"/>
        </w:rPr>
        <w:t xml:space="preserve">The aim is </w:t>
      </w:r>
      <w:r w:rsidR="00FB3833" w:rsidRPr="008579BE">
        <w:rPr>
          <w:spacing w:val="-2"/>
          <w:position w:val="2"/>
        </w:rPr>
        <w:t>to</w:t>
      </w:r>
      <w:r w:rsidR="00FB3833" w:rsidRPr="008579BE">
        <w:t xml:space="preserve"> </w:t>
      </w:r>
      <w:r w:rsidR="00FB3833" w:rsidRPr="008579BE">
        <w:rPr>
          <w:spacing w:val="-2"/>
          <w:position w:val="2"/>
        </w:rPr>
        <w:t>provide a flexible approach to</w:t>
      </w:r>
      <w:r w:rsidRPr="008579BE">
        <w:rPr>
          <w:spacing w:val="-2"/>
          <w:position w:val="2"/>
        </w:rPr>
        <w:t>:</w:t>
      </w:r>
    </w:p>
    <w:p w14:paraId="06D072CC" w14:textId="368E9772" w:rsidR="00805C11" w:rsidRPr="008579BE" w:rsidRDefault="00805C11" w:rsidP="00913875">
      <w:pPr>
        <w:pStyle w:val="ListParagraph"/>
        <w:numPr>
          <w:ilvl w:val="0"/>
          <w:numId w:val="11"/>
        </w:numPr>
        <w:spacing w:after="0"/>
      </w:pPr>
      <w:r w:rsidRPr="008579BE">
        <w:rPr>
          <w:spacing w:val="-2"/>
          <w:position w:val="2"/>
        </w:rPr>
        <w:t xml:space="preserve">ensure </w:t>
      </w:r>
      <w:r w:rsidR="00FB3833" w:rsidRPr="008579BE">
        <w:rPr>
          <w:spacing w:val="-2"/>
          <w:position w:val="2"/>
        </w:rPr>
        <w:t xml:space="preserve">compliance with contractual performance reporting requirements under the CHSP </w:t>
      </w:r>
      <w:r w:rsidR="553DB6B1" w:rsidRPr="008579BE">
        <w:rPr>
          <w:spacing w:val="-2"/>
          <w:position w:val="2"/>
        </w:rPr>
        <w:t>g</w:t>
      </w:r>
      <w:r w:rsidR="00FB3833" w:rsidRPr="008579BE">
        <w:rPr>
          <w:spacing w:val="-2"/>
          <w:position w:val="2"/>
        </w:rPr>
        <w:t xml:space="preserve">rant </w:t>
      </w:r>
      <w:r w:rsidR="4D370211" w:rsidRPr="008579BE">
        <w:rPr>
          <w:spacing w:val="-2"/>
          <w:position w:val="2"/>
        </w:rPr>
        <w:t>a</w:t>
      </w:r>
      <w:r w:rsidR="00FB3833" w:rsidRPr="008579BE">
        <w:rPr>
          <w:spacing w:val="-2"/>
          <w:position w:val="2"/>
        </w:rPr>
        <w:t xml:space="preserve">greement </w:t>
      </w:r>
    </w:p>
    <w:p w14:paraId="02153E5B" w14:textId="5CA10B44" w:rsidR="00FB3833" w:rsidRPr="008579BE" w:rsidRDefault="00805C11" w:rsidP="00913875">
      <w:pPr>
        <w:pStyle w:val="ListParagraph"/>
        <w:numPr>
          <w:ilvl w:val="0"/>
          <w:numId w:val="10"/>
        </w:numPr>
        <w:spacing w:after="0"/>
        <w:rPr>
          <w:spacing w:val="-2"/>
          <w:position w:val="2"/>
        </w:rPr>
      </w:pPr>
      <w:r w:rsidRPr="008579BE">
        <w:rPr>
          <w:spacing w:val="-2"/>
          <w:position w:val="2"/>
        </w:rPr>
        <w:t xml:space="preserve">enable </w:t>
      </w:r>
      <w:r w:rsidR="00FB3833" w:rsidRPr="008579BE">
        <w:rPr>
          <w:spacing w:val="-2"/>
          <w:position w:val="2"/>
        </w:rPr>
        <w:t xml:space="preserve">CHSP service providers to meet changes in the demand for services. </w:t>
      </w:r>
    </w:p>
    <w:p w14:paraId="4FAA0E96" w14:textId="42B3C650" w:rsidR="00BC6814" w:rsidRPr="008579BE" w:rsidRDefault="00FB3833" w:rsidP="00CC51E3">
      <w:pPr>
        <w:spacing w:after="0"/>
        <w:ind w:left="17"/>
      </w:pPr>
      <w:r w:rsidRPr="008579BE">
        <w:rPr>
          <w:spacing w:val="-2"/>
          <w:position w:val="2"/>
        </w:rPr>
        <w:t xml:space="preserve">Service providers that </w:t>
      </w:r>
      <w:r w:rsidR="00805C11" w:rsidRPr="008579BE">
        <w:rPr>
          <w:spacing w:val="-2"/>
          <w:position w:val="2"/>
        </w:rPr>
        <w:t xml:space="preserve">use </w:t>
      </w:r>
      <w:r w:rsidRPr="008579BE">
        <w:rPr>
          <w:spacing w:val="-2"/>
          <w:position w:val="2"/>
        </w:rPr>
        <w:t xml:space="preserve">flexibility provisions to establish service types funded in their </w:t>
      </w:r>
      <w:r w:rsidR="5645BABD" w:rsidRPr="008579BE">
        <w:rPr>
          <w:spacing w:val="-2"/>
          <w:position w:val="2"/>
        </w:rPr>
        <w:t>g</w:t>
      </w:r>
      <w:r w:rsidRPr="008579BE">
        <w:rPr>
          <w:spacing w:val="-2"/>
          <w:position w:val="2"/>
        </w:rPr>
        <w:t xml:space="preserve">rant </w:t>
      </w:r>
      <w:r w:rsidR="087F4928" w:rsidRPr="008579BE">
        <w:rPr>
          <w:spacing w:val="-2"/>
          <w:position w:val="2"/>
        </w:rPr>
        <w:t>a</w:t>
      </w:r>
      <w:r w:rsidRPr="008579BE">
        <w:rPr>
          <w:spacing w:val="-2"/>
          <w:position w:val="2"/>
        </w:rPr>
        <w:t xml:space="preserve">greement in an </w:t>
      </w:r>
      <w:r w:rsidR="00B279FC" w:rsidRPr="008579BE">
        <w:rPr>
          <w:spacing w:val="-2"/>
          <w:position w:val="2"/>
        </w:rPr>
        <w:t>ACPR</w:t>
      </w:r>
      <w:r w:rsidRPr="008579BE">
        <w:rPr>
          <w:spacing w:val="-2"/>
          <w:position w:val="2"/>
        </w:rPr>
        <w:t xml:space="preserve"> must keep a footprint of a </w:t>
      </w:r>
      <w:r w:rsidRPr="008579BE">
        <w:rPr>
          <w:b/>
          <w:bCs/>
          <w:spacing w:val="-2"/>
          <w:position w:val="2"/>
        </w:rPr>
        <w:t>minimum of 50</w:t>
      </w:r>
      <w:r w:rsidR="00805C11" w:rsidRPr="008579BE">
        <w:rPr>
          <w:b/>
          <w:bCs/>
          <w:spacing w:val="-2"/>
          <w:position w:val="2"/>
        </w:rPr>
        <w:t>%</w:t>
      </w:r>
      <w:r w:rsidR="00805C11" w:rsidRPr="008579BE">
        <w:rPr>
          <w:spacing w:val="-2"/>
          <w:position w:val="2"/>
        </w:rPr>
        <w:t xml:space="preserve"> </w:t>
      </w:r>
      <w:r w:rsidRPr="008579BE">
        <w:rPr>
          <w:spacing w:val="-2"/>
          <w:position w:val="2"/>
        </w:rPr>
        <w:t xml:space="preserve">for the relevant service type in the </w:t>
      </w:r>
      <w:r w:rsidR="00B279FC" w:rsidRPr="008579BE">
        <w:rPr>
          <w:spacing w:val="-2"/>
          <w:position w:val="2"/>
        </w:rPr>
        <w:t>ACPR</w:t>
      </w:r>
      <w:r w:rsidRPr="008579BE">
        <w:rPr>
          <w:spacing w:val="-2"/>
          <w:position w:val="2"/>
        </w:rPr>
        <w:t xml:space="preserve">. This ensures those services remain in the </w:t>
      </w:r>
      <w:r w:rsidR="00B279FC" w:rsidRPr="008579BE">
        <w:rPr>
          <w:spacing w:val="-2"/>
          <w:position w:val="2"/>
        </w:rPr>
        <w:t>ACPR</w:t>
      </w:r>
      <w:r w:rsidRPr="008579BE">
        <w:rPr>
          <w:spacing w:val="-2"/>
          <w:position w:val="2"/>
        </w:rPr>
        <w:t xml:space="preserve"> and align in part to the </w:t>
      </w:r>
      <w:r w:rsidR="000474E5">
        <w:rPr>
          <w:spacing w:val="-2"/>
          <w:position w:val="2"/>
        </w:rPr>
        <w:t>grant agreement</w:t>
      </w:r>
      <w:r w:rsidRPr="008579BE">
        <w:rPr>
          <w:spacing w:val="-2"/>
          <w:position w:val="2"/>
        </w:rPr>
        <w:t xml:space="preserve">. This came into effect from 1 July 2023. </w:t>
      </w:r>
    </w:p>
    <w:p w14:paraId="5C980E5F" w14:textId="3D4945E6" w:rsidR="00FB3833" w:rsidRPr="008579BE" w:rsidRDefault="00805C11" w:rsidP="00CC51E3">
      <w:pPr>
        <w:spacing w:after="0"/>
        <w:ind w:left="17"/>
        <w:rPr>
          <w:spacing w:val="-2"/>
          <w:position w:val="2"/>
        </w:rPr>
      </w:pPr>
      <w:r w:rsidRPr="008579BE">
        <w:rPr>
          <w:spacing w:val="-2"/>
          <w:position w:val="2"/>
        </w:rPr>
        <w:t xml:space="preserve">The department </w:t>
      </w:r>
      <w:r w:rsidR="00FB3833" w:rsidRPr="008579BE">
        <w:rPr>
          <w:spacing w:val="-2"/>
          <w:position w:val="2"/>
        </w:rPr>
        <w:t>monitor</w:t>
      </w:r>
      <w:r w:rsidR="00483465" w:rsidRPr="008579BE">
        <w:rPr>
          <w:spacing w:val="-2"/>
          <w:position w:val="2"/>
        </w:rPr>
        <w:t>s</w:t>
      </w:r>
      <w:r w:rsidR="00FB3833" w:rsidRPr="008579BE">
        <w:rPr>
          <w:spacing w:val="-2"/>
          <w:position w:val="2"/>
        </w:rPr>
        <w:t xml:space="preserve"> compliance with this requirement.</w:t>
      </w:r>
    </w:p>
    <w:p w14:paraId="60A1460B" w14:textId="2D666563" w:rsidR="00FA1C46" w:rsidRPr="008579BE" w:rsidRDefault="00FA1C46" w:rsidP="00CC51E3">
      <w:pPr>
        <w:spacing w:after="0"/>
        <w:ind w:left="17"/>
      </w:pPr>
      <w:r w:rsidRPr="008579BE">
        <w:t xml:space="preserve">More information about flexibility provisions </w:t>
      </w:r>
      <w:r w:rsidR="00A231AB">
        <w:t xml:space="preserve">is </w:t>
      </w:r>
      <w:r w:rsidRPr="008579BE">
        <w:t xml:space="preserve">in the </w:t>
      </w:r>
      <w:r w:rsidRPr="000724B0">
        <w:t>CHSP Manual</w:t>
      </w:r>
      <w:r w:rsidRPr="008579BE">
        <w:t>.</w:t>
      </w:r>
    </w:p>
    <w:p w14:paraId="6186A383" w14:textId="6833BA40" w:rsidR="00FB3833" w:rsidRPr="008579BE" w:rsidRDefault="00614406" w:rsidP="00913875">
      <w:pPr>
        <w:pStyle w:val="Heading2"/>
        <w:spacing w:line="276" w:lineRule="auto"/>
      </w:pPr>
      <w:bookmarkStart w:id="22" w:name="_Toc183595298"/>
      <w:bookmarkStart w:id="23" w:name="_Toc210330194"/>
      <w:r>
        <w:t>9</w:t>
      </w:r>
      <w:r w:rsidR="00212A00" w:rsidRPr="008579BE">
        <w:t xml:space="preserve">. </w:t>
      </w:r>
      <w:r w:rsidR="00FB3833" w:rsidRPr="008579BE">
        <w:t>My Aged Care</w:t>
      </w:r>
      <w:bookmarkEnd w:id="22"/>
      <w:bookmarkEnd w:id="23"/>
    </w:p>
    <w:p w14:paraId="203D4049" w14:textId="5A1B7353" w:rsidR="005C1AD2" w:rsidRPr="008579BE" w:rsidRDefault="005C1AD2" w:rsidP="00CC51E3">
      <w:pPr>
        <w:spacing w:after="0"/>
        <w:ind w:left="17"/>
      </w:pPr>
      <w:r w:rsidRPr="008579BE">
        <w:rPr>
          <w:spacing w:val="-2"/>
          <w:position w:val="2"/>
        </w:rPr>
        <w:t>CHSP</w:t>
      </w:r>
      <w:r w:rsidR="33C83442" w:rsidRPr="008579BE">
        <w:rPr>
          <w:spacing w:val="-2"/>
          <w:position w:val="2"/>
        </w:rPr>
        <w:t xml:space="preserve"> registered</w:t>
      </w:r>
      <w:r w:rsidRPr="008579BE">
        <w:rPr>
          <w:spacing w:val="-2"/>
          <w:position w:val="2"/>
        </w:rPr>
        <w:t xml:space="preserve"> providers </w:t>
      </w:r>
      <w:r w:rsidR="0070665F" w:rsidRPr="008579BE">
        <w:rPr>
          <w:spacing w:val="-2"/>
          <w:position w:val="2"/>
        </w:rPr>
        <w:t>are required to use My Aged Care to accept</w:t>
      </w:r>
      <w:r w:rsidR="00CB636C" w:rsidRPr="008579BE">
        <w:rPr>
          <w:spacing w:val="-2"/>
          <w:position w:val="2"/>
        </w:rPr>
        <w:t xml:space="preserve"> </w:t>
      </w:r>
      <w:r w:rsidR="001023CA" w:rsidRPr="008579BE">
        <w:rPr>
          <w:spacing w:val="-2"/>
          <w:position w:val="2"/>
        </w:rPr>
        <w:t xml:space="preserve">client </w:t>
      </w:r>
      <w:r w:rsidR="00CB636C" w:rsidRPr="008579BE">
        <w:rPr>
          <w:spacing w:val="-2"/>
          <w:position w:val="2"/>
        </w:rPr>
        <w:t xml:space="preserve">referrals and update </w:t>
      </w:r>
      <w:r w:rsidR="001023CA" w:rsidRPr="008579BE">
        <w:rPr>
          <w:spacing w:val="-2"/>
          <w:position w:val="2"/>
        </w:rPr>
        <w:t xml:space="preserve">client </w:t>
      </w:r>
      <w:r w:rsidR="00CB636C" w:rsidRPr="008579BE">
        <w:rPr>
          <w:spacing w:val="-2"/>
          <w:position w:val="2"/>
        </w:rPr>
        <w:t xml:space="preserve">service information. </w:t>
      </w:r>
    </w:p>
    <w:p w14:paraId="42729755" w14:textId="47254BF7" w:rsidR="00BC6814" w:rsidRPr="008579BE" w:rsidRDefault="00CB636C" w:rsidP="00913875">
      <w:pPr>
        <w:spacing w:after="0"/>
      </w:pPr>
      <w:r w:rsidRPr="008579BE">
        <w:rPr>
          <w:spacing w:val="-2"/>
          <w:position w:val="2"/>
        </w:rPr>
        <w:t xml:space="preserve">Providers are </w:t>
      </w:r>
      <w:r w:rsidR="001E03D0" w:rsidRPr="008579BE">
        <w:rPr>
          <w:spacing w:val="-2"/>
          <w:position w:val="2"/>
        </w:rPr>
        <w:t>responsible</w:t>
      </w:r>
      <w:r w:rsidRPr="008579BE">
        <w:rPr>
          <w:spacing w:val="-2"/>
          <w:position w:val="2"/>
        </w:rPr>
        <w:t xml:space="preserve"> for the ongoing management of their My Aged </w:t>
      </w:r>
      <w:r w:rsidR="004B537A" w:rsidRPr="008579BE">
        <w:rPr>
          <w:spacing w:val="-2"/>
          <w:position w:val="2"/>
        </w:rPr>
        <w:t xml:space="preserve">Care </w:t>
      </w:r>
      <w:r w:rsidR="001023CA" w:rsidRPr="008579BE">
        <w:rPr>
          <w:spacing w:val="-2"/>
          <w:position w:val="2"/>
        </w:rPr>
        <w:t xml:space="preserve">profile. </w:t>
      </w:r>
      <w:r w:rsidR="007B6010" w:rsidRPr="008579BE">
        <w:rPr>
          <w:spacing w:val="-2"/>
          <w:position w:val="2"/>
        </w:rPr>
        <w:t>Each service outlet</w:t>
      </w:r>
      <w:r w:rsidR="004B537A" w:rsidRPr="008579BE">
        <w:rPr>
          <w:spacing w:val="-2"/>
          <w:position w:val="2"/>
        </w:rPr>
        <w:t>,</w:t>
      </w:r>
      <w:r w:rsidR="00D47AB1" w:rsidRPr="008579BE">
        <w:rPr>
          <w:spacing w:val="-2"/>
          <w:position w:val="2"/>
        </w:rPr>
        <w:t xml:space="preserve"> and services associated </w:t>
      </w:r>
      <w:r w:rsidR="005C0149" w:rsidRPr="008579BE">
        <w:rPr>
          <w:spacing w:val="-2"/>
          <w:position w:val="2"/>
        </w:rPr>
        <w:t>with</w:t>
      </w:r>
      <w:r w:rsidR="00D47AB1" w:rsidRPr="008579BE">
        <w:rPr>
          <w:spacing w:val="-2"/>
          <w:position w:val="2"/>
        </w:rPr>
        <w:t xml:space="preserve"> the outlet</w:t>
      </w:r>
      <w:r w:rsidR="004B537A" w:rsidRPr="008579BE">
        <w:rPr>
          <w:spacing w:val="-2"/>
          <w:position w:val="2"/>
        </w:rPr>
        <w:t>,</w:t>
      </w:r>
      <w:r w:rsidR="007B6010" w:rsidRPr="008579BE">
        <w:rPr>
          <w:spacing w:val="-2"/>
          <w:position w:val="2"/>
        </w:rPr>
        <w:t xml:space="preserve"> </w:t>
      </w:r>
      <w:r w:rsidR="005C0149" w:rsidRPr="008579BE">
        <w:rPr>
          <w:spacing w:val="-2"/>
          <w:position w:val="2"/>
        </w:rPr>
        <w:t>needs</w:t>
      </w:r>
      <w:r w:rsidR="00D90A0C" w:rsidRPr="008579BE">
        <w:rPr>
          <w:spacing w:val="-2"/>
          <w:position w:val="2"/>
        </w:rPr>
        <w:t xml:space="preserve"> </w:t>
      </w:r>
      <w:r w:rsidR="007B6010" w:rsidRPr="008579BE">
        <w:rPr>
          <w:spacing w:val="-2"/>
          <w:position w:val="2"/>
        </w:rPr>
        <w:t xml:space="preserve">to be actively managed </w:t>
      </w:r>
      <w:r w:rsidR="003C5E82" w:rsidRPr="008579BE">
        <w:rPr>
          <w:spacing w:val="-2"/>
          <w:position w:val="2"/>
        </w:rPr>
        <w:t>by CHSP</w:t>
      </w:r>
      <w:r w:rsidR="7FA6DC39" w:rsidRPr="008579BE">
        <w:rPr>
          <w:spacing w:val="-2"/>
          <w:position w:val="2"/>
        </w:rPr>
        <w:t xml:space="preserve"> registered</w:t>
      </w:r>
      <w:r w:rsidR="003C5E82" w:rsidRPr="008579BE">
        <w:rPr>
          <w:spacing w:val="-2"/>
          <w:position w:val="2"/>
        </w:rPr>
        <w:t xml:space="preserve"> providers</w:t>
      </w:r>
      <w:r w:rsidR="000A231B" w:rsidRPr="008579BE">
        <w:rPr>
          <w:spacing w:val="-2"/>
          <w:position w:val="2"/>
        </w:rPr>
        <w:t xml:space="preserve"> to </w:t>
      </w:r>
      <w:r w:rsidR="005C1AD2" w:rsidRPr="008579BE">
        <w:rPr>
          <w:spacing w:val="-2"/>
          <w:position w:val="2"/>
        </w:rPr>
        <w:t xml:space="preserve">ensure a </w:t>
      </w:r>
      <w:r w:rsidR="00C803AD" w:rsidRPr="008579BE">
        <w:rPr>
          <w:spacing w:val="-2"/>
          <w:position w:val="2"/>
        </w:rPr>
        <w:t>positive</w:t>
      </w:r>
      <w:r w:rsidR="000A231B" w:rsidRPr="008579BE">
        <w:rPr>
          <w:spacing w:val="-2"/>
          <w:position w:val="2"/>
        </w:rPr>
        <w:t xml:space="preserve"> user experience and </w:t>
      </w:r>
      <w:r w:rsidR="00D27100" w:rsidRPr="008579BE">
        <w:rPr>
          <w:spacing w:val="-2"/>
          <w:position w:val="2"/>
        </w:rPr>
        <w:t>reduce</w:t>
      </w:r>
      <w:r w:rsidR="000A231B" w:rsidRPr="008579BE">
        <w:rPr>
          <w:spacing w:val="-2"/>
          <w:position w:val="2"/>
        </w:rPr>
        <w:t xml:space="preserve"> misinformation</w:t>
      </w:r>
      <w:r w:rsidR="00C803AD" w:rsidRPr="008579BE">
        <w:rPr>
          <w:spacing w:val="-2"/>
          <w:position w:val="2"/>
        </w:rPr>
        <w:t xml:space="preserve"> for cl</w:t>
      </w:r>
      <w:r w:rsidR="00057F0F" w:rsidRPr="008579BE">
        <w:rPr>
          <w:spacing w:val="-2"/>
          <w:position w:val="2"/>
        </w:rPr>
        <w:t>ients</w:t>
      </w:r>
      <w:r w:rsidR="000A231B" w:rsidRPr="008579BE">
        <w:rPr>
          <w:spacing w:val="-2"/>
          <w:position w:val="2"/>
        </w:rPr>
        <w:t xml:space="preserve">. </w:t>
      </w:r>
    </w:p>
    <w:p w14:paraId="200BD62B" w14:textId="15084D0D" w:rsidR="00CD361E" w:rsidRPr="008579BE" w:rsidRDefault="005711C0" w:rsidP="00CC51E3">
      <w:pPr>
        <w:spacing w:after="0"/>
        <w:ind w:left="17"/>
        <w:rPr>
          <w:spacing w:val="-2"/>
          <w:position w:val="2"/>
        </w:rPr>
      </w:pPr>
      <w:r w:rsidRPr="008579BE">
        <w:rPr>
          <w:spacing w:val="-2"/>
          <w:position w:val="2"/>
        </w:rPr>
        <w:t>It is the responsibility for providers to maintain accurate s</w:t>
      </w:r>
      <w:r w:rsidR="00D47AB1" w:rsidRPr="008579BE">
        <w:rPr>
          <w:spacing w:val="-2"/>
          <w:position w:val="2"/>
        </w:rPr>
        <w:t>ervice</w:t>
      </w:r>
      <w:r w:rsidR="007B6010" w:rsidRPr="008579BE">
        <w:rPr>
          <w:spacing w:val="-2"/>
          <w:position w:val="2"/>
        </w:rPr>
        <w:t xml:space="preserve"> availability </w:t>
      </w:r>
      <w:r w:rsidR="00F47471" w:rsidRPr="008579BE">
        <w:rPr>
          <w:spacing w:val="-2"/>
          <w:position w:val="2"/>
        </w:rPr>
        <w:t xml:space="preserve">information </w:t>
      </w:r>
      <w:r w:rsidR="00F6108A" w:rsidRPr="008579BE">
        <w:rPr>
          <w:spacing w:val="-2"/>
          <w:position w:val="2"/>
        </w:rPr>
        <w:t xml:space="preserve">and </w:t>
      </w:r>
      <w:r w:rsidR="00057F0F" w:rsidRPr="008579BE">
        <w:rPr>
          <w:spacing w:val="-2"/>
          <w:position w:val="2"/>
        </w:rPr>
        <w:t>current</w:t>
      </w:r>
      <w:r w:rsidR="00CB636C" w:rsidRPr="008579BE">
        <w:rPr>
          <w:spacing w:val="-2"/>
          <w:position w:val="2"/>
        </w:rPr>
        <w:t xml:space="preserve"> information related to service descriptions</w:t>
      </w:r>
      <w:r w:rsidR="00F6108A" w:rsidRPr="008579BE">
        <w:rPr>
          <w:spacing w:val="-2"/>
          <w:position w:val="2"/>
        </w:rPr>
        <w:t xml:space="preserve"> is essential </w:t>
      </w:r>
      <w:r w:rsidR="00BE1FA7" w:rsidRPr="008579BE">
        <w:rPr>
          <w:spacing w:val="-2"/>
          <w:position w:val="2"/>
        </w:rPr>
        <w:t xml:space="preserve">for an efficient </w:t>
      </w:r>
      <w:r w:rsidR="00F6108A" w:rsidRPr="008579BE">
        <w:rPr>
          <w:spacing w:val="-2"/>
          <w:position w:val="2"/>
        </w:rPr>
        <w:t>aged care system</w:t>
      </w:r>
      <w:r w:rsidR="00546B72" w:rsidRPr="008579BE">
        <w:rPr>
          <w:spacing w:val="-2"/>
          <w:position w:val="2"/>
        </w:rPr>
        <w:t xml:space="preserve">. </w:t>
      </w:r>
      <w:r w:rsidR="00FC5612" w:rsidRPr="008579BE">
        <w:rPr>
          <w:spacing w:val="-2"/>
          <w:position w:val="2"/>
        </w:rPr>
        <w:t xml:space="preserve">Aged </w:t>
      </w:r>
      <w:r w:rsidR="00AC7C82" w:rsidRPr="008579BE">
        <w:rPr>
          <w:spacing w:val="-2"/>
          <w:position w:val="2"/>
        </w:rPr>
        <w:t>c</w:t>
      </w:r>
      <w:r w:rsidR="00FC5612" w:rsidRPr="008579BE">
        <w:rPr>
          <w:spacing w:val="-2"/>
          <w:position w:val="2"/>
        </w:rPr>
        <w:t xml:space="preserve">are assessors, </w:t>
      </w:r>
      <w:r w:rsidR="00AC7C82" w:rsidRPr="008579BE">
        <w:rPr>
          <w:spacing w:val="-2"/>
          <w:position w:val="2"/>
        </w:rPr>
        <w:t xml:space="preserve">care finders, advocates, </w:t>
      </w:r>
      <w:r w:rsidR="00FC5612" w:rsidRPr="008579BE">
        <w:rPr>
          <w:spacing w:val="-2"/>
          <w:position w:val="2"/>
        </w:rPr>
        <w:t>clients and the public rely on accurate information</w:t>
      </w:r>
      <w:r w:rsidR="00AC7C82" w:rsidRPr="008579BE">
        <w:rPr>
          <w:spacing w:val="-2"/>
          <w:position w:val="2"/>
        </w:rPr>
        <w:t xml:space="preserve"> on </w:t>
      </w:r>
      <w:r w:rsidR="00045EA3" w:rsidRPr="008579BE">
        <w:rPr>
          <w:spacing w:val="-2"/>
          <w:position w:val="2"/>
        </w:rPr>
        <w:t xml:space="preserve">the </w:t>
      </w:r>
      <w:hyperlink r:id="rId15" w:history="1">
        <w:r w:rsidR="00045EA3" w:rsidRPr="008579BE">
          <w:rPr>
            <w:rStyle w:val="Hyperlink"/>
            <w:spacing w:val="-2"/>
            <w:position w:val="2"/>
          </w:rPr>
          <w:t>My Aged Care</w:t>
        </w:r>
        <w:r w:rsidR="00AC7C82" w:rsidRPr="008579BE">
          <w:rPr>
            <w:rStyle w:val="Hyperlink"/>
            <w:spacing w:val="-2"/>
            <w:position w:val="2"/>
          </w:rPr>
          <w:t xml:space="preserve"> </w:t>
        </w:r>
        <w:r w:rsidR="00913875" w:rsidRPr="008579BE">
          <w:rPr>
            <w:rStyle w:val="Hyperlink"/>
            <w:spacing w:val="-2"/>
            <w:position w:val="2"/>
          </w:rPr>
          <w:t xml:space="preserve">Service and Support </w:t>
        </w:r>
        <w:r w:rsidR="005C1AD2" w:rsidRPr="008579BE">
          <w:rPr>
            <w:rStyle w:val="Hyperlink"/>
            <w:spacing w:val="-2"/>
            <w:position w:val="2"/>
          </w:rPr>
          <w:t>Portal</w:t>
        </w:r>
      </w:hyperlink>
      <w:r w:rsidR="00AC7C82" w:rsidRPr="008579BE">
        <w:rPr>
          <w:spacing w:val="-2"/>
          <w:position w:val="2"/>
        </w:rPr>
        <w:t xml:space="preserve">. </w:t>
      </w:r>
    </w:p>
    <w:p w14:paraId="724984ED" w14:textId="299272A6" w:rsidR="002A086A" w:rsidRPr="008579BE" w:rsidRDefault="00640B1B" w:rsidP="00CC51E3">
      <w:pPr>
        <w:spacing w:after="0"/>
        <w:ind w:left="17"/>
        <w:rPr>
          <w:spacing w:val="-2"/>
          <w:position w:val="2"/>
        </w:rPr>
      </w:pPr>
      <w:r w:rsidRPr="008579BE">
        <w:rPr>
          <w:spacing w:val="-2"/>
          <w:position w:val="2"/>
        </w:rPr>
        <w:t>Providers should only appear</w:t>
      </w:r>
      <w:r w:rsidR="00C81489" w:rsidRPr="008579BE">
        <w:rPr>
          <w:spacing w:val="-2"/>
          <w:position w:val="2"/>
        </w:rPr>
        <w:t xml:space="preserve"> available to deliver services</w:t>
      </w:r>
      <w:r w:rsidRPr="008579BE">
        <w:rPr>
          <w:spacing w:val="-2"/>
          <w:position w:val="2"/>
        </w:rPr>
        <w:t xml:space="preserve"> </w:t>
      </w:r>
      <w:r w:rsidR="00D90A0C" w:rsidRPr="008579BE">
        <w:rPr>
          <w:spacing w:val="-2"/>
          <w:position w:val="2"/>
        </w:rPr>
        <w:t>against</w:t>
      </w:r>
      <w:r w:rsidR="002A086A" w:rsidRPr="008579BE">
        <w:rPr>
          <w:spacing w:val="-2"/>
          <w:position w:val="2"/>
        </w:rPr>
        <w:t>:</w:t>
      </w:r>
    </w:p>
    <w:p w14:paraId="20D5C9C9" w14:textId="18A4DC27" w:rsidR="002A086A" w:rsidRPr="008579BE" w:rsidRDefault="00640B1B" w:rsidP="002A086A">
      <w:pPr>
        <w:pStyle w:val="ListParagraph"/>
        <w:numPr>
          <w:ilvl w:val="0"/>
          <w:numId w:val="10"/>
        </w:numPr>
        <w:spacing w:after="0"/>
        <w:rPr>
          <w:spacing w:val="-2"/>
          <w:position w:val="2"/>
        </w:rPr>
      </w:pPr>
      <w:r w:rsidRPr="008579BE">
        <w:rPr>
          <w:spacing w:val="-2"/>
          <w:position w:val="2"/>
        </w:rPr>
        <w:t xml:space="preserve">CHSP services in areas where </w:t>
      </w:r>
      <w:r w:rsidR="002F33ED" w:rsidRPr="008579BE">
        <w:rPr>
          <w:spacing w:val="-2"/>
          <w:position w:val="2"/>
        </w:rPr>
        <w:t xml:space="preserve">they </w:t>
      </w:r>
      <w:r w:rsidR="00CD361E" w:rsidRPr="008579BE">
        <w:rPr>
          <w:spacing w:val="-2"/>
          <w:position w:val="2"/>
        </w:rPr>
        <w:t xml:space="preserve">are </w:t>
      </w:r>
      <w:r w:rsidR="004639AD" w:rsidRPr="008579BE">
        <w:rPr>
          <w:spacing w:val="-2"/>
          <w:position w:val="2"/>
        </w:rPr>
        <w:t>contractually funded</w:t>
      </w:r>
      <w:r w:rsidR="00CD361E" w:rsidRPr="008579BE">
        <w:rPr>
          <w:spacing w:val="-2"/>
          <w:position w:val="2"/>
        </w:rPr>
        <w:t xml:space="preserve"> </w:t>
      </w:r>
      <w:r w:rsidR="00913875" w:rsidRPr="008579BE">
        <w:rPr>
          <w:spacing w:val="-2"/>
          <w:position w:val="2"/>
        </w:rPr>
        <w:t>to deliver services</w:t>
      </w:r>
    </w:p>
    <w:p w14:paraId="0C2369CF" w14:textId="4ED7C87A" w:rsidR="004639AD" w:rsidRPr="008579BE" w:rsidRDefault="00CD361E" w:rsidP="00913875">
      <w:pPr>
        <w:pStyle w:val="ListParagraph"/>
        <w:numPr>
          <w:ilvl w:val="0"/>
          <w:numId w:val="10"/>
        </w:numPr>
        <w:spacing w:after="0"/>
        <w:rPr>
          <w:spacing w:val="-2"/>
          <w:position w:val="2"/>
        </w:rPr>
      </w:pPr>
      <w:r w:rsidRPr="008579BE">
        <w:rPr>
          <w:spacing w:val="-2"/>
          <w:position w:val="2"/>
        </w:rPr>
        <w:t xml:space="preserve">postcodes within the </w:t>
      </w:r>
      <w:r w:rsidR="006C4D43" w:rsidRPr="008579BE">
        <w:rPr>
          <w:spacing w:val="-2"/>
          <w:position w:val="2"/>
        </w:rPr>
        <w:t>ACPR</w:t>
      </w:r>
      <w:r w:rsidRPr="008579BE">
        <w:rPr>
          <w:spacing w:val="-2"/>
          <w:position w:val="2"/>
        </w:rPr>
        <w:t xml:space="preserve"> the</w:t>
      </w:r>
      <w:r w:rsidR="00D90A0C" w:rsidRPr="008579BE">
        <w:rPr>
          <w:spacing w:val="-2"/>
          <w:position w:val="2"/>
        </w:rPr>
        <w:t>y can</w:t>
      </w:r>
      <w:r w:rsidRPr="008579BE">
        <w:rPr>
          <w:spacing w:val="-2"/>
          <w:position w:val="2"/>
        </w:rPr>
        <w:t xml:space="preserve"> deliver </w:t>
      </w:r>
      <w:r w:rsidR="003C3162">
        <w:rPr>
          <w:spacing w:val="-2"/>
          <w:position w:val="2"/>
        </w:rPr>
        <w:t>services to</w:t>
      </w:r>
      <w:r w:rsidR="004639AD" w:rsidRPr="008579BE">
        <w:rPr>
          <w:spacing w:val="-2"/>
          <w:position w:val="2"/>
        </w:rPr>
        <w:t xml:space="preserve">. </w:t>
      </w:r>
    </w:p>
    <w:p w14:paraId="73C3B914" w14:textId="77777777" w:rsidR="006C01CB" w:rsidRDefault="006C01CB">
      <w:pPr>
        <w:spacing w:before="0" w:after="160" w:line="259" w:lineRule="auto"/>
        <w:rPr>
          <w:spacing w:val="-2"/>
          <w:position w:val="2"/>
        </w:rPr>
      </w:pPr>
      <w:r>
        <w:rPr>
          <w:spacing w:val="-2"/>
          <w:position w:val="2"/>
        </w:rPr>
        <w:br w:type="page"/>
      </w:r>
    </w:p>
    <w:p w14:paraId="09688322" w14:textId="0A4AD46B" w:rsidR="00820C14" w:rsidRPr="008579BE" w:rsidRDefault="00820C14" w:rsidP="00CC51E3">
      <w:pPr>
        <w:spacing w:after="0"/>
        <w:ind w:left="17"/>
        <w:rPr>
          <w:spacing w:val="-2"/>
          <w:position w:val="2"/>
        </w:rPr>
      </w:pPr>
      <w:r w:rsidRPr="008579BE">
        <w:rPr>
          <w:spacing w:val="-2"/>
          <w:position w:val="2"/>
        </w:rPr>
        <w:lastRenderedPageBreak/>
        <w:t>To ensure compliance, t</w:t>
      </w:r>
      <w:r w:rsidR="00CD361E" w:rsidRPr="008579BE">
        <w:rPr>
          <w:spacing w:val="-2"/>
          <w:position w:val="2"/>
        </w:rPr>
        <w:t>he department</w:t>
      </w:r>
      <w:r w:rsidRPr="008579BE">
        <w:rPr>
          <w:spacing w:val="-2"/>
          <w:position w:val="2"/>
        </w:rPr>
        <w:t>:</w:t>
      </w:r>
      <w:r w:rsidR="00CD361E" w:rsidRPr="008579BE">
        <w:rPr>
          <w:spacing w:val="-2"/>
          <w:position w:val="2"/>
        </w:rPr>
        <w:t xml:space="preserve"> </w:t>
      </w:r>
    </w:p>
    <w:p w14:paraId="00830173" w14:textId="1C87BD3E" w:rsidR="00820C14" w:rsidRPr="008579BE" w:rsidRDefault="00820C14" w:rsidP="00820C14">
      <w:pPr>
        <w:pStyle w:val="ListParagraph"/>
        <w:numPr>
          <w:ilvl w:val="0"/>
          <w:numId w:val="10"/>
        </w:numPr>
        <w:spacing w:after="0"/>
      </w:pPr>
      <w:r w:rsidRPr="008579BE">
        <w:rPr>
          <w:spacing w:val="-2"/>
          <w:position w:val="2"/>
        </w:rPr>
        <w:t xml:space="preserve">monitors </w:t>
      </w:r>
      <w:r w:rsidR="00FB3833" w:rsidRPr="008579BE">
        <w:rPr>
          <w:spacing w:val="-2"/>
          <w:position w:val="2"/>
        </w:rPr>
        <w:t>CHSP</w:t>
      </w:r>
      <w:r w:rsidR="6D22EAB6" w:rsidRPr="008579BE">
        <w:rPr>
          <w:spacing w:val="-2"/>
          <w:position w:val="2"/>
        </w:rPr>
        <w:t xml:space="preserve"> registered</w:t>
      </w:r>
      <w:r w:rsidR="00FB3833" w:rsidRPr="008579BE">
        <w:rPr>
          <w:spacing w:val="-2"/>
          <w:position w:val="2"/>
        </w:rPr>
        <w:t xml:space="preserve"> provider availability on My Aged Care </w:t>
      </w:r>
      <w:r w:rsidR="00D90A0C" w:rsidRPr="008579BE">
        <w:rPr>
          <w:spacing w:val="-2"/>
          <w:position w:val="2"/>
        </w:rPr>
        <w:t xml:space="preserve">to ensure it </w:t>
      </w:r>
      <w:r w:rsidR="00CD361E" w:rsidRPr="008579BE">
        <w:rPr>
          <w:spacing w:val="-2"/>
          <w:position w:val="2"/>
        </w:rPr>
        <w:t>align</w:t>
      </w:r>
      <w:r w:rsidR="00D90A0C" w:rsidRPr="008579BE">
        <w:rPr>
          <w:spacing w:val="-2"/>
          <w:position w:val="2"/>
        </w:rPr>
        <w:t>s</w:t>
      </w:r>
      <w:r w:rsidR="00CD361E" w:rsidRPr="008579BE">
        <w:rPr>
          <w:spacing w:val="-2"/>
          <w:position w:val="2"/>
        </w:rPr>
        <w:t xml:space="preserve"> </w:t>
      </w:r>
      <w:r w:rsidR="00D90A0C" w:rsidRPr="008579BE">
        <w:rPr>
          <w:spacing w:val="-2"/>
          <w:position w:val="2"/>
        </w:rPr>
        <w:t>with</w:t>
      </w:r>
      <w:r w:rsidR="00CD361E" w:rsidRPr="008579BE">
        <w:rPr>
          <w:spacing w:val="-2"/>
          <w:position w:val="2"/>
        </w:rPr>
        <w:t xml:space="preserve"> their </w:t>
      </w:r>
      <w:r w:rsidRPr="008579BE">
        <w:rPr>
          <w:spacing w:val="-2"/>
          <w:position w:val="2"/>
        </w:rPr>
        <w:t xml:space="preserve">grant </w:t>
      </w:r>
      <w:r w:rsidR="00D90A0C" w:rsidRPr="008579BE">
        <w:rPr>
          <w:spacing w:val="-2"/>
          <w:position w:val="2"/>
        </w:rPr>
        <w:t xml:space="preserve">agreement </w:t>
      </w:r>
      <w:r w:rsidR="00CD361E" w:rsidRPr="008579BE">
        <w:rPr>
          <w:spacing w:val="-2"/>
          <w:position w:val="2"/>
        </w:rPr>
        <w:t xml:space="preserve">and DEX reporting </w:t>
      </w:r>
    </w:p>
    <w:p w14:paraId="436D6AD9" w14:textId="5FC30834" w:rsidR="00820C14" w:rsidRPr="008579BE" w:rsidRDefault="00820C14" w:rsidP="00820C14">
      <w:pPr>
        <w:pStyle w:val="ListParagraph"/>
        <w:numPr>
          <w:ilvl w:val="0"/>
          <w:numId w:val="10"/>
        </w:numPr>
        <w:spacing w:after="0"/>
        <w:rPr>
          <w:spacing w:val="-2"/>
          <w:position w:val="2"/>
        </w:rPr>
      </w:pPr>
      <w:r w:rsidRPr="008579BE">
        <w:rPr>
          <w:spacing w:val="-2"/>
          <w:position w:val="2"/>
        </w:rPr>
        <w:t xml:space="preserve">reviews analysis </w:t>
      </w:r>
      <w:r w:rsidR="00CD18B5" w:rsidRPr="008579BE">
        <w:rPr>
          <w:spacing w:val="-2"/>
          <w:position w:val="2"/>
        </w:rPr>
        <w:t xml:space="preserve">of </w:t>
      </w:r>
      <w:r w:rsidR="00DA622B" w:rsidRPr="008579BE">
        <w:rPr>
          <w:spacing w:val="-2"/>
          <w:position w:val="2"/>
        </w:rPr>
        <w:t xml:space="preserve">provider </w:t>
      </w:r>
      <w:r w:rsidR="00CD18B5" w:rsidRPr="008579BE">
        <w:rPr>
          <w:spacing w:val="-2"/>
          <w:position w:val="2"/>
        </w:rPr>
        <w:t xml:space="preserve">behaviour </w:t>
      </w:r>
      <w:r w:rsidRPr="008579BE">
        <w:t>on</w:t>
      </w:r>
      <w:r w:rsidRPr="008579BE">
        <w:rPr>
          <w:spacing w:val="-2"/>
          <w:position w:val="2"/>
        </w:rPr>
        <w:t xml:space="preserve"> My Aged Care </w:t>
      </w:r>
      <w:r w:rsidR="00CD18B5" w:rsidRPr="008579BE">
        <w:t>and</w:t>
      </w:r>
      <w:r w:rsidR="00CD18B5" w:rsidRPr="008579BE">
        <w:rPr>
          <w:spacing w:val="-2"/>
          <w:position w:val="2"/>
        </w:rPr>
        <w:t xml:space="preserve"> </w:t>
      </w:r>
      <w:r w:rsidR="00CD361E" w:rsidRPr="008579BE">
        <w:rPr>
          <w:spacing w:val="-2"/>
          <w:position w:val="2"/>
        </w:rPr>
        <w:t>reasons</w:t>
      </w:r>
      <w:r w:rsidR="00E80ED1" w:rsidRPr="008579BE">
        <w:rPr>
          <w:spacing w:val="-2"/>
          <w:position w:val="2"/>
        </w:rPr>
        <w:t xml:space="preserve"> for</w:t>
      </w:r>
      <w:r w:rsidRPr="008579BE">
        <w:rPr>
          <w:spacing w:val="-2"/>
          <w:position w:val="2"/>
        </w:rPr>
        <w:t xml:space="preserve"> rejecting</w:t>
      </w:r>
      <w:r w:rsidR="00E80ED1" w:rsidRPr="008579BE">
        <w:rPr>
          <w:spacing w:val="-2"/>
          <w:position w:val="2"/>
        </w:rPr>
        <w:t xml:space="preserve"> </w:t>
      </w:r>
      <w:r w:rsidR="00DA622B" w:rsidRPr="008579BE">
        <w:rPr>
          <w:spacing w:val="-2"/>
          <w:position w:val="2"/>
        </w:rPr>
        <w:t>referral</w:t>
      </w:r>
      <w:r w:rsidRPr="008579BE">
        <w:rPr>
          <w:spacing w:val="-2"/>
          <w:position w:val="2"/>
        </w:rPr>
        <w:t>s</w:t>
      </w:r>
    </w:p>
    <w:p w14:paraId="313A3AC6" w14:textId="4B913BD8" w:rsidR="00CD18B5" w:rsidRPr="008579BE" w:rsidRDefault="00820C14" w:rsidP="00913875">
      <w:pPr>
        <w:pStyle w:val="ListParagraph"/>
        <w:numPr>
          <w:ilvl w:val="0"/>
          <w:numId w:val="10"/>
        </w:numPr>
        <w:spacing w:after="0"/>
        <w:rPr>
          <w:spacing w:val="-2"/>
          <w:position w:val="2"/>
        </w:rPr>
      </w:pPr>
      <w:r w:rsidRPr="008579BE">
        <w:rPr>
          <w:spacing w:val="-2"/>
          <w:position w:val="2"/>
        </w:rPr>
        <w:t>raise a</w:t>
      </w:r>
      <w:r w:rsidR="00DA622B" w:rsidRPr="008579BE">
        <w:rPr>
          <w:spacing w:val="-2"/>
          <w:position w:val="2"/>
        </w:rPr>
        <w:t xml:space="preserve">ny </w:t>
      </w:r>
      <w:r w:rsidR="00D90A0C" w:rsidRPr="008579BE">
        <w:rPr>
          <w:spacing w:val="-2"/>
          <w:position w:val="2"/>
        </w:rPr>
        <w:t xml:space="preserve">ongoing and </w:t>
      </w:r>
      <w:r w:rsidR="00DA622B" w:rsidRPr="008579BE">
        <w:rPr>
          <w:spacing w:val="-2"/>
          <w:position w:val="2"/>
        </w:rPr>
        <w:t xml:space="preserve">systemic </w:t>
      </w:r>
      <w:r w:rsidR="00A31BE5" w:rsidRPr="008579BE">
        <w:rPr>
          <w:spacing w:val="-2"/>
          <w:position w:val="2"/>
        </w:rPr>
        <w:t>trends with providers.</w:t>
      </w:r>
    </w:p>
    <w:p w14:paraId="3E6AF65E" w14:textId="6789ECCE" w:rsidR="00FB3833" w:rsidRPr="008579BE" w:rsidRDefault="00820C14" w:rsidP="00CC51E3">
      <w:pPr>
        <w:spacing w:after="0"/>
        <w:ind w:left="17"/>
        <w:rPr>
          <w:spacing w:val="-2"/>
          <w:position w:val="2"/>
        </w:rPr>
      </w:pPr>
      <w:r w:rsidRPr="008579BE">
        <w:rPr>
          <w:spacing w:val="-2"/>
          <w:position w:val="2"/>
        </w:rPr>
        <w:t>T</w:t>
      </w:r>
      <w:r w:rsidR="00652A1E" w:rsidRPr="008579BE">
        <w:rPr>
          <w:spacing w:val="-2"/>
          <w:position w:val="2"/>
        </w:rPr>
        <w:t xml:space="preserve">he </w:t>
      </w:r>
      <w:r w:rsidR="00637BF4" w:rsidRPr="008579BE">
        <w:rPr>
          <w:spacing w:val="-2"/>
          <w:position w:val="2"/>
        </w:rPr>
        <w:t>CGH’s</w:t>
      </w:r>
      <w:r w:rsidR="00652A1E" w:rsidRPr="008579BE">
        <w:rPr>
          <w:spacing w:val="-2"/>
          <w:position w:val="2"/>
        </w:rPr>
        <w:t xml:space="preserve"> </w:t>
      </w:r>
      <w:r w:rsidR="00FB3833" w:rsidRPr="008579BE">
        <w:rPr>
          <w:spacing w:val="-2"/>
          <w:position w:val="2"/>
        </w:rPr>
        <w:t>FAM</w:t>
      </w:r>
      <w:r w:rsidR="00B279FC" w:rsidRPr="008579BE">
        <w:rPr>
          <w:spacing w:val="-2"/>
          <w:position w:val="2"/>
        </w:rPr>
        <w:t>s</w:t>
      </w:r>
      <w:r w:rsidRPr="008579BE">
        <w:rPr>
          <w:spacing w:val="-2"/>
          <w:position w:val="2"/>
        </w:rPr>
        <w:t xml:space="preserve"> have access to information relating to service delivery against the agreement </w:t>
      </w:r>
      <w:r w:rsidR="00FB3833" w:rsidRPr="008579BE">
        <w:rPr>
          <w:spacing w:val="-2"/>
          <w:position w:val="2"/>
        </w:rPr>
        <w:t xml:space="preserve">to guide discussions with providers where service levels are high or low. FAMs will also seek responses from providers if they are under delivering via DEX and are showing unavailability on My Aged Care. </w:t>
      </w:r>
    </w:p>
    <w:p w14:paraId="0C42F851" w14:textId="11FA0C58" w:rsidR="00162A8F" w:rsidRPr="008579BE" w:rsidRDefault="00614406" w:rsidP="00B2728D">
      <w:pPr>
        <w:pStyle w:val="Heading3"/>
      </w:pPr>
      <w:bookmarkStart w:id="24" w:name="_Toc183595299"/>
      <w:bookmarkStart w:id="25" w:name="_Toc210330195"/>
      <w:r>
        <w:t>9</w:t>
      </w:r>
      <w:r w:rsidR="00682EE6">
        <w:t xml:space="preserve">.1 </w:t>
      </w:r>
      <w:r w:rsidR="00143BB4">
        <w:t xml:space="preserve">Enhanced monitoring of </w:t>
      </w:r>
      <w:r w:rsidR="00092A62">
        <w:t xml:space="preserve">My Aged Care </w:t>
      </w:r>
      <w:r w:rsidR="00143BB4">
        <w:t>c</w:t>
      </w:r>
      <w:r w:rsidR="00657CCC">
        <w:t xml:space="preserve">lient </w:t>
      </w:r>
      <w:r w:rsidR="00162A8F">
        <w:t>ID reporting</w:t>
      </w:r>
      <w:bookmarkEnd w:id="24"/>
      <w:bookmarkEnd w:id="25"/>
    </w:p>
    <w:p w14:paraId="52BD945F" w14:textId="2B7B5B78" w:rsidR="00162A8F" w:rsidRPr="008579BE" w:rsidRDefault="1C3C1EDA" w:rsidP="230D37C8">
      <w:r w:rsidRPr="230D37C8">
        <w:rPr>
          <w:rFonts w:eastAsia="Arial" w:cs="Arial"/>
        </w:rPr>
        <w:t xml:space="preserve">It is a statutory funding condition that CHSP providers deliver funded aged care services to clients who have been assessed and approved to access the services (section 267 of the Act).  </w:t>
      </w:r>
    </w:p>
    <w:p w14:paraId="5EB41D99" w14:textId="77777777" w:rsidR="00887264" w:rsidRDefault="59ACAA9A" w:rsidP="004E4969">
      <w:r>
        <w:t>Providers will be required</w:t>
      </w:r>
      <w:r w:rsidR="6E28B9F8">
        <w:t xml:space="preserve"> to</w:t>
      </w:r>
      <w:r>
        <w:t xml:space="preserve"> include</w:t>
      </w:r>
      <w:r w:rsidR="00162A8F">
        <w:t xml:space="preserve"> a My Aged Care</w:t>
      </w:r>
      <w:r w:rsidR="000D5362">
        <w:t xml:space="preserve"> client</w:t>
      </w:r>
      <w:r w:rsidR="00162A8F">
        <w:t xml:space="preserve"> ID, </w:t>
      </w:r>
      <w:r w:rsidR="4E497D90">
        <w:t xml:space="preserve">when reporting </w:t>
      </w:r>
      <w:r w:rsidR="00162A8F">
        <w:t xml:space="preserve">their monthly DEX </w:t>
      </w:r>
      <w:r w:rsidR="1D2F816E">
        <w:t xml:space="preserve">data. </w:t>
      </w:r>
      <w:r w:rsidR="00162A8F">
        <w:t xml:space="preserve">The department will </w:t>
      </w:r>
      <w:r w:rsidR="569CDC0F">
        <w:t xml:space="preserve">monitor </w:t>
      </w:r>
      <w:r w:rsidR="02A6B9F9">
        <w:t>this data against other available data to ensure services are being accurately re</w:t>
      </w:r>
      <w:r w:rsidR="443551DB">
        <w:t xml:space="preserve">corded. </w:t>
      </w:r>
      <w:r w:rsidR="00CC6825">
        <w:t xml:space="preserve">The data exchange is being updated </w:t>
      </w:r>
      <w:r w:rsidR="005503E0">
        <w:t>during</w:t>
      </w:r>
      <w:r w:rsidR="00CC6825">
        <w:t xml:space="preserve"> 2025-26 to allow for My</w:t>
      </w:r>
      <w:r w:rsidR="00D62935">
        <w:t xml:space="preserve"> A</w:t>
      </w:r>
      <w:r w:rsidR="00CC6825">
        <w:t>ged</w:t>
      </w:r>
      <w:r w:rsidR="00D62935">
        <w:t xml:space="preserve"> C</w:t>
      </w:r>
      <w:r w:rsidR="00CC6825">
        <w:t>are ID’</w:t>
      </w:r>
      <w:r w:rsidR="00EB7D49">
        <w:t xml:space="preserve">s to </w:t>
      </w:r>
      <w:r w:rsidR="000129B6">
        <w:t xml:space="preserve">be </w:t>
      </w:r>
      <w:r w:rsidR="005503E0">
        <w:t xml:space="preserve">uploaded and reported in the </w:t>
      </w:r>
      <w:r w:rsidR="00D77749">
        <w:t>d</w:t>
      </w:r>
      <w:r w:rsidR="005503E0">
        <w:t>ata exchange</w:t>
      </w:r>
      <w:r w:rsidR="008957D3">
        <w:t xml:space="preserve">. </w:t>
      </w:r>
    </w:p>
    <w:p w14:paraId="7C997228" w14:textId="097C7B41" w:rsidR="008A22CA" w:rsidRDefault="008957D3" w:rsidP="004E4969">
      <w:r>
        <w:t>This will not be a</w:t>
      </w:r>
      <w:r w:rsidR="5BA4ED24">
        <w:t>n available function in DEX</w:t>
      </w:r>
      <w:r>
        <w:t xml:space="preserve"> from 1 July 2025</w:t>
      </w:r>
      <w:r w:rsidR="00697D8E">
        <w:t>, however providers</w:t>
      </w:r>
      <w:r w:rsidR="005503E0">
        <w:t xml:space="preserve"> </w:t>
      </w:r>
      <w:r>
        <w:t>wil</w:t>
      </w:r>
      <w:r w:rsidR="00697D8E">
        <w:t>l</w:t>
      </w:r>
      <w:r>
        <w:t xml:space="preserve"> </w:t>
      </w:r>
      <w:r w:rsidR="005503E0">
        <w:t xml:space="preserve">be </w:t>
      </w:r>
      <w:r>
        <w:t>require</w:t>
      </w:r>
      <w:r w:rsidR="005503E0">
        <w:t>d</w:t>
      </w:r>
      <w:r>
        <w:t xml:space="preserve"> to capture clients My</w:t>
      </w:r>
      <w:r w:rsidR="005C5C92">
        <w:t> </w:t>
      </w:r>
      <w:r>
        <w:t>Aged</w:t>
      </w:r>
      <w:r w:rsidR="005C5C92">
        <w:t> </w:t>
      </w:r>
      <w:r>
        <w:t xml:space="preserve">Care IDs from 1 July </w:t>
      </w:r>
      <w:r w:rsidR="00191982">
        <w:t xml:space="preserve">2025 </w:t>
      </w:r>
      <w:r w:rsidR="4AA30BB3">
        <w:t xml:space="preserve">in their own </w:t>
      </w:r>
      <w:r w:rsidR="595CC517">
        <w:t xml:space="preserve">client management systems </w:t>
      </w:r>
      <w:r w:rsidR="009101A6">
        <w:t xml:space="preserve">and upload </w:t>
      </w:r>
      <w:r w:rsidR="00191982">
        <w:t xml:space="preserve">this </w:t>
      </w:r>
      <w:r w:rsidR="34EC318F">
        <w:t xml:space="preserve">into DEX </w:t>
      </w:r>
      <w:r>
        <w:t xml:space="preserve">once </w:t>
      </w:r>
      <w:r w:rsidR="73EF21F3">
        <w:t>this</w:t>
      </w:r>
      <w:r w:rsidR="53D727FF">
        <w:t xml:space="preserve"> </w:t>
      </w:r>
      <w:r w:rsidR="00933719">
        <w:t>functionality</w:t>
      </w:r>
      <w:r>
        <w:t xml:space="preserve"> is available</w:t>
      </w:r>
      <w:r w:rsidR="00A21CCD">
        <w:t>.</w:t>
      </w:r>
      <w:r w:rsidR="00571008">
        <w:t xml:space="preserve"> </w:t>
      </w:r>
    </w:p>
    <w:p w14:paraId="362AFC8B" w14:textId="0D9ADF7D" w:rsidR="003D3AE2" w:rsidRPr="008579BE" w:rsidRDefault="00143BB4" w:rsidP="004E4969">
      <w:r w:rsidRPr="008579BE">
        <w:rPr>
          <w:rFonts w:cs="Arial"/>
        </w:rPr>
        <w:t xml:space="preserve">For more information see </w:t>
      </w:r>
      <w:hyperlink r:id="rId16" w:history="1">
        <w:r w:rsidR="000135C1">
          <w:rPr>
            <w:rStyle w:val="Hyperlink"/>
            <w:rFonts w:cs="Arial"/>
          </w:rPr>
          <w:t>the</w:t>
        </w:r>
      </w:hyperlink>
      <w:r w:rsidR="000135C1">
        <w:t xml:space="preserve"> </w:t>
      </w:r>
      <w:hyperlink r:id="rId17" w:history="1">
        <w:r w:rsidR="00C43C26" w:rsidRPr="00C43C26">
          <w:rPr>
            <w:rStyle w:val="Hyperlink"/>
          </w:rPr>
          <w:t>Data Exchange Toolkit (Stage 1)</w:t>
        </w:r>
      </w:hyperlink>
      <w:r w:rsidR="00C43C26">
        <w:t xml:space="preserve"> and the </w:t>
      </w:r>
      <w:hyperlink r:id="rId18" w:history="1">
        <w:r w:rsidR="000135C1" w:rsidRPr="000135C1">
          <w:rPr>
            <w:rStyle w:val="Hyperlink"/>
          </w:rPr>
          <w:t>Data Exchange Dictionary (Stage 1)</w:t>
        </w:r>
      </w:hyperlink>
      <w:r w:rsidR="005A164A" w:rsidRPr="008579BE">
        <w:t>.</w:t>
      </w:r>
    </w:p>
    <w:p w14:paraId="287A4539" w14:textId="54D1C9AF" w:rsidR="00FB3833" w:rsidRPr="008579BE" w:rsidRDefault="4AB5B44A" w:rsidP="00913875">
      <w:pPr>
        <w:pStyle w:val="Heading2"/>
        <w:spacing w:line="276" w:lineRule="auto"/>
      </w:pPr>
      <w:bookmarkStart w:id="26" w:name="_Toc168402565"/>
      <w:bookmarkStart w:id="27" w:name="_Toc183595300"/>
      <w:bookmarkStart w:id="28" w:name="_Toc210330196"/>
      <w:r>
        <w:t>10</w:t>
      </w:r>
      <w:r w:rsidR="0AE348EE">
        <w:t xml:space="preserve">. </w:t>
      </w:r>
      <w:r w:rsidR="20675CAC">
        <w:t xml:space="preserve">Wellness and </w:t>
      </w:r>
      <w:r w:rsidR="7D03EA99">
        <w:t>r</w:t>
      </w:r>
      <w:r w:rsidR="20675CAC">
        <w:t>eablement</w:t>
      </w:r>
      <w:bookmarkEnd w:id="26"/>
      <w:r w:rsidR="0AE348EE">
        <w:t xml:space="preserve"> reporting</w:t>
      </w:r>
      <w:bookmarkEnd w:id="27"/>
      <w:bookmarkEnd w:id="28"/>
    </w:p>
    <w:p w14:paraId="59DB4561" w14:textId="44CA7EFC" w:rsidR="00A95B0D" w:rsidRPr="008579BE" w:rsidRDefault="6AA5E181">
      <w:r w:rsidRPr="230D37C8">
        <w:rPr>
          <w:rFonts w:eastAsia="Arial" w:cs="Arial"/>
        </w:rPr>
        <w:t>Section 166-615 of the Rules prescribes that a CHSP registered provider must give the department a report about their progress in embedding wellness and reablement in its service delivery (the annual wellness and reablement report).</w:t>
      </w:r>
      <w:r>
        <w:t xml:space="preserve"> </w:t>
      </w:r>
    </w:p>
    <w:p w14:paraId="6312D7FF" w14:textId="0D0A0855" w:rsidR="00A95B0D" w:rsidRPr="008579BE" w:rsidRDefault="20675CAC" w:rsidP="00CC51E3">
      <w:pPr>
        <w:spacing w:after="0"/>
        <w:ind w:left="17"/>
      </w:pPr>
      <w:r w:rsidRPr="008579BE">
        <w:rPr>
          <w:spacing w:val="-2"/>
          <w:position w:val="2"/>
        </w:rPr>
        <w:t>CHSP</w:t>
      </w:r>
      <w:r w:rsidR="4B9FD203" w:rsidRPr="008579BE">
        <w:rPr>
          <w:spacing w:val="-2"/>
          <w:position w:val="2"/>
        </w:rPr>
        <w:t xml:space="preserve"> registered</w:t>
      </w:r>
      <w:r w:rsidRPr="008579BE">
        <w:rPr>
          <w:spacing w:val="-2"/>
          <w:position w:val="2"/>
        </w:rPr>
        <w:t xml:space="preserve"> providers are required to submit </w:t>
      </w:r>
      <w:r w:rsidR="79001846" w:rsidRPr="008579BE">
        <w:rPr>
          <w:spacing w:val="-2"/>
          <w:position w:val="2"/>
        </w:rPr>
        <w:t>the</w:t>
      </w:r>
      <w:r w:rsidRPr="008579BE">
        <w:rPr>
          <w:spacing w:val="-2"/>
          <w:position w:val="2"/>
        </w:rPr>
        <w:t xml:space="preserve"> annual wellness and reablement report to the department by 31 July. </w:t>
      </w:r>
    </w:p>
    <w:p w14:paraId="24042C50" w14:textId="0491B7AE" w:rsidR="00FB3833" w:rsidRPr="008579BE" w:rsidRDefault="00FB3833" w:rsidP="00CC51E3">
      <w:pPr>
        <w:spacing w:after="0"/>
        <w:ind w:left="17"/>
      </w:pPr>
      <w:r w:rsidRPr="008579BE">
        <w:rPr>
          <w:spacing w:val="-2"/>
          <w:position w:val="2"/>
        </w:rPr>
        <w:t>The department provides an online reporting template for this purpose. The report must include service level information regarding the application of wellness and reablement approaches to service delivery within their organisation.</w:t>
      </w:r>
    </w:p>
    <w:p w14:paraId="0F8F1E6B" w14:textId="04E8D6AC" w:rsidR="00FB3833" w:rsidRPr="008579BE" w:rsidRDefault="00FB3833" w:rsidP="00CC51E3">
      <w:pPr>
        <w:spacing w:after="0"/>
        <w:ind w:left="17"/>
        <w:rPr>
          <w:spacing w:val="-2"/>
          <w:position w:val="2"/>
        </w:rPr>
      </w:pPr>
      <w:r w:rsidRPr="008579BE">
        <w:rPr>
          <w:spacing w:val="-2"/>
          <w:position w:val="2"/>
        </w:rPr>
        <w:t xml:space="preserve">The department will liaise with the CGH to action non-compliance in accordance with this </w:t>
      </w:r>
      <w:r w:rsidR="00087074" w:rsidRPr="008579BE">
        <w:rPr>
          <w:spacing w:val="-2"/>
          <w:position w:val="2"/>
        </w:rPr>
        <w:t>F</w:t>
      </w:r>
      <w:r w:rsidRPr="008579BE">
        <w:rPr>
          <w:spacing w:val="-2"/>
          <w:position w:val="2"/>
        </w:rPr>
        <w:t>ramework.</w:t>
      </w:r>
    </w:p>
    <w:p w14:paraId="60121861" w14:textId="77777777" w:rsidR="00D37FC6" w:rsidRDefault="00D37FC6" w:rsidP="00D37FC6">
      <w:pPr>
        <w:spacing w:after="0"/>
        <w:ind w:left="17"/>
      </w:pPr>
      <w:r w:rsidRPr="008579BE">
        <w:rPr>
          <w:spacing w:val="-2"/>
          <w:position w:val="2"/>
        </w:rPr>
        <w:t xml:space="preserve">The </w:t>
      </w:r>
      <w:hyperlink r:id="rId19" w:history="1">
        <w:r w:rsidRPr="008579BE">
          <w:rPr>
            <w:rStyle w:val="Hyperlink"/>
            <w:spacing w:val="-2"/>
            <w:position w:val="2"/>
          </w:rPr>
          <w:t>outcomes of past reports</w:t>
        </w:r>
      </w:hyperlink>
      <w:r w:rsidRPr="008579BE">
        <w:rPr>
          <w:spacing w:val="-2"/>
          <w:position w:val="2"/>
        </w:rPr>
        <w:t xml:space="preserve"> are</w:t>
      </w:r>
      <w:r>
        <w:t xml:space="preserve"> available on the department’s website.  </w:t>
      </w:r>
    </w:p>
    <w:p w14:paraId="7740AE92" w14:textId="3AD5C0CA" w:rsidR="0093675B" w:rsidRPr="000E27AC" w:rsidRDefault="00F15A98" w:rsidP="000E27AC">
      <w:pPr>
        <w:pStyle w:val="Heading2"/>
      </w:pPr>
      <w:bookmarkStart w:id="29" w:name="_Toc210330197"/>
      <w:r w:rsidRPr="000E27AC">
        <w:lastRenderedPageBreak/>
        <w:t>11. Complaints and Feedback Management Report</w:t>
      </w:r>
      <w:bookmarkEnd w:id="29"/>
    </w:p>
    <w:p w14:paraId="01D1905D" w14:textId="2B40C475" w:rsidR="00FE3AF6" w:rsidRDefault="002C5E41" w:rsidP="00D37FC6">
      <w:pPr>
        <w:spacing w:after="0"/>
        <w:ind w:left="17"/>
        <w:rPr>
          <w:spacing w:val="-2"/>
          <w:position w:val="2"/>
        </w:rPr>
      </w:pPr>
      <w:r w:rsidRPr="002C5E41">
        <w:rPr>
          <w:spacing w:val="-2"/>
          <w:position w:val="2"/>
        </w:rPr>
        <w:t>In accordance with s</w:t>
      </w:r>
      <w:r w:rsidR="2B4F0C72" w:rsidRPr="002C5E41">
        <w:rPr>
          <w:spacing w:val="-2"/>
          <w:position w:val="2"/>
        </w:rPr>
        <w:t xml:space="preserve">ection </w:t>
      </w:r>
      <w:r w:rsidRPr="002C5E41">
        <w:rPr>
          <w:spacing w:val="-2"/>
          <w:position w:val="2"/>
        </w:rPr>
        <w:t xml:space="preserve">166-210 of the Rules, CHSP registered providers who are registered in category 4 (personal and care support in the home and community) and/or category 5 (nursing and transition care) are required to submit a report about the management of complaints and feedback to the Aged Care Quality and Safety Commission. </w:t>
      </w:r>
    </w:p>
    <w:p w14:paraId="45C21385" w14:textId="204B3F8C" w:rsidR="002C5E41" w:rsidRPr="008579BE" w:rsidRDefault="002C5E41" w:rsidP="00D37FC6">
      <w:pPr>
        <w:spacing w:after="0"/>
        <w:ind w:left="17"/>
        <w:rPr>
          <w:spacing w:val="-2"/>
          <w:position w:val="2"/>
        </w:rPr>
      </w:pPr>
      <w:r w:rsidRPr="002C5E41">
        <w:rPr>
          <w:spacing w:val="-2"/>
          <w:position w:val="2"/>
        </w:rPr>
        <w:t>The</w:t>
      </w:r>
      <w:r w:rsidR="00FE3AF6">
        <w:rPr>
          <w:spacing w:val="-2"/>
          <w:position w:val="2"/>
        </w:rPr>
        <w:t> </w:t>
      </w:r>
      <w:r w:rsidRPr="002C5E41">
        <w:rPr>
          <w:spacing w:val="-2"/>
          <w:position w:val="2"/>
        </w:rPr>
        <w:t>complaints and feedback management report is required within 4 months after the end of the reporting period for the registered provider.</w:t>
      </w:r>
    </w:p>
    <w:p w14:paraId="370B3744" w14:textId="71511A31" w:rsidR="00C056D2" w:rsidRPr="008579BE" w:rsidRDefault="4AB5B44A" w:rsidP="001E2AB6">
      <w:pPr>
        <w:pStyle w:val="Heading2"/>
      </w:pPr>
      <w:bookmarkStart w:id="30" w:name="_Toc183595301"/>
      <w:bookmarkStart w:id="31" w:name="_Toc210330198"/>
      <w:r>
        <w:t>1</w:t>
      </w:r>
      <w:r w:rsidR="00F15A98">
        <w:t>2</w:t>
      </w:r>
      <w:r w:rsidR="37214874">
        <w:t xml:space="preserve">. </w:t>
      </w:r>
      <w:r w:rsidR="2740C47B">
        <w:t>Child Safety Compliance Statement</w:t>
      </w:r>
      <w:bookmarkEnd w:id="30"/>
      <w:bookmarkEnd w:id="31"/>
    </w:p>
    <w:p w14:paraId="61794060" w14:textId="6C990486" w:rsidR="00E567A6" w:rsidRPr="008579BE" w:rsidRDefault="729D25BA" w:rsidP="230D37C8">
      <w:pPr>
        <w:spacing w:after="0"/>
        <w:ind w:left="17"/>
      </w:pPr>
      <w:r w:rsidRPr="230D37C8">
        <w:rPr>
          <w:rFonts w:eastAsia="Arial" w:cs="Arial"/>
        </w:rPr>
        <w:t xml:space="preserve">Section 166-628 of the Rules prescribes that a CHSP </w:t>
      </w:r>
      <w:r w:rsidR="42A598DF" w:rsidRPr="230D37C8">
        <w:rPr>
          <w:rFonts w:eastAsia="Arial" w:cs="Arial"/>
        </w:rPr>
        <w:t xml:space="preserve">registered </w:t>
      </w:r>
      <w:r w:rsidRPr="230D37C8">
        <w:rPr>
          <w:rFonts w:eastAsia="Arial" w:cs="Arial"/>
        </w:rPr>
        <w:t>provider</w:t>
      </w:r>
      <w:r w:rsidR="0B82DAC5" w:rsidRPr="230D37C8">
        <w:rPr>
          <w:rFonts w:eastAsia="Arial" w:cs="Arial"/>
        </w:rPr>
        <w:t xml:space="preserve"> </w:t>
      </w:r>
      <w:r w:rsidR="3210F862" w:rsidRPr="230D37C8">
        <w:rPr>
          <w:rFonts w:eastAsia="Arial" w:cs="Arial"/>
        </w:rPr>
        <w:t>m</w:t>
      </w:r>
      <w:r w:rsidRPr="230D37C8">
        <w:rPr>
          <w:rFonts w:eastAsia="Arial" w:cs="Arial"/>
        </w:rPr>
        <w:t xml:space="preserve">ust give a report (the child safety compliance statement) to the department each year. </w:t>
      </w:r>
    </w:p>
    <w:p w14:paraId="5F8C14CE" w14:textId="6A125E24" w:rsidR="00E567A6" w:rsidRPr="008579BE" w:rsidRDefault="37214874" w:rsidP="008913A4">
      <w:pPr>
        <w:spacing w:after="0"/>
        <w:ind w:left="17"/>
      </w:pPr>
      <w:r w:rsidRPr="008579BE">
        <w:rPr>
          <w:spacing w:val="-2"/>
          <w:position w:val="2"/>
        </w:rPr>
        <w:t xml:space="preserve">CHSP </w:t>
      </w:r>
      <w:r w:rsidR="6231C73E" w:rsidRPr="008579BE">
        <w:rPr>
          <w:spacing w:val="-2"/>
          <w:position w:val="2"/>
        </w:rPr>
        <w:t xml:space="preserve">registered </w:t>
      </w:r>
      <w:r w:rsidRPr="008579BE">
        <w:rPr>
          <w:spacing w:val="-2"/>
          <w:position w:val="2"/>
        </w:rPr>
        <w:t xml:space="preserve">providers </w:t>
      </w:r>
      <w:r w:rsidR="3D037596" w:rsidRPr="008579BE">
        <w:rPr>
          <w:spacing w:val="-2"/>
          <w:position w:val="2"/>
        </w:rPr>
        <w:t>are</w:t>
      </w:r>
      <w:r w:rsidRPr="008579BE">
        <w:rPr>
          <w:spacing w:val="-2"/>
          <w:position w:val="2"/>
        </w:rPr>
        <w:t xml:space="preserve"> required to submit a Child Safety Compliance </w:t>
      </w:r>
      <w:r w:rsidR="16C213BB">
        <w:rPr>
          <w:spacing w:val="-2"/>
          <w:position w:val="2"/>
        </w:rPr>
        <w:t xml:space="preserve">Statement </w:t>
      </w:r>
      <w:r w:rsidRPr="008579BE">
        <w:rPr>
          <w:spacing w:val="-2"/>
          <w:position w:val="2"/>
        </w:rPr>
        <w:t>to the department by 31</w:t>
      </w:r>
      <w:r w:rsidR="222262EE">
        <w:rPr>
          <w:spacing w:val="-2"/>
          <w:position w:val="2"/>
        </w:rPr>
        <w:t> </w:t>
      </w:r>
      <w:r w:rsidRPr="008579BE">
        <w:rPr>
          <w:spacing w:val="-2"/>
          <w:position w:val="2"/>
        </w:rPr>
        <w:t>March</w:t>
      </w:r>
      <w:r w:rsidR="1EA8B8F0" w:rsidRPr="008579BE">
        <w:rPr>
          <w:spacing w:val="-2"/>
          <w:position w:val="2"/>
        </w:rPr>
        <w:t xml:space="preserve"> each year</w:t>
      </w:r>
      <w:r w:rsidRPr="008579BE">
        <w:rPr>
          <w:spacing w:val="-2"/>
          <w:position w:val="2"/>
        </w:rPr>
        <w:t xml:space="preserve">. The statement of compliance reporting period is for the previous year. The department will provide a template for this purpose through the Funding Arrangement Managers (FAM). </w:t>
      </w:r>
    </w:p>
    <w:p w14:paraId="41EA7BC1" w14:textId="619426B3" w:rsidR="00596A81" w:rsidRPr="00502EC7" w:rsidRDefault="54A99EC4" w:rsidP="00CC51E3">
      <w:pPr>
        <w:spacing w:after="0"/>
        <w:ind w:left="17"/>
        <w:rPr>
          <w:rFonts w:cs="Arial"/>
        </w:rPr>
      </w:pPr>
      <w:r w:rsidRPr="00502EC7">
        <w:rPr>
          <w:rFonts w:eastAsiaTheme="minorEastAsia" w:cs="Arial"/>
        </w:rPr>
        <w:t xml:space="preserve">The Child Safety Compliance statement must include a declaration that the registered provider has delivered grant activities consistent with the Child Safety supplementary terms of the grant agreement. If a </w:t>
      </w:r>
      <w:r w:rsidR="33ADEBF8" w:rsidRPr="00502EC7">
        <w:rPr>
          <w:rFonts w:eastAsiaTheme="minorEastAsia" w:cs="Arial"/>
        </w:rPr>
        <w:t>CHSP</w:t>
      </w:r>
      <w:r w:rsidR="5C8CB62C" w:rsidRPr="00502EC7">
        <w:rPr>
          <w:rFonts w:eastAsiaTheme="minorEastAsia" w:cs="Arial"/>
        </w:rPr>
        <w:t xml:space="preserve"> registered</w:t>
      </w:r>
      <w:r w:rsidRPr="00502EC7">
        <w:rPr>
          <w:rFonts w:eastAsiaTheme="minorEastAsia" w:cs="Arial"/>
        </w:rPr>
        <w:t xml:space="preserve"> provider has not complied, they must provide a description of the non-compliance and the reasons for it.</w:t>
      </w:r>
      <w:r w:rsidRPr="00452914">
        <w:rPr>
          <w:rFonts w:eastAsiaTheme="minorEastAsia" w:cs="Arial"/>
        </w:rPr>
        <w:t xml:space="preserve"> provider has not complied, they must provide a description of the non-compliance and the reasons for it.</w:t>
      </w:r>
    </w:p>
    <w:p w14:paraId="4CC1F302" w14:textId="6D46BCA6" w:rsidR="00D37FC6" w:rsidRPr="00502EC7" w:rsidRDefault="00C056D2" w:rsidP="00CC51E3">
      <w:pPr>
        <w:spacing w:after="0"/>
        <w:ind w:left="17"/>
        <w:rPr>
          <w:rFonts w:cs="Arial"/>
          <w:spacing w:val="-2"/>
          <w:position w:val="2"/>
        </w:rPr>
      </w:pPr>
      <w:r w:rsidRPr="00502EC7">
        <w:rPr>
          <w:rFonts w:cs="Arial"/>
          <w:spacing w:val="-2"/>
          <w:position w:val="2"/>
        </w:rPr>
        <w:t xml:space="preserve">The department will liaise with the CGH to action non-compliance in accordance with this </w:t>
      </w:r>
      <w:r w:rsidR="00BF493B" w:rsidRPr="00502EC7">
        <w:rPr>
          <w:rFonts w:cs="Arial"/>
          <w:spacing w:val="-2"/>
          <w:position w:val="2"/>
        </w:rPr>
        <w:t>activity</w:t>
      </w:r>
      <w:r w:rsidRPr="00502EC7">
        <w:rPr>
          <w:rFonts w:cs="Arial"/>
          <w:spacing w:val="-2"/>
          <w:position w:val="2"/>
        </w:rPr>
        <w:t>.</w:t>
      </w:r>
    </w:p>
    <w:sectPr w:rsidR="00D37FC6" w:rsidRPr="00502EC7" w:rsidSect="00913875">
      <w:headerReference w:type="even" r:id="rId20"/>
      <w:headerReference w:type="default" r:id="rId21"/>
      <w:footerReference w:type="even" r:id="rId22"/>
      <w:footerReference w:type="default" r:id="rId23"/>
      <w:headerReference w:type="first" r:id="rId24"/>
      <w:footerReference w:type="first" r:id="rId25"/>
      <w:pgSz w:w="11906" w:h="16838"/>
      <w:pgMar w:top="1440" w:right="1133" w:bottom="1276" w:left="851" w:header="708" w:footer="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C572" w14:textId="77777777" w:rsidR="00E134B9" w:rsidRDefault="00E134B9">
      <w:pPr>
        <w:spacing w:before="0" w:after="0" w:line="240" w:lineRule="auto"/>
      </w:pPr>
      <w:r>
        <w:separator/>
      </w:r>
    </w:p>
  </w:endnote>
  <w:endnote w:type="continuationSeparator" w:id="0">
    <w:p w14:paraId="4C5E4F6E" w14:textId="77777777" w:rsidR="00E134B9" w:rsidRDefault="00E134B9">
      <w:pPr>
        <w:spacing w:before="0" w:after="0" w:line="240" w:lineRule="auto"/>
      </w:pPr>
      <w:r>
        <w:continuationSeparator/>
      </w:r>
    </w:p>
  </w:endnote>
  <w:endnote w:type="continuationNotice" w:id="1">
    <w:p w14:paraId="585D204C" w14:textId="77777777" w:rsidR="00E134B9" w:rsidRDefault="00E134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960B" w14:textId="77777777" w:rsidR="00DC5D2E" w:rsidRDefault="00DC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277880735"/>
      <w:docPartObj>
        <w:docPartGallery w:val="Page Numbers (Bottom of Page)"/>
        <w:docPartUnique/>
      </w:docPartObj>
    </w:sdtPr>
    <w:sdtEndPr>
      <w:rPr>
        <w:noProof/>
      </w:rPr>
    </w:sdtEndPr>
    <w:sdtContent>
      <w:p w14:paraId="6F66DFAC" w14:textId="39D44388" w:rsidR="002D013B" w:rsidRPr="00131E15" w:rsidRDefault="002D013B" w:rsidP="00131E15">
        <w:pPr>
          <w:pStyle w:val="Footer"/>
          <w:rPr>
            <w:sz w:val="21"/>
            <w:szCs w:val="21"/>
          </w:rPr>
        </w:pPr>
        <w:r w:rsidRPr="00131E15">
          <w:rPr>
            <w:sz w:val="21"/>
            <w:szCs w:val="21"/>
          </w:rPr>
          <w:t xml:space="preserve">Appendix </w:t>
        </w:r>
        <w:r w:rsidR="00BA2923" w:rsidRPr="00131E15">
          <w:rPr>
            <w:sz w:val="21"/>
            <w:szCs w:val="21"/>
          </w:rPr>
          <w:t>F</w:t>
        </w:r>
        <w:r w:rsidRPr="00131E15">
          <w:rPr>
            <w:sz w:val="21"/>
            <w:szCs w:val="21"/>
          </w:rPr>
          <w:t xml:space="preserve"> – CHSP Compliance Framework </w:t>
        </w:r>
        <w:r w:rsidR="266C4E29" w:rsidRPr="00131E15">
          <w:rPr>
            <w:sz w:val="21"/>
            <w:szCs w:val="21"/>
          </w:rPr>
          <w:t>2025-27</w:t>
        </w:r>
        <w:r w:rsidRPr="00131E15">
          <w:rPr>
            <w:sz w:val="21"/>
            <w:szCs w:val="21"/>
          </w:rPr>
          <w:t xml:space="preserve">                                                            </w:t>
        </w:r>
        <w:r w:rsidRPr="00131E15">
          <w:rPr>
            <w:sz w:val="21"/>
            <w:szCs w:val="21"/>
          </w:rPr>
          <w:fldChar w:fldCharType="begin"/>
        </w:r>
        <w:r w:rsidRPr="00131E15">
          <w:rPr>
            <w:sz w:val="21"/>
            <w:szCs w:val="21"/>
          </w:rPr>
          <w:instrText xml:space="preserve"> PAGE   \* MERGEFORMAT </w:instrText>
        </w:r>
        <w:r w:rsidRPr="00131E15">
          <w:rPr>
            <w:color w:val="2B579A"/>
            <w:sz w:val="21"/>
            <w:szCs w:val="21"/>
          </w:rPr>
          <w:fldChar w:fldCharType="separate"/>
        </w:r>
        <w:r w:rsidRPr="00131E15">
          <w:rPr>
            <w:sz w:val="21"/>
            <w:szCs w:val="21"/>
          </w:rPr>
          <w:t>1</w:t>
        </w:r>
        <w:r w:rsidRPr="00131E15">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13522834"/>
      <w:docPartObj>
        <w:docPartGallery w:val="Page Numbers (Bottom of Page)"/>
        <w:docPartUnique/>
      </w:docPartObj>
    </w:sdtPr>
    <w:sdtEndPr>
      <w:rPr>
        <w:noProof/>
      </w:rPr>
    </w:sdtEndPr>
    <w:sdtContent>
      <w:p w14:paraId="53D42E15" w14:textId="771F0668" w:rsidR="00900F2C" w:rsidRPr="0010406A" w:rsidRDefault="00900F2C" w:rsidP="0010406A">
        <w:pPr>
          <w:pStyle w:val="Footer"/>
          <w:rPr>
            <w:sz w:val="21"/>
            <w:szCs w:val="21"/>
          </w:rPr>
        </w:pPr>
        <w:r w:rsidRPr="0010406A">
          <w:rPr>
            <w:sz w:val="21"/>
            <w:szCs w:val="21"/>
          </w:rPr>
          <w:t xml:space="preserve">Appendix </w:t>
        </w:r>
        <w:r w:rsidR="00BA2923" w:rsidRPr="0010406A">
          <w:rPr>
            <w:sz w:val="21"/>
            <w:szCs w:val="21"/>
          </w:rPr>
          <w:t>F</w:t>
        </w:r>
        <w:r w:rsidRPr="0010406A">
          <w:rPr>
            <w:sz w:val="21"/>
            <w:szCs w:val="21"/>
          </w:rPr>
          <w:t xml:space="preserve"> – CHSP Compliance Framework </w:t>
        </w:r>
        <w:r w:rsidR="008606D2">
          <w:rPr>
            <w:sz w:val="21"/>
            <w:szCs w:val="21"/>
          </w:rPr>
          <w:t>2025-27</w:t>
        </w:r>
        <w:r w:rsidR="002D013B" w:rsidRPr="0010406A">
          <w:rPr>
            <w:sz w:val="21"/>
            <w:szCs w:val="21"/>
          </w:rPr>
          <w:t xml:space="preserve">       </w:t>
        </w:r>
        <w:r w:rsidRPr="0010406A">
          <w:rPr>
            <w:sz w:val="21"/>
            <w:szCs w:val="21"/>
          </w:rPr>
          <w:t xml:space="preserve">                    </w:t>
        </w:r>
        <w:r w:rsidR="002D013B" w:rsidRPr="0010406A">
          <w:rPr>
            <w:sz w:val="21"/>
            <w:szCs w:val="21"/>
          </w:rPr>
          <w:t xml:space="preserve">   </w:t>
        </w:r>
        <w:r w:rsidRPr="0010406A">
          <w:rPr>
            <w:sz w:val="21"/>
            <w:szCs w:val="21"/>
          </w:rPr>
          <w:t xml:space="preserve">                              </w:t>
        </w:r>
        <w:r w:rsidRPr="0010406A">
          <w:rPr>
            <w:color w:val="2B579A"/>
            <w:sz w:val="21"/>
            <w:szCs w:val="21"/>
            <w:shd w:val="clear" w:color="auto" w:fill="E6E6E6"/>
          </w:rPr>
          <w:fldChar w:fldCharType="begin"/>
        </w:r>
        <w:r w:rsidRPr="0010406A">
          <w:rPr>
            <w:sz w:val="21"/>
            <w:szCs w:val="21"/>
          </w:rPr>
          <w:instrText xml:space="preserve"> PAGE   \* MERGEFORMAT </w:instrText>
        </w:r>
        <w:r w:rsidRPr="0010406A">
          <w:rPr>
            <w:color w:val="2B579A"/>
            <w:sz w:val="21"/>
            <w:szCs w:val="21"/>
            <w:shd w:val="clear" w:color="auto" w:fill="E6E6E6"/>
          </w:rPr>
          <w:fldChar w:fldCharType="separate"/>
        </w:r>
        <w:r w:rsidRPr="0010406A">
          <w:rPr>
            <w:noProof/>
            <w:sz w:val="21"/>
            <w:szCs w:val="21"/>
          </w:rPr>
          <w:t>2</w:t>
        </w:r>
        <w:r w:rsidRPr="0010406A">
          <w:rPr>
            <w:noProof/>
            <w:color w:val="2B579A"/>
            <w:sz w:val="21"/>
            <w:szCs w:val="21"/>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B92A" w14:textId="77777777" w:rsidR="00E134B9" w:rsidRDefault="00E134B9">
      <w:pPr>
        <w:spacing w:before="0" w:after="0" w:line="240" w:lineRule="auto"/>
      </w:pPr>
      <w:r>
        <w:separator/>
      </w:r>
    </w:p>
  </w:footnote>
  <w:footnote w:type="continuationSeparator" w:id="0">
    <w:p w14:paraId="2CE51848" w14:textId="77777777" w:rsidR="00E134B9" w:rsidRDefault="00E134B9">
      <w:pPr>
        <w:spacing w:before="0" w:after="0" w:line="240" w:lineRule="auto"/>
      </w:pPr>
      <w:r>
        <w:continuationSeparator/>
      </w:r>
    </w:p>
  </w:footnote>
  <w:footnote w:type="continuationNotice" w:id="1">
    <w:p w14:paraId="3B79E683" w14:textId="77777777" w:rsidR="00E134B9" w:rsidRDefault="00E134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E474" w14:textId="77777777" w:rsidR="00DC5D2E" w:rsidRDefault="00DC5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66C4E29" w14:paraId="03F51143" w14:textId="77777777" w:rsidTr="00A21CCD">
      <w:trPr>
        <w:trHeight w:val="300"/>
      </w:trPr>
      <w:tc>
        <w:tcPr>
          <w:tcW w:w="3305" w:type="dxa"/>
        </w:tcPr>
        <w:p w14:paraId="563106F7" w14:textId="6AECC27E" w:rsidR="266C4E29" w:rsidRDefault="266C4E29" w:rsidP="00A21CCD">
          <w:pPr>
            <w:pStyle w:val="Header"/>
            <w:ind w:left="-115"/>
          </w:pPr>
        </w:p>
      </w:tc>
      <w:tc>
        <w:tcPr>
          <w:tcW w:w="3305" w:type="dxa"/>
        </w:tcPr>
        <w:p w14:paraId="50930504" w14:textId="106B37F2" w:rsidR="266C4E29" w:rsidRDefault="266C4E29" w:rsidP="00A21CCD">
          <w:pPr>
            <w:pStyle w:val="Header"/>
            <w:jc w:val="center"/>
          </w:pPr>
        </w:p>
      </w:tc>
      <w:tc>
        <w:tcPr>
          <w:tcW w:w="3305" w:type="dxa"/>
        </w:tcPr>
        <w:p w14:paraId="5B6FC989" w14:textId="2B157900" w:rsidR="266C4E29" w:rsidRDefault="266C4E29" w:rsidP="00A21CCD">
          <w:pPr>
            <w:pStyle w:val="Header"/>
            <w:ind w:right="-115"/>
            <w:jc w:val="right"/>
          </w:pPr>
        </w:p>
      </w:tc>
    </w:tr>
  </w:tbl>
  <w:p w14:paraId="4E0711B3" w14:textId="520CE1CA" w:rsidR="00254C73" w:rsidRDefault="00254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A64D" w14:textId="7BE40010" w:rsidR="00FB3833" w:rsidRDefault="00E737F6" w:rsidP="00BF509F">
    <w:pPr>
      <w:pStyle w:val="Header"/>
    </w:pPr>
    <w:r>
      <w:rPr>
        <w:noProof/>
      </w:rPr>
      <w:drawing>
        <wp:anchor distT="0" distB="0" distL="114300" distR="114300" simplePos="0" relativeHeight="251658240" behindDoc="0" locked="0" layoutInCell="1" allowOverlap="1" wp14:anchorId="3ED5B3D7" wp14:editId="5BD48A87">
          <wp:simplePos x="0" y="0"/>
          <wp:positionH relativeFrom="page">
            <wp:align>left</wp:align>
          </wp:positionH>
          <wp:positionV relativeFrom="page">
            <wp:align>top</wp:align>
          </wp:positionV>
          <wp:extent cx="7559675" cy="1981835"/>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6AD"/>
    <w:multiLevelType w:val="hybridMultilevel"/>
    <w:tmpl w:val="FFFFFFFF"/>
    <w:lvl w:ilvl="0" w:tplc="B93E015E">
      <w:start w:val="1"/>
      <w:numFmt w:val="bullet"/>
      <w:lvlText w:val=""/>
      <w:lvlJc w:val="left"/>
      <w:pPr>
        <w:ind w:left="377" w:hanging="360"/>
      </w:pPr>
      <w:rPr>
        <w:rFonts w:ascii="Symbol" w:hAnsi="Symbol" w:hint="default"/>
      </w:rPr>
    </w:lvl>
    <w:lvl w:ilvl="1" w:tplc="E894F1F4">
      <w:start w:val="1"/>
      <w:numFmt w:val="bullet"/>
      <w:lvlText w:val="o"/>
      <w:lvlJc w:val="left"/>
      <w:pPr>
        <w:ind w:left="1097" w:hanging="360"/>
      </w:pPr>
      <w:rPr>
        <w:rFonts w:ascii="Courier New" w:hAnsi="Courier New" w:hint="default"/>
      </w:rPr>
    </w:lvl>
    <w:lvl w:ilvl="2" w:tplc="9FEEF35E">
      <w:start w:val="1"/>
      <w:numFmt w:val="bullet"/>
      <w:lvlText w:val=""/>
      <w:lvlJc w:val="left"/>
      <w:pPr>
        <w:ind w:left="1817" w:hanging="360"/>
      </w:pPr>
      <w:rPr>
        <w:rFonts w:ascii="Wingdings" w:hAnsi="Wingdings" w:hint="default"/>
      </w:rPr>
    </w:lvl>
    <w:lvl w:ilvl="3" w:tplc="EC5AD3C4">
      <w:start w:val="1"/>
      <w:numFmt w:val="bullet"/>
      <w:lvlText w:val=""/>
      <w:lvlJc w:val="left"/>
      <w:pPr>
        <w:ind w:left="2537" w:hanging="360"/>
      </w:pPr>
      <w:rPr>
        <w:rFonts w:ascii="Symbol" w:hAnsi="Symbol" w:hint="default"/>
      </w:rPr>
    </w:lvl>
    <w:lvl w:ilvl="4" w:tplc="C1C66660">
      <w:start w:val="1"/>
      <w:numFmt w:val="bullet"/>
      <w:lvlText w:val="o"/>
      <w:lvlJc w:val="left"/>
      <w:pPr>
        <w:ind w:left="3257" w:hanging="360"/>
      </w:pPr>
      <w:rPr>
        <w:rFonts w:ascii="Courier New" w:hAnsi="Courier New" w:hint="default"/>
      </w:rPr>
    </w:lvl>
    <w:lvl w:ilvl="5" w:tplc="11287F08">
      <w:start w:val="1"/>
      <w:numFmt w:val="bullet"/>
      <w:lvlText w:val=""/>
      <w:lvlJc w:val="left"/>
      <w:pPr>
        <w:ind w:left="3977" w:hanging="360"/>
      </w:pPr>
      <w:rPr>
        <w:rFonts w:ascii="Wingdings" w:hAnsi="Wingdings" w:hint="default"/>
      </w:rPr>
    </w:lvl>
    <w:lvl w:ilvl="6" w:tplc="C1A428BA">
      <w:start w:val="1"/>
      <w:numFmt w:val="bullet"/>
      <w:lvlText w:val=""/>
      <w:lvlJc w:val="left"/>
      <w:pPr>
        <w:ind w:left="4697" w:hanging="360"/>
      </w:pPr>
      <w:rPr>
        <w:rFonts w:ascii="Symbol" w:hAnsi="Symbol" w:hint="default"/>
      </w:rPr>
    </w:lvl>
    <w:lvl w:ilvl="7" w:tplc="D102BDF6">
      <w:start w:val="1"/>
      <w:numFmt w:val="bullet"/>
      <w:lvlText w:val="o"/>
      <w:lvlJc w:val="left"/>
      <w:pPr>
        <w:ind w:left="5417" w:hanging="360"/>
      </w:pPr>
      <w:rPr>
        <w:rFonts w:ascii="Courier New" w:hAnsi="Courier New" w:hint="default"/>
      </w:rPr>
    </w:lvl>
    <w:lvl w:ilvl="8" w:tplc="3670EE7A">
      <w:start w:val="1"/>
      <w:numFmt w:val="bullet"/>
      <w:lvlText w:val=""/>
      <w:lvlJc w:val="left"/>
      <w:pPr>
        <w:ind w:left="6137" w:hanging="360"/>
      </w:pPr>
      <w:rPr>
        <w:rFonts w:ascii="Wingdings" w:hAnsi="Wingdings" w:hint="default"/>
      </w:rPr>
    </w:lvl>
  </w:abstractNum>
  <w:abstractNum w:abstractNumId="1" w15:restartNumberingAfterBreak="0">
    <w:nsid w:val="0E5C1AC8"/>
    <w:multiLevelType w:val="hybridMultilevel"/>
    <w:tmpl w:val="5B62233E"/>
    <w:lvl w:ilvl="0" w:tplc="0C090001">
      <w:start w:val="1"/>
      <w:numFmt w:val="bullet"/>
      <w:lvlText w:val=""/>
      <w:lvlJc w:val="left"/>
      <w:pPr>
        <w:ind w:left="802" w:hanging="360"/>
      </w:pPr>
      <w:rPr>
        <w:rFonts w:ascii="Symbol" w:hAnsi="Symbol" w:hint="default"/>
      </w:rPr>
    </w:lvl>
    <w:lvl w:ilvl="1" w:tplc="0C090003" w:tentative="1">
      <w:start w:val="1"/>
      <w:numFmt w:val="bullet"/>
      <w:lvlText w:val="o"/>
      <w:lvlJc w:val="left"/>
      <w:pPr>
        <w:ind w:left="1522" w:hanging="360"/>
      </w:pPr>
      <w:rPr>
        <w:rFonts w:ascii="Courier New" w:hAnsi="Courier New" w:cs="Courier New"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2" w15:restartNumberingAfterBreak="0">
    <w:nsid w:val="130301AB"/>
    <w:multiLevelType w:val="hybridMultilevel"/>
    <w:tmpl w:val="31E69280"/>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3" w15:restartNumberingAfterBreak="0">
    <w:nsid w:val="214F136C"/>
    <w:multiLevelType w:val="hybridMultilevel"/>
    <w:tmpl w:val="B2F02B8E"/>
    <w:lvl w:ilvl="0" w:tplc="0C090001">
      <w:start w:val="1"/>
      <w:numFmt w:val="bullet"/>
      <w:lvlText w:val=""/>
      <w:lvlJc w:val="left"/>
      <w:pPr>
        <w:ind w:left="803" w:hanging="360"/>
      </w:pPr>
      <w:rPr>
        <w:rFonts w:ascii="Symbol" w:hAnsi="Symbol" w:hint="default"/>
      </w:rPr>
    </w:lvl>
    <w:lvl w:ilvl="1" w:tplc="0C090003" w:tentative="1">
      <w:start w:val="1"/>
      <w:numFmt w:val="bullet"/>
      <w:lvlText w:val="o"/>
      <w:lvlJc w:val="left"/>
      <w:pPr>
        <w:ind w:left="1523" w:hanging="360"/>
      </w:pPr>
      <w:rPr>
        <w:rFonts w:ascii="Courier New" w:hAnsi="Courier New" w:cs="Courier New" w:hint="default"/>
      </w:rPr>
    </w:lvl>
    <w:lvl w:ilvl="2" w:tplc="0C090005" w:tentative="1">
      <w:start w:val="1"/>
      <w:numFmt w:val="bullet"/>
      <w:lvlText w:val=""/>
      <w:lvlJc w:val="left"/>
      <w:pPr>
        <w:ind w:left="2243" w:hanging="360"/>
      </w:pPr>
      <w:rPr>
        <w:rFonts w:ascii="Wingdings" w:hAnsi="Wingdings" w:hint="default"/>
      </w:rPr>
    </w:lvl>
    <w:lvl w:ilvl="3" w:tplc="0C090001" w:tentative="1">
      <w:start w:val="1"/>
      <w:numFmt w:val="bullet"/>
      <w:lvlText w:val=""/>
      <w:lvlJc w:val="left"/>
      <w:pPr>
        <w:ind w:left="2963" w:hanging="360"/>
      </w:pPr>
      <w:rPr>
        <w:rFonts w:ascii="Symbol" w:hAnsi="Symbol" w:hint="default"/>
      </w:rPr>
    </w:lvl>
    <w:lvl w:ilvl="4" w:tplc="0C090003" w:tentative="1">
      <w:start w:val="1"/>
      <w:numFmt w:val="bullet"/>
      <w:lvlText w:val="o"/>
      <w:lvlJc w:val="left"/>
      <w:pPr>
        <w:ind w:left="3683" w:hanging="360"/>
      </w:pPr>
      <w:rPr>
        <w:rFonts w:ascii="Courier New" w:hAnsi="Courier New" w:cs="Courier New" w:hint="default"/>
      </w:rPr>
    </w:lvl>
    <w:lvl w:ilvl="5" w:tplc="0C090005" w:tentative="1">
      <w:start w:val="1"/>
      <w:numFmt w:val="bullet"/>
      <w:lvlText w:val=""/>
      <w:lvlJc w:val="left"/>
      <w:pPr>
        <w:ind w:left="4403" w:hanging="360"/>
      </w:pPr>
      <w:rPr>
        <w:rFonts w:ascii="Wingdings" w:hAnsi="Wingdings" w:hint="default"/>
      </w:rPr>
    </w:lvl>
    <w:lvl w:ilvl="6" w:tplc="0C090001" w:tentative="1">
      <w:start w:val="1"/>
      <w:numFmt w:val="bullet"/>
      <w:lvlText w:val=""/>
      <w:lvlJc w:val="left"/>
      <w:pPr>
        <w:ind w:left="5123" w:hanging="360"/>
      </w:pPr>
      <w:rPr>
        <w:rFonts w:ascii="Symbol" w:hAnsi="Symbol" w:hint="default"/>
      </w:rPr>
    </w:lvl>
    <w:lvl w:ilvl="7" w:tplc="0C090003" w:tentative="1">
      <w:start w:val="1"/>
      <w:numFmt w:val="bullet"/>
      <w:lvlText w:val="o"/>
      <w:lvlJc w:val="left"/>
      <w:pPr>
        <w:ind w:left="5843" w:hanging="360"/>
      </w:pPr>
      <w:rPr>
        <w:rFonts w:ascii="Courier New" w:hAnsi="Courier New" w:cs="Courier New" w:hint="default"/>
      </w:rPr>
    </w:lvl>
    <w:lvl w:ilvl="8" w:tplc="0C090005" w:tentative="1">
      <w:start w:val="1"/>
      <w:numFmt w:val="bullet"/>
      <w:lvlText w:val=""/>
      <w:lvlJc w:val="left"/>
      <w:pPr>
        <w:ind w:left="6563" w:hanging="360"/>
      </w:pPr>
      <w:rPr>
        <w:rFonts w:ascii="Wingdings" w:hAnsi="Wingdings" w:hint="default"/>
      </w:rPr>
    </w:lvl>
  </w:abstractNum>
  <w:abstractNum w:abstractNumId="4" w15:restartNumberingAfterBreak="0">
    <w:nsid w:val="29C22EA6"/>
    <w:multiLevelType w:val="hybridMultilevel"/>
    <w:tmpl w:val="8BA84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E3706D"/>
    <w:multiLevelType w:val="hybridMultilevel"/>
    <w:tmpl w:val="8E78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66035"/>
    <w:multiLevelType w:val="hybridMultilevel"/>
    <w:tmpl w:val="183C19B2"/>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7" w15:restartNumberingAfterBreak="0">
    <w:nsid w:val="459B1713"/>
    <w:multiLevelType w:val="hybridMultilevel"/>
    <w:tmpl w:val="DDA6A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CC5FC4"/>
    <w:multiLevelType w:val="hybridMultilevel"/>
    <w:tmpl w:val="FEA24FF2"/>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9" w15:restartNumberingAfterBreak="0">
    <w:nsid w:val="55CC31E7"/>
    <w:multiLevelType w:val="hybridMultilevel"/>
    <w:tmpl w:val="3ECEF030"/>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0" w15:restartNumberingAfterBreak="0">
    <w:nsid w:val="64457CD1"/>
    <w:multiLevelType w:val="hybridMultilevel"/>
    <w:tmpl w:val="5E02FAE2"/>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648801E1"/>
    <w:multiLevelType w:val="hybridMultilevel"/>
    <w:tmpl w:val="9280E578"/>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2" w15:restartNumberingAfterBreak="0">
    <w:nsid w:val="663003F1"/>
    <w:multiLevelType w:val="hybridMultilevel"/>
    <w:tmpl w:val="D86655A2"/>
    <w:lvl w:ilvl="0" w:tplc="08AC1736">
      <w:start w:val="1"/>
      <w:numFmt w:val="bullet"/>
      <w:lvlText w:val=""/>
      <w:lvlJc w:val="left"/>
      <w:pPr>
        <w:ind w:left="717" w:hanging="360"/>
      </w:pPr>
      <w:rPr>
        <w:rFonts w:ascii="Symbol" w:hAnsi="Symbol" w:hint="default"/>
        <w:sz w:val="22"/>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6E9F1026"/>
    <w:multiLevelType w:val="hybridMultilevel"/>
    <w:tmpl w:val="73B2FF6C"/>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4" w15:restartNumberingAfterBreak="0">
    <w:nsid w:val="73960A13"/>
    <w:multiLevelType w:val="multilevel"/>
    <w:tmpl w:val="4FB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1704E"/>
    <w:multiLevelType w:val="hybridMultilevel"/>
    <w:tmpl w:val="499C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507984">
    <w:abstractNumId w:val="0"/>
  </w:num>
  <w:num w:numId="2" w16cid:durableId="755781368">
    <w:abstractNumId w:val="12"/>
  </w:num>
  <w:num w:numId="3" w16cid:durableId="1058624409">
    <w:abstractNumId w:val="15"/>
  </w:num>
  <w:num w:numId="4" w16cid:durableId="1469199244">
    <w:abstractNumId w:val="4"/>
  </w:num>
  <w:num w:numId="5" w16cid:durableId="1145395050">
    <w:abstractNumId w:val="13"/>
  </w:num>
  <w:num w:numId="6" w16cid:durableId="1752507519">
    <w:abstractNumId w:val="6"/>
  </w:num>
  <w:num w:numId="7" w16cid:durableId="298808277">
    <w:abstractNumId w:val="2"/>
  </w:num>
  <w:num w:numId="8" w16cid:durableId="417530736">
    <w:abstractNumId w:val="3"/>
  </w:num>
  <w:num w:numId="9" w16cid:durableId="838349422">
    <w:abstractNumId w:val="11"/>
  </w:num>
  <w:num w:numId="10" w16cid:durableId="1269191373">
    <w:abstractNumId w:val="8"/>
  </w:num>
  <w:num w:numId="11" w16cid:durableId="956067270">
    <w:abstractNumId w:val="1"/>
  </w:num>
  <w:num w:numId="12" w16cid:durableId="1045638521">
    <w:abstractNumId w:val="5"/>
  </w:num>
  <w:num w:numId="13" w16cid:durableId="1772511421">
    <w:abstractNumId w:val="14"/>
  </w:num>
  <w:num w:numId="14" w16cid:durableId="568468494">
    <w:abstractNumId w:val="10"/>
  </w:num>
  <w:num w:numId="15" w16cid:durableId="576134467">
    <w:abstractNumId w:val="7"/>
  </w:num>
  <w:num w:numId="16" w16cid:durableId="920607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33"/>
    <w:rsid w:val="0000713E"/>
    <w:rsid w:val="00007260"/>
    <w:rsid w:val="00007306"/>
    <w:rsid w:val="000129B6"/>
    <w:rsid w:val="000135C1"/>
    <w:rsid w:val="00016B34"/>
    <w:rsid w:val="00020E9E"/>
    <w:rsid w:val="000241EE"/>
    <w:rsid w:val="00036ECC"/>
    <w:rsid w:val="00045EA3"/>
    <w:rsid w:val="000474E5"/>
    <w:rsid w:val="000511C4"/>
    <w:rsid w:val="0005328D"/>
    <w:rsid w:val="00057F0F"/>
    <w:rsid w:val="000618F0"/>
    <w:rsid w:val="000624F8"/>
    <w:rsid w:val="00070003"/>
    <w:rsid w:val="000724B0"/>
    <w:rsid w:val="0007295D"/>
    <w:rsid w:val="00072CB7"/>
    <w:rsid w:val="00076E64"/>
    <w:rsid w:val="000778FF"/>
    <w:rsid w:val="000810A6"/>
    <w:rsid w:val="0008174F"/>
    <w:rsid w:val="000843E2"/>
    <w:rsid w:val="0008559E"/>
    <w:rsid w:val="00086251"/>
    <w:rsid w:val="00087074"/>
    <w:rsid w:val="00092A62"/>
    <w:rsid w:val="000A1B07"/>
    <w:rsid w:val="000A231B"/>
    <w:rsid w:val="000A3E07"/>
    <w:rsid w:val="000A4CB7"/>
    <w:rsid w:val="000A5C8F"/>
    <w:rsid w:val="000A5FAD"/>
    <w:rsid w:val="000B1E8F"/>
    <w:rsid w:val="000B21E1"/>
    <w:rsid w:val="000B28C1"/>
    <w:rsid w:val="000B42D6"/>
    <w:rsid w:val="000B5F26"/>
    <w:rsid w:val="000C2A68"/>
    <w:rsid w:val="000C6593"/>
    <w:rsid w:val="000D0B87"/>
    <w:rsid w:val="000D0F5B"/>
    <w:rsid w:val="000D11C8"/>
    <w:rsid w:val="000D1428"/>
    <w:rsid w:val="000D5362"/>
    <w:rsid w:val="000D78EA"/>
    <w:rsid w:val="000E0936"/>
    <w:rsid w:val="000E27AC"/>
    <w:rsid w:val="000E60BE"/>
    <w:rsid w:val="000F18A3"/>
    <w:rsid w:val="000F2414"/>
    <w:rsid w:val="000F2904"/>
    <w:rsid w:val="00101A37"/>
    <w:rsid w:val="001023CA"/>
    <w:rsid w:val="00102500"/>
    <w:rsid w:val="00102947"/>
    <w:rsid w:val="0010406A"/>
    <w:rsid w:val="00107BC2"/>
    <w:rsid w:val="00113B16"/>
    <w:rsid w:val="00125433"/>
    <w:rsid w:val="00131E15"/>
    <w:rsid w:val="00140541"/>
    <w:rsid w:val="00142B59"/>
    <w:rsid w:val="00142F57"/>
    <w:rsid w:val="00143B6E"/>
    <w:rsid w:val="00143BB4"/>
    <w:rsid w:val="00143E4D"/>
    <w:rsid w:val="00145656"/>
    <w:rsid w:val="0015420C"/>
    <w:rsid w:val="001577A8"/>
    <w:rsid w:val="00161E10"/>
    <w:rsid w:val="00162A8F"/>
    <w:rsid w:val="00164434"/>
    <w:rsid w:val="00164EFA"/>
    <w:rsid w:val="0016523A"/>
    <w:rsid w:val="0016745A"/>
    <w:rsid w:val="001729B9"/>
    <w:rsid w:val="0017477E"/>
    <w:rsid w:val="0018012C"/>
    <w:rsid w:val="00184620"/>
    <w:rsid w:val="00186455"/>
    <w:rsid w:val="00186FE0"/>
    <w:rsid w:val="00191982"/>
    <w:rsid w:val="00193E13"/>
    <w:rsid w:val="001A09ED"/>
    <w:rsid w:val="001A11E0"/>
    <w:rsid w:val="001A1A80"/>
    <w:rsid w:val="001B6C5E"/>
    <w:rsid w:val="001B722B"/>
    <w:rsid w:val="001C53B3"/>
    <w:rsid w:val="001C5BCF"/>
    <w:rsid w:val="001D1586"/>
    <w:rsid w:val="001D25C4"/>
    <w:rsid w:val="001D63A5"/>
    <w:rsid w:val="001D78A3"/>
    <w:rsid w:val="001D7BB3"/>
    <w:rsid w:val="001E03D0"/>
    <w:rsid w:val="001E2AB6"/>
    <w:rsid w:val="001E4FDC"/>
    <w:rsid w:val="001F2036"/>
    <w:rsid w:val="001F51E6"/>
    <w:rsid w:val="002036D5"/>
    <w:rsid w:val="00210F3C"/>
    <w:rsid w:val="00212A00"/>
    <w:rsid w:val="00212FEB"/>
    <w:rsid w:val="0021629D"/>
    <w:rsid w:val="00216D1D"/>
    <w:rsid w:val="002179A9"/>
    <w:rsid w:val="00222FD3"/>
    <w:rsid w:val="00230D39"/>
    <w:rsid w:val="0023130C"/>
    <w:rsid w:val="00231F07"/>
    <w:rsid w:val="002339AE"/>
    <w:rsid w:val="00235245"/>
    <w:rsid w:val="00235796"/>
    <w:rsid w:val="00240A06"/>
    <w:rsid w:val="00241E11"/>
    <w:rsid w:val="00244291"/>
    <w:rsid w:val="002462A6"/>
    <w:rsid w:val="00246692"/>
    <w:rsid w:val="00254440"/>
    <w:rsid w:val="00254C73"/>
    <w:rsid w:val="00264F74"/>
    <w:rsid w:val="00267FE5"/>
    <w:rsid w:val="0027148F"/>
    <w:rsid w:val="00272B10"/>
    <w:rsid w:val="00273A3B"/>
    <w:rsid w:val="00275D57"/>
    <w:rsid w:val="002774BB"/>
    <w:rsid w:val="002801D0"/>
    <w:rsid w:val="00280B29"/>
    <w:rsid w:val="00281BF6"/>
    <w:rsid w:val="00287C38"/>
    <w:rsid w:val="00290CA0"/>
    <w:rsid w:val="0029597B"/>
    <w:rsid w:val="002970D1"/>
    <w:rsid w:val="002A086A"/>
    <w:rsid w:val="002A180E"/>
    <w:rsid w:val="002A32A0"/>
    <w:rsid w:val="002A4223"/>
    <w:rsid w:val="002A5D26"/>
    <w:rsid w:val="002A758A"/>
    <w:rsid w:val="002A7C19"/>
    <w:rsid w:val="002B0E7F"/>
    <w:rsid w:val="002B3544"/>
    <w:rsid w:val="002B359F"/>
    <w:rsid w:val="002C0F58"/>
    <w:rsid w:val="002C18B8"/>
    <w:rsid w:val="002C3D13"/>
    <w:rsid w:val="002C43FA"/>
    <w:rsid w:val="002C469B"/>
    <w:rsid w:val="002C5E41"/>
    <w:rsid w:val="002C6B62"/>
    <w:rsid w:val="002D013B"/>
    <w:rsid w:val="002D2549"/>
    <w:rsid w:val="002D2B63"/>
    <w:rsid w:val="002D3590"/>
    <w:rsid w:val="002D47C6"/>
    <w:rsid w:val="002D704E"/>
    <w:rsid w:val="002E6887"/>
    <w:rsid w:val="002F2D4A"/>
    <w:rsid w:val="002F33ED"/>
    <w:rsid w:val="00300B63"/>
    <w:rsid w:val="0031011E"/>
    <w:rsid w:val="00314056"/>
    <w:rsid w:val="003150DE"/>
    <w:rsid w:val="00321181"/>
    <w:rsid w:val="00322560"/>
    <w:rsid w:val="00323136"/>
    <w:rsid w:val="0032377E"/>
    <w:rsid w:val="00330240"/>
    <w:rsid w:val="00332C8F"/>
    <w:rsid w:val="00334188"/>
    <w:rsid w:val="003349F8"/>
    <w:rsid w:val="00341B6A"/>
    <w:rsid w:val="00350296"/>
    <w:rsid w:val="00350916"/>
    <w:rsid w:val="00351693"/>
    <w:rsid w:val="00352FC7"/>
    <w:rsid w:val="00357B03"/>
    <w:rsid w:val="00360E61"/>
    <w:rsid w:val="003630F1"/>
    <w:rsid w:val="00364C30"/>
    <w:rsid w:val="00370771"/>
    <w:rsid w:val="00371B29"/>
    <w:rsid w:val="00374D83"/>
    <w:rsid w:val="00387667"/>
    <w:rsid w:val="00391F3E"/>
    <w:rsid w:val="00393689"/>
    <w:rsid w:val="003A519C"/>
    <w:rsid w:val="003A7087"/>
    <w:rsid w:val="003A75FA"/>
    <w:rsid w:val="003A763A"/>
    <w:rsid w:val="003A7A02"/>
    <w:rsid w:val="003B00E0"/>
    <w:rsid w:val="003B16D2"/>
    <w:rsid w:val="003B243B"/>
    <w:rsid w:val="003B4307"/>
    <w:rsid w:val="003B5E67"/>
    <w:rsid w:val="003B5F77"/>
    <w:rsid w:val="003C2FD4"/>
    <w:rsid w:val="003C3162"/>
    <w:rsid w:val="003C3995"/>
    <w:rsid w:val="003C5E82"/>
    <w:rsid w:val="003D1798"/>
    <w:rsid w:val="003D2267"/>
    <w:rsid w:val="003D3AE2"/>
    <w:rsid w:val="003D7846"/>
    <w:rsid w:val="003E2CF5"/>
    <w:rsid w:val="003E4794"/>
    <w:rsid w:val="003F1031"/>
    <w:rsid w:val="003F111F"/>
    <w:rsid w:val="003F1BC2"/>
    <w:rsid w:val="003F2CF1"/>
    <w:rsid w:val="003F436A"/>
    <w:rsid w:val="003F515E"/>
    <w:rsid w:val="003F690D"/>
    <w:rsid w:val="00405283"/>
    <w:rsid w:val="0041216A"/>
    <w:rsid w:val="004137D5"/>
    <w:rsid w:val="004219B2"/>
    <w:rsid w:val="00423136"/>
    <w:rsid w:val="00423C90"/>
    <w:rsid w:val="00427567"/>
    <w:rsid w:val="00430F48"/>
    <w:rsid w:val="0043107E"/>
    <w:rsid w:val="00435F30"/>
    <w:rsid w:val="00436C44"/>
    <w:rsid w:val="00442D19"/>
    <w:rsid w:val="004440DA"/>
    <w:rsid w:val="00445B14"/>
    <w:rsid w:val="00447929"/>
    <w:rsid w:val="00452914"/>
    <w:rsid w:val="00456150"/>
    <w:rsid w:val="0045698E"/>
    <w:rsid w:val="004570C2"/>
    <w:rsid w:val="004617A0"/>
    <w:rsid w:val="00461D65"/>
    <w:rsid w:val="00462B6C"/>
    <w:rsid w:val="004639AD"/>
    <w:rsid w:val="00464FE4"/>
    <w:rsid w:val="00471E42"/>
    <w:rsid w:val="00474736"/>
    <w:rsid w:val="00474FE6"/>
    <w:rsid w:val="00475727"/>
    <w:rsid w:val="004833CE"/>
    <w:rsid w:val="00483465"/>
    <w:rsid w:val="00491155"/>
    <w:rsid w:val="00495FC9"/>
    <w:rsid w:val="004A13F6"/>
    <w:rsid w:val="004A20DA"/>
    <w:rsid w:val="004A38A8"/>
    <w:rsid w:val="004B052D"/>
    <w:rsid w:val="004B1C0F"/>
    <w:rsid w:val="004B24E9"/>
    <w:rsid w:val="004B28C1"/>
    <w:rsid w:val="004B2CE0"/>
    <w:rsid w:val="004B2FAC"/>
    <w:rsid w:val="004B537A"/>
    <w:rsid w:val="004C120A"/>
    <w:rsid w:val="004C1C14"/>
    <w:rsid w:val="004C4F63"/>
    <w:rsid w:val="004E20F7"/>
    <w:rsid w:val="004E28FC"/>
    <w:rsid w:val="004E4969"/>
    <w:rsid w:val="004F0CDB"/>
    <w:rsid w:val="004F11F6"/>
    <w:rsid w:val="004F49B1"/>
    <w:rsid w:val="005022C5"/>
    <w:rsid w:val="005023A6"/>
    <w:rsid w:val="00502EC7"/>
    <w:rsid w:val="00503331"/>
    <w:rsid w:val="00511512"/>
    <w:rsid w:val="00511E3B"/>
    <w:rsid w:val="005124BF"/>
    <w:rsid w:val="00512C74"/>
    <w:rsid w:val="00513337"/>
    <w:rsid w:val="00521404"/>
    <w:rsid w:val="00524971"/>
    <w:rsid w:val="00524E76"/>
    <w:rsid w:val="00524EC6"/>
    <w:rsid w:val="005273B0"/>
    <w:rsid w:val="0053201F"/>
    <w:rsid w:val="0053343D"/>
    <w:rsid w:val="00536DB3"/>
    <w:rsid w:val="0054123A"/>
    <w:rsid w:val="005417B3"/>
    <w:rsid w:val="00545CB3"/>
    <w:rsid w:val="00546B72"/>
    <w:rsid w:val="00546F4D"/>
    <w:rsid w:val="005503E0"/>
    <w:rsid w:val="0055673B"/>
    <w:rsid w:val="00565068"/>
    <w:rsid w:val="0056558C"/>
    <w:rsid w:val="00566E60"/>
    <w:rsid w:val="00567766"/>
    <w:rsid w:val="00567C09"/>
    <w:rsid w:val="00571008"/>
    <w:rsid w:val="005711C0"/>
    <w:rsid w:val="005731FE"/>
    <w:rsid w:val="00573A1D"/>
    <w:rsid w:val="0057794E"/>
    <w:rsid w:val="00590018"/>
    <w:rsid w:val="005947D0"/>
    <w:rsid w:val="00596A81"/>
    <w:rsid w:val="005A01DC"/>
    <w:rsid w:val="005A164A"/>
    <w:rsid w:val="005B0A1F"/>
    <w:rsid w:val="005B29FA"/>
    <w:rsid w:val="005C0149"/>
    <w:rsid w:val="005C1AD2"/>
    <w:rsid w:val="005C5C92"/>
    <w:rsid w:val="005D12B2"/>
    <w:rsid w:val="005D4367"/>
    <w:rsid w:val="005D4C3C"/>
    <w:rsid w:val="005D4DC9"/>
    <w:rsid w:val="005E0572"/>
    <w:rsid w:val="005E1985"/>
    <w:rsid w:val="005E6AEF"/>
    <w:rsid w:val="005F1A06"/>
    <w:rsid w:val="00603910"/>
    <w:rsid w:val="00606DA9"/>
    <w:rsid w:val="00607E3F"/>
    <w:rsid w:val="00614406"/>
    <w:rsid w:val="00621D35"/>
    <w:rsid w:val="0062304B"/>
    <w:rsid w:val="00623E29"/>
    <w:rsid w:val="00624BDD"/>
    <w:rsid w:val="0063129A"/>
    <w:rsid w:val="00632F89"/>
    <w:rsid w:val="0063555D"/>
    <w:rsid w:val="00637BF4"/>
    <w:rsid w:val="00640482"/>
    <w:rsid w:val="00640B1B"/>
    <w:rsid w:val="00640D71"/>
    <w:rsid w:val="00641F3C"/>
    <w:rsid w:val="00642376"/>
    <w:rsid w:val="00643184"/>
    <w:rsid w:val="00644B72"/>
    <w:rsid w:val="00645B97"/>
    <w:rsid w:val="00645DE6"/>
    <w:rsid w:val="00652A1E"/>
    <w:rsid w:val="0065799A"/>
    <w:rsid w:val="00657CCC"/>
    <w:rsid w:val="006611E3"/>
    <w:rsid w:val="0066254B"/>
    <w:rsid w:val="00664514"/>
    <w:rsid w:val="0066758A"/>
    <w:rsid w:val="0067022F"/>
    <w:rsid w:val="00671D89"/>
    <w:rsid w:val="00672702"/>
    <w:rsid w:val="006749F4"/>
    <w:rsid w:val="0067640A"/>
    <w:rsid w:val="006811FA"/>
    <w:rsid w:val="00682EE6"/>
    <w:rsid w:val="00683F33"/>
    <w:rsid w:val="006874C2"/>
    <w:rsid w:val="006906DB"/>
    <w:rsid w:val="00690A98"/>
    <w:rsid w:val="006929E3"/>
    <w:rsid w:val="00693331"/>
    <w:rsid w:val="00694EB9"/>
    <w:rsid w:val="00694F36"/>
    <w:rsid w:val="00697D8E"/>
    <w:rsid w:val="006A7E61"/>
    <w:rsid w:val="006B2C8C"/>
    <w:rsid w:val="006B4283"/>
    <w:rsid w:val="006B5CB3"/>
    <w:rsid w:val="006B74E4"/>
    <w:rsid w:val="006B7955"/>
    <w:rsid w:val="006C01CB"/>
    <w:rsid w:val="006C06C5"/>
    <w:rsid w:val="006C0C65"/>
    <w:rsid w:val="006C45C1"/>
    <w:rsid w:val="006C4D43"/>
    <w:rsid w:val="006C59A5"/>
    <w:rsid w:val="006C5E1C"/>
    <w:rsid w:val="006D6D56"/>
    <w:rsid w:val="006E1A02"/>
    <w:rsid w:val="006E59FB"/>
    <w:rsid w:val="006F0764"/>
    <w:rsid w:val="006F6E19"/>
    <w:rsid w:val="007024A7"/>
    <w:rsid w:val="00703373"/>
    <w:rsid w:val="0070490C"/>
    <w:rsid w:val="007049FC"/>
    <w:rsid w:val="00704D22"/>
    <w:rsid w:val="0070517A"/>
    <w:rsid w:val="0070665F"/>
    <w:rsid w:val="007103AB"/>
    <w:rsid w:val="0071083D"/>
    <w:rsid w:val="0071104F"/>
    <w:rsid w:val="00715A1D"/>
    <w:rsid w:val="00717333"/>
    <w:rsid w:val="00720477"/>
    <w:rsid w:val="007221FF"/>
    <w:rsid w:val="00725C7A"/>
    <w:rsid w:val="007330D0"/>
    <w:rsid w:val="007347F1"/>
    <w:rsid w:val="007379F3"/>
    <w:rsid w:val="007526B2"/>
    <w:rsid w:val="00753719"/>
    <w:rsid w:val="00756AC5"/>
    <w:rsid w:val="00770260"/>
    <w:rsid w:val="007725EF"/>
    <w:rsid w:val="00772933"/>
    <w:rsid w:val="00781151"/>
    <w:rsid w:val="007814EE"/>
    <w:rsid w:val="00781CD7"/>
    <w:rsid w:val="007820CA"/>
    <w:rsid w:val="0078280C"/>
    <w:rsid w:val="0078309B"/>
    <w:rsid w:val="00783BA6"/>
    <w:rsid w:val="0078791D"/>
    <w:rsid w:val="00790425"/>
    <w:rsid w:val="0079364F"/>
    <w:rsid w:val="00796E0E"/>
    <w:rsid w:val="007A3BAF"/>
    <w:rsid w:val="007A6C53"/>
    <w:rsid w:val="007B1F5F"/>
    <w:rsid w:val="007B5FE3"/>
    <w:rsid w:val="007B6010"/>
    <w:rsid w:val="007C1766"/>
    <w:rsid w:val="007C1B0F"/>
    <w:rsid w:val="007C3C2F"/>
    <w:rsid w:val="007D4829"/>
    <w:rsid w:val="007D49C6"/>
    <w:rsid w:val="007E4AE7"/>
    <w:rsid w:val="007E4AEA"/>
    <w:rsid w:val="007E560A"/>
    <w:rsid w:val="00805C11"/>
    <w:rsid w:val="008160F8"/>
    <w:rsid w:val="00817AE8"/>
    <w:rsid w:val="00820C14"/>
    <w:rsid w:val="0082152F"/>
    <w:rsid w:val="0082368D"/>
    <w:rsid w:val="00824496"/>
    <w:rsid w:val="00826FB7"/>
    <w:rsid w:val="008439E9"/>
    <w:rsid w:val="00846902"/>
    <w:rsid w:val="00846B0C"/>
    <w:rsid w:val="008516C7"/>
    <w:rsid w:val="00855B7E"/>
    <w:rsid w:val="008579BE"/>
    <w:rsid w:val="00860167"/>
    <w:rsid w:val="008606D2"/>
    <w:rsid w:val="00863DA6"/>
    <w:rsid w:val="00866C76"/>
    <w:rsid w:val="0087632E"/>
    <w:rsid w:val="00877AF8"/>
    <w:rsid w:val="0088539B"/>
    <w:rsid w:val="00885666"/>
    <w:rsid w:val="008862C6"/>
    <w:rsid w:val="00887264"/>
    <w:rsid w:val="008913A4"/>
    <w:rsid w:val="008957D3"/>
    <w:rsid w:val="00895951"/>
    <w:rsid w:val="00897730"/>
    <w:rsid w:val="008A13F8"/>
    <w:rsid w:val="008A22CA"/>
    <w:rsid w:val="008A37E4"/>
    <w:rsid w:val="008A495C"/>
    <w:rsid w:val="008A4AC0"/>
    <w:rsid w:val="008B0FEF"/>
    <w:rsid w:val="008C31FD"/>
    <w:rsid w:val="008D442A"/>
    <w:rsid w:val="008D56A4"/>
    <w:rsid w:val="008D5BC0"/>
    <w:rsid w:val="008E2555"/>
    <w:rsid w:val="008E57F0"/>
    <w:rsid w:val="008F29E3"/>
    <w:rsid w:val="008F6672"/>
    <w:rsid w:val="00900F2C"/>
    <w:rsid w:val="0090205A"/>
    <w:rsid w:val="00902730"/>
    <w:rsid w:val="009101A6"/>
    <w:rsid w:val="0091113D"/>
    <w:rsid w:val="0091168C"/>
    <w:rsid w:val="00913875"/>
    <w:rsid w:val="00920DC2"/>
    <w:rsid w:val="0092733F"/>
    <w:rsid w:val="00933719"/>
    <w:rsid w:val="0093675B"/>
    <w:rsid w:val="00941086"/>
    <w:rsid w:val="009425C3"/>
    <w:rsid w:val="009430FE"/>
    <w:rsid w:val="0094625F"/>
    <w:rsid w:val="00963930"/>
    <w:rsid w:val="00964251"/>
    <w:rsid w:val="00964956"/>
    <w:rsid w:val="00970981"/>
    <w:rsid w:val="0097397D"/>
    <w:rsid w:val="009807DC"/>
    <w:rsid w:val="00994B17"/>
    <w:rsid w:val="00994DB1"/>
    <w:rsid w:val="00996682"/>
    <w:rsid w:val="009B020A"/>
    <w:rsid w:val="009B0693"/>
    <w:rsid w:val="009B408E"/>
    <w:rsid w:val="009C08E4"/>
    <w:rsid w:val="009D016C"/>
    <w:rsid w:val="009D0D38"/>
    <w:rsid w:val="009D16DE"/>
    <w:rsid w:val="009D19DD"/>
    <w:rsid w:val="009D2055"/>
    <w:rsid w:val="009D4673"/>
    <w:rsid w:val="009D49C0"/>
    <w:rsid w:val="009D4A0E"/>
    <w:rsid w:val="009D609D"/>
    <w:rsid w:val="009E0935"/>
    <w:rsid w:val="009E1EC0"/>
    <w:rsid w:val="009E32C5"/>
    <w:rsid w:val="009E65B2"/>
    <w:rsid w:val="009E732F"/>
    <w:rsid w:val="009F4E79"/>
    <w:rsid w:val="009F5066"/>
    <w:rsid w:val="009F5BAB"/>
    <w:rsid w:val="009F7846"/>
    <w:rsid w:val="00A07586"/>
    <w:rsid w:val="00A1549C"/>
    <w:rsid w:val="00A17538"/>
    <w:rsid w:val="00A21CCD"/>
    <w:rsid w:val="00A231AB"/>
    <w:rsid w:val="00A24367"/>
    <w:rsid w:val="00A30954"/>
    <w:rsid w:val="00A31BE5"/>
    <w:rsid w:val="00A322B5"/>
    <w:rsid w:val="00A346F6"/>
    <w:rsid w:val="00A34B83"/>
    <w:rsid w:val="00A37B6C"/>
    <w:rsid w:val="00A41793"/>
    <w:rsid w:val="00A442F4"/>
    <w:rsid w:val="00A458EF"/>
    <w:rsid w:val="00A51EBC"/>
    <w:rsid w:val="00A56B45"/>
    <w:rsid w:val="00A630FE"/>
    <w:rsid w:val="00A64F14"/>
    <w:rsid w:val="00A713E6"/>
    <w:rsid w:val="00A77E4D"/>
    <w:rsid w:val="00A804E8"/>
    <w:rsid w:val="00A80BE3"/>
    <w:rsid w:val="00A81F44"/>
    <w:rsid w:val="00A86518"/>
    <w:rsid w:val="00A870B5"/>
    <w:rsid w:val="00A9332D"/>
    <w:rsid w:val="00A94AF8"/>
    <w:rsid w:val="00A95B0D"/>
    <w:rsid w:val="00AA27A8"/>
    <w:rsid w:val="00AA6963"/>
    <w:rsid w:val="00AB2B72"/>
    <w:rsid w:val="00AB2D1B"/>
    <w:rsid w:val="00AB46DA"/>
    <w:rsid w:val="00AB4C16"/>
    <w:rsid w:val="00AB66DF"/>
    <w:rsid w:val="00AC18C4"/>
    <w:rsid w:val="00AC3094"/>
    <w:rsid w:val="00AC3D3D"/>
    <w:rsid w:val="00AC7BDE"/>
    <w:rsid w:val="00AC7C64"/>
    <w:rsid w:val="00AC7C82"/>
    <w:rsid w:val="00AD2F3A"/>
    <w:rsid w:val="00AD39C4"/>
    <w:rsid w:val="00AD428C"/>
    <w:rsid w:val="00AE0156"/>
    <w:rsid w:val="00AE076A"/>
    <w:rsid w:val="00AE1A1D"/>
    <w:rsid w:val="00AF0F71"/>
    <w:rsid w:val="00AF3A5C"/>
    <w:rsid w:val="00AF5C65"/>
    <w:rsid w:val="00AF6997"/>
    <w:rsid w:val="00B03724"/>
    <w:rsid w:val="00B05192"/>
    <w:rsid w:val="00B116D7"/>
    <w:rsid w:val="00B13800"/>
    <w:rsid w:val="00B14A4C"/>
    <w:rsid w:val="00B153AE"/>
    <w:rsid w:val="00B20448"/>
    <w:rsid w:val="00B23B56"/>
    <w:rsid w:val="00B2728D"/>
    <w:rsid w:val="00B27667"/>
    <w:rsid w:val="00B279FC"/>
    <w:rsid w:val="00B35A81"/>
    <w:rsid w:val="00B41768"/>
    <w:rsid w:val="00B4183E"/>
    <w:rsid w:val="00B41A9A"/>
    <w:rsid w:val="00B42522"/>
    <w:rsid w:val="00B46F55"/>
    <w:rsid w:val="00B47B29"/>
    <w:rsid w:val="00B5088B"/>
    <w:rsid w:val="00B51569"/>
    <w:rsid w:val="00B57607"/>
    <w:rsid w:val="00B57A62"/>
    <w:rsid w:val="00B601B7"/>
    <w:rsid w:val="00B626B7"/>
    <w:rsid w:val="00B629C7"/>
    <w:rsid w:val="00B6640F"/>
    <w:rsid w:val="00B70F6C"/>
    <w:rsid w:val="00B72A06"/>
    <w:rsid w:val="00B7371B"/>
    <w:rsid w:val="00B742B3"/>
    <w:rsid w:val="00B7577D"/>
    <w:rsid w:val="00B7585C"/>
    <w:rsid w:val="00B77726"/>
    <w:rsid w:val="00B8482B"/>
    <w:rsid w:val="00B922AD"/>
    <w:rsid w:val="00B927A1"/>
    <w:rsid w:val="00B95B83"/>
    <w:rsid w:val="00B97ACC"/>
    <w:rsid w:val="00BA2923"/>
    <w:rsid w:val="00BA2EBC"/>
    <w:rsid w:val="00BA7811"/>
    <w:rsid w:val="00BA7EF7"/>
    <w:rsid w:val="00BB1E5D"/>
    <w:rsid w:val="00BB2210"/>
    <w:rsid w:val="00BB2416"/>
    <w:rsid w:val="00BC18A0"/>
    <w:rsid w:val="00BC6814"/>
    <w:rsid w:val="00BC7EF0"/>
    <w:rsid w:val="00BD2B28"/>
    <w:rsid w:val="00BD711F"/>
    <w:rsid w:val="00BD78DE"/>
    <w:rsid w:val="00BE002F"/>
    <w:rsid w:val="00BE0E01"/>
    <w:rsid w:val="00BE1A5A"/>
    <w:rsid w:val="00BE1FA7"/>
    <w:rsid w:val="00BE34B1"/>
    <w:rsid w:val="00BF0AED"/>
    <w:rsid w:val="00BF493B"/>
    <w:rsid w:val="00BF4E6D"/>
    <w:rsid w:val="00BF509F"/>
    <w:rsid w:val="00C004E0"/>
    <w:rsid w:val="00C01FC2"/>
    <w:rsid w:val="00C02A1E"/>
    <w:rsid w:val="00C056D2"/>
    <w:rsid w:val="00C05915"/>
    <w:rsid w:val="00C10AB3"/>
    <w:rsid w:val="00C112DE"/>
    <w:rsid w:val="00C14DC9"/>
    <w:rsid w:val="00C15E05"/>
    <w:rsid w:val="00C1690C"/>
    <w:rsid w:val="00C1731A"/>
    <w:rsid w:val="00C1754A"/>
    <w:rsid w:val="00C2334C"/>
    <w:rsid w:val="00C235BF"/>
    <w:rsid w:val="00C25A1F"/>
    <w:rsid w:val="00C27D86"/>
    <w:rsid w:val="00C326EF"/>
    <w:rsid w:val="00C43B15"/>
    <w:rsid w:val="00C43C26"/>
    <w:rsid w:val="00C45724"/>
    <w:rsid w:val="00C46251"/>
    <w:rsid w:val="00C47944"/>
    <w:rsid w:val="00C509EF"/>
    <w:rsid w:val="00C5255A"/>
    <w:rsid w:val="00C562FA"/>
    <w:rsid w:val="00C66F7C"/>
    <w:rsid w:val="00C67FC5"/>
    <w:rsid w:val="00C71B05"/>
    <w:rsid w:val="00C725AA"/>
    <w:rsid w:val="00C742E4"/>
    <w:rsid w:val="00C74649"/>
    <w:rsid w:val="00C803AD"/>
    <w:rsid w:val="00C80D6C"/>
    <w:rsid w:val="00C81489"/>
    <w:rsid w:val="00C81932"/>
    <w:rsid w:val="00C84EE3"/>
    <w:rsid w:val="00C91E1C"/>
    <w:rsid w:val="00C955CB"/>
    <w:rsid w:val="00CA5B3D"/>
    <w:rsid w:val="00CA6DED"/>
    <w:rsid w:val="00CA7B65"/>
    <w:rsid w:val="00CB0312"/>
    <w:rsid w:val="00CB2A90"/>
    <w:rsid w:val="00CB2F85"/>
    <w:rsid w:val="00CB636C"/>
    <w:rsid w:val="00CB7514"/>
    <w:rsid w:val="00CC0623"/>
    <w:rsid w:val="00CC2410"/>
    <w:rsid w:val="00CC51E3"/>
    <w:rsid w:val="00CC575C"/>
    <w:rsid w:val="00CC5F85"/>
    <w:rsid w:val="00CC6825"/>
    <w:rsid w:val="00CD0580"/>
    <w:rsid w:val="00CD059F"/>
    <w:rsid w:val="00CD18B5"/>
    <w:rsid w:val="00CD361E"/>
    <w:rsid w:val="00CD7938"/>
    <w:rsid w:val="00CE048A"/>
    <w:rsid w:val="00CE47E4"/>
    <w:rsid w:val="00CE6C73"/>
    <w:rsid w:val="00CF003F"/>
    <w:rsid w:val="00CF42FE"/>
    <w:rsid w:val="00CF64C4"/>
    <w:rsid w:val="00CF6C22"/>
    <w:rsid w:val="00D03612"/>
    <w:rsid w:val="00D04727"/>
    <w:rsid w:val="00D05ACF"/>
    <w:rsid w:val="00D16B7B"/>
    <w:rsid w:val="00D1749B"/>
    <w:rsid w:val="00D17DED"/>
    <w:rsid w:val="00D218FE"/>
    <w:rsid w:val="00D27100"/>
    <w:rsid w:val="00D27A62"/>
    <w:rsid w:val="00D27B64"/>
    <w:rsid w:val="00D32803"/>
    <w:rsid w:val="00D37FC6"/>
    <w:rsid w:val="00D4172F"/>
    <w:rsid w:val="00D47AB1"/>
    <w:rsid w:val="00D50D66"/>
    <w:rsid w:val="00D5472B"/>
    <w:rsid w:val="00D54862"/>
    <w:rsid w:val="00D54B12"/>
    <w:rsid w:val="00D62935"/>
    <w:rsid w:val="00D65384"/>
    <w:rsid w:val="00D70A26"/>
    <w:rsid w:val="00D73684"/>
    <w:rsid w:val="00D76464"/>
    <w:rsid w:val="00D77749"/>
    <w:rsid w:val="00D803B3"/>
    <w:rsid w:val="00D86013"/>
    <w:rsid w:val="00D86501"/>
    <w:rsid w:val="00D86DD7"/>
    <w:rsid w:val="00D90A0C"/>
    <w:rsid w:val="00D91335"/>
    <w:rsid w:val="00D92C7C"/>
    <w:rsid w:val="00D95215"/>
    <w:rsid w:val="00DA05FF"/>
    <w:rsid w:val="00DA0966"/>
    <w:rsid w:val="00DA181A"/>
    <w:rsid w:val="00DA1A07"/>
    <w:rsid w:val="00DA622B"/>
    <w:rsid w:val="00DA66AF"/>
    <w:rsid w:val="00DA6B81"/>
    <w:rsid w:val="00DB258B"/>
    <w:rsid w:val="00DC0670"/>
    <w:rsid w:val="00DC25C3"/>
    <w:rsid w:val="00DC3487"/>
    <w:rsid w:val="00DC3A14"/>
    <w:rsid w:val="00DC5D2E"/>
    <w:rsid w:val="00DD1C4F"/>
    <w:rsid w:val="00DD1D0D"/>
    <w:rsid w:val="00DD231C"/>
    <w:rsid w:val="00DD7B1B"/>
    <w:rsid w:val="00DE3F63"/>
    <w:rsid w:val="00DE57B9"/>
    <w:rsid w:val="00DF1BD6"/>
    <w:rsid w:val="00DF62D3"/>
    <w:rsid w:val="00DF791B"/>
    <w:rsid w:val="00E04109"/>
    <w:rsid w:val="00E05C5F"/>
    <w:rsid w:val="00E060E4"/>
    <w:rsid w:val="00E07872"/>
    <w:rsid w:val="00E11E33"/>
    <w:rsid w:val="00E134B9"/>
    <w:rsid w:val="00E1380F"/>
    <w:rsid w:val="00E179C3"/>
    <w:rsid w:val="00E25465"/>
    <w:rsid w:val="00E32FC7"/>
    <w:rsid w:val="00E35E51"/>
    <w:rsid w:val="00E37D58"/>
    <w:rsid w:val="00E4448A"/>
    <w:rsid w:val="00E4754C"/>
    <w:rsid w:val="00E50143"/>
    <w:rsid w:val="00E5095D"/>
    <w:rsid w:val="00E567A6"/>
    <w:rsid w:val="00E648D2"/>
    <w:rsid w:val="00E65A23"/>
    <w:rsid w:val="00E65AFD"/>
    <w:rsid w:val="00E6771F"/>
    <w:rsid w:val="00E737F6"/>
    <w:rsid w:val="00E7455C"/>
    <w:rsid w:val="00E802A9"/>
    <w:rsid w:val="00E80ED1"/>
    <w:rsid w:val="00E814F1"/>
    <w:rsid w:val="00E860C3"/>
    <w:rsid w:val="00E91845"/>
    <w:rsid w:val="00E91E32"/>
    <w:rsid w:val="00E92439"/>
    <w:rsid w:val="00E9449C"/>
    <w:rsid w:val="00EA0E7A"/>
    <w:rsid w:val="00EA3822"/>
    <w:rsid w:val="00EA414E"/>
    <w:rsid w:val="00EB3B1C"/>
    <w:rsid w:val="00EB7D49"/>
    <w:rsid w:val="00EC0AF0"/>
    <w:rsid w:val="00EC1E81"/>
    <w:rsid w:val="00ED006A"/>
    <w:rsid w:val="00ED14E3"/>
    <w:rsid w:val="00ED47A6"/>
    <w:rsid w:val="00EE0BE3"/>
    <w:rsid w:val="00EE4217"/>
    <w:rsid w:val="00EE7DC9"/>
    <w:rsid w:val="00EF3DDF"/>
    <w:rsid w:val="00EF6987"/>
    <w:rsid w:val="00F002F7"/>
    <w:rsid w:val="00F059D5"/>
    <w:rsid w:val="00F07DF6"/>
    <w:rsid w:val="00F113C8"/>
    <w:rsid w:val="00F15A98"/>
    <w:rsid w:val="00F16789"/>
    <w:rsid w:val="00F237A6"/>
    <w:rsid w:val="00F24D2C"/>
    <w:rsid w:val="00F3071C"/>
    <w:rsid w:val="00F32992"/>
    <w:rsid w:val="00F340E8"/>
    <w:rsid w:val="00F370A7"/>
    <w:rsid w:val="00F47471"/>
    <w:rsid w:val="00F509A6"/>
    <w:rsid w:val="00F530A5"/>
    <w:rsid w:val="00F54764"/>
    <w:rsid w:val="00F54BEA"/>
    <w:rsid w:val="00F555E8"/>
    <w:rsid w:val="00F5675A"/>
    <w:rsid w:val="00F56C8B"/>
    <w:rsid w:val="00F578D2"/>
    <w:rsid w:val="00F6108A"/>
    <w:rsid w:val="00F67C26"/>
    <w:rsid w:val="00F72B4E"/>
    <w:rsid w:val="00F73AC3"/>
    <w:rsid w:val="00F74A0C"/>
    <w:rsid w:val="00F75598"/>
    <w:rsid w:val="00F759EC"/>
    <w:rsid w:val="00F77C78"/>
    <w:rsid w:val="00F8202C"/>
    <w:rsid w:val="00F83E6B"/>
    <w:rsid w:val="00F845A4"/>
    <w:rsid w:val="00F86F02"/>
    <w:rsid w:val="00F929A4"/>
    <w:rsid w:val="00FA1C46"/>
    <w:rsid w:val="00FA6712"/>
    <w:rsid w:val="00FA724D"/>
    <w:rsid w:val="00FA7A03"/>
    <w:rsid w:val="00FB2C83"/>
    <w:rsid w:val="00FB3833"/>
    <w:rsid w:val="00FB5FEE"/>
    <w:rsid w:val="00FB6B8E"/>
    <w:rsid w:val="00FC1185"/>
    <w:rsid w:val="00FC1673"/>
    <w:rsid w:val="00FC5612"/>
    <w:rsid w:val="00FD1486"/>
    <w:rsid w:val="00FD6CC7"/>
    <w:rsid w:val="00FE3AF6"/>
    <w:rsid w:val="00FE6561"/>
    <w:rsid w:val="00FF00B4"/>
    <w:rsid w:val="00FF549D"/>
    <w:rsid w:val="00FF67F3"/>
    <w:rsid w:val="01041698"/>
    <w:rsid w:val="01CCEA13"/>
    <w:rsid w:val="02061C79"/>
    <w:rsid w:val="02A6B9F9"/>
    <w:rsid w:val="036195B5"/>
    <w:rsid w:val="038DD857"/>
    <w:rsid w:val="0450D72B"/>
    <w:rsid w:val="0494F42B"/>
    <w:rsid w:val="05A35F4A"/>
    <w:rsid w:val="06653090"/>
    <w:rsid w:val="0699AFC1"/>
    <w:rsid w:val="06BDD26A"/>
    <w:rsid w:val="07787ECF"/>
    <w:rsid w:val="07BBB3CA"/>
    <w:rsid w:val="08474C74"/>
    <w:rsid w:val="087F4928"/>
    <w:rsid w:val="0924BAE8"/>
    <w:rsid w:val="099CB62E"/>
    <w:rsid w:val="0A01F28F"/>
    <w:rsid w:val="0A7C2DE6"/>
    <w:rsid w:val="0A862D33"/>
    <w:rsid w:val="0AE348EE"/>
    <w:rsid w:val="0B43232A"/>
    <w:rsid w:val="0B82DAC5"/>
    <w:rsid w:val="0BF6438C"/>
    <w:rsid w:val="0CB7F991"/>
    <w:rsid w:val="0CE28DC8"/>
    <w:rsid w:val="0F22FBDA"/>
    <w:rsid w:val="0FC187A2"/>
    <w:rsid w:val="100D4FCB"/>
    <w:rsid w:val="108670E2"/>
    <w:rsid w:val="1204A2EF"/>
    <w:rsid w:val="13256E24"/>
    <w:rsid w:val="134CAC47"/>
    <w:rsid w:val="135E154F"/>
    <w:rsid w:val="13E1C036"/>
    <w:rsid w:val="146DB0D9"/>
    <w:rsid w:val="147B6D04"/>
    <w:rsid w:val="1500C4E0"/>
    <w:rsid w:val="15BABFE5"/>
    <w:rsid w:val="167B5EDA"/>
    <w:rsid w:val="16C213BB"/>
    <w:rsid w:val="16C8CBC4"/>
    <w:rsid w:val="17B93B11"/>
    <w:rsid w:val="18895E15"/>
    <w:rsid w:val="194890D2"/>
    <w:rsid w:val="1AF0524B"/>
    <w:rsid w:val="1B658CA5"/>
    <w:rsid w:val="1B98B4BB"/>
    <w:rsid w:val="1BC87C4B"/>
    <w:rsid w:val="1BFCF4AF"/>
    <w:rsid w:val="1C3C1EDA"/>
    <w:rsid w:val="1D2F816E"/>
    <w:rsid w:val="1D8E9302"/>
    <w:rsid w:val="1EA8B8F0"/>
    <w:rsid w:val="1EC270AD"/>
    <w:rsid w:val="1FE2375E"/>
    <w:rsid w:val="20675CAC"/>
    <w:rsid w:val="2069266A"/>
    <w:rsid w:val="21A8363F"/>
    <w:rsid w:val="21B7FC2D"/>
    <w:rsid w:val="222262EE"/>
    <w:rsid w:val="230D37C8"/>
    <w:rsid w:val="23D5CF73"/>
    <w:rsid w:val="23E39CE3"/>
    <w:rsid w:val="241B71DF"/>
    <w:rsid w:val="262F4EA4"/>
    <w:rsid w:val="266C4E29"/>
    <w:rsid w:val="26FC613E"/>
    <w:rsid w:val="2740C47B"/>
    <w:rsid w:val="2753AA22"/>
    <w:rsid w:val="286818BE"/>
    <w:rsid w:val="29F7A36F"/>
    <w:rsid w:val="2A0E0EF2"/>
    <w:rsid w:val="2AA9326F"/>
    <w:rsid w:val="2AED556B"/>
    <w:rsid w:val="2AF69391"/>
    <w:rsid w:val="2B4F0C72"/>
    <w:rsid w:val="2B9E7C74"/>
    <w:rsid w:val="2C449A14"/>
    <w:rsid w:val="2C6E7ED4"/>
    <w:rsid w:val="2CADABA9"/>
    <w:rsid w:val="2D09A1E6"/>
    <w:rsid w:val="2DF008FB"/>
    <w:rsid w:val="2E21AA83"/>
    <w:rsid w:val="2E3EB5AD"/>
    <w:rsid w:val="2E4732F5"/>
    <w:rsid w:val="2E602CD5"/>
    <w:rsid w:val="2FF4ABDD"/>
    <w:rsid w:val="301F82C9"/>
    <w:rsid w:val="30FEF508"/>
    <w:rsid w:val="3140131F"/>
    <w:rsid w:val="31CB5492"/>
    <w:rsid w:val="3210F862"/>
    <w:rsid w:val="329627DF"/>
    <w:rsid w:val="32DF0B9C"/>
    <w:rsid w:val="33ADEBF8"/>
    <w:rsid w:val="33BA57BE"/>
    <w:rsid w:val="33C83442"/>
    <w:rsid w:val="33E3DB03"/>
    <w:rsid w:val="34722A71"/>
    <w:rsid w:val="34E6F304"/>
    <w:rsid w:val="34EC318F"/>
    <w:rsid w:val="35144965"/>
    <w:rsid w:val="36A643DB"/>
    <w:rsid w:val="37214874"/>
    <w:rsid w:val="3758A241"/>
    <w:rsid w:val="377F5B98"/>
    <w:rsid w:val="37C548B5"/>
    <w:rsid w:val="388208E9"/>
    <w:rsid w:val="39E1C3AD"/>
    <w:rsid w:val="3A0AC6FA"/>
    <w:rsid w:val="3A8FE0A7"/>
    <w:rsid w:val="3AEBD8D0"/>
    <w:rsid w:val="3AF3F5F9"/>
    <w:rsid w:val="3B1633E6"/>
    <w:rsid w:val="3B6C2A39"/>
    <w:rsid w:val="3BB1362A"/>
    <w:rsid w:val="3BCE45BB"/>
    <w:rsid w:val="3BCE6CA1"/>
    <w:rsid w:val="3C0E5D3C"/>
    <w:rsid w:val="3D037596"/>
    <w:rsid w:val="3D2E6E80"/>
    <w:rsid w:val="3D3D554A"/>
    <w:rsid w:val="3E791D23"/>
    <w:rsid w:val="3E92B513"/>
    <w:rsid w:val="3F8CBE95"/>
    <w:rsid w:val="42A598DF"/>
    <w:rsid w:val="42BFF338"/>
    <w:rsid w:val="42CF0A49"/>
    <w:rsid w:val="4393E2CB"/>
    <w:rsid w:val="43C59636"/>
    <w:rsid w:val="44124D65"/>
    <w:rsid w:val="443551DB"/>
    <w:rsid w:val="44572420"/>
    <w:rsid w:val="44A91D16"/>
    <w:rsid w:val="4504F116"/>
    <w:rsid w:val="45DE0AC7"/>
    <w:rsid w:val="46EFFFDA"/>
    <w:rsid w:val="478EEC19"/>
    <w:rsid w:val="486A5F89"/>
    <w:rsid w:val="494330B5"/>
    <w:rsid w:val="499253ED"/>
    <w:rsid w:val="4997E558"/>
    <w:rsid w:val="4AA30BB3"/>
    <w:rsid w:val="4AB5B44A"/>
    <w:rsid w:val="4B1841FE"/>
    <w:rsid w:val="4B3E065C"/>
    <w:rsid w:val="4B9FD203"/>
    <w:rsid w:val="4BD09568"/>
    <w:rsid w:val="4D370211"/>
    <w:rsid w:val="4D7BC3A4"/>
    <w:rsid w:val="4E3C5291"/>
    <w:rsid w:val="4E497D90"/>
    <w:rsid w:val="4F68601E"/>
    <w:rsid w:val="4F724136"/>
    <w:rsid w:val="52AE0848"/>
    <w:rsid w:val="52B601CB"/>
    <w:rsid w:val="52B8B222"/>
    <w:rsid w:val="53AAA5F6"/>
    <w:rsid w:val="53D727FF"/>
    <w:rsid w:val="5472E892"/>
    <w:rsid w:val="54A99EC4"/>
    <w:rsid w:val="553DB6B1"/>
    <w:rsid w:val="55F16B43"/>
    <w:rsid w:val="561EF5E9"/>
    <w:rsid w:val="5645BABD"/>
    <w:rsid w:val="565E634E"/>
    <w:rsid w:val="569CDC0F"/>
    <w:rsid w:val="572650D3"/>
    <w:rsid w:val="5809AC4E"/>
    <w:rsid w:val="5863FECA"/>
    <w:rsid w:val="58ABA5BD"/>
    <w:rsid w:val="595CC517"/>
    <w:rsid w:val="59ACAA9A"/>
    <w:rsid w:val="5BA4ED24"/>
    <w:rsid w:val="5C021A98"/>
    <w:rsid w:val="5C2B7EC3"/>
    <w:rsid w:val="5C8CB62C"/>
    <w:rsid w:val="5CD4ED23"/>
    <w:rsid w:val="5D04C606"/>
    <w:rsid w:val="5D6BBCE2"/>
    <w:rsid w:val="5D7ED617"/>
    <w:rsid w:val="5E081613"/>
    <w:rsid w:val="5E3AD4C7"/>
    <w:rsid w:val="5E3B569E"/>
    <w:rsid w:val="5E3FD14E"/>
    <w:rsid w:val="5E42567F"/>
    <w:rsid w:val="619773C0"/>
    <w:rsid w:val="619FB24A"/>
    <w:rsid w:val="61E3A909"/>
    <w:rsid w:val="6231C73E"/>
    <w:rsid w:val="626E2608"/>
    <w:rsid w:val="62CA835E"/>
    <w:rsid w:val="6326A5E8"/>
    <w:rsid w:val="64E90DD9"/>
    <w:rsid w:val="65E3AD6D"/>
    <w:rsid w:val="664692CA"/>
    <w:rsid w:val="670A621D"/>
    <w:rsid w:val="6757A517"/>
    <w:rsid w:val="676ADA1E"/>
    <w:rsid w:val="689C1829"/>
    <w:rsid w:val="690BF88D"/>
    <w:rsid w:val="69697202"/>
    <w:rsid w:val="6A046E3F"/>
    <w:rsid w:val="6AA5E181"/>
    <w:rsid w:val="6AA7543D"/>
    <w:rsid w:val="6AAE1F9E"/>
    <w:rsid w:val="6B6DB670"/>
    <w:rsid w:val="6BA806ED"/>
    <w:rsid w:val="6CB78502"/>
    <w:rsid w:val="6D22EAB6"/>
    <w:rsid w:val="6D799FB6"/>
    <w:rsid w:val="6D9593C6"/>
    <w:rsid w:val="6E28B9F8"/>
    <w:rsid w:val="6E30815D"/>
    <w:rsid w:val="6E418C92"/>
    <w:rsid w:val="6EAF2D77"/>
    <w:rsid w:val="6F4A2AAA"/>
    <w:rsid w:val="729D25BA"/>
    <w:rsid w:val="734A86CC"/>
    <w:rsid w:val="739F94FE"/>
    <w:rsid w:val="73EF21F3"/>
    <w:rsid w:val="743BF420"/>
    <w:rsid w:val="74F3A658"/>
    <w:rsid w:val="765D5EC0"/>
    <w:rsid w:val="76A3D92A"/>
    <w:rsid w:val="77AA7041"/>
    <w:rsid w:val="77CCDF48"/>
    <w:rsid w:val="79001846"/>
    <w:rsid w:val="790FC1E5"/>
    <w:rsid w:val="79472D35"/>
    <w:rsid w:val="79AAEF4E"/>
    <w:rsid w:val="7A22A8D0"/>
    <w:rsid w:val="7B5CBF92"/>
    <w:rsid w:val="7B94DCBF"/>
    <w:rsid w:val="7D03EA99"/>
    <w:rsid w:val="7D1AD5EB"/>
    <w:rsid w:val="7D38E541"/>
    <w:rsid w:val="7D9E0EDD"/>
    <w:rsid w:val="7DF1DB54"/>
    <w:rsid w:val="7EF38F8E"/>
    <w:rsid w:val="7FA6DC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51E6"/>
  <w15:chartTrackingRefBased/>
  <w15:docId w15:val="{09E0A97D-FCE7-424D-806E-7B004107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833"/>
    <w:pPr>
      <w:spacing w:before="120" w:after="120" w:line="276" w:lineRule="auto"/>
    </w:pPr>
    <w:rPr>
      <w:rFonts w:ascii="Arial" w:eastAsia="Times New Roman" w:hAnsi="Arial" w:cs="Times New Roman"/>
      <w:color w:val="1E1545"/>
      <w:kern w:val="0"/>
      <w:sz w:val="24"/>
      <w:szCs w:val="24"/>
      <w14:ligatures w14:val="none"/>
    </w:rPr>
  </w:style>
  <w:style w:type="paragraph" w:styleId="Heading1">
    <w:name w:val="heading 1"/>
    <w:basedOn w:val="Normal"/>
    <w:next w:val="Normal"/>
    <w:link w:val="Heading1Char"/>
    <w:uiPriority w:val="9"/>
    <w:qFormat/>
    <w:rsid w:val="00212A00"/>
    <w:pPr>
      <w:tabs>
        <w:tab w:val="left" w:pos="1385"/>
      </w:tabs>
      <w:spacing w:before="360" w:after="360"/>
      <w:outlineLvl w:val="0"/>
    </w:pPr>
    <w:rPr>
      <w:rFonts w:eastAsiaTheme="majorEastAsia" w:cs="Arial"/>
      <w:b/>
      <w:bCs/>
      <w:color w:val="002060"/>
      <w:sz w:val="60"/>
      <w:szCs w:val="60"/>
      <w:lang w:val="en-GB"/>
    </w:rPr>
  </w:style>
  <w:style w:type="paragraph" w:styleId="Heading2">
    <w:name w:val="heading 2"/>
    <w:basedOn w:val="Normal"/>
    <w:next w:val="Normal"/>
    <w:link w:val="Heading2Char"/>
    <w:uiPriority w:val="9"/>
    <w:unhideWhenUsed/>
    <w:qFormat/>
    <w:rsid w:val="00212A00"/>
    <w:pPr>
      <w:keepNext/>
      <w:spacing w:before="240" w:line="240" w:lineRule="auto"/>
      <w:outlineLvl w:val="1"/>
    </w:pPr>
    <w:rPr>
      <w:rFonts w:cs="Arial"/>
      <w:b/>
      <w:bCs/>
      <w:sz w:val="40"/>
      <w:szCs w:val="40"/>
    </w:rPr>
  </w:style>
  <w:style w:type="paragraph" w:styleId="Heading3">
    <w:name w:val="heading 3"/>
    <w:basedOn w:val="Heading2"/>
    <w:next w:val="Normal"/>
    <w:link w:val="Heading3Char"/>
    <w:uiPriority w:val="9"/>
    <w:unhideWhenUsed/>
    <w:qFormat/>
    <w:rsid w:val="00F340E8"/>
    <w:pPr>
      <w:outlineLvl w:val="2"/>
    </w:pPr>
    <w:rPr>
      <w:sz w:val="32"/>
      <w:szCs w:val="32"/>
    </w:rPr>
  </w:style>
  <w:style w:type="paragraph" w:styleId="Heading4">
    <w:name w:val="heading 4"/>
    <w:basedOn w:val="Normal"/>
    <w:next w:val="Normal"/>
    <w:link w:val="Heading4Char"/>
    <w:uiPriority w:val="9"/>
    <w:semiHidden/>
    <w:unhideWhenUsed/>
    <w:qFormat/>
    <w:rsid w:val="00567C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A00"/>
    <w:rPr>
      <w:rFonts w:ascii="Arial" w:eastAsia="Times New Roman" w:hAnsi="Arial" w:cs="Arial"/>
      <w:b/>
      <w:bCs/>
      <w:color w:val="1E1545"/>
      <w:kern w:val="0"/>
      <w:sz w:val="40"/>
      <w:szCs w:val="40"/>
      <w14:ligatures w14:val="none"/>
    </w:rPr>
  </w:style>
  <w:style w:type="character" w:customStyle="1" w:styleId="Heading3Char">
    <w:name w:val="Heading 3 Char"/>
    <w:basedOn w:val="DefaultParagraphFont"/>
    <w:link w:val="Heading3"/>
    <w:uiPriority w:val="9"/>
    <w:rsid w:val="00F340E8"/>
    <w:rPr>
      <w:rFonts w:ascii="Arial" w:eastAsia="Times New Roman" w:hAnsi="Arial" w:cs="Arial"/>
      <w:b/>
      <w:bCs/>
      <w:color w:val="1E1545"/>
      <w:kern w:val="0"/>
      <w:sz w:val="32"/>
      <w:szCs w:val="32"/>
      <w14:ligatures w14:val="none"/>
    </w:rPr>
  </w:style>
  <w:style w:type="paragraph" w:styleId="ListParagraph">
    <w:name w:val="List Paragraph"/>
    <w:aliases w:val="#List Paragraph,Recommendation,List Paragraph1,List Paragraph11,L,Bullet point,Body text,Bullet Point,Bulletr List Paragraph,Content descriptions,FooterText,List Bullet 1,List Paragraph2,List Paragraph21,Listeafsnit1,NFP GP Bulleted List"/>
    <w:basedOn w:val="Normal"/>
    <w:link w:val="ListParagraphChar"/>
    <w:uiPriority w:val="34"/>
    <w:qFormat/>
    <w:rsid w:val="00FB3833"/>
    <w:pPr>
      <w:ind w:left="720"/>
      <w:contextualSpacing/>
    </w:pPr>
  </w:style>
  <w:style w:type="paragraph" w:styleId="Header">
    <w:name w:val="header"/>
    <w:basedOn w:val="Normal"/>
    <w:link w:val="HeaderChar"/>
    <w:uiPriority w:val="99"/>
    <w:unhideWhenUsed/>
    <w:rsid w:val="00FB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833"/>
    <w:rPr>
      <w:rFonts w:ascii="Arial" w:eastAsia="Times New Roman" w:hAnsi="Arial" w:cs="Times New Roman"/>
      <w:color w:val="1E1545"/>
      <w:kern w:val="0"/>
      <w:sz w:val="24"/>
      <w:szCs w:val="24"/>
      <w14:ligatures w14:val="none"/>
    </w:rPr>
  </w:style>
  <w:style w:type="character" w:styleId="Hyperlink">
    <w:name w:val="Hyperlink"/>
    <w:basedOn w:val="DefaultParagraphFont"/>
    <w:uiPriority w:val="99"/>
    <w:unhideWhenUsed/>
    <w:qFormat/>
    <w:rsid w:val="00FB3833"/>
    <w:rPr>
      <w:color w:val="0563C1" w:themeColor="hyperlink"/>
      <w:u w:val="single"/>
    </w:rPr>
  </w:style>
  <w:style w:type="character" w:styleId="CommentReference">
    <w:name w:val="annotation reference"/>
    <w:basedOn w:val="DefaultParagraphFont"/>
    <w:uiPriority w:val="99"/>
    <w:unhideWhenUsed/>
    <w:rsid w:val="00102947"/>
    <w:rPr>
      <w:sz w:val="16"/>
      <w:szCs w:val="16"/>
    </w:rPr>
  </w:style>
  <w:style w:type="paragraph" w:styleId="CommentText">
    <w:name w:val="annotation text"/>
    <w:basedOn w:val="Normal"/>
    <w:link w:val="CommentTextChar"/>
    <w:uiPriority w:val="99"/>
    <w:unhideWhenUsed/>
    <w:rsid w:val="00102947"/>
    <w:pPr>
      <w:spacing w:line="240" w:lineRule="auto"/>
    </w:pPr>
    <w:rPr>
      <w:sz w:val="20"/>
      <w:szCs w:val="20"/>
    </w:rPr>
  </w:style>
  <w:style w:type="character" w:customStyle="1" w:styleId="CommentTextChar">
    <w:name w:val="Comment Text Char"/>
    <w:basedOn w:val="DefaultParagraphFont"/>
    <w:link w:val="CommentText"/>
    <w:uiPriority w:val="99"/>
    <w:rsid w:val="00102947"/>
    <w:rPr>
      <w:rFonts w:ascii="Arial" w:eastAsia="Times New Roman" w:hAnsi="Arial" w:cs="Times New Roman"/>
      <w:color w:val="1E154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2947"/>
    <w:rPr>
      <w:b/>
      <w:bCs/>
    </w:rPr>
  </w:style>
  <w:style w:type="character" w:customStyle="1" w:styleId="CommentSubjectChar">
    <w:name w:val="Comment Subject Char"/>
    <w:basedOn w:val="CommentTextChar"/>
    <w:link w:val="CommentSubject"/>
    <w:uiPriority w:val="99"/>
    <w:semiHidden/>
    <w:rsid w:val="00102947"/>
    <w:rPr>
      <w:rFonts w:ascii="Arial" w:eastAsia="Times New Roman" w:hAnsi="Arial" w:cs="Times New Roman"/>
      <w:b/>
      <w:bCs/>
      <w:color w:val="1E1545"/>
      <w:kern w:val="0"/>
      <w:sz w:val="20"/>
      <w:szCs w:val="20"/>
      <w14:ligatures w14:val="none"/>
    </w:rPr>
  </w:style>
  <w:style w:type="character" w:customStyle="1" w:styleId="Heading1Char">
    <w:name w:val="Heading 1 Char"/>
    <w:basedOn w:val="DefaultParagraphFont"/>
    <w:link w:val="Heading1"/>
    <w:uiPriority w:val="9"/>
    <w:rsid w:val="00212A00"/>
    <w:rPr>
      <w:rFonts w:ascii="Arial" w:eastAsiaTheme="majorEastAsia" w:hAnsi="Arial" w:cs="Arial"/>
      <w:b/>
      <w:bCs/>
      <w:color w:val="002060"/>
      <w:kern w:val="0"/>
      <w:sz w:val="60"/>
      <w:szCs w:val="60"/>
      <w:lang w:val="en-GB"/>
      <w14:ligatures w14:val="none"/>
    </w:rPr>
  </w:style>
  <w:style w:type="paragraph" w:styleId="TOCHeading">
    <w:name w:val="TOC Heading"/>
    <w:basedOn w:val="Heading1"/>
    <w:next w:val="Normal"/>
    <w:uiPriority w:val="39"/>
    <w:unhideWhenUsed/>
    <w:qFormat/>
    <w:rsid w:val="00BC18A0"/>
    <w:pPr>
      <w:spacing w:line="259" w:lineRule="auto"/>
      <w:outlineLvl w:val="9"/>
    </w:pPr>
    <w:rPr>
      <w:lang w:val="en-US"/>
    </w:rPr>
  </w:style>
  <w:style w:type="paragraph" w:styleId="TOC3">
    <w:name w:val="toc 3"/>
    <w:basedOn w:val="Normal"/>
    <w:next w:val="Normal"/>
    <w:autoRedefine/>
    <w:uiPriority w:val="39"/>
    <w:unhideWhenUsed/>
    <w:rsid w:val="0032377E"/>
    <w:pPr>
      <w:tabs>
        <w:tab w:val="right" w:leader="dot" w:pos="9922"/>
      </w:tabs>
      <w:spacing w:after="100"/>
      <w:ind w:left="480"/>
    </w:pPr>
  </w:style>
  <w:style w:type="paragraph" w:styleId="TOC2">
    <w:name w:val="toc 2"/>
    <w:basedOn w:val="Normal"/>
    <w:next w:val="Normal"/>
    <w:autoRedefine/>
    <w:uiPriority w:val="39"/>
    <w:unhideWhenUsed/>
    <w:rsid w:val="00E9449C"/>
    <w:pPr>
      <w:tabs>
        <w:tab w:val="right" w:leader="dot" w:pos="9912"/>
      </w:tabs>
      <w:spacing w:after="100"/>
      <w:ind w:left="240"/>
      <w:outlineLvl w:val="1"/>
    </w:pPr>
  </w:style>
  <w:style w:type="paragraph" w:styleId="Footer">
    <w:name w:val="footer"/>
    <w:basedOn w:val="Normal"/>
    <w:link w:val="FooterChar"/>
    <w:uiPriority w:val="99"/>
    <w:unhideWhenUsed/>
    <w:rsid w:val="005023A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023A6"/>
    <w:rPr>
      <w:rFonts w:ascii="Arial" w:eastAsia="Times New Roman" w:hAnsi="Arial" w:cs="Times New Roman"/>
      <w:color w:val="1E1545"/>
      <w:kern w:val="0"/>
      <w:sz w:val="24"/>
      <w:szCs w:val="24"/>
      <w14:ligatures w14:val="none"/>
    </w:rPr>
  </w:style>
  <w:style w:type="paragraph" w:styleId="Revision">
    <w:name w:val="Revision"/>
    <w:hidden/>
    <w:uiPriority w:val="99"/>
    <w:semiHidden/>
    <w:rsid w:val="005023A6"/>
    <w:pPr>
      <w:spacing w:after="0" w:line="240" w:lineRule="auto"/>
    </w:pPr>
    <w:rPr>
      <w:rFonts w:ascii="Arial" w:eastAsia="Times New Roman" w:hAnsi="Arial" w:cs="Times New Roman"/>
      <w:color w:val="1E1545"/>
      <w:kern w:val="0"/>
      <w:sz w:val="24"/>
      <w:szCs w:val="24"/>
      <w14:ligatures w14:val="none"/>
    </w:rPr>
  </w:style>
  <w:style w:type="paragraph" w:styleId="TOC1">
    <w:name w:val="toc 1"/>
    <w:basedOn w:val="Normal"/>
    <w:next w:val="Normal"/>
    <w:autoRedefine/>
    <w:uiPriority w:val="39"/>
    <w:unhideWhenUsed/>
    <w:rsid w:val="0067640A"/>
    <w:pPr>
      <w:tabs>
        <w:tab w:val="right" w:leader="dot" w:pos="9912"/>
      </w:tabs>
      <w:spacing w:after="100"/>
    </w:pPr>
  </w:style>
  <w:style w:type="character" w:styleId="UnresolvedMention">
    <w:name w:val="Unresolved Mention"/>
    <w:basedOn w:val="DefaultParagraphFont"/>
    <w:uiPriority w:val="99"/>
    <w:semiHidden/>
    <w:unhideWhenUsed/>
    <w:rsid w:val="00B664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1D1586"/>
    <w:rPr>
      <w:rFonts w:ascii="Segoe UI" w:hAnsi="Segoe UI" w:cs="Segoe UI" w:hint="default"/>
      <w:color w:val="1E1545"/>
      <w:sz w:val="18"/>
      <w:szCs w:val="18"/>
    </w:rPr>
  </w:style>
  <w:style w:type="character" w:customStyle="1" w:styleId="Heading4Char">
    <w:name w:val="Heading 4 Char"/>
    <w:basedOn w:val="DefaultParagraphFont"/>
    <w:link w:val="Heading4"/>
    <w:uiPriority w:val="9"/>
    <w:semiHidden/>
    <w:rsid w:val="00567C09"/>
    <w:rPr>
      <w:rFonts w:asciiTheme="majorHAnsi" w:eastAsiaTheme="majorEastAsia" w:hAnsiTheme="majorHAnsi" w:cstheme="majorBidi"/>
      <w:i/>
      <w:iCs/>
      <w:color w:val="2F5496" w:themeColor="accent1" w:themeShade="BF"/>
      <w:kern w:val="0"/>
      <w:sz w:val="24"/>
      <w:szCs w:val="24"/>
      <w14:ligatures w14:val="none"/>
    </w:rPr>
  </w:style>
  <w:style w:type="character" w:customStyle="1" w:styleId="ListParagraphChar">
    <w:name w:val="List Paragraph Char"/>
    <w:aliases w:val="#List Paragraph Char,Recommendation Char,List Paragraph1 Char,List Paragraph11 Char,L Char,Bullet point Char,Body text Char,Bullet Point Char,Bulletr List Paragraph Char,Content descriptions Char,FooterText Char,List Bullet 1 Char"/>
    <w:basedOn w:val="DefaultParagraphFont"/>
    <w:link w:val="ListParagraph"/>
    <w:uiPriority w:val="34"/>
    <w:qFormat/>
    <w:rsid w:val="00567C09"/>
    <w:rPr>
      <w:rFonts w:ascii="Arial" w:eastAsia="Times New Roman" w:hAnsi="Arial" w:cs="Times New Roman"/>
      <w:color w:val="1E1545"/>
      <w:kern w:val="0"/>
      <w:sz w:val="24"/>
      <w:szCs w:val="24"/>
      <w14:ligatures w14:val="none"/>
    </w:rPr>
  </w:style>
  <w:style w:type="table" w:styleId="TableGrid">
    <w:name w:val="Table Grid"/>
    <w:basedOn w:val="TableNormal"/>
    <w:uiPriority w:val="59"/>
    <w:rsid w:val="00254C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next w:val="Normal"/>
    <w:link w:val="SubtitleChar"/>
    <w:uiPriority w:val="99"/>
    <w:qFormat/>
    <w:rsid w:val="0066254B"/>
    <w:pPr>
      <w:numPr>
        <w:ilvl w:val="1"/>
      </w:numPr>
      <w:spacing w:before="120" w:after="60" w:line="240" w:lineRule="auto"/>
    </w:pPr>
    <w:rPr>
      <w:rFonts w:ascii="Arial" w:eastAsiaTheme="majorEastAsia" w:hAnsi="Arial" w:cstheme="majorBidi"/>
      <w:iCs/>
      <w:color w:val="3F4A75"/>
      <w:spacing w:val="15"/>
      <w:kern w:val="0"/>
      <w:sz w:val="56"/>
      <w:szCs w:val="56"/>
      <w14:ligatures w14:val="none"/>
    </w:rPr>
  </w:style>
  <w:style w:type="character" w:customStyle="1" w:styleId="SubtitleChar">
    <w:name w:val="Subtitle Char"/>
    <w:basedOn w:val="DefaultParagraphFont"/>
    <w:link w:val="Subtitle"/>
    <w:uiPriority w:val="99"/>
    <w:rsid w:val="0066254B"/>
    <w:rPr>
      <w:rFonts w:ascii="Arial" w:eastAsiaTheme="majorEastAsia" w:hAnsi="Arial" w:cstheme="majorBidi"/>
      <w:iCs/>
      <w:color w:val="3F4A75"/>
      <w:spacing w:val="15"/>
      <w:kern w:val="0"/>
      <w:sz w:val="56"/>
      <w:szCs w:val="56"/>
      <w14:ligatures w14:val="none"/>
    </w:rPr>
  </w:style>
  <w:style w:type="character" w:styleId="FollowedHyperlink">
    <w:name w:val="FollowedHyperlink"/>
    <w:basedOn w:val="DefaultParagraphFont"/>
    <w:uiPriority w:val="99"/>
    <w:semiHidden/>
    <w:unhideWhenUsed/>
    <w:rsid w:val="009D6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364044">
      <w:bodyDiv w:val="1"/>
      <w:marLeft w:val="0"/>
      <w:marRight w:val="0"/>
      <w:marTop w:val="0"/>
      <w:marBottom w:val="0"/>
      <w:divBdr>
        <w:top w:val="none" w:sz="0" w:space="0" w:color="auto"/>
        <w:left w:val="none" w:sz="0" w:space="0" w:color="auto"/>
        <w:bottom w:val="none" w:sz="0" w:space="0" w:color="auto"/>
        <w:right w:val="none" w:sz="0" w:space="0" w:color="auto"/>
      </w:divBdr>
    </w:div>
    <w:div w:id="21059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fraud-and-corruption-control-plan-2023-25?language=en" TargetMode="External"/><Relationship Id="rId18" Type="http://schemas.openxmlformats.org/officeDocument/2006/relationships/hyperlink" Target="https://www.health.gov.au/resources/publications/data-exchange-dictionary-stage-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health.gov.au/resources/publications/dex-exchange-toolkit-stage-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gov.au/resources/publications/proposed-changes-to-commonwealth-home-support-programme-chsp-data-exchange-from-1-july-2025-factsheet?languag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providers/quality-standard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resources/apps-and-tools/my-aged-care-service-and-support-portal"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health.gov.au/resources/collections/chsp-wellness-and-reablement-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rporate-reporting/report-to-us/report-suspected-frau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8174E88-1DED-4709-A882-B6B333DF84E6}">
    <t:Anchor>
      <t:Comment id="1758564176"/>
    </t:Anchor>
    <t:History>
      <t:Event id="{D56034FD-51DE-4028-A851-2E1274AF2F42}" time="2025-06-10T08:18:58.798Z">
        <t:Attribution userId="S::louise.sutton@health.gov.au::2e5adbd8-347a-457e-9347-0f6af4175452" userProvider="AD" userName="SUTTON, Louise"/>
        <t:Anchor>
          <t:Comment id="1758564176"/>
        </t:Anchor>
        <t:Create/>
      </t:Event>
      <t:Event id="{03D4E8DB-48E6-4CB5-8D16-1FF032748D68}" time="2025-06-10T08:18:58.798Z">
        <t:Attribution userId="S::louise.sutton@health.gov.au::2e5adbd8-347a-457e-9347-0f6af4175452" userProvider="AD" userName="SUTTON, Louise"/>
        <t:Anchor>
          <t:Comment id="1758564176"/>
        </t:Anchor>
        <t:Assign userId="S::Ben.WILSON@Health.gov.au::bd43d0bb-36e6-49f8-af4b-a18dc0935003" userProvider="AD" userName="WILSON, Ben"/>
      </t:Event>
      <t:Event id="{47867DD7-FC03-4B43-8FFF-CA77AE082E71}" time="2025-06-10T08:18:58.798Z">
        <t:Attribution userId="S::louise.sutton@health.gov.au::2e5adbd8-347a-457e-9347-0f6af4175452" userProvider="AD" userName="SUTTON, Louise"/>
        <t:Anchor>
          <t:Comment id="1758564176"/>
        </t:Anchor>
        <t:SetTitle title="@WILSON, Ben can you please check this aligns with our discussion re the framework"/>
      </t:Event>
    </t:History>
  </t:Task>
  <t:Task id="{1366F1BA-7A6F-417E-8332-2C155D93CCFE}">
    <t:Anchor>
      <t:Comment id="1539946661"/>
    </t:Anchor>
    <t:History>
      <t:Event id="{E7AEF4AF-4DFB-4B22-87E6-4AB8CC9E712C}" time="2025-09-05T06:39:54.418Z">
        <t:Attribution userId="S::louise.sutton@health.gov.au::2e5adbd8-347a-457e-9347-0f6af4175452" userProvider="AD" userName="SUTTON, Louise"/>
        <t:Anchor>
          <t:Comment id="1539946661"/>
        </t:Anchor>
        <t:Create/>
      </t:Event>
      <t:Event id="{32A874CF-38DF-4739-B560-0283CA5C0892}" time="2025-09-05T06:39:54.418Z">
        <t:Attribution userId="S::louise.sutton@health.gov.au::2e5adbd8-347a-457e-9347-0f6af4175452" userProvider="AD" userName="SUTTON, Louise"/>
        <t:Anchor>
          <t:Comment id="1539946661"/>
        </t:Anchor>
        <t:Assign userId="S::Louise.SUTTON@Health.gov.au::2e5adbd8-347a-457e-9347-0f6af4175452" userProvider="AD" userName="SUTTON, Louise"/>
      </t:Event>
      <t:Event id="{F6E73A26-B745-41BA-AED8-7F2526DED2EA}" time="2025-09-05T06:39:54.418Z">
        <t:Attribution userId="S::louise.sutton@health.gov.au::2e5adbd8-347a-457e-9347-0f6af4175452" userProvider="AD" userName="SUTTON, Louise"/>
        <t:Anchor>
          <t:Comment id="1539946661"/>
        </t:Anchor>
        <t:SetTitle title="@SUTTON, Louise check if this is under the rules of the act"/>
      </t:Event>
    </t:History>
  </t:Task>
  <t:Task id="{D1BBE114-1116-4223-919F-79AE08C7E11D}">
    <t:Anchor>
      <t:Comment id="1608040838"/>
    </t:Anchor>
    <t:History>
      <t:Event id="{4C9843D8-DDAD-4D76-A085-005194061B5F}" time="2025-09-05T05:29:55.163Z">
        <t:Attribution userId="S::louise.sutton@health.gov.au::2e5adbd8-347a-457e-9347-0f6af4175452" userProvider="AD" userName="SUTTON, Louise"/>
        <t:Anchor>
          <t:Comment id="1608040838"/>
        </t:Anchor>
        <t:Create/>
      </t:Event>
      <t:Event id="{9CBDEDE4-DA16-416A-80CB-74318180D103}" time="2025-09-05T05:29:55.163Z">
        <t:Attribution userId="S::louise.sutton@health.gov.au::2e5adbd8-347a-457e-9347-0f6af4175452" userProvider="AD" userName="SUTTON, Louise"/>
        <t:Anchor>
          <t:Comment id="1608040838"/>
        </t:Anchor>
        <t:Assign userId="S::Allison.TRYON@health.gov.au::71c20f7a-3b43-40a4-93b8-deb4a304dbbc" userProvider="AD" userName="TRYON, Allison"/>
      </t:Event>
      <t:Event id="{3A34076A-D2EB-40EB-9DE8-FE7976CE2A6C}" time="2025-09-05T05:29:55.163Z">
        <t:Attribution userId="S::louise.sutton@health.gov.au::2e5adbd8-347a-457e-9347-0f6af4175452" userProvider="AD" userName="SUTTON, Louise"/>
        <t:Anchor>
          <t:Comment id="1608040838"/>
        </t:Anchor>
        <t:SetTitle title="@TRYON, Allison this may require legislative reference, rather than the section above"/>
      </t:Event>
    </t:History>
  </t:Task>
  <t:Task id="{B2C65F71-CBAB-49CC-87D4-3A608CC530EE}">
    <t:Anchor>
      <t:Comment id="845226506"/>
    </t:Anchor>
    <t:History>
      <t:Event id="{017EA63D-2BCD-48F4-B9E1-E19F99770177}" time="2025-09-05T04:45:02.454Z">
        <t:Attribution userId="S::Allison.TRYON@health.gov.au::71c20f7a-3b43-40a4-93b8-deb4a304dbbc" userProvider="AD" userName="TRYON, Allison"/>
        <t:Anchor>
          <t:Comment id="845226506"/>
        </t:Anchor>
        <t:Create/>
      </t:Event>
      <t:Event id="{FDFCC897-C7C0-4D46-826A-6EAB0C6D955E}" time="2025-09-05T04:45:02.454Z">
        <t:Attribution userId="S::Allison.TRYON@health.gov.au::71c20f7a-3b43-40a4-93b8-deb4a304dbbc" userProvider="AD" userName="TRYON, Allison"/>
        <t:Anchor>
          <t:Comment id="845226506"/>
        </t:Anchor>
        <t:Assign userId="S::Louise.SUTTON@Health.gov.au::2e5adbd8-347a-457e-9347-0f6af4175452" userProvider="AD" userName="SUTTON, Louise"/>
      </t:Event>
      <t:Event id="{FCB8E106-DA13-4B50-8D24-9EA65D95919B}" time="2025-09-05T04:45:02.454Z">
        <t:Attribution userId="S::Allison.TRYON@health.gov.au::71c20f7a-3b43-40a4-93b8-deb4a304dbbc" userProvider="AD" userName="TRYON, Allison"/>
        <t:Anchor>
          <t:Comment id="845226506"/>
        </t:Anchor>
        <t:SetTitle title="@SUTTON, Louise From Step -I find this a little confusing. Recommend stating more clearly eg the statement must include a declaration that the registered provider has delivered grant activities consistent with the Child Safety supplementary terms of the…"/>
      </t:Event>
      <t:Event id="{AB270D7A-D529-46B5-9810-470693D348DD}" time="2025-09-05T05:10:09.259Z">
        <t:Attribution userId="S::louise.sutton@health.gov.au::2e5adbd8-347a-457e-9347-0f6af4175452" userProvider="AD" userName="SUTTON, Louise"/>
        <t:Anchor>
          <t:Comment id="1037869417"/>
        </t:Anchor>
        <t:UnassignAll/>
      </t:Event>
      <t:Event id="{D58EA992-B6DB-4BCD-A0F7-BF058A1BD0C9}" time="2025-09-05T05:10:09.259Z">
        <t:Attribution userId="S::louise.sutton@health.gov.au::2e5adbd8-347a-457e-9347-0f6af4175452" userProvider="AD" userName="SUTTON, Louise"/>
        <t:Anchor>
          <t:Comment id="1037869417"/>
        </t:Anchor>
        <t:Assign userId="S::Kye.Traynor@health.gov.au::f25bd36f-540e-4842-879d-8610bd152dff" userProvider="AD" userName="TRAYNOR, Kye"/>
      </t:Event>
      <t:Event id="{712007DD-BFFB-471B-A3D3-2D1BAB65AFBA}" time="2025-09-05T07:04:05.673Z">
        <t:Attribution userId="S::louise.sutton@health.gov.au::2e5adbd8-347a-457e-9347-0f6af4175452" userProvider="AD" userName="SUTTON, Louise"/>
        <t:Progress percentComplete="100"/>
      </t:Event>
    </t:History>
  </t:Task>
  <t:Task id="{4D91BF5F-9C51-4388-B01F-7A108E158D0C}">
    <t:Anchor>
      <t:Comment id="446257802"/>
    </t:Anchor>
    <t:History>
      <t:Event id="{3E2BCDFE-9AA0-483F-A78A-72053279D45D}" time="2025-09-05T04:39:54.77Z">
        <t:Attribution userId="S::Allison.TRYON@health.gov.au::71c20f7a-3b43-40a4-93b8-deb4a304dbbc" userProvider="AD" userName="TRYON, Allison"/>
        <t:Anchor>
          <t:Comment id="446257802"/>
        </t:Anchor>
        <t:Create/>
      </t:Event>
      <t:Event id="{24F34F89-FE78-4C9D-8E56-F3370AA23322}" time="2025-09-05T04:39:54.77Z">
        <t:Attribution userId="S::Allison.TRYON@health.gov.au::71c20f7a-3b43-40a4-93b8-deb4a304dbbc" userProvider="AD" userName="TRYON, Allison"/>
        <t:Anchor>
          <t:Comment id="446257802"/>
        </t:Anchor>
        <t:Assign userId="S::Louise.SUTTON@Health.gov.au::2e5adbd8-347a-457e-9347-0f6af4175452" userProvider="AD" userName="SUTTON, Louise"/>
      </t:Event>
      <t:Event id="{696B4640-BEF1-488D-97EC-4EB45634FF77}" time="2025-09-05T04:39:54.77Z">
        <t:Attribution userId="S::Allison.TRYON@health.gov.au::71c20f7a-3b43-40a4-93b8-deb4a304dbbc" userProvider="AD" userName="TRYON, Allison"/>
        <t:Anchor>
          <t:Comment id="446257802"/>
        </t:Anchor>
        <t:SetTitle title="@SUTTON, Louise From Steph (legals) - Under what authority? Is it a debt to the Commonwealth? if so, under what legislation is it being recovered? Does the leg allow for a payment plan? In time available, have not had time to consider detail, but it is…"/>
      </t:Event>
      <t:Event id="{E03DAB09-9608-4EFA-9A6B-94AF1144084A}" time="2025-09-05T05:00:40.417Z">
        <t:Attribution userId="S::louise.sutton@health.gov.au::2e5adbd8-347a-457e-9347-0f6af4175452" userProvider="AD" userName="SUTTON, Louise"/>
        <t:Anchor>
          <t:Comment id="940738618"/>
        </t:Anchor>
        <t:UnassignAll/>
      </t:Event>
      <t:Event id="{5010D05A-F291-4EA9-82BE-6279EF11623D}" time="2025-09-05T05:00:40.417Z">
        <t:Attribution userId="S::louise.sutton@health.gov.au::2e5adbd8-347a-457e-9347-0f6af4175452" userProvider="AD" userName="SUTTON, Louise"/>
        <t:Anchor>
          <t:Comment id="940738618"/>
        </t:Anchor>
        <t:Assign userId="S::Kye.Traynor@health.gov.au::f25bd36f-540e-4842-879d-8610bd152dff" userProvider="AD" userName="TRAYNOR, Ky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8600df-d0b0-4bf8-9919-75fbfdc08afc">Approved</Status>
    <Program xmlns="3e8600df-d0b0-4bf8-9919-75fbfdc08afc">OTHER</Program>
    <Rusrtcleared xmlns="3e8600df-d0b0-4bf8-9919-75fbfdc08afc" xsi:nil="true"/>
    <EL2cleared xmlns="3e8600df-d0b0-4bf8-9919-75fbfdc08afc">Yes</EL2cleared>
    <FAS_x0020_cleared xmlns="3e8600df-d0b0-4bf8-9919-75fbfdc08afc">N/A</FAS_x0020_cleared>
    <lcf76f155ced4ddcb4097134ff3c332f xmlns="3e8600df-d0b0-4bf8-9919-75fbfdc08afc">
      <Terms xmlns="http://schemas.microsoft.com/office/infopath/2007/PartnerControls"/>
    </lcf76f155ced4ddcb4097134ff3c332f>
    <TaxCatchAll xmlns="b460321b-948a-465f-b38c-9a30c8f89503" xsi:nil="true"/>
    <Comment xmlns="3e8600df-d0b0-4bf8-9919-75fbfdc08a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32" ma:contentTypeDescription="Create a new document." ma:contentTypeScope="" ma:versionID="e56e65c1b98e91e003434cbfb1d80102">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ce2e81b6193f5ff123addacddc8cc51e" ns2:_="" ns3:_="">
    <xsd:import namespace="3e8600df-d0b0-4bf8-9919-75fbfdc08afc"/>
    <xsd:import namespace="b460321b-948a-465f-b38c-9a30c8f89503"/>
    <xsd:element name="properties">
      <xsd:complexType>
        <xsd:sequence>
          <xsd:element name="documentManagement">
            <xsd:complexType>
              <xsd:all>
                <xsd:element ref="ns2:Status" minOccurs="0"/>
                <xsd:element ref="ns2:Rusrtcleared" minOccurs="0"/>
                <xsd:element ref="ns2:EL2cleared" minOccurs="0"/>
                <xsd:element ref="ns2:FAS_x0020_cleare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Program" minOccurs="0"/>
                <xsd:element ref="ns2:MediaServiceSearchProperties"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Status" ma:index="1" nillable="true" ma:displayName="Status" ma:default="In draft" ma:format="Dropdown" ma:internalName="Status">
      <xsd:simpleType>
        <xsd:restriction base="dms:Choice">
          <xsd:enumeration value="Sent in PDMS"/>
          <xsd:enumeration value="In draft"/>
          <xsd:enumeration value="Approved"/>
          <xsd:enumeration value="With Lawyers"/>
        </xsd:restriction>
      </xsd:simpleType>
    </xsd:element>
    <xsd:element name="Rusrtcleared" ma:index="2" nillable="true" ma:displayName="AS cleared" ma:format="Dropdown" ma:internalName="Rusrtcleared">
      <xsd:simpleType>
        <xsd:restriction base="dms:Choice">
          <xsd:enumeration value="Cleared"/>
          <xsd:enumeration value="Redraft"/>
          <xsd:enumeration value="Ready for AS"/>
          <xsd:enumeration value="Not yet reviewed"/>
          <xsd:enumeration value="Under review"/>
        </xsd:restriction>
      </xsd:simpleType>
    </xsd:element>
    <xsd:element name="EL2cleared" ma:index="3" nillable="true" ma:displayName="EL2 cleared" ma:default="No" ma:format="RadioButtons" ma:internalName="EL2cleared">
      <xsd:simpleType>
        <xsd:restriction base="dms:Choice">
          <xsd:enumeration value="Yes - CHSP Policy Only"/>
          <xsd:enumeration value="Yes - CHSP Program only"/>
          <xsd:enumeration value="Yes"/>
          <xsd:enumeration value="No"/>
          <xsd:enumeration value="Yes - CHSP Policy and Program"/>
          <xsd:enumeration value="Yes - CHSP Compliance"/>
        </xsd:restriction>
      </xsd:simpleType>
    </xsd:element>
    <xsd:element name="FAS_x0020_cleared" ma:index="4" nillable="true" ma:displayName="FAS cleared" ma:default="N/A" ma:format="Dropdown" ma:hidden="true" ma:internalName="FAS_x0020_cleared">
      <xsd:simpleType>
        <xsd:restriction base="dms:Choice">
          <xsd:enumeration value="Cleared"/>
          <xsd:enumeration value="Redraft"/>
          <xsd:enumeration value="N/A"/>
          <xsd:enumeration value="Ready for FAS"/>
          <xsd:enumeration value="Under review"/>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Program" ma:index="21" nillable="true" ma:displayName="Program" ma:default="OTHER" ma:format="Dropdown" ma:internalName="Program">
      <xsd:simpleType>
        <xsd:restriction base="dms:Choice">
          <xsd:enumeration value="DSOA"/>
          <xsd:enumeration value="CHSP"/>
          <xsd:enumeration value="HCP"/>
          <xsd:enumeration value="FWC"/>
          <xsd:enumeration value="CONTINENCE"/>
          <xsd:enumeration value="CARERS"/>
          <xsd:enumeration value="OTHER"/>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Comment" ma:index="2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21b2af73-0ffd-4169-8879-5e97ea4a3dec}"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E6DEF-DA8D-4933-8B0D-09FAFB77EE8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e8600df-d0b0-4bf8-9919-75fbfdc08afc"/>
    <ds:schemaRef ds:uri="http://purl.org/dc/terms/"/>
    <ds:schemaRef ds:uri="b460321b-948a-465f-b38c-9a30c8f895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CE0FF7-8C88-4D6D-8C05-6EBDD725E056}">
  <ds:schemaRefs>
    <ds:schemaRef ds:uri="http://schemas.openxmlformats.org/officeDocument/2006/bibliography"/>
  </ds:schemaRefs>
</ds:datastoreItem>
</file>

<file path=customXml/itemProps3.xml><?xml version="1.0" encoding="utf-8"?>
<ds:datastoreItem xmlns:ds="http://schemas.openxmlformats.org/officeDocument/2006/customXml" ds:itemID="{0D57EB2D-591D-4A96-8247-DADB7ADDEF22}">
  <ds:schemaRefs>
    <ds:schemaRef ds:uri="http://schemas.microsoft.com/sharepoint/v3/contenttype/forms"/>
  </ds:schemaRefs>
</ds:datastoreItem>
</file>

<file path=customXml/itemProps4.xml><?xml version="1.0" encoding="utf-8"?>
<ds:datastoreItem xmlns:ds="http://schemas.openxmlformats.org/officeDocument/2006/customXml" ds:itemID="{C3B53E33-F6DB-423F-B1FF-DAE5269A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2374</Words>
  <Characters>13248</Characters>
  <Application>Microsoft Office Word</Application>
  <DocSecurity>2</DocSecurity>
  <Lines>248</Lines>
  <Paragraphs>128</Paragraphs>
  <ScaleCrop>false</ScaleCrop>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CHSP Compliance Framework</dc:title>
  <dc:subject>aged care</dc:subject>
  <dc:creator>Australian Government Department of Health and Aged Care</dc:creator>
  <cp:keywords>Aged care; Commonwealth Home Support Programme</cp:keywords>
  <dc:description/>
  <cp:lastModifiedBy>COSTIN, Siobhan</cp:lastModifiedBy>
  <cp:revision>4</cp:revision>
  <cp:lastPrinted>2025-10-09T00:49:00Z</cp:lastPrinted>
  <dcterms:created xsi:type="dcterms:W3CDTF">2025-10-02T10:43:00Z</dcterms:created>
  <dcterms:modified xsi:type="dcterms:W3CDTF">2025-10-09T00:49:00Z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etDate">
    <vt:lpwstr>2025-08-07T00:33:07Z</vt:lpwstr>
  </property>
  <property fmtid="{D5CDD505-2E9C-101B-9397-08002B2CF9AE}" pid="6" name="MSIP_Label_7cd3e8b9-ffed-43a8-b7f4-cc2fa0382d36_Method">
    <vt:lpwstr>Privileged</vt:lpwstr>
  </property>
  <property fmtid="{D5CDD505-2E9C-101B-9397-08002B2CF9AE}" pid="7" name="MSIP_Label_7cd3e8b9-ffed-43a8-b7f4-cc2fa0382d36_Name">
    <vt:lpwstr>O</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ActionId">
    <vt:lpwstr>c5a4df37-8fc9-4e8d-b1ed-a6636bc4719f</vt:lpwstr>
  </property>
  <property fmtid="{D5CDD505-2E9C-101B-9397-08002B2CF9AE}" pid="10" name="MSIP_Label_7cd3e8b9-ffed-43a8-b7f4-cc2fa0382d36_ContentBits">
    <vt:lpwstr>3</vt:lpwstr>
  </property>
  <property fmtid="{D5CDD505-2E9C-101B-9397-08002B2CF9AE}" pid="11" name="MSIP_Label_7cd3e8b9-ffed-43a8-b7f4-cc2fa0382d36_Tag">
    <vt:lpwstr>10, 0, 1, 1</vt:lpwstr>
  </property>
</Properties>
</file>