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422E" w14:textId="4388A6BF" w:rsidR="002C026F" w:rsidRPr="00D44D7A" w:rsidRDefault="002C026F" w:rsidP="002C026F">
      <w:pPr>
        <w:pStyle w:val="Title"/>
        <w:rPr>
          <w:rFonts w:cs="Arial"/>
        </w:rPr>
      </w:pPr>
      <w:r w:rsidRPr="00D44D7A">
        <w:rPr>
          <w:rFonts w:cs="Arial"/>
        </w:rPr>
        <w:t>Thriving Kids Advisory Group</w:t>
      </w:r>
    </w:p>
    <w:p w14:paraId="1FA3C2F8" w14:textId="1BE39FE0" w:rsidR="002C026F" w:rsidRPr="00D44D7A" w:rsidRDefault="002C026F" w:rsidP="002C026F">
      <w:pPr>
        <w:pStyle w:val="Title"/>
        <w:rPr>
          <w:rFonts w:cs="Arial"/>
        </w:rPr>
      </w:pPr>
      <w:r w:rsidRPr="00D44D7A">
        <w:rPr>
          <w:rFonts w:cs="Arial"/>
        </w:rPr>
        <w:t xml:space="preserve">Terms of Reference </w:t>
      </w:r>
    </w:p>
    <w:p w14:paraId="76B963EE" w14:textId="7368C6C0" w:rsidR="002C026F" w:rsidRPr="00D44D7A" w:rsidRDefault="002C026F" w:rsidP="002C026F">
      <w:pPr>
        <w:rPr>
          <w:rFonts w:cs="Arial"/>
          <w:sz w:val="24"/>
          <w:szCs w:val="28"/>
        </w:rPr>
      </w:pPr>
      <w:r w:rsidRPr="00D44D7A">
        <w:rPr>
          <w:rFonts w:cs="Arial"/>
          <w:sz w:val="24"/>
          <w:szCs w:val="28"/>
        </w:rPr>
        <w:t>September 2025</w:t>
      </w:r>
    </w:p>
    <w:p w14:paraId="687B58EB" w14:textId="77777777" w:rsidR="002C026F" w:rsidRPr="00D44D7A" w:rsidRDefault="002C026F" w:rsidP="006C3C2F">
      <w:pPr>
        <w:tabs>
          <w:tab w:val="left" w:pos="720"/>
          <w:tab w:val="center" w:pos="4513"/>
          <w:tab w:val="right" w:pos="9026"/>
        </w:tabs>
        <w:rPr>
          <w:rFonts w:eastAsia="Aptos" w:cs="Arial"/>
          <w:b/>
          <w:bCs/>
          <w:kern w:val="2"/>
          <w14:ligatures w14:val="standardContextual"/>
        </w:rPr>
      </w:pPr>
    </w:p>
    <w:p w14:paraId="5F0F0B62" w14:textId="71156566" w:rsidR="002C026F" w:rsidRPr="00D44D7A" w:rsidRDefault="002C026F" w:rsidP="006C3C2F">
      <w:pPr>
        <w:pStyle w:val="Heading3"/>
        <w:spacing w:line="276" w:lineRule="auto"/>
        <w:rPr>
          <w:rFonts w:eastAsia="Aptos"/>
        </w:rPr>
      </w:pPr>
      <w:r w:rsidRPr="00D44D7A">
        <w:rPr>
          <w:rFonts w:eastAsia="Aptos"/>
        </w:rPr>
        <w:t>Purpose of the Advisory Group</w:t>
      </w:r>
    </w:p>
    <w:p w14:paraId="5F348A89" w14:textId="77777777" w:rsidR="002C026F" w:rsidRPr="00D44D7A" w:rsidRDefault="002C026F" w:rsidP="006C3C2F">
      <w:pPr>
        <w:spacing w:after="160"/>
        <w:rPr>
          <w:rFonts w:eastAsia="Aptos" w:cs="Arial"/>
          <w:kern w:val="2"/>
          <w:sz w:val="24"/>
          <w14:ligatures w14:val="standardContextual"/>
        </w:rPr>
      </w:pPr>
      <w:r w:rsidRPr="00D44D7A">
        <w:rPr>
          <w:rFonts w:eastAsia="Aptos" w:cs="Arial"/>
          <w:kern w:val="2"/>
          <w:sz w:val="24"/>
          <w14:ligatures w14:val="standardContextual"/>
        </w:rPr>
        <w:t>Established by the Hon Mark Butler MP, Minister for Health and Ageing, and the Minister Disability and the National Disability Insurance Scheme (NDIS), the Thriving Kids Advisory Group (the Group) will bring together diverse expertise to shape and support the national design of Thriving Kids.</w:t>
      </w:r>
    </w:p>
    <w:p w14:paraId="7DB3A519" w14:textId="77777777" w:rsidR="002C026F" w:rsidRPr="00D44D7A" w:rsidRDefault="002C026F" w:rsidP="006C3C2F">
      <w:pPr>
        <w:spacing w:after="160"/>
        <w:rPr>
          <w:rFonts w:eastAsia="Aptos" w:cs="Arial"/>
          <w:kern w:val="2"/>
          <w:sz w:val="24"/>
          <w14:ligatures w14:val="standardContextual"/>
        </w:rPr>
      </w:pPr>
      <w:r w:rsidRPr="00D44D7A">
        <w:rPr>
          <w:rFonts w:eastAsia="Aptos" w:cs="Arial"/>
          <w:kern w:val="2"/>
          <w:sz w:val="24"/>
          <w14:ligatures w14:val="standardContextual"/>
        </w:rPr>
        <w:t xml:space="preserve">Thriving Kids will deliver a national system of supports outside the NDIS for children aged 8 and under with developmental delay and disability with low to moderate needs, and their families. </w:t>
      </w:r>
    </w:p>
    <w:p w14:paraId="6FD1AF88" w14:textId="77777777" w:rsidR="002C026F" w:rsidRPr="00D44D7A" w:rsidRDefault="002C026F" w:rsidP="006C3C2F">
      <w:pPr>
        <w:spacing w:after="160"/>
        <w:rPr>
          <w:rFonts w:cs="Arial"/>
          <w:sz w:val="24"/>
        </w:rPr>
      </w:pPr>
      <w:proofErr w:type="gramStart"/>
      <w:r w:rsidRPr="00D44D7A">
        <w:rPr>
          <w:rFonts w:eastAsia="Aptos" w:cs="Arial"/>
          <w:kern w:val="2"/>
          <w:sz w:val="24"/>
          <w14:ligatures w14:val="standardContextual"/>
        </w:rPr>
        <w:t>The Group, Co-Chaired by Minister Butler and Professor Frank Oberklaid AM,</w:t>
      </w:r>
      <w:proofErr w:type="gramEnd"/>
      <w:r w:rsidRPr="00D44D7A">
        <w:rPr>
          <w:rFonts w:eastAsia="Aptos" w:cs="Arial"/>
          <w:kern w:val="2"/>
          <w:sz w:val="24"/>
          <w14:ligatures w14:val="standardContextual"/>
        </w:rPr>
        <w:t xml:space="preserve"> will consider findings from the NDIS Review,</w:t>
      </w:r>
      <w:r w:rsidRPr="00D44D7A">
        <w:rPr>
          <w:rFonts w:cs="Arial"/>
          <w:sz w:val="24"/>
        </w:rPr>
        <w:t xml:space="preserve"> the Parliamentary Inquiry into Thriving Kids, </w:t>
      </w:r>
      <w:r w:rsidRPr="00D44D7A">
        <w:rPr>
          <w:rFonts w:eastAsia="Aptos" w:cs="Arial"/>
          <w:kern w:val="2"/>
          <w:sz w:val="24"/>
          <w14:ligatures w14:val="standardContextual"/>
        </w:rPr>
        <w:t xml:space="preserve">national Foundational Supports consultations, and </w:t>
      </w:r>
      <w:r w:rsidRPr="00D44D7A">
        <w:rPr>
          <w:rStyle w:val="cf01"/>
          <w:rFonts w:ascii="Arial" w:eastAsiaTheme="majorEastAsia" w:hAnsi="Arial" w:cs="Arial"/>
          <w:sz w:val="24"/>
          <w:szCs w:val="24"/>
        </w:rPr>
        <w:t xml:space="preserve">input from other sources. </w:t>
      </w:r>
    </w:p>
    <w:p w14:paraId="5A47F38F" w14:textId="77777777" w:rsidR="002C026F" w:rsidRPr="00D44D7A" w:rsidRDefault="002C026F" w:rsidP="006C3C2F">
      <w:pPr>
        <w:pStyle w:val="pf0"/>
        <w:spacing w:line="276" w:lineRule="auto"/>
        <w:rPr>
          <w:rFonts w:ascii="Arial" w:eastAsiaTheme="minorEastAsia" w:hAnsi="Arial" w:cs="Arial"/>
        </w:rPr>
      </w:pPr>
      <w:r w:rsidRPr="00D44D7A">
        <w:rPr>
          <w:rFonts w:ascii="Arial" w:eastAsiaTheme="minorEastAsia" w:hAnsi="Arial" w:cs="Arial"/>
        </w:rPr>
        <w:t>The Group will progress its advice through 3 rapid phases:</w:t>
      </w:r>
    </w:p>
    <w:p w14:paraId="0E8716B2" w14:textId="77777777" w:rsidR="006C3C2F" w:rsidRPr="00D44D7A" w:rsidRDefault="002C026F" w:rsidP="006C3C2F">
      <w:pPr>
        <w:pStyle w:val="pf0"/>
        <w:numPr>
          <w:ilvl w:val="1"/>
          <w:numId w:val="33"/>
        </w:numPr>
        <w:spacing w:line="276" w:lineRule="auto"/>
        <w:ind w:left="851" w:hanging="567"/>
        <w:rPr>
          <w:rFonts w:ascii="Arial" w:eastAsia="Aptos" w:hAnsi="Arial" w:cs="Arial"/>
        </w:rPr>
      </w:pPr>
      <w:bookmarkStart w:id="0" w:name="_Hlk208640155"/>
      <w:proofErr w:type="spellStart"/>
      <w:r w:rsidRPr="00D44D7A">
        <w:rPr>
          <w:rFonts w:ascii="Arial" w:eastAsiaTheme="minorEastAsia" w:hAnsi="Arial" w:cs="Arial"/>
          <w:b/>
          <w:bCs/>
        </w:rPr>
        <w:t>Stocktake</w:t>
      </w:r>
      <w:proofErr w:type="spellEnd"/>
      <w:r w:rsidRPr="00D44D7A">
        <w:rPr>
          <w:rFonts w:ascii="Arial" w:eastAsiaTheme="minorEastAsia" w:hAnsi="Arial" w:cs="Arial"/>
          <w:b/>
          <w:bCs/>
        </w:rPr>
        <w:t xml:space="preserve"> and Exploration:</w:t>
      </w:r>
      <w:r w:rsidRPr="00D44D7A">
        <w:rPr>
          <w:rFonts w:ascii="Arial" w:eastAsiaTheme="minorEastAsia" w:hAnsi="Arial" w:cs="Arial"/>
        </w:rPr>
        <w:t xml:space="preserve"> The Group will discuss work undertaken to-date and explore findings from other reviews, analysis, frameworks and evidence-based literature to support collective understanding of the service system, and any gaps, for the in-scope cohort. </w:t>
      </w:r>
    </w:p>
    <w:p w14:paraId="567207D2" w14:textId="6F7E6362" w:rsidR="006C3C2F" w:rsidRPr="00D44D7A" w:rsidRDefault="002C026F" w:rsidP="006C3C2F">
      <w:pPr>
        <w:pStyle w:val="pf0"/>
        <w:spacing w:line="276" w:lineRule="auto"/>
        <w:ind w:left="851"/>
        <w:rPr>
          <w:rFonts w:ascii="Arial" w:eastAsia="Aptos" w:hAnsi="Arial" w:cs="Arial"/>
        </w:rPr>
      </w:pPr>
      <w:r w:rsidRPr="00D44D7A">
        <w:rPr>
          <w:rFonts w:ascii="Arial" w:eastAsiaTheme="minorEastAsia" w:hAnsi="Arial" w:cs="Arial"/>
        </w:rPr>
        <w:t xml:space="preserve">The Group will then provide preliminary advice on key elements of the potential service model/s across both Commonwealth and state responsibilities. </w:t>
      </w:r>
    </w:p>
    <w:p w14:paraId="7D5CE9B2" w14:textId="28E88936" w:rsidR="002C026F" w:rsidRPr="00D44D7A" w:rsidRDefault="002C026F" w:rsidP="006C3C2F">
      <w:pPr>
        <w:pStyle w:val="ListParagraph"/>
        <w:numPr>
          <w:ilvl w:val="1"/>
          <w:numId w:val="33"/>
        </w:numPr>
        <w:spacing w:before="0" w:after="0"/>
        <w:ind w:left="851" w:hanging="567"/>
        <w:rPr>
          <w:rFonts w:eastAsia="Aptos" w:cs="Arial"/>
          <w:sz w:val="24"/>
          <w:lang w:val="en-US"/>
        </w:rPr>
      </w:pPr>
      <w:r w:rsidRPr="00D44D7A">
        <w:rPr>
          <w:rFonts w:eastAsiaTheme="minorEastAsia" w:cs="Arial"/>
          <w:b/>
          <w:bCs/>
          <w:sz w:val="24"/>
          <w:lang w:val="en-US"/>
        </w:rPr>
        <w:t>Refinement</w:t>
      </w:r>
      <w:r w:rsidRPr="00D44D7A">
        <w:rPr>
          <w:rFonts w:eastAsiaTheme="minorEastAsia" w:cs="Arial"/>
          <w:i/>
          <w:iCs/>
          <w:sz w:val="24"/>
          <w:lang w:val="en-US"/>
        </w:rPr>
        <w:t>:</w:t>
      </w:r>
      <w:r w:rsidRPr="00D44D7A">
        <w:rPr>
          <w:rFonts w:eastAsiaTheme="minorEastAsia" w:cs="Arial"/>
          <w:sz w:val="24"/>
          <w:lang w:val="en-US"/>
        </w:rPr>
        <w:t xml:space="preserve"> The Group would provide initial advice on key components of a model for delivery of Thriving Kids across Australia. The Group will work to refine the model or models and program </w:t>
      </w:r>
      <w:proofErr w:type="gramStart"/>
      <w:r w:rsidRPr="00D44D7A">
        <w:rPr>
          <w:rFonts w:eastAsiaTheme="minorEastAsia" w:cs="Arial"/>
          <w:sz w:val="24"/>
          <w:lang w:val="en-US"/>
        </w:rPr>
        <w:t>landscape, and</w:t>
      </w:r>
      <w:proofErr w:type="gramEnd"/>
      <w:r w:rsidRPr="00D44D7A">
        <w:rPr>
          <w:rFonts w:eastAsiaTheme="minorEastAsia" w:cs="Arial"/>
          <w:sz w:val="24"/>
          <w:lang w:val="en-US"/>
        </w:rPr>
        <w:t xml:space="preserve"> consider other inputs and evidence. </w:t>
      </w:r>
    </w:p>
    <w:p w14:paraId="41C6E249" w14:textId="77777777" w:rsidR="006C3C2F" w:rsidRPr="00D44D7A" w:rsidRDefault="006C3C2F" w:rsidP="006C3C2F">
      <w:pPr>
        <w:pStyle w:val="ListParagraph"/>
        <w:spacing w:before="0" w:after="0"/>
        <w:ind w:left="851"/>
        <w:rPr>
          <w:rFonts w:eastAsia="Aptos" w:cs="Arial"/>
          <w:sz w:val="24"/>
          <w:lang w:val="en-US"/>
        </w:rPr>
      </w:pPr>
    </w:p>
    <w:p w14:paraId="707E4F17" w14:textId="77777777" w:rsidR="002C026F" w:rsidRPr="00D44D7A" w:rsidRDefault="002C026F" w:rsidP="006C3C2F">
      <w:pPr>
        <w:pStyle w:val="ListParagraph"/>
        <w:numPr>
          <w:ilvl w:val="1"/>
          <w:numId w:val="33"/>
        </w:numPr>
        <w:spacing w:before="0" w:after="0"/>
        <w:ind w:left="810" w:hanging="540"/>
        <w:rPr>
          <w:rFonts w:eastAsia="Aptos" w:cs="Arial"/>
          <w:sz w:val="24"/>
          <w:lang w:val="en-US"/>
        </w:rPr>
      </w:pPr>
      <w:r w:rsidRPr="00D44D7A">
        <w:rPr>
          <w:rFonts w:eastAsiaTheme="minorEastAsia" w:cs="Arial"/>
          <w:b/>
          <w:bCs/>
          <w:sz w:val="24"/>
          <w:lang w:val="en-US"/>
        </w:rPr>
        <w:t>Final advice:</w:t>
      </w:r>
      <w:r w:rsidRPr="00D44D7A">
        <w:rPr>
          <w:rFonts w:eastAsiaTheme="minorEastAsia" w:cs="Arial"/>
          <w:sz w:val="24"/>
          <w:lang w:val="en-US"/>
        </w:rPr>
        <w:t xml:space="preserve"> The Group will then </w:t>
      </w:r>
      <w:proofErr w:type="spellStart"/>
      <w:r w:rsidRPr="00D44D7A">
        <w:rPr>
          <w:rFonts w:eastAsiaTheme="minorEastAsia" w:cs="Arial"/>
          <w:sz w:val="24"/>
          <w:lang w:val="en-US"/>
        </w:rPr>
        <w:t>finalise</w:t>
      </w:r>
      <w:proofErr w:type="spellEnd"/>
      <w:r w:rsidRPr="00D44D7A">
        <w:rPr>
          <w:rFonts w:eastAsiaTheme="minorEastAsia" w:cs="Arial"/>
          <w:sz w:val="24"/>
          <w:lang w:val="en-US"/>
        </w:rPr>
        <w:t xml:space="preserve"> their advice. This may cover proposed service models/service scope, outcomes monitoring/evaluation, implementation considerations, cohort considerations, commissioning and advice related to communication/engagement strategies.</w:t>
      </w:r>
    </w:p>
    <w:bookmarkEnd w:id="0"/>
    <w:p w14:paraId="7D1C6115" w14:textId="133B7AE6" w:rsidR="002C026F" w:rsidRPr="00D44D7A" w:rsidRDefault="002C026F" w:rsidP="006C3C2F">
      <w:pPr>
        <w:tabs>
          <w:tab w:val="left" w:pos="720"/>
          <w:tab w:val="center" w:pos="4513"/>
          <w:tab w:val="right" w:pos="9026"/>
        </w:tabs>
        <w:rPr>
          <w:rFonts w:eastAsia="Aptos" w:cs="Arial"/>
          <w:kern w:val="2"/>
          <w:sz w:val="24"/>
          <w14:ligatures w14:val="standardContextual"/>
        </w:rPr>
      </w:pPr>
      <w:r w:rsidRPr="00D44D7A">
        <w:rPr>
          <w:rFonts w:eastAsia="Aptos" w:cs="Arial"/>
          <w:kern w:val="2"/>
          <w:sz w:val="24"/>
          <w14:ligatures w14:val="standardContextual"/>
        </w:rPr>
        <w:lastRenderedPageBreak/>
        <w:t xml:space="preserve">The Group is not intended to replicate or duplicate existing governance or forums that provide an opportunity for stakeholders to communicate to government on health and disability reforms. Existing channels of engagement and consultation will continue to provide other sources of advice to governments. </w:t>
      </w:r>
    </w:p>
    <w:p w14:paraId="44C56095" w14:textId="77777777" w:rsidR="002C026F" w:rsidRPr="00D44D7A" w:rsidRDefault="002C026F" w:rsidP="006C3C2F">
      <w:pPr>
        <w:tabs>
          <w:tab w:val="left" w:pos="720"/>
          <w:tab w:val="center" w:pos="4513"/>
          <w:tab w:val="right" w:pos="9026"/>
        </w:tabs>
        <w:rPr>
          <w:rFonts w:eastAsia="Aptos" w:cs="Arial"/>
          <w:kern w:val="2"/>
          <w:sz w:val="24"/>
          <w14:ligatures w14:val="standardContextual"/>
        </w:rPr>
      </w:pPr>
      <w:r w:rsidRPr="00D44D7A">
        <w:rPr>
          <w:rFonts w:eastAsia="Aptos" w:cs="Arial"/>
          <w:kern w:val="2"/>
          <w:sz w:val="24"/>
          <w14:ligatures w14:val="standardContextual"/>
        </w:rPr>
        <w:t xml:space="preserve">The Group is responsible for providing advice for the consideration of all governments as part of their design and negotiation work on Thriving Kids. </w:t>
      </w:r>
    </w:p>
    <w:p w14:paraId="60229591" w14:textId="77777777" w:rsidR="002C026F" w:rsidRPr="00D44D7A" w:rsidRDefault="002C026F" w:rsidP="006C3C2F">
      <w:pPr>
        <w:pStyle w:val="Heading3"/>
        <w:spacing w:line="276" w:lineRule="auto"/>
        <w:rPr>
          <w:rFonts w:eastAsia="Aptos"/>
          <w:b w:val="0"/>
          <w:bCs w:val="0"/>
          <w:kern w:val="2"/>
          <w14:ligatures w14:val="standardContextual"/>
        </w:rPr>
      </w:pPr>
      <w:r w:rsidRPr="00D44D7A">
        <w:rPr>
          <w:rFonts w:eastAsia="Aptos"/>
        </w:rPr>
        <w:t>Background</w:t>
      </w:r>
    </w:p>
    <w:p w14:paraId="6590EF7F" w14:textId="0D9B5BED" w:rsidR="006C3C2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 xml:space="preserve">In December 2023, National Cabinet agreed the Commonwealth and state and territory governments jointly fund additional supports for people with disability called Foundational Supports. Governments are working together to design and implement these supports in a phased approach. </w:t>
      </w:r>
    </w:p>
    <w:p w14:paraId="34077D52" w14:textId="77777777" w:rsidR="002C026F" w:rsidRPr="00D44D7A" w:rsidRDefault="002C026F" w:rsidP="006C3C2F">
      <w:pPr>
        <w:pStyle w:val="Heading3"/>
        <w:spacing w:line="276" w:lineRule="auto"/>
        <w:rPr>
          <w:rFonts w:eastAsia="Aptos"/>
        </w:rPr>
      </w:pPr>
      <w:r w:rsidRPr="00D44D7A">
        <w:rPr>
          <w:rFonts w:eastAsia="Aptos"/>
        </w:rPr>
        <w:t>Roles and responsibilities</w:t>
      </w:r>
    </w:p>
    <w:p w14:paraId="50CB635E" w14:textId="57872DCC" w:rsidR="002C026F" w:rsidRPr="00D44D7A" w:rsidRDefault="002C026F" w:rsidP="006C3C2F">
      <w:pPr>
        <w:tabs>
          <w:tab w:val="left" w:pos="720"/>
          <w:tab w:val="center" w:pos="4513"/>
          <w:tab w:val="right" w:pos="9026"/>
        </w:tabs>
        <w:rPr>
          <w:rFonts w:eastAsia="Aptos" w:cs="Arial"/>
          <w:sz w:val="24"/>
          <w:szCs w:val="28"/>
        </w:rPr>
      </w:pPr>
      <w:r w:rsidRPr="00D44D7A">
        <w:rPr>
          <w:rFonts w:eastAsia="Aptos" w:cs="Arial"/>
          <w:kern w:val="2"/>
          <w:sz w:val="24"/>
          <w:szCs w:val="28"/>
          <w14:ligatures w14:val="standardContextual"/>
        </w:rPr>
        <w:t>The Group will provide advice to the Minister on the matters in scope.</w:t>
      </w:r>
      <w:r w:rsidRPr="00D44D7A">
        <w:rPr>
          <w:rFonts w:eastAsia="Aptos" w:cs="Arial"/>
          <w:sz w:val="24"/>
          <w:szCs w:val="28"/>
        </w:rPr>
        <w:t xml:space="preserve"> </w:t>
      </w:r>
    </w:p>
    <w:p w14:paraId="6BB8617D" w14:textId="6BE68FC3" w:rsidR="002C026F" w:rsidRPr="00D44D7A" w:rsidRDefault="002C026F" w:rsidP="006C3C2F">
      <w:pPr>
        <w:tabs>
          <w:tab w:val="left" w:pos="720"/>
          <w:tab w:val="center" w:pos="4513"/>
          <w:tab w:val="right" w:pos="9026"/>
        </w:tabs>
        <w:rPr>
          <w:rFonts w:eastAsia="Aptos" w:cs="Arial"/>
          <w:sz w:val="24"/>
          <w:szCs w:val="28"/>
        </w:rPr>
      </w:pPr>
      <w:r w:rsidRPr="00D44D7A">
        <w:rPr>
          <w:rFonts w:eastAsia="Aptos" w:cs="Arial"/>
          <w:sz w:val="24"/>
          <w:szCs w:val="28"/>
        </w:rPr>
        <w:t>As required, select deep dives with relevant stakeholders may be utilised to</w:t>
      </w:r>
      <w:r w:rsidRPr="00D44D7A">
        <w:rPr>
          <w:rFonts w:eastAsia="Aptos" w:cs="Arial"/>
          <w:kern w:val="2"/>
          <w:sz w:val="24"/>
          <w:szCs w:val="28"/>
          <w14:ligatures w14:val="standardContextual"/>
        </w:rPr>
        <w:t xml:space="preserve"> </w:t>
      </w:r>
      <w:r w:rsidRPr="00D44D7A">
        <w:rPr>
          <w:rFonts w:eastAsia="Aptos" w:cs="Arial"/>
          <w:sz w:val="24"/>
          <w:szCs w:val="28"/>
        </w:rPr>
        <w:t xml:space="preserve">support the Advisory Group’s advice to the Government. These would include </w:t>
      </w:r>
      <w:r w:rsidRPr="00D44D7A">
        <w:rPr>
          <w:rFonts w:eastAsia="Arial" w:cs="Arial"/>
          <w:sz w:val="24"/>
          <w:szCs w:val="28"/>
        </w:rPr>
        <w:t xml:space="preserve">Autistic people and the autism community and sector, Disability Representative Organisations, service providers, </w:t>
      </w:r>
      <w:r w:rsidRPr="00D44D7A">
        <w:rPr>
          <w:rFonts w:eastAsia="Aptos" w:cs="Arial"/>
          <w:sz w:val="24"/>
          <w:szCs w:val="28"/>
        </w:rPr>
        <w:t xml:space="preserve">colleges with specialist expertise, unions (incl. Australian Services Union, Health Services Union, United Workers Union, Australian Nursing and Midwifery Federation, Australian Education Union), etc. </w:t>
      </w:r>
    </w:p>
    <w:p w14:paraId="1B80ECA0" w14:textId="77777777" w:rsidR="002C026F" w:rsidRPr="00D44D7A" w:rsidRDefault="002C026F" w:rsidP="006C3C2F">
      <w:pPr>
        <w:tabs>
          <w:tab w:val="left" w:pos="720"/>
          <w:tab w:val="center" w:pos="4513"/>
          <w:tab w:val="right" w:pos="9026"/>
        </w:tabs>
        <w:rPr>
          <w:rFonts w:eastAsia="Aptos" w:cs="Arial"/>
          <w:b/>
          <w:bCs/>
          <w:kern w:val="2"/>
          <w:sz w:val="24"/>
          <w:szCs w:val="28"/>
          <w14:ligatures w14:val="standardContextual"/>
        </w:rPr>
      </w:pPr>
      <w:r w:rsidRPr="00D44D7A">
        <w:rPr>
          <w:rFonts w:eastAsia="Aptos" w:cs="Arial"/>
          <w:sz w:val="24"/>
          <w:szCs w:val="28"/>
        </w:rPr>
        <w:t xml:space="preserve">Deep dives will be organised by the secretariat with the co-chair Professor </w:t>
      </w:r>
      <w:proofErr w:type="spellStart"/>
      <w:r w:rsidRPr="00D44D7A">
        <w:rPr>
          <w:rFonts w:eastAsia="Aptos" w:cs="Arial"/>
          <w:sz w:val="24"/>
          <w:szCs w:val="28"/>
        </w:rPr>
        <w:t>Oberklaid</w:t>
      </w:r>
      <w:proofErr w:type="spellEnd"/>
      <w:r w:rsidRPr="00D44D7A">
        <w:rPr>
          <w:rFonts w:eastAsia="Aptos" w:cs="Arial"/>
          <w:sz w:val="24"/>
          <w:szCs w:val="28"/>
        </w:rPr>
        <w:t xml:space="preserve"> leading. Other Expert Advisory Group members invited as optional and pending their availability. Notes from </w:t>
      </w:r>
      <w:proofErr w:type="gramStart"/>
      <w:r w:rsidRPr="00D44D7A">
        <w:rPr>
          <w:rFonts w:eastAsia="Aptos" w:cs="Arial"/>
          <w:sz w:val="24"/>
          <w:szCs w:val="28"/>
        </w:rPr>
        <w:t>deep-dives</w:t>
      </w:r>
      <w:proofErr w:type="gramEnd"/>
      <w:r w:rsidRPr="00D44D7A">
        <w:rPr>
          <w:rFonts w:eastAsia="Aptos" w:cs="Arial"/>
          <w:sz w:val="24"/>
          <w:szCs w:val="28"/>
        </w:rPr>
        <w:t xml:space="preserve"> will be share with all members.</w:t>
      </w:r>
    </w:p>
    <w:p w14:paraId="47C75A82" w14:textId="77777777" w:rsidR="002C026F" w:rsidRPr="00D44D7A" w:rsidRDefault="002C026F" w:rsidP="006C3C2F">
      <w:pPr>
        <w:pStyle w:val="Heading3"/>
        <w:spacing w:line="276" w:lineRule="auto"/>
        <w:rPr>
          <w:rFonts w:eastAsia="Aptos"/>
          <w:b w:val="0"/>
          <w:bCs w:val="0"/>
          <w:kern w:val="2"/>
          <w14:ligatures w14:val="standardContextual"/>
        </w:rPr>
      </w:pPr>
      <w:r w:rsidRPr="00D44D7A">
        <w:rPr>
          <w:rFonts w:eastAsia="Aptos"/>
        </w:rPr>
        <w:t>Membership</w:t>
      </w:r>
    </w:p>
    <w:p w14:paraId="718C2709" w14:textId="07260D40" w:rsidR="002C026F" w:rsidRPr="00D44D7A" w:rsidRDefault="002C026F" w:rsidP="006C3C2F">
      <w:pPr>
        <w:tabs>
          <w:tab w:val="left" w:pos="720"/>
          <w:tab w:val="center" w:pos="4153"/>
          <w:tab w:val="center" w:pos="4513"/>
          <w:tab w:val="right" w:pos="8306"/>
          <w:tab w:val="right" w:pos="9026"/>
        </w:tabs>
        <w:rPr>
          <w:rFonts w:eastAsia="Aptos" w:cs="Arial"/>
          <w:b/>
          <w:bCs/>
          <w:kern w:val="2"/>
          <w14:ligatures w14:val="standardContextual"/>
        </w:rPr>
      </w:pPr>
      <w:r w:rsidRPr="00D44D7A">
        <w:rPr>
          <w:rStyle w:val="cf01"/>
          <w:rFonts w:ascii="Arial" w:eastAsiaTheme="majorEastAsia" w:hAnsi="Arial" w:cs="Arial"/>
          <w:sz w:val="24"/>
        </w:rPr>
        <w:t xml:space="preserve">Membership, determined by the Minister, will be drawn from experts in the fields of paediatrics, child development, research, disability, child and family services, health care, and early education and schools and First Nations perspective. In addition to the independent experts, two service system advisors from the states and territories will be included. </w:t>
      </w:r>
    </w:p>
    <w:p w14:paraId="28C270B1" w14:textId="77777777" w:rsidR="002C026F" w:rsidRPr="00D44D7A" w:rsidRDefault="002C026F" w:rsidP="006C3C2F">
      <w:pPr>
        <w:pStyle w:val="Heading3"/>
        <w:spacing w:line="276" w:lineRule="auto"/>
        <w:rPr>
          <w:rFonts w:eastAsia="Aptos"/>
        </w:rPr>
      </w:pPr>
      <w:r w:rsidRPr="00D44D7A">
        <w:rPr>
          <w:rFonts w:eastAsia="Aptos"/>
        </w:rPr>
        <w:t>Invited Guests</w:t>
      </w:r>
    </w:p>
    <w:p w14:paraId="0A23AE7A" w14:textId="684080D5" w:rsidR="006C3C2F" w:rsidRPr="00D44D7A" w:rsidRDefault="002C026F" w:rsidP="006C3C2F">
      <w:pPr>
        <w:spacing w:after="160"/>
        <w:rPr>
          <w:rFonts w:eastAsia="Aptos" w:cs="Arial"/>
          <w:kern w:val="2"/>
          <w:sz w:val="24"/>
          <w:szCs w:val="28"/>
          <w14:ligatures w14:val="standardContextual"/>
        </w:rPr>
      </w:pPr>
      <w:r w:rsidRPr="00D44D7A">
        <w:rPr>
          <w:rFonts w:eastAsia="Aptos" w:cs="Arial"/>
          <w:kern w:val="2"/>
          <w:sz w:val="24"/>
          <w:szCs w:val="28"/>
          <w14:ligatures w14:val="standardContextual"/>
        </w:rPr>
        <w:t>The Co-Chairs may invite an expert or official to participate in discussions for specific agenda items, as appropriate.</w:t>
      </w:r>
    </w:p>
    <w:p w14:paraId="6D08919C" w14:textId="0D6F83E5" w:rsidR="002C026F" w:rsidRPr="00D44D7A" w:rsidRDefault="002C026F" w:rsidP="006C3C2F">
      <w:pPr>
        <w:pStyle w:val="Heading3"/>
        <w:spacing w:line="276" w:lineRule="auto"/>
        <w:rPr>
          <w:rFonts w:eastAsia="Aptos"/>
        </w:rPr>
      </w:pPr>
      <w:r w:rsidRPr="00D44D7A">
        <w:rPr>
          <w:rFonts w:eastAsia="Aptos"/>
        </w:rPr>
        <w:t>Remuneration of members</w:t>
      </w:r>
    </w:p>
    <w:p w14:paraId="7B7D5B58" w14:textId="59D708D2" w:rsidR="002C026F" w:rsidRPr="00D44D7A" w:rsidRDefault="002C026F" w:rsidP="006C3C2F">
      <w:pPr>
        <w:tabs>
          <w:tab w:val="left" w:pos="720"/>
          <w:tab w:val="center" w:pos="4513"/>
          <w:tab w:val="right" w:pos="9026"/>
        </w:tabs>
        <w:rPr>
          <w:rFonts w:eastAsia="Calibri" w:cs="Arial"/>
          <w:i/>
          <w:iCs/>
          <w:sz w:val="24"/>
          <w:szCs w:val="28"/>
        </w:rPr>
      </w:pPr>
      <w:r w:rsidRPr="00D44D7A">
        <w:rPr>
          <w:rFonts w:eastAsia="Aptos" w:cs="Arial"/>
          <w:kern w:val="2"/>
          <w:sz w:val="24"/>
          <w:szCs w:val="28"/>
          <w14:ligatures w14:val="standardContextual"/>
        </w:rPr>
        <w:t>Members will be engaged by the Department and remunerated for work directly linked to their attendance according to eligibility under the Departmental Remuneration Framework.</w:t>
      </w:r>
      <w:r w:rsidRPr="00D44D7A">
        <w:rPr>
          <w:rFonts w:eastAsia="Calibri" w:cs="Arial"/>
          <w:sz w:val="24"/>
          <w:szCs w:val="28"/>
        </w:rPr>
        <w:t xml:space="preserve"> If meeting face to face, members would receive travel </w:t>
      </w:r>
      <w:r w:rsidRPr="00D44D7A">
        <w:rPr>
          <w:rFonts w:eastAsia="Calibri" w:cs="Arial"/>
          <w:sz w:val="24"/>
          <w:szCs w:val="28"/>
        </w:rPr>
        <w:lastRenderedPageBreak/>
        <w:t xml:space="preserve">entitlements under Tier 2 of the </w:t>
      </w:r>
      <w:r w:rsidRPr="00D44D7A">
        <w:rPr>
          <w:rFonts w:eastAsia="Calibri" w:cs="Arial"/>
          <w:i/>
          <w:iCs/>
          <w:sz w:val="24"/>
          <w:szCs w:val="28"/>
        </w:rPr>
        <w:t>Remuneration Tribunal (Official Travel) Determination 2025.</w:t>
      </w:r>
    </w:p>
    <w:p w14:paraId="13262D0B" w14:textId="77777777" w:rsidR="002C026F" w:rsidRPr="00D44D7A" w:rsidRDefault="002C026F" w:rsidP="006C3C2F">
      <w:pPr>
        <w:pStyle w:val="Heading3"/>
        <w:spacing w:line="276" w:lineRule="auto"/>
        <w:rPr>
          <w:rFonts w:eastAsia="Aptos"/>
        </w:rPr>
      </w:pPr>
      <w:r w:rsidRPr="00D44D7A">
        <w:rPr>
          <w:rFonts w:eastAsia="Aptos"/>
        </w:rPr>
        <w:t>Duration of the Group</w:t>
      </w:r>
    </w:p>
    <w:p w14:paraId="5AC668C0" w14:textId="297A3F73" w:rsidR="002C026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 xml:space="preserve">The Group is expected to </w:t>
      </w:r>
      <w:r w:rsidRPr="00D44D7A">
        <w:rPr>
          <w:rFonts w:eastAsia="Aptos" w:cs="Arial"/>
          <w:sz w:val="24"/>
          <w:szCs w:val="28"/>
        </w:rPr>
        <w:t xml:space="preserve">complete its main work </w:t>
      </w:r>
      <w:r w:rsidRPr="00D44D7A">
        <w:rPr>
          <w:rFonts w:eastAsia="Aptos" w:cs="Arial"/>
          <w:kern w:val="2"/>
          <w:sz w:val="24"/>
          <w:szCs w:val="28"/>
          <w14:ligatures w14:val="standardContextual"/>
        </w:rPr>
        <w:t xml:space="preserve">from September to December 2025, with potential for extension to </w:t>
      </w:r>
      <w:r w:rsidRPr="00D44D7A">
        <w:rPr>
          <w:rFonts w:eastAsia="Aptos" w:cs="Arial"/>
          <w:sz w:val="24"/>
          <w:szCs w:val="28"/>
        </w:rPr>
        <w:t>July</w:t>
      </w:r>
      <w:r w:rsidRPr="00D44D7A">
        <w:rPr>
          <w:rFonts w:eastAsia="Aptos" w:cs="Arial"/>
          <w:kern w:val="2"/>
          <w:sz w:val="24"/>
          <w:szCs w:val="28"/>
          <w14:ligatures w14:val="standardContextual"/>
        </w:rPr>
        <w:t xml:space="preserve"> 2026. </w:t>
      </w:r>
    </w:p>
    <w:p w14:paraId="08AD7049" w14:textId="77777777" w:rsidR="002C026F" w:rsidRPr="00D44D7A" w:rsidRDefault="002C026F" w:rsidP="006C3C2F">
      <w:pPr>
        <w:pStyle w:val="Heading3"/>
        <w:spacing w:line="276" w:lineRule="auto"/>
        <w:rPr>
          <w:rFonts w:eastAsia="Aptos"/>
          <w:b w:val="0"/>
          <w:bCs w:val="0"/>
          <w:kern w:val="2"/>
          <w14:ligatures w14:val="standardContextual"/>
        </w:rPr>
      </w:pPr>
      <w:r w:rsidRPr="00D44D7A">
        <w:rPr>
          <w:rFonts w:eastAsia="Aptos"/>
        </w:rPr>
        <w:t>Meetings</w:t>
      </w:r>
    </w:p>
    <w:p w14:paraId="600658BF" w14:textId="51E0EC7A" w:rsidR="002C026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 xml:space="preserve">Cadence of meetings will vary to support the Group’s purpose. The Group is expected to meet at least 3 times across September to December 2025 and meet as required up to July 2026. </w:t>
      </w:r>
    </w:p>
    <w:p w14:paraId="61D5443E" w14:textId="3CDCEC06" w:rsidR="002C026F" w:rsidRPr="00D44D7A" w:rsidRDefault="002C026F" w:rsidP="006C3C2F">
      <w:pPr>
        <w:tabs>
          <w:tab w:val="left" w:pos="720"/>
          <w:tab w:val="center" w:pos="4153"/>
          <w:tab w:val="center" w:pos="4513"/>
          <w:tab w:val="right" w:pos="8306"/>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The primary platform for meetings will be face to face, and via Microsoft Teams as required.</w:t>
      </w:r>
    </w:p>
    <w:p w14:paraId="4DA7DD28" w14:textId="77777777" w:rsidR="002C026F" w:rsidRPr="00D44D7A" w:rsidRDefault="002C026F" w:rsidP="006C3C2F">
      <w:pPr>
        <w:pStyle w:val="Heading3"/>
        <w:spacing w:line="276" w:lineRule="auto"/>
        <w:rPr>
          <w:rFonts w:eastAsia="Aptos"/>
        </w:rPr>
      </w:pPr>
      <w:r w:rsidRPr="00D44D7A">
        <w:rPr>
          <w:rFonts w:eastAsia="Aptos"/>
        </w:rPr>
        <w:t xml:space="preserve">Secretariat support </w:t>
      </w:r>
    </w:p>
    <w:p w14:paraId="09578FE6" w14:textId="025764A5" w:rsidR="002C026F" w:rsidRPr="00D44D7A" w:rsidRDefault="002C026F" w:rsidP="006C3C2F">
      <w:pPr>
        <w:tabs>
          <w:tab w:val="left" w:pos="720"/>
          <w:tab w:val="center" w:pos="4153"/>
          <w:tab w:val="center" w:pos="4513"/>
          <w:tab w:val="right" w:pos="8306"/>
          <w:tab w:val="right" w:pos="9026"/>
        </w:tabs>
        <w:rPr>
          <w:rFonts w:eastAsiaTheme="majorEastAsia" w:cs="Arial"/>
          <w:sz w:val="24"/>
        </w:rPr>
      </w:pPr>
      <w:r w:rsidRPr="00D44D7A">
        <w:rPr>
          <w:rStyle w:val="cf01"/>
          <w:rFonts w:ascii="Arial" w:eastAsiaTheme="majorEastAsia" w:hAnsi="Arial" w:cs="Arial"/>
          <w:sz w:val="24"/>
          <w:szCs w:val="24"/>
        </w:rPr>
        <w:t xml:space="preserve">The Department of Health, </w:t>
      </w:r>
      <w:r w:rsidRPr="00D44D7A">
        <w:rPr>
          <w:rFonts w:eastAsiaTheme="majorEastAsia" w:cs="Arial"/>
          <w:sz w:val="24"/>
        </w:rPr>
        <w:t xml:space="preserve">Disability and Ageing </w:t>
      </w:r>
      <w:r w:rsidRPr="00D44D7A">
        <w:rPr>
          <w:rStyle w:val="cf01"/>
          <w:rFonts w:ascii="Arial" w:eastAsiaTheme="majorEastAsia" w:hAnsi="Arial" w:cs="Arial"/>
          <w:sz w:val="24"/>
          <w:szCs w:val="24"/>
        </w:rPr>
        <w:t>will provide secretariat support.</w:t>
      </w:r>
    </w:p>
    <w:p w14:paraId="7F382A64" w14:textId="77777777" w:rsidR="002C026F" w:rsidRPr="00D44D7A" w:rsidRDefault="002C026F" w:rsidP="006C3C2F">
      <w:pPr>
        <w:pStyle w:val="Heading3"/>
        <w:spacing w:line="276" w:lineRule="auto"/>
        <w:rPr>
          <w:rFonts w:eastAsia="Aptos"/>
        </w:rPr>
      </w:pPr>
      <w:r w:rsidRPr="00D44D7A">
        <w:rPr>
          <w:rFonts w:eastAsia="Aptos"/>
        </w:rPr>
        <w:t>Conflicts of interest</w:t>
      </w:r>
    </w:p>
    <w:p w14:paraId="4A6A4930" w14:textId="627B85AC" w:rsidR="002C026F" w:rsidRPr="00D44D7A" w:rsidRDefault="002C026F" w:rsidP="006C3C2F">
      <w:pPr>
        <w:tabs>
          <w:tab w:val="left" w:pos="720"/>
          <w:tab w:val="center" w:pos="4153"/>
          <w:tab w:val="center" w:pos="4513"/>
          <w:tab w:val="right" w:pos="8306"/>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Members must declare any actual or perceived conflicts of interest which could impact their ability to perform their duties. Members will be asked to declare any conflicts of interest prior to commencement of their term and should provide any updates to the Secretariat for the visibility of Co-Chairs as changes arise.</w:t>
      </w:r>
    </w:p>
    <w:p w14:paraId="6A86A315" w14:textId="77777777" w:rsidR="002C026F" w:rsidRPr="00D44D7A" w:rsidRDefault="002C026F" w:rsidP="006C3C2F">
      <w:pPr>
        <w:pStyle w:val="Heading3"/>
        <w:spacing w:line="276" w:lineRule="auto"/>
        <w:rPr>
          <w:rFonts w:eastAsia="Aptos"/>
        </w:rPr>
      </w:pPr>
      <w:r w:rsidRPr="00D44D7A">
        <w:rPr>
          <w:rFonts w:eastAsia="Aptos"/>
        </w:rPr>
        <w:t xml:space="preserve">Confidentiality </w:t>
      </w:r>
    </w:p>
    <w:p w14:paraId="4A2B4501" w14:textId="77777777" w:rsidR="002C026F" w:rsidRPr="00D44D7A" w:rsidRDefault="002C026F" w:rsidP="006C3C2F">
      <w:pPr>
        <w:spacing w:after="160"/>
        <w:rPr>
          <w:rFonts w:eastAsia="Aptos" w:cs="Arial"/>
          <w:kern w:val="2"/>
          <w:sz w:val="24"/>
          <w:szCs w:val="28"/>
          <w14:ligatures w14:val="standardContextual"/>
        </w:rPr>
      </w:pPr>
      <w:r w:rsidRPr="00D44D7A">
        <w:rPr>
          <w:rFonts w:eastAsia="Aptos" w:cs="Arial"/>
          <w:kern w:val="2"/>
          <w:sz w:val="24"/>
          <w:szCs w:val="28"/>
          <w14:ligatures w14:val="standardContextual"/>
        </w:rPr>
        <w:t xml:space="preserve">Members may receive confidential material that has privacy or security implications. This information can only be used for approved purposes. Members must comply with the Confidentiality Deed </w:t>
      </w:r>
      <w:proofErr w:type="gramStart"/>
      <w:r w:rsidRPr="00D44D7A">
        <w:rPr>
          <w:rFonts w:eastAsia="Aptos" w:cs="Arial"/>
          <w:kern w:val="2"/>
          <w:sz w:val="24"/>
          <w:szCs w:val="28"/>
          <w14:ligatures w14:val="standardContextual"/>
        </w:rPr>
        <w:t>entered into</w:t>
      </w:r>
      <w:proofErr w:type="gramEnd"/>
      <w:r w:rsidRPr="00D44D7A">
        <w:rPr>
          <w:rFonts w:eastAsia="Aptos" w:cs="Arial"/>
          <w:kern w:val="2"/>
          <w:sz w:val="24"/>
          <w:szCs w:val="28"/>
          <w14:ligatures w14:val="standardContextual"/>
        </w:rPr>
        <w:t xml:space="preserve"> upon their appointment. Members have a responsibility to maintain confidentiality of all information that is not in the public domain, including but not limited to deliberations of the Group. </w:t>
      </w:r>
    </w:p>
    <w:p w14:paraId="7903122C" w14:textId="77777777" w:rsidR="002C026F" w:rsidRPr="00D44D7A" w:rsidRDefault="002C026F" w:rsidP="006C3C2F">
      <w:pPr>
        <w:spacing w:after="160"/>
        <w:rPr>
          <w:rFonts w:eastAsia="Aptos" w:cs="Arial"/>
          <w:kern w:val="2"/>
          <w:sz w:val="24"/>
          <w:szCs w:val="28"/>
          <w14:ligatures w14:val="standardContextual"/>
        </w:rPr>
      </w:pPr>
      <w:r w:rsidRPr="00D44D7A">
        <w:rPr>
          <w:rFonts w:eastAsia="Aptos" w:cs="Arial"/>
          <w:kern w:val="2"/>
          <w:sz w:val="24"/>
          <w:szCs w:val="28"/>
          <w14:ligatures w14:val="standardContextual"/>
        </w:rPr>
        <w:t>Members may seek advice from the Group secretariat where they have queries about confidential information and circumstances in which it may be shared beyond the Group.</w:t>
      </w:r>
    </w:p>
    <w:p w14:paraId="104FD35C" w14:textId="72879C61" w:rsidR="002C026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 xml:space="preserve">Where agreed by the Co-Chairs, members can discuss topics with a wider pre-agreed group </w:t>
      </w:r>
      <w:proofErr w:type="gramStart"/>
      <w:r w:rsidRPr="00D44D7A">
        <w:rPr>
          <w:rFonts w:eastAsia="Aptos" w:cs="Arial"/>
          <w:kern w:val="2"/>
          <w:sz w:val="24"/>
          <w:szCs w:val="28"/>
          <w14:ligatures w14:val="standardContextual"/>
        </w:rPr>
        <w:t>in order to</w:t>
      </w:r>
      <w:proofErr w:type="gramEnd"/>
      <w:r w:rsidRPr="00D44D7A">
        <w:rPr>
          <w:rFonts w:eastAsia="Aptos" w:cs="Arial"/>
          <w:kern w:val="2"/>
          <w:sz w:val="24"/>
          <w:szCs w:val="28"/>
          <w14:ligatures w14:val="standardContextual"/>
        </w:rPr>
        <w:t xml:space="preserve"> fulfill the duties outlined in the Terms of Reference (for example, testing with a sample of GPs that a referral process may work as intended).</w:t>
      </w:r>
    </w:p>
    <w:p w14:paraId="0CB29FD8" w14:textId="0729E464" w:rsidR="002C026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 xml:space="preserve">State </w:t>
      </w:r>
      <w:r w:rsidRPr="00D44D7A">
        <w:rPr>
          <w:rFonts w:eastAsia="Aptos" w:cs="Arial"/>
          <w:sz w:val="24"/>
          <w:szCs w:val="28"/>
        </w:rPr>
        <w:t>and territory representatives are invited to act as a conduit to other states to ensure they can contribute knowledge about the different state and territory service systems</w:t>
      </w:r>
      <w:r w:rsidRPr="00D44D7A">
        <w:rPr>
          <w:rFonts w:eastAsia="Aptos" w:cs="Arial"/>
          <w:kern w:val="2"/>
          <w:sz w:val="24"/>
          <w:szCs w:val="28"/>
          <w14:ligatures w14:val="standardContextual"/>
        </w:rPr>
        <w:t xml:space="preserve">. This role entails seeking advice to input into meetings but does not extend to conversations with other parties on the discussions or workings of the Group. </w:t>
      </w:r>
    </w:p>
    <w:p w14:paraId="3BAAC822" w14:textId="77777777" w:rsidR="002C026F" w:rsidRPr="00D44D7A" w:rsidRDefault="002C026F" w:rsidP="006C3C2F">
      <w:pPr>
        <w:tabs>
          <w:tab w:val="left" w:pos="720"/>
          <w:tab w:val="center" w:pos="4513"/>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lastRenderedPageBreak/>
        <w:t xml:space="preserve">Information must be treated </w:t>
      </w:r>
      <w:proofErr w:type="gramStart"/>
      <w:r w:rsidRPr="00D44D7A">
        <w:rPr>
          <w:rFonts w:eastAsia="Aptos" w:cs="Arial"/>
          <w:kern w:val="2"/>
          <w:sz w:val="24"/>
          <w:szCs w:val="28"/>
          <w14:ligatures w14:val="standardContextual"/>
        </w:rPr>
        <w:t>confidentially</w:t>
      </w:r>
      <w:proofErr w:type="gramEnd"/>
      <w:r w:rsidRPr="00D44D7A">
        <w:rPr>
          <w:rFonts w:eastAsia="Aptos" w:cs="Arial"/>
          <w:kern w:val="2"/>
          <w:sz w:val="24"/>
          <w:szCs w:val="28"/>
          <w14:ligatures w14:val="standardContextual"/>
        </w:rPr>
        <w:t xml:space="preserve"> and appropriate due diligence be given in the provision or circulation of confidential information.</w:t>
      </w:r>
    </w:p>
    <w:p w14:paraId="21CC8FB4" w14:textId="77F4CEFC" w:rsidR="002C026F" w:rsidRPr="00D44D7A" w:rsidRDefault="002C026F" w:rsidP="006C3C2F">
      <w:pPr>
        <w:pStyle w:val="Heading3"/>
        <w:spacing w:line="276" w:lineRule="auto"/>
        <w:rPr>
          <w:rFonts w:eastAsia="Aptos"/>
          <w:b w:val="0"/>
          <w:bCs w:val="0"/>
          <w:kern w:val="2"/>
          <w14:ligatures w14:val="standardContextual"/>
        </w:rPr>
      </w:pPr>
      <w:r w:rsidRPr="00D44D7A">
        <w:rPr>
          <w:rFonts w:eastAsia="Aptos"/>
        </w:rPr>
        <w:t>Privacy</w:t>
      </w:r>
      <w:r w:rsidRPr="00D44D7A">
        <w:rPr>
          <w:rFonts w:eastAsia="Aptos"/>
          <w:kern w:val="2"/>
          <w14:ligatures w14:val="standardContextual"/>
        </w:rPr>
        <w:t xml:space="preserve"> </w:t>
      </w:r>
    </w:p>
    <w:p w14:paraId="1E5CE1A8" w14:textId="3D1D4728" w:rsidR="002C026F" w:rsidRPr="00D44D7A" w:rsidRDefault="002C026F" w:rsidP="006C3C2F">
      <w:pPr>
        <w:rPr>
          <w:rFonts w:eastAsia="Aptos" w:cs="Arial"/>
          <w:kern w:val="2"/>
          <w:sz w:val="24"/>
          <w:szCs w:val="28"/>
          <w14:ligatures w14:val="standardContextual"/>
        </w:rPr>
      </w:pPr>
      <w:r w:rsidRPr="00D44D7A">
        <w:rPr>
          <w:rFonts w:eastAsia="Aptos" w:cs="Arial"/>
          <w:kern w:val="2"/>
          <w:sz w:val="24"/>
          <w:szCs w:val="28"/>
          <w14:ligatures w14:val="standardContextual"/>
        </w:rPr>
        <w:t xml:space="preserve">As part of the Group function and roles, the Group may have access to personal information as defined in the </w:t>
      </w:r>
      <w:r w:rsidRPr="00D44D7A">
        <w:rPr>
          <w:rFonts w:eastAsia="Aptos" w:cs="Arial"/>
          <w:i/>
          <w:iCs/>
          <w:kern w:val="2"/>
          <w:sz w:val="24"/>
          <w:szCs w:val="28"/>
          <w14:ligatures w14:val="standardContextual"/>
        </w:rPr>
        <w:t>Privacy Act 1988</w:t>
      </w:r>
      <w:r w:rsidRPr="00D44D7A">
        <w:rPr>
          <w:rFonts w:eastAsia="Aptos" w:cs="Arial"/>
          <w:kern w:val="2"/>
          <w:sz w:val="24"/>
          <w:szCs w:val="28"/>
          <w14:ligatures w14:val="standardContextual"/>
        </w:rPr>
        <w:t xml:space="preserve"> (Privacy Act). </w:t>
      </w:r>
    </w:p>
    <w:p w14:paraId="6112200A" w14:textId="273FAC37" w:rsidR="002C026F" w:rsidRPr="00D44D7A" w:rsidRDefault="002C026F" w:rsidP="006C3C2F">
      <w:pPr>
        <w:rPr>
          <w:rFonts w:eastAsia="Aptos" w:cs="Arial"/>
          <w:kern w:val="2"/>
          <w:sz w:val="24"/>
          <w:szCs w:val="28"/>
          <w14:ligatures w14:val="standardContextual"/>
        </w:rPr>
      </w:pPr>
      <w:r w:rsidRPr="00D44D7A">
        <w:rPr>
          <w:rFonts w:eastAsia="Aptos" w:cs="Arial"/>
          <w:kern w:val="2"/>
          <w:sz w:val="24"/>
          <w:szCs w:val="28"/>
          <w14:ligatures w14:val="standardContextual"/>
        </w:rPr>
        <w:t xml:space="preserve">As set out in the Confidentiality Deed </w:t>
      </w:r>
      <w:proofErr w:type="gramStart"/>
      <w:r w:rsidRPr="00D44D7A">
        <w:rPr>
          <w:rFonts w:eastAsia="Aptos" w:cs="Arial"/>
          <w:kern w:val="2"/>
          <w:sz w:val="24"/>
          <w:szCs w:val="28"/>
          <w14:ligatures w14:val="standardContextual"/>
        </w:rPr>
        <w:t>entered into</w:t>
      </w:r>
      <w:proofErr w:type="gramEnd"/>
      <w:r w:rsidRPr="00D44D7A">
        <w:rPr>
          <w:rFonts w:eastAsia="Aptos" w:cs="Arial"/>
          <w:kern w:val="2"/>
          <w:sz w:val="24"/>
          <w:szCs w:val="28"/>
          <w14:ligatures w14:val="standardContextual"/>
        </w:rPr>
        <w:t xml:space="preserve"> on their appointment, Advisory Group members must abide by the provisions of the Privacy Act, including the Australian Privacy Principles set out in the Privacy Act. An Advisory Group member must not do an act, or engage in a practice, that would breach an Australian Privacy Principle if done or engaged in by the Department.</w:t>
      </w:r>
    </w:p>
    <w:p w14:paraId="0C58B9C0" w14:textId="202784DF" w:rsidR="002C026F" w:rsidRPr="00D44D7A" w:rsidRDefault="002C026F" w:rsidP="006C3C2F">
      <w:pPr>
        <w:spacing w:after="160"/>
        <w:rPr>
          <w:rFonts w:eastAsia="Aptos" w:cs="Arial"/>
          <w:kern w:val="2"/>
          <w:sz w:val="24"/>
          <w:szCs w:val="28"/>
          <w14:ligatures w14:val="standardContextual"/>
        </w:rPr>
      </w:pPr>
      <w:r w:rsidRPr="00D44D7A">
        <w:rPr>
          <w:rFonts w:eastAsia="Aptos" w:cs="Arial"/>
          <w:kern w:val="2"/>
          <w:sz w:val="24"/>
          <w:szCs w:val="28"/>
          <w14:ligatures w14:val="standardContextual"/>
        </w:rPr>
        <w:t xml:space="preserve">The Australian Privacy Principles are available on the Australian Government Office of the Australian Information Commissioner website at </w:t>
      </w:r>
      <w:hyperlink r:id="rId11" w:history="1">
        <w:r w:rsidR="006C3C2F" w:rsidRPr="00D44D7A">
          <w:rPr>
            <w:rStyle w:val="Hyperlink"/>
            <w:rFonts w:eastAsia="Aptos" w:cs="Arial"/>
            <w:kern w:val="2"/>
            <w:sz w:val="24"/>
            <w:szCs w:val="28"/>
            <w14:ligatures w14:val="standardContextual"/>
          </w:rPr>
          <w:t>www.oaic.gov.au/privacy/australian-privacy-principles/read-the-australian-privacy-principles</w:t>
        </w:r>
      </w:hyperlink>
      <w:r w:rsidRPr="00D44D7A">
        <w:rPr>
          <w:rFonts w:eastAsia="Aptos" w:cs="Arial"/>
          <w:kern w:val="2"/>
          <w:sz w:val="24"/>
          <w:szCs w:val="28"/>
          <w14:ligatures w14:val="standardContextual"/>
        </w:rPr>
        <w:t>.</w:t>
      </w:r>
    </w:p>
    <w:p w14:paraId="42DABB6A" w14:textId="77777777" w:rsidR="002C026F" w:rsidRPr="00D44D7A" w:rsidRDefault="002C026F" w:rsidP="006C3C2F">
      <w:pPr>
        <w:pStyle w:val="Heading3"/>
        <w:spacing w:line="276" w:lineRule="auto"/>
        <w:rPr>
          <w:rFonts w:eastAsia="Aptos"/>
        </w:rPr>
      </w:pPr>
      <w:r w:rsidRPr="00D44D7A">
        <w:rPr>
          <w:rFonts w:eastAsia="Aptos"/>
        </w:rPr>
        <w:t>Termination of membership</w:t>
      </w:r>
    </w:p>
    <w:p w14:paraId="35D6F72C" w14:textId="35BEC490" w:rsidR="002C026F" w:rsidRPr="00D44D7A" w:rsidRDefault="002C026F" w:rsidP="006C3C2F">
      <w:pPr>
        <w:tabs>
          <w:tab w:val="left" w:pos="720"/>
          <w:tab w:val="center" w:pos="4153"/>
          <w:tab w:val="center" w:pos="4513"/>
          <w:tab w:val="right" w:pos="8306"/>
          <w:tab w:val="right" w:pos="9026"/>
        </w:tabs>
        <w:rPr>
          <w:rFonts w:eastAsia="Aptos" w:cs="Arial"/>
          <w:kern w:val="2"/>
          <w:sz w:val="24"/>
          <w:szCs w:val="28"/>
          <w14:ligatures w14:val="standardContextual"/>
        </w:rPr>
      </w:pPr>
      <w:r w:rsidRPr="00D44D7A">
        <w:rPr>
          <w:rFonts w:eastAsia="Aptos" w:cs="Arial"/>
          <w:kern w:val="2"/>
          <w:sz w:val="24"/>
          <w:szCs w:val="28"/>
          <w14:ligatures w14:val="standardContextual"/>
        </w:rPr>
        <w:t>The Department may terminate members for reasons including the member is found to be neglecting their duties or acting in a manner conflicting with their roles, responsibilities and obligations as covered in these Terms of Reference, or acting in an inappropriate manner.</w:t>
      </w:r>
    </w:p>
    <w:p w14:paraId="12D5166C" w14:textId="77777777" w:rsidR="002C026F" w:rsidRPr="00D44D7A" w:rsidRDefault="002C026F" w:rsidP="006C3C2F">
      <w:pPr>
        <w:pStyle w:val="Heading3"/>
        <w:spacing w:line="276" w:lineRule="auto"/>
        <w:rPr>
          <w:rFonts w:eastAsia="Aptos"/>
          <w:b w:val="0"/>
          <w:bCs w:val="0"/>
          <w:kern w:val="2"/>
          <w14:ligatures w14:val="standardContextual"/>
        </w:rPr>
      </w:pPr>
      <w:r w:rsidRPr="00D44D7A">
        <w:rPr>
          <w:rFonts w:eastAsia="Aptos"/>
        </w:rPr>
        <w:t>Resignation</w:t>
      </w:r>
    </w:p>
    <w:p w14:paraId="13D200A3" w14:textId="4802DF30" w:rsidR="002A4999" w:rsidRPr="00D44D7A" w:rsidRDefault="002C026F" w:rsidP="006C3C2F">
      <w:pPr>
        <w:tabs>
          <w:tab w:val="left" w:pos="720"/>
          <w:tab w:val="center" w:pos="4153"/>
          <w:tab w:val="center" w:pos="4513"/>
          <w:tab w:val="right" w:pos="8306"/>
          <w:tab w:val="right" w:pos="9026"/>
        </w:tabs>
        <w:rPr>
          <w:rFonts w:eastAsia="Aptos" w:cs="Arial"/>
          <w:kern w:val="2"/>
          <w14:ligatures w14:val="standardContextual"/>
        </w:rPr>
      </w:pPr>
      <w:r w:rsidRPr="00D44D7A">
        <w:rPr>
          <w:rFonts w:eastAsia="Aptos" w:cs="Arial"/>
          <w:kern w:val="2"/>
          <w:sz w:val="24"/>
          <w:szCs w:val="28"/>
          <w14:ligatures w14:val="standardContextual"/>
        </w:rPr>
        <w:t>Members are asked to provide a months’ notice should they choose to resign. Written resignations should be made to the Co-Chairs and copied to the Secretariat.</w:t>
      </w:r>
      <w:r w:rsidRPr="00D44D7A">
        <w:rPr>
          <w:rFonts w:eastAsia="Aptos" w:cs="Arial"/>
          <w:kern w:val="2"/>
          <w14:ligatures w14:val="standardContextual"/>
        </w:rPr>
        <w:t xml:space="preserve"> </w:t>
      </w:r>
    </w:p>
    <w:sectPr w:rsidR="002A4999" w:rsidRPr="00D44D7A" w:rsidSect="00B53987">
      <w:headerReference w:type="even" r:id="rId12"/>
      <w:headerReference w:type="default" r:id="rId13"/>
      <w:footerReference w:type="even" r:id="rId14"/>
      <w:footerReference w:type="defaul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55FC" w14:textId="77777777" w:rsidR="002130C0" w:rsidRDefault="002130C0" w:rsidP="006B56BB">
      <w:r>
        <w:separator/>
      </w:r>
    </w:p>
    <w:p w14:paraId="079F63DD" w14:textId="77777777" w:rsidR="002130C0" w:rsidRDefault="002130C0"/>
  </w:endnote>
  <w:endnote w:type="continuationSeparator" w:id="0">
    <w:p w14:paraId="4FDC724F" w14:textId="77777777" w:rsidR="002130C0" w:rsidRDefault="002130C0" w:rsidP="006B56BB">
      <w:r>
        <w:continuationSeparator/>
      </w:r>
    </w:p>
    <w:p w14:paraId="571A23C1" w14:textId="77777777" w:rsidR="002130C0" w:rsidRDefault="002130C0"/>
  </w:endnote>
  <w:endnote w:type="continuationNotice" w:id="1">
    <w:p w14:paraId="79B625C6" w14:textId="77777777" w:rsidR="002130C0" w:rsidRDefault="00213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6424" w14:textId="28C0C7A3" w:rsidR="001D22F6" w:rsidRDefault="002A4999">
    <w:pPr>
      <w:pStyle w:val="Footer"/>
    </w:pPr>
    <w:r>
      <w:rPr>
        <w:noProof/>
      </w:rPr>
      <mc:AlternateContent>
        <mc:Choice Requires="wps">
          <w:drawing>
            <wp:anchor distT="0" distB="0" distL="0" distR="0" simplePos="0" relativeHeight="251662336" behindDoc="0" locked="0" layoutInCell="1" allowOverlap="1" wp14:anchorId="06B77B81" wp14:editId="0081D5BC">
              <wp:simplePos x="635" y="635"/>
              <wp:positionH relativeFrom="page">
                <wp:align>center</wp:align>
              </wp:positionH>
              <wp:positionV relativeFrom="page">
                <wp:align>bottom</wp:align>
              </wp:positionV>
              <wp:extent cx="551815" cy="480695"/>
              <wp:effectExtent l="0" t="0" r="635" b="0"/>
              <wp:wrapNone/>
              <wp:docPr id="16782206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AADB8D8" w14:textId="4598F40F" w:rsidR="002A4999" w:rsidRPr="002A4999" w:rsidRDefault="002A4999" w:rsidP="002A4999">
                          <w:pPr>
                            <w:spacing w:after="0"/>
                            <w:rPr>
                              <w:rFonts w:ascii="Calibri" w:eastAsia="Calibri" w:hAnsi="Calibri" w:cs="Calibri"/>
                              <w:noProof/>
                              <w:color w:val="FF0000"/>
                              <w:sz w:val="24"/>
                            </w:rPr>
                          </w:pPr>
                          <w:r w:rsidRPr="002A499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77B8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0AADB8D8" w14:textId="4598F40F" w:rsidR="002A4999" w:rsidRPr="002A4999" w:rsidRDefault="002A4999" w:rsidP="002A4999">
                    <w:pPr>
                      <w:spacing w:after="0"/>
                      <w:rPr>
                        <w:rFonts w:ascii="Calibri" w:eastAsia="Calibri" w:hAnsi="Calibri" w:cs="Calibri"/>
                        <w:noProof/>
                        <w:color w:val="FF0000"/>
                        <w:sz w:val="24"/>
                      </w:rPr>
                    </w:pPr>
                    <w:r w:rsidRPr="002A499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77EC9FDB" w:rsidR="00B53987" w:rsidRDefault="00A24AE0" w:rsidP="00B53987">
    <w:pPr>
      <w:pStyle w:val="Foo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02558E4F" w:rsidR="00B53987" w:rsidRDefault="00AA262B" w:rsidP="00B53987">
    <w:pPr>
      <w:pStyle w:val="Footer"/>
    </w:pPr>
    <w:r>
      <w:t>Department of Health</w:t>
    </w:r>
    <w:r w:rsidR="00313F8B">
      <w:t xml:space="preserve">, Disability and </w:t>
    </w:r>
    <w:r>
      <w:t>Age</w:t>
    </w:r>
    <w:r w:rsidR="00313F8B">
      <w:t>ing</w:t>
    </w:r>
    <w:r>
      <w:t xml:space="preserve"> </w:t>
    </w:r>
    <w:r w:rsidR="002C026F">
      <w:t>– Thriving Kids Advisory Group Terms of Reference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A26" w14:textId="77777777" w:rsidR="002130C0" w:rsidRDefault="002130C0" w:rsidP="006B56BB">
      <w:r>
        <w:separator/>
      </w:r>
    </w:p>
    <w:p w14:paraId="58662C60" w14:textId="77777777" w:rsidR="002130C0" w:rsidRDefault="002130C0"/>
  </w:footnote>
  <w:footnote w:type="continuationSeparator" w:id="0">
    <w:p w14:paraId="2A75B870" w14:textId="77777777" w:rsidR="002130C0" w:rsidRDefault="002130C0" w:rsidP="006B56BB">
      <w:r>
        <w:continuationSeparator/>
      </w:r>
    </w:p>
    <w:p w14:paraId="01315A03" w14:textId="77777777" w:rsidR="002130C0" w:rsidRDefault="002130C0"/>
  </w:footnote>
  <w:footnote w:type="continuationNotice" w:id="1">
    <w:p w14:paraId="677CE752" w14:textId="77777777" w:rsidR="002130C0" w:rsidRDefault="00213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3EDA" w14:textId="42D9D693" w:rsidR="001D22F6" w:rsidRDefault="002A4999">
    <w:pPr>
      <w:pStyle w:val="Header"/>
    </w:pPr>
    <w:r>
      <w:rPr>
        <w:noProof/>
      </w:rPr>
      <mc:AlternateContent>
        <mc:Choice Requires="wps">
          <w:drawing>
            <wp:anchor distT="0" distB="0" distL="0" distR="0" simplePos="0" relativeHeight="251659264" behindDoc="0" locked="0" layoutInCell="1" allowOverlap="1" wp14:anchorId="3A09ACE1" wp14:editId="4F4236D7">
              <wp:simplePos x="635" y="635"/>
              <wp:positionH relativeFrom="page">
                <wp:align>center</wp:align>
              </wp:positionH>
              <wp:positionV relativeFrom="page">
                <wp:align>top</wp:align>
              </wp:positionV>
              <wp:extent cx="551815" cy="480695"/>
              <wp:effectExtent l="0" t="0" r="635" b="14605"/>
              <wp:wrapNone/>
              <wp:docPr id="21231525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20CCB6" w14:textId="6E5A5F9F" w:rsidR="002A4999" w:rsidRPr="002A4999" w:rsidRDefault="002A4999" w:rsidP="002A4999">
                          <w:pPr>
                            <w:spacing w:after="0"/>
                            <w:rPr>
                              <w:rFonts w:ascii="Calibri" w:eastAsia="Calibri" w:hAnsi="Calibri" w:cs="Calibri"/>
                              <w:noProof/>
                              <w:color w:val="FF0000"/>
                              <w:sz w:val="24"/>
                            </w:rPr>
                          </w:pPr>
                          <w:r w:rsidRPr="002A499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9ACE1"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7D20CCB6" w14:textId="6E5A5F9F" w:rsidR="002A4999" w:rsidRPr="002A4999" w:rsidRDefault="002A4999" w:rsidP="002A4999">
                    <w:pPr>
                      <w:spacing w:after="0"/>
                      <w:rPr>
                        <w:rFonts w:ascii="Calibri" w:eastAsia="Calibri" w:hAnsi="Calibri" w:cs="Calibri"/>
                        <w:noProof/>
                        <w:color w:val="FF0000"/>
                        <w:sz w:val="24"/>
                      </w:rPr>
                    </w:pPr>
                    <w:r w:rsidRPr="002A499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34632E08"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1A7BF5"/>
    <w:multiLevelType w:val="multilevel"/>
    <w:tmpl w:val="980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421488"/>
    <w:multiLevelType w:val="multilevel"/>
    <w:tmpl w:val="8FA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C3188"/>
    <w:multiLevelType w:val="multilevel"/>
    <w:tmpl w:val="E18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58F5213"/>
    <w:multiLevelType w:val="multilevel"/>
    <w:tmpl w:val="E0E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47FEDD"/>
    <w:multiLevelType w:val="hybridMultilevel"/>
    <w:tmpl w:val="46745FF6"/>
    <w:lvl w:ilvl="0" w:tplc="F5404B34">
      <w:start w:val="1"/>
      <w:numFmt w:val="bullet"/>
      <w:lvlText w:val=""/>
      <w:lvlJc w:val="left"/>
      <w:pPr>
        <w:ind w:left="720" w:hanging="360"/>
      </w:pPr>
      <w:rPr>
        <w:rFonts w:ascii="Symbol" w:hAnsi="Symbol" w:hint="default"/>
      </w:rPr>
    </w:lvl>
    <w:lvl w:ilvl="1" w:tplc="DBFE32DC">
      <w:start w:val="1"/>
      <w:numFmt w:val="lowerLetter"/>
      <w:lvlText w:val="%2."/>
      <w:lvlJc w:val="left"/>
      <w:pPr>
        <w:ind w:left="1440" w:hanging="360"/>
      </w:pPr>
      <w:rPr>
        <w:rFonts w:ascii="Arial" w:eastAsiaTheme="minorEastAsia" w:hAnsi="Arial" w:cs="Arial"/>
      </w:rPr>
    </w:lvl>
    <w:lvl w:ilvl="2" w:tplc="16A643C2">
      <w:start w:val="1"/>
      <w:numFmt w:val="lowerRoman"/>
      <w:lvlText w:val="%3."/>
      <w:lvlJc w:val="right"/>
      <w:pPr>
        <w:ind w:left="2160" w:hanging="180"/>
      </w:pPr>
    </w:lvl>
    <w:lvl w:ilvl="3" w:tplc="F3C2F61A">
      <w:start w:val="1"/>
      <w:numFmt w:val="decimal"/>
      <w:lvlText w:val="%4."/>
      <w:lvlJc w:val="left"/>
      <w:pPr>
        <w:ind w:left="2880" w:hanging="360"/>
      </w:pPr>
    </w:lvl>
    <w:lvl w:ilvl="4" w:tplc="FC7EF4E4">
      <w:start w:val="1"/>
      <w:numFmt w:val="lowerLetter"/>
      <w:lvlText w:val="%5."/>
      <w:lvlJc w:val="left"/>
      <w:pPr>
        <w:ind w:left="3600" w:hanging="360"/>
      </w:pPr>
    </w:lvl>
    <w:lvl w:ilvl="5" w:tplc="9564902E">
      <w:start w:val="1"/>
      <w:numFmt w:val="lowerRoman"/>
      <w:lvlText w:val="%6."/>
      <w:lvlJc w:val="right"/>
      <w:pPr>
        <w:ind w:left="4320" w:hanging="180"/>
      </w:pPr>
    </w:lvl>
    <w:lvl w:ilvl="6" w:tplc="D3B08328">
      <w:start w:val="1"/>
      <w:numFmt w:val="decimal"/>
      <w:lvlText w:val="%7."/>
      <w:lvlJc w:val="left"/>
      <w:pPr>
        <w:ind w:left="5040" w:hanging="360"/>
      </w:pPr>
    </w:lvl>
    <w:lvl w:ilvl="7" w:tplc="10A04D28">
      <w:start w:val="1"/>
      <w:numFmt w:val="lowerLetter"/>
      <w:lvlText w:val="%8."/>
      <w:lvlJc w:val="left"/>
      <w:pPr>
        <w:ind w:left="5760" w:hanging="360"/>
      </w:pPr>
    </w:lvl>
    <w:lvl w:ilvl="8" w:tplc="79C84BF4">
      <w:start w:val="1"/>
      <w:numFmt w:val="lowerRoman"/>
      <w:lvlText w:val="%9."/>
      <w:lvlJc w:val="right"/>
      <w:pPr>
        <w:ind w:left="6480" w:hanging="180"/>
      </w:pPr>
    </w:lvl>
  </w:abstractNum>
  <w:abstractNum w:abstractNumId="19" w15:restartNumberingAfterBreak="0">
    <w:nsid w:val="4DE811A1"/>
    <w:multiLevelType w:val="multilevel"/>
    <w:tmpl w:val="E14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B326D"/>
    <w:multiLevelType w:val="multilevel"/>
    <w:tmpl w:val="8BC8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1"/>
  </w:num>
  <w:num w:numId="3" w16cid:durableId="99111382">
    <w:abstractNumId w:val="23"/>
  </w:num>
  <w:num w:numId="4" w16cid:durableId="1851481786">
    <w:abstractNumId w:val="8"/>
  </w:num>
  <w:num w:numId="5" w16cid:durableId="210196529">
    <w:abstractNumId w:val="8"/>
    <w:lvlOverride w:ilvl="0">
      <w:startOverride w:val="1"/>
    </w:lvlOverride>
  </w:num>
  <w:num w:numId="6" w16cid:durableId="1810857969">
    <w:abstractNumId w:val="11"/>
  </w:num>
  <w:num w:numId="7" w16cid:durableId="1996758693">
    <w:abstractNumId w:val="16"/>
  </w:num>
  <w:num w:numId="8" w16cid:durableId="1674914654">
    <w:abstractNumId w:val="22"/>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5"/>
  </w:num>
  <w:num w:numId="17" w16cid:durableId="1161384352">
    <w:abstractNumId w:val="12"/>
  </w:num>
  <w:num w:numId="18" w16cid:durableId="1115442587">
    <w:abstractNumId w:val="13"/>
  </w:num>
  <w:num w:numId="19" w16cid:durableId="913049504">
    <w:abstractNumId w:val="15"/>
  </w:num>
  <w:num w:numId="20" w16cid:durableId="1185171215">
    <w:abstractNumId w:val="12"/>
  </w:num>
  <w:num w:numId="21" w16cid:durableId="1306743019">
    <w:abstractNumId w:val="15"/>
  </w:num>
  <w:num w:numId="22" w16cid:durableId="1809544992">
    <w:abstractNumId w:val="25"/>
  </w:num>
  <w:num w:numId="23" w16cid:durableId="638191149">
    <w:abstractNumId w:val="21"/>
  </w:num>
  <w:num w:numId="24" w16cid:durableId="503975017">
    <w:abstractNumId w:val="23"/>
  </w:num>
  <w:num w:numId="25" w16cid:durableId="215359669">
    <w:abstractNumId w:val="8"/>
  </w:num>
  <w:num w:numId="26" w16cid:durableId="352608886">
    <w:abstractNumId w:val="20"/>
  </w:num>
  <w:num w:numId="27" w16cid:durableId="1076823369">
    <w:abstractNumId w:val="14"/>
  </w:num>
  <w:num w:numId="28" w16cid:durableId="1704623912">
    <w:abstractNumId w:val="9"/>
  </w:num>
  <w:num w:numId="29" w16cid:durableId="749741243">
    <w:abstractNumId w:val="10"/>
  </w:num>
  <w:num w:numId="30" w16cid:durableId="768083722">
    <w:abstractNumId w:val="17"/>
  </w:num>
  <w:num w:numId="31" w16cid:durableId="1647204667">
    <w:abstractNumId w:val="19"/>
  </w:num>
  <w:num w:numId="32" w16cid:durableId="83571211">
    <w:abstractNumId w:val="24"/>
  </w:num>
  <w:num w:numId="33" w16cid:durableId="12123102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29C1"/>
    <w:rsid w:val="00090316"/>
    <w:rsid w:val="00092C51"/>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2F6"/>
    <w:rsid w:val="001D7869"/>
    <w:rsid w:val="002026CD"/>
    <w:rsid w:val="002033FC"/>
    <w:rsid w:val="002044BB"/>
    <w:rsid w:val="00210B09"/>
    <w:rsid w:val="00210C9E"/>
    <w:rsid w:val="00211840"/>
    <w:rsid w:val="002130C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4999"/>
    <w:rsid w:val="002B20E6"/>
    <w:rsid w:val="002B42A3"/>
    <w:rsid w:val="002C026F"/>
    <w:rsid w:val="002C0CDD"/>
    <w:rsid w:val="002C38C4"/>
    <w:rsid w:val="002E1A1D"/>
    <w:rsid w:val="002E4081"/>
    <w:rsid w:val="002E5B78"/>
    <w:rsid w:val="002F3AE3"/>
    <w:rsid w:val="0030464B"/>
    <w:rsid w:val="0030786C"/>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377"/>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30CFA"/>
    <w:rsid w:val="00545EE6"/>
    <w:rsid w:val="005550E7"/>
    <w:rsid w:val="005564FB"/>
    <w:rsid w:val="005572C7"/>
    <w:rsid w:val="005650ED"/>
    <w:rsid w:val="00575754"/>
    <w:rsid w:val="00581FBA"/>
    <w:rsid w:val="00591E20"/>
    <w:rsid w:val="00595408"/>
    <w:rsid w:val="00595E84"/>
    <w:rsid w:val="005A0C59"/>
    <w:rsid w:val="005A48EB"/>
    <w:rsid w:val="005A6CFB"/>
    <w:rsid w:val="005B21C7"/>
    <w:rsid w:val="005C5AEB"/>
    <w:rsid w:val="005E0A3F"/>
    <w:rsid w:val="005E6883"/>
    <w:rsid w:val="005E772F"/>
    <w:rsid w:val="005F45BB"/>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3C2F"/>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0873"/>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7657"/>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305D"/>
    <w:rsid w:val="009E6F7E"/>
    <w:rsid w:val="009E7A57"/>
    <w:rsid w:val="009F4803"/>
    <w:rsid w:val="009F4F6A"/>
    <w:rsid w:val="00A13EB5"/>
    <w:rsid w:val="00A16E36"/>
    <w:rsid w:val="00A24961"/>
    <w:rsid w:val="00A24AE0"/>
    <w:rsid w:val="00A24B10"/>
    <w:rsid w:val="00A277EF"/>
    <w:rsid w:val="00A30E9B"/>
    <w:rsid w:val="00A402C0"/>
    <w:rsid w:val="00A4512D"/>
    <w:rsid w:val="00A50244"/>
    <w:rsid w:val="00A627D7"/>
    <w:rsid w:val="00A656C7"/>
    <w:rsid w:val="00A705AF"/>
    <w:rsid w:val="00A719F6"/>
    <w:rsid w:val="00A72454"/>
    <w:rsid w:val="00A77696"/>
    <w:rsid w:val="00A80557"/>
    <w:rsid w:val="00A81D33"/>
    <w:rsid w:val="00A8341C"/>
    <w:rsid w:val="00A930AE"/>
    <w:rsid w:val="00AA07C4"/>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5B5A"/>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4188"/>
    <w:rsid w:val="00CA62AE"/>
    <w:rsid w:val="00CB5B1A"/>
    <w:rsid w:val="00CC220B"/>
    <w:rsid w:val="00CC5C43"/>
    <w:rsid w:val="00CD02AE"/>
    <w:rsid w:val="00CD2A4F"/>
    <w:rsid w:val="00CE03CA"/>
    <w:rsid w:val="00CE22F1"/>
    <w:rsid w:val="00CE50F2"/>
    <w:rsid w:val="00CE6502"/>
    <w:rsid w:val="00CF7D3C"/>
    <w:rsid w:val="00D01F09"/>
    <w:rsid w:val="00D147EB"/>
    <w:rsid w:val="00D22748"/>
    <w:rsid w:val="00D34667"/>
    <w:rsid w:val="00D401E1"/>
    <w:rsid w:val="00D408B4"/>
    <w:rsid w:val="00D44D7A"/>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50C3"/>
    <w:rsid w:val="00E87DF2"/>
    <w:rsid w:val="00E9462E"/>
    <w:rsid w:val="00EA470E"/>
    <w:rsid w:val="00EA47A7"/>
    <w:rsid w:val="00EA57EB"/>
    <w:rsid w:val="00EB3226"/>
    <w:rsid w:val="00EC213A"/>
    <w:rsid w:val="00EC7744"/>
    <w:rsid w:val="00ED05C9"/>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1D7"/>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cf01">
    <w:name w:val="cf01"/>
    <w:basedOn w:val="DefaultParagraphFont"/>
    <w:rsid w:val="002C026F"/>
    <w:rPr>
      <w:rFonts w:ascii="Segoe UI" w:hAnsi="Segoe UI" w:cs="Segoe UI" w:hint="default"/>
      <w:sz w:val="18"/>
      <w:szCs w:val="18"/>
    </w:rPr>
  </w:style>
  <w:style w:type="paragraph" w:customStyle="1" w:styleId="pf0">
    <w:name w:val="pf0"/>
    <w:basedOn w:val="Normal"/>
    <w:rsid w:val="002C026F"/>
    <w:pPr>
      <w:spacing w:before="100" w:beforeAutospacing="1" w:after="100" w:afterAutospacing="1" w:line="240" w:lineRule="auto"/>
    </w:pPr>
    <w:rPr>
      <w:rFonts w:ascii="Times New Roman" w:hAnsi="Times New Roman"/>
      <w:color w:val="auto"/>
      <w:sz w:val="24"/>
      <w:lang w:val="en-US"/>
    </w:rPr>
  </w:style>
  <w:style w:type="character" w:styleId="UnresolvedMention">
    <w:name w:val="Unresolved Mention"/>
    <w:basedOn w:val="DefaultParagraphFont"/>
    <w:uiPriority w:val="99"/>
    <w:semiHidden/>
    <w:unhideWhenUsed/>
    <w:rsid w:val="006C3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533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265256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392593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115516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9969078">
      <w:bodyDiv w:val="1"/>
      <w:marLeft w:val="0"/>
      <w:marRight w:val="0"/>
      <w:marTop w:val="0"/>
      <w:marBottom w:val="0"/>
      <w:divBdr>
        <w:top w:val="none" w:sz="0" w:space="0" w:color="auto"/>
        <w:left w:val="none" w:sz="0" w:space="0" w:color="auto"/>
        <w:bottom w:val="none" w:sz="0" w:space="0" w:color="auto"/>
        <w:right w:val="none" w:sz="0" w:space="0" w:color="auto"/>
      </w:divBdr>
    </w:div>
    <w:div w:id="1048529236">
      <w:bodyDiv w:val="1"/>
      <w:marLeft w:val="0"/>
      <w:marRight w:val="0"/>
      <w:marTop w:val="0"/>
      <w:marBottom w:val="0"/>
      <w:divBdr>
        <w:top w:val="none" w:sz="0" w:space="0" w:color="auto"/>
        <w:left w:val="none" w:sz="0" w:space="0" w:color="auto"/>
        <w:bottom w:val="none" w:sz="0" w:space="0" w:color="auto"/>
        <w:right w:val="none" w:sz="0" w:space="0" w:color="auto"/>
      </w:divBdr>
    </w:div>
    <w:div w:id="105909258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7608124">
      <w:bodyDiv w:val="1"/>
      <w:marLeft w:val="0"/>
      <w:marRight w:val="0"/>
      <w:marTop w:val="0"/>
      <w:marBottom w:val="0"/>
      <w:divBdr>
        <w:top w:val="none" w:sz="0" w:space="0" w:color="auto"/>
        <w:left w:val="none" w:sz="0" w:space="0" w:color="auto"/>
        <w:bottom w:val="none" w:sz="0" w:space="0" w:color="auto"/>
        <w:right w:val="none" w:sz="0" w:space="0" w:color="auto"/>
      </w:divBdr>
    </w:div>
    <w:div w:id="2046563125">
      <w:bodyDiv w:val="1"/>
      <w:marLeft w:val="0"/>
      <w:marRight w:val="0"/>
      <w:marTop w:val="0"/>
      <w:marBottom w:val="0"/>
      <w:divBdr>
        <w:top w:val="none" w:sz="0" w:space="0" w:color="auto"/>
        <w:left w:val="none" w:sz="0" w:space="0" w:color="auto"/>
        <w:bottom w:val="none" w:sz="0" w:space="0" w:color="auto"/>
        <w:right w:val="none" w:sz="0" w:space="0" w:color="auto"/>
      </w:divBdr>
    </w:div>
    <w:div w:id="20628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ic.gov.au/privacy/australian-privacy-principles/read-the-australian-priva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4ad531cf-87ce-42ef-97b9-c349eda1b4e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1385b24-fdc9-465b-acea-1175dd5222bb"/>
    <ds:schemaRef ds:uri="http://www.w3.org/XML/1998/namespace"/>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20</TotalTime>
  <Pages>4</Pages>
  <Words>1123</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Thriving Kids Advisory Group – Terms of Reference</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Kids Advisory Group – Terms of Reference</dc:title>
  <dc:subject>Thriving Kids Advisory Group</dc:subject>
  <dc:creator>Australian Government Department of Health Disability and Ageing</dc:creator>
  <cp:keywords>Disability and carers; Foundational supports for people with disability</cp:keywords>
  <cp:revision>10</cp:revision>
  <dcterms:created xsi:type="dcterms:W3CDTF">2025-07-15T02:12:00Z</dcterms:created>
  <dcterms:modified xsi:type="dcterms:W3CDTF">2025-09-29T05:41:00Z</dcterms:modified>
</cp:coreProperties>
</file>