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B93F3" w14:textId="27435609" w:rsidR="009C7767" w:rsidRDefault="003811EA">
      <w:r>
        <w:rPr>
          <w:noProof/>
        </w:rPr>
        <w:drawing>
          <wp:anchor distT="0" distB="0" distL="114300" distR="114300" simplePos="0" relativeHeight="251659264" behindDoc="0" locked="1" layoutInCell="1" allowOverlap="1" wp14:anchorId="5D485229" wp14:editId="6786F932">
            <wp:simplePos x="0" y="0"/>
            <wp:positionH relativeFrom="page">
              <wp:align>right</wp:align>
            </wp:positionH>
            <wp:positionV relativeFrom="page">
              <wp:align>top</wp:align>
            </wp:positionV>
            <wp:extent cx="7563485" cy="2267585"/>
            <wp:effectExtent l="0" t="0" r="0" b="0"/>
            <wp:wrapNone/>
            <wp:docPr id="1464447162" name="Drawing 0" descr="National Best Practice Framework for Early Childhood Intervention&#10;Strengths-based&#10;Pract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47162" name="Drawing 0" descr="National Best Practice Framework for Early Childhood Intervention&#10;Strengths-based&#10;Practice guidance"/>
                    <pic:cNvPicPr>
                      <a:picLocks noChangeAspect="1"/>
                    </pic:cNvPicPr>
                  </pic:nvPicPr>
                  <pic:blipFill>
                    <a:blip r:embed="rId10"/>
                    <a:stretch>
                      <a:fillRect/>
                    </a:stretch>
                  </pic:blipFill>
                  <pic:spPr>
                    <a:xfrm>
                      <a:off x="0" y="0"/>
                      <a:ext cx="7563485" cy="2267585"/>
                    </a:xfrm>
                    <a:prstGeom prst="rect">
                      <a:avLst/>
                    </a:prstGeom>
                  </pic:spPr>
                </pic:pic>
              </a:graphicData>
            </a:graphic>
            <wp14:sizeRelH relativeFrom="margin">
              <wp14:pctWidth>0</wp14:pctWidth>
            </wp14:sizeRelH>
            <wp14:sizeRelV relativeFrom="margin">
              <wp14:pctHeight>0</wp14:pctHeight>
            </wp14:sizeRelV>
          </wp:anchor>
        </w:drawing>
      </w:r>
    </w:p>
    <w:p w14:paraId="3CEE16A6" w14:textId="4C3A54C9" w:rsidR="009C7767" w:rsidRDefault="009C7767"/>
    <w:p w14:paraId="18A45436" w14:textId="77777777" w:rsidR="009C7767" w:rsidRDefault="009C7767"/>
    <w:p w14:paraId="3AE7C308" w14:textId="77777777" w:rsidR="00774CBC" w:rsidRDefault="00774CBC"/>
    <w:p w14:paraId="6025EDBE" w14:textId="77777777" w:rsidR="009C7767" w:rsidRDefault="009C7767"/>
    <w:p w14:paraId="09579DB7" w14:textId="19357FF9" w:rsidR="00043483" w:rsidRDefault="00043483" w:rsidP="004005D9">
      <w:pPr>
        <w:pStyle w:val="Heading1"/>
        <w:spacing w:line="240" w:lineRule="auto"/>
      </w:pPr>
      <w:r w:rsidRPr="00CD55C6">
        <w:t xml:space="preserve">What </w:t>
      </w:r>
      <w:proofErr w:type="gramStart"/>
      <w:r w:rsidRPr="00CD55C6">
        <w:t>is</w:t>
      </w:r>
      <w:proofErr w:type="gramEnd"/>
      <w:r w:rsidRPr="00CD55C6">
        <w:t xml:space="preserve"> the </w:t>
      </w:r>
      <w:r w:rsidR="003811EA">
        <w:t>streng</w:t>
      </w:r>
      <w:r w:rsidR="00542E06">
        <w:t>th</w:t>
      </w:r>
      <w:r w:rsidR="005A2808">
        <w:t>s-based</w:t>
      </w:r>
      <w:r w:rsidRPr="00CD55C6">
        <w:t xml:space="preserve"> </w:t>
      </w:r>
      <w:r w:rsidR="00145306">
        <w:t>universal</w:t>
      </w:r>
      <w:r w:rsidR="0003120F" w:rsidRPr="00CD55C6">
        <w:t xml:space="preserve"> </w:t>
      </w:r>
      <w:r w:rsidRPr="00CD55C6">
        <w:t>principle?</w:t>
      </w:r>
    </w:p>
    <w:p w14:paraId="71F317A1" w14:textId="77777777" w:rsidR="00FF1836" w:rsidRDefault="00FF1836" w:rsidP="00FF1836">
      <w:pPr>
        <w:pStyle w:val="ListParagraph"/>
      </w:pPr>
      <w:r>
        <w:t xml:space="preserve">The strengths-based principle acknowledges that children and families are experts in their own lives, and have existing knowledge, skills and resources to draw on. It affirms children’s, parents’, carers’ and families’ strengths, interests, and preferences in daily life to support child engagement, learning, development, participation and well-being in everyday activities </w:t>
      </w:r>
    </w:p>
    <w:p w14:paraId="15DE6F41" w14:textId="77777777" w:rsidR="00FF1836" w:rsidRDefault="00FF1836" w:rsidP="00FF1836">
      <w:pPr>
        <w:pStyle w:val="ListParagraph"/>
      </w:pPr>
      <w:r>
        <w:t>This principle adopts a positive approach regarding the child and family’s future, hopes, and aspirations. Strengths-based practice also looks for ways to tailor support around a child’s interests, preferences and abilities, in ways that will make the child feel good about themselves. It also supports families by recognising and building on their existing abilities and support networks</w:t>
      </w:r>
    </w:p>
    <w:p w14:paraId="0585C7A0" w14:textId="21ACB5D7" w:rsidR="00145306" w:rsidRDefault="00FF1836" w:rsidP="00FF1836">
      <w:pPr>
        <w:pStyle w:val="ListParagraph"/>
      </w:pPr>
      <w:r>
        <w:t>Practitioners also bring their own strengths, knowledge, skills, and confidence, which are critical to supporting families</w:t>
      </w:r>
    </w:p>
    <w:p w14:paraId="25B30634" w14:textId="11DDD01E" w:rsidR="00E1049C" w:rsidRDefault="00E1049C" w:rsidP="000164E4">
      <w:pPr>
        <w:pStyle w:val="Heading1"/>
        <w:rPr>
          <w:rFonts w:eastAsia="Arial Bold"/>
        </w:rPr>
      </w:pPr>
      <w:r w:rsidRPr="00B35348">
        <w:t xml:space="preserve">Why is </w:t>
      </w:r>
      <w:r w:rsidR="004D64B1" w:rsidRPr="00B35348">
        <w:t>this</w:t>
      </w:r>
      <w:r w:rsidRPr="00B35348">
        <w:t xml:space="preserve"> principle important? </w:t>
      </w:r>
      <w:r w:rsidRPr="00B35348">
        <w:rPr>
          <w:rFonts w:eastAsia="Arial Bold"/>
        </w:rPr>
        <w:t xml:space="preserve"> </w:t>
      </w:r>
    </w:p>
    <w:p w14:paraId="35DFE039" w14:textId="77777777" w:rsidR="0081093B" w:rsidRPr="0081093B" w:rsidRDefault="0081093B" w:rsidP="0081093B">
      <w:pPr>
        <w:pStyle w:val="ListParagraph"/>
        <w:rPr>
          <w:rFonts w:eastAsia="Calibri"/>
        </w:rPr>
      </w:pPr>
      <w:r w:rsidRPr="0081093B">
        <w:rPr>
          <w:rFonts w:eastAsia="Calibri"/>
        </w:rPr>
        <w:t>Acknowledging, supporting, and building on the strengths of children, parents, carers and families is one of the defining characteristics of the strengths-based principle</w:t>
      </w:r>
    </w:p>
    <w:p w14:paraId="68A9C4D8" w14:textId="77777777" w:rsidR="0081093B" w:rsidRPr="0081093B" w:rsidRDefault="0081093B" w:rsidP="0081093B">
      <w:pPr>
        <w:pStyle w:val="ListParagraph"/>
        <w:rPr>
          <w:rFonts w:eastAsia="Calibri"/>
        </w:rPr>
      </w:pPr>
      <w:r w:rsidRPr="0081093B">
        <w:rPr>
          <w:rFonts w:eastAsia="Calibri"/>
        </w:rPr>
        <w:t xml:space="preserve">A strengths-based approach focuses on what the child and family can do and what they can build on (strengths) rather than what they cannot do or what they lack (deficits) </w:t>
      </w:r>
    </w:p>
    <w:p w14:paraId="53F18003" w14:textId="77777777" w:rsidR="0081093B" w:rsidRPr="0081093B" w:rsidRDefault="0081093B" w:rsidP="0081093B">
      <w:pPr>
        <w:pStyle w:val="ListParagraph"/>
        <w:rPr>
          <w:rFonts w:eastAsia="Calibri"/>
        </w:rPr>
      </w:pPr>
      <w:r w:rsidRPr="0081093B">
        <w:rPr>
          <w:rFonts w:eastAsia="Calibri"/>
        </w:rPr>
        <w:t>Using a strengths-based approach requires practitioners to collaborate with parents, carers and families in building their capabilities</w:t>
      </w:r>
    </w:p>
    <w:p w14:paraId="72C8E25B" w14:textId="2C0D0EA7" w:rsidR="0081093B" w:rsidRPr="0081093B" w:rsidRDefault="0081093B" w:rsidP="0081093B">
      <w:pPr>
        <w:pStyle w:val="ListParagraph"/>
        <w:rPr>
          <w:rFonts w:eastAsia="Calibri"/>
        </w:rPr>
      </w:pPr>
      <w:r w:rsidRPr="0081093B">
        <w:rPr>
          <w:rFonts w:eastAsia="Calibri"/>
        </w:rPr>
        <w:t xml:space="preserve">Working with families to make use of existing family resources is an important strength-building strategy. </w:t>
      </w:r>
      <w:r w:rsidR="00C73205">
        <w:rPr>
          <w:rFonts w:eastAsia="Calibri"/>
        </w:rPr>
        <w:t>Early childhood intervention (</w:t>
      </w:r>
      <w:r w:rsidRPr="0081093B">
        <w:rPr>
          <w:rFonts w:eastAsia="Calibri"/>
        </w:rPr>
        <w:t>ECI</w:t>
      </w:r>
      <w:r w:rsidR="00C73205">
        <w:rPr>
          <w:rFonts w:eastAsia="Calibri"/>
        </w:rPr>
        <w:t>)</w:t>
      </w:r>
      <w:r w:rsidRPr="0081093B">
        <w:rPr>
          <w:rFonts w:eastAsia="Calibri"/>
        </w:rPr>
        <w:t xml:space="preserve"> services should add to and strengthen the support families of young children already have, not set up interventions in isolation from families’ existing resources</w:t>
      </w:r>
    </w:p>
    <w:p w14:paraId="1FA0B326" w14:textId="77777777" w:rsidR="0081093B" w:rsidRPr="0081093B" w:rsidRDefault="0081093B" w:rsidP="0081093B">
      <w:pPr>
        <w:pStyle w:val="ListParagraph"/>
        <w:rPr>
          <w:rFonts w:eastAsia="Calibri"/>
        </w:rPr>
      </w:pPr>
      <w:r w:rsidRPr="0081093B">
        <w:rPr>
          <w:rFonts w:eastAsia="Calibri"/>
        </w:rPr>
        <w:t>This approach is grounded in positive psychology and empowerment theory, ensuring that services and supports foster resilience, confidence, and long-</w:t>
      </w:r>
      <w:r w:rsidRPr="0081093B">
        <w:rPr>
          <w:rFonts w:eastAsia="Calibri"/>
        </w:rPr>
        <w:lastRenderedPageBreak/>
        <w:t>term well-being. It adopts a positive approach regarding the child and family’s future, hopes, and aspirations</w:t>
      </w:r>
    </w:p>
    <w:p w14:paraId="0C6B4115" w14:textId="77777777" w:rsidR="00C54D83" w:rsidRPr="00C54D83" w:rsidRDefault="00C54D83" w:rsidP="00C54D83">
      <w:pPr>
        <w:rPr>
          <w:rFonts w:eastAsia="Calibri"/>
        </w:rPr>
      </w:pPr>
      <w:r w:rsidRPr="00C54D83">
        <w:rPr>
          <w:rFonts w:eastAsia="Calibri"/>
        </w:rPr>
        <w:t xml:space="preserve">The strengths-based principle is a significant element of key national strategies, including </w:t>
      </w:r>
      <w:hyperlink r:id="rId11">
        <w:r w:rsidRPr="00C54D83">
          <w:rPr>
            <w:rStyle w:val="Hyperlink"/>
            <w:rFonts w:eastAsia="Calibri"/>
            <w:i/>
            <w:iCs/>
          </w:rPr>
          <w:t>Safe and Supported: The National Framework for Protecting Australia’s Children (2021-31);</w:t>
        </w:r>
      </w:hyperlink>
      <w:r w:rsidRPr="00C54D83">
        <w:rPr>
          <w:rFonts w:eastAsia="Calibri"/>
        </w:rPr>
        <w:t xml:space="preserve"> </w:t>
      </w:r>
      <w:hyperlink r:id="rId12">
        <w:r w:rsidRPr="00C54D83">
          <w:rPr>
            <w:rStyle w:val="Hyperlink"/>
            <w:rFonts w:eastAsia="Calibri"/>
          </w:rPr>
          <w:t>the Early Years Learning Framework for Australia (V2.0, 2022)</w:t>
        </w:r>
      </w:hyperlink>
      <w:r w:rsidRPr="00C54D83">
        <w:rPr>
          <w:rFonts w:eastAsia="Calibri"/>
        </w:rPr>
        <w:t xml:space="preserve">; </w:t>
      </w:r>
      <w:hyperlink r:id="rId13">
        <w:r w:rsidRPr="00C54D83">
          <w:rPr>
            <w:rStyle w:val="Hyperlink"/>
            <w:rFonts w:eastAsia="Calibri"/>
          </w:rPr>
          <w:t xml:space="preserve">Australian Government </w:t>
        </w:r>
        <w:r w:rsidRPr="00C54D83">
          <w:rPr>
            <w:rStyle w:val="Hyperlink"/>
            <w:rFonts w:eastAsia="Calibri"/>
            <w:i/>
            <w:iCs/>
          </w:rPr>
          <w:t>Early Years Strategy (2024-2034</w:t>
        </w:r>
        <w:r w:rsidRPr="00C54D83">
          <w:rPr>
            <w:rStyle w:val="Hyperlink"/>
            <w:rFonts w:eastAsia="Calibri"/>
          </w:rPr>
          <w:t>)</w:t>
        </w:r>
      </w:hyperlink>
      <w:r w:rsidRPr="00C54D83">
        <w:rPr>
          <w:rFonts w:eastAsia="Calibri"/>
        </w:rPr>
        <w:t xml:space="preserve">; and </w:t>
      </w:r>
      <w:hyperlink r:id="rId14">
        <w:r w:rsidRPr="00C54D83">
          <w:rPr>
            <w:rStyle w:val="Hyperlink"/>
            <w:rFonts w:eastAsia="Calibri"/>
            <w:i/>
            <w:iCs/>
          </w:rPr>
          <w:t>National Children’s Mental Health and Wellbeing Strategy</w:t>
        </w:r>
        <w:r w:rsidRPr="00C54D83">
          <w:rPr>
            <w:rStyle w:val="Hyperlink"/>
            <w:rFonts w:eastAsia="Calibri"/>
          </w:rPr>
          <w:t xml:space="preserve"> (2021)</w:t>
        </w:r>
      </w:hyperlink>
      <w:r w:rsidRPr="00C54D83">
        <w:rPr>
          <w:rFonts w:eastAsia="Calibri"/>
        </w:rPr>
        <w:t>. It is embedded in all Aboriginal and Torres Strait Islander policies and strategies as a key element of individual, family and community wellbeing and cultural safety. As such it underpins service provision, workforce development and practices including authentic assessment, program planning, and the design of supports and strategies with children and their families.</w:t>
      </w:r>
    </w:p>
    <w:p w14:paraId="2F48F611" w14:textId="1B0C7DAF" w:rsidR="005306A5" w:rsidRPr="0081093B" w:rsidDel="009119D4" w:rsidRDefault="00C54D83" w:rsidP="00A7767C">
      <w:pPr>
        <w:rPr>
          <w:rFonts w:eastAsia="Calibri"/>
        </w:rPr>
      </w:pPr>
      <w:r w:rsidRPr="00C54D83">
        <w:rPr>
          <w:rFonts w:eastAsia="Calibri"/>
        </w:rPr>
        <w:t>This principle relates to all other universal and key Framework principles and they should be applied together in practice.</w:t>
      </w:r>
    </w:p>
    <w:p w14:paraId="542D0F0A" w14:textId="0A62DC6F" w:rsidR="00E1049C" w:rsidRPr="00B35348" w:rsidRDefault="00E1049C" w:rsidP="00CD55C6">
      <w:pPr>
        <w:pStyle w:val="Heading1"/>
      </w:pPr>
      <w:r w:rsidRPr="00B35348">
        <w:t xml:space="preserve">What are </w:t>
      </w:r>
      <w:r w:rsidR="006F3664">
        <w:t>strengths</w:t>
      </w:r>
      <w:r w:rsidR="00CE1D83">
        <w:t>-based</w:t>
      </w:r>
      <w:r w:rsidR="004D64B1" w:rsidRPr="00B35348">
        <w:t xml:space="preserve"> </w:t>
      </w:r>
      <w:r w:rsidRPr="00B35348">
        <w:t>practices?</w:t>
      </w:r>
    </w:p>
    <w:p w14:paraId="5F7FFA42" w14:textId="77777777" w:rsidR="00656745" w:rsidRPr="00656745" w:rsidRDefault="00656745" w:rsidP="00656745">
      <w:r w:rsidRPr="00656745">
        <w:t>Practitioners</w:t>
      </w:r>
    </w:p>
    <w:p w14:paraId="5A00157D" w14:textId="77777777" w:rsidR="000D7C24" w:rsidRDefault="000D7C24" w:rsidP="000D7C24">
      <w:pPr>
        <w:pStyle w:val="ListParagraph"/>
      </w:pPr>
      <w:r>
        <w:t>recognise and value the unique relationships, strengths and capabilities of children, parents, carers and families</w:t>
      </w:r>
    </w:p>
    <w:p w14:paraId="50453892" w14:textId="7D233918" w:rsidR="000D7C24" w:rsidRDefault="000D7C24" w:rsidP="000D7C24">
      <w:pPr>
        <w:pStyle w:val="ListParagraph"/>
      </w:pPr>
      <w:r>
        <w:t>build on the skills and strengths that children have and are developing</w:t>
      </w:r>
    </w:p>
    <w:p w14:paraId="0A9822EB" w14:textId="21BA24D1" w:rsidR="000D7C24" w:rsidRDefault="000D7C24" w:rsidP="000D7C24">
      <w:pPr>
        <w:pStyle w:val="ListParagraph"/>
      </w:pPr>
      <w:r>
        <w:t xml:space="preserve">acknowledge and build on the family qualities, parenting practices, and skills that will positively support the child and other family members to achieve their aims and desired outcomes  </w:t>
      </w:r>
    </w:p>
    <w:p w14:paraId="098037BD" w14:textId="309365EE" w:rsidR="000D7C24" w:rsidRDefault="000D7C24" w:rsidP="000D7C24">
      <w:pPr>
        <w:pStyle w:val="ListParagraph"/>
      </w:pPr>
      <w:r>
        <w:t>use culturally safe, strengths-based assessment and practices to enable children, parents, carers and families to set meaningful and functional goals</w:t>
      </w:r>
    </w:p>
    <w:p w14:paraId="16E70124" w14:textId="73918475" w:rsidR="000D7C24" w:rsidRDefault="000D7C24" w:rsidP="000D7C24">
      <w:pPr>
        <w:pStyle w:val="ListParagraph"/>
      </w:pPr>
      <w:r>
        <w:t>recognise the strengths of families’ existing community connections and supports</w:t>
      </w:r>
    </w:p>
    <w:p w14:paraId="37236D63" w14:textId="780F0721" w:rsidR="000D7C24" w:rsidRDefault="000D7C24" w:rsidP="000D7C24">
      <w:pPr>
        <w:pStyle w:val="ListParagraph"/>
      </w:pPr>
      <w:r>
        <w:t>celebrate the strengths of children, parents, carers and families, and promote having fun and enjoyment</w:t>
      </w:r>
    </w:p>
    <w:p w14:paraId="27BFFBE0" w14:textId="4FD9F814" w:rsidR="004A527D" w:rsidRPr="009A5095" w:rsidRDefault="000D7C24" w:rsidP="000D7C24">
      <w:pPr>
        <w:pStyle w:val="ListParagraph"/>
      </w:pPr>
      <w:r>
        <w:t>communicate, document, and report using strengths-based language with families, colleagues, and broader networks</w:t>
      </w:r>
    </w:p>
    <w:p w14:paraId="65FE0A27" w14:textId="45EE699E" w:rsidR="004A527D" w:rsidRDefault="004A527D" w:rsidP="00A7767C">
      <w:pPr>
        <w:pStyle w:val="Heading1"/>
      </w:pPr>
      <w:r>
        <w:t>We know it’s working well when</w:t>
      </w:r>
      <w:r w:rsidR="00EB40F9">
        <w:t>…</w:t>
      </w:r>
    </w:p>
    <w:p w14:paraId="189229A5" w14:textId="77777777" w:rsidR="00A7767C" w:rsidRDefault="00A7767C" w:rsidP="00A7767C">
      <w:pPr>
        <w:pStyle w:val="ListParagraph"/>
      </w:pPr>
      <w:r>
        <w:t>Children have a positive sense of their own strengths, abilities, feeling good about themselves and belonging to their family and community</w:t>
      </w:r>
    </w:p>
    <w:p w14:paraId="3A54641A" w14:textId="77777777" w:rsidR="00A7767C" w:rsidRDefault="00A7767C" w:rsidP="00A7767C">
      <w:pPr>
        <w:pStyle w:val="ListParagraph"/>
      </w:pPr>
      <w:r>
        <w:t>Parents, carers and families have positive views about their child’s strengths, developmental progress and functioning</w:t>
      </w:r>
    </w:p>
    <w:p w14:paraId="52910605" w14:textId="77777777" w:rsidR="00A7767C" w:rsidRDefault="00A7767C" w:rsidP="00A7767C">
      <w:pPr>
        <w:pStyle w:val="ListParagraph"/>
      </w:pPr>
      <w:r>
        <w:lastRenderedPageBreak/>
        <w:t>Parents, carers and families are confident in their ability to provide their children with the experiences and opportunities they need</w:t>
      </w:r>
    </w:p>
    <w:p w14:paraId="501B2154" w14:textId="7846D390" w:rsidR="002E071F" w:rsidRPr="002E071F" w:rsidRDefault="00A7767C" w:rsidP="00A7767C">
      <w:pPr>
        <w:pStyle w:val="ListParagraph"/>
      </w:pPr>
      <w:r>
        <w:t>Parents, carers and families continue to develop their own individual interests and life pursuits</w:t>
      </w:r>
    </w:p>
    <w:p w14:paraId="650AF2D9" w14:textId="77777777" w:rsidR="004005D9" w:rsidRPr="004005D9" w:rsidRDefault="004005D9" w:rsidP="009A306F">
      <w:pPr>
        <w:pStyle w:val="Heading1"/>
      </w:pPr>
      <w:r w:rsidRPr="004005D9">
        <w:t>Essential resources</w:t>
      </w:r>
    </w:p>
    <w:p w14:paraId="5D2A8D04" w14:textId="77777777" w:rsidR="00F531BD" w:rsidRPr="003C5412" w:rsidRDefault="00F531BD" w:rsidP="00F531BD">
      <w:pPr>
        <w:spacing w:line="240" w:lineRule="auto"/>
        <w:rPr>
          <w:rFonts w:eastAsia="Times New Roman" w:cs="Arial"/>
          <w:color w:val="000000"/>
        </w:rPr>
      </w:pPr>
      <w:r w:rsidRPr="003C5412">
        <w:rPr>
          <w:rFonts w:eastAsia="Times New Roman" w:cs="Arial"/>
          <w:color w:val="000000"/>
        </w:rPr>
        <w:t xml:space="preserve">You can find more information about the </w:t>
      </w:r>
      <w:hyperlink r:id="rId15" w:history="1">
        <w:r w:rsidRPr="003C5412">
          <w:rPr>
            <w:rFonts w:eastAsia="Times New Roman" w:cs="Arial"/>
            <w:color w:val="0563C1"/>
            <w:u w:val="single"/>
          </w:rPr>
          <w:t>National Best Practice Framework for Early Childhood Intervention</w:t>
        </w:r>
      </w:hyperlink>
      <w:r w:rsidRPr="003C5412">
        <w:rPr>
          <w:rFonts w:eastAsia="Times New Roman" w:cs="Arial"/>
          <w:color w:val="000000"/>
        </w:rPr>
        <w:t xml:space="preserve"> online.</w:t>
      </w:r>
    </w:p>
    <w:p w14:paraId="4470B55C" w14:textId="77777777" w:rsidR="00F531BD" w:rsidRPr="00E2504C" w:rsidRDefault="00F531BD" w:rsidP="00F531BD">
      <w:pPr>
        <w:pStyle w:val="ListParagraph"/>
        <w:numPr>
          <w:ilvl w:val="0"/>
          <w:numId w:val="19"/>
        </w:numPr>
        <w:spacing w:line="240" w:lineRule="auto"/>
        <w:rPr>
          <w:rFonts w:eastAsia="Times New Roman"/>
        </w:rPr>
      </w:pPr>
      <w:hyperlink r:id="rId16" w:history="1">
        <w:r w:rsidRPr="003C5412">
          <w:rPr>
            <w:rFonts w:eastAsia="Times New Roman"/>
            <w:color w:val="0563C1"/>
            <w:u w:val="single"/>
          </w:rPr>
          <w:t>Resources for practitioners</w:t>
        </w:r>
      </w:hyperlink>
      <w:r w:rsidRPr="003C5412">
        <w:rPr>
          <w:rFonts w:eastAsia="Times New Roman"/>
        </w:rPr>
        <w:t xml:space="preserve"> </w:t>
      </w:r>
      <w:r w:rsidRPr="00E2504C">
        <w:rPr>
          <w:rFonts w:eastAsia="Times New Roman"/>
        </w:rPr>
        <w:t>including the</w:t>
      </w:r>
    </w:p>
    <w:p w14:paraId="32EA5B45" w14:textId="77777777" w:rsidR="00F531BD" w:rsidRPr="00E2504C" w:rsidRDefault="00F531BD" w:rsidP="00F531BD">
      <w:pPr>
        <w:pStyle w:val="ListParagraph"/>
        <w:numPr>
          <w:ilvl w:val="0"/>
          <w:numId w:val="22"/>
        </w:numPr>
        <w:spacing w:line="240" w:lineRule="auto"/>
      </w:pPr>
      <w:r w:rsidRPr="00E2504C">
        <w:t>Looks like/doesn’t look like guide for the principle</w:t>
      </w:r>
    </w:p>
    <w:p w14:paraId="63BC3F87" w14:textId="77777777" w:rsidR="00F531BD" w:rsidRPr="00E2504C" w:rsidRDefault="00F531BD" w:rsidP="00F531BD">
      <w:pPr>
        <w:pStyle w:val="ListParagraph"/>
        <w:numPr>
          <w:ilvl w:val="0"/>
          <w:numId w:val="22"/>
        </w:numPr>
        <w:spacing w:line="240" w:lineRule="auto"/>
      </w:pPr>
      <w:r w:rsidRPr="00E2504C">
        <w:t>Outcome measures resources</w:t>
      </w:r>
    </w:p>
    <w:p w14:paraId="47DE1999" w14:textId="77777777" w:rsidR="00F531BD" w:rsidRPr="003C5412" w:rsidRDefault="00F531BD" w:rsidP="00F531BD">
      <w:pPr>
        <w:pStyle w:val="ListParagraph"/>
        <w:numPr>
          <w:ilvl w:val="0"/>
          <w:numId w:val="19"/>
        </w:numPr>
        <w:spacing w:line="240" w:lineRule="auto"/>
        <w:rPr>
          <w:rFonts w:eastAsia="Times New Roman"/>
          <w:color w:val="000000"/>
        </w:rPr>
      </w:pPr>
      <w:hyperlink r:id="rId17" w:history="1">
        <w:r w:rsidRPr="003C5412">
          <w:rPr>
            <w:rFonts w:eastAsia="Times New Roman"/>
            <w:color w:val="0563C1"/>
            <w:u w:val="single"/>
          </w:rPr>
          <w:t>Resources for families and others</w:t>
        </w:r>
      </w:hyperlink>
    </w:p>
    <w:p w14:paraId="2E88F094" w14:textId="77777777" w:rsidR="00F531BD" w:rsidRPr="003C5412" w:rsidRDefault="00F531BD" w:rsidP="00F531BD">
      <w:pPr>
        <w:pStyle w:val="ListParagraph"/>
        <w:numPr>
          <w:ilvl w:val="0"/>
          <w:numId w:val="21"/>
        </w:numPr>
        <w:spacing w:line="240" w:lineRule="auto"/>
      </w:pPr>
      <w:r w:rsidRPr="003C5412">
        <w:t>The podcast where families and professionals discuss practices related to this principle</w:t>
      </w:r>
    </w:p>
    <w:p w14:paraId="56822A1E" w14:textId="77777777" w:rsidR="00F531BD" w:rsidRPr="003C5412" w:rsidRDefault="00F531BD" w:rsidP="00F531BD">
      <w:pPr>
        <w:pStyle w:val="ListParagraph"/>
        <w:numPr>
          <w:ilvl w:val="0"/>
          <w:numId w:val="19"/>
        </w:numPr>
        <w:spacing w:line="240" w:lineRule="auto"/>
        <w:rPr>
          <w:rFonts w:eastAsia="Times New Roman"/>
          <w:color w:val="000000"/>
        </w:rPr>
      </w:pPr>
      <w:hyperlink r:id="rId18" w:history="1">
        <w:r w:rsidRPr="003C5412">
          <w:rPr>
            <w:rFonts w:eastAsia="Times New Roman"/>
            <w:color w:val="0563C1"/>
            <w:u w:val="single"/>
          </w:rPr>
          <w:t xml:space="preserve">Unpacking the </w:t>
        </w:r>
        <w:r>
          <w:rPr>
            <w:rFonts w:eastAsia="Times New Roman"/>
            <w:color w:val="0563C1"/>
            <w:u w:val="single"/>
          </w:rPr>
          <w:t>F</w:t>
        </w:r>
        <w:r w:rsidRPr="003C5412">
          <w:rPr>
            <w:rFonts w:eastAsia="Times New Roman"/>
            <w:color w:val="0563C1"/>
            <w:u w:val="single"/>
          </w:rPr>
          <w:t>ramework video/s</w:t>
        </w:r>
      </w:hyperlink>
      <w:r w:rsidRPr="003C5412">
        <w:rPr>
          <w:rFonts w:eastAsia="Times New Roman"/>
          <w:color w:val="000000"/>
        </w:rPr>
        <w:t xml:space="preserve"> for this principle </w:t>
      </w:r>
    </w:p>
    <w:p w14:paraId="5A969E42" w14:textId="77777777" w:rsidR="00F531BD" w:rsidRPr="00E2504C" w:rsidRDefault="00F531BD" w:rsidP="00F531BD">
      <w:pPr>
        <w:pStyle w:val="ListParagraph"/>
        <w:numPr>
          <w:ilvl w:val="0"/>
          <w:numId w:val="19"/>
        </w:numPr>
        <w:spacing w:line="240" w:lineRule="auto"/>
        <w:rPr>
          <w:rFonts w:eastAsia="Times New Roman"/>
        </w:rPr>
      </w:pPr>
      <w:hyperlink r:id="rId19" w:history="1">
        <w:r w:rsidRPr="003C5412">
          <w:rPr>
            <w:rFonts w:eastAsia="Times New Roman"/>
            <w:color w:val="0563C1"/>
            <w:u w:val="single"/>
          </w:rPr>
          <w:t>The Framework</w:t>
        </w:r>
      </w:hyperlink>
      <w:r w:rsidRPr="003C5412">
        <w:rPr>
          <w:rFonts w:eastAsia="Times New Roman"/>
          <w:color w:val="000000"/>
        </w:rPr>
        <w:t xml:space="preserve"> </w:t>
      </w:r>
      <w:r w:rsidRPr="00E2504C">
        <w:rPr>
          <w:rFonts w:eastAsia="Times New Roman"/>
        </w:rPr>
        <w:t xml:space="preserve">including </w:t>
      </w:r>
    </w:p>
    <w:p w14:paraId="5F423041" w14:textId="77777777" w:rsidR="00F531BD" w:rsidRPr="00E2504C" w:rsidRDefault="00F531BD" w:rsidP="00F531BD">
      <w:pPr>
        <w:pStyle w:val="ListParagraph"/>
        <w:numPr>
          <w:ilvl w:val="0"/>
          <w:numId w:val="23"/>
        </w:numPr>
        <w:spacing w:line="240" w:lineRule="auto"/>
      </w:pPr>
      <w:r w:rsidRPr="00E2504C">
        <w:t>Decision making guide</w:t>
      </w:r>
    </w:p>
    <w:p w14:paraId="09420522" w14:textId="77777777" w:rsidR="00F531BD" w:rsidRPr="00E2504C" w:rsidRDefault="00F531BD" w:rsidP="00F531BD">
      <w:pPr>
        <w:pStyle w:val="ListParagraph"/>
        <w:numPr>
          <w:ilvl w:val="0"/>
          <w:numId w:val="23"/>
        </w:numPr>
        <w:spacing w:line="240" w:lineRule="auto"/>
      </w:pPr>
      <w:r w:rsidRPr="00E2504C">
        <w:t xml:space="preserve">The Framework </w:t>
      </w:r>
    </w:p>
    <w:p w14:paraId="44CBA2D2" w14:textId="77777777" w:rsidR="00F531BD" w:rsidRPr="003C5412" w:rsidRDefault="00F531BD" w:rsidP="00F531BD">
      <w:pPr>
        <w:pStyle w:val="ListParagraph"/>
        <w:numPr>
          <w:ilvl w:val="0"/>
          <w:numId w:val="19"/>
        </w:numPr>
        <w:spacing w:line="240" w:lineRule="auto"/>
        <w:rPr>
          <w:rFonts w:eastAsia="Times New Roman"/>
          <w:color w:val="000000"/>
        </w:rPr>
      </w:pPr>
      <w:hyperlink r:id="rId20" w:history="1">
        <w:r w:rsidRPr="003C5412">
          <w:rPr>
            <w:rFonts w:eastAsia="Times New Roman"/>
            <w:color w:val="0563C1"/>
            <w:u w:val="single"/>
          </w:rPr>
          <w:t>The development of the Framework</w:t>
        </w:r>
      </w:hyperlink>
    </w:p>
    <w:p w14:paraId="53323857" w14:textId="77777777" w:rsidR="00F531BD" w:rsidRPr="003C5412" w:rsidRDefault="00F531BD" w:rsidP="00F531BD">
      <w:pPr>
        <w:pStyle w:val="ListParagraph"/>
        <w:numPr>
          <w:ilvl w:val="0"/>
          <w:numId w:val="23"/>
        </w:numPr>
        <w:spacing w:line="240" w:lineRule="auto"/>
      </w:pPr>
      <w:r>
        <w:t>Background papers</w:t>
      </w:r>
    </w:p>
    <w:p w14:paraId="48A84A94" w14:textId="77777777" w:rsidR="00F531BD" w:rsidRPr="00FB6639" w:rsidRDefault="00F531BD" w:rsidP="00F531BD">
      <w:pPr>
        <w:pStyle w:val="ListParagraph"/>
        <w:numPr>
          <w:ilvl w:val="0"/>
          <w:numId w:val="23"/>
        </w:numPr>
        <w:spacing w:line="240" w:lineRule="auto"/>
      </w:pPr>
      <w:r>
        <w:t>Bibliography for the principles and practice guidance</w:t>
      </w:r>
    </w:p>
    <w:p w14:paraId="066C67C2" w14:textId="77777777" w:rsidR="004005D9" w:rsidRPr="004005D9" w:rsidRDefault="004005D9" w:rsidP="004005D9">
      <w:pPr>
        <w:spacing w:line="240" w:lineRule="auto"/>
        <w:ind w:left="360"/>
        <w:rPr>
          <w:rFonts w:eastAsia="Yu Mincho" w:cs="Arial"/>
          <w:color w:val="000000" w:themeColor="text1"/>
          <w:sz w:val="20"/>
          <w:szCs w:val="20"/>
        </w:rPr>
      </w:pPr>
    </w:p>
    <w:p w14:paraId="07D5245E" w14:textId="77777777" w:rsidR="004005D9" w:rsidRPr="004005D9" w:rsidRDefault="004005D9" w:rsidP="004005D9">
      <w:pPr>
        <w:pBdr>
          <w:top w:val="single" w:sz="4" w:space="1" w:color="auto"/>
        </w:pBdr>
        <w:spacing w:before="0" w:line="240" w:lineRule="auto"/>
        <w:rPr>
          <w:rFonts w:eastAsia="Arial" w:cs="Arial"/>
          <w:color w:val="000000"/>
          <w:sz w:val="20"/>
          <w:szCs w:val="20"/>
        </w:rPr>
      </w:pPr>
      <w:r w:rsidRPr="004005D9">
        <w:rPr>
          <w:rFonts w:eastAsia="Arial" w:cs="Arial"/>
          <w:color w:val="000000"/>
          <w:sz w:val="20"/>
          <w:szCs w:val="20"/>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16E0E80B" w14:textId="77777777" w:rsidR="004005D9" w:rsidRPr="004005D9" w:rsidRDefault="004005D9" w:rsidP="004005D9">
      <w:pPr>
        <w:pBdr>
          <w:top w:val="single" w:sz="4" w:space="1" w:color="auto"/>
        </w:pBdr>
        <w:spacing w:before="0" w:line="240" w:lineRule="auto"/>
        <w:rPr>
          <w:rFonts w:eastAsia="Arial" w:cs="Arial"/>
          <w:color w:val="000000"/>
          <w:sz w:val="20"/>
          <w:szCs w:val="20"/>
        </w:rPr>
      </w:pPr>
      <w:r w:rsidRPr="004005D9">
        <w:rPr>
          <w:rFonts w:eastAsia="Arial" w:cs="Arial"/>
          <w:color w:val="000000"/>
          <w:sz w:val="20"/>
          <w:szCs w:val="20"/>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21" w:tgtFrame="_blank" w:history="1">
        <w:r w:rsidRPr="004005D9">
          <w:rPr>
            <w:rFonts w:eastAsia="Arial" w:cs="Arial"/>
            <w:color w:val="467886" w:themeColor="hyperlink"/>
            <w:sz w:val="20"/>
            <w:szCs w:val="20"/>
            <w:u w:val="single"/>
          </w:rPr>
          <w:t>Creative Commons Licence</w:t>
        </w:r>
      </w:hyperlink>
      <w:r w:rsidRPr="004005D9">
        <w:rPr>
          <w:rFonts w:eastAsia="Arial" w:cs="Arial"/>
          <w:color w:val="000000"/>
          <w:sz w:val="20"/>
          <w:szCs w:val="20"/>
        </w:rPr>
        <w:t xml:space="preserve"> described above.  </w:t>
      </w:r>
    </w:p>
    <w:p w14:paraId="4D32A2D2" w14:textId="77777777" w:rsidR="004005D9" w:rsidRPr="004005D9" w:rsidRDefault="004005D9" w:rsidP="004005D9">
      <w:pPr>
        <w:pBdr>
          <w:top w:val="single" w:sz="4" w:space="1" w:color="auto"/>
        </w:pBdr>
        <w:spacing w:before="0" w:line="240" w:lineRule="auto"/>
        <w:rPr>
          <w:rFonts w:eastAsia="Arial" w:cs="Arial"/>
          <w:color w:val="467886" w:themeColor="hyperlink"/>
          <w:sz w:val="20"/>
          <w:szCs w:val="20"/>
          <w:u w:val="single"/>
        </w:rPr>
      </w:pPr>
      <w:r w:rsidRPr="004005D9">
        <w:rPr>
          <w:rFonts w:eastAsia="Arial" w:cs="Arial"/>
          <w:color w:val="000000"/>
          <w:sz w:val="20"/>
          <w:szCs w:val="20"/>
        </w:rPr>
        <w:t xml:space="preserve">For more information about copyright please visit </w:t>
      </w:r>
      <w:hyperlink r:id="rId22" w:history="1">
        <w:r w:rsidRPr="004005D9">
          <w:rPr>
            <w:rFonts w:eastAsia="Arial" w:cs="Arial"/>
            <w:color w:val="467886" w:themeColor="hyperlink"/>
            <w:sz w:val="20"/>
            <w:szCs w:val="20"/>
            <w:u w:val="single"/>
          </w:rPr>
          <w:t>https://healthy-trajectories.com.au/eci-framework/</w:t>
        </w:r>
      </w:hyperlink>
    </w:p>
    <w:p w14:paraId="4960DA85" w14:textId="7BCC3B46" w:rsidR="00637401" w:rsidRPr="00637401" w:rsidRDefault="00637401" w:rsidP="004005D9">
      <w:pPr>
        <w:pStyle w:val="Heading1"/>
        <w:rPr>
          <w:rFonts w:eastAsia="Arial"/>
          <w:color w:val="467886" w:themeColor="hyperlink"/>
          <w:sz w:val="20"/>
          <w:szCs w:val="20"/>
          <w:u w:val="single"/>
        </w:rPr>
      </w:pPr>
    </w:p>
    <w:sectPr w:rsidR="00637401" w:rsidRPr="00637401" w:rsidSect="00976DFE">
      <w:headerReference w:type="even" r:id="rId23"/>
      <w:headerReference w:type="default" r:id="rId24"/>
      <w:footerReference w:type="even" r:id="rId25"/>
      <w:footerReference w:type="default" r:id="rId26"/>
      <w:headerReference w:type="first" r:id="rId27"/>
      <w:footerReference w:type="first" r:id="rId28"/>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B0641" w14:textId="77777777" w:rsidR="000617E1" w:rsidRDefault="000617E1" w:rsidP="00E65C4F">
      <w:pPr>
        <w:spacing w:after="0" w:line="240" w:lineRule="auto"/>
      </w:pPr>
      <w:r>
        <w:separator/>
      </w:r>
    </w:p>
  </w:endnote>
  <w:endnote w:type="continuationSeparator" w:id="0">
    <w:p w14:paraId="6D65A915" w14:textId="77777777" w:rsidR="000617E1" w:rsidRDefault="000617E1" w:rsidP="00E65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Bold">
    <w:charset w:val="00"/>
    <w:family w:val="auto"/>
    <w:pitch w:val="default"/>
  </w:font>
  <w:font w:name="Aptos">
    <w:charset w:val="00"/>
    <w:family w:val="swiss"/>
    <w:pitch w:val="variable"/>
    <w:sig w:usb0="20000287" w:usb1="00000003" w:usb2="00000000" w:usb3="00000000" w:csb0="0000019F" w:csb1="00000000"/>
    <w:embedRegular r:id="rId1" w:fontKey="{FDB6A519-2CC5-4229-BC7B-C71A608F8382}"/>
  </w:font>
  <w:font w:name="Poppins">
    <w:charset w:val="00"/>
    <w:family w:val="auto"/>
    <w:pitch w:val="variable"/>
    <w:sig w:usb0="00008007" w:usb1="00000000" w:usb2="00000000" w:usb3="00000000" w:csb0="00000093" w:csb1="00000000"/>
    <w:embedBold r:id="rId2" w:fontKey="{E2A64EEE-2AA4-479D-ACEC-672D540386FA}"/>
  </w:font>
  <w:font w:name="Inter Bold">
    <w:altName w:val="Calibri"/>
    <w:panose1 w:val="02000803000000020004"/>
    <w:charset w:val="00"/>
    <w:family w:val="auto"/>
    <w:pitch w:val="default"/>
  </w:font>
  <w:font w:name="Arial Bold">
    <w:altName w:val="Arial"/>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A9F1F3B6-9D27-44D3-A3F8-4C429B44AF62}"/>
    <w:embedItalic r:id="rId4" w:fontKey="{CF2D3A5E-A054-4AE4-92B1-225A38B325C8}"/>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5" w:fontKey="{3060C80F-1C1A-47C6-A936-6FB72A61C9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BA93" w14:textId="77777777" w:rsidR="0027056E" w:rsidRDefault="00270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8568" w14:textId="1122CB29" w:rsidR="00E65C4F" w:rsidRDefault="00E65C4F">
    <w:pPr>
      <w:pStyle w:val="Footer"/>
    </w:pPr>
    <w:r>
      <w:rPr>
        <w:noProof/>
      </w:rPr>
      <w:drawing>
        <wp:anchor distT="0" distB="0" distL="114300" distR="114300" simplePos="0" relativeHeight="251658240" behindDoc="0" locked="1" layoutInCell="1" allowOverlap="1" wp14:anchorId="7ED88D67" wp14:editId="32B9C53B">
          <wp:simplePos x="0" y="0"/>
          <wp:positionH relativeFrom="margin">
            <wp:align>center</wp:align>
          </wp:positionH>
          <wp:positionV relativeFrom="page">
            <wp:posOffset>9914890</wp:posOffset>
          </wp:positionV>
          <wp:extent cx="7150100" cy="594360"/>
          <wp:effectExtent l="0" t="0" r="0" b="0"/>
          <wp:wrapNone/>
          <wp:docPr id="837741468" name="Picture 1" descr="banner of partner logos - Healthy Trajectories, PRECI, Murdoch Children's Research Institute, SNAICC, Association for children with a disability, CYDA, Melbourne Disability Institute, Strong kids strong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1468" name="Picture 1" descr="banner of partner logos - Healthy Trajectories, PRECI, Murdoch Children's Research Institute, SNAICC, Association for children with a disability, CYDA, Melbourne Disability Institute, Strong kids strong futur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010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11D7" w14:textId="77777777" w:rsidR="0027056E" w:rsidRDefault="00270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F42F0" w14:textId="77777777" w:rsidR="000617E1" w:rsidRDefault="000617E1" w:rsidP="00E65C4F">
      <w:pPr>
        <w:spacing w:after="0" w:line="240" w:lineRule="auto"/>
      </w:pPr>
      <w:r>
        <w:separator/>
      </w:r>
    </w:p>
  </w:footnote>
  <w:footnote w:type="continuationSeparator" w:id="0">
    <w:p w14:paraId="1E324A47" w14:textId="77777777" w:rsidR="000617E1" w:rsidRDefault="000617E1" w:rsidP="00E65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E197" w14:textId="77777777" w:rsidR="0027056E" w:rsidRDefault="002705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CE3D" w14:textId="548EE9FD" w:rsidR="00637401" w:rsidRDefault="00637401">
    <w:pPr>
      <w:pStyle w:val="Header"/>
    </w:pPr>
    <w:r>
      <w:tab/>
    </w:r>
    <w:r>
      <w:tab/>
    </w: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DDF7" w14:textId="77777777" w:rsidR="0027056E" w:rsidRDefault="00270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7D1"/>
    <w:multiLevelType w:val="hybridMultilevel"/>
    <w:tmpl w:val="06902F40"/>
    <w:lvl w:ilvl="0" w:tplc="08090001">
      <w:start w:val="1"/>
      <w:numFmt w:val="bullet"/>
      <w:lvlText w:val=""/>
      <w:lvlJc w:val="left"/>
      <w:pPr>
        <w:ind w:left="400" w:hanging="360"/>
      </w:pPr>
      <w:rPr>
        <w:rFonts w:ascii="Symbol" w:hAnsi="Symbol" w:hint="default"/>
      </w:rPr>
    </w:lvl>
    <w:lvl w:ilvl="1" w:tplc="FFFFFFFF">
      <w:start w:val="1"/>
      <w:numFmt w:val="bullet"/>
      <w:lvlText w:val="o"/>
      <w:lvlJc w:val="left"/>
      <w:pPr>
        <w:ind w:left="800" w:hanging="360"/>
      </w:pPr>
      <w:rPr>
        <w:rFonts w:ascii="Courier New" w:hAnsi="Courier New"/>
      </w:rPr>
    </w:lvl>
    <w:lvl w:ilvl="2" w:tplc="FFFFFFFF">
      <w:start w:val="1"/>
      <w:numFmt w:val="bullet"/>
      <w:lvlText w:val=""/>
      <w:lvlJc w:val="left"/>
      <w:pPr>
        <w:ind w:left="1200" w:hanging="360"/>
      </w:pPr>
      <w:rPr>
        <w:rFonts w:ascii="Wingdings" w:hAnsi="Wingdings"/>
      </w:rPr>
    </w:lvl>
    <w:lvl w:ilvl="3" w:tplc="FFFFFFFF">
      <w:start w:val="1"/>
      <w:numFmt w:val="bullet"/>
      <w:lvlText w:val=""/>
      <w:lvlJc w:val="left"/>
      <w:pPr>
        <w:ind w:left="1600" w:hanging="360"/>
      </w:pPr>
      <w:rPr>
        <w:rFonts w:ascii="Symbol" w:hAnsi="Symbol"/>
      </w:rPr>
    </w:lvl>
    <w:lvl w:ilvl="4" w:tplc="FFFFFFFF">
      <w:start w:val="1"/>
      <w:numFmt w:val="bullet"/>
      <w:lvlText w:val="o"/>
      <w:lvlJc w:val="left"/>
      <w:pPr>
        <w:ind w:left="2000" w:hanging="360"/>
      </w:pPr>
      <w:rPr>
        <w:rFonts w:ascii="Courier New" w:hAnsi="Courier New"/>
      </w:rPr>
    </w:lvl>
    <w:lvl w:ilvl="5" w:tplc="FFFFFFFF">
      <w:start w:val="1"/>
      <w:numFmt w:val="bullet"/>
      <w:lvlText w:val=""/>
      <w:lvlJc w:val="left"/>
      <w:pPr>
        <w:ind w:left="2400" w:hanging="360"/>
      </w:pPr>
      <w:rPr>
        <w:rFonts w:ascii="Wingdings" w:hAnsi="Wingdings"/>
      </w:rPr>
    </w:lvl>
    <w:lvl w:ilvl="6" w:tplc="FFFFFFFF">
      <w:start w:val="1"/>
      <w:numFmt w:val="bullet"/>
      <w:lvlText w:val=""/>
      <w:lvlJc w:val="left"/>
      <w:pPr>
        <w:ind w:left="2800" w:hanging="360"/>
      </w:pPr>
      <w:rPr>
        <w:rFonts w:ascii="Symbol" w:hAnsi="Symbol"/>
      </w:rPr>
    </w:lvl>
    <w:lvl w:ilvl="7" w:tplc="FFFFFFFF">
      <w:start w:val="1"/>
      <w:numFmt w:val="bullet"/>
      <w:lvlText w:val="o"/>
      <w:lvlJc w:val="left"/>
      <w:pPr>
        <w:ind w:left="3200" w:hanging="360"/>
      </w:pPr>
      <w:rPr>
        <w:rFonts w:ascii="Courier New" w:hAnsi="Courier New"/>
      </w:rPr>
    </w:lvl>
    <w:lvl w:ilvl="8" w:tplc="FFFFFFFF">
      <w:numFmt w:val="decimal"/>
      <w:lvlText w:val=""/>
      <w:lvlJc w:val="left"/>
    </w:lvl>
  </w:abstractNum>
  <w:abstractNum w:abstractNumId="1" w15:restartNumberingAfterBreak="0">
    <w:nsid w:val="02A93C6A"/>
    <w:multiLevelType w:val="hybridMultilevel"/>
    <w:tmpl w:val="B77C80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B622F6"/>
    <w:multiLevelType w:val="multilevel"/>
    <w:tmpl w:val="F1B8ADFC"/>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6B4989"/>
    <w:multiLevelType w:val="hybridMultilevel"/>
    <w:tmpl w:val="85429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9107B4"/>
    <w:multiLevelType w:val="hybridMultilevel"/>
    <w:tmpl w:val="63C8835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08B53B52"/>
    <w:multiLevelType w:val="hybridMultilevel"/>
    <w:tmpl w:val="15A0DE1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6" w15:restartNumberingAfterBreak="0">
    <w:nsid w:val="185B0AED"/>
    <w:multiLevelType w:val="hybridMultilevel"/>
    <w:tmpl w:val="AD26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F6770"/>
    <w:multiLevelType w:val="hybridMultilevel"/>
    <w:tmpl w:val="014AD24A"/>
    <w:lvl w:ilvl="0" w:tplc="E71EED24">
      <w:numFmt w:val="bullet"/>
      <w:lvlText w:val="•"/>
      <w:lvlJc w:val="left"/>
      <w:pPr>
        <w:ind w:left="1080" w:hanging="720"/>
      </w:pPr>
      <w:rPr>
        <w:rFonts w:ascii="Arial" w:eastAsia="Montserrat Bold"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D1D45"/>
    <w:multiLevelType w:val="hybridMultilevel"/>
    <w:tmpl w:val="5BE282A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1F511714"/>
    <w:multiLevelType w:val="hybridMultilevel"/>
    <w:tmpl w:val="2D74294A"/>
    <w:lvl w:ilvl="0" w:tplc="E71EED24">
      <w:numFmt w:val="bullet"/>
      <w:lvlText w:val="•"/>
      <w:lvlJc w:val="left"/>
      <w:pPr>
        <w:ind w:left="1120" w:hanging="720"/>
      </w:pPr>
      <w:rPr>
        <w:rFonts w:ascii="Arial" w:eastAsia="Montserrat Bold" w:hAnsi="Arial" w:cs="Aria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2C2830DB"/>
    <w:multiLevelType w:val="multilevel"/>
    <w:tmpl w:val="E2BCCB60"/>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996EC8"/>
    <w:multiLevelType w:val="hybridMultilevel"/>
    <w:tmpl w:val="A1C0AF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7357F30"/>
    <w:multiLevelType w:val="multilevel"/>
    <w:tmpl w:val="775EB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7B70BB9"/>
    <w:multiLevelType w:val="hybridMultilevel"/>
    <w:tmpl w:val="D3108AE4"/>
    <w:lvl w:ilvl="0" w:tplc="D8B8B12E">
      <w:start w:val="1"/>
      <w:numFmt w:val="bullet"/>
      <w:lvlText w:val=""/>
      <w:lvlJc w:val="left"/>
      <w:pPr>
        <w:ind w:left="400" w:hanging="360"/>
      </w:pPr>
      <w:rPr>
        <w:rFonts w:ascii="Symbol" w:hAnsi="Symbol"/>
      </w:rPr>
    </w:lvl>
    <w:lvl w:ilvl="1" w:tplc="D5C6BEF4">
      <w:start w:val="1"/>
      <w:numFmt w:val="bullet"/>
      <w:lvlText w:val="o"/>
      <w:lvlJc w:val="left"/>
      <w:pPr>
        <w:ind w:left="800" w:hanging="360"/>
      </w:pPr>
      <w:rPr>
        <w:rFonts w:ascii="Courier New" w:hAnsi="Courier New"/>
      </w:rPr>
    </w:lvl>
    <w:lvl w:ilvl="2" w:tplc="4E78C782">
      <w:start w:val="1"/>
      <w:numFmt w:val="bullet"/>
      <w:lvlText w:val=""/>
      <w:lvlJc w:val="left"/>
      <w:pPr>
        <w:ind w:left="1200" w:hanging="360"/>
      </w:pPr>
      <w:rPr>
        <w:rFonts w:ascii="Wingdings" w:hAnsi="Wingdings"/>
      </w:rPr>
    </w:lvl>
    <w:lvl w:ilvl="3" w:tplc="4AF86B8C">
      <w:start w:val="1"/>
      <w:numFmt w:val="bullet"/>
      <w:lvlText w:val=""/>
      <w:lvlJc w:val="left"/>
      <w:pPr>
        <w:ind w:left="1600" w:hanging="360"/>
      </w:pPr>
      <w:rPr>
        <w:rFonts w:ascii="Symbol" w:hAnsi="Symbol"/>
      </w:rPr>
    </w:lvl>
    <w:lvl w:ilvl="4" w:tplc="3B36D564">
      <w:start w:val="1"/>
      <w:numFmt w:val="bullet"/>
      <w:lvlText w:val="o"/>
      <w:lvlJc w:val="left"/>
      <w:pPr>
        <w:ind w:left="2000" w:hanging="360"/>
      </w:pPr>
      <w:rPr>
        <w:rFonts w:ascii="Courier New" w:hAnsi="Courier New"/>
      </w:rPr>
    </w:lvl>
    <w:lvl w:ilvl="5" w:tplc="027EFBC6">
      <w:start w:val="1"/>
      <w:numFmt w:val="bullet"/>
      <w:lvlText w:val=""/>
      <w:lvlJc w:val="left"/>
      <w:pPr>
        <w:ind w:left="2400" w:hanging="360"/>
      </w:pPr>
      <w:rPr>
        <w:rFonts w:ascii="Wingdings" w:hAnsi="Wingdings"/>
      </w:rPr>
    </w:lvl>
    <w:lvl w:ilvl="6" w:tplc="6ADAAC82">
      <w:start w:val="1"/>
      <w:numFmt w:val="bullet"/>
      <w:lvlText w:val=""/>
      <w:lvlJc w:val="left"/>
      <w:pPr>
        <w:ind w:left="2800" w:hanging="360"/>
      </w:pPr>
      <w:rPr>
        <w:rFonts w:ascii="Symbol" w:hAnsi="Symbol"/>
      </w:rPr>
    </w:lvl>
    <w:lvl w:ilvl="7" w:tplc="8CA62588">
      <w:start w:val="1"/>
      <w:numFmt w:val="bullet"/>
      <w:lvlText w:val="o"/>
      <w:lvlJc w:val="left"/>
      <w:pPr>
        <w:ind w:left="3200" w:hanging="360"/>
      </w:pPr>
      <w:rPr>
        <w:rFonts w:ascii="Courier New" w:hAnsi="Courier New"/>
      </w:rPr>
    </w:lvl>
    <w:lvl w:ilvl="8" w:tplc="3FA87C82">
      <w:numFmt w:val="decimal"/>
      <w:lvlText w:val=""/>
      <w:lvlJc w:val="left"/>
    </w:lvl>
  </w:abstractNum>
  <w:abstractNum w:abstractNumId="14" w15:restartNumberingAfterBreak="0">
    <w:nsid w:val="4AB71ED4"/>
    <w:multiLevelType w:val="hybridMultilevel"/>
    <w:tmpl w:val="A88C7200"/>
    <w:lvl w:ilvl="0" w:tplc="DA6055D6">
      <w:start w:val="1"/>
      <w:numFmt w:val="bullet"/>
      <w:lvlText w:val=""/>
      <w:lvlJc w:val="left"/>
      <w:pPr>
        <w:ind w:left="400" w:hanging="360"/>
      </w:pPr>
      <w:rPr>
        <w:rFonts w:ascii="Symbol" w:hAnsi="Symbol"/>
      </w:rPr>
    </w:lvl>
    <w:lvl w:ilvl="1" w:tplc="6F0A5118">
      <w:start w:val="1"/>
      <w:numFmt w:val="bullet"/>
      <w:lvlText w:val="o"/>
      <w:lvlJc w:val="left"/>
      <w:pPr>
        <w:ind w:left="800" w:hanging="360"/>
      </w:pPr>
      <w:rPr>
        <w:rFonts w:ascii="Courier New" w:hAnsi="Courier New"/>
      </w:rPr>
    </w:lvl>
    <w:lvl w:ilvl="2" w:tplc="955A37EC">
      <w:start w:val="1"/>
      <w:numFmt w:val="bullet"/>
      <w:lvlText w:val=""/>
      <w:lvlJc w:val="left"/>
      <w:pPr>
        <w:ind w:left="1200" w:hanging="360"/>
      </w:pPr>
      <w:rPr>
        <w:rFonts w:ascii="Wingdings" w:hAnsi="Wingdings"/>
      </w:rPr>
    </w:lvl>
    <w:lvl w:ilvl="3" w:tplc="B1AC9DD4">
      <w:start w:val="1"/>
      <w:numFmt w:val="bullet"/>
      <w:lvlText w:val=""/>
      <w:lvlJc w:val="left"/>
      <w:pPr>
        <w:ind w:left="1600" w:hanging="360"/>
      </w:pPr>
      <w:rPr>
        <w:rFonts w:ascii="Symbol" w:hAnsi="Symbol"/>
      </w:rPr>
    </w:lvl>
    <w:lvl w:ilvl="4" w:tplc="645EC018">
      <w:start w:val="1"/>
      <w:numFmt w:val="bullet"/>
      <w:lvlText w:val="o"/>
      <w:lvlJc w:val="left"/>
      <w:pPr>
        <w:ind w:left="2000" w:hanging="360"/>
      </w:pPr>
      <w:rPr>
        <w:rFonts w:ascii="Courier New" w:hAnsi="Courier New"/>
      </w:rPr>
    </w:lvl>
    <w:lvl w:ilvl="5" w:tplc="E5D25BF6">
      <w:start w:val="1"/>
      <w:numFmt w:val="bullet"/>
      <w:lvlText w:val=""/>
      <w:lvlJc w:val="left"/>
      <w:pPr>
        <w:ind w:left="2400" w:hanging="360"/>
      </w:pPr>
      <w:rPr>
        <w:rFonts w:ascii="Wingdings" w:hAnsi="Wingdings"/>
      </w:rPr>
    </w:lvl>
    <w:lvl w:ilvl="6" w:tplc="3F5E6FE0">
      <w:start w:val="1"/>
      <w:numFmt w:val="bullet"/>
      <w:lvlText w:val=""/>
      <w:lvlJc w:val="left"/>
      <w:pPr>
        <w:ind w:left="2800" w:hanging="360"/>
      </w:pPr>
      <w:rPr>
        <w:rFonts w:ascii="Symbol" w:hAnsi="Symbol"/>
      </w:rPr>
    </w:lvl>
    <w:lvl w:ilvl="7" w:tplc="505C3CF8">
      <w:start w:val="1"/>
      <w:numFmt w:val="bullet"/>
      <w:lvlText w:val="o"/>
      <w:lvlJc w:val="left"/>
      <w:pPr>
        <w:ind w:left="3200" w:hanging="360"/>
      </w:pPr>
      <w:rPr>
        <w:rFonts w:ascii="Courier New" w:hAnsi="Courier New"/>
      </w:rPr>
    </w:lvl>
    <w:lvl w:ilvl="8" w:tplc="847AB67A">
      <w:numFmt w:val="decimal"/>
      <w:lvlText w:val=""/>
      <w:lvlJc w:val="left"/>
    </w:lvl>
  </w:abstractNum>
  <w:abstractNum w:abstractNumId="15" w15:restartNumberingAfterBreak="0">
    <w:nsid w:val="4CE3741D"/>
    <w:multiLevelType w:val="hybridMultilevel"/>
    <w:tmpl w:val="5C020E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194216"/>
    <w:multiLevelType w:val="hybridMultilevel"/>
    <w:tmpl w:val="71EA9DA8"/>
    <w:lvl w:ilvl="0" w:tplc="DA6055D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05A2063"/>
    <w:multiLevelType w:val="hybridMultilevel"/>
    <w:tmpl w:val="6ED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5233559"/>
    <w:multiLevelType w:val="multilevel"/>
    <w:tmpl w:val="B0C28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7AF67F1"/>
    <w:multiLevelType w:val="hybridMultilevel"/>
    <w:tmpl w:val="A66634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69873DA8"/>
    <w:multiLevelType w:val="hybridMultilevel"/>
    <w:tmpl w:val="74A44400"/>
    <w:lvl w:ilvl="0" w:tplc="0678959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896781"/>
    <w:multiLevelType w:val="hybridMultilevel"/>
    <w:tmpl w:val="2F3A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58644E"/>
    <w:multiLevelType w:val="hybridMultilevel"/>
    <w:tmpl w:val="C9960DD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num w:numId="1" w16cid:durableId="1310208562">
    <w:abstractNumId w:val="14"/>
  </w:num>
  <w:num w:numId="2" w16cid:durableId="777791637">
    <w:abstractNumId w:val="13"/>
  </w:num>
  <w:num w:numId="3" w16cid:durableId="977880284">
    <w:abstractNumId w:val="22"/>
  </w:num>
  <w:num w:numId="4" w16cid:durableId="979963250">
    <w:abstractNumId w:val="0"/>
  </w:num>
  <w:num w:numId="5" w16cid:durableId="1867213727">
    <w:abstractNumId w:val="1"/>
  </w:num>
  <w:num w:numId="6" w16cid:durableId="1634215131">
    <w:abstractNumId w:val="8"/>
  </w:num>
  <w:num w:numId="7" w16cid:durableId="918828622">
    <w:abstractNumId w:val="6"/>
  </w:num>
  <w:num w:numId="8" w16cid:durableId="679428389">
    <w:abstractNumId w:val="7"/>
  </w:num>
  <w:num w:numId="9" w16cid:durableId="946085493">
    <w:abstractNumId w:val="9"/>
  </w:num>
  <w:num w:numId="10" w16cid:durableId="1242838515">
    <w:abstractNumId w:val="21"/>
  </w:num>
  <w:num w:numId="11" w16cid:durableId="2016374809">
    <w:abstractNumId w:val="5"/>
  </w:num>
  <w:num w:numId="12" w16cid:durableId="1085305786">
    <w:abstractNumId w:val="20"/>
  </w:num>
  <w:num w:numId="13" w16cid:durableId="302196107">
    <w:abstractNumId w:val="12"/>
  </w:num>
  <w:num w:numId="14" w16cid:durableId="1538589591">
    <w:abstractNumId w:val="18"/>
  </w:num>
  <w:num w:numId="15" w16cid:durableId="167673823">
    <w:abstractNumId w:val="10"/>
  </w:num>
  <w:num w:numId="16" w16cid:durableId="329143682">
    <w:abstractNumId w:val="2"/>
  </w:num>
  <w:num w:numId="17" w16cid:durableId="399643339">
    <w:abstractNumId w:val="11"/>
  </w:num>
  <w:num w:numId="18" w16cid:durableId="640231759">
    <w:abstractNumId w:val="3"/>
  </w:num>
  <w:num w:numId="19" w16cid:durableId="1926454837">
    <w:abstractNumId w:val="17"/>
  </w:num>
  <w:num w:numId="20" w16cid:durableId="367949532">
    <w:abstractNumId w:val="16"/>
  </w:num>
  <w:num w:numId="21" w16cid:durableId="921139384">
    <w:abstractNumId w:val="4"/>
  </w:num>
  <w:num w:numId="22" w16cid:durableId="1001545391">
    <w:abstractNumId w:val="15"/>
  </w:num>
  <w:num w:numId="23" w16cid:durableId="2131703360">
    <w:abstractNumId w:val="19"/>
  </w:num>
  <w:num w:numId="24" w16cid:durableId="1642686878">
    <w:abstractNumId w:val="15"/>
  </w:num>
  <w:num w:numId="25" w16cid:durableId="1495025521">
    <w:abstractNumId w:val="4"/>
  </w:num>
  <w:num w:numId="26" w16cid:durableId="5924014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34"/>
    <w:rsid w:val="000050D3"/>
    <w:rsid w:val="000164E4"/>
    <w:rsid w:val="000202E8"/>
    <w:rsid w:val="0003120F"/>
    <w:rsid w:val="00043483"/>
    <w:rsid w:val="000617E1"/>
    <w:rsid w:val="000B41F9"/>
    <w:rsid w:val="000C5299"/>
    <w:rsid w:val="000D7C24"/>
    <w:rsid w:val="00100B29"/>
    <w:rsid w:val="00123E68"/>
    <w:rsid w:val="00125779"/>
    <w:rsid w:val="00145306"/>
    <w:rsid w:val="00145F06"/>
    <w:rsid w:val="0016405D"/>
    <w:rsid w:val="00170A73"/>
    <w:rsid w:val="00175BBB"/>
    <w:rsid w:val="00177DCA"/>
    <w:rsid w:val="0019369D"/>
    <w:rsid w:val="001943E8"/>
    <w:rsid w:val="001B441E"/>
    <w:rsid w:val="001B5F6E"/>
    <w:rsid w:val="001B72B1"/>
    <w:rsid w:val="00205E34"/>
    <w:rsid w:val="0024232E"/>
    <w:rsid w:val="0027056E"/>
    <w:rsid w:val="0027271B"/>
    <w:rsid w:val="00294369"/>
    <w:rsid w:val="002C3039"/>
    <w:rsid w:val="002E071F"/>
    <w:rsid w:val="002F7DB5"/>
    <w:rsid w:val="00310C65"/>
    <w:rsid w:val="003610AA"/>
    <w:rsid w:val="00361238"/>
    <w:rsid w:val="003811EA"/>
    <w:rsid w:val="003C77FE"/>
    <w:rsid w:val="003D09D8"/>
    <w:rsid w:val="003E2933"/>
    <w:rsid w:val="003F1365"/>
    <w:rsid w:val="004005D9"/>
    <w:rsid w:val="0042430F"/>
    <w:rsid w:val="0043547A"/>
    <w:rsid w:val="00466A97"/>
    <w:rsid w:val="0047782E"/>
    <w:rsid w:val="00490CBB"/>
    <w:rsid w:val="004A527D"/>
    <w:rsid w:val="004C2437"/>
    <w:rsid w:val="004D64B1"/>
    <w:rsid w:val="004E4B84"/>
    <w:rsid w:val="004F13AA"/>
    <w:rsid w:val="00522184"/>
    <w:rsid w:val="005306A5"/>
    <w:rsid w:val="005318A5"/>
    <w:rsid w:val="00542E06"/>
    <w:rsid w:val="00550FE7"/>
    <w:rsid w:val="00557BA4"/>
    <w:rsid w:val="005A26B8"/>
    <w:rsid w:val="005A2808"/>
    <w:rsid w:val="006212C4"/>
    <w:rsid w:val="006259A8"/>
    <w:rsid w:val="00637401"/>
    <w:rsid w:val="00656745"/>
    <w:rsid w:val="00671499"/>
    <w:rsid w:val="006960B3"/>
    <w:rsid w:val="006C2F7F"/>
    <w:rsid w:val="006C41E3"/>
    <w:rsid w:val="006C61C2"/>
    <w:rsid w:val="006F3664"/>
    <w:rsid w:val="007037DA"/>
    <w:rsid w:val="00774CBC"/>
    <w:rsid w:val="0077587D"/>
    <w:rsid w:val="007872C3"/>
    <w:rsid w:val="0081093B"/>
    <w:rsid w:val="00841CBB"/>
    <w:rsid w:val="00882FED"/>
    <w:rsid w:val="008A7F88"/>
    <w:rsid w:val="008B03C4"/>
    <w:rsid w:val="00910AAC"/>
    <w:rsid w:val="00953A20"/>
    <w:rsid w:val="009644DF"/>
    <w:rsid w:val="00976DFE"/>
    <w:rsid w:val="009967B4"/>
    <w:rsid w:val="009A306F"/>
    <w:rsid w:val="009A5095"/>
    <w:rsid w:val="009C7767"/>
    <w:rsid w:val="00A100AF"/>
    <w:rsid w:val="00A16668"/>
    <w:rsid w:val="00A22384"/>
    <w:rsid w:val="00A44E6C"/>
    <w:rsid w:val="00A47594"/>
    <w:rsid w:val="00A52470"/>
    <w:rsid w:val="00A70CF7"/>
    <w:rsid w:val="00A7767C"/>
    <w:rsid w:val="00AE7279"/>
    <w:rsid w:val="00B2103F"/>
    <w:rsid w:val="00B35348"/>
    <w:rsid w:val="00B6591D"/>
    <w:rsid w:val="00BA3D5C"/>
    <w:rsid w:val="00BB62DD"/>
    <w:rsid w:val="00BC3079"/>
    <w:rsid w:val="00C54D83"/>
    <w:rsid w:val="00C73205"/>
    <w:rsid w:val="00CA35D9"/>
    <w:rsid w:val="00CB303B"/>
    <w:rsid w:val="00CD1912"/>
    <w:rsid w:val="00CD55C6"/>
    <w:rsid w:val="00CE1D83"/>
    <w:rsid w:val="00CF0C0E"/>
    <w:rsid w:val="00D07EDB"/>
    <w:rsid w:val="00D13E1D"/>
    <w:rsid w:val="00D25AB9"/>
    <w:rsid w:val="00D50BC1"/>
    <w:rsid w:val="00D74B90"/>
    <w:rsid w:val="00D97E05"/>
    <w:rsid w:val="00DB1407"/>
    <w:rsid w:val="00DC360F"/>
    <w:rsid w:val="00DC7B5C"/>
    <w:rsid w:val="00E1049C"/>
    <w:rsid w:val="00E3180A"/>
    <w:rsid w:val="00E57D29"/>
    <w:rsid w:val="00E65C4F"/>
    <w:rsid w:val="00EA5D63"/>
    <w:rsid w:val="00EB40F9"/>
    <w:rsid w:val="00ED2DD1"/>
    <w:rsid w:val="00ED452E"/>
    <w:rsid w:val="00EF51ED"/>
    <w:rsid w:val="00F11B9A"/>
    <w:rsid w:val="00F235A3"/>
    <w:rsid w:val="00F531BD"/>
    <w:rsid w:val="00F611CC"/>
    <w:rsid w:val="00FB76E3"/>
    <w:rsid w:val="00FC4C09"/>
    <w:rsid w:val="00FE2E14"/>
    <w:rsid w:val="00FF1836"/>
    <w:rsid w:val="00FF6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1B9E4"/>
  <w15:docId w15:val="{5B734D35-2BBF-AD46-BD77-E780C928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38"/>
    <w:pPr>
      <w:spacing w:before="120" w:after="120" w:line="276" w:lineRule="auto"/>
    </w:pPr>
    <w:rPr>
      <w:rFonts w:ascii="Arial" w:hAnsi="Arial"/>
    </w:rPr>
  </w:style>
  <w:style w:type="paragraph" w:styleId="Heading1">
    <w:name w:val="heading 1"/>
    <w:basedOn w:val="Normal"/>
    <w:next w:val="Normal"/>
    <w:link w:val="Heading1Char"/>
    <w:uiPriority w:val="9"/>
    <w:qFormat/>
    <w:rsid w:val="00774CBC"/>
    <w:pPr>
      <w:spacing w:before="240"/>
      <w:outlineLvl w:val="0"/>
    </w:pPr>
    <w:rPr>
      <w:rFonts w:ascii="Poppins" w:eastAsia="Inter Bold" w:hAnsi="Poppins" w:cs="Arial"/>
      <w:b/>
      <w:bCs/>
      <w:color w:val="0642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C4F"/>
  </w:style>
  <w:style w:type="paragraph" w:styleId="Footer">
    <w:name w:val="footer"/>
    <w:basedOn w:val="Normal"/>
    <w:link w:val="FooterChar"/>
    <w:uiPriority w:val="99"/>
    <w:unhideWhenUsed/>
    <w:rsid w:val="00E65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C4F"/>
  </w:style>
  <w:style w:type="table" w:styleId="TableGrid">
    <w:name w:val="Table Grid"/>
    <w:basedOn w:val="TableNormal"/>
    <w:uiPriority w:val="39"/>
    <w:rsid w:val="00E6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autoRedefine/>
    <w:uiPriority w:val="34"/>
    <w:qFormat/>
    <w:rsid w:val="000D7C24"/>
    <w:pPr>
      <w:numPr>
        <w:numId w:val="12"/>
      </w:numPr>
      <w:ind w:left="714" w:hanging="357"/>
    </w:pPr>
  </w:style>
  <w:style w:type="character" w:customStyle="1" w:styleId="Heading1Char">
    <w:name w:val="Heading 1 Char"/>
    <w:basedOn w:val="DefaultParagraphFont"/>
    <w:link w:val="Heading1"/>
    <w:uiPriority w:val="9"/>
    <w:rsid w:val="00774CBC"/>
    <w:rPr>
      <w:rFonts w:ascii="Poppins" w:eastAsia="Inter Bold" w:hAnsi="Poppins" w:cs="Arial"/>
      <w:b/>
      <w:bCs/>
      <w:color w:val="064265"/>
      <w:sz w:val="36"/>
      <w:szCs w:val="36"/>
    </w:rPr>
  </w:style>
  <w:style w:type="character" w:styleId="Hyperlink">
    <w:name w:val="Hyperlink"/>
    <w:basedOn w:val="DefaultParagraphFont"/>
    <w:uiPriority w:val="99"/>
    <w:unhideWhenUsed/>
    <w:rsid w:val="0027271B"/>
    <w:rPr>
      <w:color w:val="467886" w:themeColor="hyperlink"/>
      <w:u w:val="single"/>
    </w:rPr>
  </w:style>
  <w:style w:type="character" w:styleId="UnresolvedMention">
    <w:name w:val="Unresolved Mention"/>
    <w:basedOn w:val="DefaultParagraphFont"/>
    <w:uiPriority w:val="99"/>
    <w:semiHidden/>
    <w:unhideWhenUsed/>
    <w:rsid w:val="0027271B"/>
    <w:rPr>
      <w:color w:val="605E5C"/>
      <w:shd w:val="clear" w:color="auto" w:fill="E1DFDD"/>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0D7C2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589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ss.gov.au/system/files/resources/early-years-strategy-2024-2034.pdf" TargetMode="External"/><Relationship Id="rId18" Type="http://schemas.openxmlformats.org/officeDocument/2006/relationships/hyperlink" Target="https://healthy-trajectories.com.au/eci-framework/unpacking-the-framewor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reativecommons.org/licenses/by-nc-nd/4.0/" TargetMode="External"/><Relationship Id="rId7" Type="http://schemas.openxmlformats.org/officeDocument/2006/relationships/webSettings" Target="webSettings.xml"/><Relationship Id="rId12" Type="http://schemas.openxmlformats.org/officeDocument/2006/relationships/hyperlink" Target="https://www.acecqa.gov.au/sites/default/files/2023-01/EYLF-2022-V2.0.pdf" TargetMode="External"/><Relationship Id="rId17" Type="http://schemas.openxmlformats.org/officeDocument/2006/relationships/hyperlink" Target="https://healthy-trajectories.com.au/eci-framework/resources-for-families-and-other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healthy-trajectories.com.au/eci-framework/resources-for-practitioners/" TargetMode="External"/><Relationship Id="rId20" Type="http://schemas.openxmlformats.org/officeDocument/2006/relationships/hyperlink" Target="https://healthy-trajectories.com.au/eci-framework/development-of-the-framewor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ss.gov.au/system/files/resources/dess5016-national-framework-protecting-childrenaccessible.pdf"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healthy-trajectories.com.au/eci-framewor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healthy-trajectories.com.au/eci-framewor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entalhealthcommission.gov.au/sites/default/files/2024-03/national-children-s-mental-health-and-wellbeing-strategy---full-report.pdf" TargetMode="External"/><Relationship Id="rId22" Type="http://schemas.openxmlformats.org/officeDocument/2006/relationships/hyperlink" Target="https://healthy-trajectories.com.au/eci-framework/"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DD740C-E5B7-45C3-8569-F358CEF7A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FF16EB-5E45-449F-BD39-E882672FD988}">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3.xml><?xml version="1.0" encoding="utf-8"?>
<ds:datastoreItem xmlns:ds="http://schemas.openxmlformats.org/officeDocument/2006/customXml" ds:itemID="{81768099-B425-46FD-BE2E-41610DE9B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Practice guidance – Strengths-based universal principle</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Practice guidance – Strengths-based universal principle</dc:title>
  <dc:subject>Disability and carers</dc:subject>
  <dc:creator>Australian Government Department of Health Disability and Ageing</dc:creator>
  <cp:keywords>ECI framework</cp:keywords>
  <cp:lastModifiedBy>MCCAY, Meryl</cp:lastModifiedBy>
  <cp:revision>26</cp:revision>
  <dcterms:created xsi:type="dcterms:W3CDTF">2025-05-02T07:30:00Z</dcterms:created>
  <dcterms:modified xsi:type="dcterms:W3CDTF">2025-09-26T06:03:00Z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MediaServiceImageTags">
    <vt:lpwstr/>
  </property>
</Properties>
</file>