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B93F3" w14:textId="4EFCC9B6" w:rsidR="009C7767" w:rsidRDefault="00031C6A">
      <w:r>
        <w:rPr>
          <w:noProof/>
        </w:rPr>
        <w:drawing>
          <wp:anchor distT="0" distB="0" distL="114300" distR="114300" simplePos="0" relativeHeight="251659264" behindDoc="0" locked="0" layoutInCell="1" allowOverlap="1" wp14:anchorId="52D328DA" wp14:editId="76AD0D98">
            <wp:simplePos x="0" y="0"/>
            <wp:positionH relativeFrom="page">
              <wp:align>right</wp:align>
            </wp:positionH>
            <wp:positionV relativeFrom="page">
              <wp:align>top</wp:align>
            </wp:positionV>
            <wp:extent cx="7562850" cy="2268855"/>
            <wp:effectExtent l="0" t="0" r="0" b="0"/>
            <wp:wrapNone/>
            <wp:docPr id="302421964" name="Drawing 0" descr="National Best Practice Framework for Early Childhood Intervention&#10;Everyday settings&#10;Practice 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21964" name="Drawing 0" descr="National Best Practice Framework for Early Childhood Intervention&#10;Everyday settings&#10;Practice guidance"/>
                    <pic:cNvPicPr>
                      <a:picLocks noChangeAspect="1"/>
                    </pic:cNvPicPr>
                  </pic:nvPicPr>
                  <pic:blipFill>
                    <a:blip r:embed="rId10"/>
                    <a:stretch>
                      <a:fillRect/>
                    </a:stretch>
                  </pic:blipFill>
                  <pic:spPr>
                    <a:xfrm>
                      <a:off x="0" y="0"/>
                      <a:ext cx="7562850" cy="2268855"/>
                    </a:xfrm>
                    <a:prstGeom prst="rect">
                      <a:avLst/>
                    </a:prstGeom>
                  </pic:spPr>
                </pic:pic>
              </a:graphicData>
            </a:graphic>
          </wp:anchor>
        </w:drawing>
      </w:r>
    </w:p>
    <w:p w14:paraId="3CEE16A6" w14:textId="4474DBBB" w:rsidR="009C7767" w:rsidRDefault="009C7767"/>
    <w:p w14:paraId="18A45436" w14:textId="285104E8" w:rsidR="009C7767" w:rsidRDefault="009C7767"/>
    <w:p w14:paraId="055CAA54" w14:textId="0C5F50C4" w:rsidR="00CD1C7F" w:rsidRDefault="00CD1C7F"/>
    <w:p w14:paraId="6025EDBE" w14:textId="7C985095" w:rsidR="009C7767" w:rsidRDefault="009C7767"/>
    <w:p w14:paraId="09579DB7" w14:textId="71BDD4D0" w:rsidR="00043483" w:rsidRDefault="00043483" w:rsidP="00CD55C6">
      <w:pPr>
        <w:pStyle w:val="Heading1"/>
      </w:pPr>
      <w:r w:rsidRPr="00CD55C6">
        <w:t>What is the</w:t>
      </w:r>
      <w:r w:rsidR="00161C17">
        <w:t xml:space="preserve"> </w:t>
      </w:r>
      <w:r w:rsidR="00031C6A">
        <w:t>everyday settings</w:t>
      </w:r>
      <w:r w:rsidR="0003120F" w:rsidRPr="00CD55C6">
        <w:t xml:space="preserve"> </w:t>
      </w:r>
      <w:r w:rsidR="002B02D3">
        <w:t xml:space="preserve">key </w:t>
      </w:r>
      <w:r w:rsidRPr="00CD55C6">
        <w:t>principle?</w:t>
      </w:r>
    </w:p>
    <w:p w14:paraId="1D4E9797" w14:textId="77777777" w:rsidR="00376F95" w:rsidRDefault="00376F95" w:rsidP="00376F95">
      <w:r>
        <w:t xml:space="preserve">Everyday settings (also known as ‘natural learning environments’) are the places and spaces where it is usual for children and their families to spend time. They are the places where children live, learn, play, and relax. These include children’s homes, early childhood education and care (ECEC) settings, schools, neighbourhoods and community settings - places where children and families take part in spiritual, educational, cultural, recreational, play, social activities, or undertake activities of daily life. </w:t>
      </w:r>
    </w:p>
    <w:p w14:paraId="1820120E" w14:textId="6B1A2D4E" w:rsidR="00E247F5" w:rsidRPr="00541EF2" w:rsidRDefault="00376F95" w:rsidP="00376F95">
      <w:r>
        <w:t xml:space="preserve">The everyday settings </w:t>
      </w:r>
      <w:proofErr w:type="gramStart"/>
      <w:r>
        <w:t>principle</w:t>
      </w:r>
      <w:proofErr w:type="gramEnd"/>
      <w:r>
        <w:t xml:space="preserve"> highlights that, to the maximum extent possible, children are supported to learn and participate in those settings. This means using everyday routines, experiences, events and places as sources of learning opportunities for children, families and communities.</w:t>
      </w:r>
    </w:p>
    <w:p w14:paraId="25B30634" w14:textId="7B4CC257" w:rsidR="00E1049C" w:rsidRDefault="00E1049C" w:rsidP="00E247F5">
      <w:pPr>
        <w:pStyle w:val="Heading1"/>
      </w:pPr>
      <w:r w:rsidRPr="00B35348">
        <w:t xml:space="preserve">Why is </w:t>
      </w:r>
      <w:r w:rsidR="004D64B1" w:rsidRPr="00B35348">
        <w:t>this</w:t>
      </w:r>
      <w:r w:rsidRPr="00B35348">
        <w:t xml:space="preserve"> principle important?</w:t>
      </w:r>
    </w:p>
    <w:p w14:paraId="4F9AB913" w14:textId="2FD9F498" w:rsidR="009D51E0" w:rsidRDefault="009D51E0" w:rsidP="009D51E0">
      <w:r>
        <w:t xml:space="preserve">The principle of </w:t>
      </w:r>
      <w:r w:rsidR="006C126E">
        <w:t>everyday settings</w:t>
      </w:r>
      <w:r>
        <w:t xml:space="preserve"> is based on the following rights, values and evidence:</w:t>
      </w:r>
    </w:p>
    <w:p w14:paraId="7AE42D88" w14:textId="77777777" w:rsidR="00F94A02" w:rsidRDefault="00F94A02" w:rsidP="00F94A02">
      <w:pPr>
        <w:pStyle w:val="ListParagraph"/>
      </w:pPr>
      <w:r>
        <w:t>Every child has a right to be in the same settings as other children and families</w:t>
      </w:r>
    </w:p>
    <w:p w14:paraId="1EB3BCB5" w14:textId="77777777" w:rsidR="00F94A02" w:rsidRDefault="00F94A02" w:rsidP="00F94A02">
      <w:pPr>
        <w:pStyle w:val="ListParagraph"/>
      </w:pPr>
      <w:r>
        <w:t xml:space="preserve">Children learn best in the everyday settings in which they spend time, so support should be provided in those settings </w:t>
      </w:r>
    </w:p>
    <w:p w14:paraId="705B40CB" w14:textId="77777777" w:rsidR="00F94A02" w:rsidRDefault="00F94A02" w:rsidP="00F94A02">
      <w:pPr>
        <w:pStyle w:val="ListParagraph"/>
      </w:pPr>
      <w:r>
        <w:t xml:space="preserve">Using opportunities provided by everyday activities and routines as sources of learning is more beneficial than practitioners introducing strategies and practices that do not blend into and support engagement in those activities  </w:t>
      </w:r>
    </w:p>
    <w:p w14:paraId="77D1B22A" w14:textId="77777777" w:rsidR="00F94A02" w:rsidRDefault="00F94A02" w:rsidP="00F94A02">
      <w:pPr>
        <w:pStyle w:val="ListParagraph"/>
      </w:pPr>
      <w:r>
        <w:t xml:space="preserve">A capability-building approach, which enhances the skills and confidence of parents, carers and families to provide development-enhancing opportunities for children in their everyday settings, can improve children’s learning and development </w:t>
      </w:r>
    </w:p>
    <w:p w14:paraId="3A223264" w14:textId="68D77CD0" w:rsidR="00304EEB" w:rsidRPr="00304EEB" w:rsidRDefault="009D51E0" w:rsidP="009D51E0">
      <w:r>
        <w:t>This principle relates to all other universal and key Framework principles, and they should be applied together in practice.</w:t>
      </w:r>
    </w:p>
    <w:p w14:paraId="4B94322B" w14:textId="77777777" w:rsidR="000B2B20" w:rsidRDefault="000B2B20">
      <w:pPr>
        <w:spacing w:before="0" w:after="160" w:line="278" w:lineRule="auto"/>
        <w:rPr>
          <w:rFonts w:eastAsia="Inter Bold" w:cs="Arial"/>
          <w:b/>
          <w:bCs/>
          <w:color w:val="064265"/>
          <w:sz w:val="36"/>
          <w:szCs w:val="36"/>
        </w:rPr>
      </w:pPr>
      <w:r>
        <w:br w:type="page"/>
      </w:r>
    </w:p>
    <w:p w14:paraId="542D0F0A" w14:textId="68C8FBA2" w:rsidR="00E1049C" w:rsidRPr="00B35348" w:rsidRDefault="00E1049C" w:rsidP="00CD55C6">
      <w:pPr>
        <w:pStyle w:val="Heading1"/>
      </w:pPr>
      <w:r w:rsidRPr="00B35348">
        <w:lastRenderedPageBreak/>
        <w:t>What are</w:t>
      </w:r>
      <w:r w:rsidR="009D51E0">
        <w:t xml:space="preserve"> </w:t>
      </w:r>
      <w:r w:rsidR="000323E8">
        <w:t xml:space="preserve">everyday </w:t>
      </w:r>
      <w:r w:rsidR="0060759B">
        <w:t xml:space="preserve">settings </w:t>
      </w:r>
      <w:r w:rsidRPr="00B35348">
        <w:t>practices?</w:t>
      </w:r>
    </w:p>
    <w:p w14:paraId="5F7FFA42" w14:textId="77777777" w:rsidR="00656745" w:rsidRPr="00656745" w:rsidRDefault="00656745" w:rsidP="00656745">
      <w:r w:rsidRPr="00656745">
        <w:t>Practitioners</w:t>
      </w:r>
    </w:p>
    <w:p w14:paraId="7941C38C" w14:textId="77777777" w:rsidR="00EA2540" w:rsidRDefault="00EA2540" w:rsidP="00EA2540">
      <w:pPr>
        <w:pStyle w:val="ListParagraph"/>
      </w:pPr>
      <w:r>
        <w:t>support capability building of parents, carers, families and other service providers to strengthen children’s engagement, participation, learning, development, wellbeing, and safety in everyday settings</w:t>
      </w:r>
    </w:p>
    <w:p w14:paraId="6AF7C6AC" w14:textId="77777777" w:rsidR="00EA2540" w:rsidRDefault="00EA2540" w:rsidP="00EA2540">
      <w:pPr>
        <w:pStyle w:val="ListParagraph"/>
      </w:pPr>
      <w:r>
        <w:t>scaffold learning within everyday settings in the least intrusive and intensive manner</w:t>
      </w:r>
    </w:p>
    <w:p w14:paraId="3E8D9538" w14:textId="77777777" w:rsidR="00EA2540" w:rsidRDefault="00EA2540" w:rsidP="00EA2540">
      <w:pPr>
        <w:pStyle w:val="ListParagraph"/>
      </w:pPr>
      <w:r>
        <w:t xml:space="preserve">support children in play and interest-based activities when participating in a range of different settings </w:t>
      </w:r>
    </w:p>
    <w:p w14:paraId="58A24C00" w14:textId="77777777" w:rsidR="00EA2540" w:rsidRDefault="00EA2540" w:rsidP="00EA2540">
      <w:pPr>
        <w:pStyle w:val="ListParagraph"/>
      </w:pPr>
      <w:r>
        <w:t xml:space="preserve">work with parents, carers, families and others (e.g., ECEC staff, </w:t>
      </w:r>
      <w:proofErr w:type="gramStart"/>
      <w:r>
        <w:t>school teachers</w:t>
      </w:r>
      <w:proofErr w:type="gramEnd"/>
      <w:r>
        <w:t>, sport coaches) and make necessary adjustments that address barriers impacting the child’s access to and involvement in everyday settings</w:t>
      </w:r>
    </w:p>
    <w:p w14:paraId="654A80DA" w14:textId="77777777" w:rsidR="00EA2540" w:rsidRDefault="00EA2540" w:rsidP="00EA2540">
      <w:pPr>
        <w:pStyle w:val="ListParagraph"/>
      </w:pPr>
      <w:r>
        <w:t>provide timely support within the everyday settings and activities where children, parents, carers, and families participate as part of a range of formal and informal services</w:t>
      </w:r>
    </w:p>
    <w:p w14:paraId="763E17C3" w14:textId="77777777" w:rsidR="00EA2540" w:rsidRDefault="00EA2540" w:rsidP="00EA2540">
      <w:pPr>
        <w:pStyle w:val="ListParagraph"/>
      </w:pPr>
      <w:r>
        <w:t>develop competency in trauma-informed practice to understand and respond to the impact of trauma on children’s participation, learning and well-being within everyday settings</w:t>
      </w:r>
    </w:p>
    <w:p w14:paraId="47229B9C" w14:textId="2D299990" w:rsidR="00EA2540" w:rsidRDefault="00EA2540" w:rsidP="00EA2540">
      <w:pPr>
        <w:pStyle w:val="ListParagraph"/>
      </w:pPr>
      <w:r>
        <w:t>build trusted relationships with cultural leaders and community-controlled organisations in order to build community understanding and knowledge of child development journeys and the importance of learning and participating meaningfully in everyday settings</w:t>
      </w:r>
    </w:p>
    <w:p w14:paraId="15B88E9C" w14:textId="77777777" w:rsidR="00EA2540" w:rsidRDefault="00EA2540" w:rsidP="00EA2540">
      <w:pPr>
        <w:pStyle w:val="ListParagraph"/>
      </w:pPr>
      <w:r>
        <w:t>understand that Aboriginal and Torres Strait Islander families require safe places and opportunities for family-led activities</w:t>
      </w:r>
    </w:p>
    <w:p w14:paraId="6443AF77" w14:textId="77777777" w:rsidR="00EA2540" w:rsidRDefault="00EA2540" w:rsidP="00EA2540">
      <w:pPr>
        <w:pStyle w:val="ListParagraph"/>
        <w:numPr>
          <w:ilvl w:val="1"/>
          <w:numId w:val="12"/>
        </w:numPr>
      </w:pPr>
      <w:r>
        <w:t xml:space="preserve">where families are in control and make decisions that suit </w:t>
      </w:r>
      <w:proofErr w:type="gramStart"/>
      <w:r>
        <w:t>them;</w:t>
      </w:r>
      <w:proofErr w:type="gramEnd"/>
    </w:p>
    <w:p w14:paraId="13AF5C4C" w14:textId="77777777" w:rsidR="00EA2540" w:rsidRDefault="00EA2540" w:rsidP="00EA2540">
      <w:pPr>
        <w:pStyle w:val="ListParagraph"/>
        <w:numPr>
          <w:ilvl w:val="1"/>
          <w:numId w:val="12"/>
        </w:numPr>
      </w:pPr>
      <w:r>
        <w:t>where they are supported to fully understand what is being said and can raise concerns without feelings of shame and fear of child removal; and</w:t>
      </w:r>
    </w:p>
    <w:p w14:paraId="497490F2" w14:textId="77777777" w:rsidR="00EA2540" w:rsidRDefault="00EA2540" w:rsidP="00EA2540">
      <w:pPr>
        <w:pStyle w:val="ListParagraph"/>
        <w:numPr>
          <w:ilvl w:val="1"/>
          <w:numId w:val="12"/>
        </w:numPr>
      </w:pPr>
      <w:r>
        <w:t>where there are opportunities for multigenerational support from other family members</w:t>
      </w:r>
    </w:p>
    <w:p w14:paraId="65FE0A27" w14:textId="0F248437" w:rsidR="004A527D" w:rsidRDefault="004A527D" w:rsidP="00811F0F">
      <w:pPr>
        <w:pStyle w:val="Heading1"/>
      </w:pPr>
      <w:r>
        <w:t>We know it’s working well when</w:t>
      </w:r>
      <w:r w:rsidR="00666A3E">
        <w:t>…</w:t>
      </w:r>
    </w:p>
    <w:p w14:paraId="40876674" w14:textId="77777777" w:rsidR="00B42751" w:rsidRDefault="00B42751" w:rsidP="00B42751">
      <w:r>
        <w:t>Children</w:t>
      </w:r>
    </w:p>
    <w:p w14:paraId="61B8FC5D" w14:textId="77777777" w:rsidR="004C0648" w:rsidRDefault="004C0648" w:rsidP="004C0648">
      <w:pPr>
        <w:pStyle w:val="ListParagraph"/>
      </w:pPr>
      <w:r>
        <w:t xml:space="preserve">participate in everyday home, community, ECEC and school environments </w:t>
      </w:r>
    </w:p>
    <w:p w14:paraId="10B65939" w14:textId="77777777" w:rsidR="004C0648" w:rsidRDefault="004C0648" w:rsidP="004C0648">
      <w:pPr>
        <w:pStyle w:val="ListParagraph"/>
      </w:pPr>
      <w:r>
        <w:t>have opportunities to enjoy, learn, use, and practice emerging knowledge and skills in everyday life</w:t>
      </w:r>
    </w:p>
    <w:p w14:paraId="3E89A697" w14:textId="77777777" w:rsidR="004C0648" w:rsidRDefault="004C0648" w:rsidP="004C0648">
      <w:pPr>
        <w:pStyle w:val="ListParagraph"/>
      </w:pPr>
      <w:r>
        <w:lastRenderedPageBreak/>
        <w:t>follow their interests and enjoy play opportunities with peers</w:t>
      </w:r>
    </w:p>
    <w:p w14:paraId="4684DE35" w14:textId="7A513963" w:rsidR="00B42751" w:rsidRDefault="00231EB1" w:rsidP="00B42751">
      <w:r>
        <w:t>F</w:t>
      </w:r>
      <w:r w:rsidR="00B42751">
        <w:t>amilies</w:t>
      </w:r>
    </w:p>
    <w:p w14:paraId="07AE1CCA" w14:textId="77777777" w:rsidR="00B70C74" w:rsidRDefault="00B70C74" w:rsidP="00B70C74">
      <w:pPr>
        <w:pStyle w:val="ListParagraph"/>
      </w:pPr>
      <w:r>
        <w:t xml:space="preserve">are building confidence about taking part in activities with their child and family in everyday settings </w:t>
      </w:r>
    </w:p>
    <w:p w14:paraId="3150AE1E" w14:textId="7380F520" w:rsidR="00C0411C" w:rsidRDefault="00B70C74" w:rsidP="00B70C74">
      <w:pPr>
        <w:pStyle w:val="ListParagraph"/>
      </w:pPr>
      <w:r>
        <w:t xml:space="preserve">feel welcomed and meaningfully included in everyday community settings </w:t>
      </w:r>
    </w:p>
    <w:p w14:paraId="4FACE258" w14:textId="0262D144" w:rsidR="0083248A" w:rsidRDefault="00B70C74" w:rsidP="00C0411C">
      <w:r>
        <w:t>Other providers</w:t>
      </w:r>
    </w:p>
    <w:p w14:paraId="1AC57A8A" w14:textId="1931C2A3" w:rsidR="00C0411C" w:rsidRDefault="000323E8" w:rsidP="000323E8">
      <w:pPr>
        <w:pStyle w:val="ListParagraph"/>
      </w:pPr>
      <w:r w:rsidRPr="000323E8">
        <w:t>are building confidence and competence in including children with developmental concerns, delay or disability in the settings young children spend time</w:t>
      </w:r>
    </w:p>
    <w:p w14:paraId="39BA54D8" w14:textId="77777777" w:rsidR="00CD04F4" w:rsidRPr="00181CD5" w:rsidRDefault="00CD04F4" w:rsidP="00CD04F4">
      <w:pPr>
        <w:pStyle w:val="Heading1"/>
      </w:pPr>
      <w:r w:rsidRPr="00181CD5">
        <w:t>Essential resources</w:t>
      </w:r>
    </w:p>
    <w:p w14:paraId="22EF53D9" w14:textId="77777777" w:rsidR="00E02643" w:rsidRPr="003C5412" w:rsidRDefault="00E02643" w:rsidP="00E02643">
      <w:pPr>
        <w:spacing w:line="240" w:lineRule="auto"/>
        <w:rPr>
          <w:rFonts w:eastAsia="Times New Roman" w:cs="Arial"/>
          <w:color w:val="000000"/>
        </w:rPr>
      </w:pPr>
      <w:r w:rsidRPr="003C5412">
        <w:rPr>
          <w:rFonts w:eastAsia="Times New Roman" w:cs="Arial"/>
          <w:color w:val="000000"/>
        </w:rPr>
        <w:t xml:space="preserve">You can find more information about the </w:t>
      </w:r>
      <w:hyperlink r:id="rId11" w:history="1">
        <w:r w:rsidRPr="003C5412">
          <w:rPr>
            <w:rFonts w:eastAsia="Times New Roman" w:cs="Arial"/>
            <w:color w:val="0563C1"/>
            <w:u w:val="single"/>
          </w:rPr>
          <w:t>National Best Practice Framework for Early Childhood Intervention</w:t>
        </w:r>
      </w:hyperlink>
      <w:r w:rsidRPr="003C5412">
        <w:rPr>
          <w:rFonts w:eastAsia="Times New Roman" w:cs="Arial"/>
          <w:color w:val="000000"/>
        </w:rPr>
        <w:t xml:space="preserve"> online.</w:t>
      </w:r>
    </w:p>
    <w:p w14:paraId="52706E98" w14:textId="77777777" w:rsidR="00E02643" w:rsidRPr="00E2504C" w:rsidRDefault="00E02643" w:rsidP="00E02643">
      <w:pPr>
        <w:pStyle w:val="ListParagraph"/>
        <w:numPr>
          <w:ilvl w:val="0"/>
          <w:numId w:val="19"/>
        </w:numPr>
        <w:spacing w:line="240" w:lineRule="auto"/>
        <w:rPr>
          <w:rFonts w:eastAsia="Times New Roman"/>
        </w:rPr>
      </w:pPr>
      <w:hyperlink r:id="rId12" w:history="1">
        <w:r w:rsidRPr="003C5412">
          <w:rPr>
            <w:rFonts w:eastAsia="Times New Roman"/>
            <w:color w:val="0563C1"/>
            <w:u w:val="single"/>
          </w:rPr>
          <w:t>Resources for practitioners</w:t>
        </w:r>
      </w:hyperlink>
      <w:r w:rsidRPr="003C5412">
        <w:rPr>
          <w:rFonts w:eastAsia="Times New Roman"/>
        </w:rPr>
        <w:t xml:space="preserve"> </w:t>
      </w:r>
      <w:r w:rsidRPr="00E2504C">
        <w:rPr>
          <w:rFonts w:eastAsia="Times New Roman"/>
        </w:rPr>
        <w:t>including the</w:t>
      </w:r>
    </w:p>
    <w:p w14:paraId="3E4F90FD" w14:textId="77777777" w:rsidR="00E02643" w:rsidRPr="00E2504C" w:rsidRDefault="00E02643" w:rsidP="00E02643">
      <w:pPr>
        <w:pStyle w:val="ListParagraph"/>
        <w:numPr>
          <w:ilvl w:val="0"/>
          <w:numId w:val="22"/>
        </w:numPr>
        <w:spacing w:line="240" w:lineRule="auto"/>
      </w:pPr>
      <w:r w:rsidRPr="00E2504C">
        <w:t>Looks like/doesn’t look like guide for the principle</w:t>
      </w:r>
    </w:p>
    <w:p w14:paraId="0D7A169A" w14:textId="77777777" w:rsidR="00E02643" w:rsidRPr="00E2504C" w:rsidRDefault="00E02643" w:rsidP="00E02643">
      <w:pPr>
        <w:pStyle w:val="ListParagraph"/>
        <w:numPr>
          <w:ilvl w:val="0"/>
          <w:numId w:val="22"/>
        </w:numPr>
        <w:spacing w:line="240" w:lineRule="auto"/>
      </w:pPr>
      <w:r w:rsidRPr="00E2504C">
        <w:t>Outcome measures resources</w:t>
      </w:r>
    </w:p>
    <w:p w14:paraId="1FC1B982" w14:textId="77777777" w:rsidR="00E02643" w:rsidRPr="003C5412" w:rsidRDefault="00E02643" w:rsidP="00E02643">
      <w:pPr>
        <w:pStyle w:val="ListParagraph"/>
        <w:numPr>
          <w:ilvl w:val="0"/>
          <w:numId w:val="19"/>
        </w:numPr>
        <w:spacing w:line="240" w:lineRule="auto"/>
        <w:rPr>
          <w:rFonts w:eastAsia="Times New Roman"/>
          <w:color w:val="000000"/>
        </w:rPr>
      </w:pPr>
      <w:hyperlink r:id="rId13" w:history="1">
        <w:r w:rsidRPr="003C5412">
          <w:rPr>
            <w:rFonts w:eastAsia="Times New Roman"/>
            <w:color w:val="0563C1"/>
            <w:u w:val="single"/>
          </w:rPr>
          <w:t>Resources for families and others</w:t>
        </w:r>
      </w:hyperlink>
    </w:p>
    <w:p w14:paraId="65F68678" w14:textId="77777777" w:rsidR="00E02643" w:rsidRPr="003C5412" w:rsidRDefault="00E02643" w:rsidP="00E02643">
      <w:pPr>
        <w:pStyle w:val="ListParagraph"/>
        <w:numPr>
          <w:ilvl w:val="0"/>
          <w:numId w:val="21"/>
        </w:numPr>
        <w:spacing w:line="240" w:lineRule="auto"/>
      </w:pPr>
      <w:r w:rsidRPr="003C5412">
        <w:t>The podcast where families and professionals discuss practices related to this principle</w:t>
      </w:r>
    </w:p>
    <w:p w14:paraId="3D91860E" w14:textId="77777777" w:rsidR="00E02643" w:rsidRPr="003C5412" w:rsidRDefault="00E02643" w:rsidP="00E02643">
      <w:pPr>
        <w:pStyle w:val="ListParagraph"/>
        <w:numPr>
          <w:ilvl w:val="0"/>
          <w:numId w:val="19"/>
        </w:numPr>
        <w:spacing w:line="240" w:lineRule="auto"/>
        <w:rPr>
          <w:rFonts w:eastAsia="Times New Roman"/>
          <w:color w:val="000000"/>
        </w:rPr>
      </w:pPr>
      <w:hyperlink r:id="rId14" w:history="1">
        <w:r w:rsidRPr="003C5412">
          <w:rPr>
            <w:rFonts w:eastAsia="Times New Roman"/>
            <w:color w:val="0563C1"/>
            <w:u w:val="single"/>
          </w:rPr>
          <w:t xml:space="preserve">Unpacking the </w:t>
        </w:r>
        <w:r>
          <w:rPr>
            <w:rFonts w:eastAsia="Times New Roman"/>
            <w:color w:val="0563C1"/>
            <w:u w:val="single"/>
          </w:rPr>
          <w:t>F</w:t>
        </w:r>
        <w:r w:rsidRPr="003C5412">
          <w:rPr>
            <w:rFonts w:eastAsia="Times New Roman"/>
            <w:color w:val="0563C1"/>
            <w:u w:val="single"/>
          </w:rPr>
          <w:t>ramework video/s</w:t>
        </w:r>
      </w:hyperlink>
      <w:r w:rsidRPr="003C5412">
        <w:rPr>
          <w:rFonts w:eastAsia="Times New Roman"/>
          <w:color w:val="000000"/>
        </w:rPr>
        <w:t xml:space="preserve"> for this principle </w:t>
      </w:r>
    </w:p>
    <w:p w14:paraId="12D0A679" w14:textId="77777777" w:rsidR="00E02643" w:rsidRPr="00E2504C" w:rsidRDefault="00E02643" w:rsidP="00E02643">
      <w:pPr>
        <w:pStyle w:val="ListParagraph"/>
        <w:numPr>
          <w:ilvl w:val="0"/>
          <w:numId w:val="19"/>
        </w:numPr>
        <w:spacing w:line="240" w:lineRule="auto"/>
        <w:rPr>
          <w:rFonts w:eastAsia="Times New Roman"/>
        </w:rPr>
      </w:pPr>
      <w:hyperlink r:id="rId15" w:history="1">
        <w:r w:rsidRPr="003C5412">
          <w:rPr>
            <w:rFonts w:eastAsia="Times New Roman"/>
            <w:color w:val="0563C1"/>
            <w:u w:val="single"/>
          </w:rPr>
          <w:t>The Framework</w:t>
        </w:r>
      </w:hyperlink>
      <w:r w:rsidRPr="003C5412">
        <w:rPr>
          <w:rFonts w:eastAsia="Times New Roman"/>
          <w:color w:val="000000"/>
        </w:rPr>
        <w:t xml:space="preserve"> </w:t>
      </w:r>
      <w:r w:rsidRPr="00E2504C">
        <w:rPr>
          <w:rFonts w:eastAsia="Times New Roman"/>
        </w:rPr>
        <w:t xml:space="preserve">including </w:t>
      </w:r>
    </w:p>
    <w:p w14:paraId="698F2C32" w14:textId="77777777" w:rsidR="00E02643" w:rsidRPr="00E2504C" w:rsidRDefault="00E02643" w:rsidP="00E02643">
      <w:pPr>
        <w:pStyle w:val="ListParagraph"/>
        <w:numPr>
          <w:ilvl w:val="0"/>
          <w:numId w:val="23"/>
        </w:numPr>
        <w:spacing w:line="240" w:lineRule="auto"/>
      </w:pPr>
      <w:r w:rsidRPr="00E2504C">
        <w:t>Decision making guide</w:t>
      </w:r>
    </w:p>
    <w:p w14:paraId="349F7BDE" w14:textId="77777777" w:rsidR="00E02643" w:rsidRPr="00E2504C" w:rsidRDefault="00E02643" w:rsidP="00E02643">
      <w:pPr>
        <w:pStyle w:val="ListParagraph"/>
        <w:numPr>
          <w:ilvl w:val="0"/>
          <w:numId w:val="23"/>
        </w:numPr>
        <w:spacing w:line="240" w:lineRule="auto"/>
      </w:pPr>
      <w:r w:rsidRPr="00E2504C">
        <w:t xml:space="preserve">The Framework </w:t>
      </w:r>
    </w:p>
    <w:p w14:paraId="655FB73B" w14:textId="77777777" w:rsidR="00E02643" w:rsidRPr="003C5412" w:rsidRDefault="00E02643" w:rsidP="00E02643">
      <w:pPr>
        <w:pStyle w:val="ListParagraph"/>
        <w:numPr>
          <w:ilvl w:val="0"/>
          <w:numId w:val="19"/>
        </w:numPr>
        <w:spacing w:line="240" w:lineRule="auto"/>
        <w:rPr>
          <w:rFonts w:eastAsia="Times New Roman"/>
          <w:color w:val="000000"/>
        </w:rPr>
      </w:pPr>
      <w:hyperlink r:id="rId16" w:history="1">
        <w:r w:rsidRPr="003C5412">
          <w:rPr>
            <w:rFonts w:eastAsia="Times New Roman"/>
            <w:color w:val="0563C1"/>
            <w:u w:val="single"/>
          </w:rPr>
          <w:t>The development of the Framework</w:t>
        </w:r>
      </w:hyperlink>
    </w:p>
    <w:p w14:paraId="24054C7E" w14:textId="77777777" w:rsidR="00E02643" w:rsidRPr="003C5412" w:rsidRDefault="00E02643" w:rsidP="00E02643">
      <w:pPr>
        <w:pStyle w:val="ListParagraph"/>
        <w:numPr>
          <w:ilvl w:val="0"/>
          <w:numId w:val="23"/>
        </w:numPr>
        <w:spacing w:line="240" w:lineRule="auto"/>
      </w:pPr>
      <w:r>
        <w:t>Background papers</w:t>
      </w:r>
    </w:p>
    <w:p w14:paraId="7A54537D" w14:textId="77777777" w:rsidR="00E02643" w:rsidRPr="00FB6639" w:rsidRDefault="00E02643" w:rsidP="00E02643">
      <w:pPr>
        <w:pStyle w:val="ListParagraph"/>
        <w:numPr>
          <w:ilvl w:val="0"/>
          <w:numId w:val="23"/>
        </w:numPr>
        <w:spacing w:line="240" w:lineRule="auto"/>
      </w:pPr>
      <w:r>
        <w:t>Bibliography for the principles and practice guidance</w:t>
      </w:r>
    </w:p>
    <w:p w14:paraId="79D93BF9" w14:textId="77777777" w:rsidR="001305CB" w:rsidRPr="00361987" w:rsidRDefault="001305CB" w:rsidP="001305CB">
      <w:pPr>
        <w:pStyle w:val="ListParagraph"/>
        <w:numPr>
          <w:ilvl w:val="0"/>
          <w:numId w:val="0"/>
        </w:numPr>
        <w:ind w:left="360"/>
        <w:rPr>
          <w:sz w:val="20"/>
          <w:szCs w:val="20"/>
        </w:rPr>
      </w:pPr>
    </w:p>
    <w:p w14:paraId="1DDEC20F" w14:textId="77777777" w:rsidR="001305CB" w:rsidRPr="00F1466A" w:rsidRDefault="001305CB" w:rsidP="001305CB">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05C78402" w14:textId="77777777" w:rsidR="001305CB" w:rsidRPr="00F1466A" w:rsidRDefault="001305CB" w:rsidP="001305CB">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7" w:tgtFrame="_blank" w:history="1">
        <w:r w:rsidRPr="00F1466A">
          <w:rPr>
            <w:rFonts w:eastAsia="Arial" w:cs="Arial"/>
            <w:color w:val="467886" w:themeColor="hyperlink"/>
            <w:sz w:val="20"/>
            <w:szCs w:val="20"/>
            <w:u w:val="single"/>
          </w:rPr>
          <w:t>Creative Commons Licence</w:t>
        </w:r>
      </w:hyperlink>
      <w:r w:rsidRPr="00F1466A">
        <w:rPr>
          <w:rFonts w:eastAsia="Arial" w:cs="Arial"/>
          <w:color w:val="000000"/>
          <w:sz w:val="20"/>
          <w:szCs w:val="20"/>
        </w:rPr>
        <w:t xml:space="preserve"> described above.  </w:t>
      </w:r>
    </w:p>
    <w:p w14:paraId="521FE9F0" w14:textId="77777777" w:rsidR="001305CB" w:rsidRPr="00F1466A" w:rsidRDefault="001305CB" w:rsidP="001305CB">
      <w:pPr>
        <w:pBdr>
          <w:top w:val="single" w:sz="4" w:space="1" w:color="auto"/>
        </w:pBdr>
        <w:spacing w:line="240" w:lineRule="auto"/>
        <w:rPr>
          <w:rFonts w:eastAsia="Arial" w:cs="Arial"/>
          <w:color w:val="467886" w:themeColor="hyperlink"/>
          <w:sz w:val="20"/>
          <w:szCs w:val="20"/>
          <w:u w:val="single"/>
        </w:rPr>
      </w:pPr>
      <w:r w:rsidRPr="00F1466A">
        <w:rPr>
          <w:rFonts w:eastAsia="Arial" w:cs="Arial"/>
          <w:color w:val="000000"/>
          <w:sz w:val="20"/>
          <w:szCs w:val="20"/>
        </w:rPr>
        <w:lastRenderedPageBreak/>
        <w:t xml:space="preserve">For more information about copyright please visit </w:t>
      </w:r>
      <w:hyperlink r:id="rId18" w:history="1">
        <w:r w:rsidRPr="009041AB">
          <w:rPr>
            <w:rStyle w:val="Hyperlink"/>
            <w:rFonts w:eastAsia="Arial" w:cs="Arial"/>
            <w:sz w:val="20"/>
            <w:szCs w:val="20"/>
          </w:rPr>
          <w:t>https://healthy-trajectories.com.au/eci-framework/</w:t>
        </w:r>
      </w:hyperlink>
    </w:p>
    <w:p w14:paraId="4960DA85" w14:textId="7AD9B620" w:rsidR="00637401" w:rsidRPr="00637401" w:rsidRDefault="00637401" w:rsidP="001305CB">
      <w:pPr>
        <w:spacing w:line="259" w:lineRule="auto"/>
        <w:rPr>
          <w:rFonts w:eastAsia="Arial" w:cs="Arial"/>
          <w:color w:val="467886" w:themeColor="hyperlink"/>
          <w:sz w:val="20"/>
          <w:szCs w:val="20"/>
          <w:u w:val="single"/>
        </w:rPr>
      </w:pPr>
    </w:p>
    <w:sectPr w:rsidR="00637401" w:rsidRPr="00637401" w:rsidSect="00976DFE">
      <w:headerReference w:type="even" r:id="rId19"/>
      <w:headerReference w:type="default" r:id="rId20"/>
      <w:footerReference w:type="even" r:id="rId21"/>
      <w:footerReference w:type="default" r:id="rId22"/>
      <w:headerReference w:type="first" r:id="rId23"/>
      <w:footerReference w:type="first" r:id="rId24"/>
      <w:pgSz w:w="11910" w:h="16845"/>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D9450" w14:textId="77777777" w:rsidR="004012E4" w:rsidRDefault="004012E4" w:rsidP="00E65C4F">
      <w:pPr>
        <w:spacing w:after="0" w:line="240" w:lineRule="auto"/>
      </w:pPr>
      <w:r>
        <w:separator/>
      </w:r>
    </w:p>
  </w:endnote>
  <w:endnote w:type="continuationSeparator" w:id="0">
    <w:p w14:paraId="16A2CA3B" w14:textId="77777777" w:rsidR="004012E4" w:rsidRDefault="004012E4" w:rsidP="00E6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Bold">
    <w:charset w:val="00"/>
    <w:family w:val="auto"/>
    <w:pitch w:val="default"/>
  </w:font>
  <w:font w:name="Aptos">
    <w:charset w:val="00"/>
    <w:family w:val="swiss"/>
    <w:pitch w:val="variable"/>
    <w:sig w:usb0="20000287" w:usb1="00000003" w:usb2="00000000" w:usb3="00000000" w:csb0="0000019F" w:csb1="00000000"/>
    <w:embedRegular r:id="rId1" w:fontKey="{8F1FE82C-C159-4B1A-8D38-D9107A12B411}"/>
  </w:font>
  <w:font w:name="Poppins">
    <w:charset w:val="00"/>
    <w:family w:val="auto"/>
    <w:pitch w:val="variable"/>
    <w:sig w:usb0="00008007" w:usb1="00000000" w:usb2="00000000" w:usb3="00000000" w:csb0="00000093" w:csb1="00000000"/>
    <w:embedBold r:id="rId2" w:fontKey="{99E067A7-81A2-4311-8CA7-B53322F2556C}"/>
  </w:font>
  <w:font w:name="Inter Bold">
    <w:altName w:val="Calibri"/>
    <w:panose1 w:val="02000803000000020004"/>
    <w:charset w:val="00"/>
    <w:family w:val="auto"/>
    <w:pitch w:val="default"/>
  </w:font>
  <w:font w:name="Aptos Display">
    <w:charset w:val="00"/>
    <w:family w:val="swiss"/>
    <w:pitch w:val="variable"/>
    <w:sig w:usb0="20000287" w:usb1="00000003" w:usb2="00000000" w:usb3="00000000" w:csb0="0000019F" w:csb1="00000000"/>
    <w:embedRegular r:id="rId3" w:fontKey="{024BF830-C874-4BCF-8C1B-D36BBB668CB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A75B3" w14:textId="77777777" w:rsidR="00AA79C8" w:rsidRDefault="00AA7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8568" w14:textId="1122CB29" w:rsidR="00E65C4F" w:rsidRDefault="00E65C4F">
    <w:pPr>
      <w:pStyle w:val="Footer"/>
    </w:pPr>
    <w:r>
      <w:rPr>
        <w:noProof/>
      </w:rPr>
      <w:drawing>
        <wp:anchor distT="0" distB="0" distL="114300" distR="114300" simplePos="0" relativeHeight="251658240" behindDoc="0" locked="1" layoutInCell="1" allowOverlap="1" wp14:anchorId="7ED88D67" wp14:editId="2A5437F6">
          <wp:simplePos x="0" y="0"/>
          <wp:positionH relativeFrom="margin">
            <wp:align>center</wp:align>
          </wp:positionH>
          <wp:positionV relativeFrom="page">
            <wp:posOffset>9914890</wp:posOffset>
          </wp:positionV>
          <wp:extent cx="7150100" cy="594360"/>
          <wp:effectExtent l="0" t="0" r="0" b="0"/>
          <wp:wrapNone/>
          <wp:docPr id="837741468" name="Picture 1" descr="banner of partner logos - Healthy Trajectories, PRECI, Murdoch Children's Research Institute, SNAICC, Association for children with a disability, CYDA, Melbourne Disability Institute, Strong kids strong fu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468" name="Picture 1" descr="banner of partner logos - Healthy Trajectories, PRECI, Murdoch Children's Research Institute, SNAICC, Association for children with a disability, CYDA, Melbourne Disability Institute, Strong kids strong futur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0100" cy="59436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60FD" w14:textId="77777777" w:rsidR="00AA79C8" w:rsidRDefault="00AA7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87F2D" w14:textId="77777777" w:rsidR="004012E4" w:rsidRDefault="004012E4" w:rsidP="00E65C4F">
      <w:pPr>
        <w:spacing w:after="0" w:line="240" w:lineRule="auto"/>
      </w:pPr>
      <w:r>
        <w:separator/>
      </w:r>
    </w:p>
  </w:footnote>
  <w:footnote w:type="continuationSeparator" w:id="0">
    <w:p w14:paraId="249BAEC0" w14:textId="77777777" w:rsidR="004012E4" w:rsidRDefault="004012E4" w:rsidP="00E65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F6820" w14:textId="77777777" w:rsidR="00AA79C8" w:rsidRDefault="00AA7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ACE3D" w14:textId="548EE9FD" w:rsidR="00637401" w:rsidRDefault="00637401">
    <w:pPr>
      <w:pStyle w:val="Header"/>
    </w:pPr>
    <w:r>
      <w:tab/>
    </w:r>
    <w:r>
      <w:tab/>
    </w:r>
    <w:r>
      <w:fldChar w:fldCharType="begin"/>
    </w:r>
    <w:r>
      <w:instrText xml:space="preserve"> PAGE   \* MERGEFORMAT </w:instrText>
    </w:r>
    <w:r>
      <w:fldChar w:fldCharType="separate"/>
    </w:r>
    <w:r>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902A6" w14:textId="77777777" w:rsidR="00AA79C8" w:rsidRDefault="00AA7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7D1"/>
    <w:multiLevelType w:val="hybridMultilevel"/>
    <w:tmpl w:val="06902F40"/>
    <w:lvl w:ilvl="0" w:tplc="08090001">
      <w:start w:val="1"/>
      <w:numFmt w:val="bullet"/>
      <w:lvlText w:val=""/>
      <w:lvlJc w:val="left"/>
      <w:pPr>
        <w:ind w:left="400" w:hanging="360"/>
      </w:pPr>
      <w:rPr>
        <w:rFonts w:ascii="Symbol" w:hAnsi="Symbol" w:hint="default"/>
      </w:rPr>
    </w:lvl>
    <w:lvl w:ilvl="1" w:tplc="FFFFFFFF">
      <w:start w:val="1"/>
      <w:numFmt w:val="bullet"/>
      <w:lvlText w:val="o"/>
      <w:lvlJc w:val="left"/>
      <w:pPr>
        <w:ind w:left="800" w:hanging="360"/>
      </w:pPr>
      <w:rPr>
        <w:rFonts w:ascii="Courier New" w:hAnsi="Courier New"/>
      </w:rPr>
    </w:lvl>
    <w:lvl w:ilvl="2" w:tplc="FFFFFFFF">
      <w:start w:val="1"/>
      <w:numFmt w:val="bullet"/>
      <w:lvlText w:val=""/>
      <w:lvlJc w:val="left"/>
      <w:pPr>
        <w:ind w:left="1200" w:hanging="360"/>
      </w:pPr>
      <w:rPr>
        <w:rFonts w:ascii="Wingdings" w:hAnsi="Wingdings"/>
      </w:rPr>
    </w:lvl>
    <w:lvl w:ilvl="3" w:tplc="FFFFFFFF">
      <w:start w:val="1"/>
      <w:numFmt w:val="bullet"/>
      <w:lvlText w:val=""/>
      <w:lvlJc w:val="left"/>
      <w:pPr>
        <w:ind w:left="1600" w:hanging="360"/>
      </w:pPr>
      <w:rPr>
        <w:rFonts w:ascii="Symbol" w:hAnsi="Symbol"/>
      </w:rPr>
    </w:lvl>
    <w:lvl w:ilvl="4" w:tplc="FFFFFFFF">
      <w:start w:val="1"/>
      <w:numFmt w:val="bullet"/>
      <w:lvlText w:val="o"/>
      <w:lvlJc w:val="left"/>
      <w:pPr>
        <w:ind w:left="2000" w:hanging="360"/>
      </w:pPr>
      <w:rPr>
        <w:rFonts w:ascii="Courier New" w:hAnsi="Courier New"/>
      </w:rPr>
    </w:lvl>
    <w:lvl w:ilvl="5" w:tplc="FFFFFFFF">
      <w:start w:val="1"/>
      <w:numFmt w:val="bullet"/>
      <w:lvlText w:val=""/>
      <w:lvlJc w:val="left"/>
      <w:pPr>
        <w:ind w:left="2400" w:hanging="360"/>
      </w:pPr>
      <w:rPr>
        <w:rFonts w:ascii="Wingdings" w:hAnsi="Wingdings"/>
      </w:rPr>
    </w:lvl>
    <w:lvl w:ilvl="6" w:tplc="FFFFFFFF">
      <w:start w:val="1"/>
      <w:numFmt w:val="bullet"/>
      <w:lvlText w:val=""/>
      <w:lvlJc w:val="left"/>
      <w:pPr>
        <w:ind w:left="2800" w:hanging="360"/>
      </w:pPr>
      <w:rPr>
        <w:rFonts w:ascii="Symbol" w:hAnsi="Symbol"/>
      </w:rPr>
    </w:lvl>
    <w:lvl w:ilvl="7" w:tplc="FFFFFFFF">
      <w:start w:val="1"/>
      <w:numFmt w:val="bullet"/>
      <w:lvlText w:val="o"/>
      <w:lvlJc w:val="left"/>
      <w:pPr>
        <w:ind w:left="3200" w:hanging="360"/>
      </w:pPr>
      <w:rPr>
        <w:rFonts w:ascii="Courier New" w:hAnsi="Courier New"/>
      </w:rPr>
    </w:lvl>
    <w:lvl w:ilvl="8" w:tplc="FFFFFFFF">
      <w:numFmt w:val="decimal"/>
      <w:lvlText w:val=""/>
      <w:lvlJc w:val="left"/>
    </w:lvl>
  </w:abstractNum>
  <w:abstractNum w:abstractNumId="1" w15:restartNumberingAfterBreak="0">
    <w:nsid w:val="02A93C6A"/>
    <w:multiLevelType w:val="hybridMultilevel"/>
    <w:tmpl w:val="B77C8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B622F6"/>
    <w:multiLevelType w:val="multilevel"/>
    <w:tmpl w:val="F1B8ADFC"/>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36B4989"/>
    <w:multiLevelType w:val="hybridMultilevel"/>
    <w:tmpl w:val="85429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9107B4"/>
    <w:multiLevelType w:val="hybridMultilevel"/>
    <w:tmpl w:val="63C8835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08B53B52"/>
    <w:multiLevelType w:val="hybridMultilevel"/>
    <w:tmpl w:val="15A0DE1C"/>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6" w15:restartNumberingAfterBreak="0">
    <w:nsid w:val="185B0AED"/>
    <w:multiLevelType w:val="hybridMultilevel"/>
    <w:tmpl w:val="AD26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F6770"/>
    <w:multiLevelType w:val="hybridMultilevel"/>
    <w:tmpl w:val="014AD24A"/>
    <w:lvl w:ilvl="0" w:tplc="E71EED24">
      <w:numFmt w:val="bullet"/>
      <w:lvlText w:val="•"/>
      <w:lvlJc w:val="left"/>
      <w:pPr>
        <w:ind w:left="1080" w:hanging="720"/>
      </w:pPr>
      <w:rPr>
        <w:rFonts w:ascii="Arial" w:eastAsia="Montserrat Bold"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D1D45"/>
    <w:multiLevelType w:val="hybridMultilevel"/>
    <w:tmpl w:val="5BE282A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9" w15:restartNumberingAfterBreak="0">
    <w:nsid w:val="1F511714"/>
    <w:multiLevelType w:val="hybridMultilevel"/>
    <w:tmpl w:val="2D74294A"/>
    <w:lvl w:ilvl="0" w:tplc="E71EED24">
      <w:numFmt w:val="bullet"/>
      <w:lvlText w:val="•"/>
      <w:lvlJc w:val="left"/>
      <w:pPr>
        <w:ind w:left="1120" w:hanging="720"/>
      </w:pPr>
      <w:rPr>
        <w:rFonts w:ascii="Arial" w:eastAsia="Montserrat Bold"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0" w15:restartNumberingAfterBreak="0">
    <w:nsid w:val="2C2830DB"/>
    <w:multiLevelType w:val="multilevel"/>
    <w:tmpl w:val="E2BCCB60"/>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4996EC8"/>
    <w:multiLevelType w:val="hybridMultilevel"/>
    <w:tmpl w:val="A1C0AF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7357F30"/>
    <w:multiLevelType w:val="multilevel"/>
    <w:tmpl w:val="775EB8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7B70BB9"/>
    <w:multiLevelType w:val="hybridMultilevel"/>
    <w:tmpl w:val="D3108AE4"/>
    <w:lvl w:ilvl="0" w:tplc="D8B8B12E">
      <w:start w:val="1"/>
      <w:numFmt w:val="bullet"/>
      <w:lvlText w:val=""/>
      <w:lvlJc w:val="left"/>
      <w:pPr>
        <w:ind w:left="400" w:hanging="360"/>
      </w:pPr>
      <w:rPr>
        <w:rFonts w:ascii="Symbol" w:hAnsi="Symbol"/>
      </w:rPr>
    </w:lvl>
    <w:lvl w:ilvl="1" w:tplc="D5C6BEF4">
      <w:start w:val="1"/>
      <w:numFmt w:val="bullet"/>
      <w:lvlText w:val="o"/>
      <w:lvlJc w:val="left"/>
      <w:pPr>
        <w:ind w:left="800" w:hanging="360"/>
      </w:pPr>
      <w:rPr>
        <w:rFonts w:ascii="Courier New" w:hAnsi="Courier New"/>
      </w:rPr>
    </w:lvl>
    <w:lvl w:ilvl="2" w:tplc="4E78C782">
      <w:start w:val="1"/>
      <w:numFmt w:val="bullet"/>
      <w:lvlText w:val=""/>
      <w:lvlJc w:val="left"/>
      <w:pPr>
        <w:ind w:left="1200" w:hanging="360"/>
      </w:pPr>
      <w:rPr>
        <w:rFonts w:ascii="Wingdings" w:hAnsi="Wingdings"/>
      </w:rPr>
    </w:lvl>
    <w:lvl w:ilvl="3" w:tplc="4AF86B8C">
      <w:start w:val="1"/>
      <w:numFmt w:val="bullet"/>
      <w:lvlText w:val=""/>
      <w:lvlJc w:val="left"/>
      <w:pPr>
        <w:ind w:left="1600" w:hanging="360"/>
      </w:pPr>
      <w:rPr>
        <w:rFonts w:ascii="Symbol" w:hAnsi="Symbol"/>
      </w:rPr>
    </w:lvl>
    <w:lvl w:ilvl="4" w:tplc="3B36D564">
      <w:start w:val="1"/>
      <w:numFmt w:val="bullet"/>
      <w:lvlText w:val="o"/>
      <w:lvlJc w:val="left"/>
      <w:pPr>
        <w:ind w:left="2000" w:hanging="360"/>
      </w:pPr>
      <w:rPr>
        <w:rFonts w:ascii="Courier New" w:hAnsi="Courier New"/>
      </w:rPr>
    </w:lvl>
    <w:lvl w:ilvl="5" w:tplc="027EFBC6">
      <w:start w:val="1"/>
      <w:numFmt w:val="bullet"/>
      <w:lvlText w:val=""/>
      <w:lvlJc w:val="left"/>
      <w:pPr>
        <w:ind w:left="2400" w:hanging="360"/>
      </w:pPr>
      <w:rPr>
        <w:rFonts w:ascii="Wingdings" w:hAnsi="Wingdings"/>
      </w:rPr>
    </w:lvl>
    <w:lvl w:ilvl="6" w:tplc="6ADAAC82">
      <w:start w:val="1"/>
      <w:numFmt w:val="bullet"/>
      <w:lvlText w:val=""/>
      <w:lvlJc w:val="left"/>
      <w:pPr>
        <w:ind w:left="2800" w:hanging="360"/>
      </w:pPr>
      <w:rPr>
        <w:rFonts w:ascii="Symbol" w:hAnsi="Symbol"/>
      </w:rPr>
    </w:lvl>
    <w:lvl w:ilvl="7" w:tplc="8CA62588">
      <w:start w:val="1"/>
      <w:numFmt w:val="bullet"/>
      <w:lvlText w:val="o"/>
      <w:lvlJc w:val="left"/>
      <w:pPr>
        <w:ind w:left="3200" w:hanging="360"/>
      </w:pPr>
      <w:rPr>
        <w:rFonts w:ascii="Courier New" w:hAnsi="Courier New"/>
      </w:rPr>
    </w:lvl>
    <w:lvl w:ilvl="8" w:tplc="3FA87C82">
      <w:numFmt w:val="decimal"/>
      <w:lvlText w:val=""/>
      <w:lvlJc w:val="left"/>
    </w:lvl>
  </w:abstractNum>
  <w:abstractNum w:abstractNumId="14" w15:restartNumberingAfterBreak="0">
    <w:nsid w:val="4AB71ED4"/>
    <w:multiLevelType w:val="hybridMultilevel"/>
    <w:tmpl w:val="A88C7200"/>
    <w:lvl w:ilvl="0" w:tplc="DA6055D6">
      <w:start w:val="1"/>
      <w:numFmt w:val="bullet"/>
      <w:lvlText w:val=""/>
      <w:lvlJc w:val="left"/>
      <w:pPr>
        <w:ind w:left="400" w:hanging="360"/>
      </w:pPr>
      <w:rPr>
        <w:rFonts w:ascii="Symbol" w:hAnsi="Symbol"/>
      </w:rPr>
    </w:lvl>
    <w:lvl w:ilvl="1" w:tplc="6F0A5118">
      <w:start w:val="1"/>
      <w:numFmt w:val="bullet"/>
      <w:lvlText w:val="o"/>
      <w:lvlJc w:val="left"/>
      <w:pPr>
        <w:ind w:left="800" w:hanging="360"/>
      </w:pPr>
      <w:rPr>
        <w:rFonts w:ascii="Courier New" w:hAnsi="Courier New"/>
      </w:rPr>
    </w:lvl>
    <w:lvl w:ilvl="2" w:tplc="955A37EC">
      <w:start w:val="1"/>
      <w:numFmt w:val="bullet"/>
      <w:lvlText w:val=""/>
      <w:lvlJc w:val="left"/>
      <w:pPr>
        <w:ind w:left="1200" w:hanging="360"/>
      </w:pPr>
      <w:rPr>
        <w:rFonts w:ascii="Wingdings" w:hAnsi="Wingdings"/>
      </w:rPr>
    </w:lvl>
    <w:lvl w:ilvl="3" w:tplc="B1AC9DD4">
      <w:start w:val="1"/>
      <w:numFmt w:val="bullet"/>
      <w:lvlText w:val=""/>
      <w:lvlJc w:val="left"/>
      <w:pPr>
        <w:ind w:left="1600" w:hanging="360"/>
      </w:pPr>
      <w:rPr>
        <w:rFonts w:ascii="Symbol" w:hAnsi="Symbol"/>
      </w:rPr>
    </w:lvl>
    <w:lvl w:ilvl="4" w:tplc="645EC018">
      <w:start w:val="1"/>
      <w:numFmt w:val="bullet"/>
      <w:lvlText w:val="o"/>
      <w:lvlJc w:val="left"/>
      <w:pPr>
        <w:ind w:left="2000" w:hanging="360"/>
      </w:pPr>
      <w:rPr>
        <w:rFonts w:ascii="Courier New" w:hAnsi="Courier New"/>
      </w:rPr>
    </w:lvl>
    <w:lvl w:ilvl="5" w:tplc="E5D25BF6">
      <w:start w:val="1"/>
      <w:numFmt w:val="bullet"/>
      <w:lvlText w:val=""/>
      <w:lvlJc w:val="left"/>
      <w:pPr>
        <w:ind w:left="2400" w:hanging="360"/>
      </w:pPr>
      <w:rPr>
        <w:rFonts w:ascii="Wingdings" w:hAnsi="Wingdings"/>
      </w:rPr>
    </w:lvl>
    <w:lvl w:ilvl="6" w:tplc="3F5E6FE0">
      <w:start w:val="1"/>
      <w:numFmt w:val="bullet"/>
      <w:lvlText w:val=""/>
      <w:lvlJc w:val="left"/>
      <w:pPr>
        <w:ind w:left="2800" w:hanging="360"/>
      </w:pPr>
      <w:rPr>
        <w:rFonts w:ascii="Symbol" w:hAnsi="Symbol"/>
      </w:rPr>
    </w:lvl>
    <w:lvl w:ilvl="7" w:tplc="505C3CF8">
      <w:start w:val="1"/>
      <w:numFmt w:val="bullet"/>
      <w:lvlText w:val="o"/>
      <w:lvlJc w:val="left"/>
      <w:pPr>
        <w:ind w:left="3200" w:hanging="360"/>
      </w:pPr>
      <w:rPr>
        <w:rFonts w:ascii="Courier New" w:hAnsi="Courier New"/>
      </w:rPr>
    </w:lvl>
    <w:lvl w:ilvl="8" w:tplc="847AB67A">
      <w:numFmt w:val="decimal"/>
      <w:lvlText w:val=""/>
      <w:lvlJc w:val="left"/>
    </w:lvl>
  </w:abstractNum>
  <w:abstractNum w:abstractNumId="15" w15:restartNumberingAfterBreak="0">
    <w:nsid w:val="4CE3741D"/>
    <w:multiLevelType w:val="hybridMultilevel"/>
    <w:tmpl w:val="5C020ED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2194216"/>
    <w:multiLevelType w:val="hybridMultilevel"/>
    <w:tmpl w:val="71EA9DA8"/>
    <w:lvl w:ilvl="0" w:tplc="DA6055D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05A2063"/>
    <w:multiLevelType w:val="hybridMultilevel"/>
    <w:tmpl w:val="6EDE9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5233559"/>
    <w:multiLevelType w:val="multilevel"/>
    <w:tmpl w:val="B0C28B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7AF67F1"/>
    <w:multiLevelType w:val="hybridMultilevel"/>
    <w:tmpl w:val="A666349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69873DA8"/>
    <w:multiLevelType w:val="hybridMultilevel"/>
    <w:tmpl w:val="2332BC86"/>
    <w:lvl w:ilvl="0" w:tplc="EC40051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896781"/>
    <w:multiLevelType w:val="hybridMultilevel"/>
    <w:tmpl w:val="2F3A1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58644E"/>
    <w:multiLevelType w:val="hybridMultilevel"/>
    <w:tmpl w:val="C9960DD4"/>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310208562">
    <w:abstractNumId w:val="14"/>
  </w:num>
  <w:num w:numId="2" w16cid:durableId="777791637">
    <w:abstractNumId w:val="13"/>
  </w:num>
  <w:num w:numId="3" w16cid:durableId="977880284">
    <w:abstractNumId w:val="22"/>
  </w:num>
  <w:num w:numId="4" w16cid:durableId="979963250">
    <w:abstractNumId w:val="0"/>
  </w:num>
  <w:num w:numId="5" w16cid:durableId="1867213727">
    <w:abstractNumId w:val="1"/>
  </w:num>
  <w:num w:numId="6" w16cid:durableId="1634215131">
    <w:abstractNumId w:val="8"/>
  </w:num>
  <w:num w:numId="7" w16cid:durableId="918828622">
    <w:abstractNumId w:val="6"/>
  </w:num>
  <w:num w:numId="8" w16cid:durableId="679428389">
    <w:abstractNumId w:val="7"/>
  </w:num>
  <w:num w:numId="9" w16cid:durableId="946085493">
    <w:abstractNumId w:val="9"/>
  </w:num>
  <w:num w:numId="10" w16cid:durableId="1242838515">
    <w:abstractNumId w:val="21"/>
  </w:num>
  <w:num w:numId="11" w16cid:durableId="2016374809">
    <w:abstractNumId w:val="5"/>
  </w:num>
  <w:num w:numId="12" w16cid:durableId="1085305786">
    <w:abstractNumId w:val="20"/>
  </w:num>
  <w:num w:numId="13" w16cid:durableId="302196107">
    <w:abstractNumId w:val="12"/>
  </w:num>
  <w:num w:numId="14" w16cid:durableId="1538589591">
    <w:abstractNumId w:val="18"/>
  </w:num>
  <w:num w:numId="15" w16cid:durableId="167673823">
    <w:abstractNumId w:val="10"/>
  </w:num>
  <w:num w:numId="16" w16cid:durableId="329143682">
    <w:abstractNumId w:val="2"/>
  </w:num>
  <w:num w:numId="17" w16cid:durableId="399643339">
    <w:abstractNumId w:val="11"/>
  </w:num>
  <w:num w:numId="18" w16cid:durableId="640231759">
    <w:abstractNumId w:val="3"/>
  </w:num>
  <w:num w:numId="19" w16cid:durableId="1926454837">
    <w:abstractNumId w:val="17"/>
  </w:num>
  <w:num w:numId="20" w16cid:durableId="367949532">
    <w:abstractNumId w:val="16"/>
  </w:num>
  <w:num w:numId="21" w16cid:durableId="921139384">
    <w:abstractNumId w:val="4"/>
  </w:num>
  <w:num w:numId="22" w16cid:durableId="1001545391">
    <w:abstractNumId w:val="15"/>
  </w:num>
  <w:num w:numId="23" w16cid:durableId="21317033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3"/>
  <w:embedTrueTypeFonts/>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34"/>
    <w:rsid w:val="000164E4"/>
    <w:rsid w:val="000202E8"/>
    <w:rsid w:val="0003120F"/>
    <w:rsid w:val="00031C6A"/>
    <w:rsid w:val="000323E8"/>
    <w:rsid w:val="00043483"/>
    <w:rsid w:val="0005630B"/>
    <w:rsid w:val="00083106"/>
    <w:rsid w:val="00086F34"/>
    <w:rsid w:val="000B2B20"/>
    <w:rsid w:val="000B41F9"/>
    <w:rsid w:val="000C5299"/>
    <w:rsid w:val="000D145A"/>
    <w:rsid w:val="000D77C2"/>
    <w:rsid w:val="000D7C24"/>
    <w:rsid w:val="000E5FF8"/>
    <w:rsid w:val="00100B29"/>
    <w:rsid w:val="00106C52"/>
    <w:rsid w:val="00123E68"/>
    <w:rsid w:val="00125779"/>
    <w:rsid w:val="001305CB"/>
    <w:rsid w:val="00141613"/>
    <w:rsid w:val="00145306"/>
    <w:rsid w:val="00145F06"/>
    <w:rsid w:val="00161C17"/>
    <w:rsid w:val="00170A73"/>
    <w:rsid w:val="001749A8"/>
    <w:rsid w:val="00175BBB"/>
    <w:rsid w:val="00177DCA"/>
    <w:rsid w:val="001943E8"/>
    <w:rsid w:val="001B5F6E"/>
    <w:rsid w:val="001B72B1"/>
    <w:rsid w:val="001D2AE0"/>
    <w:rsid w:val="0020297C"/>
    <w:rsid w:val="00205E34"/>
    <w:rsid w:val="0022135B"/>
    <w:rsid w:val="00231EB1"/>
    <w:rsid w:val="00234B41"/>
    <w:rsid w:val="0027271B"/>
    <w:rsid w:val="00282626"/>
    <w:rsid w:val="002929A0"/>
    <w:rsid w:val="00292ED6"/>
    <w:rsid w:val="00294369"/>
    <w:rsid w:val="002B02D3"/>
    <w:rsid w:val="002C3039"/>
    <w:rsid w:val="002D2EC9"/>
    <w:rsid w:val="002E071F"/>
    <w:rsid w:val="002F7DB5"/>
    <w:rsid w:val="00304EEB"/>
    <w:rsid w:val="00310C65"/>
    <w:rsid w:val="00321DD5"/>
    <w:rsid w:val="00347A65"/>
    <w:rsid w:val="003610AA"/>
    <w:rsid w:val="00361238"/>
    <w:rsid w:val="00366C05"/>
    <w:rsid w:val="00376F95"/>
    <w:rsid w:val="003811EA"/>
    <w:rsid w:val="00382B9E"/>
    <w:rsid w:val="003C77FE"/>
    <w:rsid w:val="003D09D8"/>
    <w:rsid w:val="003D10CB"/>
    <w:rsid w:val="003E2933"/>
    <w:rsid w:val="003E701A"/>
    <w:rsid w:val="003F1131"/>
    <w:rsid w:val="004012E4"/>
    <w:rsid w:val="0042430F"/>
    <w:rsid w:val="00463364"/>
    <w:rsid w:val="00466657"/>
    <w:rsid w:val="00466A97"/>
    <w:rsid w:val="0047782E"/>
    <w:rsid w:val="00490CBB"/>
    <w:rsid w:val="004A527D"/>
    <w:rsid w:val="004C0642"/>
    <w:rsid w:val="004C0648"/>
    <w:rsid w:val="004C2437"/>
    <w:rsid w:val="004D64B1"/>
    <w:rsid w:val="004E4B84"/>
    <w:rsid w:val="004F13AA"/>
    <w:rsid w:val="004F1DA2"/>
    <w:rsid w:val="00522184"/>
    <w:rsid w:val="005306A5"/>
    <w:rsid w:val="005318A5"/>
    <w:rsid w:val="00541EF2"/>
    <w:rsid w:val="00542E06"/>
    <w:rsid w:val="00550FE7"/>
    <w:rsid w:val="00557BA4"/>
    <w:rsid w:val="005A2808"/>
    <w:rsid w:val="005C0183"/>
    <w:rsid w:val="005C66AD"/>
    <w:rsid w:val="0060759B"/>
    <w:rsid w:val="006159AC"/>
    <w:rsid w:val="006212C4"/>
    <w:rsid w:val="006259A8"/>
    <w:rsid w:val="00631A30"/>
    <w:rsid w:val="00637401"/>
    <w:rsid w:val="00641656"/>
    <w:rsid w:val="006443F5"/>
    <w:rsid w:val="00656745"/>
    <w:rsid w:val="00666A3E"/>
    <w:rsid w:val="00671499"/>
    <w:rsid w:val="006960B3"/>
    <w:rsid w:val="006B527D"/>
    <w:rsid w:val="006C126E"/>
    <w:rsid w:val="006C2F7F"/>
    <w:rsid w:val="006C41E3"/>
    <w:rsid w:val="006C61C2"/>
    <w:rsid w:val="006F3664"/>
    <w:rsid w:val="007037DA"/>
    <w:rsid w:val="0073613A"/>
    <w:rsid w:val="00747DF4"/>
    <w:rsid w:val="007547F2"/>
    <w:rsid w:val="00754F37"/>
    <w:rsid w:val="0077587D"/>
    <w:rsid w:val="007B7E77"/>
    <w:rsid w:val="008070DE"/>
    <w:rsid w:val="0081093B"/>
    <w:rsid w:val="0081105C"/>
    <w:rsid w:val="00811F0F"/>
    <w:rsid w:val="0083248A"/>
    <w:rsid w:val="00841CBB"/>
    <w:rsid w:val="0088006A"/>
    <w:rsid w:val="00882FED"/>
    <w:rsid w:val="008A7F88"/>
    <w:rsid w:val="008B03C4"/>
    <w:rsid w:val="008B7E24"/>
    <w:rsid w:val="008D3470"/>
    <w:rsid w:val="008D38D6"/>
    <w:rsid w:val="008D3F4B"/>
    <w:rsid w:val="009017B0"/>
    <w:rsid w:val="00910AAC"/>
    <w:rsid w:val="00912DD9"/>
    <w:rsid w:val="00947935"/>
    <w:rsid w:val="00953A20"/>
    <w:rsid w:val="009644DF"/>
    <w:rsid w:val="00976DFE"/>
    <w:rsid w:val="009A5095"/>
    <w:rsid w:val="009C7767"/>
    <w:rsid w:val="009D51E0"/>
    <w:rsid w:val="00A100AF"/>
    <w:rsid w:val="00A16668"/>
    <w:rsid w:val="00A22384"/>
    <w:rsid w:val="00A44E6C"/>
    <w:rsid w:val="00A52470"/>
    <w:rsid w:val="00A70CF7"/>
    <w:rsid w:val="00A7767C"/>
    <w:rsid w:val="00A92FC8"/>
    <w:rsid w:val="00AA1162"/>
    <w:rsid w:val="00AA18BA"/>
    <w:rsid w:val="00AA79C8"/>
    <w:rsid w:val="00AB1858"/>
    <w:rsid w:val="00AB187C"/>
    <w:rsid w:val="00AC6B94"/>
    <w:rsid w:val="00AD29A3"/>
    <w:rsid w:val="00B14A3D"/>
    <w:rsid w:val="00B2103F"/>
    <w:rsid w:val="00B35348"/>
    <w:rsid w:val="00B42751"/>
    <w:rsid w:val="00B52CA3"/>
    <w:rsid w:val="00B6591D"/>
    <w:rsid w:val="00B66464"/>
    <w:rsid w:val="00B70C74"/>
    <w:rsid w:val="00B9344F"/>
    <w:rsid w:val="00BA3D5C"/>
    <w:rsid w:val="00BC3079"/>
    <w:rsid w:val="00C0411C"/>
    <w:rsid w:val="00C54D83"/>
    <w:rsid w:val="00CA177B"/>
    <w:rsid w:val="00CA35D9"/>
    <w:rsid w:val="00CD04F4"/>
    <w:rsid w:val="00CD1912"/>
    <w:rsid w:val="00CD1C7F"/>
    <w:rsid w:val="00CD55C6"/>
    <w:rsid w:val="00CE1D83"/>
    <w:rsid w:val="00CF0C0E"/>
    <w:rsid w:val="00D07EDB"/>
    <w:rsid w:val="00D13E1D"/>
    <w:rsid w:val="00D50BC1"/>
    <w:rsid w:val="00D74B90"/>
    <w:rsid w:val="00D91046"/>
    <w:rsid w:val="00D97E05"/>
    <w:rsid w:val="00DA34C8"/>
    <w:rsid w:val="00DC121A"/>
    <w:rsid w:val="00DC360F"/>
    <w:rsid w:val="00DC7B5C"/>
    <w:rsid w:val="00DE63D8"/>
    <w:rsid w:val="00E02643"/>
    <w:rsid w:val="00E1049C"/>
    <w:rsid w:val="00E247F5"/>
    <w:rsid w:val="00E3180A"/>
    <w:rsid w:val="00E57D29"/>
    <w:rsid w:val="00E65C4F"/>
    <w:rsid w:val="00E76429"/>
    <w:rsid w:val="00E874A7"/>
    <w:rsid w:val="00EA2540"/>
    <w:rsid w:val="00EA48F6"/>
    <w:rsid w:val="00EA5D63"/>
    <w:rsid w:val="00ED2DD1"/>
    <w:rsid w:val="00ED536D"/>
    <w:rsid w:val="00ED7018"/>
    <w:rsid w:val="00ED7B1C"/>
    <w:rsid w:val="00EF51ED"/>
    <w:rsid w:val="00F11B9A"/>
    <w:rsid w:val="00F1331B"/>
    <w:rsid w:val="00F235A3"/>
    <w:rsid w:val="00F56AF1"/>
    <w:rsid w:val="00F6045F"/>
    <w:rsid w:val="00F776C5"/>
    <w:rsid w:val="00F94A02"/>
    <w:rsid w:val="00FB76E3"/>
    <w:rsid w:val="00FC4C09"/>
    <w:rsid w:val="00FD4E10"/>
    <w:rsid w:val="00FE2E14"/>
    <w:rsid w:val="00FE3B24"/>
    <w:rsid w:val="00FF1836"/>
    <w:rsid w:val="00FF62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1B9E4"/>
  <w15:docId w15:val="{5B734D35-2BBF-AD46-BD77-E780C928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38"/>
    <w:pPr>
      <w:spacing w:before="120" w:after="120" w:line="276" w:lineRule="auto"/>
    </w:pPr>
    <w:rPr>
      <w:rFonts w:ascii="Arial" w:hAnsi="Arial"/>
    </w:rPr>
  </w:style>
  <w:style w:type="paragraph" w:styleId="Heading1">
    <w:name w:val="heading 1"/>
    <w:basedOn w:val="Normal"/>
    <w:next w:val="Normal"/>
    <w:link w:val="Heading1Char"/>
    <w:autoRedefine/>
    <w:uiPriority w:val="9"/>
    <w:qFormat/>
    <w:rsid w:val="00CD04F4"/>
    <w:pPr>
      <w:spacing w:before="240"/>
      <w:outlineLvl w:val="0"/>
    </w:pPr>
    <w:rPr>
      <w:rFonts w:ascii="Poppins" w:eastAsia="Inter Bold" w:hAnsi="Poppins" w:cs="Arial"/>
      <w:b/>
      <w:bCs/>
      <w:color w:val="06426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C4F"/>
  </w:style>
  <w:style w:type="paragraph" w:styleId="Footer">
    <w:name w:val="footer"/>
    <w:basedOn w:val="Normal"/>
    <w:link w:val="FooterChar"/>
    <w:uiPriority w:val="99"/>
    <w:unhideWhenUsed/>
    <w:rsid w:val="00E65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C4F"/>
  </w:style>
  <w:style w:type="table" w:styleId="TableGrid">
    <w:name w:val="Table Grid"/>
    <w:basedOn w:val="TableNormal"/>
    <w:uiPriority w:val="39"/>
    <w:rsid w:val="00E6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 First level,Bulletr List Paragraph,Content descriptions,Figure_name,FooterText,L,List NUmber,List Paragraph1,List Paragraph11,List Paragraph2,Listenabsatz1,Numbered Indented Text,Recommendation,lp1,リスト段落"/>
    <w:basedOn w:val="Normal"/>
    <w:link w:val="ListParagraphChar"/>
    <w:autoRedefine/>
    <w:uiPriority w:val="34"/>
    <w:qFormat/>
    <w:rsid w:val="00811F0F"/>
    <w:pPr>
      <w:numPr>
        <w:numId w:val="12"/>
      </w:numPr>
      <w:ind w:left="714" w:hanging="357"/>
    </w:pPr>
  </w:style>
  <w:style w:type="character" w:customStyle="1" w:styleId="Heading1Char">
    <w:name w:val="Heading 1 Char"/>
    <w:basedOn w:val="DefaultParagraphFont"/>
    <w:link w:val="Heading1"/>
    <w:uiPriority w:val="9"/>
    <w:rsid w:val="00CD04F4"/>
    <w:rPr>
      <w:rFonts w:ascii="Poppins" w:eastAsia="Inter Bold" w:hAnsi="Poppins" w:cs="Arial"/>
      <w:b/>
      <w:bCs/>
      <w:color w:val="064265"/>
      <w:sz w:val="36"/>
      <w:szCs w:val="36"/>
    </w:rPr>
  </w:style>
  <w:style w:type="character" w:styleId="Hyperlink">
    <w:name w:val="Hyperlink"/>
    <w:basedOn w:val="DefaultParagraphFont"/>
    <w:uiPriority w:val="99"/>
    <w:unhideWhenUsed/>
    <w:rsid w:val="0027271B"/>
    <w:rPr>
      <w:color w:val="467886" w:themeColor="hyperlink"/>
      <w:u w:val="single"/>
    </w:rPr>
  </w:style>
  <w:style w:type="character" w:styleId="UnresolvedMention">
    <w:name w:val="Unresolved Mention"/>
    <w:basedOn w:val="DefaultParagraphFont"/>
    <w:uiPriority w:val="99"/>
    <w:semiHidden/>
    <w:unhideWhenUsed/>
    <w:rsid w:val="0027271B"/>
    <w:rPr>
      <w:color w:val="605E5C"/>
      <w:shd w:val="clear" w:color="auto" w:fill="E1DFDD"/>
    </w:rPr>
  </w:style>
  <w:style w:type="character" w:customStyle="1" w:styleId="ListParagraphChar">
    <w:name w:val="List Paragraph Char"/>
    <w:aliases w:val="Bullet Point Char,Bullet point Char,Bullet- First level Char,Bulletr List Paragraph Char,Content descriptions Char,Figure_name Char,FooterText Char,L Char,List NUmber Char,List Paragraph1 Char,List Paragraph11 Char,Listenabsatz1 Char"/>
    <w:basedOn w:val="DefaultParagraphFont"/>
    <w:link w:val="ListParagraph"/>
    <w:uiPriority w:val="34"/>
    <w:qFormat/>
    <w:locked/>
    <w:rsid w:val="00811F0F"/>
    <w:rPr>
      <w:rFonts w:ascii="Arial" w:hAnsi="Arial"/>
    </w:rPr>
  </w:style>
  <w:style w:type="paragraph" w:styleId="CommentText">
    <w:name w:val="annotation text"/>
    <w:basedOn w:val="Normal"/>
    <w:link w:val="CommentTextChar"/>
    <w:uiPriority w:val="99"/>
    <w:unhideWhenUsed/>
    <w:rsid w:val="00106C52"/>
    <w:pPr>
      <w:spacing w:before="0" w:after="200" w:line="240" w:lineRule="auto"/>
    </w:pPr>
    <w:rPr>
      <w:rFonts w:ascii="Aptos" w:eastAsia="Aptos" w:hAnsi="Aptos" w:cs="Aptos"/>
      <w:kern w:val="0"/>
      <w:sz w:val="20"/>
      <w:szCs w:val="20"/>
      <w:lang w:eastAsia="en-AU"/>
      <w14:ligatures w14:val="none"/>
    </w:rPr>
  </w:style>
  <w:style w:type="character" w:customStyle="1" w:styleId="CommentTextChar">
    <w:name w:val="Comment Text Char"/>
    <w:basedOn w:val="DefaultParagraphFont"/>
    <w:link w:val="CommentText"/>
    <w:uiPriority w:val="99"/>
    <w:rsid w:val="00106C52"/>
    <w:rPr>
      <w:rFonts w:ascii="Aptos" w:eastAsia="Aptos" w:hAnsi="Aptos" w:cs="Aptos"/>
      <w:kern w:val="0"/>
      <w:sz w:val="20"/>
      <w:szCs w:val="20"/>
      <w:lang w:eastAsia="en-AU"/>
      <w14:ligatures w14:val="none"/>
    </w:rPr>
  </w:style>
  <w:style w:type="character" w:styleId="CommentReference">
    <w:name w:val="annotation reference"/>
    <w:basedOn w:val="DefaultParagraphFont"/>
    <w:uiPriority w:val="99"/>
    <w:semiHidden/>
    <w:unhideWhenUsed/>
    <w:rsid w:val="00106C52"/>
    <w:rPr>
      <w:sz w:val="16"/>
      <w:szCs w:val="16"/>
    </w:rPr>
  </w:style>
  <w:style w:type="character" w:styleId="Mention">
    <w:name w:val="Mention"/>
    <w:basedOn w:val="DefaultParagraphFont"/>
    <w:uiPriority w:val="99"/>
    <w:unhideWhenUsed/>
    <w:rsid w:val="00106C52"/>
    <w:rPr>
      <w:color w:val="2B579A"/>
      <w:shd w:val="clear" w:color="auto" w:fill="E1DFDD"/>
    </w:rPr>
  </w:style>
  <w:style w:type="character" w:customStyle="1" w:styleId="normaltextrun">
    <w:name w:val="normaltextrun"/>
    <w:basedOn w:val="DefaultParagraphFont"/>
    <w:rsid w:val="00880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y-trajectories.com.au/eci-framework/resources-for-families-and-others/" TargetMode="External"/><Relationship Id="rId18" Type="http://schemas.openxmlformats.org/officeDocument/2006/relationships/hyperlink" Target="https://healthy-trajectories.com.au/eci-framewor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healthy-trajectories.com.au/eci-framework/resources-for-practitioners/" TargetMode="External"/><Relationship Id="rId17" Type="http://schemas.openxmlformats.org/officeDocument/2006/relationships/hyperlink" Target="https://creativecommons.org/licenses/by-nc-nd/4.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ealthy-trajectories.com.au/eci-framework/development-of-the-framewor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y-trajectories.com.au/eci-framework"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healthy-trajectories.com.au/eci-framewor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althy-trajectories.com.au/eci-framework/unpacking-the-framework/" TargetMode="External"/><Relationship Id="rId22"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2" ma:contentTypeDescription="Create a new document." ma:contentTypeScope="" ma:versionID="371394dccd2345c4a5989e6f1f4a62c5">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a027f6e0f8170732030caa44dedbe9c7"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F16EB-5E45-449F-BD39-E882672FD988}">
  <ds:schemaRefs>
    <ds:schemaRef ds:uri="http://schemas.microsoft.com/office/2006/metadata/properties"/>
    <ds:schemaRef ds:uri="http://schemas.microsoft.com/office/infopath/2007/PartnerControls"/>
    <ds:schemaRef ds:uri="55f32057-c7d7-4cf2-a083-f930dcef3185"/>
    <ds:schemaRef ds:uri="a90255c7-ae5e-497b-8550-2cff6ec3b288"/>
  </ds:schemaRefs>
</ds:datastoreItem>
</file>

<file path=customXml/itemProps2.xml><?xml version="1.0" encoding="utf-8"?>
<ds:datastoreItem xmlns:ds="http://schemas.openxmlformats.org/officeDocument/2006/customXml" ds:itemID="{81768099-B425-46FD-BE2E-41610DE9BFBE}">
  <ds:schemaRefs>
    <ds:schemaRef ds:uri="http://schemas.microsoft.com/sharepoint/v3/contenttype/forms"/>
  </ds:schemaRefs>
</ds:datastoreItem>
</file>

<file path=customXml/itemProps3.xml><?xml version="1.0" encoding="utf-8"?>
<ds:datastoreItem xmlns:ds="http://schemas.openxmlformats.org/officeDocument/2006/customXml" ds:itemID="{FB42C051-1047-4A86-B696-CA42FE64C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Practice guidance – Everyday settings key principle</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Practice guidance – Everyday settings key principle</dc:title>
  <dc:subject>Disability and carers</dc:subject>
  <dc:creator>Australian Government Department of Health Disability and Ageing</dc:creator>
  <cp:keywords>ECI framework</cp:keywords>
  <cp:lastModifiedBy>MCCAY, Meryl</cp:lastModifiedBy>
  <cp:revision>24</cp:revision>
  <dcterms:created xsi:type="dcterms:W3CDTF">2025-05-02T09:54:00Z</dcterms:created>
  <dcterms:modified xsi:type="dcterms:W3CDTF">2025-09-26T06:55:00Z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0x0101005FA7F88EC92F804B9584462CE746000B</vt:lpwstr>
  </property>
  <property fmtid="{D5CDD505-2E9C-101B-9397-08002B2CF9AE}" pid="3" name="MediaServiceImageTags">
    <vt:lpwstr/>
  </property>
</Properties>
</file>