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B93F3" w14:textId="6132FC52" w:rsidR="009C7767" w:rsidRDefault="0081105C">
      <w:r>
        <w:rPr>
          <w:noProof/>
        </w:rPr>
        <w:drawing>
          <wp:anchor distT="0" distB="0" distL="114300" distR="114300" simplePos="0" relativeHeight="251659264" behindDoc="0" locked="0" layoutInCell="1" allowOverlap="1" wp14:anchorId="7C06CBF3" wp14:editId="574E3437">
            <wp:simplePos x="0" y="0"/>
            <wp:positionH relativeFrom="page">
              <wp:align>left</wp:align>
            </wp:positionH>
            <wp:positionV relativeFrom="page">
              <wp:align>top</wp:align>
            </wp:positionV>
            <wp:extent cx="7562850" cy="2268855"/>
            <wp:effectExtent l="0" t="0" r="0" b="0"/>
            <wp:wrapNone/>
            <wp:docPr id="1868625985" name="Drawing 0" descr="1National Best Practice Framework for Early Childhood Intervention&#10;Diversity affirming&#10;Practice gui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625985" name="Drawing 0" descr="1National Best Practice Framework for Early Childhood Intervention&#10;Diversity affirming&#10;Practice guidance"/>
                    <pic:cNvPicPr>
                      <a:picLocks noChangeAspect="1"/>
                    </pic:cNvPicPr>
                  </pic:nvPicPr>
                  <pic:blipFill>
                    <a:blip r:embed="rId10"/>
                    <a:stretch>
                      <a:fillRect/>
                    </a:stretch>
                  </pic:blipFill>
                  <pic:spPr>
                    <a:xfrm>
                      <a:off x="0" y="0"/>
                      <a:ext cx="7562850" cy="2268855"/>
                    </a:xfrm>
                    <a:prstGeom prst="rect">
                      <a:avLst/>
                    </a:prstGeom>
                  </pic:spPr>
                </pic:pic>
              </a:graphicData>
            </a:graphic>
          </wp:anchor>
        </w:drawing>
      </w:r>
    </w:p>
    <w:p w14:paraId="3CEE16A6" w14:textId="4474DBBB" w:rsidR="009C7767" w:rsidRDefault="009C7767"/>
    <w:p w14:paraId="18A45436" w14:textId="285104E8" w:rsidR="009C7767" w:rsidRDefault="009C7767"/>
    <w:p w14:paraId="055CAA54" w14:textId="0C5F50C4" w:rsidR="00CD1C7F" w:rsidRDefault="00CD1C7F"/>
    <w:p w14:paraId="6025EDBE" w14:textId="7C985095" w:rsidR="009C7767" w:rsidRDefault="009C7767"/>
    <w:p w14:paraId="09579DB7" w14:textId="417144D3" w:rsidR="00043483" w:rsidRDefault="00043483" w:rsidP="00CD55C6">
      <w:pPr>
        <w:pStyle w:val="Heading1"/>
      </w:pPr>
      <w:r w:rsidRPr="00CD55C6">
        <w:t>What is the</w:t>
      </w:r>
      <w:r w:rsidR="00161C17">
        <w:t xml:space="preserve"> diversity affirming</w:t>
      </w:r>
      <w:r w:rsidR="0003120F" w:rsidRPr="00CD55C6">
        <w:t xml:space="preserve"> </w:t>
      </w:r>
      <w:r w:rsidR="002B02D3">
        <w:t xml:space="preserve">key </w:t>
      </w:r>
      <w:r w:rsidRPr="00CD55C6">
        <w:t>principle?</w:t>
      </w:r>
    </w:p>
    <w:p w14:paraId="054D80CE" w14:textId="63493F71" w:rsidR="003F1131" w:rsidRDefault="003F1131" w:rsidP="003F1131">
      <w:r>
        <w:t xml:space="preserve">Diversity affirming practice recognises, values and respects the identities and strengths of children, parents, carers, families and communities. This includes their abilities, race, ethnicity, religion, gender, sexual orientation and socio-economic status. Diversity affirming practice also respects and centres the culture of families, including their attitudes and beliefs, child-raising style and family and community traditions. </w:t>
      </w:r>
    </w:p>
    <w:p w14:paraId="1AE4CB36" w14:textId="09530D98" w:rsidR="007B7E77" w:rsidRPr="007B7E77" w:rsidRDefault="003F1131" w:rsidP="003F1131">
      <w:r>
        <w:t>Diversity affirming practice understands the ways in which power and privilege generate inequities. It challenges racism and other conscious and unconscious biases and recognises the compounding discrimination or stigma for those who live with intersecting identities. It embraces everyone’s unique understanding of other people and the world around them and is always affirming of all disabilities including neurodiversity.</w:t>
      </w:r>
    </w:p>
    <w:p w14:paraId="25B30634" w14:textId="4B3416AA" w:rsidR="00E1049C" w:rsidRDefault="00E1049C" w:rsidP="000164E4">
      <w:pPr>
        <w:pStyle w:val="Heading1"/>
      </w:pPr>
      <w:r w:rsidRPr="00B35348">
        <w:t xml:space="preserve">Why is </w:t>
      </w:r>
      <w:r w:rsidR="004D64B1" w:rsidRPr="00B35348">
        <w:t>this</w:t>
      </w:r>
      <w:r w:rsidRPr="00B35348">
        <w:t xml:space="preserve"> principle important?</w:t>
      </w:r>
    </w:p>
    <w:p w14:paraId="43B9D40A" w14:textId="77777777" w:rsidR="00304EEB" w:rsidRDefault="00304EEB" w:rsidP="00304EEB">
      <w:r>
        <w:t xml:space="preserve">Responsive interactions and respectful relationships that affirm the culture, language, identity and strengths of children and their parents, carers and families are essential to building a sense of safety, belonging and wellbeing. </w:t>
      </w:r>
    </w:p>
    <w:p w14:paraId="4B086869" w14:textId="77777777" w:rsidR="00304EEB" w:rsidRDefault="00304EEB" w:rsidP="00304EEB">
      <w:r>
        <w:t>Parents, carers and families are more likely to engage with services when their individual circumstances, cultural background and abilities are respected and understood.</w:t>
      </w:r>
    </w:p>
    <w:p w14:paraId="7ABC8B94" w14:textId="2E720828" w:rsidR="008B7E24" w:rsidRPr="008B7E24" w:rsidRDefault="008B7E24" w:rsidP="008B7E24">
      <w:r w:rsidRPr="008B7E24">
        <w:t xml:space="preserve">Diversity-affirming practices are embedded in rights conventions and are also a key feature of </w:t>
      </w:r>
      <w:hyperlink r:id="rId11">
        <w:r w:rsidRPr="008B7E24">
          <w:rPr>
            <w:rStyle w:val="Hyperlink"/>
          </w:rPr>
          <w:t>Safe and Supported: The National Framework for Protecting Australia’s Children 2021-2031</w:t>
        </w:r>
      </w:hyperlink>
      <w:r w:rsidRPr="008B7E24">
        <w:t xml:space="preserve">, the </w:t>
      </w:r>
      <w:hyperlink r:id="rId12">
        <w:r w:rsidRPr="008B7E24">
          <w:rPr>
            <w:rStyle w:val="Hyperlink"/>
          </w:rPr>
          <w:t>Early Years Learning Framework, V2.0 (2022)</w:t>
        </w:r>
      </w:hyperlink>
      <w:r w:rsidRPr="008B7E24">
        <w:t xml:space="preserve"> and the </w:t>
      </w:r>
      <w:hyperlink r:id="rId13">
        <w:r w:rsidR="005235DD">
          <w:rPr>
            <w:rStyle w:val="Hyperlink"/>
          </w:rPr>
          <w:t>Early Years Strategy 2024-2034 (2024)</w:t>
        </w:r>
      </w:hyperlink>
      <w:r w:rsidRPr="008B7E24">
        <w:t>.</w:t>
      </w:r>
    </w:p>
    <w:p w14:paraId="3A223264" w14:textId="6AD7A9EA" w:rsidR="00304EEB" w:rsidRPr="00304EEB" w:rsidRDefault="00304EEB" w:rsidP="00304EEB">
      <w:r>
        <w:t>This principle relates to all other universal and key Framework principles, and they should all be applied together in practice.</w:t>
      </w:r>
    </w:p>
    <w:p w14:paraId="542D0F0A" w14:textId="36041726" w:rsidR="00E1049C" w:rsidRPr="00B35348" w:rsidRDefault="00E1049C" w:rsidP="00CD55C6">
      <w:pPr>
        <w:pStyle w:val="Heading1"/>
      </w:pPr>
      <w:r w:rsidRPr="00B35348">
        <w:t xml:space="preserve">What </w:t>
      </w:r>
      <w:proofErr w:type="gramStart"/>
      <w:r w:rsidRPr="00B35348">
        <w:t>are</w:t>
      </w:r>
      <w:proofErr w:type="gramEnd"/>
      <w:r w:rsidRPr="00B35348">
        <w:t xml:space="preserve"> </w:t>
      </w:r>
      <w:r w:rsidR="002748B8">
        <w:t>diversity affirming</w:t>
      </w:r>
      <w:r w:rsidR="004D64B1" w:rsidRPr="00B35348">
        <w:t xml:space="preserve"> </w:t>
      </w:r>
      <w:r w:rsidRPr="00B35348">
        <w:t>practices?</w:t>
      </w:r>
    </w:p>
    <w:p w14:paraId="5F7FFA42" w14:textId="77777777" w:rsidR="00656745" w:rsidRPr="00656745" w:rsidRDefault="00656745" w:rsidP="00656745">
      <w:r w:rsidRPr="00656745">
        <w:t>Practitioners</w:t>
      </w:r>
    </w:p>
    <w:p w14:paraId="6EC72C42" w14:textId="77777777" w:rsidR="00811F0F" w:rsidRDefault="00811F0F" w:rsidP="00811F0F">
      <w:pPr>
        <w:pStyle w:val="ListParagraph"/>
      </w:pPr>
      <w:r>
        <w:lastRenderedPageBreak/>
        <w:t xml:space="preserve">develop cultural knowledge, responsiveness, and competency in providing diversity affirming support </w:t>
      </w:r>
    </w:p>
    <w:p w14:paraId="69F9CDF8" w14:textId="77777777" w:rsidR="00811F0F" w:rsidRDefault="00811F0F" w:rsidP="00811F0F">
      <w:pPr>
        <w:pStyle w:val="ListParagraph"/>
      </w:pPr>
      <w:r>
        <w:t>acknowledge and respect the values, knowledge, preferences, and cultural perspectives of children, families, and their communities</w:t>
      </w:r>
    </w:p>
    <w:p w14:paraId="2F5F95CF" w14:textId="77777777" w:rsidR="00811F0F" w:rsidRDefault="00811F0F" w:rsidP="00811F0F">
      <w:pPr>
        <w:pStyle w:val="ListParagraph"/>
      </w:pPr>
      <w:r>
        <w:t>work with families respectfully to understand their culture while ensuring practices uphold the dignity, rights, and full participation of children</w:t>
      </w:r>
    </w:p>
    <w:p w14:paraId="01030390" w14:textId="77777777" w:rsidR="00811F0F" w:rsidRDefault="00811F0F" w:rsidP="00811F0F">
      <w:pPr>
        <w:pStyle w:val="ListParagraph"/>
      </w:pPr>
      <w:r>
        <w:t xml:space="preserve">provide families with accessible information on disability and evidence-based practices to support their child's development and meaningful participation in their community </w:t>
      </w:r>
    </w:p>
    <w:p w14:paraId="6BAC6B39" w14:textId="27A17A4C" w:rsidR="00811F0F" w:rsidRDefault="00811F0F" w:rsidP="00811F0F">
      <w:pPr>
        <w:pStyle w:val="ListParagraph"/>
      </w:pPr>
      <w:r>
        <w:t xml:space="preserve">understand the barriers to children from diverse backgrounds can experience in accessing universal child and family services (e.g., Early </w:t>
      </w:r>
      <w:r w:rsidR="003D2E5B">
        <w:t>c</w:t>
      </w:r>
      <w:r>
        <w:t xml:space="preserve">hildhood </w:t>
      </w:r>
      <w:r w:rsidR="003D2E5B">
        <w:t>e</w:t>
      </w:r>
      <w:r>
        <w:t xml:space="preserve">ducation </w:t>
      </w:r>
      <w:r w:rsidR="003D2E5B">
        <w:t>c</w:t>
      </w:r>
      <w:r>
        <w:t>are</w:t>
      </w:r>
      <w:r w:rsidR="003D2E5B">
        <w:t xml:space="preserve"> (ECEC)</w:t>
      </w:r>
      <w:r>
        <w:t>, school, Maternal Child Health) and support access where needed</w:t>
      </w:r>
    </w:p>
    <w:p w14:paraId="509A6796" w14:textId="77777777" w:rsidR="00811F0F" w:rsidRDefault="00811F0F" w:rsidP="00811F0F">
      <w:pPr>
        <w:pStyle w:val="ListParagraph"/>
      </w:pPr>
      <w:r>
        <w:t xml:space="preserve">support parents, carers and families in navigating any stigma from within their family and/or community </w:t>
      </w:r>
    </w:p>
    <w:p w14:paraId="4E84D0DD" w14:textId="77777777" w:rsidR="00811F0F" w:rsidRDefault="00811F0F" w:rsidP="00811F0F">
      <w:pPr>
        <w:pStyle w:val="ListParagraph"/>
      </w:pPr>
      <w:r>
        <w:t xml:space="preserve">work with parents, carers and families to understand and value children’s individual circumstances, background and abilities, including race, ethnicity, culture, gender, sexual orientation, socio-economic status and abilities, and neurodiversity </w:t>
      </w:r>
    </w:p>
    <w:p w14:paraId="584D934A" w14:textId="77777777" w:rsidR="00811F0F" w:rsidRDefault="00811F0F" w:rsidP="00811F0F">
      <w:pPr>
        <w:pStyle w:val="ListParagraph"/>
      </w:pPr>
      <w:r>
        <w:t xml:space="preserve">engage with children and families in ways that recognise commonalities, embrace differences, create connections with others, and cultivate mutual respect </w:t>
      </w:r>
    </w:p>
    <w:p w14:paraId="33185207" w14:textId="77777777" w:rsidR="00811F0F" w:rsidRDefault="00811F0F" w:rsidP="00811F0F">
      <w:pPr>
        <w:pStyle w:val="ListParagraph"/>
      </w:pPr>
      <w:r>
        <w:t>provide intentional learning and support for children who are multilingual to continue to develop skills using their home language and assist them in developing other language and communication skills</w:t>
      </w:r>
    </w:p>
    <w:p w14:paraId="470FAFB5" w14:textId="77777777" w:rsidR="00811F0F" w:rsidRDefault="00811F0F" w:rsidP="00811F0F">
      <w:pPr>
        <w:pStyle w:val="ListParagraph"/>
      </w:pPr>
      <w:r>
        <w:t>actively seek to involve trusted community organisations/members in conversations with families to ensure mutual understanding</w:t>
      </w:r>
    </w:p>
    <w:p w14:paraId="3FD49270" w14:textId="77777777" w:rsidR="00811F0F" w:rsidRDefault="00811F0F" w:rsidP="00811F0F">
      <w:pPr>
        <w:pStyle w:val="ListParagraph"/>
      </w:pPr>
      <w:r>
        <w:t>access translation services with the consent of the parents, carers and family</w:t>
      </w:r>
    </w:p>
    <w:p w14:paraId="65FE0A27" w14:textId="7B951A78" w:rsidR="004A527D" w:rsidRDefault="004A527D" w:rsidP="00811F0F">
      <w:pPr>
        <w:pStyle w:val="Heading1"/>
      </w:pPr>
      <w:r>
        <w:t>We know it’s working well when</w:t>
      </w:r>
      <w:r w:rsidR="00893118">
        <w:t>…</w:t>
      </w:r>
    </w:p>
    <w:p w14:paraId="40876674" w14:textId="77777777" w:rsidR="00B42751" w:rsidRDefault="00B42751" w:rsidP="00B42751">
      <w:r>
        <w:t>Children</w:t>
      </w:r>
    </w:p>
    <w:p w14:paraId="25723D78" w14:textId="00C3272D" w:rsidR="00B42751" w:rsidRDefault="00B42751" w:rsidP="00B42751">
      <w:pPr>
        <w:pStyle w:val="ListParagraph"/>
      </w:pPr>
      <w:r>
        <w:t>build strong identities and connections to their culture and community</w:t>
      </w:r>
    </w:p>
    <w:p w14:paraId="2AACE974" w14:textId="5559B4E4" w:rsidR="00B42751" w:rsidRDefault="00B42751" w:rsidP="00B42751">
      <w:pPr>
        <w:pStyle w:val="ListParagraph"/>
      </w:pPr>
      <w:r>
        <w:t>have a positive sense of belonging to their family and community</w:t>
      </w:r>
    </w:p>
    <w:p w14:paraId="4684DE35" w14:textId="77777777" w:rsidR="00B42751" w:rsidRDefault="00B42751" w:rsidP="00B42751">
      <w:r>
        <w:t>Parents, carers and families</w:t>
      </w:r>
    </w:p>
    <w:p w14:paraId="724D73A3" w14:textId="2F81D2FD" w:rsidR="00B42751" w:rsidRDefault="00B42751" w:rsidP="00B42751">
      <w:pPr>
        <w:pStyle w:val="ListParagraph"/>
      </w:pPr>
      <w:r>
        <w:t>are provided with information in ways that respect their language and culture</w:t>
      </w:r>
    </w:p>
    <w:p w14:paraId="205A32FF" w14:textId="17B42497" w:rsidR="00B42751" w:rsidRDefault="00B42751" w:rsidP="00B42751">
      <w:pPr>
        <w:pStyle w:val="ListParagraph"/>
      </w:pPr>
      <w:r>
        <w:lastRenderedPageBreak/>
        <w:t xml:space="preserve">have a positive social support network providing emotional, cultural, and practical support </w:t>
      </w:r>
    </w:p>
    <w:p w14:paraId="3F632100" w14:textId="791428B0" w:rsidR="00B42751" w:rsidRDefault="00B42751" w:rsidP="00B42751">
      <w:pPr>
        <w:pStyle w:val="ListParagraph"/>
      </w:pPr>
      <w:r>
        <w:t>are participating in the social, cultural, and economic life of the community</w:t>
      </w:r>
    </w:p>
    <w:p w14:paraId="58F5D7F6" w14:textId="09A89D83" w:rsidR="00B42751" w:rsidRDefault="00B42751" w:rsidP="00B42751">
      <w:pPr>
        <w:pStyle w:val="ListParagraph"/>
      </w:pPr>
      <w:r>
        <w:t>feel respected, heard, and valued as active partners in their child’s development</w:t>
      </w:r>
    </w:p>
    <w:p w14:paraId="6A6AE5D6" w14:textId="4A9258B0" w:rsidR="00B42751" w:rsidRDefault="00B42751" w:rsidP="00B42751">
      <w:pPr>
        <w:pStyle w:val="ListParagraph"/>
      </w:pPr>
      <w:r>
        <w:t>engage with services, and decision-making processes</w:t>
      </w:r>
    </w:p>
    <w:p w14:paraId="4FACE258" w14:textId="13501AA8" w:rsidR="0083248A" w:rsidRDefault="00B42751" w:rsidP="00B42751">
      <w:pPr>
        <w:pStyle w:val="ListParagraph"/>
      </w:pPr>
      <w:r>
        <w:t>deem services to be diversity affirming and safe</w:t>
      </w:r>
    </w:p>
    <w:p w14:paraId="0A46AA1D" w14:textId="1C1E43C8" w:rsidR="00ED2DD1" w:rsidRPr="000E46B6" w:rsidRDefault="00ED2DD1" w:rsidP="00A7767C">
      <w:pPr>
        <w:pStyle w:val="Heading1"/>
      </w:pPr>
      <w:r w:rsidRPr="000E46B6">
        <w:t>Essential resources</w:t>
      </w:r>
    </w:p>
    <w:p w14:paraId="73B0799D" w14:textId="77777777" w:rsidR="00913DC1" w:rsidRPr="003C5412" w:rsidRDefault="00913DC1" w:rsidP="00913DC1">
      <w:pPr>
        <w:spacing w:line="240" w:lineRule="auto"/>
        <w:rPr>
          <w:rFonts w:eastAsia="Times New Roman" w:cs="Arial"/>
          <w:color w:val="000000"/>
        </w:rPr>
      </w:pPr>
      <w:r w:rsidRPr="003C5412">
        <w:rPr>
          <w:rFonts w:eastAsia="Times New Roman" w:cs="Arial"/>
          <w:color w:val="000000"/>
        </w:rPr>
        <w:t xml:space="preserve">You can find more information about the </w:t>
      </w:r>
      <w:hyperlink r:id="rId14" w:history="1">
        <w:r w:rsidRPr="003C5412">
          <w:rPr>
            <w:rFonts w:eastAsia="Times New Roman" w:cs="Arial"/>
            <w:color w:val="0563C1"/>
            <w:u w:val="single"/>
          </w:rPr>
          <w:t>National Best Practice Framework for Early Childhood Intervention</w:t>
        </w:r>
      </w:hyperlink>
      <w:r w:rsidRPr="003C5412">
        <w:rPr>
          <w:rFonts w:eastAsia="Times New Roman" w:cs="Arial"/>
          <w:color w:val="000000"/>
        </w:rPr>
        <w:t xml:space="preserve"> online.</w:t>
      </w:r>
    </w:p>
    <w:p w14:paraId="5436666F" w14:textId="77777777" w:rsidR="00913DC1" w:rsidRPr="00E2504C" w:rsidRDefault="00913DC1" w:rsidP="00913DC1">
      <w:pPr>
        <w:pStyle w:val="ListParagraph"/>
        <w:numPr>
          <w:ilvl w:val="0"/>
          <w:numId w:val="19"/>
        </w:numPr>
        <w:spacing w:line="240" w:lineRule="auto"/>
        <w:rPr>
          <w:rFonts w:eastAsia="Times New Roman"/>
        </w:rPr>
      </w:pPr>
      <w:hyperlink r:id="rId15" w:history="1">
        <w:r w:rsidRPr="003C5412">
          <w:rPr>
            <w:rFonts w:eastAsia="Times New Roman"/>
            <w:color w:val="0563C1"/>
            <w:u w:val="single"/>
          </w:rPr>
          <w:t>Resources for practitioners</w:t>
        </w:r>
      </w:hyperlink>
      <w:r w:rsidRPr="003C5412">
        <w:rPr>
          <w:rFonts w:eastAsia="Times New Roman"/>
        </w:rPr>
        <w:t xml:space="preserve"> </w:t>
      </w:r>
      <w:r w:rsidRPr="00E2504C">
        <w:rPr>
          <w:rFonts w:eastAsia="Times New Roman"/>
        </w:rPr>
        <w:t>including the</w:t>
      </w:r>
    </w:p>
    <w:p w14:paraId="46048777" w14:textId="77777777" w:rsidR="00913DC1" w:rsidRPr="00E2504C" w:rsidRDefault="00913DC1" w:rsidP="00913DC1">
      <w:pPr>
        <w:pStyle w:val="ListParagraph"/>
        <w:numPr>
          <w:ilvl w:val="0"/>
          <w:numId w:val="22"/>
        </w:numPr>
        <w:spacing w:line="240" w:lineRule="auto"/>
      </w:pPr>
      <w:r w:rsidRPr="00E2504C">
        <w:t>Looks like/doesn’t look like guide for the principle</w:t>
      </w:r>
    </w:p>
    <w:p w14:paraId="36CDC396" w14:textId="77777777" w:rsidR="00913DC1" w:rsidRPr="00E2504C" w:rsidRDefault="00913DC1" w:rsidP="00913DC1">
      <w:pPr>
        <w:pStyle w:val="ListParagraph"/>
        <w:numPr>
          <w:ilvl w:val="0"/>
          <w:numId w:val="22"/>
        </w:numPr>
        <w:spacing w:line="240" w:lineRule="auto"/>
      </w:pPr>
      <w:r w:rsidRPr="00E2504C">
        <w:t>Outcome measures resources</w:t>
      </w:r>
    </w:p>
    <w:p w14:paraId="0ED525CA" w14:textId="77777777" w:rsidR="00913DC1" w:rsidRPr="003C5412" w:rsidRDefault="00913DC1" w:rsidP="00913DC1">
      <w:pPr>
        <w:pStyle w:val="ListParagraph"/>
        <w:numPr>
          <w:ilvl w:val="0"/>
          <w:numId w:val="19"/>
        </w:numPr>
        <w:spacing w:line="240" w:lineRule="auto"/>
        <w:rPr>
          <w:rFonts w:eastAsia="Times New Roman"/>
          <w:color w:val="000000"/>
        </w:rPr>
      </w:pPr>
      <w:hyperlink r:id="rId16" w:history="1">
        <w:r w:rsidRPr="003C5412">
          <w:rPr>
            <w:rFonts w:eastAsia="Times New Roman"/>
            <w:color w:val="0563C1"/>
            <w:u w:val="single"/>
          </w:rPr>
          <w:t>Resources for families and others</w:t>
        </w:r>
      </w:hyperlink>
    </w:p>
    <w:p w14:paraId="2217771F" w14:textId="77777777" w:rsidR="00913DC1" w:rsidRPr="003C5412" w:rsidRDefault="00913DC1" w:rsidP="00913DC1">
      <w:pPr>
        <w:pStyle w:val="ListParagraph"/>
        <w:numPr>
          <w:ilvl w:val="0"/>
          <w:numId w:val="21"/>
        </w:numPr>
        <w:spacing w:line="240" w:lineRule="auto"/>
      </w:pPr>
      <w:r w:rsidRPr="003C5412">
        <w:t>The podcast where families and professionals discuss practices related to this principle</w:t>
      </w:r>
    </w:p>
    <w:p w14:paraId="7941B7B3" w14:textId="77777777" w:rsidR="00913DC1" w:rsidRPr="003C5412" w:rsidRDefault="00913DC1" w:rsidP="00913DC1">
      <w:pPr>
        <w:pStyle w:val="ListParagraph"/>
        <w:numPr>
          <w:ilvl w:val="0"/>
          <w:numId w:val="19"/>
        </w:numPr>
        <w:spacing w:line="240" w:lineRule="auto"/>
        <w:rPr>
          <w:rFonts w:eastAsia="Times New Roman"/>
          <w:color w:val="000000"/>
        </w:rPr>
      </w:pPr>
      <w:hyperlink r:id="rId17" w:history="1">
        <w:r w:rsidRPr="003C5412">
          <w:rPr>
            <w:rFonts w:eastAsia="Times New Roman"/>
            <w:color w:val="0563C1"/>
            <w:u w:val="single"/>
          </w:rPr>
          <w:t xml:space="preserve">Unpacking the </w:t>
        </w:r>
        <w:r>
          <w:rPr>
            <w:rFonts w:eastAsia="Times New Roman"/>
            <w:color w:val="0563C1"/>
            <w:u w:val="single"/>
          </w:rPr>
          <w:t>F</w:t>
        </w:r>
        <w:r w:rsidRPr="003C5412">
          <w:rPr>
            <w:rFonts w:eastAsia="Times New Roman"/>
            <w:color w:val="0563C1"/>
            <w:u w:val="single"/>
          </w:rPr>
          <w:t>ramework video/s</w:t>
        </w:r>
      </w:hyperlink>
      <w:r w:rsidRPr="003C5412">
        <w:rPr>
          <w:rFonts w:eastAsia="Times New Roman"/>
          <w:color w:val="000000"/>
        </w:rPr>
        <w:t xml:space="preserve"> for this principle </w:t>
      </w:r>
    </w:p>
    <w:p w14:paraId="69314D41" w14:textId="77777777" w:rsidR="00913DC1" w:rsidRPr="00E2504C" w:rsidRDefault="00913DC1" w:rsidP="00913DC1">
      <w:pPr>
        <w:pStyle w:val="ListParagraph"/>
        <w:numPr>
          <w:ilvl w:val="0"/>
          <w:numId w:val="19"/>
        </w:numPr>
        <w:spacing w:line="240" w:lineRule="auto"/>
        <w:rPr>
          <w:rFonts w:eastAsia="Times New Roman"/>
        </w:rPr>
      </w:pPr>
      <w:hyperlink r:id="rId18" w:history="1">
        <w:r w:rsidRPr="003C5412">
          <w:rPr>
            <w:rFonts w:eastAsia="Times New Roman"/>
            <w:color w:val="0563C1"/>
            <w:u w:val="single"/>
          </w:rPr>
          <w:t>The Framework</w:t>
        </w:r>
      </w:hyperlink>
      <w:r w:rsidRPr="003C5412">
        <w:rPr>
          <w:rFonts w:eastAsia="Times New Roman"/>
          <w:color w:val="000000"/>
        </w:rPr>
        <w:t xml:space="preserve"> </w:t>
      </w:r>
      <w:r w:rsidRPr="00E2504C">
        <w:rPr>
          <w:rFonts w:eastAsia="Times New Roman"/>
        </w:rPr>
        <w:t xml:space="preserve">including </w:t>
      </w:r>
    </w:p>
    <w:p w14:paraId="236DA0F0" w14:textId="77777777" w:rsidR="00913DC1" w:rsidRPr="00E2504C" w:rsidRDefault="00913DC1" w:rsidP="00913DC1">
      <w:pPr>
        <w:pStyle w:val="ListParagraph"/>
        <w:numPr>
          <w:ilvl w:val="0"/>
          <w:numId w:val="23"/>
        </w:numPr>
        <w:spacing w:line="240" w:lineRule="auto"/>
      </w:pPr>
      <w:r w:rsidRPr="00E2504C">
        <w:t>Decision making guide</w:t>
      </w:r>
    </w:p>
    <w:p w14:paraId="3FC3E75C" w14:textId="77777777" w:rsidR="00913DC1" w:rsidRPr="00E2504C" w:rsidRDefault="00913DC1" w:rsidP="00913DC1">
      <w:pPr>
        <w:pStyle w:val="ListParagraph"/>
        <w:numPr>
          <w:ilvl w:val="0"/>
          <w:numId w:val="23"/>
        </w:numPr>
        <w:spacing w:line="240" w:lineRule="auto"/>
      </w:pPr>
      <w:r w:rsidRPr="00E2504C">
        <w:t xml:space="preserve">The Framework </w:t>
      </w:r>
    </w:p>
    <w:p w14:paraId="598F9BE6" w14:textId="77777777" w:rsidR="00913DC1" w:rsidRPr="003C5412" w:rsidRDefault="00913DC1" w:rsidP="00913DC1">
      <w:pPr>
        <w:pStyle w:val="ListParagraph"/>
        <w:numPr>
          <w:ilvl w:val="0"/>
          <w:numId w:val="19"/>
        </w:numPr>
        <w:spacing w:line="240" w:lineRule="auto"/>
        <w:rPr>
          <w:rFonts w:eastAsia="Times New Roman"/>
          <w:color w:val="000000"/>
        </w:rPr>
      </w:pPr>
      <w:hyperlink r:id="rId19" w:history="1">
        <w:r w:rsidRPr="003C5412">
          <w:rPr>
            <w:rFonts w:eastAsia="Times New Roman"/>
            <w:color w:val="0563C1"/>
            <w:u w:val="single"/>
          </w:rPr>
          <w:t>The development of the Framework</w:t>
        </w:r>
      </w:hyperlink>
    </w:p>
    <w:p w14:paraId="755C9A79" w14:textId="77777777" w:rsidR="00913DC1" w:rsidRPr="003C5412" w:rsidRDefault="00913DC1" w:rsidP="00913DC1">
      <w:pPr>
        <w:pStyle w:val="ListParagraph"/>
        <w:numPr>
          <w:ilvl w:val="0"/>
          <w:numId w:val="23"/>
        </w:numPr>
        <w:spacing w:line="240" w:lineRule="auto"/>
      </w:pPr>
      <w:r>
        <w:t>Background papers</w:t>
      </w:r>
    </w:p>
    <w:p w14:paraId="7C9EFE94" w14:textId="77777777" w:rsidR="00913DC1" w:rsidRPr="00FB6639" w:rsidRDefault="00913DC1" w:rsidP="00913DC1">
      <w:pPr>
        <w:pStyle w:val="ListParagraph"/>
        <w:numPr>
          <w:ilvl w:val="0"/>
          <w:numId w:val="23"/>
        </w:numPr>
        <w:spacing w:line="240" w:lineRule="auto"/>
      </w:pPr>
      <w:r>
        <w:t>Bibliography for the principles and practice guidance</w:t>
      </w:r>
    </w:p>
    <w:p w14:paraId="3407321A" w14:textId="77777777" w:rsidR="00D76BE8" w:rsidRPr="00361987" w:rsidRDefault="00D76BE8" w:rsidP="00D76BE8">
      <w:pPr>
        <w:pStyle w:val="ListParagraph"/>
        <w:numPr>
          <w:ilvl w:val="0"/>
          <w:numId w:val="0"/>
        </w:numPr>
        <w:ind w:left="360"/>
        <w:rPr>
          <w:sz w:val="20"/>
          <w:szCs w:val="20"/>
        </w:rPr>
      </w:pPr>
    </w:p>
    <w:p w14:paraId="1319ECF5" w14:textId="77777777" w:rsidR="00D76BE8" w:rsidRPr="00F1466A" w:rsidRDefault="00D76BE8" w:rsidP="00D76BE8">
      <w:pPr>
        <w:pBdr>
          <w:top w:val="single" w:sz="4" w:space="1" w:color="auto"/>
        </w:pBdr>
        <w:spacing w:line="240" w:lineRule="auto"/>
        <w:rPr>
          <w:rFonts w:eastAsia="Arial" w:cs="Arial"/>
          <w:color w:val="000000"/>
          <w:sz w:val="20"/>
          <w:szCs w:val="20"/>
        </w:rPr>
      </w:pPr>
      <w:r w:rsidRPr="00F1466A">
        <w:rPr>
          <w:rFonts w:eastAsia="Arial" w:cs="Arial"/>
          <w:color w:val="000000"/>
          <w:sz w:val="20"/>
          <w:szCs w:val="20"/>
        </w:rPr>
        <w:t>© UoM 2025. National Best Practice Framework for Early Childhood Intervention (a joint collaboration between Healthy Trajectories, the Melbourne Disability Institute, STRONG Kids STRONG Future at the University of Melbourne, and the Murdoch Children’s Research Institute (MCRI), Professionals and Researchers in Early Childhood Intervention (PRECI), SNAICC – National Voice for our Children, Children and Young People with Disability Australia, and ACD – Advocating for Children with Disability). Commissioned by the Department of Social Services. </w:t>
      </w:r>
    </w:p>
    <w:p w14:paraId="64A440DA" w14:textId="77777777" w:rsidR="00D76BE8" w:rsidRPr="00F1466A" w:rsidRDefault="00D76BE8" w:rsidP="00D76BE8">
      <w:pPr>
        <w:pBdr>
          <w:top w:val="single" w:sz="4" w:space="1" w:color="auto"/>
        </w:pBdr>
        <w:spacing w:line="240" w:lineRule="auto"/>
        <w:rPr>
          <w:rFonts w:eastAsia="Arial" w:cs="Arial"/>
          <w:color w:val="000000"/>
          <w:sz w:val="20"/>
          <w:szCs w:val="20"/>
        </w:rPr>
      </w:pPr>
      <w:r w:rsidRPr="00F1466A">
        <w:rPr>
          <w:rFonts w:eastAsia="Arial" w:cs="Arial"/>
          <w:color w:val="000000"/>
          <w:sz w:val="20"/>
          <w:szCs w:val="20"/>
        </w:rPr>
        <w:t xml:space="preserve">This work is copyrighted to The University of Melbourne under a creative commons license, CC-BY-NC-ND. This material contains and draws upon Indigenous Cultural and Intellectual Property (ICIP) contributed by SNAICC and its members and staff and is used with their consent. Dealing with any part of the materials containing ICIP for any purpose that has not been authorised by the custodians is a serious breach of customary laws. You must handle ICIP accordingly when exercising the </w:t>
      </w:r>
      <w:hyperlink r:id="rId20" w:tgtFrame="_blank" w:history="1">
        <w:r w:rsidRPr="00F1466A">
          <w:rPr>
            <w:rFonts w:eastAsia="Arial" w:cs="Arial"/>
            <w:color w:val="467886" w:themeColor="hyperlink"/>
            <w:sz w:val="20"/>
            <w:szCs w:val="20"/>
            <w:u w:val="single"/>
          </w:rPr>
          <w:t>Creative Commons Licence</w:t>
        </w:r>
      </w:hyperlink>
      <w:r w:rsidRPr="00F1466A">
        <w:rPr>
          <w:rFonts w:eastAsia="Arial" w:cs="Arial"/>
          <w:color w:val="000000"/>
          <w:sz w:val="20"/>
          <w:szCs w:val="20"/>
        </w:rPr>
        <w:t xml:space="preserve"> described above.  </w:t>
      </w:r>
    </w:p>
    <w:p w14:paraId="4960DA85" w14:textId="7CCE8351" w:rsidR="00637401" w:rsidRPr="00637401" w:rsidRDefault="00D76BE8" w:rsidP="00D76BE8">
      <w:pPr>
        <w:pBdr>
          <w:top w:val="single" w:sz="4" w:space="1" w:color="auto"/>
        </w:pBdr>
        <w:spacing w:line="240" w:lineRule="auto"/>
        <w:rPr>
          <w:rFonts w:eastAsia="Arial" w:cs="Arial"/>
          <w:color w:val="467886" w:themeColor="hyperlink"/>
          <w:sz w:val="20"/>
          <w:szCs w:val="20"/>
          <w:u w:val="single"/>
        </w:rPr>
      </w:pPr>
      <w:r w:rsidRPr="00F1466A">
        <w:rPr>
          <w:rFonts w:eastAsia="Arial" w:cs="Arial"/>
          <w:color w:val="000000"/>
          <w:sz w:val="20"/>
          <w:szCs w:val="20"/>
        </w:rPr>
        <w:t xml:space="preserve">For more information about copyright please visit </w:t>
      </w:r>
      <w:hyperlink r:id="rId21" w:history="1">
        <w:r w:rsidRPr="009041AB">
          <w:rPr>
            <w:rStyle w:val="Hyperlink"/>
            <w:rFonts w:eastAsia="Arial" w:cs="Arial"/>
            <w:sz w:val="20"/>
            <w:szCs w:val="20"/>
          </w:rPr>
          <w:t>https://healthy-trajectories.com.au/eci-framework/</w:t>
        </w:r>
      </w:hyperlink>
    </w:p>
    <w:sectPr w:rsidR="00637401" w:rsidRPr="00637401" w:rsidSect="00976DFE">
      <w:headerReference w:type="even" r:id="rId22"/>
      <w:headerReference w:type="default" r:id="rId23"/>
      <w:footerReference w:type="even" r:id="rId24"/>
      <w:footerReference w:type="default" r:id="rId25"/>
      <w:headerReference w:type="first" r:id="rId26"/>
      <w:footerReference w:type="first" r:id="rId27"/>
      <w:pgSz w:w="11910" w:h="16845"/>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B761C" w14:textId="77777777" w:rsidR="0016157B" w:rsidRDefault="0016157B" w:rsidP="00E65C4F">
      <w:pPr>
        <w:spacing w:after="0" w:line="240" w:lineRule="auto"/>
      </w:pPr>
      <w:r>
        <w:separator/>
      </w:r>
    </w:p>
  </w:endnote>
  <w:endnote w:type="continuationSeparator" w:id="0">
    <w:p w14:paraId="0DA0690C" w14:textId="77777777" w:rsidR="0016157B" w:rsidRDefault="0016157B" w:rsidP="00E65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ontserrat Bold">
    <w:charset w:val="00"/>
    <w:family w:val="auto"/>
    <w:pitch w:val="default"/>
  </w:font>
  <w:font w:name="Aptos">
    <w:charset w:val="00"/>
    <w:family w:val="swiss"/>
    <w:pitch w:val="variable"/>
    <w:sig w:usb0="20000287" w:usb1="00000003" w:usb2="00000000" w:usb3="00000000" w:csb0="0000019F" w:csb1="00000000"/>
    <w:embedRegular r:id="rId1" w:fontKey="{F1DB68F8-F5D8-41F3-83FD-B00A4461D415}"/>
  </w:font>
  <w:font w:name="Yu Mincho">
    <w:altName w:val="游明朝"/>
    <w:charset w:val="80"/>
    <w:family w:val="roman"/>
    <w:pitch w:val="variable"/>
    <w:sig w:usb0="800002E7" w:usb1="2AC7FCFF" w:usb2="00000012" w:usb3="00000000" w:csb0="0002009F" w:csb1="00000000"/>
  </w:font>
  <w:font w:name="Poppins">
    <w:charset w:val="00"/>
    <w:family w:val="auto"/>
    <w:pitch w:val="variable"/>
    <w:sig w:usb0="00008007" w:usb1="00000000" w:usb2="00000000" w:usb3="00000000" w:csb0="00000093" w:csb1="00000000"/>
    <w:embedBold r:id="rId2" w:fontKey="{9D34B334-66F0-4B03-B8B3-D397EE2A0ECC}"/>
  </w:font>
  <w:font w:name="Inter Bold">
    <w:altName w:val="Calibri"/>
    <w:panose1 w:val="02000803000000020004"/>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embedRegular r:id="rId3" w:fontKey="{73EC5786-1ACC-4F27-837E-B0E17493E9C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1CB15" w14:textId="77777777" w:rsidR="009C0982" w:rsidRDefault="009C09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A8568" w14:textId="1122CB29" w:rsidR="00E65C4F" w:rsidRDefault="00E65C4F">
    <w:pPr>
      <w:pStyle w:val="Footer"/>
    </w:pPr>
    <w:r>
      <w:rPr>
        <w:noProof/>
      </w:rPr>
      <w:drawing>
        <wp:anchor distT="0" distB="0" distL="114300" distR="114300" simplePos="0" relativeHeight="251658240" behindDoc="0" locked="1" layoutInCell="1" allowOverlap="1" wp14:anchorId="7ED88D67" wp14:editId="3B008182">
          <wp:simplePos x="0" y="0"/>
          <wp:positionH relativeFrom="margin">
            <wp:align>center</wp:align>
          </wp:positionH>
          <wp:positionV relativeFrom="page">
            <wp:posOffset>9914890</wp:posOffset>
          </wp:positionV>
          <wp:extent cx="7150100" cy="594360"/>
          <wp:effectExtent l="0" t="0" r="0" b="0"/>
          <wp:wrapNone/>
          <wp:docPr id="837741468" name="Picture 1" descr="banner of partner logos - Healthy Trajectories, PRECI, Murdoch Children's Research Institute, SNAICC, Association for children with a disability, CYDA, Melbourne Disability Institute, Strong kids strong futu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741468" name="Picture 1" descr="banner of partner logos - Healthy Trajectories, PRECI, Murdoch Children's Research Institute, SNAICC, Association for children with a disability, CYDA, Melbourne Disability Institute, Strong kids strong futur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50100" cy="59436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B18EB" w14:textId="77777777" w:rsidR="009C0982" w:rsidRDefault="009C0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36CB1" w14:textId="77777777" w:rsidR="0016157B" w:rsidRDefault="0016157B" w:rsidP="00E65C4F">
      <w:pPr>
        <w:spacing w:after="0" w:line="240" w:lineRule="auto"/>
      </w:pPr>
      <w:r>
        <w:separator/>
      </w:r>
    </w:p>
  </w:footnote>
  <w:footnote w:type="continuationSeparator" w:id="0">
    <w:p w14:paraId="5BA26FBD" w14:textId="77777777" w:rsidR="0016157B" w:rsidRDefault="0016157B" w:rsidP="00E65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B6B36" w14:textId="77777777" w:rsidR="009C0982" w:rsidRDefault="009C09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ACE3D" w14:textId="548EE9FD" w:rsidR="00637401" w:rsidRDefault="00637401">
    <w:pPr>
      <w:pStyle w:val="Header"/>
    </w:pPr>
    <w:r>
      <w:tab/>
    </w:r>
    <w:r>
      <w:tab/>
    </w:r>
    <w:r>
      <w:fldChar w:fldCharType="begin"/>
    </w:r>
    <w:r>
      <w:instrText xml:space="preserve"> PAGE   \* MERGEFORMAT </w:instrText>
    </w:r>
    <w:r>
      <w:fldChar w:fldCharType="separate"/>
    </w:r>
    <w:r>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46457" w14:textId="77777777" w:rsidR="009C0982" w:rsidRDefault="009C09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27D1"/>
    <w:multiLevelType w:val="hybridMultilevel"/>
    <w:tmpl w:val="06902F40"/>
    <w:lvl w:ilvl="0" w:tplc="08090001">
      <w:start w:val="1"/>
      <w:numFmt w:val="bullet"/>
      <w:lvlText w:val=""/>
      <w:lvlJc w:val="left"/>
      <w:pPr>
        <w:ind w:left="400" w:hanging="360"/>
      </w:pPr>
      <w:rPr>
        <w:rFonts w:ascii="Symbol" w:hAnsi="Symbol" w:hint="default"/>
      </w:rPr>
    </w:lvl>
    <w:lvl w:ilvl="1" w:tplc="FFFFFFFF">
      <w:start w:val="1"/>
      <w:numFmt w:val="bullet"/>
      <w:lvlText w:val="o"/>
      <w:lvlJc w:val="left"/>
      <w:pPr>
        <w:ind w:left="800" w:hanging="360"/>
      </w:pPr>
      <w:rPr>
        <w:rFonts w:ascii="Courier New" w:hAnsi="Courier New"/>
      </w:rPr>
    </w:lvl>
    <w:lvl w:ilvl="2" w:tplc="FFFFFFFF">
      <w:start w:val="1"/>
      <w:numFmt w:val="bullet"/>
      <w:lvlText w:val=""/>
      <w:lvlJc w:val="left"/>
      <w:pPr>
        <w:ind w:left="1200" w:hanging="360"/>
      </w:pPr>
      <w:rPr>
        <w:rFonts w:ascii="Wingdings" w:hAnsi="Wingdings"/>
      </w:rPr>
    </w:lvl>
    <w:lvl w:ilvl="3" w:tplc="FFFFFFFF">
      <w:start w:val="1"/>
      <w:numFmt w:val="bullet"/>
      <w:lvlText w:val=""/>
      <w:lvlJc w:val="left"/>
      <w:pPr>
        <w:ind w:left="1600" w:hanging="360"/>
      </w:pPr>
      <w:rPr>
        <w:rFonts w:ascii="Symbol" w:hAnsi="Symbol"/>
      </w:rPr>
    </w:lvl>
    <w:lvl w:ilvl="4" w:tplc="FFFFFFFF">
      <w:start w:val="1"/>
      <w:numFmt w:val="bullet"/>
      <w:lvlText w:val="o"/>
      <w:lvlJc w:val="left"/>
      <w:pPr>
        <w:ind w:left="2000" w:hanging="360"/>
      </w:pPr>
      <w:rPr>
        <w:rFonts w:ascii="Courier New" w:hAnsi="Courier New"/>
      </w:rPr>
    </w:lvl>
    <w:lvl w:ilvl="5" w:tplc="FFFFFFFF">
      <w:start w:val="1"/>
      <w:numFmt w:val="bullet"/>
      <w:lvlText w:val=""/>
      <w:lvlJc w:val="left"/>
      <w:pPr>
        <w:ind w:left="2400" w:hanging="360"/>
      </w:pPr>
      <w:rPr>
        <w:rFonts w:ascii="Wingdings" w:hAnsi="Wingdings"/>
      </w:rPr>
    </w:lvl>
    <w:lvl w:ilvl="6" w:tplc="FFFFFFFF">
      <w:start w:val="1"/>
      <w:numFmt w:val="bullet"/>
      <w:lvlText w:val=""/>
      <w:lvlJc w:val="left"/>
      <w:pPr>
        <w:ind w:left="2800" w:hanging="360"/>
      </w:pPr>
      <w:rPr>
        <w:rFonts w:ascii="Symbol" w:hAnsi="Symbol"/>
      </w:rPr>
    </w:lvl>
    <w:lvl w:ilvl="7" w:tplc="FFFFFFFF">
      <w:start w:val="1"/>
      <w:numFmt w:val="bullet"/>
      <w:lvlText w:val="o"/>
      <w:lvlJc w:val="left"/>
      <w:pPr>
        <w:ind w:left="3200" w:hanging="360"/>
      </w:pPr>
      <w:rPr>
        <w:rFonts w:ascii="Courier New" w:hAnsi="Courier New"/>
      </w:rPr>
    </w:lvl>
    <w:lvl w:ilvl="8" w:tplc="FFFFFFFF">
      <w:numFmt w:val="decimal"/>
      <w:lvlText w:val=""/>
      <w:lvlJc w:val="left"/>
    </w:lvl>
  </w:abstractNum>
  <w:abstractNum w:abstractNumId="1" w15:restartNumberingAfterBreak="0">
    <w:nsid w:val="02A93C6A"/>
    <w:multiLevelType w:val="hybridMultilevel"/>
    <w:tmpl w:val="B77C80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B622F6"/>
    <w:multiLevelType w:val="multilevel"/>
    <w:tmpl w:val="F1B8ADFC"/>
    <w:lvl w:ilvl="0">
      <w:start w:val="1"/>
      <w:numFmt w:val="bullet"/>
      <w:lvlText w:val="o"/>
      <w:lvlJc w:val="left"/>
      <w:pPr>
        <w:ind w:left="720" w:hanging="360"/>
      </w:pPr>
      <w:rPr>
        <w:rFonts w:ascii="Courier New" w:hAnsi="Courier New" w:cs="Courier New"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36B4989"/>
    <w:multiLevelType w:val="hybridMultilevel"/>
    <w:tmpl w:val="854297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9107B4"/>
    <w:multiLevelType w:val="hybridMultilevel"/>
    <w:tmpl w:val="63C8835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15:restartNumberingAfterBreak="0">
    <w:nsid w:val="08B53B52"/>
    <w:multiLevelType w:val="hybridMultilevel"/>
    <w:tmpl w:val="15A0DE1C"/>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6" w15:restartNumberingAfterBreak="0">
    <w:nsid w:val="185B0AED"/>
    <w:multiLevelType w:val="hybridMultilevel"/>
    <w:tmpl w:val="AD26F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3F6770"/>
    <w:multiLevelType w:val="hybridMultilevel"/>
    <w:tmpl w:val="014AD24A"/>
    <w:lvl w:ilvl="0" w:tplc="E71EED24">
      <w:numFmt w:val="bullet"/>
      <w:lvlText w:val="•"/>
      <w:lvlJc w:val="left"/>
      <w:pPr>
        <w:ind w:left="1080" w:hanging="720"/>
      </w:pPr>
      <w:rPr>
        <w:rFonts w:ascii="Arial" w:eastAsia="Montserrat Bold"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D1D45"/>
    <w:multiLevelType w:val="hybridMultilevel"/>
    <w:tmpl w:val="5BE282AC"/>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9" w15:restartNumberingAfterBreak="0">
    <w:nsid w:val="1F511714"/>
    <w:multiLevelType w:val="hybridMultilevel"/>
    <w:tmpl w:val="2D74294A"/>
    <w:lvl w:ilvl="0" w:tplc="E71EED24">
      <w:numFmt w:val="bullet"/>
      <w:lvlText w:val="•"/>
      <w:lvlJc w:val="left"/>
      <w:pPr>
        <w:ind w:left="1120" w:hanging="720"/>
      </w:pPr>
      <w:rPr>
        <w:rFonts w:ascii="Arial" w:eastAsia="Montserrat Bold"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0" w15:restartNumberingAfterBreak="0">
    <w:nsid w:val="2C2830DB"/>
    <w:multiLevelType w:val="multilevel"/>
    <w:tmpl w:val="E2BCCB60"/>
    <w:lvl w:ilvl="0">
      <w:start w:val="1"/>
      <w:numFmt w:val="bullet"/>
      <w:lvlText w:val="o"/>
      <w:lvlJc w:val="left"/>
      <w:pPr>
        <w:ind w:left="720" w:hanging="360"/>
      </w:pPr>
      <w:rPr>
        <w:rFonts w:ascii="Courier New" w:hAnsi="Courier New" w:cs="Courier New"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4996EC8"/>
    <w:multiLevelType w:val="hybridMultilevel"/>
    <w:tmpl w:val="A1C0AF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7357F30"/>
    <w:multiLevelType w:val="multilevel"/>
    <w:tmpl w:val="775EB8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47B70BB9"/>
    <w:multiLevelType w:val="hybridMultilevel"/>
    <w:tmpl w:val="D3108AE4"/>
    <w:lvl w:ilvl="0" w:tplc="D8B8B12E">
      <w:start w:val="1"/>
      <w:numFmt w:val="bullet"/>
      <w:lvlText w:val=""/>
      <w:lvlJc w:val="left"/>
      <w:pPr>
        <w:ind w:left="400" w:hanging="360"/>
      </w:pPr>
      <w:rPr>
        <w:rFonts w:ascii="Symbol" w:hAnsi="Symbol"/>
      </w:rPr>
    </w:lvl>
    <w:lvl w:ilvl="1" w:tplc="D5C6BEF4">
      <w:start w:val="1"/>
      <w:numFmt w:val="bullet"/>
      <w:lvlText w:val="o"/>
      <w:lvlJc w:val="left"/>
      <w:pPr>
        <w:ind w:left="800" w:hanging="360"/>
      </w:pPr>
      <w:rPr>
        <w:rFonts w:ascii="Courier New" w:hAnsi="Courier New"/>
      </w:rPr>
    </w:lvl>
    <w:lvl w:ilvl="2" w:tplc="4E78C782">
      <w:start w:val="1"/>
      <w:numFmt w:val="bullet"/>
      <w:lvlText w:val=""/>
      <w:lvlJc w:val="left"/>
      <w:pPr>
        <w:ind w:left="1200" w:hanging="360"/>
      </w:pPr>
      <w:rPr>
        <w:rFonts w:ascii="Wingdings" w:hAnsi="Wingdings"/>
      </w:rPr>
    </w:lvl>
    <w:lvl w:ilvl="3" w:tplc="4AF86B8C">
      <w:start w:val="1"/>
      <w:numFmt w:val="bullet"/>
      <w:lvlText w:val=""/>
      <w:lvlJc w:val="left"/>
      <w:pPr>
        <w:ind w:left="1600" w:hanging="360"/>
      </w:pPr>
      <w:rPr>
        <w:rFonts w:ascii="Symbol" w:hAnsi="Symbol"/>
      </w:rPr>
    </w:lvl>
    <w:lvl w:ilvl="4" w:tplc="3B36D564">
      <w:start w:val="1"/>
      <w:numFmt w:val="bullet"/>
      <w:lvlText w:val="o"/>
      <w:lvlJc w:val="left"/>
      <w:pPr>
        <w:ind w:left="2000" w:hanging="360"/>
      </w:pPr>
      <w:rPr>
        <w:rFonts w:ascii="Courier New" w:hAnsi="Courier New"/>
      </w:rPr>
    </w:lvl>
    <w:lvl w:ilvl="5" w:tplc="027EFBC6">
      <w:start w:val="1"/>
      <w:numFmt w:val="bullet"/>
      <w:lvlText w:val=""/>
      <w:lvlJc w:val="left"/>
      <w:pPr>
        <w:ind w:left="2400" w:hanging="360"/>
      </w:pPr>
      <w:rPr>
        <w:rFonts w:ascii="Wingdings" w:hAnsi="Wingdings"/>
      </w:rPr>
    </w:lvl>
    <w:lvl w:ilvl="6" w:tplc="6ADAAC82">
      <w:start w:val="1"/>
      <w:numFmt w:val="bullet"/>
      <w:lvlText w:val=""/>
      <w:lvlJc w:val="left"/>
      <w:pPr>
        <w:ind w:left="2800" w:hanging="360"/>
      </w:pPr>
      <w:rPr>
        <w:rFonts w:ascii="Symbol" w:hAnsi="Symbol"/>
      </w:rPr>
    </w:lvl>
    <w:lvl w:ilvl="7" w:tplc="8CA62588">
      <w:start w:val="1"/>
      <w:numFmt w:val="bullet"/>
      <w:lvlText w:val="o"/>
      <w:lvlJc w:val="left"/>
      <w:pPr>
        <w:ind w:left="3200" w:hanging="360"/>
      </w:pPr>
      <w:rPr>
        <w:rFonts w:ascii="Courier New" w:hAnsi="Courier New"/>
      </w:rPr>
    </w:lvl>
    <w:lvl w:ilvl="8" w:tplc="3FA87C82">
      <w:numFmt w:val="decimal"/>
      <w:lvlText w:val=""/>
      <w:lvlJc w:val="left"/>
    </w:lvl>
  </w:abstractNum>
  <w:abstractNum w:abstractNumId="14" w15:restartNumberingAfterBreak="0">
    <w:nsid w:val="4AB71ED4"/>
    <w:multiLevelType w:val="hybridMultilevel"/>
    <w:tmpl w:val="A88C7200"/>
    <w:lvl w:ilvl="0" w:tplc="DA6055D6">
      <w:start w:val="1"/>
      <w:numFmt w:val="bullet"/>
      <w:lvlText w:val=""/>
      <w:lvlJc w:val="left"/>
      <w:pPr>
        <w:ind w:left="400" w:hanging="360"/>
      </w:pPr>
      <w:rPr>
        <w:rFonts w:ascii="Symbol" w:hAnsi="Symbol"/>
      </w:rPr>
    </w:lvl>
    <w:lvl w:ilvl="1" w:tplc="6F0A5118">
      <w:start w:val="1"/>
      <w:numFmt w:val="bullet"/>
      <w:lvlText w:val="o"/>
      <w:lvlJc w:val="left"/>
      <w:pPr>
        <w:ind w:left="800" w:hanging="360"/>
      </w:pPr>
      <w:rPr>
        <w:rFonts w:ascii="Courier New" w:hAnsi="Courier New"/>
      </w:rPr>
    </w:lvl>
    <w:lvl w:ilvl="2" w:tplc="955A37EC">
      <w:start w:val="1"/>
      <w:numFmt w:val="bullet"/>
      <w:lvlText w:val=""/>
      <w:lvlJc w:val="left"/>
      <w:pPr>
        <w:ind w:left="1200" w:hanging="360"/>
      </w:pPr>
      <w:rPr>
        <w:rFonts w:ascii="Wingdings" w:hAnsi="Wingdings"/>
      </w:rPr>
    </w:lvl>
    <w:lvl w:ilvl="3" w:tplc="B1AC9DD4">
      <w:start w:val="1"/>
      <w:numFmt w:val="bullet"/>
      <w:lvlText w:val=""/>
      <w:lvlJc w:val="left"/>
      <w:pPr>
        <w:ind w:left="1600" w:hanging="360"/>
      </w:pPr>
      <w:rPr>
        <w:rFonts w:ascii="Symbol" w:hAnsi="Symbol"/>
      </w:rPr>
    </w:lvl>
    <w:lvl w:ilvl="4" w:tplc="645EC018">
      <w:start w:val="1"/>
      <w:numFmt w:val="bullet"/>
      <w:lvlText w:val="o"/>
      <w:lvlJc w:val="left"/>
      <w:pPr>
        <w:ind w:left="2000" w:hanging="360"/>
      </w:pPr>
      <w:rPr>
        <w:rFonts w:ascii="Courier New" w:hAnsi="Courier New"/>
      </w:rPr>
    </w:lvl>
    <w:lvl w:ilvl="5" w:tplc="E5D25BF6">
      <w:start w:val="1"/>
      <w:numFmt w:val="bullet"/>
      <w:lvlText w:val=""/>
      <w:lvlJc w:val="left"/>
      <w:pPr>
        <w:ind w:left="2400" w:hanging="360"/>
      </w:pPr>
      <w:rPr>
        <w:rFonts w:ascii="Wingdings" w:hAnsi="Wingdings"/>
      </w:rPr>
    </w:lvl>
    <w:lvl w:ilvl="6" w:tplc="3F5E6FE0">
      <w:start w:val="1"/>
      <w:numFmt w:val="bullet"/>
      <w:lvlText w:val=""/>
      <w:lvlJc w:val="left"/>
      <w:pPr>
        <w:ind w:left="2800" w:hanging="360"/>
      </w:pPr>
      <w:rPr>
        <w:rFonts w:ascii="Symbol" w:hAnsi="Symbol"/>
      </w:rPr>
    </w:lvl>
    <w:lvl w:ilvl="7" w:tplc="505C3CF8">
      <w:start w:val="1"/>
      <w:numFmt w:val="bullet"/>
      <w:lvlText w:val="o"/>
      <w:lvlJc w:val="left"/>
      <w:pPr>
        <w:ind w:left="3200" w:hanging="360"/>
      </w:pPr>
      <w:rPr>
        <w:rFonts w:ascii="Courier New" w:hAnsi="Courier New"/>
      </w:rPr>
    </w:lvl>
    <w:lvl w:ilvl="8" w:tplc="847AB67A">
      <w:numFmt w:val="decimal"/>
      <w:lvlText w:val=""/>
      <w:lvlJc w:val="left"/>
    </w:lvl>
  </w:abstractNum>
  <w:abstractNum w:abstractNumId="15" w15:restartNumberingAfterBreak="0">
    <w:nsid w:val="4CE3741D"/>
    <w:multiLevelType w:val="hybridMultilevel"/>
    <w:tmpl w:val="5C020ED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2194216"/>
    <w:multiLevelType w:val="hybridMultilevel"/>
    <w:tmpl w:val="71EA9DA8"/>
    <w:lvl w:ilvl="0" w:tplc="DA6055D6">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605A2063"/>
    <w:multiLevelType w:val="hybridMultilevel"/>
    <w:tmpl w:val="6EDE97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5233559"/>
    <w:multiLevelType w:val="multilevel"/>
    <w:tmpl w:val="B0C28B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7AF67F1"/>
    <w:multiLevelType w:val="hybridMultilevel"/>
    <w:tmpl w:val="A666349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69873DA8"/>
    <w:multiLevelType w:val="hybridMultilevel"/>
    <w:tmpl w:val="2332BC86"/>
    <w:lvl w:ilvl="0" w:tplc="EC400516">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896781"/>
    <w:multiLevelType w:val="hybridMultilevel"/>
    <w:tmpl w:val="2F3A1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658644E"/>
    <w:multiLevelType w:val="hybridMultilevel"/>
    <w:tmpl w:val="C9960DD4"/>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num w:numId="1" w16cid:durableId="1310208562">
    <w:abstractNumId w:val="14"/>
  </w:num>
  <w:num w:numId="2" w16cid:durableId="777791637">
    <w:abstractNumId w:val="13"/>
  </w:num>
  <w:num w:numId="3" w16cid:durableId="977880284">
    <w:abstractNumId w:val="22"/>
  </w:num>
  <w:num w:numId="4" w16cid:durableId="979963250">
    <w:abstractNumId w:val="0"/>
  </w:num>
  <w:num w:numId="5" w16cid:durableId="1867213727">
    <w:abstractNumId w:val="1"/>
  </w:num>
  <w:num w:numId="6" w16cid:durableId="1634215131">
    <w:abstractNumId w:val="8"/>
  </w:num>
  <w:num w:numId="7" w16cid:durableId="918828622">
    <w:abstractNumId w:val="6"/>
  </w:num>
  <w:num w:numId="8" w16cid:durableId="679428389">
    <w:abstractNumId w:val="7"/>
  </w:num>
  <w:num w:numId="9" w16cid:durableId="946085493">
    <w:abstractNumId w:val="9"/>
  </w:num>
  <w:num w:numId="10" w16cid:durableId="1242838515">
    <w:abstractNumId w:val="21"/>
  </w:num>
  <w:num w:numId="11" w16cid:durableId="2016374809">
    <w:abstractNumId w:val="5"/>
  </w:num>
  <w:num w:numId="12" w16cid:durableId="1085305786">
    <w:abstractNumId w:val="20"/>
  </w:num>
  <w:num w:numId="13" w16cid:durableId="302196107">
    <w:abstractNumId w:val="12"/>
  </w:num>
  <w:num w:numId="14" w16cid:durableId="1538589591">
    <w:abstractNumId w:val="18"/>
  </w:num>
  <w:num w:numId="15" w16cid:durableId="167673823">
    <w:abstractNumId w:val="10"/>
  </w:num>
  <w:num w:numId="16" w16cid:durableId="329143682">
    <w:abstractNumId w:val="2"/>
  </w:num>
  <w:num w:numId="17" w16cid:durableId="399643339">
    <w:abstractNumId w:val="11"/>
  </w:num>
  <w:num w:numId="18" w16cid:durableId="640231759">
    <w:abstractNumId w:val="3"/>
  </w:num>
  <w:num w:numId="19" w16cid:durableId="1926454837">
    <w:abstractNumId w:val="17"/>
  </w:num>
  <w:num w:numId="20" w16cid:durableId="367949532">
    <w:abstractNumId w:val="16"/>
  </w:num>
  <w:num w:numId="21" w16cid:durableId="921139384">
    <w:abstractNumId w:val="4"/>
  </w:num>
  <w:num w:numId="22" w16cid:durableId="1001545391">
    <w:abstractNumId w:val="15"/>
  </w:num>
  <w:num w:numId="23" w16cid:durableId="21317033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3"/>
  <w:embedTrueTypeFonts/>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E34"/>
    <w:rsid w:val="000164E4"/>
    <w:rsid w:val="000202E8"/>
    <w:rsid w:val="0003120F"/>
    <w:rsid w:val="00037C7F"/>
    <w:rsid w:val="00043483"/>
    <w:rsid w:val="00083106"/>
    <w:rsid w:val="00086F34"/>
    <w:rsid w:val="000B41F9"/>
    <w:rsid w:val="000C5299"/>
    <w:rsid w:val="000D77C2"/>
    <w:rsid w:val="000D7C24"/>
    <w:rsid w:val="000E5FF8"/>
    <w:rsid w:val="00100B29"/>
    <w:rsid w:val="00106C52"/>
    <w:rsid w:val="00123E68"/>
    <w:rsid w:val="00125779"/>
    <w:rsid w:val="00136142"/>
    <w:rsid w:val="001378F4"/>
    <w:rsid w:val="00141613"/>
    <w:rsid w:val="00145306"/>
    <w:rsid w:val="00145F06"/>
    <w:rsid w:val="0016157B"/>
    <w:rsid w:val="00161C17"/>
    <w:rsid w:val="00170A73"/>
    <w:rsid w:val="001749A8"/>
    <w:rsid w:val="00175BBB"/>
    <w:rsid w:val="00177DCA"/>
    <w:rsid w:val="001943E8"/>
    <w:rsid w:val="001B5F6E"/>
    <w:rsid w:val="001B72B1"/>
    <w:rsid w:val="001D2AE0"/>
    <w:rsid w:val="00205E34"/>
    <w:rsid w:val="00234B41"/>
    <w:rsid w:val="0027271B"/>
    <w:rsid w:val="002748B8"/>
    <w:rsid w:val="00282024"/>
    <w:rsid w:val="002929A0"/>
    <w:rsid w:val="00294369"/>
    <w:rsid w:val="002A7AAA"/>
    <w:rsid w:val="002B02D3"/>
    <w:rsid w:val="002C3039"/>
    <w:rsid w:val="002D713F"/>
    <w:rsid w:val="002E071F"/>
    <w:rsid w:val="002F7DB5"/>
    <w:rsid w:val="00304EEB"/>
    <w:rsid w:val="00310C65"/>
    <w:rsid w:val="003610AA"/>
    <w:rsid w:val="00361238"/>
    <w:rsid w:val="003811EA"/>
    <w:rsid w:val="003C77FE"/>
    <w:rsid w:val="003D09D8"/>
    <w:rsid w:val="003D10CB"/>
    <w:rsid w:val="003D2E5B"/>
    <w:rsid w:val="003E2933"/>
    <w:rsid w:val="003F1131"/>
    <w:rsid w:val="0042430F"/>
    <w:rsid w:val="004552C7"/>
    <w:rsid w:val="00463364"/>
    <w:rsid w:val="00466657"/>
    <w:rsid w:val="00466A97"/>
    <w:rsid w:val="0047782E"/>
    <w:rsid w:val="00490CBB"/>
    <w:rsid w:val="004A527D"/>
    <w:rsid w:val="004C2437"/>
    <w:rsid w:val="004D64B1"/>
    <w:rsid w:val="004E4B84"/>
    <w:rsid w:val="004F13AA"/>
    <w:rsid w:val="004F1DA2"/>
    <w:rsid w:val="00522184"/>
    <w:rsid w:val="005235DD"/>
    <w:rsid w:val="005306A5"/>
    <w:rsid w:val="005318A5"/>
    <w:rsid w:val="00542E06"/>
    <w:rsid w:val="00550FE7"/>
    <w:rsid w:val="00557BA4"/>
    <w:rsid w:val="005A2808"/>
    <w:rsid w:val="005C0183"/>
    <w:rsid w:val="005C66AD"/>
    <w:rsid w:val="00602588"/>
    <w:rsid w:val="006159AC"/>
    <w:rsid w:val="006212C4"/>
    <w:rsid w:val="00622B2D"/>
    <w:rsid w:val="006259A8"/>
    <w:rsid w:val="00631A30"/>
    <w:rsid w:val="00637401"/>
    <w:rsid w:val="006443F5"/>
    <w:rsid w:val="00656745"/>
    <w:rsid w:val="00671499"/>
    <w:rsid w:val="006960B3"/>
    <w:rsid w:val="006C2F7F"/>
    <w:rsid w:val="006C41E3"/>
    <w:rsid w:val="006C61C2"/>
    <w:rsid w:val="006D079B"/>
    <w:rsid w:val="006F3664"/>
    <w:rsid w:val="007037DA"/>
    <w:rsid w:val="0073613A"/>
    <w:rsid w:val="00747DF4"/>
    <w:rsid w:val="0077587D"/>
    <w:rsid w:val="007803DC"/>
    <w:rsid w:val="007B7E77"/>
    <w:rsid w:val="008070DE"/>
    <w:rsid w:val="0081093B"/>
    <w:rsid w:val="0081105C"/>
    <w:rsid w:val="00811F0F"/>
    <w:rsid w:val="0083248A"/>
    <w:rsid w:val="00841CBB"/>
    <w:rsid w:val="0088006A"/>
    <w:rsid w:val="00882FED"/>
    <w:rsid w:val="00893118"/>
    <w:rsid w:val="008A7F88"/>
    <w:rsid w:val="008B03C4"/>
    <w:rsid w:val="008B7E24"/>
    <w:rsid w:val="008D3470"/>
    <w:rsid w:val="008D3F4B"/>
    <w:rsid w:val="009017B0"/>
    <w:rsid w:val="00910AAC"/>
    <w:rsid w:val="00912DD9"/>
    <w:rsid w:val="00913DC1"/>
    <w:rsid w:val="00947935"/>
    <w:rsid w:val="00953A20"/>
    <w:rsid w:val="009644DF"/>
    <w:rsid w:val="00976DFE"/>
    <w:rsid w:val="009A5095"/>
    <w:rsid w:val="009C0982"/>
    <w:rsid w:val="009C7767"/>
    <w:rsid w:val="00A100AF"/>
    <w:rsid w:val="00A16668"/>
    <w:rsid w:val="00A16DB4"/>
    <w:rsid w:val="00A22384"/>
    <w:rsid w:val="00A44E6C"/>
    <w:rsid w:val="00A52470"/>
    <w:rsid w:val="00A671DF"/>
    <w:rsid w:val="00A70CF7"/>
    <w:rsid w:val="00A7767C"/>
    <w:rsid w:val="00A92FC8"/>
    <w:rsid w:val="00AB1858"/>
    <w:rsid w:val="00AC6B94"/>
    <w:rsid w:val="00AD29A3"/>
    <w:rsid w:val="00B037D7"/>
    <w:rsid w:val="00B14A3D"/>
    <w:rsid w:val="00B14C51"/>
    <w:rsid w:val="00B2103F"/>
    <w:rsid w:val="00B35348"/>
    <w:rsid w:val="00B42751"/>
    <w:rsid w:val="00B52CA3"/>
    <w:rsid w:val="00B6591D"/>
    <w:rsid w:val="00B66464"/>
    <w:rsid w:val="00BA3D5C"/>
    <w:rsid w:val="00BC3079"/>
    <w:rsid w:val="00C035C8"/>
    <w:rsid w:val="00C27696"/>
    <w:rsid w:val="00C54D83"/>
    <w:rsid w:val="00CA35D9"/>
    <w:rsid w:val="00CD1912"/>
    <w:rsid w:val="00CD1C7F"/>
    <w:rsid w:val="00CD55C6"/>
    <w:rsid w:val="00CE1D83"/>
    <w:rsid w:val="00CF0C0E"/>
    <w:rsid w:val="00D07EDB"/>
    <w:rsid w:val="00D13E1D"/>
    <w:rsid w:val="00D50BC1"/>
    <w:rsid w:val="00D74B90"/>
    <w:rsid w:val="00D76BE8"/>
    <w:rsid w:val="00D91046"/>
    <w:rsid w:val="00D97E05"/>
    <w:rsid w:val="00DA34C8"/>
    <w:rsid w:val="00DA741B"/>
    <w:rsid w:val="00DC121A"/>
    <w:rsid w:val="00DC360F"/>
    <w:rsid w:val="00DC7B5C"/>
    <w:rsid w:val="00E1049C"/>
    <w:rsid w:val="00E3180A"/>
    <w:rsid w:val="00E57D29"/>
    <w:rsid w:val="00E65C4F"/>
    <w:rsid w:val="00E76429"/>
    <w:rsid w:val="00E874A7"/>
    <w:rsid w:val="00E93C52"/>
    <w:rsid w:val="00EA48F6"/>
    <w:rsid w:val="00EA5D63"/>
    <w:rsid w:val="00ED2DD1"/>
    <w:rsid w:val="00EF51ED"/>
    <w:rsid w:val="00F11B9A"/>
    <w:rsid w:val="00F235A3"/>
    <w:rsid w:val="00F56AF1"/>
    <w:rsid w:val="00F776C5"/>
    <w:rsid w:val="00F94661"/>
    <w:rsid w:val="00FB6498"/>
    <w:rsid w:val="00FB76E3"/>
    <w:rsid w:val="00FC4C09"/>
    <w:rsid w:val="00FD0715"/>
    <w:rsid w:val="00FD4E10"/>
    <w:rsid w:val="00FE2E14"/>
    <w:rsid w:val="00FE3B24"/>
    <w:rsid w:val="00FF1836"/>
    <w:rsid w:val="00FF629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1B9E4"/>
  <w15:docId w15:val="{5B734D35-2BBF-AD46-BD77-E780C928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38"/>
    <w:pPr>
      <w:spacing w:before="120" w:after="120" w:line="276" w:lineRule="auto"/>
    </w:pPr>
    <w:rPr>
      <w:rFonts w:ascii="Arial" w:hAnsi="Arial"/>
    </w:rPr>
  </w:style>
  <w:style w:type="paragraph" w:styleId="Heading1">
    <w:name w:val="heading 1"/>
    <w:basedOn w:val="Normal"/>
    <w:next w:val="Normal"/>
    <w:link w:val="Heading1Char"/>
    <w:autoRedefine/>
    <w:uiPriority w:val="9"/>
    <w:qFormat/>
    <w:rsid w:val="00FB6498"/>
    <w:pPr>
      <w:spacing w:before="240"/>
      <w:outlineLvl w:val="0"/>
    </w:pPr>
    <w:rPr>
      <w:rFonts w:ascii="Poppins" w:eastAsia="Inter Bold" w:hAnsi="Poppins" w:cs="Arial"/>
      <w:b/>
      <w:bCs/>
      <w:color w:val="064265"/>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C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C4F"/>
  </w:style>
  <w:style w:type="paragraph" w:styleId="Footer">
    <w:name w:val="footer"/>
    <w:basedOn w:val="Normal"/>
    <w:link w:val="FooterChar"/>
    <w:uiPriority w:val="99"/>
    <w:unhideWhenUsed/>
    <w:rsid w:val="00E65C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C4F"/>
  </w:style>
  <w:style w:type="table" w:styleId="TableGrid">
    <w:name w:val="Table Grid"/>
    <w:basedOn w:val="TableNormal"/>
    <w:uiPriority w:val="39"/>
    <w:rsid w:val="00E65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Bullet point,Bullet- First level,Bulletr List Paragraph,Content descriptions,Figure_name,FooterText,L,List NUmber,List Paragraph1,List Paragraph11,List Paragraph2,Listenabsatz1,Numbered Indented Text,Recommendation,lp1,リスト段落"/>
    <w:basedOn w:val="Normal"/>
    <w:link w:val="ListParagraphChar"/>
    <w:autoRedefine/>
    <w:uiPriority w:val="34"/>
    <w:qFormat/>
    <w:rsid w:val="00811F0F"/>
    <w:pPr>
      <w:numPr>
        <w:numId w:val="12"/>
      </w:numPr>
      <w:ind w:left="714" w:hanging="357"/>
    </w:pPr>
  </w:style>
  <w:style w:type="character" w:customStyle="1" w:styleId="Heading1Char">
    <w:name w:val="Heading 1 Char"/>
    <w:basedOn w:val="DefaultParagraphFont"/>
    <w:link w:val="Heading1"/>
    <w:uiPriority w:val="9"/>
    <w:rsid w:val="00FB6498"/>
    <w:rPr>
      <w:rFonts w:ascii="Poppins" w:eastAsia="Inter Bold" w:hAnsi="Poppins" w:cs="Arial"/>
      <w:b/>
      <w:bCs/>
      <w:color w:val="064265"/>
      <w:sz w:val="36"/>
      <w:szCs w:val="36"/>
    </w:rPr>
  </w:style>
  <w:style w:type="character" w:styleId="Hyperlink">
    <w:name w:val="Hyperlink"/>
    <w:basedOn w:val="DefaultParagraphFont"/>
    <w:uiPriority w:val="99"/>
    <w:unhideWhenUsed/>
    <w:rsid w:val="0027271B"/>
    <w:rPr>
      <w:color w:val="467886" w:themeColor="hyperlink"/>
      <w:u w:val="single"/>
    </w:rPr>
  </w:style>
  <w:style w:type="character" w:styleId="UnresolvedMention">
    <w:name w:val="Unresolved Mention"/>
    <w:basedOn w:val="DefaultParagraphFont"/>
    <w:uiPriority w:val="99"/>
    <w:semiHidden/>
    <w:unhideWhenUsed/>
    <w:rsid w:val="0027271B"/>
    <w:rPr>
      <w:color w:val="605E5C"/>
      <w:shd w:val="clear" w:color="auto" w:fill="E1DFDD"/>
    </w:rPr>
  </w:style>
  <w:style w:type="character" w:customStyle="1" w:styleId="ListParagraphChar">
    <w:name w:val="List Paragraph Char"/>
    <w:aliases w:val="Bullet Point Char,Bullet point Char,Bullet- First level Char,Bulletr List Paragraph Char,Content descriptions Char,Figure_name Char,FooterText Char,L Char,List NUmber Char,List Paragraph1 Char,List Paragraph11 Char,Listenabsatz1 Char"/>
    <w:basedOn w:val="DefaultParagraphFont"/>
    <w:link w:val="ListParagraph"/>
    <w:uiPriority w:val="34"/>
    <w:qFormat/>
    <w:locked/>
    <w:rsid w:val="00811F0F"/>
    <w:rPr>
      <w:rFonts w:ascii="Arial" w:hAnsi="Arial"/>
    </w:rPr>
  </w:style>
  <w:style w:type="paragraph" w:styleId="CommentText">
    <w:name w:val="annotation text"/>
    <w:basedOn w:val="Normal"/>
    <w:link w:val="CommentTextChar"/>
    <w:uiPriority w:val="99"/>
    <w:unhideWhenUsed/>
    <w:rsid w:val="00106C52"/>
    <w:pPr>
      <w:spacing w:before="0" w:after="200" w:line="240" w:lineRule="auto"/>
    </w:pPr>
    <w:rPr>
      <w:rFonts w:ascii="Aptos" w:eastAsia="Aptos" w:hAnsi="Aptos" w:cs="Aptos"/>
      <w:kern w:val="0"/>
      <w:sz w:val="20"/>
      <w:szCs w:val="20"/>
      <w:lang w:eastAsia="en-AU"/>
      <w14:ligatures w14:val="none"/>
    </w:rPr>
  </w:style>
  <w:style w:type="character" w:customStyle="1" w:styleId="CommentTextChar">
    <w:name w:val="Comment Text Char"/>
    <w:basedOn w:val="DefaultParagraphFont"/>
    <w:link w:val="CommentText"/>
    <w:uiPriority w:val="99"/>
    <w:rsid w:val="00106C52"/>
    <w:rPr>
      <w:rFonts w:ascii="Aptos" w:eastAsia="Aptos" w:hAnsi="Aptos" w:cs="Aptos"/>
      <w:kern w:val="0"/>
      <w:sz w:val="20"/>
      <w:szCs w:val="20"/>
      <w:lang w:eastAsia="en-AU"/>
      <w14:ligatures w14:val="none"/>
    </w:rPr>
  </w:style>
  <w:style w:type="character" w:styleId="CommentReference">
    <w:name w:val="annotation reference"/>
    <w:basedOn w:val="DefaultParagraphFont"/>
    <w:uiPriority w:val="99"/>
    <w:semiHidden/>
    <w:unhideWhenUsed/>
    <w:rsid w:val="00106C52"/>
    <w:rPr>
      <w:sz w:val="16"/>
      <w:szCs w:val="16"/>
    </w:rPr>
  </w:style>
  <w:style w:type="character" w:styleId="Mention">
    <w:name w:val="Mention"/>
    <w:basedOn w:val="DefaultParagraphFont"/>
    <w:uiPriority w:val="99"/>
    <w:unhideWhenUsed/>
    <w:rsid w:val="00106C52"/>
    <w:rPr>
      <w:color w:val="2B579A"/>
      <w:shd w:val="clear" w:color="auto" w:fill="E1DFDD"/>
    </w:rPr>
  </w:style>
  <w:style w:type="character" w:customStyle="1" w:styleId="normaltextrun">
    <w:name w:val="normaltextrun"/>
    <w:basedOn w:val="DefaultParagraphFont"/>
    <w:rsid w:val="00880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ss.gov.au/early-years-strategy/resource/early-years-strategy-2024-2034" TargetMode="External"/><Relationship Id="rId18" Type="http://schemas.openxmlformats.org/officeDocument/2006/relationships/hyperlink" Target="https://healthy-trajectories.com.au/eci-framewor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healthy-trajectories.com.au/eci-framework/" TargetMode="External"/><Relationship Id="rId7" Type="http://schemas.openxmlformats.org/officeDocument/2006/relationships/webSettings" Target="webSettings.xml"/><Relationship Id="rId12" Type="http://schemas.openxmlformats.org/officeDocument/2006/relationships/hyperlink" Target="https://www.acecqa.gov.au/sites/default/files/2023-01/EYLF-2022-V2.0.pdf" TargetMode="External"/><Relationship Id="rId17" Type="http://schemas.openxmlformats.org/officeDocument/2006/relationships/hyperlink" Target="https://healthy-trajectories.com.au/eci-framework/unpacking-the-framewor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healthy-trajectories.com.au/eci-framework/resources-for-families-and-others/" TargetMode="External"/><Relationship Id="rId20" Type="http://schemas.openxmlformats.org/officeDocument/2006/relationships/hyperlink" Target="https://creativecommons.org/licenses/by-nc-nd/4.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ss.gov.au/system/files/resources/dess5016-national-framework-protecting-childrenaccessible.pdf"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healthy-trajectories.com.au/eci-framework/resources-for-practitioner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healthy-trajectories.com.au/eci-framework/development-of-the-frame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ealthy-trajectories.com.au/eci-framework" TargetMode="External"/><Relationship Id="rId22" Type="http://schemas.openxmlformats.org/officeDocument/2006/relationships/header" Target="header1.xml"/><Relationship Id="rId27"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f32057-c7d7-4cf2-a083-f930dcef3185" xsi:nil="true"/>
    <lcf76f155ced4ddcb4097134ff3c332f xmlns="a90255c7-ae5e-497b-8550-2cff6ec3b28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A7F88EC92F804B9584462CE746000B" ma:contentTypeVersion="11" ma:contentTypeDescription="Create a new document." ma:contentTypeScope="" ma:versionID="fba082647931db05e03109b9f8884480">
  <xsd:schema xmlns:xsd="http://www.w3.org/2001/XMLSchema" xmlns:xs="http://www.w3.org/2001/XMLSchema" xmlns:p="http://schemas.microsoft.com/office/2006/metadata/properties" xmlns:ns2="a90255c7-ae5e-497b-8550-2cff6ec3b288" xmlns:ns3="55f32057-c7d7-4cf2-a083-f930dcef3185" targetNamespace="http://schemas.microsoft.com/office/2006/metadata/properties" ma:root="true" ma:fieldsID="9c763dd874b97f1e3ce8dd8e1407c41d" ns2:_="" ns3:_="">
    <xsd:import namespace="a90255c7-ae5e-497b-8550-2cff6ec3b288"/>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55c7-ae5e-497b-8550-2cff6ec3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FF16EB-5E45-449F-BD39-E882672FD988}">
  <ds:schemaRefs>
    <ds:schemaRef ds:uri="http://schemas.microsoft.com/office/2006/metadata/properties"/>
    <ds:schemaRef ds:uri="http://schemas.microsoft.com/office/infopath/2007/PartnerControls"/>
    <ds:schemaRef ds:uri="55f32057-c7d7-4cf2-a083-f930dcef3185"/>
    <ds:schemaRef ds:uri="a90255c7-ae5e-497b-8550-2cff6ec3b288"/>
  </ds:schemaRefs>
</ds:datastoreItem>
</file>

<file path=customXml/itemProps2.xml><?xml version="1.0" encoding="utf-8"?>
<ds:datastoreItem xmlns:ds="http://schemas.openxmlformats.org/officeDocument/2006/customXml" ds:itemID="{A98DB775-24D2-4722-A637-E354E8A5E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55c7-ae5e-497b-8550-2cff6ec3b288"/>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768099-B425-46FD-BE2E-41610DE9BF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The National Best Practice Framework for Early Childhood Intervention – Practice guidance – Diversity affirming key principle</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Best Practice Framework for Early Childhood Intervention – Practice guidance – Diversity affirming key principle</dc:title>
  <dc:subject>Disability and carers</dc:subject>
  <dc:creator>Australian Government Department of Health Disability and Ageing</dc:creator>
  <cp:keywords>ECI framework</cp:keywords>
  <cp:lastModifiedBy>MCCAY, Meryl</cp:lastModifiedBy>
  <cp:revision>24</cp:revision>
  <dcterms:created xsi:type="dcterms:W3CDTF">2025-05-02T09:19:00Z</dcterms:created>
  <dcterms:modified xsi:type="dcterms:W3CDTF">2025-09-26T06:44:00Z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0x0101005FA7F88EC92F804B9584462CE746000B</vt:lpwstr>
  </property>
  <property fmtid="{D5CDD505-2E9C-101B-9397-08002B2CF9AE}" pid="3" name="MediaServiceImageTags">
    <vt:lpwstr/>
  </property>
</Properties>
</file>