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7AB49" w14:textId="27B19F9D" w:rsidR="0015012A" w:rsidRDefault="00002AC0" w:rsidP="00DA3237">
      <w:bookmarkStart w:id="0" w:name="_top"/>
      <w:bookmarkEnd w:id="0"/>
      <w:r>
        <w:rPr>
          <w:rFonts w:cs="Arial"/>
          <w:b/>
          <w:bCs/>
          <w:noProof/>
          <w:sz w:val="36"/>
          <w:szCs w:val="36"/>
        </w:rPr>
        <w:drawing>
          <wp:anchor distT="0" distB="0" distL="114300" distR="114300" simplePos="0" relativeHeight="251658244" behindDoc="1" locked="1" layoutInCell="1" allowOverlap="1" wp14:anchorId="1D5FD946" wp14:editId="6DC011B5">
            <wp:simplePos x="0" y="0"/>
            <wp:positionH relativeFrom="column">
              <wp:posOffset>-904240</wp:posOffset>
            </wp:positionH>
            <wp:positionV relativeFrom="page">
              <wp:posOffset>0</wp:posOffset>
            </wp:positionV>
            <wp:extent cx="10662920" cy="2188210"/>
            <wp:effectExtent l="0" t="0" r="5080" b="0"/>
            <wp:wrapNone/>
            <wp:docPr id="743614027" name="Picture 2"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14027" name="Picture 2" descr="National Best Practice Framework for Early Childhood Intervention&#10;OUtcome measure for children"/>
                    <pic:cNvPicPr/>
                  </pic:nvPicPr>
                  <pic:blipFill rotWithShape="1">
                    <a:blip r:embed="rId11" cstate="print">
                      <a:extLst>
                        <a:ext uri="{28A0092B-C50C-407E-A947-70E740481C1C}">
                          <a14:useLocalDpi xmlns:a14="http://schemas.microsoft.com/office/drawing/2010/main" val="0"/>
                        </a:ext>
                      </a:extLst>
                    </a:blip>
                    <a:srcRect t="40" b="70910"/>
                    <a:stretch/>
                  </pic:blipFill>
                  <pic:spPr bwMode="auto">
                    <a:xfrm>
                      <a:off x="0" y="0"/>
                      <a:ext cx="10662920" cy="218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2E324" w14:textId="2F0749E3" w:rsidR="0015012A" w:rsidRDefault="0015012A">
      <w:pPr>
        <w:jc w:val="center"/>
      </w:pPr>
    </w:p>
    <w:p w14:paraId="6300AAD3" w14:textId="45AA52AB" w:rsidR="0015012A" w:rsidRDefault="006B70EA">
      <w:pPr>
        <w:spacing w:line="300" w:lineRule="auto"/>
      </w:pPr>
      <w:r>
        <w:rPr>
          <w:noProof/>
        </w:rPr>
        <mc:AlternateContent>
          <mc:Choice Requires="wps">
            <w:drawing>
              <wp:anchor distT="0" distB="0" distL="114300" distR="114300" simplePos="0" relativeHeight="251658245" behindDoc="0" locked="0" layoutInCell="1" allowOverlap="1" wp14:anchorId="64136CFD" wp14:editId="00679A80">
                <wp:simplePos x="0" y="0"/>
                <wp:positionH relativeFrom="column">
                  <wp:posOffset>528320</wp:posOffset>
                </wp:positionH>
                <wp:positionV relativeFrom="paragraph">
                  <wp:posOffset>40640</wp:posOffset>
                </wp:positionV>
                <wp:extent cx="7000875" cy="656492"/>
                <wp:effectExtent l="0" t="0" r="0" b="0"/>
                <wp:wrapNone/>
                <wp:docPr id="512839781" name="Text Box 1"/>
                <wp:cNvGraphicFramePr/>
                <a:graphic xmlns:a="http://schemas.openxmlformats.org/drawingml/2006/main">
                  <a:graphicData uri="http://schemas.microsoft.com/office/word/2010/wordprocessingShape">
                    <wps:wsp>
                      <wps:cNvSpPr txBox="1"/>
                      <wps:spPr>
                        <a:xfrm>
                          <a:off x="0" y="0"/>
                          <a:ext cx="7000875" cy="656492"/>
                        </a:xfrm>
                        <a:prstGeom prst="rect">
                          <a:avLst/>
                        </a:prstGeom>
                        <a:noFill/>
                        <a:ln w="6350">
                          <a:noFill/>
                        </a:ln>
                      </wps:spPr>
                      <wps:txbx>
                        <w:txbxContent>
                          <w:p w14:paraId="55F8C27D" w14:textId="452FDB0F" w:rsidR="00087D28" w:rsidRPr="00CF7386" w:rsidRDefault="00087D28" w:rsidP="009968EF">
                            <w:pPr>
                              <w:spacing w:line="240" w:lineRule="auto"/>
                              <w:rPr>
                                <w:rFonts w:cs="Arial"/>
                                <w:color w:val="0E2841" w:themeColor="text2"/>
                                <w:sz w:val="20"/>
                                <w:szCs w:val="20"/>
                              </w:rPr>
                            </w:pPr>
                            <w:r w:rsidRPr="00087D28">
                              <w:rPr>
                                <w:rFonts w:cs="Arial"/>
                                <w:color w:val="0E2841" w:themeColor="text2"/>
                                <w:sz w:val="22"/>
                                <w:szCs w:val="22"/>
                              </w:rPr>
                              <w:t>Th</w:t>
                            </w:r>
                            <w:r>
                              <w:rPr>
                                <w:rFonts w:cs="Arial"/>
                                <w:color w:val="0E2841" w:themeColor="text2"/>
                                <w:sz w:val="22"/>
                                <w:szCs w:val="22"/>
                              </w:rPr>
                              <w:t xml:space="preserve">is </w:t>
                            </w:r>
                            <w:r w:rsidRPr="00087D28">
                              <w:rPr>
                                <w:rFonts w:cs="Arial"/>
                                <w:color w:val="0E2841" w:themeColor="text2"/>
                                <w:sz w:val="22"/>
                                <w:szCs w:val="22"/>
                              </w:rPr>
                              <w:t>is a suite of outcome measures for</w:t>
                            </w:r>
                            <w:r>
                              <w:rPr>
                                <w:rFonts w:cs="Arial"/>
                                <w:color w:val="0E2841" w:themeColor="text2"/>
                                <w:sz w:val="22"/>
                                <w:szCs w:val="22"/>
                              </w:rPr>
                              <w:t xml:space="preserve"> </w:t>
                            </w:r>
                            <w:r w:rsidR="000E5100">
                              <w:rPr>
                                <w:rFonts w:cs="Arial"/>
                                <w:color w:val="0E2841" w:themeColor="text2"/>
                                <w:sz w:val="22"/>
                                <w:szCs w:val="22"/>
                              </w:rPr>
                              <w:t>C</w:t>
                            </w:r>
                            <w:r>
                              <w:rPr>
                                <w:rFonts w:cs="Arial"/>
                                <w:color w:val="0E2841" w:themeColor="text2"/>
                                <w:sz w:val="22"/>
                                <w:szCs w:val="22"/>
                              </w:rPr>
                              <w:t>hildren</w:t>
                            </w:r>
                            <w:r w:rsidRPr="00087D28">
                              <w:rPr>
                                <w:rFonts w:cs="Arial"/>
                                <w:color w:val="0E2841" w:themeColor="text2"/>
                                <w:sz w:val="22"/>
                                <w:szCs w:val="22"/>
                              </w:rPr>
                              <w:t xml:space="preserve">. What is measured needs to be based on the priorities and goals of the </w:t>
                            </w:r>
                            <w:r>
                              <w:rPr>
                                <w:rFonts w:cs="Arial"/>
                                <w:color w:val="0E2841" w:themeColor="text2"/>
                                <w:sz w:val="22"/>
                                <w:szCs w:val="22"/>
                              </w:rPr>
                              <w:t>child, p</w:t>
                            </w:r>
                            <w:r w:rsidRPr="00087D28">
                              <w:rPr>
                                <w:rFonts w:cs="Arial"/>
                                <w:color w:val="0E2841" w:themeColor="text2"/>
                                <w:sz w:val="22"/>
                                <w:szCs w:val="22"/>
                              </w:rPr>
                              <w:t xml:space="preserve">arents, </w:t>
                            </w:r>
                            <w:r>
                              <w:rPr>
                                <w:rFonts w:cs="Arial"/>
                                <w:color w:val="0E2841" w:themeColor="text2"/>
                                <w:sz w:val="22"/>
                                <w:szCs w:val="22"/>
                              </w:rPr>
                              <w:t>c</w:t>
                            </w:r>
                            <w:r w:rsidRPr="00087D28">
                              <w:rPr>
                                <w:rFonts w:cs="Arial"/>
                                <w:color w:val="0E2841" w:themeColor="text2"/>
                                <w:sz w:val="22"/>
                                <w:szCs w:val="22"/>
                              </w:rPr>
                              <w:t>arers and</w:t>
                            </w:r>
                            <w:r w:rsidR="0036201E">
                              <w:rPr>
                                <w:rFonts w:cs="Arial"/>
                                <w:color w:val="0E2841" w:themeColor="text2"/>
                                <w:sz w:val="22"/>
                                <w:szCs w:val="22"/>
                              </w:rPr>
                              <w:t xml:space="preserve"> </w:t>
                            </w:r>
                            <w:r>
                              <w:rPr>
                                <w:rFonts w:cs="Arial"/>
                                <w:color w:val="0E2841" w:themeColor="text2"/>
                                <w:sz w:val="22"/>
                                <w:szCs w:val="22"/>
                              </w:rPr>
                              <w:t>f</w:t>
                            </w:r>
                            <w:r w:rsidRPr="00087D28">
                              <w:rPr>
                                <w:rFonts w:cs="Arial"/>
                                <w:color w:val="0E2841" w:themeColor="text2"/>
                                <w:sz w:val="22"/>
                                <w:szCs w:val="22"/>
                              </w:rPr>
                              <w:t xml:space="preserve">amilies. The </w:t>
                            </w:r>
                            <w:r w:rsidRPr="00087D28">
                              <w:rPr>
                                <w:rFonts w:cs="Arial"/>
                                <w:b/>
                                <w:bCs/>
                                <w:color w:val="0E2841" w:themeColor="text2"/>
                                <w:sz w:val="22"/>
                                <w:szCs w:val="22"/>
                              </w:rPr>
                              <w:t>Decision-Making Guide</w:t>
                            </w:r>
                            <w:r w:rsidRPr="00087D28">
                              <w:rPr>
                                <w:rFonts w:cs="Arial"/>
                                <w:color w:val="0E2841" w:themeColor="text2"/>
                                <w:sz w:val="22"/>
                                <w:szCs w:val="22"/>
                              </w:rPr>
                              <w:t xml:space="preserve"> can support your choice, and the </w:t>
                            </w:r>
                            <w:r w:rsidRPr="00087D28">
                              <w:rPr>
                                <w:rFonts w:cs="Arial"/>
                                <w:b/>
                                <w:bCs/>
                                <w:color w:val="0E2841" w:themeColor="text2"/>
                                <w:sz w:val="22"/>
                                <w:szCs w:val="22"/>
                              </w:rPr>
                              <w:t>Measurement Overview</w:t>
                            </w:r>
                            <w:r w:rsidRPr="00087D28">
                              <w:rPr>
                                <w:rFonts w:cs="Arial"/>
                                <w:color w:val="0E2841" w:themeColor="text2"/>
                                <w:sz w:val="22"/>
                                <w:szCs w:val="22"/>
                              </w:rPr>
                              <w:t xml:space="preserve"> provides information about choosing and using outcome measures</w:t>
                            </w:r>
                            <w:r w:rsidRPr="00087D28">
                              <w:rPr>
                                <w:rFonts w:cs="Arial"/>
                                <w:color w:val="0E2841" w:themeColor="text2"/>
                                <w:sz w:val="20"/>
                                <w:szCs w:val="20"/>
                              </w:rPr>
                              <w:t>.</w:t>
                            </w:r>
                          </w:p>
                          <w:p w14:paraId="7F8B03B3" w14:textId="3D406D5A" w:rsidR="00C00D4B" w:rsidRPr="00B73670" w:rsidRDefault="00C00D4B" w:rsidP="00C00D4B">
                            <w:pPr>
                              <w:rPr>
                                <w:rFonts w:cs="Arial"/>
                                <w:color w:val="0E2841" w:themeColor="text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36CFD" id="_x0000_t202" coordsize="21600,21600" o:spt="202" path="m,l,21600r21600,l21600,xe">
                <v:stroke joinstyle="miter"/>
                <v:path gradientshapeok="t" o:connecttype="rect"/>
              </v:shapetype>
              <v:shape id="Text Box 1" o:spid="_x0000_s1026" type="#_x0000_t202" style="position:absolute;margin-left:41.6pt;margin-top:3.2pt;width:551.25pt;height:51.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" filled="f" stroked="f" strokeweight=".5pt">
                <v:textbox>
                  <w:txbxContent>
                    <w:p w14:paraId="55F8C27D" w14:textId="452FDB0F" w:rsidR="00087D28" w:rsidRPr="00CF7386" w:rsidRDefault="00087D28" w:rsidP="009968EF">
                      <w:pPr>
                        <w:spacing w:line="240" w:lineRule="auto"/>
                        <w:rPr>
                          <w:rFonts w:cs="Arial"/>
                          <w:color w:val="0E2841" w:themeColor="text2"/>
                          <w:sz w:val="20"/>
                          <w:szCs w:val="20"/>
                        </w:rPr>
                      </w:pPr>
                      <w:r w:rsidRPr="00087D28">
                        <w:rPr>
                          <w:rFonts w:cs="Arial"/>
                          <w:color w:val="0E2841" w:themeColor="text2"/>
                          <w:sz w:val="22"/>
                          <w:szCs w:val="22"/>
                        </w:rPr>
                        <w:t>Th</w:t>
                      </w:r>
                      <w:r>
                        <w:rPr>
                          <w:rFonts w:cs="Arial"/>
                          <w:color w:val="0E2841" w:themeColor="text2"/>
                          <w:sz w:val="22"/>
                          <w:szCs w:val="22"/>
                        </w:rPr>
                        <w:t xml:space="preserve">is </w:t>
                      </w:r>
                      <w:r w:rsidRPr="00087D28">
                        <w:rPr>
                          <w:rFonts w:cs="Arial"/>
                          <w:color w:val="0E2841" w:themeColor="text2"/>
                          <w:sz w:val="22"/>
                          <w:szCs w:val="22"/>
                        </w:rPr>
                        <w:t>is a suite of outcome measures for</w:t>
                      </w:r>
                      <w:r>
                        <w:rPr>
                          <w:rFonts w:cs="Arial"/>
                          <w:color w:val="0E2841" w:themeColor="text2"/>
                          <w:sz w:val="22"/>
                          <w:szCs w:val="22"/>
                        </w:rPr>
                        <w:t xml:space="preserve"> </w:t>
                      </w:r>
                      <w:r w:rsidR="000E5100">
                        <w:rPr>
                          <w:rFonts w:cs="Arial"/>
                          <w:color w:val="0E2841" w:themeColor="text2"/>
                          <w:sz w:val="22"/>
                          <w:szCs w:val="22"/>
                        </w:rPr>
                        <w:t>C</w:t>
                      </w:r>
                      <w:r>
                        <w:rPr>
                          <w:rFonts w:cs="Arial"/>
                          <w:color w:val="0E2841" w:themeColor="text2"/>
                          <w:sz w:val="22"/>
                          <w:szCs w:val="22"/>
                        </w:rPr>
                        <w:t>hildren</w:t>
                      </w:r>
                      <w:r w:rsidRPr="00087D28">
                        <w:rPr>
                          <w:rFonts w:cs="Arial"/>
                          <w:color w:val="0E2841" w:themeColor="text2"/>
                          <w:sz w:val="22"/>
                          <w:szCs w:val="22"/>
                        </w:rPr>
                        <w:t xml:space="preserve">. What is measured needs to be based on the priorities and goals of the </w:t>
                      </w:r>
                      <w:r>
                        <w:rPr>
                          <w:rFonts w:cs="Arial"/>
                          <w:color w:val="0E2841" w:themeColor="text2"/>
                          <w:sz w:val="22"/>
                          <w:szCs w:val="22"/>
                        </w:rPr>
                        <w:t>child, p</w:t>
                      </w:r>
                      <w:r w:rsidRPr="00087D28">
                        <w:rPr>
                          <w:rFonts w:cs="Arial"/>
                          <w:color w:val="0E2841" w:themeColor="text2"/>
                          <w:sz w:val="22"/>
                          <w:szCs w:val="22"/>
                        </w:rPr>
                        <w:t xml:space="preserve">arents, </w:t>
                      </w:r>
                      <w:r>
                        <w:rPr>
                          <w:rFonts w:cs="Arial"/>
                          <w:color w:val="0E2841" w:themeColor="text2"/>
                          <w:sz w:val="22"/>
                          <w:szCs w:val="22"/>
                        </w:rPr>
                        <w:t>c</w:t>
                      </w:r>
                      <w:r w:rsidRPr="00087D28">
                        <w:rPr>
                          <w:rFonts w:cs="Arial"/>
                          <w:color w:val="0E2841" w:themeColor="text2"/>
                          <w:sz w:val="22"/>
                          <w:szCs w:val="22"/>
                        </w:rPr>
                        <w:t>arers and</w:t>
                      </w:r>
                      <w:r w:rsidR="0036201E">
                        <w:rPr>
                          <w:rFonts w:cs="Arial"/>
                          <w:color w:val="0E2841" w:themeColor="text2"/>
                          <w:sz w:val="22"/>
                          <w:szCs w:val="22"/>
                        </w:rPr>
                        <w:t xml:space="preserve"> </w:t>
                      </w:r>
                      <w:r>
                        <w:rPr>
                          <w:rFonts w:cs="Arial"/>
                          <w:color w:val="0E2841" w:themeColor="text2"/>
                          <w:sz w:val="22"/>
                          <w:szCs w:val="22"/>
                        </w:rPr>
                        <w:t>f</w:t>
                      </w:r>
                      <w:r w:rsidRPr="00087D28">
                        <w:rPr>
                          <w:rFonts w:cs="Arial"/>
                          <w:color w:val="0E2841" w:themeColor="text2"/>
                          <w:sz w:val="22"/>
                          <w:szCs w:val="22"/>
                        </w:rPr>
                        <w:t xml:space="preserve">amilies. The </w:t>
                      </w:r>
                      <w:r w:rsidRPr="00087D28">
                        <w:rPr>
                          <w:rFonts w:cs="Arial"/>
                          <w:b/>
                          <w:bCs/>
                          <w:color w:val="0E2841" w:themeColor="text2"/>
                          <w:sz w:val="22"/>
                          <w:szCs w:val="22"/>
                        </w:rPr>
                        <w:t>Decision-Making Guide</w:t>
                      </w:r>
                      <w:r w:rsidRPr="00087D28">
                        <w:rPr>
                          <w:rFonts w:cs="Arial"/>
                          <w:color w:val="0E2841" w:themeColor="text2"/>
                          <w:sz w:val="22"/>
                          <w:szCs w:val="22"/>
                        </w:rPr>
                        <w:t xml:space="preserve"> can support your choice, and the </w:t>
                      </w:r>
                      <w:r w:rsidRPr="00087D28">
                        <w:rPr>
                          <w:rFonts w:cs="Arial"/>
                          <w:b/>
                          <w:bCs/>
                          <w:color w:val="0E2841" w:themeColor="text2"/>
                          <w:sz w:val="22"/>
                          <w:szCs w:val="22"/>
                        </w:rPr>
                        <w:t>Measurement Overview</w:t>
                      </w:r>
                      <w:r w:rsidRPr="00087D28">
                        <w:rPr>
                          <w:rFonts w:cs="Arial"/>
                          <w:color w:val="0E2841" w:themeColor="text2"/>
                          <w:sz w:val="22"/>
                          <w:szCs w:val="22"/>
                        </w:rPr>
                        <w:t xml:space="preserve"> provides information about choosing and using outcome measures</w:t>
                      </w:r>
                      <w:r w:rsidRPr="00087D28">
                        <w:rPr>
                          <w:rFonts w:cs="Arial"/>
                          <w:color w:val="0E2841" w:themeColor="text2"/>
                          <w:sz w:val="20"/>
                          <w:szCs w:val="20"/>
                        </w:rPr>
                        <w:t>.</w:t>
                      </w:r>
                    </w:p>
                    <w:p w14:paraId="7F8B03B3" w14:textId="3D406D5A" w:rsidR="00C00D4B" w:rsidRPr="00B73670" w:rsidRDefault="00C00D4B" w:rsidP="00C00D4B">
                      <w:pPr>
                        <w:rPr>
                          <w:rFonts w:cs="Arial"/>
                          <w:color w:val="0E2841" w:themeColor="text2"/>
                          <w:sz w:val="22"/>
                          <w:szCs w:val="22"/>
                        </w:rPr>
                      </w:pPr>
                    </w:p>
                  </w:txbxContent>
                </v:textbox>
              </v:shape>
            </w:pict>
          </mc:Fallback>
        </mc:AlternateContent>
      </w:r>
      <w:r w:rsidR="00C92679">
        <w:rPr>
          <w:rFonts w:ascii="Arial Bold" w:eastAsia="Arial Bold" w:hAnsi="Arial Bold" w:cs="Arial Bold"/>
          <w:b/>
          <w:bCs/>
          <w:color w:val="000F46"/>
          <w:sz w:val="40"/>
          <w:szCs w:val="40"/>
        </w:rPr>
        <w:t xml:space="preserve"> </w:t>
      </w:r>
    </w:p>
    <w:p w14:paraId="2BA65D2F" w14:textId="1699A06B" w:rsidR="0015012A" w:rsidRDefault="00C92679">
      <w:pPr>
        <w:spacing w:line="300" w:lineRule="auto"/>
      </w:pPr>
      <w:r>
        <w:rPr>
          <w:rFonts w:ascii="Canva Sans" w:eastAsia="Canva Sans" w:hAnsi="Canva Sans" w:cs="Canva Sans"/>
          <w:color w:val="000000"/>
        </w:rPr>
        <w:t xml:space="preserve"> </w:t>
      </w:r>
    </w:p>
    <w:p w14:paraId="2CF8ECF7" w14:textId="77777777" w:rsidR="00087D28" w:rsidRDefault="00087D28" w:rsidP="008703F8">
      <w:pPr>
        <w:rPr>
          <w:rFonts w:cs="Arial"/>
          <w:b/>
          <w:bCs/>
          <w:color w:val="0E2841" w:themeColor="text2"/>
          <w:sz w:val="22"/>
          <w:szCs w:val="22"/>
        </w:rPr>
      </w:pPr>
    </w:p>
    <w:p w14:paraId="4F7A7F39" w14:textId="27A34D29" w:rsidR="00274C0B" w:rsidRPr="00CE35F4" w:rsidRDefault="00274C0B" w:rsidP="00274C0B">
      <w:pPr>
        <w:pStyle w:val="Heading1"/>
        <w:spacing w:before="120"/>
      </w:pPr>
      <w:r w:rsidRPr="00CE35F4">
        <w:t>Aim</w:t>
      </w:r>
      <w:r>
        <w:t>s</w:t>
      </w:r>
      <w:r w:rsidR="007E3C1F">
        <w:t xml:space="preserve"> of </w:t>
      </w:r>
      <w:r w:rsidR="008C7C62">
        <w:t>Early Childhood Intervention (</w:t>
      </w:r>
      <w:r w:rsidR="007E3C1F">
        <w:t>ECI</w:t>
      </w:r>
      <w:r w:rsidR="008C7C62">
        <w:t>)</w:t>
      </w:r>
      <w:r w:rsidR="003B1A2B">
        <w:t xml:space="preserve"> for children</w:t>
      </w:r>
    </w:p>
    <w:p w14:paraId="296F9F3A" w14:textId="77777777" w:rsidR="00274C0B" w:rsidRDefault="00274C0B" w:rsidP="00274C0B">
      <w:r>
        <w:t>To build on child strengths and interests to enhance learning, development and meaningful participation in everyday activities</w:t>
      </w:r>
    </w:p>
    <w:p w14:paraId="3A3C2EAA" w14:textId="36770500" w:rsidR="00274C0B" w:rsidRPr="00CE35F4" w:rsidRDefault="00274C0B" w:rsidP="00274C0B">
      <w:pPr>
        <w:pStyle w:val="Heading1"/>
        <w:spacing w:before="120"/>
      </w:pPr>
      <w:r w:rsidRPr="00CE35F4">
        <w:t>Outcome</w:t>
      </w:r>
      <w:r w:rsidR="007E3C1F">
        <w:t xml:space="preserve"> statements</w:t>
      </w:r>
    </w:p>
    <w:p w14:paraId="31D70B3F" w14:textId="77777777" w:rsidR="00274C0B" w:rsidRPr="000001C4" w:rsidRDefault="00274C0B" w:rsidP="00274C0B">
      <w:r w:rsidRPr="000001C4">
        <w:t>Children:</w:t>
      </w:r>
    </w:p>
    <w:p w14:paraId="21D74169" w14:textId="77777777" w:rsidR="00274C0B" w:rsidRPr="008703DC" w:rsidRDefault="00274C0B" w:rsidP="007A6EE1">
      <w:pPr>
        <w:pStyle w:val="ListParagraph"/>
        <w:numPr>
          <w:ilvl w:val="0"/>
          <w:numId w:val="16"/>
        </w:numPr>
        <w:spacing w:after="120"/>
        <w:ind w:left="714" w:hanging="357"/>
        <w:contextualSpacing w:val="0"/>
      </w:pPr>
      <w:r w:rsidRPr="008703DC">
        <w:t>have secure, stable and safe relationships with parents, carers, siblings, family members and significant others</w:t>
      </w:r>
    </w:p>
    <w:p w14:paraId="59F52499" w14:textId="77777777" w:rsidR="00274C0B" w:rsidRPr="004E36FE" w:rsidRDefault="00274C0B" w:rsidP="007A6EE1">
      <w:pPr>
        <w:pStyle w:val="ListParagraph"/>
        <w:numPr>
          <w:ilvl w:val="0"/>
          <w:numId w:val="16"/>
        </w:numPr>
        <w:spacing w:after="120"/>
        <w:ind w:left="714" w:hanging="357"/>
        <w:contextualSpacing w:val="0"/>
      </w:pPr>
      <w:r w:rsidRPr="004E36FE">
        <w:t>interact with family members, other children and people in the community to build relational skills and connections</w:t>
      </w:r>
    </w:p>
    <w:p w14:paraId="2C89D80D" w14:textId="77777777" w:rsidR="00274C0B" w:rsidRPr="008703DC" w:rsidRDefault="00274C0B" w:rsidP="007A6EE1">
      <w:pPr>
        <w:pStyle w:val="ListParagraph"/>
        <w:numPr>
          <w:ilvl w:val="0"/>
          <w:numId w:val="16"/>
        </w:numPr>
        <w:spacing w:after="120"/>
        <w:ind w:left="714" w:hanging="357"/>
        <w:contextualSpacing w:val="0"/>
      </w:pPr>
      <w:r w:rsidRPr="008703DC">
        <w:t>develop their sense of agency and have a voice in matters that affect them</w:t>
      </w:r>
    </w:p>
    <w:p w14:paraId="3F3235BA" w14:textId="77777777" w:rsidR="00274C0B" w:rsidRPr="008703DC" w:rsidRDefault="00274C0B" w:rsidP="007A6EE1">
      <w:pPr>
        <w:pStyle w:val="ListParagraph"/>
        <w:numPr>
          <w:ilvl w:val="0"/>
          <w:numId w:val="16"/>
        </w:numPr>
        <w:spacing w:after="120"/>
        <w:ind w:left="714" w:hanging="357"/>
        <w:contextualSpacing w:val="0"/>
      </w:pPr>
      <w:r w:rsidRPr="008703DC">
        <w:t xml:space="preserve">have a positive sense of belonging to their family and community </w:t>
      </w:r>
    </w:p>
    <w:p w14:paraId="0443F398" w14:textId="77777777" w:rsidR="00274C0B" w:rsidRPr="008703DC" w:rsidRDefault="00274C0B" w:rsidP="007A6EE1">
      <w:pPr>
        <w:pStyle w:val="ListParagraph"/>
        <w:numPr>
          <w:ilvl w:val="0"/>
          <w:numId w:val="16"/>
        </w:numPr>
        <w:spacing w:after="120"/>
        <w:ind w:left="714" w:hanging="357"/>
        <w:contextualSpacing w:val="0"/>
      </w:pPr>
      <w:r w:rsidRPr="008703DC">
        <w:t>build strong identities and connections to their culture and community</w:t>
      </w:r>
    </w:p>
    <w:p w14:paraId="3DE4CB96" w14:textId="0C4BFAA4" w:rsidR="00274C0B" w:rsidRPr="008703DC" w:rsidRDefault="00274C0B" w:rsidP="007A6EE1">
      <w:pPr>
        <w:pStyle w:val="ListParagraph"/>
        <w:numPr>
          <w:ilvl w:val="0"/>
          <w:numId w:val="16"/>
        </w:numPr>
        <w:spacing w:after="120"/>
        <w:ind w:left="714" w:hanging="357"/>
        <w:contextualSpacing w:val="0"/>
      </w:pPr>
      <w:r w:rsidRPr="008703DC">
        <w:t xml:space="preserve">participate and feel they belong in everyday home, community, </w:t>
      </w:r>
      <w:r w:rsidR="00F36B48">
        <w:t>early childhood education and care (</w:t>
      </w:r>
      <w:r w:rsidRPr="008703DC">
        <w:t>ECEC</w:t>
      </w:r>
      <w:r w:rsidR="00F36B48">
        <w:t>)</w:t>
      </w:r>
      <w:r w:rsidRPr="008703DC">
        <w:t xml:space="preserve"> and school environments</w:t>
      </w:r>
    </w:p>
    <w:p w14:paraId="0D630A45" w14:textId="77777777" w:rsidR="00274C0B" w:rsidRPr="008703DC" w:rsidRDefault="00274C0B" w:rsidP="007A6EE1">
      <w:pPr>
        <w:pStyle w:val="ListParagraph"/>
        <w:numPr>
          <w:ilvl w:val="0"/>
          <w:numId w:val="16"/>
        </w:numPr>
        <w:spacing w:after="120"/>
        <w:ind w:left="714" w:hanging="357"/>
        <w:contextualSpacing w:val="0"/>
      </w:pPr>
      <w:r w:rsidRPr="008703DC">
        <w:t>acquire, develop and generalise new knowledge and skills</w:t>
      </w:r>
    </w:p>
    <w:p w14:paraId="2B8DA533" w14:textId="77777777" w:rsidR="00274C0B" w:rsidRPr="008703DC" w:rsidRDefault="00274C0B" w:rsidP="007A6EE1">
      <w:pPr>
        <w:pStyle w:val="ListParagraph"/>
        <w:numPr>
          <w:ilvl w:val="0"/>
          <w:numId w:val="16"/>
        </w:numPr>
        <w:spacing w:after="120"/>
        <w:ind w:left="714" w:hanging="357"/>
        <w:contextualSpacing w:val="0"/>
      </w:pPr>
      <w:r w:rsidRPr="008703DC">
        <w:t xml:space="preserve">follow their interests and enjoy play opportunities </w:t>
      </w:r>
    </w:p>
    <w:p w14:paraId="74076ED7" w14:textId="77777777" w:rsidR="00274C0B" w:rsidRPr="004E36FE" w:rsidRDefault="00274C0B" w:rsidP="007A6EE1">
      <w:pPr>
        <w:pStyle w:val="ListParagraph"/>
        <w:numPr>
          <w:ilvl w:val="0"/>
          <w:numId w:val="16"/>
        </w:numPr>
        <w:spacing w:after="120"/>
        <w:ind w:left="714" w:hanging="357"/>
        <w:contextualSpacing w:val="0"/>
      </w:pPr>
      <w:r w:rsidRPr="004E36FE">
        <w:t>develop positive health habits over time</w:t>
      </w:r>
    </w:p>
    <w:p w14:paraId="40AF1D95" w14:textId="634D42CA" w:rsidR="00415F25" w:rsidRDefault="00274C0B" w:rsidP="007A6EE1">
      <w:pPr>
        <w:pStyle w:val="ListParagraph"/>
        <w:numPr>
          <w:ilvl w:val="0"/>
          <w:numId w:val="16"/>
        </w:numPr>
        <w:spacing w:after="120"/>
        <w:ind w:left="714" w:hanging="357"/>
        <w:contextualSpacing w:val="0"/>
      </w:pPr>
      <w:r w:rsidRPr="004E36FE">
        <w:t>build capacity to regulate their behaviour</w:t>
      </w:r>
    </w:p>
    <w:tbl>
      <w:tblPr>
        <w:tblW w:w="5685" w:type="pct"/>
        <w:tblInd w:w="-851" w:type="dxa"/>
        <w:tblLayout w:type="fixed"/>
        <w:tblLook w:val="04A0" w:firstRow="1" w:lastRow="0" w:firstColumn="1" w:lastColumn="0" w:noHBand="0" w:noVBand="1"/>
      </w:tblPr>
      <w:tblGrid>
        <w:gridCol w:w="3118"/>
        <w:gridCol w:w="1140"/>
        <w:gridCol w:w="1413"/>
        <w:gridCol w:w="991"/>
        <w:gridCol w:w="994"/>
        <w:gridCol w:w="1131"/>
        <w:gridCol w:w="1280"/>
        <w:gridCol w:w="1270"/>
        <w:gridCol w:w="1280"/>
        <w:gridCol w:w="1137"/>
        <w:gridCol w:w="962"/>
        <w:gridCol w:w="1162"/>
      </w:tblGrid>
      <w:tr w:rsidR="001A18E3" w:rsidRPr="00670774" w14:paraId="4288F066" w14:textId="77777777" w:rsidTr="001A18E3">
        <w:trPr>
          <w:trHeight w:val="681"/>
          <w:tblHeader/>
        </w:trPr>
        <w:tc>
          <w:tcPr>
            <w:tcW w:w="982" w:type="pct"/>
            <w:noWrap/>
            <w:vAlign w:val="bottom"/>
            <w:hideMark/>
          </w:tcPr>
          <w:p w14:paraId="5CE871DC" w14:textId="40EC34B7" w:rsidR="007604EF" w:rsidRPr="00670774" w:rsidRDefault="007604EF" w:rsidP="001A3F28">
            <w:pPr>
              <w:spacing w:after="0" w:line="240" w:lineRule="auto"/>
              <w:rPr>
                <w:rFonts w:eastAsia="Times New Roman" w:cs="Arial"/>
                <w:kern w:val="0"/>
                <w:sz w:val="22"/>
                <w:szCs w:val="22"/>
                <w:lang w:eastAsia="en-AU"/>
                <w14:ligatures w14:val="none"/>
              </w:rPr>
            </w:pPr>
            <w:r w:rsidRPr="00670774">
              <w:rPr>
                <w:rFonts w:eastAsia="Libre Franklin Medium" w:cs="Arial"/>
                <w:b/>
                <w:bCs/>
                <w:color w:val="0025E8"/>
                <w:sz w:val="22"/>
                <w:szCs w:val="22"/>
              </w:rPr>
              <w:lastRenderedPageBreak/>
              <w:t xml:space="preserve"> </w:t>
            </w:r>
          </w:p>
        </w:tc>
        <w:tc>
          <w:tcPr>
            <w:tcW w:w="359" w:type="pct"/>
            <w:noWrap/>
            <w:vAlign w:val="bottom"/>
            <w:hideMark/>
          </w:tcPr>
          <w:p w14:paraId="5C64DFF6" w14:textId="77777777" w:rsidR="007604EF" w:rsidRPr="00670774" w:rsidRDefault="007604EF" w:rsidP="001A3F28">
            <w:pPr>
              <w:spacing w:after="0" w:line="240" w:lineRule="auto"/>
              <w:rPr>
                <w:rFonts w:eastAsia="Times New Roman" w:cs="Arial"/>
                <w:kern w:val="0"/>
                <w:sz w:val="22"/>
                <w:szCs w:val="22"/>
                <w:lang w:eastAsia="en-AU"/>
                <w14:ligatures w14:val="none"/>
              </w:rPr>
            </w:pPr>
          </w:p>
        </w:tc>
        <w:tc>
          <w:tcPr>
            <w:tcW w:w="3659" w:type="pct"/>
            <w:gridSpan w:val="10"/>
            <w:noWrap/>
            <w:vAlign w:val="center"/>
            <w:hideMark/>
          </w:tcPr>
          <w:p w14:paraId="45822276" w14:textId="3265FA99" w:rsidR="007604EF" w:rsidRPr="00670774" w:rsidRDefault="00274C0B" w:rsidP="0027413A">
            <w:pPr>
              <w:spacing w:after="0" w:line="240" w:lineRule="auto"/>
              <w:jc w:val="center"/>
              <w:rPr>
                <w:rFonts w:eastAsia="Times New Roman" w:cs="Arial"/>
                <w:b/>
                <w:bCs/>
                <w:color w:val="000000"/>
                <w:kern w:val="0"/>
                <w:sz w:val="22"/>
                <w:szCs w:val="22"/>
                <w:lang w:eastAsia="en-AU"/>
                <w14:ligatures w14:val="none"/>
              </w:rPr>
            </w:pPr>
            <w:r w:rsidRPr="00670774">
              <w:rPr>
                <w:rFonts w:eastAsia="Times New Roman" w:cs="Arial"/>
                <w:b/>
                <w:bCs/>
                <w:color w:val="000000"/>
                <w:kern w:val="0"/>
                <w:sz w:val="22"/>
                <w:szCs w:val="22"/>
                <w:lang w:eastAsia="en-AU"/>
                <w14:ligatures w14:val="none"/>
              </w:rPr>
              <w:t xml:space="preserve">Abbreviated </w:t>
            </w:r>
            <w:r w:rsidR="2232AFAC" w:rsidRPr="00670774">
              <w:rPr>
                <w:rFonts w:eastAsia="Times New Roman" w:cs="Arial"/>
                <w:b/>
                <w:bCs/>
                <w:color w:val="000000"/>
                <w:kern w:val="0"/>
                <w:sz w:val="22"/>
                <w:szCs w:val="22"/>
                <w:lang w:eastAsia="en-AU"/>
                <w14:ligatures w14:val="none"/>
              </w:rPr>
              <w:t>Child Outcome Statements</w:t>
            </w:r>
          </w:p>
        </w:tc>
      </w:tr>
      <w:tr w:rsidR="001A18E3" w:rsidRPr="00670774" w14:paraId="100B72AD" w14:textId="77777777" w:rsidTr="00754405">
        <w:trPr>
          <w:cantSplit/>
          <w:trHeight w:val="1596"/>
          <w:tblHeader/>
        </w:trPr>
        <w:tc>
          <w:tcPr>
            <w:tcW w:w="1341" w:type="pct"/>
            <w:gridSpan w:val="2"/>
            <w:tcBorders>
              <w:bottom w:val="single" w:sz="4" w:space="0" w:color="auto"/>
              <w:right w:val="single" w:sz="4" w:space="0" w:color="auto"/>
            </w:tcBorders>
            <w:vAlign w:val="bottom"/>
            <w:hideMark/>
          </w:tcPr>
          <w:p w14:paraId="3A263998" w14:textId="48DF844D" w:rsidR="0027413A" w:rsidRPr="00670774" w:rsidRDefault="0027413A" w:rsidP="008A1AE0">
            <w:pPr>
              <w:rPr>
                <w:rFonts w:cs="Arial"/>
                <w:b/>
                <w:bCs/>
                <w:sz w:val="22"/>
                <w:szCs w:val="22"/>
              </w:rPr>
            </w:pPr>
            <w:r w:rsidRPr="00670774">
              <w:rPr>
                <w:rFonts w:cs="Arial"/>
                <w:b/>
                <w:bCs/>
                <w:sz w:val="22"/>
                <w:szCs w:val="22"/>
              </w:rPr>
              <w:t>Outcome Measures</w:t>
            </w:r>
          </w:p>
        </w:tc>
        <w:tc>
          <w:tcPr>
            <w:tcW w:w="445" w:type="pct"/>
            <w:tcBorders>
              <w:left w:val="single" w:sz="4" w:space="0" w:color="auto"/>
              <w:bottom w:val="single" w:sz="4" w:space="0" w:color="auto"/>
              <w:right w:val="single" w:sz="4" w:space="0" w:color="auto"/>
            </w:tcBorders>
            <w:vAlign w:val="center"/>
          </w:tcPr>
          <w:p w14:paraId="09783DBC" w14:textId="49AF1020" w:rsidR="0027413A" w:rsidRPr="00334EA4" w:rsidRDefault="0027413A" w:rsidP="00670774">
            <w:pPr>
              <w:pStyle w:val="TableHeaderFont"/>
              <w:ind w:left="0" w:right="0"/>
              <w:rPr>
                <w:sz w:val="20"/>
                <w:szCs w:val="20"/>
              </w:rPr>
            </w:pPr>
            <w:r w:rsidRPr="00334EA4">
              <w:rPr>
                <w:sz w:val="20"/>
                <w:szCs w:val="20"/>
              </w:rPr>
              <w:t>Secure</w:t>
            </w:r>
            <w:r w:rsidR="00010D7F" w:rsidRPr="00334EA4">
              <w:rPr>
                <w:sz w:val="20"/>
                <w:szCs w:val="20"/>
              </w:rPr>
              <w:t>, stable an</w:t>
            </w:r>
            <w:r w:rsidR="0046044E" w:rsidRPr="00334EA4">
              <w:rPr>
                <w:sz w:val="20"/>
                <w:szCs w:val="20"/>
              </w:rPr>
              <w:t>d</w:t>
            </w:r>
            <w:r w:rsidR="00010D7F" w:rsidRPr="00334EA4">
              <w:rPr>
                <w:sz w:val="20"/>
                <w:szCs w:val="20"/>
              </w:rPr>
              <w:t xml:space="preserve"> safe </w:t>
            </w:r>
            <w:r w:rsidRPr="00334EA4">
              <w:rPr>
                <w:sz w:val="20"/>
                <w:szCs w:val="20"/>
              </w:rPr>
              <w:t>relationships</w:t>
            </w:r>
          </w:p>
        </w:tc>
        <w:tc>
          <w:tcPr>
            <w:tcW w:w="312" w:type="pct"/>
            <w:tcBorders>
              <w:left w:val="single" w:sz="4" w:space="0" w:color="auto"/>
              <w:bottom w:val="single" w:sz="4" w:space="0" w:color="auto"/>
              <w:right w:val="single" w:sz="4" w:space="0" w:color="auto"/>
            </w:tcBorders>
            <w:vAlign w:val="center"/>
            <w:hideMark/>
          </w:tcPr>
          <w:p w14:paraId="64E518E1" w14:textId="499BE983" w:rsidR="0027413A" w:rsidRPr="00334EA4" w:rsidRDefault="0046044E" w:rsidP="00670774">
            <w:pPr>
              <w:pStyle w:val="TableHeaderFont"/>
              <w:ind w:left="0" w:right="0"/>
              <w:rPr>
                <w:sz w:val="20"/>
                <w:szCs w:val="20"/>
              </w:rPr>
            </w:pPr>
            <w:r w:rsidRPr="00334EA4">
              <w:rPr>
                <w:sz w:val="20"/>
                <w:szCs w:val="20"/>
              </w:rPr>
              <w:t>Interact with family and others</w:t>
            </w:r>
          </w:p>
        </w:tc>
        <w:tc>
          <w:tcPr>
            <w:tcW w:w="313" w:type="pct"/>
            <w:tcBorders>
              <w:left w:val="single" w:sz="4" w:space="0" w:color="auto"/>
              <w:bottom w:val="single" w:sz="4" w:space="0" w:color="auto"/>
              <w:right w:val="single" w:sz="4" w:space="0" w:color="auto"/>
            </w:tcBorders>
            <w:vAlign w:val="center"/>
            <w:hideMark/>
          </w:tcPr>
          <w:p w14:paraId="43F869CC" w14:textId="42D3FEB5" w:rsidR="0027413A" w:rsidRPr="00334EA4" w:rsidRDefault="0027413A" w:rsidP="00670774">
            <w:pPr>
              <w:pStyle w:val="TableHeaderFont"/>
              <w:ind w:left="0" w:right="0"/>
              <w:rPr>
                <w:sz w:val="20"/>
                <w:szCs w:val="20"/>
              </w:rPr>
            </w:pPr>
            <w:r w:rsidRPr="00334EA4">
              <w:rPr>
                <w:sz w:val="20"/>
                <w:szCs w:val="20"/>
              </w:rPr>
              <w:t>Develop</w:t>
            </w:r>
            <w:r w:rsidR="00BD248D" w:rsidRPr="00334EA4">
              <w:rPr>
                <w:sz w:val="20"/>
                <w:szCs w:val="20"/>
              </w:rPr>
              <w:t xml:space="preserve"> </w:t>
            </w:r>
            <w:r w:rsidRPr="00334EA4">
              <w:rPr>
                <w:sz w:val="20"/>
                <w:szCs w:val="20"/>
              </w:rPr>
              <w:t>agency and voice</w:t>
            </w:r>
          </w:p>
        </w:tc>
        <w:tc>
          <w:tcPr>
            <w:tcW w:w="356" w:type="pct"/>
            <w:tcBorders>
              <w:left w:val="single" w:sz="4" w:space="0" w:color="auto"/>
              <w:bottom w:val="single" w:sz="4" w:space="0" w:color="auto"/>
              <w:right w:val="single" w:sz="4" w:space="0" w:color="auto"/>
            </w:tcBorders>
            <w:vAlign w:val="center"/>
            <w:hideMark/>
          </w:tcPr>
          <w:p w14:paraId="2BFF8CD4" w14:textId="1832B04C" w:rsidR="0027413A" w:rsidRPr="00334EA4" w:rsidRDefault="00BD248D" w:rsidP="00670774">
            <w:pPr>
              <w:pStyle w:val="TableHeaderFont"/>
              <w:ind w:left="0" w:right="0"/>
              <w:rPr>
                <w:sz w:val="20"/>
                <w:szCs w:val="20"/>
              </w:rPr>
            </w:pPr>
            <w:r w:rsidRPr="00334EA4">
              <w:rPr>
                <w:sz w:val="20"/>
                <w:szCs w:val="20"/>
              </w:rPr>
              <w:t>P</w:t>
            </w:r>
            <w:r w:rsidR="0027413A" w:rsidRPr="00334EA4">
              <w:rPr>
                <w:sz w:val="20"/>
                <w:szCs w:val="20"/>
              </w:rPr>
              <w:t>ositive sense of belonging</w:t>
            </w:r>
          </w:p>
        </w:tc>
        <w:tc>
          <w:tcPr>
            <w:tcW w:w="403" w:type="pct"/>
            <w:tcBorders>
              <w:left w:val="single" w:sz="4" w:space="0" w:color="auto"/>
              <w:bottom w:val="single" w:sz="4" w:space="0" w:color="auto"/>
              <w:right w:val="single" w:sz="4" w:space="0" w:color="auto"/>
            </w:tcBorders>
            <w:vAlign w:val="center"/>
            <w:hideMark/>
          </w:tcPr>
          <w:p w14:paraId="05CA7311" w14:textId="739487B4" w:rsidR="0027413A" w:rsidRPr="00334EA4" w:rsidRDefault="0027413A" w:rsidP="00670774">
            <w:pPr>
              <w:pStyle w:val="TableHeaderFont"/>
              <w:ind w:left="0" w:right="0"/>
              <w:rPr>
                <w:sz w:val="20"/>
                <w:szCs w:val="20"/>
              </w:rPr>
            </w:pPr>
            <w:r w:rsidRPr="00334EA4">
              <w:rPr>
                <w:sz w:val="20"/>
                <w:szCs w:val="20"/>
              </w:rPr>
              <w:t>Build identity and connection to culture</w:t>
            </w:r>
          </w:p>
        </w:tc>
        <w:tc>
          <w:tcPr>
            <w:tcW w:w="400" w:type="pct"/>
            <w:tcBorders>
              <w:left w:val="single" w:sz="4" w:space="0" w:color="auto"/>
              <w:bottom w:val="single" w:sz="4" w:space="0" w:color="auto"/>
              <w:right w:val="single" w:sz="4" w:space="0" w:color="auto"/>
            </w:tcBorders>
            <w:vAlign w:val="center"/>
            <w:hideMark/>
          </w:tcPr>
          <w:p w14:paraId="42AD02AE" w14:textId="60172934" w:rsidR="0027413A" w:rsidRPr="00334EA4" w:rsidRDefault="0027413A" w:rsidP="00670774">
            <w:pPr>
              <w:pStyle w:val="TableHeaderFont"/>
              <w:ind w:left="0" w:right="0"/>
              <w:rPr>
                <w:sz w:val="20"/>
                <w:szCs w:val="20"/>
              </w:rPr>
            </w:pPr>
            <w:r w:rsidRPr="00334EA4">
              <w:rPr>
                <w:sz w:val="20"/>
                <w:szCs w:val="20"/>
              </w:rPr>
              <w:t>Participat</w:t>
            </w:r>
            <w:r w:rsidR="005257F8" w:rsidRPr="00334EA4">
              <w:rPr>
                <w:sz w:val="20"/>
                <w:szCs w:val="20"/>
              </w:rPr>
              <w:t>e</w:t>
            </w:r>
            <w:r w:rsidRPr="00334EA4">
              <w:rPr>
                <w:sz w:val="20"/>
                <w:szCs w:val="20"/>
              </w:rPr>
              <w:t xml:space="preserve"> at home and community</w:t>
            </w:r>
          </w:p>
        </w:tc>
        <w:tc>
          <w:tcPr>
            <w:tcW w:w="403" w:type="pct"/>
            <w:tcBorders>
              <w:left w:val="single" w:sz="4" w:space="0" w:color="auto"/>
              <w:bottom w:val="single" w:sz="4" w:space="0" w:color="auto"/>
              <w:right w:val="single" w:sz="4" w:space="0" w:color="auto"/>
            </w:tcBorders>
            <w:vAlign w:val="center"/>
            <w:hideMark/>
          </w:tcPr>
          <w:p w14:paraId="024CAD33" w14:textId="4469625B" w:rsidR="0027413A" w:rsidRPr="00334EA4" w:rsidRDefault="00EB7480" w:rsidP="00670774">
            <w:pPr>
              <w:pStyle w:val="TableHeaderFont"/>
              <w:ind w:left="0" w:right="0"/>
              <w:rPr>
                <w:sz w:val="20"/>
                <w:szCs w:val="20"/>
              </w:rPr>
            </w:pPr>
            <w:r w:rsidRPr="00334EA4">
              <w:rPr>
                <w:sz w:val="20"/>
                <w:szCs w:val="20"/>
              </w:rPr>
              <w:t>Acquir</w:t>
            </w:r>
            <w:r w:rsidR="005257F8" w:rsidRPr="00334EA4">
              <w:rPr>
                <w:sz w:val="20"/>
                <w:szCs w:val="20"/>
              </w:rPr>
              <w:t>e</w:t>
            </w:r>
            <w:r w:rsidR="0027413A" w:rsidRPr="00334EA4">
              <w:rPr>
                <w:sz w:val="20"/>
                <w:szCs w:val="20"/>
              </w:rPr>
              <w:t xml:space="preserve"> new knowledge and skills</w:t>
            </w:r>
          </w:p>
        </w:tc>
        <w:tc>
          <w:tcPr>
            <w:tcW w:w="358" w:type="pct"/>
            <w:tcBorders>
              <w:left w:val="single" w:sz="4" w:space="0" w:color="auto"/>
              <w:bottom w:val="single" w:sz="4" w:space="0" w:color="auto"/>
              <w:right w:val="single" w:sz="4" w:space="0" w:color="auto"/>
            </w:tcBorders>
            <w:vAlign w:val="center"/>
            <w:hideMark/>
          </w:tcPr>
          <w:p w14:paraId="529D24CA" w14:textId="54E4BAE6" w:rsidR="0027413A" w:rsidRPr="00334EA4" w:rsidRDefault="005257F8" w:rsidP="00670774">
            <w:pPr>
              <w:pStyle w:val="TableHeaderFont"/>
              <w:ind w:left="0" w:right="0"/>
              <w:rPr>
                <w:sz w:val="20"/>
                <w:szCs w:val="20"/>
              </w:rPr>
            </w:pPr>
            <w:r w:rsidRPr="00334EA4">
              <w:rPr>
                <w:sz w:val="20"/>
                <w:szCs w:val="20"/>
              </w:rPr>
              <w:t xml:space="preserve">Follow interests and </w:t>
            </w:r>
            <w:r w:rsidR="0027413A" w:rsidRPr="00334EA4">
              <w:rPr>
                <w:sz w:val="20"/>
                <w:szCs w:val="20"/>
              </w:rPr>
              <w:t>enjoy play</w:t>
            </w:r>
          </w:p>
        </w:tc>
        <w:tc>
          <w:tcPr>
            <w:tcW w:w="303" w:type="pct"/>
            <w:tcBorders>
              <w:left w:val="single" w:sz="4" w:space="0" w:color="auto"/>
              <w:bottom w:val="single" w:sz="4" w:space="0" w:color="auto"/>
              <w:right w:val="single" w:sz="4" w:space="0" w:color="auto"/>
            </w:tcBorders>
            <w:vAlign w:val="center"/>
            <w:hideMark/>
          </w:tcPr>
          <w:p w14:paraId="71993A1D" w14:textId="65E2DD19" w:rsidR="0027413A" w:rsidRPr="00334EA4" w:rsidRDefault="00AE1062" w:rsidP="00670774">
            <w:pPr>
              <w:pStyle w:val="TableHeaderFont"/>
              <w:ind w:left="0" w:right="0"/>
              <w:rPr>
                <w:sz w:val="20"/>
                <w:szCs w:val="20"/>
              </w:rPr>
            </w:pPr>
            <w:r w:rsidRPr="00334EA4">
              <w:rPr>
                <w:sz w:val="20"/>
                <w:szCs w:val="20"/>
              </w:rPr>
              <w:t xml:space="preserve">Develop </w:t>
            </w:r>
            <w:r w:rsidR="00B25379" w:rsidRPr="00334EA4">
              <w:rPr>
                <w:sz w:val="20"/>
                <w:szCs w:val="20"/>
              </w:rPr>
              <w:t>positive health h</w:t>
            </w:r>
            <w:r w:rsidR="0027413A" w:rsidRPr="00334EA4">
              <w:rPr>
                <w:sz w:val="20"/>
                <w:szCs w:val="20"/>
              </w:rPr>
              <w:t>abits</w:t>
            </w:r>
          </w:p>
        </w:tc>
        <w:tc>
          <w:tcPr>
            <w:tcW w:w="366" w:type="pct"/>
            <w:tcBorders>
              <w:left w:val="single" w:sz="4" w:space="0" w:color="auto"/>
              <w:bottom w:val="single" w:sz="4" w:space="0" w:color="auto"/>
            </w:tcBorders>
            <w:vAlign w:val="center"/>
            <w:hideMark/>
          </w:tcPr>
          <w:p w14:paraId="1E576E7C" w14:textId="2566160A" w:rsidR="0027413A" w:rsidRPr="00334EA4" w:rsidRDefault="005257F8" w:rsidP="00670774">
            <w:pPr>
              <w:pStyle w:val="TableHeaderFont"/>
              <w:ind w:left="0" w:right="0"/>
              <w:rPr>
                <w:sz w:val="20"/>
                <w:szCs w:val="20"/>
              </w:rPr>
            </w:pPr>
            <w:r w:rsidRPr="00334EA4">
              <w:rPr>
                <w:sz w:val="20"/>
                <w:szCs w:val="20"/>
              </w:rPr>
              <w:t xml:space="preserve">Build capacity to regulate behaviour </w:t>
            </w:r>
          </w:p>
        </w:tc>
      </w:tr>
      <w:tr w:rsidR="001A18E3" w:rsidRPr="00670774" w14:paraId="53F21A03" w14:textId="77777777" w:rsidTr="001A18E3">
        <w:trPr>
          <w:trHeight w:val="310"/>
        </w:trPr>
        <w:tc>
          <w:tcPr>
            <w:tcW w:w="982" w:type="pct"/>
            <w:tcBorders>
              <w:top w:val="single" w:sz="4" w:space="0" w:color="auto"/>
              <w:bottom w:val="single" w:sz="4" w:space="0" w:color="auto"/>
            </w:tcBorders>
            <w:noWrap/>
            <w:vAlign w:val="center"/>
            <w:hideMark/>
          </w:tcPr>
          <w:p w14:paraId="223B0D53" w14:textId="46EA8D46" w:rsidR="007604EF" w:rsidRPr="00987817" w:rsidRDefault="007604EF"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Ages &amp; Stages Questionnaire</w:t>
            </w:r>
            <w:r w:rsidR="009006FA" w:rsidRPr="00987817">
              <w:rPr>
                <w:rFonts w:eastAsia="Times New Roman" w:cs="Arial"/>
                <w:color w:val="000000"/>
                <w:kern w:val="0"/>
                <w:sz w:val="21"/>
                <w:szCs w:val="21"/>
                <w:lang w:eastAsia="en-AU"/>
                <w14:ligatures w14:val="none"/>
              </w:rPr>
              <w:t>-</w:t>
            </w:r>
            <w:r w:rsidRPr="00987817">
              <w:rPr>
                <w:rFonts w:eastAsia="Times New Roman" w:cs="Arial"/>
                <w:color w:val="000000"/>
                <w:kern w:val="0"/>
                <w:sz w:val="21"/>
                <w:szCs w:val="21"/>
                <w:lang w:eastAsia="en-AU"/>
                <w14:ligatures w14:val="none"/>
              </w:rPr>
              <w:t>Talking about Raising Aboriginal Kids</w:t>
            </w:r>
          </w:p>
        </w:tc>
        <w:tc>
          <w:tcPr>
            <w:tcW w:w="359" w:type="pct"/>
            <w:tcBorders>
              <w:top w:val="single" w:sz="4" w:space="0" w:color="auto"/>
              <w:bottom w:val="single" w:sz="4" w:space="0" w:color="auto"/>
              <w:right w:val="single" w:sz="4" w:space="0" w:color="auto"/>
            </w:tcBorders>
            <w:noWrap/>
            <w:vAlign w:val="center"/>
            <w:hideMark/>
          </w:tcPr>
          <w:p w14:paraId="4E7ADEA7" w14:textId="0FC76D8B" w:rsidR="007604EF" w:rsidRPr="00987817" w:rsidRDefault="007604EF" w:rsidP="002F6106">
            <w:pPr>
              <w:spacing w:line="240" w:lineRule="auto"/>
              <w:rPr>
                <w:rFonts w:eastAsia="Times New Roman" w:cs="Arial"/>
                <w:color w:val="000000"/>
                <w:kern w:val="0"/>
                <w:sz w:val="21"/>
                <w:szCs w:val="21"/>
                <w:lang w:eastAsia="en-AU"/>
                <w14:ligatures w14:val="none"/>
              </w:rPr>
            </w:pPr>
            <w:hyperlink w:anchor="_Ages_and_Stages" w:history="1">
              <w:r w:rsidRPr="00987817">
                <w:rPr>
                  <w:rStyle w:val="Hyperlink"/>
                  <w:rFonts w:eastAsia="Times New Roman" w:cs="Arial"/>
                  <w:kern w:val="0"/>
                  <w:sz w:val="21"/>
                  <w:szCs w:val="21"/>
                  <w:lang w:eastAsia="en-AU"/>
                  <w14:ligatures w14:val="none"/>
                </w:rPr>
                <w:t>ASQ-TRAK</w:t>
              </w:r>
            </w:hyperlink>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5ABC7AAB" w14:textId="50451A01" w:rsidR="007604EF" w:rsidRPr="00691295" w:rsidRDefault="00EA5D1A"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12" w:type="pct"/>
            <w:tcBorders>
              <w:top w:val="single" w:sz="4" w:space="0" w:color="auto"/>
              <w:left w:val="single" w:sz="4" w:space="0" w:color="auto"/>
              <w:bottom w:val="single" w:sz="4" w:space="0" w:color="auto"/>
              <w:right w:val="single" w:sz="4" w:space="0" w:color="auto"/>
            </w:tcBorders>
            <w:noWrap/>
            <w:vAlign w:val="center"/>
          </w:tcPr>
          <w:p w14:paraId="0BBACF56" w14:textId="3E449CF0" w:rsidR="007604EF" w:rsidRPr="00691295" w:rsidRDefault="00EA5D1A"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18B0C839" w14:textId="6B2FE4B4" w:rsidR="007604EF" w:rsidRPr="00691295" w:rsidRDefault="00970668" w:rsidP="004C132F">
            <w:pPr>
              <w:spacing w:before="0" w:after="0" w:line="240" w:lineRule="auto"/>
              <w:jc w:val="center"/>
              <w:rPr>
                <w:rFonts w:eastAsia="Times New Roman" w:cs="Arial"/>
                <w:kern w:val="0"/>
                <w:sz w:val="21"/>
                <w:szCs w:val="21"/>
                <w:lang w:eastAsia="en-AU"/>
                <w14:ligatures w14:val="none"/>
              </w:rPr>
            </w:pPr>
            <w:r w:rsidRPr="00691295">
              <w:rPr>
                <w:rFonts w:eastAsia="Times New Roman" w:cs="Arial"/>
                <w:kern w:val="0"/>
                <w:sz w:val="21"/>
                <w:szCs w:val="21"/>
                <w:lang w:eastAsia="en-AU"/>
                <w14:ligatures w14:val="none"/>
              </w:rPr>
              <w:t>No</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50FDEC1A" w14:textId="07481513" w:rsidR="007604EF" w:rsidRPr="00691295" w:rsidRDefault="00970668" w:rsidP="004C132F">
            <w:pPr>
              <w:spacing w:before="0" w:after="0" w:line="240" w:lineRule="auto"/>
              <w:jc w:val="center"/>
              <w:rPr>
                <w:rFonts w:eastAsia="Times New Roman" w:cs="Arial"/>
                <w:kern w:val="0"/>
                <w:sz w:val="21"/>
                <w:szCs w:val="21"/>
                <w:lang w:eastAsia="en-AU"/>
                <w14:ligatures w14:val="none"/>
              </w:rPr>
            </w:pPr>
            <w:r w:rsidRPr="00691295">
              <w:rPr>
                <w:rFonts w:eastAsia="Times New Roman" w:cs="Arial"/>
                <w:kern w:val="0"/>
                <w:sz w:val="21"/>
                <w:szCs w:val="21"/>
                <w:lang w:eastAsia="en-AU"/>
                <w14:ligatures w14:val="none"/>
              </w:rPr>
              <w:t>No</w:t>
            </w:r>
          </w:p>
        </w:tc>
        <w:tc>
          <w:tcPr>
            <w:tcW w:w="403" w:type="pct"/>
            <w:tcBorders>
              <w:top w:val="single" w:sz="4" w:space="0" w:color="auto"/>
              <w:left w:val="single" w:sz="4" w:space="0" w:color="auto"/>
              <w:bottom w:val="single" w:sz="4" w:space="0" w:color="auto"/>
              <w:right w:val="single" w:sz="4" w:space="0" w:color="auto"/>
            </w:tcBorders>
            <w:noWrap/>
            <w:vAlign w:val="center"/>
            <w:hideMark/>
          </w:tcPr>
          <w:p w14:paraId="38578088" w14:textId="572FE498" w:rsidR="007604EF" w:rsidRPr="00691295" w:rsidRDefault="00970668" w:rsidP="004C132F">
            <w:pPr>
              <w:spacing w:before="0" w:after="0" w:line="240" w:lineRule="auto"/>
              <w:jc w:val="center"/>
              <w:rPr>
                <w:rFonts w:eastAsia="Times New Roman" w:cs="Arial"/>
                <w:kern w:val="0"/>
                <w:sz w:val="21"/>
                <w:szCs w:val="21"/>
                <w:lang w:eastAsia="en-AU"/>
                <w14:ligatures w14:val="none"/>
              </w:rPr>
            </w:pPr>
            <w:r w:rsidRPr="00691295">
              <w:rPr>
                <w:rFonts w:eastAsia="Times New Roman" w:cs="Arial"/>
                <w:kern w:val="0"/>
                <w:sz w:val="21"/>
                <w:szCs w:val="21"/>
                <w:lang w:eastAsia="en-AU"/>
                <w14:ligatures w14:val="none"/>
              </w:rPr>
              <w:t>No</w:t>
            </w:r>
          </w:p>
        </w:tc>
        <w:tc>
          <w:tcPr>
            <w:tcW w:w="400" w:type="pct"/>
            <w:tcBorders>
              <w:top w:val="single" w:sz="4" w:space="0" w:color="auto"/>
              <w:left w:val="single" w:sz="4" w:space="0" w:color="auto"/>
              <w:bottom w:val="single" w:sz="4" w:space="0" w:color="auto"/>
              <w:right w:val="single" w:sz="4" w:space="0" w:color="auto"/>
            </w:tcBorders>
            <w:noWrap/>
            <w:vAlign w:val="center"/>
            <w:hideMark/>
          </w:tcPr>
          <w:p w14:paraId="0FEAA824" w14:textId="2BF45C36" w:rsidR="007604EF" w:rsidRPr="00691295" w:rsidRDefault="00970668" w:rsidP="004C132F">
            <w:pPr>
              <w:spacing w:before="0" w:after="0" w:line="240" w:lineRule="auto"/>
              <w:jc w:val="center"/>
              <w:rPr>
                <w:rFonts w:eastAsia="Times New Roman" w:cs="Arial"/>
                <w:kern w:val="0"/>
                <w:sz w:val="21"/>
                <w:szCs w:val="21"/>
                <w:lang w:eastAsia="en-AU"/>
                <w14:ligatures w14:val="none"/>
              </w:rPr>
            </w:pPr>
            <w:r w:rsidRPr="00691295">
              <w:rPr>
                <w:rFonts w:eastAsia="Times New Roman" w:cs="Arial"/>
                <w:kern w:val="0"/>
                <w:sz w:val="21"/>
                <w:szCs w:val="21"/>
                <w:lang w:eastAsia="en-AU"/>
                <w14:ligatures w14:val="none"/>
              </w:rPr>
              <w:t>No</w:t>
            </w:r>
          </w:p>
        </w:tc>
        <w:tc>
          <w:tcPr>
            <w:tcW w:w="403" w:type="pct"/>
            <w:tcBorders>
              <w:top w:val="single" w:sz="4" w:space="0" w:color="auto"/>
              <w:left w:val="single" w:sz="4" w:space="0" w:color="auto"/>
              <w:bottom w:val="single" w:sz="4" w:space="0" w:color="auto"/>
              <w:right w:val="single" w:sz="4" w:space="0" w:color="auto"/>
            </w:tcBorders>
            <w:noWrap/>
            <w:vAlign w:val="center"/>
            <w:hideMark/>
          </w:tcPr>
          <w:p w14:paraId="3841328A" w14:textId="5B90C610" w:rsidR="007604EF" w:rsidRPr="00691295" w:rsidRDefault="007827F5" w:rsidP="004C132F">
            <w:pPr>
              <w:spacing w:before="0" w:after="0" w:line="240" w:lineRule="auto"/>
              <w:jc w:val="center"/>
              <w:rPr>
                <w:rFonts w:eastAsia="Times New Roman" w:cs="Arial"/>
                <w:b/>
                <w:kern w:val="0"/>
                <w:sz w:val="21"/>
                <w:szCs w:val="21"/>
                <w:lang w:eastAsia="en-AU"/>
                <w14:ligatures w14:val="none"/>
              </w:rPr>
            </w:pPr>
            <w:r w:rsidRPr="00691295">
              <w:rPr>
                <w:rFonts w:eastAsia="Aptos" w:cs="Arial"/>
                <w:noProof/>
                <w:sz w:val="21"/>
                <w:szCs w:val="21"/>
                <w:lang w:eastAsia="en-US"/>
              </w:rPr>
              <w:t>Yes</w:t>
            </w:r>
          </w:p>
        </w:tc>
        <w:tc>
          <w:tcPr>
            <w:tcW w:w="358" w:type="pct"/>
            <w:tcBorders>
              <w:top w:val="single" w:sz="4" w:space="0" w:color="auto"/>
              <w:left w:val="single" w:sz="4" w:space="0" w:color="auto"/>
              <w:bottom w:val="single" w:sz="4" w:space="0" w:color="auto"/>
              <w:right w:val="single" w:sz="4" w:space="0" w:color="auto"/>
            </w:tcBorders>
            <w:noWrap/>
            <w:vAlign w:val="center"/>
            <w:hideMark/>
          </w:tcPr>
          <w:p w14:paraId="383C9A38" w14:textId="18A4CD14" w:rsidR="007604EF" w:rsidRPr="00691295" w:rsidRDefault="00970668" w:rsidP="004C132F">
            <w:pPr>
              <w:spacing w:before="0" w:after="0" w:line="240" w:lineRule="auto"/>
              <w:jc w:val="center"/>
              <w:rPr>
                <w:rFonts w:eastAsia="Times New Roman" w:cs="Arial"/>
                <w:kern w:val="0"/>
                <w:sz w:val="21"/>
                <w:szCs w:val="21"/>
                <w:lang w:eastAsia="en-AU"/>
                <w14:ligatures w14:val="none"/>
              </w:rPr>
            </w:pPr>
            <w:r w:rsidRPr="00691295">
              <w:rPr>
                <w:rFonts w:eastAsia="Times New Roman" w:cs="Arial"/>
                <w:kern w:val="0"/>
                <w:sz w:val="21"/>
                <w:szCs w:val="21"/>
                <w:lang w:eastAsia="en-AU"/>
                <w14:ligatures w14:val="none"/>
              </w:rPr>
              <w:t>No</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07F53821" w14:textId="23C7B8A3" w:rsidR="007604EF" w:rsidRPr="00691295" w:rsidRDefault="00970668" w:rsidP="004C132F">
            <w:pPr>
              <w:spacing w:before="0" w:after="0" w:line="240" w:lineRule="auto"/>
              <w:jc w:val="center"/>
              <w:rPr>
                <w:rFonts w:eastAsia="Times New Roman" w:cs="Arial"/>
                <w:kern w:val="0"/>
                <w:sz w:val="21"/>
                <w:szCs w:val="21"/>
                <w:lang w:eastAsia="en-AU"/>
                <w14:ligatures w14:val="none"/>
              </w:rPr>
            </w:pPr>
            <w:r w:rsidRPr="00691295">
              <w:rPr>
                <w:rFonts w:eastAsia="Times New Roman" w:cs="Arial"/>
                <w:kern w:val="0"/>
                <w:sz w:val="21"/>
                <w:szCs w:val="21"/>
                <w:lang w:eastAsia="en-AU"/>
                <w14:ligatures w14:val="none"/>
              </w:rPr>
              <w:t>No</w:t>
            </w:r>
          </w:p>
        </w:tc>
        <w:tc>
          <w:tcPr>
            <w:tcW w:w="366" w:type="pct"/>
            <w:tcBorders>
              <w:top w:val="single" w:sz="4" w:space="0" w:color="auto"/>
              <w:left w:val="single" w:sz="4" w:space="0" w:color="auto"/>
              <w:bottom w:val="single" w:sz="4" w:space="0" w:color="auto"/>
            </w:tcBorders>
            <w:noWrap/>
            <w:vAlign w:val="center"/>
            <w:hideMark/>
          </w:tcPr>
          <w:p w14:paraId="6576FF09" w14:textId="097CAC29" w:rsidR="007604EF" w:rsidRPr="00691295" w:rsidRDefault="00EA5D1A"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r>
      <w:tr w:rsidR="001A18E3" w:rsidRPr="00670774" w14:paraId="0DB77465" w14:textId="77777777" w:rsidTr="001A18E3">
        <w:trPr>
          <w:trHeight w:val="310"/>
        </w:trPr>
        <w:tc>
          <w:tcPr>
            <w:tcW w:w="982" w:type="pct"/>
            <w:tcBorders>
              <w:bottom w:val="single" w:sz="4" w:space="0" w:color="auto"/>
            </w:tcBorders>
            <w:noWrap/>
            <w:vAlign w:val="center"/>
          </w:tcPr>
          <w:p w14:paraId="3622DF5D" w14:textId="692E2B7A" w:rsidR="0090151A" w:rsidRPr="00987817" w:rsidRDefault="00F67E66"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Australian Therapy Outcome Measure for Indigenous clients</w:t>
            </w:r>
          </w:p>
        </w:tc>
        <w:tc>
          <w:tcPr>
            <w:tcW w:w="359" w:type="pct"/>
            <w:tcBorders>
              <w:top w:val="single" w:sz="4" w:space="0" w:color="auto"/>
              <w:bottom w:val="single" w:sz="4" w:space="0" w:color="auto"/>
              <w:right w:val="single" w:sz="4" w:space="0" w:color="auto"/>
            </w:tcBorders>
            <w:noWrap/>
            <w:vAlign w:val="center"/>
          </w:tcPr>
          <w:p w14:paraId="72DFB3BF" w14:textId="1DB56156" w:rsidR="0090151A" w:rsidRPr="00987817" w:rsidRDefault="71D176A8" w:rsidP="00670774">
            <w:pPr>
              <w:spacing w:line="240" w:lineRule="auto"/>
              <w:rPr>
                <w:rFonts w:cs="Arial"/>
                <w:sz w:val="21"/>
                <w:szCs w:val="21"/>
              </w:rPr>
            </w:pPr>
            <w:hyperlink w:anchor="_Australian_Therapy_Outcome">
              <w:r w:rsidRPr="00987817">
                <w:rPr>
                  <w:rStyle w:val="Hyperlink"/>
                  <w:rFonts w:cs="Arial"/>
                  <w:sz w:val="21"/>
                  <w:szCs w:val="21"/>
                </w:rPr>
                <w:t>ATOMIC</w:t>
              </w:r>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0AFF92BD" w14:textId="100DB973" w:rsidR="0090151A" w:rsidRPr="00691295" w:rsidRDefault="00691295" w:rsidP="004C132F">
            <w:pPr>
              <w:spacing w:before="0" w:after="0" w:line="240" w:lineRule="auto"/>
              <w:jc w:val="center"/>
              <w:rPr>
                <w:rFonts w:eastAsia="Times New Roman" w:cs="Arial"/>
                <w:kern w:val="0"/>
                <w:sz w:val="21"/>
                <w:szCs w:val="21"/>
                <w:lang w:eastAsia="en-AU"/>
                <w14:ligatures w14:val="none"/>
              </w:rPr>
            </w:pPr>
            <w:r w:rsidRPr="00691295">
              <w:rPr>
                <w:rFonts w:eastAsia="Times New Roman" w:cs="Arial"/>
                <w:kern w:val="0"/>
                <w:sz w:val="21"/>
                <w:szCs w:val="21"/>
                <w:lang w:eastAsia="en-AU"/>
                <w14:ligatures w14:val="none"/>
              </w:rPr>
              <w:t>No</w:t>
            </w:r>
          </w:p>
        </w:tc>
        <w:tc>
          <w:tcPr>
            <w:tcW w:w="312" w:type="pct"/>
            <w:tcBorders>
              <w:left w:val="single" w:sz="4" w:space="0" w:color="auto"/>
              <w:bottom w:val="single" w:sz="4" w:space="0" w:color="auto"/>
              <w:right w:val="single" w:sz="4" w:space="0" w:color="auto"/>
            </w:tcBorders>
            <w:noWrap/>
            <w:vAlign w:val="center"/>
          </w:tcPr>
          <w:p w14:paraId="09AD02F4" w14:textId="421F72F2" w:rsidR="0090151A" w:rsidRPr="00691295" w:rsidRDefault="00EA5D1A"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13" w:type="pct"/>
            <w:tcBorders>
              <w:left w:val="single" w:sz="4" w:space="0" w:color="auto"/>
              <w:bottom w:val="single" w:sz="4" w:space="0" w:color="auto"/>
              <w:right w:val="single" w:sz="4" w:space="0" w:color="auto"/>
            </w:tcBorders>
            <w:noWrap/>
            <w:vAlign w:val="center"/>
          </w:tcPr>
          <w:p w14:paraId="4D56F726" w14:textId="74A2DA5F" w:rsidR="0090151A" w:rsidRPr="00691295" w:rsidRDefault="00EA5D1A"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56" w:type="pct"/>
            <w:tcBorders>
              <w:left w:val="single" w:sz="4" w:space="0" w:color="auto"/>
              <w:bottom w:val="single" w:sz="4" w:space="0" w:color="auto"/>
              <w:right w:val="single" w:sz="4" w:space="0" w:color="auto"/>
            </w:tcBorders>
            <w:noWrap/>
            <w:vAlign w:val="center"/>
          </w:tcPr>
          <w:p w14:paraId="1C54429A" w14:textId="4834AB73" w:rsidR="0090151A" w:rsidRPr="00691295" w:rsidRDefault="00EA5D1A"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403" w:type="pct"/>
            <w:tcBorders>
              <w:left w:val="single" w:sz="4" w:space="0" w:color="auto"/>
              <w:bottom w:val="single" w:sz="4" w:space="0" w:color="auto"/>
              <w:right w:val="single" w:sz="4" w:space="0" w:color="auto"/>
            </w:tcBorders>
            <w:noWrap/>
            <w:vAlign w:val="center"/>
          </w:tcPr>
          <w:p w14:paraId="678BC098" w14:textId="65A41248" w:rsidR="0090151A" w:rsidRPr="00691295" w:rsidRDefault="00EA5D1A"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400" w:type="pct"/>
            <w:tcBorders>
              <w:left w:val="single" w:sz="4" w:space="0" w:color="auto"/>
              <w:bottom w:val="single" w:sz="4" w:space="0" w:color="auto"/>
              <w:right w:val="single" w:sz="4" w:space="0" w:color="auto"/>
            </w:tcBorders>
            <w:noWrap/>
            <w:vAlign w:val="center"/>
          </w:tcPr>
          <w:p w14:paraId="77687F53" w14:textId="05060AC0" w:rsidR="0090151A" w:rsidRPr="00691295" w:rsidRDefault="00BC1093" w:rsidP="004C132F">
            <w:pPr>
              <w:spacing w:before="0" w:after="0" w:line="240" w:lineRule="auto"/>
              <w:jc w:val="center"/>
              <w:rPr>
                <w:rFonts w:eastAsia="Times New Roman" w:cs="Arial"/>
                <w:kern w:val="0"/>
                <w:sz w:val="21"/>
                <w:szCs w:val="21"/>
                <w:lang w:eastAsia="en-AU"/>
                <w14:ligatures w14:val="none"/>
              </w:rPr>
            </w:pPr>
            <w:r w:rsidRPr="00691295">
              <w:rPr>
                <w:rFonts w:eastAsia="Aptos" w:cs="Arial"/>
                <w:noProof/>
                <w:sz w:val="21"/>
                <w:szCs w:val="21"/>
                <w:lang w:eastAsia="en-US"/>
              </w:rPr>
              <w:t>Yes</w:t>
            </w:r>
          </w:p>
        </w:tc>
        <w:tc>
          <w:tcPr>
            <w:tcW w:w="403" w:type="pct"/>
            <w:tcBorders>
              <w:left w:val="single" w:sz="4" w:space="0" w:color="auto"/>
              <w:bottom w:val="single" w:sz="4" w:space="0" w:color="auto"/>
              <w:right w:val="single" w:sz="4" w:space="0" w:color="auto"/>
            </w:tcBorders>
            <w:noWrap/>
            <w:vAlign w:val="center"/>
          </w:tcPr>
          <w:p w14:paraId="7EE999DF" w14:textId="44CB9581" w:rsidR="0090151A" w:rsidRPr="00691295" w:rsidRDefault="00BC1093" w:rsidP="004C132F">
            <w:pPr>
              <w:spacing w:before="0" w:after="0" w:line="240" w:lineRule="auto"/>
              <w:jc w:val="center"/>
              <w:rPr>
                <w:rFonts w:eastAsia="Times New Roman" w:cs="Arial"/>
                <w:b/>
                <w:kern w:val="0"/>
                <w:sz w:val="21"/>
                <w:szCs w:val="21"/>
                <w:lang w:eastAsia="en-AU"/>
                <w14:ligatures w14:val="none"/>
              </w:rPr>
            </w:pPr>
            <w:r w:rsidRPr="00691295">
              <w:rPr>
                <w:rFonts w:eastAsia="Aptos" w:cs="Arial"/>
                <w:noProof/>
                <w:sz w:val="21"/>
                <w:szCs w:val="21"/>
                <w:lang w:eastAsia="en-US"/>
              </w:rPr>
              <w:t>Yes</w:t>
            </w:r>
          </w:p>
        </w:tc>
        <w:tc>
          <w:tcPr>
            <w:tcW w:w="358" w:type="pct"/>
            <w:tcBorders>
              <w:left w:val="single" w:sz="4" w:space="0" w:color="auto"/>
              <w:bottom w:val="single" w:sz="4" w:space="0" w:color="auto"/>
              <w:right w:val="single" w:sz="4" w:space="0" w:color="auto"/>
            </w:tcBorders>
            <w:noWrap/>
            <w:vAlign w:val="center"/>
          </w:tcPr>
          <w:p w14:paraId="62C0F0A1" w14:textId="42C90CD1" w:rsidR="0090151A" w:rsidRPr="00691295" w:rsidRDefault="00EA5D1A"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03" w:type="pct"/>
            <w:tcBorders>
              <w:left w:val="single" w:sz="4" w:space="0" w:color="auto"/>
              <w:bottom w:val="single" w:sz="4" w:space="0" w:color="auto"/>
              <w:right w:val="single" w:sz="4" w:space="0" w:color="auto"/>
            </w:tcBorders>
            <w:noWrap/>
            <w:vAlign w:val="center"/>
          </w:tcPr>
          <w:p w14:paraId="1EDC2AA1" w14:textId="45ED7F7B" w:rsidR="0090151A" w:rsidRPr="00691295" w:rsidRDefault="00EA5D1A"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66" w:type="pct"/>
            <w:tcBorders>
              <w:left w:val="single" w:sz="4" w:space="0" w:color="auto"/>
              <w:bottom w:val="single" w:sz="4" w:space="0" w:color="auto"/>
            </w:tcBorders>
            <w:noWrap/>
            <w:vAlign w:val="center"/>
          </w:tcPr>
          <w:p w14:paraId="7F5C29AB" w14:textId="67A5876C" w:rsidR="0090151A" w:rsidRPr="00691295" w:rsidRDefault="00EA5D1A"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r>
      <w:tr w:rsidR="001A18E3" w:rsidRPr="00670774" w14:paraId="547303A7" w14:textId="77777777" w:rsidTr="001A18E3">
        <w:trPr>
          <w:trHeight w:val="310"/>
        </w:trPr>
        <w:tc>
          <w:tcPr>
            <w:tcW w:w="982" w:type="pct"/>
            <w:tcBorders>
              <w:bottom w:val="single" w:sz="4" w:space="0" w:color="auto"/>
            </w:tcBorders>
            <w:noWrap/>
            <w:vAlign w:val="center"/>
          </w:tcPr>
          <w:p w14:paraId="32B0EC25" w14:textId="3A088815" w:rsidR="00631CB2" w:rsidRPr="00987817" w:rsidRDefault="00631CB2"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Canadian Occupational Performance Measure</w:t>
            </w:r>
          </w:p>
        </w:tc>
        <w:tc>
          <w:tcPr>
            <w:tcW w:w="359" w:type="pct"/>
            <w:tcBorders>
              <w:top w:val="single" w:sz="4" w:space="0" w:color="auto"/>
              <w:bottom w:val="single" w:sz="4" w:space="0" w:color="auto"/>
              <w:right w:val="single" w:sz="4" w:space="0" w:color="auto"/>
            </w:tcBorders>
            <w:noWrap/>
            <w:vAlign w:val="center"/>
          </w:tcPr>
          <w:p w14:paraId="486012E5" w14:textId="2D51B84E" w:rsidR="00631CB2" w:rsidRPr="00987817" w:rsidRDefault="00631CB2" w:rsidP="00670774">
            <w:pPr>
              <w:spacing w:line="240" w:lineRule="auto"/>
              <w:rPr>
                <w:rFonts w:cs="Arial"/>
                <w:sz w:val="21"/>
                <w:szCs w:val="21"/>
              </w:rPr>
            </w:pPr>
            <w:hyperlink w:anchor="_Canadian_Occupational_Performance" w:history="1">
              <w:r w:rsidRPr="00987817">
                <w:rPr>
                  <w:rStyle w:val="Hyperlink"/>
                  <w:rFonts w:cs="Arial"/>
                  <w:sz w:val="21"/>
                  <w:szCs w:val="21"/>
                </w:rPr>
                <w:t>COPM</w:t>
              </w:r>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28C1B1A9" w14:textId="1B195068" w:rsidR="00631CB2"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12" w:type="pct"/>
            <w:tcBorders>
              <w:left w:val="single" w:sz="4" w:space="0" w:color="auto"/>
              <w:bottom w:val="single" w:sz="4" w:space="0" w:color="auto"/>
              <w:right w:val="single" w:sz="4" w:space="0" w:color="auto"/>
            </w:tcBorders>
            <w:noWrap/>
            <w:vAlign w:val="center"/>
          </w:tcPr>
          <w:p w14:paraId="29C96B66" w14:textId="23941A3B" w:rsidR="00631CB2"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13" w:type="pct"/>
            <w:tcBorders>
              <w:left w:val="single" w:sz="4" w:space="0" w:color="auto"/>
              <w:bottom w:val="single" w:sz="4" w:space="0" w:color="auto"/>
              <w:right w:val="single" w:sz="4" w:space="0" w:color="auto"/>
            </w:tcBorders>
            <w:noWrap/>
            <w:vAlign w:val="center"/>
          </w:tcPr>
          <w:p w14:paraId="2F29FB14" w14:textId="33D16B7D" w:rsidR="00631CB2"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56" w:type="pct"/>
            <w:tcBorders>
              <w:left w:val="single" w:sz="4" w:space="0" w:color="auto"/>
              <w:bottom w:val="single" w:sz="4" w:space="0" w:color="auto"/>
              <w:right w:val="single" w:sz="4" w:space="0" w:color="auto"/>
            </w:tcBorders>
            <w:noWrap/>
            <w:vAlign w:val="center"/>
          </w:tcPr>
          <w:p w14:paraId="7891EBA1" w14:textId="33ECB409" w:rsidR="00631CB2"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403" w:type="pct"/>
            <w:tcBorders>
              <w:left w:val="single" w:sz="4" w:space="0" w:color="auto"/>
              <w:bottom w:val="single" w:sz="4" w:space="0" w:color="auto"/>
              <w:right w:val="single" w:sz="4" w:space="0" w:color="auto"/>
            </w:tcBorders>
            <w:noWrap/>
            <w:vAlign w:val="center"/>
          </w:tcPr>
          <w:p w14:paraId="110976A1" w14:textId="006721B0" w:rsidR="00631CB2"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0" w:type="pct"/>
            <w:tcBorders>
              <w:left w:val="single" w:sz="4" w:space="0" w:color="auto"/>
              <w:bottom w:val="single" w:sz="4" w:space="0" w:color="auto"/>
              <w:right w:val="single" w:sz="4" w:space="0" w:color="auto"/>
            </w:tcBorders>
            <w:noWrap/>
            <w:vAlign w:val="center"/>
          </w:tcPr>
          <w:p w14:paraId="3318AAC6" w14:textId="07E928F8" w:rsidR="00631CB2"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403" w:type="pct"/>
            <w:tcBorders>
              <w:left w:val="single" w:sz="4" w:space="0" w:color="auto"/>
              <w:bottom w:val="single" w:sz="4" w:space="0" w:color="auto"/>
              <w:right w:val="single" w:sz="4" w:space="0" w:color="auto"/>
            </w:tcBorders>
            <w:noWrap/>
            <w:vAlign w:val="center"/>
          </w:tcPr>
          <w:p w14:paraId="545C2ED1" w14:textId="21518452" w:rsidR="00631CB2" w:rsidRPr="00691295" w:rsidRDefault="00BC1093" w:rsidP="004C132F">
            <w:pPr>
              <w:spacing w:before="0" w:after="0" w:line="240" w:lineRule="auto"/>
              <w:jc w:val="center"/>
              <w:rPr>
                <w:rFonts w:eastAsia="Times New Roman" w:cs="Arial"/>
                <w:b/>
                <w:kern w:val="0"/>
                <w:sz w:val="21"/>
                <w:szCs w:val="21"/>
                <w:lang w:eastAsia="en-AU"/>
                <w14:ligatures w14:val="none"/>
              </w:rPr>
            </w:pPr>
            <w:r w:rsidRPr="00691295">
              <w:rPr>
                <w:rFonts w:eastAsia="Aptos" w:cs="Arial"/>
                <w:noProof/>
                <w:sz w:val="21"/>
                <w:szCs w:val="21"/>
                <w:lang w:eastAsia="en-US"/>
              </w:rPr>
              <w:t>Yes</w:t>
            </w:r>
          </w:p>
        </w:tc>
        <w:tc>
          <w:tcPr>
            <w:tcW w:w="358" w:type="pct"/>
            <w:tcBorders>
              <w:left w:val="single" w:sz="4" w:space="0" w:color="auto"/>
              <w:bottom w:val="single" w:sz="4" w:space="0" w:color="auto"/>
              <w:right w:val="single" w:sz="4" w:space="0" w:color="auto"/>
            </w:tcBorders>
            <w:noWrap/>
            <w:vAlign w:val="center"/>
          </w:tcPr>
          <w:p w14:paraId="6F7CED4D" w14:textId="03FA6A8C" w:rsidR="00631CB2"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03" w:type="pct"/>
            <w:tcBorders>
              <w:left w:val="single" w:sz="4" w:space="0" w:color="auto"/>
              <w:bottom w:val="single" w:sz="4" w:space="0" w:color="auto"/>
              <w:right w:val="single" w:sz="4" w:space="0" w:color="auto"/>
            </w:tcBorders>
            <w:noWrap/>
            <w:vAlign w:val="center"/>
          </w:tcPr>
          <w:p w14:paraId="26A899F6" w14:textId="7F412BF0" w:rsidR="00631CB2" w:rsidRPr="00691295" w:rsidRDefault="00BC1093" w:rsidP="004C132F">
            <w:pPr>
              <w:spacing w:before="0" w:after="0" w:line="240" w:lineRule="auto"/>
              <w:jc w:val="center"/>
              <w:rPr>
                <w:rFonts w:eastAsia="Times New Roman" w:cs="Arial"/>
                <w:kern w:val="0"/>
                <w:sz w:val="21"/>
                <w:szCs w:val="21"/>
                <w:lang w:eastAsia="en-AU"/>
                <w14:ligatures w14:val="none"/>
              </w:rPr>
            </w:pPr>
            <w:r w:rsidRPr="00691295">
              <w:rPr>
                <w:rFonts w:eastAsia="Aptos" w:cs="Arial"/>
                <w:noProof/>
                <w:sz w:val="21"/>
                <w:szCs w:val="21"/>
                <w:lang w:eastAsia="en-US"/>
              </w:rPr>
              <w:t>Yes</w:t>
            </w:r>
          </w:p>
        </w:tc>
        <w:tc>
          <w:tcPr>
            <w:tcW w:w="366" w:type="pct"/>
            <w:tcBorders>
              <w:left w:val="single" w:sz="4" w:space="0" w:color="auto"/>
              <w:bottom w:val="single" w:sz="4" w:space="0" w:color="auto"/>
            </w:tcBorders>
            <w:noWrap/>
            <w:vAlign w:val="center"/>
          </w:tcPr>
          <w:p w14:paraId="2D2736EE" w14:textId="6170E05C" w:rsidR="00631CB2"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r>
      <w:tr w:rsidR="001A18E3" w:rsidRPr="00670774" w14:paraId="6A5955AB" w14:textId="77777777" w:rsidTr="001A18E3">
        <w:trPr>
          <w:trHeight w:val="310"/>
        </w:trPr>
        <w:tc>
          <w:tcPr>
            <w:tcW w:w="982" w:type="pct"/>
            <w:tcBorders>
              <w:bottom w:val="single" w:sz="4" w:space="0" w:color="auto"/>
            </w:tcBorders>
            <w:noWrap/>
            <w:vAlign w:val="center"/>
          </w:tcPr>
          <w:p w14:paraId="68F88CBA" w14:textId="77AE71D5" w:rsidR="002401B9" w:rsidRPr="00987817" w:rsidRDefault="002401B9"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Child Engagement in Daily Life</w:t>
            </w:r>
          </w:p>
        </w:tc>
        <w:tc>
          <w:tcPr>
            <w:tcW w:w="359" w:type="pct"/>
            <w:tcBorders>
              <w:top w:val="single" w:sz="4" w:space="0" w:color="auto"/>
              <w:bottom w:val="single" w:sz="4" w:space="0" w:color="auto"/>
              <w:right w:val="single" w:sz="4" w:space="0" w:color="auto"/>
            </w:tcBorders>
            <w:noWrap/>
            <w:vAlign w:val="center"/>
          </w:tcPr>
          <w:p w14:paraId="223BADEA" w14:textId="1D02085E" w:rsidR="002401B9" w:rsidRPr="00987817" w:rsidRDefault="0019728D" w:rsidP="00670774">
            <w:pPr>
              <w:spacing w:line="240" w:lineRule="auto"/>
              <w:rPr>
                <w:rFonts w:cs="Arial"/>
                <w:sz w:val="21"/>
                <w:szCs w:val="21"/>
              </w:rPr>
            </w:pPr>
            <w:hyperlink w:anchor="_Child_Engagement_in" w:history="1">
              <w:r w:rsidRPr="00987817">
                <w:rPr>
                  <w:rStyle w:val="Hyperlink"/>
                  <w:rFonts w:cs="Arial"/>
                  <w:sz w:val="21"/>
                  <w:szCs w:val="21"/>
                </w:rPr>
                <w:t>CEDL</w:t>
              </w:r>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668BA486" w14:textId="56B3387C" w:rsidR="002401B9"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12" w:type="pct"/>
            <w:tcBorders>
              <w:left w:val="single" w:sz="4" w:space="0" w:color="auto"/>
              <w:bottom w:val="single" w:sz="4" w:space="0" w:color="auto"/>
              <w:right w:val="single" w:sz="4" w:space="0" w:color="auto"/>
            </w:tcBorders>
            <w:noWrap/>
            <w:vAlign w:val="center"/>
          </w:tcPr>
          <w:p w14:paraId="1633A391" w14:textId="745DD4FF" w:rsidR="002401B9"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13" w:type="pct"/>
            <w:tcBorders>
              <w:left w:val="single" w:sz="4" w:space="0" w:color="auto"/>
              <w:bottom w:val="single" w:sz="4" w:space="0" w:color="auto"/>
              <w:right w:val="single" w:sz="4" w:space="0" w:color="auto"/>
            </w:tcBorders>
            <w:noWrap/>
            <w:vAlign w:val="center"/>
          </w:tcPr>
          <w:p w14:paraId="5616A0F4" w14:textId="4C4C5D0E" w:rsidR="002401B9"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56" w:type="pct"/>
            <w:tcBorders>
              <w:left w:val="single" w:sz="4" w:space="0" w:color="auto"/>
              <w:bottom w:val="single" w:sz="4" w:space="0" w:color="auto"/>
              <w:right w:val="single" w:sz="4" w:space="0" w:color="auto"/>
            </w:tcBorders>
            <w:noWrap/>
            <w:vAlign w:val="center"/>
          </w:tcPr>
          <w:p w14:paraId="3D29A215" w14:textId="49B3558F" w:rsidR="002401B9"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left w:val="single" w:sz="4" w:space="0" w:color="auto"/>
              <w:bottom w:val="single" w:sz="4" w:space="0" w:color="auto"/>
              <w:right w:val="single" w:sz="4" w:space="0" w:color="auto"/>
            </w:tcBorders>
            <w:noWrap/>
            <w:vAlign w:val="center"/>
          </w:tcPr>
          <w:p w14:paraId="013BD99F" w14:textId="13FEF7A1" w:rsidR="002401B9"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0" w:type="pct"/>
            <w:tcBorders>
              <w:left w:val="single" w:sz="4" w:space="0" w:color="auto"/>
              <w:bottom w:val="single" w:sz="4" w:space="0" w:color="auto"/>
              <w:right w:val="single" w:sz="4" w:space="0" w:color="auto"/>
            </w:tcBorders>
            <w:noWrap/>
            <w:vAlign w:val="center"/>
          </w:tcPr>
          <w:p w14:paraId="70186201" w14:textId="56860CC7" w:rsidR="002401B9" w:rsidRPr="00691295" w:rsidRDefault="00BC1093" w:rsidP="004C132F">
            <w:pPr>
              <w:spacing w:before="0" w:after="0" w:line="240" w:lineRule="auto"/>
              <w:jc w:val="center"/>
              <w:rPr>
                <w:rFonts w:eastAsia="Times New Roman" w:cs="Arial"/>
                <w:kern w:val="0"/>
                <w:sz w:val="21"/>
                <w:szCs w:val="21"/>
                <w:lang w:eastAsia="en-AU"/>
                <w14:ligatures w14:val="none"/>
              </w:rPr>
            </w:pPr>
            <w:r w:rsidRPr="00691295">
              <w:rPr>
                <w:rFonts w:eastAsia="Aptos" w:cs="Arial"/>
                <w:noProof/>
                <w:sz w:val="21"/>
                <w:szCs w:val="21"/>
                <w:lang w:eastAsia="en-US"/>
              </w:rPr>
              <w:t>Yes</w:t>
            </w:r>
          </w:p>
        </w:tc>
        <w:tc>
          <w:tcPr>
            <w:tcW w:w="403" w:type="pct"/>
            <w:tcBorders>
              <w:left w:val="single" w:sz="4" w:space="0" w:color="auto"/>
              <w:bottom w:val="single" w:sz="4" w:space="0" w:color="auto"/>
              <w:right w:val="single" w:sz="4" w:space="0" w:color="auto"/>
            </w:tcBorders>
            <w:noWrap/>
            <w:vAlign w:val="center"/>
          </w:tcPr>
          <w:p w14:paraId="7274B7DF" w14:textId="08C0B674" w:rsidR="002401B9" w:rsidRPr="00691295" w:rsidRDefault="00BC1093" w:rsidP="004C132F">
            <w:pPr>
              <w:spacing w:before="0" w:after="0" w:line="240" w:lineRule="auto"/>
              <w:jc w:val="center"/>
              <w:rPr>
                <w:rFonts w:eastAsia="Times New Roman" w:cs="Arial"/>
                <w:b/>
                <w:kern w:val="0"/>
                <w:sz w:val="21"/>
                <w:szCs w:val="21"/>
                <w:lang w:eastAsia="en-AU"/>
                <w14:ligatures w14:val="none"/>
              </w:rPr>
            </w:pPr>
            <w:r w:rsidRPr="00691295">
              <w:rPr>
                <w:rFonts w:eastAsia="Aptos" w:cs="Arial"/>
                <w:noProof/>
                <w:sz w:val="21"/>
                <w:szCs w:val="21"/>
                <w:lang w:eastAsia="en-US"/>
              </w:rPr>
              <w:t>Yes</w:t>
            </w:r>
          </w:p>
        </w:tc>
        <w:tc>
          <w:tcPr>
            <w:tcW w:w="358" w:type="pct"/>
            <w:tcBorders>
              <w:left w:val="single" w:sz="4" w:space="0" w:color="auto"/>
              <w:bottom w:val="single" w:sz="4" w:space="0" w:color="auto"/>
              <w:right w:val="single" w:sz="4" w:space="0" w:color="auto"/>
            </w:tcBorders>
            <w:noWrap/>
            <w:vAlign w:val="center"/>
          </w:tcPr>
          <w:p w14:paraId="02BEE6F8" w14:textId="7C0AF457" w:rsidR="002401B9" w:rsidRPr="00691295" w:rsidRDefault="00BC1093" w:rsidP="004C132F">
            <w:pPr>
              <w:spacing w:before="0" w:after="0" w:line="240" w:lineRule="auto"/>
              <w:jc w:val="center"/>
              <w:rPr>
                <w:rFonts w:eastAsia="Times New Roman" w:cs="Arial"/>
                <w:kern w:val="0"/>
                <w:sz w:val="21"/>
                <w:szCs w:val="21"/>
                <w:lang w:eastAsia="en-AU"/>
                <w14:ligatures w14:val="none"/>
              </w:rPr>
            </w:pPr>
            <w:r w:rsidRPr="00691295">
              <w:rPr>
                <w:rFonts w:eastAsia="Aptos" w:cs="Arial"/>
                <w:noProof/>
                <w:sz w:val="21"/>
                <w:szCs w:val="21"/>
                <w:lang w:eastAsia="en-US"/>
              </w:rPr>
              <w:t>Yes</w:t>
            </w:r>
          </w:p>
        </w:tc>
        <w:tc>
          <w:tcPr>
            <w:tcW w:w="303" w:type="pct"/>
            <w:tcBorders>
              <w:left w:val="single" w:sz="4" w:space="0" w:color="auto"/>
              <w:bottom w:val="single" w:sz="4" w:space="0" w:color="auto"/>
              <w:right w:val="single" w:sz="4" w:space="0" w:color="auto"/>
            </w:tcBorders>
            <w:noWrap/>
            <w:vAlign w:val="center"/>
          </w:tcPr>
          <w:p w14:paraId="70AF5C6E" w14:textId="4999C4CE" w:rsidR="002401B9"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66" w:type="pct"/>
            <w:tcBorders>
              <w:left w:val="single" w:sz="4" w:space="0" w:color="auto"/>
              <w:bottom w:val="single" w:sz="4" w:space="0" w:color="auto"/>
            </w:tcBorders>
            <w:noWrap/>
            <w:vAlign w:val="center"/>
          </w:tcPr>
          <w:p w14:paraId="1279EBD7" w14:textId="36226DE2" w:rsidR="002401B9"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r>
      <w:tr w:rsidR="001A18E3" w:rsidRPr="00670774" w14:paraId="264B3AEE" w14:textId="77777777" w:rsidTr="001A18E3">
        <w:trPr>
          <w:trHeight w:val="310"/>
        </w:trPr>
        <w:tc>
          <w:tcPr>
            <w:tcW w:w="982" w:type="pct"/>
            <w:tcBorders>
              <w:bottom w:val="single" w:sz="4" w:space="0" w:color="auto"/>
            </w:tcBorders>
            <w:noWrap/>
            <w:vAlign w:val="center"/>
          </w:tcPr>
          <w:p w14:paraId="451CBC92" w14:textId="7418780E" w:rsidR="0019728D" w:rsidRPr="00987817" w:rsidRDefault="0019728D"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Devereux Early Childhood Assessment</w:t>
            </w:r>
          </w:p>
        </w:tc>
        <w:tc>
          <w:tcPr>
            <w:tcW w:w="359" w:type="pct"/>
            <w:tcBorders>
              <w:top w:val="single" w:sz="4" w:space="0" w:color="auto"/>
              <w:bottom w:val="single" w:sz="4" w:space="0" w:color="auto"/>
              <w:right w:val="single" w:sz="4" w:space="0" w:color="auto"/>
            </w:tcBorders>
            <w:noWrap/>
            <w:vAlign w:val="center"/>
          </w:tcPr>
          <w:p w14:paraId="7A7B145D" w14:textId="243B7198" w:rsidR="0019728D" w:rsidRPr="00987817" w:rsidRDefault="0019728D" w:rsidP="00670774">
            <w:pPr>
              <w:spacing w:line="240" w:lineRule="auto"/>
              <w:rPr>
                <w:rFonts w:cs="Arial"/>
                <w:sz w:val="21"/>
                <w:szCs w:val="21"/>
              </w:rPr>
            </w:pPr>
            <w:hyperlink w:anchor="_Devereux_Early_Childhood" w:history="1">
              <w:r w:rsidRPr="00987817">
                <w:rPr>
                  <w:rStyle w:val="Hyperlink"/>
                  <w:rFonts w:cs="Arial"/>
                  <w:sz w:val="21"/>
                  <w:szCs w:val="21"/>
                </w:rPr>
                <w:t>DECA</w:t>
              </w:r>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5EC92021" w14:textId="55984966" w:rsidR="0019728D" w:rsidRPr="00691295" w:rsidRDefault="00BC1093" w:rsidP="004C132F">
            <w:pPr>
              <w:spacing w:before="0" w:after="0" w:line="240" w:lineRule="auto"/>
              <w:jc w:val="center"/>
              <w:rPr>
                <w:rFonts w:eastAsia="Times New Roman" w:cs="Arial"/>
                <w:kern w:val="0"/>
                <w:sz w:val="21"/>
                <w:szCs w:val="21"/>
                <w:lang w:eastAsia="en-AU"/>
                <w14:ligatures w14:val="none"/>
              </w:rPr>
            </w:pPr>
            <w:r w:rsidRPr="00691295">
              <w:rPr>
                <w:rFonts w:eastAsia="Aptos" w:cs="Arial"/>
                <w:noProof/>
                <w:sz w:val="21"/>
                <w:szCs w:val="21"/>
                <w:lang w:eastAsia="en-US"/>
              </w:rPr>
              <w:t>Yes</w:t>
            </w:r>
          </w:p>
        </w:tc>
        <w:tc>
          <w:tcPr>
            <w:tcW w:w="312" w:type="pct"/>
            <w:tcBorders>
              <w:left w:val="single" w:sz="4" w:space="0" w:color="auto"/>
              <w:bottom w:val="single" w:sz="4" w:space="0" w:color="auto"/>
              <w:right w:val="single" w:sz="4" w:space="0" w:color="auto"/>
            </w:tcBorders>
            <w:noWrap/>
            <w:vAlign w:val="center"/>
          </w:tcPr>
          <w:p w14:paraId="64E28500" w14:textId="178BA1F6" w:rsidR="0019728D" w:rsidRPr="00691295" w:rsidRDefault="00BC1093" w:rsidP="004C132F">
            <w:pPr>
              <w:spacing w:before="0" w:after="0" w:line="240" w:lineRule="auto"/>
              <w:jc w:val="center"/>
              <w:rPr>
                <w:rFonts w:eastAsia="Times New Roman" w:cs="Arial"/>
                <w:kern w:val="0"/>
                <w:sz w:val="21"/>
                <w:szCs w:val="21"/>
                <w:lang w:eastAsia="en-AU"/>
                <w14:ligatures w14:val="none"/>
              </w:rPr>
            </w:pPr>
            <w:r w:rsidRPr="00691295">
              <w:rPr>
                <w:rFonts w:eastAsia="Aptos" w:cs="Arial"/>
                <w:noProof/>
                <w:sz w:val="21"/>
                <w:szCs w:val="21"/>
                <w:lang w:eastAsia="en-US"/>
              </w:rPr>
              <w:t>Yes</w:t>
            </w:r>
          </w:p>
        </w:tc>
        <w:tc>
          <w:tcPr>
            <w:tcW w:w="313" w:type="pct"/>
            <w:tcBorders>
              <w:left w:val="single" w:sz="4" w:space="0" w:color="auto"/>
              <w:bottom w:val="single" w:sz="4" w:space="0" w:color="auto"/>
              <w:right w:val="single" w:sz="4" w:space="0" w:color="auto"/>
            </w:tcBorders>
            <w:noWrap/>
            <w:vAlign w:val="center"/>
          </w:tcPr>
          <w:p w14:paraId="61154A3B" w14:textId="542870DD" w:rsidR="0019728D"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56" w:type="pct"/>
            <w:tcBorders>
              <w:left w:val="single" w:sz="4" w:space="0" w:color="auto"/>
              <w:bottom w:val="single" w:sz="4" w:space="0" w:color="auto"/>
              <w:right w:val="single" w:sz="4" w:space="0" w:color="auto"/>
            </w:tcBorders>
            <w:noWrap/>
            <w:vAlign w:val="center"/>
          </w:tcPr>
          <w:p w14:paraId="08CDB598" w14:textId="06D53F31" w:rsidR="0019728D"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left w:val="single" w:sz="4" w:space="0" w:color="auto"/>
              <w:bottom w:val="single" w:sz="4" w:space="0" w:color="auto"/>
              <w:right w:val="single" w:sz="4" w:space="0" w:color="auto"/>
            </w:tcBorders>
            <w:noWrap/>
            <w:vAlign w:val="center"/>
          </w:tcPr>
          <w:p w14:paraId="56BC3ADF" w14:textId="2ECC1E2E" w:rsidR="0019728D"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0" w:type="pct"/>
            <w:tcBorders>
              <w:left w:val="single" w:sz="4" w:space="0" w:color="auto"/>
              <w:bottom w:val="single" w:sz="4" w:space="0" w:color="auto"/>
              <w:right w:val="single" w:sz="4" w:space="0" w:color="auto"/>
            </w:tcBorders>
            <w:noWrap/>
            <w:vAlign w:val="center"/>
          </w:tcPr>
          <w:p w14:paraId="0E2B4EC3" w14:textId="7276E98C" w:rsidR="0019728D"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left w:val="single" w:sz="4" w:space="0" w:color="auto"/>
              <w:bottom w:val="single" w:sz="4" w:space="0" w:color="auto"/>
              <w:right w:val="single" w:sz="4" w:space="0" w:color="auto"/>
            </w:tcBorders>
            <w:noWrap/>
            <w:vAlign w:val="center"/>
          </w:tcPr>
          <w:p w14:paraId="2E7948D6" w14:textId="512A85CB" w:rsidR="0019728D" w:rsidRPr="00691295" w:rsidRDefault="00F84A22" w:rsidP="004C132F">
            <w:pPr>
              <w:spacing w:before="0" w:after="0" w:line="240" w:lineRule="auto"/>
              <w:jc w:val="center"/>
              <w:rPr>
                <w:rFonts w:eastAsia="Times New Roman" w:cs="Arial"/>
                <w:b/>
                <w:kern w:val="0"/>
                <w:sz w:val="21"/>
                <w:szCs w:val="21"/>
                <w:lang w:eastAsia="en-AU"/>
                <w14:ligatures w14:val="none"/>
              </w:rPr>
            </w:pPr>
            <w:r>
              <w:rPr>
                <w:rFonts w:eastAsia="Times New Roman" w:cs="Arial"/>
                <w:kern w:val="0"/>
                <w:sz w:val="21"/>
                <w:szCs w:val="21"/>
                <w:lang w:eastAsia="en-AU"/>
                <w14:ligatures w14:val="none"/>
              </w:rPr>
              <w:t>No</w:t>
            </w:r>
          </w:p>
        </w:tc>
        <w:tc>
          <w:tcPr>
            <w:tcW w:w="358" w:type="pct"/>
            <w:tcBorders>
              <w:left w:val="single" w:sz="4" w:space="0" w:color="auto"/>
              <w:bottom w:val="single" w:sz="4" w:space="0" w:color="auto"/>
              <w:right w:val="single" w:sz="4" w:space="0" w:color="auto"/>
            </w:tcBorders>
            <w:noWrap/>
            <w:vAlign w:val="center"/>
          </w:tcPr>
          <w:p w14:paraId="7DEC03D8" w14:textId="29BDA963" w:rsidR="0019728D"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03" w:type="pct"/>
            <w:tcBorders>
              <w:left w:val="single" w:sz="4" w:space="0" w:color="auto"/>
              <w:bottom w:val="single" w:sz="4" w:space="0" w:color="auto"/>
              <w:right w:val="single" w:sz="4" w:space="0" w:color="auto"/>
            </w:tcBorders>
            <w:noWrap/>
            <w:vAlign w:val="center"/>
          </w:tcPr>
          <w:p w14:paraId="625C67F5" w14:textId="6629833C" w:rsidR="0019728D"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66" w:type="pct"/>
            <w:tcBorders>
              <w:left w:val="single" w:sz="4" w:space="0" w:color="auto"/>
              <w:bottom w:val="single" w:sz="4" w:space="0" w:color="auto"/>
            </w:tcBorders>
            <w:noWrap/>
            <w:vAlign w:val="center"/>
          </w:tcPr>
          <w:p w14:paraId="0E0D10D4" w14:textId="508DA7E0" w:rsidR="0019728D" w:rsidRPr="00691295" w:rsidRDefault="00BC1093" w:rsidP="004C132F">
            <w:pPr>
              <w:spacing w:before="0" w:after="0" w:line="240" w:lineRule="auto"/>
              <w:jc w:val="center"/>
              <w:rPr>
                <w:rFonts w:eastAsia="Times New Roman" w:cs="Arial"/>
                <w:kern w:val="0"/>
                <w:sz w:val="21"/>
                <w:szCs w:val="21"/>
                <w:lang w:eastAsia="en-AU"/>
                <w14:ligatures w14:val="none"/>
              </w:rPr>
            </w:pPr>
            <w:r w:rsidRPr="00691295">
              <w:rPr>
                <w:rFonts w:eastAsia="Aptos" w:cs="Arial"/>
                <w:noProof/>
                <w:sz w:val="21"/>
                <w:szCs w:val="21"/>
                <w:lang w:eastAsia="en-US"/>
              </w:rPr>
              <w:t>Yes</w:t>
            </w:r>
          </w:p>
        </w:tc>
      </w:tr>
      <w:tr w:rsidR="001A18E3" w:rsidRPr="00670774" w14:paraId="204C3382" w14:textId="77777777" w:rsidTr="001A18E3">
        <w:trPr>
          <w:trHeight w:val="310"/>
        </w:trPr>
        <w:tc>
          <w:tcPr>
            <w:tcW w:w="982" w:type="pct"/>
            <w:tcBorders>
              <w:bottom w:val="single" w:sz="4" w:space="0" w:color="auto"/>
            </w:tcBorders>
            <w:noWrap/>
            <w:vAlign w:val="center"/>
          </w:tcPr>
          <w:p w14:paraId="4BEC076E" w14:textId="5C139795" w:rsidR="00F67E66" w:rsidRPr="00987817" w:rsidRDefault="003F3936"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Emotional Regulation Checklist</w:t>
            </w:r>
          </w:p>
        </w:tc>
        <w:tc>
          <w:tcPr>
            <w:tcW w:w="359" w:type="pct"/>
            <w:tcBorders>
              <w:top w:val="single" w:sz="4" w:space="0" w:color="auto"/>
              <w:bottom w:val="single" w:sz="4" w:space="0" w:color="auto"/>
              <w:right w:val="single" w:sz="4" w:space="0" w:color="auto"/>
            </w:tcBorders>
            <w:noWrap/>
            <w:vAlign w:val="center"/>
          </w:tcPr>
          <w:p w14:paraId="38E5E48C" w14:textId="4C1331DB" w:rsidR="00F67E66" w:rsidRPr="00987817" w:rsidRDefault="00BE7249" w:rsidP="00670774">
            <w:pPr>
              <w:spacing w:line="240" w:lineRule="auto"/>
              <w:rPr>
                <w:rFonts w:cs="Arial"/>
                <w:sz w:val="21"/>
                <w:szCs w:val="21"/>
              </w:rPr>
            </w:pPr>
            <w:hyperlink w:anchor="_Emotional_Regulation_Checklist" w:history="1">
              <w:r w:rsidRPr="00987817">
                <w:rPr>
                  <w:rStyle w:val="Hyperlink"/>
                  <w:rFonts w:cs="Arial"/>
                  <w:sz w:val="21"/>
                  <w:szCs w:val="21"/>
                </w:rPr>
                <w:t>ERC</w:t>
              </w:r>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667DA3AD" w14:textId="4D315E58" w:rsidR="00F67E66"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12" w:type="pct"/>
            <w:tcBorders>
              <w:left w:val="single" w:sz="4" w:space="0" w:color="auto"/>
              <w:bottom w:val="single" w:sz="4" w:space="0" w:color="auto"/>
              <w:right w:val="single" w:sz="4" w:space="0" w:color="auto"/>
            </w:tcBorders>
            <w:noWrap/>
            <w:vAlign w:val="center"/>
          </w:tcPr>
          <w:p w14:paraId="7CFD155C" w14:textId="434C4A53" w:rsidR="00F67E66"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13" w:type="pct"/>
            <w:tcBorders>
              <w:left w:val="single" w:sz="4" w:space="0" w:color="auto"/>
              <w:bottom w:val="single" w:sz="4" w:space="0" w:color="auto"/>
              <w:right w:val="single" w:sz="4" w:space="0" w:color="auto"/>
            </w:tcBorders>
            <w:noWrap/>
            <w:vAlign w:val="center"/>
          </w:tcPr>
          <w:p w14:paraId="142971BF" w14:textId="5B0CE148" w:rsidR="00F67E66"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56" w:type="pct"/>
            <w:tcBorders>
              <w:left w:val="single" w:sz="4" w:space="0" w:color="auto"/>
              <w:bottom w:val="single" w:sz="4" w:space="0" w:color="auto"/>
              <w:right w:val="single" w:sz="4" w:space="0" w:color="auto"/>
            </w:tcBorders>
            <w:noWrap/>
            <w:vAlign w:val="center"/>
          </w:tcPr>
          <w:p w14:paraId="14FD61AA" w14:textId="37F7F4F3" w:rsidR="00F67E66"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left w:val="single" w:sz="4" w:space="0" w:color="auto"/>
              <w:bottom w:val="single" w:sz="4" w:space="0" w:color="auto"/>
              <w:right w:val="single" w:sz="4" w:space="0" w:color="auto"/>
            </w:tcBorders>
            <w:noWrap/>
            <w:vAlign w:val="center"/>
          </w:tcPr>
          <w:p w14:paraId="57986FDA" w14:textId="3CA0F53C" w:rsidR="00F67E66"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0" w:type="pct"/>
            <w:tcBorders>
              <w:left w:val="single" w:sz="4" w:space="0" w:color="auto"/>
              <w:bottom w:val="single" w:sz="4" w:space="0" w:color="auto"/>
              <w:right w:val="single" w:sz="4" w:space="0" w:color="auto"/>
            </w:tcBorders>
            <w:noWrap/>
            <w:vAlign w:val="center"/>
          </w:tcPr>
          <w:p w14:paraId="0E07E7C6" w14:textId="5CF3B409" w:rsidR="00F67E66"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left w:val="single" w:sz="4" w:space="0" w:color="auto"/>
              <w:bottom w:val="single" w:sz="4" w:space="0" w:color="auto"/>
              <w:right w:val="single" w:sz="4" w:space="0" w:color="auto"/>
            </w:tcBorders>
            <w:noWrap/>
            <w:vAlign w:val="center"/>
          </w:tcPr>
          <w:p w14:paraId="605347C8" w14:textId="5E1DB805" w:rsidR="00F67E66" w:rsidRPr="00691295" w:rsidRDefault="00F84A22" w:rsidP="004C132F">
            <w:pPr>
              <w:spacing w:before="0" w:after="0" w:line="240" w:lineRule="auto"/>
              <w:jc w:val="center"/>
              <w:rPr>
                <w:rFonts w:eastAsia="Times New Roman" w:cs="Arial"/>
                <w:b/>
                <w:kern w:val="0"/>
                <w:sz w:val="21"/>
                <w:szCs w:val="21"/>
                <w:lang w:eastAsia="en-AU"/>
                <w14:ligatures w14:val="none"/>
              </w:rPr>
            </w:pPr>
            <w:r>
              <w:rPr>
                <w:rFonts w:eastAsia="Times New Roman" w:cs="Arial"/>
                <w:kern w:val="0"/>
                <w:sz w:val="21"/>
                <w:szCs w:val="21"/>
                <w:lang w:eastAsia="en-AU"/>
                <w14:ligatures w14:val="none"/>
              </w:rPr>
              <w:t>No</w:t>
            </w:r>
          </w:p>
        </w:tc>
        <w:tc>
          <w:tcPr>
            <w:tcW w:w="358" w:type="pct"/>
            <w:tcBorders>
              <w:left w:val="single" w:sz="4" w:space="0" w:color="auto"/>
              <w:bottom w:val="single" w:sz="4" w:space="0" w:color="auto"/>
              <w:right w:val="single" w:sz="4" w:space="0" w:color="auto"/>
            </w:tcBorders>
            <w:noWrap/>
            <w:vAlign w:val="center"/>
          </w:tcPr>
          <w:p w14:paraId="75F5ADFA" w14:textId="363B56E4" w:rsidR="00F67E66"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03" w:type="pct"/>
            <w:tcBorders>
              <w:left w:val="single" w:sz="4" w:space="0" w:color="auto"/>
              <w:bottom w:val="single" w:sz="4" w:space="0" w:color="auto"/>
              <w:right w:val="single" w:sz="4" w:space="0" w:color="auto"/>
            </w:tcBorders>
            <w:noWrap/>
            <w:vAlign w:val="center"/>
          </w:tcPr>
          <w:p w14:paraId="6D20465B" w14:textId="260DE35B" w:rsidR="00F67E66"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66" w:type="pct"/>
            <w:tcBorders>
              <w:left w:val="single" w:sz="4" w:space="0" w:color="auto"/>
              <w:bottom w:val="single" w:sz="4" w:space="0" w:color="auto"/>
            </w:tcBorders>
            <w:noWrap/>
            <w:vAlign w:val="center"/>
          </w:tcPr>
          <w:p w14:paraId="0A37F8B0" w14:textId="668B1B38" w:rsidR="00F67E66" w:rsidRPr="00691295" w:rsidRDefault="00BC1093" w:rsidP="004C132F">
            <w:pPr>
              <w:spacing w:before="0" w:after="0" w:line="240" w:lineRule="auto"/>
              <w:jc w:val="center"/>
              <w:rPr>
                <w:rFonts w:eastAsia="Times New Roman" w:cs="Arial"/>
                <w:kern w:val="0"/>
                <w:sz w:val="21"/>
                <w:szCs w:val="21"/>
                <w:lang w:eastAsia="en-AU"/>
                <w14:ligatures w14:val="none"/>
              </w:rPr>
            </w:pPr>
            <w:r w:rsidRPr="00691295">
              <w:rPr>
                <w:rFonts w:eastAsia="Aptos" w:cs="Arial"/>
                <w:noProof/>
                <w:sz w:val="21"/>
                <w:szCs w:val="21"/>
                <w:lang w:eastAsia="en-US"/>
              </w:rPr>
              <w:t>Yes</w:t>
            </w:r>
          </w:p>
        </w:tc>
      </w:tr>
      <w:tr w:rsidR="001A18E3" w:rsidRPr="00670774" w14:paraId="53049F68" w14:textId="77777777" w:rsidTr="001A18E3">
        <w:trPr>
          <w:trHeight w:val="310"/>
        </w:trPr>
        <w:tc>
          <w:tcPr>
            <w:tcW w:w="982" w:type="pct"/>
            <w:tcBorders>
              <w:bottom w:val="single" w:sz="4" w:space="0" w:color="auto"/>
            </w:tcBorders>
            <w:noWrap/>
            <w:vAlign w:val="center"/>
          </w:tcPr>
          <w:p w14:paraId="7466F93D" w14:textId="731422BC" w:rsidR="005733C5" w:rsidRPr="00987817" w:rsidRDefault="005733C5"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Functional Independence Measure for Children</w:t>
            </w:r>
          </w:p>
        </w:tc>
        <w:tc>
          <w:tcPr>
            <w:tcW w:w="359" w:type="pct"/>
            <w:tcBorders>
              <w:top w:val="single" w:sz="4" w:space="0" w:color="auto"/>
              <w:bottom w:val="single" w:sz="4" w:space="0" w:color="auto"/>
              <w:right w:val="single" w:sz="4" w:space="0" w:color="auto"/>
            </w:tcBorders>
            <w:noWrap/>
            <w:vAlign w:val="center"/>
          </w:tcPr>
          <w:p w14:paraId="2D748A14" w14:textId="50687407" w:rsidR="005733C5" w:rsidRPr="00987817" w:rsidRDefault="005733C5" w:rsidP="00670774">
            <w:pPr>
              <w:spacing w:line="240" w:lineRule="auto"/>
              <w:rPr>
                <w:rFonts w:cs="Arial"/>
                <w:sz w:val="21"/>
                <w:szCs w:val="21"/>
              </w:rPr>
            </w:pPr>
            <w:hyperlink w:anchor="_The_Functional_Independence" w:history="1">
              <w:proofErr w:type="spellStart"/>
              <w:r w:rsidRPr="00987817">
                <w:rPr>
                  <w:rStyle w:val="Hyperlink"/>
                  <w:rFonts w:cs="Arial"/>
                  <w:sz w:val="21"/>
                  <w:szCs w:val="21"/>
                </w:rPr>
                <w:t>WeeFIM</w:t>
              </w:r>
              <w:proofErr w:type="spellEnd"/>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6AE1F0E9" w14:textId="4C17F332" w:rsidR="005733C5"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12" w:type="pct"/>
            <w:tcBorders>
              <w:left w:val="single" w:sz="4" w:space="0" w:color="auto"/>
              <w:bottom w:val="single" w:sz="4" w:space="0" w:color="auto"/>
              <w:right w:val="single" w:sz="4" w:space="0" w:color="auto"/>
            </w:tcBorders>
            <w:noWrap/>
            <w:vAlign w:val="center"/>
          </w:tcPr>
          <w:p w14:paraId="78E41E11" w14:textId="250A8295" w:rsidR="005733C5"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13" w:type="pct"/>
            <w:tcBorders>
              <w:left w:val="single" w:sz="4" w:space="0" w:color="auto"/>
              <w:bottom w:val="single" w:sz="4" w:space="0" w:color="auto"/>
              <w:right w:val="single" w:sz="4" w:space="0" w:color="auto"/>
            </w:tcBorders>
            <w:noWrap/>
            <w:vAlign w:val="center"/>
          </w:tcPr>
          <w:p w14:paraId="62626317" w14:textId="50CCA727" w:rsidR="005733C5"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56" w:type="pct"/>
            <w:tcBorders>
              <w:left w:val="single" w:sz="4" w:space="0" w:color="auto"/>
              <w:bottom w:val="single" w:sz="4" w:space="0" w:color="auto"/>
              <w:right w:val="single" w:sz="4" w:space="0" w:color="auto"/>
            </w:tcBorders>
            <w:noWrap/>
            <w:vAlign w:val="center"/>
          </w:tcPr>
          <w:p w14:paraId="73805F5D" w14:textId="6213DD72" w:rsidR="005733C5"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left w:val="single" w:sz="4" w:space="0" w:color="auto"/>
              <w:bottom w:val="single" w:sz="4" w:space="0" w:color="auto"/>
              <w:right w:val="single" w:sz="4" w:space="0" w:color="auto"/>
            </w:tcBorders>
            <w:noWrap/>
            <w:vAlign w:val="center"/>
          </w:tcPr>
          <w:p w14:paraId="1ED77636" w14:textId="2E138225" w:rsidR="005733C5"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0" w:type="pct"/>
            <w:tcBorders>
              <w:left w:val="single" w:sz="4" w:space="0" w:color="auto"/>
              <w:bottom w:val="single" w:sz="4" w:space="0" w:color="auto"/>
              <w:right w:val="single" w:sz="4" w:space="0" w:color="auto"/>
            </w:tcBorders>
            <w:noWrap/>
            <w:vAlign w:val="center"/>
          </w:tcPr>
          <w:p w14:paraId="4ADEC02C" w14:textId="12F48A4E" w:rsidR="005733C5"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403" w:type="pct"/>
            <w:tcBorders>
              <w:left w:val="single" w:sz="4" w:space="0" w:color="auto"/>
              <w:bottom w:val="single" w:sz="4" w:space="0" w:color="auto"/>
              <w:right w:val="single" w:sz="4" w:space="0" w:color="auto"/>
            </w:tcBorders>
            <w:noWrap/>
            <w:vAlign w:val="center"/>
          </w:tcPr>
          <w:p w14:paraId="5E7F278F" w14:textId="7A084F81" w:rsidR="005733C5" w:rsidRPr="00691295" w:rsidRDefault="00BC1093" w:rsidP="004C132F">
            <w:pPr>
              <w:spacing w:before="0" w:after="0" w:line="240" w:lineRule="auto"/>
              <w:jc w:val="center"/>
              <w:rPr>
                <w:rFonts w:eastAsia="Times New Roman" w:cs="Arial"/>
                <w:b/>
                <w:kern w:val="0"/>
                <w:sz w:val="21"/>
                <w:szCs w:val="21"/>
                <w:lang w:eastAsia="en-AU"/>
                <w14:ligatures w14:val="none"/>
              </w:rPr>
            </w:pPr>
            <w:r w:rsidRPr="00691295">
              <w:rPr>
                <w:rFonts w:eastAsia="Aptos" w:cs="Arial"/>
                <w:noProof/>
                <w:sz w:val="21"/>
                <w:szCs w:val="21"/>
                <w:lang w:eastAsia="en-US"/>
              </w:rPr>
              <w:t>Yes</w:t>
            </w:r>
          </w:p>
        </w:tc>
        <w:tc>
          <w:tcPr>
            <w:tcW w:w="358" w:type="pct"/>
            <w:tcBorders>
              <w:left w:val="single" w:sz="4" w:space="0" w:color="auto"/>
              <w:bottom w:val="single" w:sz="4" w:space="0" w:color="auto"/>
              <w:right w:val="single" w:sz="4" w:space="0" w:color="auto"/>
            </w:tcBorders>
            <w:noWrap/>
            <w:vAlign w:val="center"/>
          </w:tcPr>
          <w:p w14:paraId="4F1D6F0B" w14:textId="39EDB144" w:rsidR="005733C5"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03" w:type="pct"/>
            <w:tcBorders>
              <w:left w:val="single" w:sz="4" w:space="0" w:color="auto"/>
              <w:bottom w:val="single" w:sz="4" w:space="0" w:color="auto"/>
              <w:right w:val="single" w:sz="4" w:space="0" w:color="auto"/>
            </w:tcBorders>
            <w:noWrap/>
            <w:vAlign w:val="center"/>
          </w:tcPr>
          <w:p w14:paraId="3739C786" w14:textId="07200E8B" w:rsidR="005733C5"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66" w:type="pct"/>
            <w:tcBorders>
              <w:left w:val="single" w:sz="4" w:space="0" w:color="auto"/>
              <w:bottom w:val="single" w:sz="4" w:space="0" w:color="auto"/>
            </w:tcBorders>
            <w:noWrap/>
            <w:vAlign w:val="center"/>
          </w:tcPr>
          <w:p w14:paraId="3EA820F1" w14:textId="1D2C953F" w:rsidR="005733C5"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r>
      <w:tr w:rsidR="001A18E3" w:rsidRPr="00670774" w14:paraId="3503E3B7" w14:textId="77777777" w:rsidTr="001A18E3">
        <w:trPr>
          <w:trHeight w:val="310"/>
        </w:trPr>
        <w:tc>
          <w:tcPr>
            <w:tcW w:w="982" w:type="pct"/>
            <w:tcBorders>
              <w:bottom w:val="single" w:sz="4" w:space="0" w:color="auto"/>
            </w:tcBorders>
            <w:noWrap/>
            <w:vAlign w:val="center"/>
          </w:tcPr>
          <w:p w14:paraId="2792FD44" w14:textId="5D26540B" w:rsidR="00BE7249" w:rsidRPr="00987817" w:rsidRDefault="00BE7249"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Goal Attainment Scale</w:t>
            </w:r>
          </w:p>
        </w:tc>
        <w:tc>
          <w:tcPr>
            <w:tcW w:w="359" w:type="pct"/>
            <w:tcBorders>
              <w:top w:val="single" w:sz="4" w:space="0" w:color="auto"/>
              <w:bottom w:val="single" w:sz="4" w:space="0" w:color="auto"/>
              <w:right w:val="single" w:sz="4" w:space="0" w:color="auto"/>
            </w:tcBorders>
            <w:noWrap/>
            <w:vAlign w:val="center"/>
          </w:tcPr>
          <w:p w14:paraId="4D0AEC0D" w14:textId="263C9048" w:rsidR="00BE7249" w:rsidRPr="00987817" w:rsidRDefault="00BE7249" w:rsidP="00670774">
            <w:pPr>
              <w:spacing w:line="240" w:lineRule="auto"/>
              <w:rPr>
                <w:rFonts w:cs="Arial"/>
                <w:sz w:val="21"/>
                <w:szCs w:val="21"/>
              </w:rPr>
            </w:pPr>
            <w:hyperlink w:anchor="_Goal_Attainment_Scaling" w:history="1">
              <w:r w:rsidRPr="00987817">
                <w:rPr>
                  <w:rStyle w:val="Hyperlink"/>
                  <w:rFonts w:cs="Arial"/>
                  <w:sz w:val="21"/>
                  <w:szCs w:val="21"/>
                </w:rPr>
                <w:t>GAS</w:t>
              </w:r>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370E7A1A" w14:textId="17907D59" w:rsidR="00BE7249"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12" w:type="pct"/>
            <w:tcBorders>
              <w:left w:val="single" w:sz="4" w:space="0" w:color="auto"/>
              <w:bottom w:val="single" w:sz="4" w:space="0" w:color="auto"/>
              <w:right w:val="single" w:sz="4" w:space="0" w:color="auto"/>
            </w:tcBorders>
            <w:noWrap/>
            <w:vAlign w:val="center"/>
          </w:tcPr>
          <w:p w14:paraId="416F06F2" w14:textId="64991699" w:rsidR="00BE7249"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13" w:type="pct"/>
            <w:tcBorders>
              <w:left w:val="single" w:sz="4" w:space="0" w:color="auto"/>
              <w:bottom w:val="single" w:sz="4" w:space="0" w:color="auto"/>
              <w:right w:val="single" w:sz="4" w:space="0" w:color="auto"/>
            </w:tcBorders>
            <w:noWrap/>
            <w:vAlign w:val="center"/>
          </w:tcPr>
          <w:p w14:paraId="5B6A4109" w14:textId="341BEC95" w:rsidR="00BE7249" w:rsidRPr="00691295" w:rsidRDefault="00BC1093" w:rsidP="004C132F">
            <w:pPr>
              <w:spacing w:before="0" w:after="0" w:line="240" w:lineRule="auto"/>
              <w:jc w:val="center"/>
              <w:rPr>
                <w:rFonts w:eastAsia="Times New Roman" w:cs="Arial"/>
                <w:kern w:val="0"/>
                <w:sz w:val="21"/>
                <w:szCs w:val="21"/>
                <w:lang w:eastAsia="en-AU"/>
                <w14:ligatures w14:val="none"/>
              </w:rPr>
            </w:pPr>
            <w:r w:rsidRPr="00691295">
              <w:rPr>
                <w:rFonts w:eastAsia="Aptos" w:cs="Arial"/>
                <w:noProof/>
                <w:sz w:val="21"/>
                <w:szCs w:val="21"/>
                <w:lang w:eastAsia="en-US"/>
              </w:rPr>
              <w:t>Yes</w:t>
            </w:r>
          </w:p>
        </w:tc>
        <w:tc>
          <w:tcPr>
            <w:tcW w:w="356" w:type="pct"/>
            <w:tcBorders>
              <w:left w:val="single" w:sz="4" w:space="0" w:color="auto"/>
              <w:bottom w:val="single" w:sz="4" w:space="0" w:color="auto"/>
              <w:right w:val="single" w:sz="4" w:space="0" w:color="auto"/>
            </w:tcBorders>
            <w:noWrap/>
            <w:vAlign w:val="center"/>
          </w:tcPr>
          <w:p w14:paraId="164DEF48" w14:textId="2FB4D45E" w:rsidR="00BE7249"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403" w:type="pct"/>
            <w:tcBorders>
              <w:left w:val="single" w:sz="4" w:space="0" w:color="auto"/>
              <w:bottom w:val="single" w:sz="4" w:space="0" w:color="auto"/>
              <w:right w:val="single" w:sz="4" w:space="0" w:color="auto"/>
            </w:tcBorders>
            <w:noWrap/>
            <w:vAlign w:val="center"/>
          </w:tcPr>
          <w:p w14:paraId="46E15E0B" w14:textId="3A7DA24F" w:rsidR="00BE7249"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400" w:type="pct"/>
            <w:tcBorders>
              <w:left w:val="single" w:sz="4" w:space="0" w:color="auto"/>
              <w:bottom w:val="single" w:sz="4" w:space="0" w:color="auto"/>
              <w:right w:val="single" w:sz="4" w:space="0" w:color="auto"/>
            </w:tcBorders>
            <w:noWrap/>
            <w:vAlign w:val="center"/>
          </w:tcPr>
          <w:p w14:paraId="4EE1B160" w14:textId="43772E21" w:rsidR="00BE7249"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403" w:type="pct"/>
            <w:tcBorders>
              <w:left w:val="single" w:sz="4" w:space="0" w:color="auto"/>
              <w:bottom w:val="single" w:sz="4" w:space="0" w:color="auto"/>
              <w:right w:val="single" w:sz="4" w:space="0" w:color="auto"/>
            </w:tcBorders>
            <w:noWrap/>
            <w:vAlign w:val="center"/>
          </w:tcPr>
          <w:p w14:paraId="435E807F" w14:textId="3CE061FC" w:rsidR="00BE7249" w:rsidRPr="00691295" w:rsidRDefault="00BC1093" w:rsidP="004C132F">
            <w:pPr>
              <w:spacing w:before="0" w:after="0" w:line="240" w:lineRule="auto"/>
              <w:jc w:val="center"/>
              <w:rPr>
                <w:rFonts w:eastAsia="Times New Roman" w:cs="Arial"/>
                <w:b/>
                <w:kern w:val="0"/>
                <w:sz w:val="21"/>
                <w:szCs w:val="21"/>
                <w:lang w:eastAsia="en-AU"/>
                <w14:ligatures w14:val="none"/>
              </w:rPr>
            </w:pPr>
            <w:r w:rsidRPr="00691295">
              <w:rPr>
                <w:rFonts w:eastAsia="Aptos" w:cs="Arial"/>
                <w:noProof/>
                <w:sz w:val="21"/>
                <w:szCs w:val="21"/>
                <w:lang w:eastAsia="en-US"/>
              </w:rPr>
              <w:t>Yes</w:t>
            </w:r>
          </w:p>
        </w:tc>
        <w:tc>
          <w:tcPr>
            <w:tcW w:w="358" w:type="pct"/>
            <w:tcBorders>
              <w:left w:val="single" w:sz="4" w:space="0" w:color="auto"/>
              <w:bottom w:val="single" w:sz="4" w:space="0" w:color="auto"/>
              <w:right w:val="single" w:sz="4" w:space="0" w:color="auto"/>
            </w:tcBorders>
            <w:noWrap/>
            <w:vAlign w:val="center"/>
          </w:tcPr>
          <w:p w14:paraId="1B747310" w14:textId="74E56037" w:rsidR="00BE7249"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03" w:type="pct"/>
            <w:tcBorders>
              <w:left w:val="single" w:sz="4" w:space="0" w:color="auto"/>
              <w:bottom w:val="single" w:sz="4" w:space="0" w:color="auto"/>
              <w:right w:val="single" w:sz="4" w:space="0" w:color="auto"/>
            </w:tcBorders>
            <w:noWrap/>
            <w:vAlign w:val="center"/>
          </w:tcPr>
          <w:p w14:paraId="5D6EE801" w14:textId="1598C594" w:rsidR="00BE7249"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66" w:type="pct"/>
            <w:tcBorders>
              <w:left w:val="single" w:sz="4" w:space="0" w:color="auto"/>
              <w:bottom w:val="single" w:sz="4" w:space="0" w:color="auto"/>
            </w:tcBorders>
            <w:noWrap/>
            <w:vAlign w:val="center"/>
          </w:tcPr>
          <w:p w14:paraId="02C75B3D" w14:textId="78C0E1EB" w:rsidR="00BE7249"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r>
      <w:tr w:rsidR="001A18E3" w:rsidRPr="00670774" w14:paraId="5DA5FD58" w14:textId="77777777" w:rsidTr="001A18E3">
        <w:trPr>
          <w:trHeight w:val="320"/>
        </w:trPr>
        <w:tc>
          <w:tcPr>
            <w:tcW w:w="982" w:type="pct"/>
            <w:tcBorders>
              <w:top w:val="single" w:sz="4" w:space="0" w:color="auto"/>
              <w:bottom w:val="single" w:sz="4" w:space="0" w:color="auto"/>
            </w:tcBorders>
            <w:noWrap/>
            <w:vAlign w:val="center"/>
            <w:hideMark/>
          </w:tcPr>
          <w:p w14:paraId="09DCBB30" w14:textId="77777777" w:rsidR="007604EF" w:rsidRPr="00987817" w:rsidRDefault="007604EF"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 xml:space="preserve">Infant Toddler Social Emotional Assessment </w:t>
            </w:r>
          </w:p>
        </w:tc>
        <w:tc>
          <w:tcPr>
            <w:tcW w:w="359" w:type="pct"/>
            <w:tcBorders>
              <w:top w:val="single" w:sz="4" w:space="0" w:color="auto"/>
              <w:bottom w:val="single" w:sz="4" w:space="0" w:color="auto"/>
              <w:right w:val="single" w:sz="4" w:space="0" w:color="auto"/>
            </w:tcBorders>
            <w:noWrap/>
            <w:vAlign w:val="center"/>
            <w:hideMark/>
          </w:tcPr>
          <w:p w14:paraId="7405C899" w14:textId="48D8EC88" w:rsidR="007604EF" w:rsidRPr="00987817" w:rsidRDefault="007604EF" w:rsidP="00670774">
            <w:pPr>
              <w:spacing w:line="240" w:lineRule="auto"/>
              <w:rPr>
                <w:rFonts w:eastAsia="Times New Roman" w:cs="Arial"/>
                <w:color w:val="000000"/>
                <w:kern w:val="0"/>
                <w:sz w:val="21"/>
                <w:szCs w:val="21"/>
                <w:lang w:eastAsia="en-AU"/>
                <w14:ligatures w14:val="none"/>
              </w:rPr>
            </w:pPr>
            <w:hyperlink w:anchor="_Infant_Toddler_Social_1" w:history="1">
              <w:r w:rsidRPr="00987817">
                <w:rPr>
                  <w:rStyle w:val="Hyperlink"/>
                  <w:rFonts w:eastAsia="Times New Roman" w:cs="Arial"/>
                  <w:kern w:val="0"/>
                  <w:sz w:val="21"/>
                  <w:szCs w:val="21"/>
                  <w:lang w:eastAsia="en-AU"/>
                  <w14:ligatures w14:val="none"/>
                </w:rPr>
                <w:t>ITSEA</w:t>
              </w:r>
            </w:hyperlink>
          </w:p>
        </w:tc>
        <w:tc>
          <w:tcPr>
            <w:tcW w:w="445" w:type="pct"/>
            <w:tcBorders>
              <w:top w:val="single" w:sz="4" w:space="0" w:color="auto"/>
              <w:left w:val="single" w:sz="4" w:space="0" w:color="auto"/>
              <w:bottom w:val="single" w:sz="4" w:space="0" w:color="auto"/>
              <w:right w:val="single" w:sz="4" w:space="0" w:color="auto"/>
            </w:tcBorders>
            <w:noWrap/>
            <w:vAlign w:val="center"/>
            <w:hideMark/>
          </w:tcPr>
          <w:p w14:paraId="1CED7D36" w14:textId="7C444BD0" w:rsidR="007604EF" w:rsidRPr="00691295" w:rsidRDefault="00BC1093" w:rsidP="004C132F">
            <w:pPr>
              <w:spacing w:before="0" w:after="0" w:line="240" w:lineRule="auto"/>
              <w:jc w:val="center"/>
              <w:rPr>
                <w:rFonts w:eastAsia="Times New Roman" w:cs="Arial"/>
                <w:b/>
                <w:kern w:val="0"/>
                <w:sz w:val="21"/>
                <w:szCs w:val="21"/>
                <w:lang w:eastAsia="en-AU"/>
                <w14:ligatures w14:val="none"/>
              </w:rPr>
            </w:pPr>
            <w:r w:rsidRPr="00691295">
              <w:rPr>
                <w:rFonts w:eastAsia="Aptos" w:cs="Arial"/>
                <w:noProof/>
                <w:sz w:val="21"/>
                <w:szCs w:val="21"/>
                <w:lang w:eastAsia="en-US"/>
              </w:rPr>
              <w:t>Yes</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5DE93C2F" w14:textId="404446D1" w:rsidR="007604EF"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57B6C06C" w14:textId="53D29AFA" w:rsidR="007604EF"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1900D7E9" w14:textId="21A6ED8D" w:rsidR="007604EF"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top w:val="single" w:sz="4" w:space="0" w:color="auto"/>
              <w:left w:val="single" w:sz="4" w:space="0" w:color="auto"/>
              <w:bottom w:val="single" w:sz="4" w:space="0" w:color="auto"/>
              <w:right w:val="single" w:sz="4" w:space="0" w:color="auto"/>
            </w:tcBorders>
            <w:noWrap/>
            <w:vAlign w:val="center"/>
            <w:hideMark/>
          </w:tcPr>
          <w:p w14:paraId="5067D5F8" w14:textId="2E5C2389" w:rsidR="007604EF"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0" w:type="pct"/>
            <w:tcBorders>
              <w:top w:val="single" w:sz="4" w:space="0" w:color="auto"/>
              <w:left w:val="single" w:sz="4" w:space="0" w:color="auto"/>
              <w:bottom w:val="single" w:sz="4" w:space="0" w:color="auto"/>
              <w:right w:val="single" w:sz="4" w:space="0" w:color="auto"/>
            </w:tcBorders>
            <w:noWrap/>
            <w:vAlign w:val="center"/>
            <w:hideMark/>
          </w:tcPr>
          <w:p w14:paraId="3A885A25" w14:textId="51500100" w:rsidR="007604EF"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top w:val="single" w:sz="4" w:space="0" w:color="auto"/>
              <w:left w:val="single" w:sz="4" w:space="0" w:color="auto"/>
              <w:bottom w:val="single" w:sz="4" w:space="0" w:color="auto"/>
              <w:right w:val="single" w:sz="4" w:space="0" w:color="auto"/>
            </w:tcBorders>
            <w:noWrap/>
            <w:vAlign w:val="center"/>
            <w:hideMark/>
          </w:tcPr>
          <w:p w14:paraId="1BF7091F" w14:textId="5F888455" w:rsidR="007604EF"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58" w:type="pct"/>
            <w:tcBorders>
              <w:top w:val="single" w:sz="4" w:space="0" w:color="auto"/>
              <w:left w:val="single" w:sz="4" w:space="0" w:color="auto"/>
              <w:bottom w:val="single" w:sz="4" w:space="0" w:color="auto"/>
              <w:right w:val="single" w:sz="4" w:space="0" w:color="auto"/>
            </w:tcBorders>
            <w:noWrap/>
            <w:vAlign w:val="center"/>
            <w:hideMark/>
          </w:tcPr>
          <w:p w14:paraId="6F25AF45" w14:textId="058BF5D0" w:rsidR="007604EF"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13C1CF13" w14:textId="7CB22C37" w:rsidR="007604EF"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66" w:type="pct"/>
            <w:tcBorders>
              <w:top w:val="single" w:sz="4" w:space="0" w:color="auto"/>
              <w:left w:val="single" w:sz="4" w:space="0" w:color="auto"/>
              <w:bottom w:val="single" w:sz="4" w:space="0" w:color="auto"/>
            </w:tcBorders>
            <w:noWrap/>
            <w:vAlign w:val="center"/>
            <w:hideMark/>
          </w:tcPr>
          <w:p w14:paraId="0D31B9B0" w14:textId="3FE5F553" w:rsidR="007604EF" w:rsidRPr="00691295" w:rsidRDefault="00BC1093" w:rsidP="004C132F">
            <w:pPr>
              <w:spacing w:before="0" w:after="0" w:line="240" w:lineRule="auto"/>
              <w:jc w:val="center"/>
              <w:rPr>
                <w:rFonts w:eastAsia="Times New Roman" w:cs="Arial"/>
                <w:b/>
                <w:bCs/>
                <w:kern w:val="0"/>
                <w:sz w:val="21"/>
                <w:szCs w:val="21"/>
                <w:lang w:eastAsia="en-AU"/>
                <w14:ligatures w14:val="none"/>
              </w:rPr>
            </w:pPr>
            <w:r w:rsidRPr="00691295">
              <w:rPr>
                <w:rFonts w:eastAsia="Aptos" w:cs="Arial"/>
                <w:noProof/>
                <w:sz w:val="21"/>
                <w:szCs w:val="21"/>
                <w:lang w:eastAsia="en-US"/>
              </w:rPr>
              <w:t>Yes</w:t>
            </w:r>
          </w:p>
        </w:tc>
      </w:tr>
      <w:tr w:rsidR="001A18E3" w:rsidRPr="00670774" w14:paraId="675DFE69" w14:textId="77777777" w:rsidTr="001A18E3">
        <w:trPr>
          <w:trHeight w:val="320"/>
        </w:trPr>
        <w:tc>
          <w:tcPr>
            <w:tcW w:w="982" w:type="pct"/>
            <w:tcBorders>
              <w:top w:val="single" w:sz="4" w:space="0" w:color="auto"/>
              <w:bottom w:val="single" w:sz="4" w:space="0" w:color="auto"/>
            </w:tcBorders>
            <w:noWrap/>
            <w:vAlign w:val="center"/>
          </w:tcPr>
          <w:p w14:paraId="618A3E85" w14:textId="6EC58DCA" w:rsidR="009006FA" w:rsidRPr="00987817" w:rsidRDefault="004D1AE6"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Kindl</w:t>
            </w:r>
          </w:p>
        </w:tc>
        <w:tc>
          <w:tcPr>
            <w:tcW w:w="359" w:type="pct"/>
            <w:tcBorders>
              <w:top w:val="single" w:sz="4" w:space="0" w:color="auto"/>
              <w:bottom w:val="single" w:sz="4" w:space="0" w:color="auto"/>
              <w:right w:val="single" w:sz="4" w:space="0" w:color="auto"/>
            </w:tcBorders>
            <w:noWrap/>
            <w:vAlign w:val="center"/>
          </w:tcPr>
          <w:p w14:paraId="0F8D720D" w14:textId="2AE05D85" w:rsidR="009006FA" w:rsidRPr="00987817" w:rsidRDefault="004D1AE6" w:rsidP="00670774">
            <w:pPr>
              <w:spacing w:line="240" w:lineRule="auto"/>
              <w:rPr>
                <w:rFonts w:eastAsia="Times New Roman" w:cs="Arial"/>
                <w:color w:val="156082" w:themeColor="accent1"/>
                <w:kern w:val="0"/>
                <w:sz w:val="21"/>
                <w:szCs w:val="21"/>
                <w:u w:val="single"/>
                <w:lang w:eastAsia="en-AU"/>
                <w14:ligatures w14:val="none"/>
              </w:rPr>
            </w:pPr>
            <w:hyperlink w:anchor="_KINDL" w:history="1">
              <w:r w:rsidRPr="00987817">
                <w:rPr>
                  <w:rStyle w:val="Hyperlink"/>
                  <w:rFonts w:cs="Arial"/>
                  <w:sz w:val="21"/>
                  <w:szCs w:val="21"/>
                </w:rPr>
                <w:t>KINDL</w:t>
              </w:r>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405D0842" w14:textId="639338D7" w:rsidR="009006FA" w:rsidRPr="00691295" w:rsidRDefault="007827F5" w:rsidP="004C132F">
            <w:pPr>
              <w:spacing w:before="0" w:after="0" w:line="240" w:lineRule="auto"/>
              <w:jc w:val="center"/>
              <w:rPr>
                <w:rFonts w:eastAsia="Times New Roman" w:cs="Arial"/>
                <w:b/>
                <w:kern w:val="0"/>
                <w:sz w:val="21"/>
                <w:szCs w:val="21"/>
                <w:lang w:eastAsia="en-AU"/>
                <w14:ligatures w14:val="none"/>
              </w:rPr>
            </w:pPr>
            <w:r w:rsidRPr="00691295">
              <w:rPr>
                <w:rFonts w:cs="Arial"/>
                <w:noProof/>
                <w:sz w:val="21"/>
                <w:szCs w:val="21"/>
              </w:rPr>
              <w:t>Partial</w:t>
            </w:r>
          </w:p>
        </w:tc>
        <w:tc>
          <w:tcPr>
            <w:tcW w:w="312" w:type="pct"/>
            <w:tcBorders>
              <w:top w:val="single" w:sz="4" w:space="0" w:color="auto"/>
              <w:left w:val="single" w:sz="4" w:space="0" w:color="auto"/>
              <w:bottom w:val="single" w:sz="4" w:space="0" w:color="auto"/>
              <w:right w:val="single" w:sz="4" w:space="0" w:color="auto"/>
            </w:tcBorders>
            <w:noWrap/>
            <w:vAlign w:val="center"/>
          </w:tcPr>
          <w:p w14:paraId="4C1293E8" w14:textId="77AAD5C7" w:rsidR="009006FA"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313" w:type="pct"/>
            <w:tcBorders>
              <w:top w:val="single" w:sz="4" w:space="0" w:color="auto"/>
              <w:left w:val="single" w:sz="4" w:space="0" w:color="auto"/>
              <w:bottom w:val="single" w:sz="4" w:space="0" w:color="auto"/>
              <w:right w:val="single" w:sz="4" w:space="0" w:color="auto"/>
            </w:tcBorders>
            <w:noWrap/>
            <w:vAlign w:val="center"/>
          </w:tcPr>
          <w:p w14:paraId="7FC11381" w14:textId="5F92C5CE" w:rsidR="009006FA"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56" w:type="pct"/>
            <w:tcBorders>
              <w:top w:val="single" w:sz="4" w:space="0" w:color="auto"/>
              <w:left w:val="single" w:sz="4" w:space="0" w:color="auto"/>
              <w:bottom w:val="single" w:sz="4" w:space="0" w:color="auto"/>
              <w:right w:val="single" w:sz="4" w:space="0" w:color="auto"/>
            </w:tcBorders>
            <w:noWrap/>
            <w:vAlign w:val="center"/>
          </w:tcPr>
          <w:p w14:paraId="2D162F1B" w14:textId="6BC4A681" w:rsidR="009006FA" w:rsidRPr="00691295" w:rsidRDefault="007827F5" w:rsidP="004C132F">
            <w:pPr>
              <w:spacing w:before="0" w:after="0" w:line="240" w:lineRule="auto"/>
              <w:jc w:val="center"/>
              <w:rPr>
                <w:rFonts w:eastAsia="Times New Roman" w:cs="Arial"/>
                <w:kern w:val="0"/>
                <w:sz w:val="21"/>
                <w:szCs w:val="21"/>
                <w:lang w:eastAsia="en-AU"/>
                <w14:ligatures w14:val="none"/>
              </w:rPr>
            </w:pPr>
            <w:r w:rsidRPr="00691295">
              <w:rPr>
                <w:rFonts w:cs="Arial"/>
                <w:noProof/>
                <w:sz w:val="21"/>
                <w:szCs w:val="21"/>
              </w:rPr>
              <w:t>Partial</w:t>
            </w:r>
          </w:p>
        </w:tc>
        <w:tc>
          <w:tcPr>
            <w:tcW w:w="403" w:type="pct"/>
            <w:tcBorders>
              <w:top w:val="single" w:sz="4" w:space="0" w:color="auto"/>
              <w:left w:val="single" w:sz="4" w:space="0" w:color="auto"/>
              <w:bottom w:val="single" w:sz="4" w:space="0" w:color="auto"/>
              <w:right w:val="single" w:sz="4" w:space="0" w:color="auto"/>
            </w:tcBorders>
            <w:noWrap/>
            <w:vAlign w:val="center"/>
          </w:tcPr>
          <w:p w14:paraId="4719E05F" w14:textId="27323D5A" w:rsidR="009006FA"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0" w:type="pct"/>
            <w:tcBorders>
              <w:top w:val="single" w:sz="4" w:space="0" w:color="auto"/>
              <w:left w:val="single" w:sz="4" w:space="0" w:color="auto"/>
              <w:bottom w:val="single" w:sz="4" w:space="0" w:color="auto"/>
              <w:right w:val="single" w:sz="4" w:space="0" w:color="auto"/>
            </w:tcBorders>
            <w:noWrap/>
            <w:vAlign w:val="center"/>
          </w:tcPr>
          <w:p w14:paraId="46C173E1" w14:textId="1303F713" w:rsidR="009006FA"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top w:val="single" w:sz="4" w:space="0" w:color="auto"/>
              <w:left w:val="single" w:sz="4" w:space="0" w:color="auto"/>
              <w:bottom w:val="single" w:sz="4" w:space="0" w:color="auto"/>
              <w:right w:val="single" w:sz="4" w:space="0" w:color="auto"/>
            </w:tcBorders>
            <w:noWrap/>
            <w:vAlign w:val="center"/>
          </w:tcPr>
          <w:p w14:paraId="068750A4" w14:textId="6098DB7C" w:rsidR="009006FA"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58" w:type="pct"/>
            <w:tcBorders>
              <w:top w:val="single" w:sz="4" w:space="0" w:color="auto"/>
              <w:left w:val="single" w:sz="4" w:space="0" w:color="auto"/>
              <w:bottom w:val="single" w:sz="4" w:space="0" w:color="auto"/>
              <w:right w:val="single" w:sz="4" w:space="0" w:color="auto"/>
            </w:tcBorders>
            <w:noWrap/>
            <w:vAlign w:val="center"/>
          </w:tcPr>
          <w:p w14:paraId="102D4526" w14:textId="3C7B6C79" w:rsidR="009006FA" w:rsidRPr="00691295" w:rsidRDefault="00BC1093" w:rsidP="004C132F">
            <w:pPr>
              <w:spacing w:before="0" w:after="0" w:line="240" w:lineRule="auto"/>
              <w:jc w:val="center"/>
              <w:rPr>
                <w:rFonts w:eastAsia="Times New Roman" w:cs="Arial"/>
                <w:kern w:val="0"/>
                <w:sz w:val="21"/>
                <w:szCs w:val="21"/>
                <w:lang w:eastAsia="en-AU"/>
                <w14:ligatures w14:val="none"/>
              </w:rPr>
            </w:pPr>
            <w:r w:rsidRPr="00691295">
              <w:rPr>
                <w:rFonts w:eastAsia="Aptos" w:cs="Arial"/>
                <w:noProof/>
                <w:sz w:val="21"/>
                <w:szCs w:val="21"/>
                <w:lang w:eastAsia="en-US"/>
              </w:rPr>
              <w:t>Yes</w:t>
            </w:r>
          </w:p>
        </w:tc>
        <w:tc>
          <w:tcPr>
            <w:tcW w:w="303" w:type="pct"/>
            <w:tcBorders>
              <w:top w:val="single" w:sz="4" w:space="0" w:color="auto"/>
              <w:left w:val="single" w:sz="4" w:space="0" w:color="auto"/>
              <w:bottom w:val="single" w:sz="4" w:space="0" w:color="auto"/>
              <w:right w:val="single" w:sz="4" w:space="0" w:color="auto"/>
            </w:tcBorders>
            <w:noWrap/>
            <w:vAlign w:val="center"/>
          </w:tcPr>
          <w:p w14:paraId="33C284AB" w14:textId="4E58F72A" w:rsidR="009006FA"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c>
          <w:tcPr>
            <w:tcW w:w="366" w:type="pct"/>
            <w:tcBorders>
              <w:top w:val="single" w:sz="4" w:space="0" w:color="auto"/>
              <w:left w:val="single" w:sz="4" w:space="0" w:color="auto"/>
              <w:bottom w:val="single" w:sz="4" w:space="0" w:color="auto"/>
            </w:tcBorders>
            <w:noWrap/>
            <w:vAlign w:val="center"/>
          </w:tcPr>
          <w:p w14:paraId="486860FF" w14:textId="4CD856DB" w:rsidR="009006FA" w:rsidRPr="00691295" w:rsidRDefault="00F84A22" w:rsidP="004C132F">
            <w:pPr>
              <w:spacing w:before="0" w:after="0" w:line="240" w:lineRule="auto"/>
              <w:jc w:val="center"/>
              <w:rPr>
                <w:rFonts w:eastAsia="Times New Roman" w:cs="Arial"/>
                <w:kern w:val="0"/>
                <w:sz w:val="21"/>
                <w:szCs w:val="21"/>
                <w:lang w:eastAsia="en-AU"/>
                <w14:ligatures w14:val="none"/>
              </w:rPr>
            </w:pPr>
            <w:r>
              <w:rPr>
                <w:rFonts w:eastAsia="Times New Roman" w:cs="Arial"/>
                <w:kern w:val="0"/>
                <w:sz w:val="21"/>
                <w:szCs w:val="21"/>
                <w:lang w:eastAsia="en-AU"/>
                <w14:ligatures w14:val="none"/>
              </w:rPr>
              <w:t>No</w:t>
            </w:r>
          </w:p>
        </w:tc>
      </w:tr>
      <w:tr w:rsidR="001A18E3" w:rsidRPr="00670774" w14:paraId="59AC6A57" w14:textId="77777777" w:rsidTr="001A18E3">
        <w:trPr>
          <w:trHeight w:val="320"/>
        </w:trPr>
        <w:tc>
          <w:tcPr>
            <w:tcW w:w="982" w:type="pct"/>
            <w:tcBorders>
              <w:top w:val="single" w:sz="4" w:space="0" w:color="auto"/>
              <w:bottom w:val="single" w:sz="4" w:space="0" w:color="auto"/>
            </w:tcBorders>
            <w:noWrap/>
            <w:vAlign w:val="center"/>
          </w:tcPr>
          <w:p w14:paraId="1061C4A2" w14:textId="7E21FC68" w:rsidR="009006FA" w:rsidRPr="00987817" w:rsidRDefault="0046532A"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lastRenderedPageBreak/>
              <w:t>Participation and Environment Measure for Children and Youth</w:t>
            </w:r>
          </w:p>
        </w:tc>
        <w:tc>
          <w:tcPr>
            <w:tcW w:w="359" w:type="pct"/>
            <w:tcBorders>
              <w:top w:val="single" w:sz="4" w:space="0" w:color="auto"/>
              <w:bottom w:val="single" w:sz="4" w:space="0" w:color="auto"/>
              <w:right w:val="single" w:sz="4" w:space="0" w:color="auto"/>
            </w:tcBorders>
            <w:noWrap/>
            <w:vAlign w:val="center"/>
          </w:tcPr>
          <w:p w14:paraId="11C14782" w14:textId="294036B2" w:rsidR="009006FA" w:rsidRPr="00987817" w:rsidRDefault="0046532A" w:rsidP="00F91904">
            <w:pPr>
              <w:spacing w:after="0" w:line="240" w:lineRule="auto"/>
              <w:rPr>
                <w:rFonts w:eastAsia="Times New Roman" w:cs="Arial"/>
                <w:color w:val="156082" w:themeColor="accent1"/>
                <w:kern w:val="0"/>
                <w:sz w:val="21"/>
                <w:szCs w:val="21"/>
                <w:u w:val="single"/>
                <w:lang w:eastAsia="en-AU"/>
                <w14:ligatures w14:val="none"/>
              </w:rPr>
            </w:pPr>
            <w:hyperlink w:anchor="_Participation_and_Environment" w:history="1">
              <w:r w:rsidRPr="00987817">
                <w:rPr>
                  <w:rStyle w:val="Hyperlink"/>
                  <w:rFonts w:cs="Arial"/>
                  <w:sz w:val="21"/>
                  <w:szCs w:val="21"/>
                </w:rPr>
                <w:t>PEM-CY</w:t>
              </w:r>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3EE0F2BC" w14:textId="2288E68D" w:rsidR="009006FA" w:rsidRPr="00987817" w:rsidRDefault="00F84A22" w:rsidP="004C132F">
            <w:pPr>
              <w:spacing w:before="0" w:after="0" w:line="240" w:lineRule="auto"/>
              <w:jc w:val="center"/>
              <w:rPr>
                <w:rFonts w:eastAsia="Times New Roman" w:cs="Arial"/>
                <w:b/>
                <w:color w:val="000000"/>
                <w:kern w:val="0"/>
                <w:sz w:val="21"/>
                <w:szCs w:val="21"/>
                <w:lang w:eastAsia="en-AU"/>
                <w14:ligatures w14:val="none"/>
              </w:rPr>
            </w:pPr>
            <w:r>
              <w:rPr>
                <w:rFonts w:eastAsia="Times New Roman" w:cs="Arial"/>
                <w:kern w:val="0"/>
                <w:sz w:val="21"/>
                <w:szCs w:val="21"/>
                <w:lang w:eastAsia="en-AU"/>
                <w14:ligatures w14:val="none"/>
              </w:rPr>
              <w:t>No</w:t>
            </w:r>
          </w:p>
        </w:tc>
        <w:tc>
          <w:tcPr>
            <w:tcW w:w="312" w:type="pct"/>
            <w:tcBorders>
              <w:top w:val="single" w:sz="4" w:space="0" w:color="auto"/>
              <w:left w:val="single" w:sz="4" w:space="0" w:color="auto"/>
              <w:bottom w:val="single" w:sz="4" w:space="0" w:color="auto"/>
              <w:right w:val="single" w:sz="4" w:space="0" w:color="auto"/>
            </w:tcBorders>
            <w:noWrap/>
            <w:vAlign w:val="center"/>
          </w:tcPr>
          <w:p w14:paraId="56CCEC17" w14:textId="690D0FF7" w:rsidR="009006FA"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13" w:type="pct"/>
            <w:tcBorders>
              <w:top w:val="single" w:sz="4" w:space="0" w:color="auto"/>
              <w:left w:val="single" w:sz="4" w:space="0" w:color="auto"/>
              <w:bottom w:val="single" w:sz="4" w:space="0" w:color="auto"/>
              <w:right w:val="single" w:sz="4" w:space="0" w:color="auto"/>
            </w:tcBorders>
            <w:noWrap/>
            <w:vAlign w:val="center"/>
          </w:tcPr>
          <w:p w14:paraId="0E8A0760" w14:textId="244A9D1F" w:rsidR="009006FA"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56" w:type="pct"/>
            <w:tcBorders>
              <w:top w:val="single" w:sz="4" w:space="0" w:color="auto"/>
              <w:left w:val="single" w:sz="4" w:space="0" w:color="auto"/>
              <w:bottom w:val="single" w:sz="4" w:space="0" w:color="auto"/>
              <w:right w:val="single" w:sz="4" w:space="0" w:color="auto"/>
            </w:tcBorders>
            <w:noWrap/>
            <w:vAlign w:val="center"/>
          </w:tcPr>
          <w:p w14:paraId="60499942" w14:textId="74F4D5C3" w:rsidR="009006FA"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top w:val="single" w:sz="4" w:space="0" w:color="auto"/>
              <w:left w:val="single" w:sz="4" w:space="0" w:color="auto"/>
              <w:bottom w:val="single" w:sz="4" w:space="0" w:color="auto"/>
              <w:right w:val="single" w:sz="4" w:space="0" w:color="auto"/>
            </w:tcBorders>
            <w:noWrap/>
            <w:vAlign w:val="center"/>
          </w:tcPr>
          <w:p w14:paraId="02895957" w14:textId="7AB96A79" w:rsidR="009006FA"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400" w:type="pct"/>
            <w:tcBorders>
              <w:top w:val="single" w:sz="4" w:space="0" w:color="auto"/>
              <w:left w:val="single" w:sz="4" w:space="0" w:color="auto"/>
              <w:bottom w:val="single" w:sz="4" w:space="0" w:color="auto"/>
              <w:right w:val="single" w:sz="4" w:space="0" w:color="auto"/>
            </w:tcBorders>
            <w:noWrap/>
            <w:vAlign w:val="center"/>
          </w:tcPr>
          <w:p w14:paraId="6A350258" w14:textId="43C06BC8" w:rsidR="009006FA" w:rsidRPr="00987817" w:rsidRDefault="00BC1093" w:rsidP="004C132F">
            <w:pPr>
              <w:spacing w:before="0" w:after="0" w:line="240" w:lineRule="auto"/>
              <w:jc w:val="center"/>
              <w:rPr>
                <w:rFonts w:eastAsia="Times New Roman" w:cs="Arial"/>
                <w:color w:val="000000"/>
                <w:kern w:val="0"/>
                <w:sz w:val="21"/>
                <w:szCs w:val="21"/>
                <w:lang w:eastAsia="en-AU"/>
                <w14:ligatures w14:val="none"/>
              </w:rPr>
            </w:pPr>
            <w:r w:rsidRPr="00987817">
              <w:rPr>
                <w:rFonts w:eastAsia="Aptos" w:cs="Arial"/>
                <w:noProof/>
                <w:sz w:val="21"/>
                <w:szCs w:val="21"/>
                <w:lang w:eastAsia="en-US"/>
              </w:rPr>
              <w:t>Yes</w:t>
            </w:r>
          </w:p>
        </w:tc>
        <w:tc>
          <w:tcPr>
            <w:tcW w:w="403" w:type="pct"/>
            <w:tcBorders>
              <w:top w:val="single" w:sz="4" w:space="0" w:color="auto"/>
              <w:left w:val="single" w:sz="4" w:space="0" w:color="auto"/>
              <w:bottom w:val="single" w:sz="4" w:space="0" w:color="auto"/>
              <w:right w:val="single" w:sz="4" w:space="0" w:color="auto"/>
            </w:tcBorders>
            <w:noWrap/>
            <w:vAlign w:val="center"/>
          </w:tcPr>
          <w:p w14:paraId="0EA7DC77" w14:textId="137C51FA" w:rsidR="009006FA"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58" w:type="pct"/>
            <w:tcBorders>
              <w:top w:val="single" w:sz="4" w:space="0" w:color="auto"/>
              <w:left w:val="single" w:sz="4" w:space="0" w:color="auto"/>
              <w:bottom w:val="single" w:sz="4" w:space="0" w:color="auto"/>
              <w:right w:val="single" w:sz="4" w:space="0" w:color="auto"/>
            </w:tcBorders>
            <w:noWrap/>
            <w:vAlign w:val="center"/>
          </w:tcPr>
          <w:p w14:paraId="58C17A53" w14:textId="5EB1DB04" w:rsidR="009006FA"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03" w:type="pct"/>
            <w:tcBorders>
              <w:top w:val="single" w:sz="4" w:space="0" w:color="auto"/>
              <w:left w:val="single" w:sz="4" w:space="0" w:color="auto"/>
              <w:bottom w:val="single" w:sz="4" w:space="0" w:color="auto"/>
              <w:right w:val="single" w:sz="4" w:space="0" w:color="auto"/>
            </w:tcBorders>
            <w:noWrap/>
            <w:vAlign w:val="center"/>
          </w:tcPr>
          <w:p w14:paraId="117EABBB" w14:textId="1AE97153" w:rsidR="009006FA"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66" w:type="pct"/>
            <w:tcBorders>
              <w:top w:val="single" w:sz="4" w:space="0" w:color="auto"/>
              <w:left w:val="single" w:sz="4" w:space="0" w:color="auto"/>
              <w:bottom w:val="single" w:sz="4" w:space="0" w:color="auto"/>
            </w:tcBorders>
            <w:noWrap/>
            <w:vAlign w:val="center"/>
          </w:tcPr>
          <w:p w14:paraId="438ED5C9" w14:textId="76BD6ECC" w:rsidR="009006FA" w:rsidRPr="00987817" w:rsidRDefault="00F84A22" w:rsidP="004C132F">
            <w:pPr>
              <w:spacing w:before="0" w:after="0" w:line="240" w:lineRule="auto"/>
              <w:jc w:val="center"/>
              <w:rPr>
                <w:rFonts w:eastAsia="Times New Roman" w:cs="Arial"/>
                <w:color w:val="808080"/>
                <w:kern w:val="0"/>
                <w:sz w:val="21"/>
                <w:szCs w:val="21"/>
                <w:lang w:eastAsia="en-AU"/>
                <w14:ligatures w14:val="none"/>
              </w:rPr>
            </w:pPr>
            <w:r>
              <w:rPr>
                <w:rFonts w:eastAsia="Times New Roman" w:cs="Arial"/>
                <w:kern w:val="0"/>
                <w:sz w:val="21"/>
                <w:szCs w:val="21"/>
                <w:lang w:eastAsia="en-AU"/>
                <w14:ligatures w14:val="none"/>
              </w:rPr>
              <w:t>No</w:t>
            </w:r>
          </w:p>
        </w:tc>
      </w:tr>
      <w:tr w:rsidR="001A18E3" w:rsidRPr="00670774" w14:paraId="184D06BE" w14:textId="77777777" w:rsidTr="001A18E3">
        <w:trPr>
          <w:trHeight w:val="320"/>
        </w:trPr>
        <w:tc>
          <w:tcPr>
            <w:tcW w:w="982" w:type="pct"/>
            <w:tcBorders>
              <w:top w:val="single" w:sz="4" w:space="0" w:color="auto"/>
              <w:bottom w:val="single" w:sz="4" w:space="0" w:color="auto"/>
            </w:tcBorders>
            <w:noWrap/>
            <w:vAlign w:val="center"/>
          </w:tcPr>
          <w:p w14:paraId="0E6DBFA6" w14:textId="79B73280" w:rsidR="006C05E7" w:rsidRPr="00987817" w:rsidRDefault="006C05E7" w:rsidP="003D315A">
            <w:pPr>
              <w:spacing w:before="80" w:after="80" w:line="240" w:lineRule="auto"/>
              <w:ind w:left="315" w:hanging="315"/>
              <w:rPr>
                <w:rFonts w:eastAsia="Times New Roman" w:cs="Arial"/>
                <w:color w:val="000000"/>
                <w:kern w:val="0"/>
                <w:sz w:val="21"/>
                <w:szCs w:val="21"/>
                <w:lang w:eastAsia="en-AU"/>
                <w14:ligatures w14:val="none"/>
              </w:rPr>
            </w:pPr>
            <w:proofErr w:type="spellStart"/>
            <w:r w:rsidRPr="00987817">
              <w:rPr>
                <w:rFonts w:eastAsia="Times New Roman" w:cs="Arial"/>
                <w:color w:val="000000"/>
                <w:kern w:val="0"/>
                <w:sz w:val="21"/>
                <w:szCs w:val="21"/>
                <w:lang w:eastAsia="en-AU"/>
                <w14:ligatures w14:val="none"/>
              </w:rPr>
              <w:t>Pediatric</w:t>
            </w:r>
            <w:proofErr w:type="spellEnd"/>
            <w:r w:rsidRPr="00987817">
              <w:rPr>
                <w:rFonts w:eastAsia="Times New Roman" w:cs="Arial"/>
                <w:color w:val="000000"/>
                <w:kern w:val="0"/>
                <w:sz w:val="21"/>
                <w:szCs w:val="21"/>
                <w:lang w:eastAsia="en-AU"/>
                <w14:ligatures w14:val="none"/>
              </w:rPr>
              <w:t xml:space="preserve"> Evaluation of Disability Inventory - Computer Adaptive Test</w:t>
            </w:r>
          </w:p>
        </w:tc>
        <w:tc>
          <w:tcPr>
            <w:tcW w:w="359" w:type="pct"/>
            <w:tcBorders>
              <w:top w:val="single" w:sz="4" w:space="0" w:color="auto"/>
              <w:bottom w:val="single" w:sz="4" w:space="0" w:color="auto"/>
              <w:right w:val="single" w:sz="4" w:space="0" w:color="auto"/>
            </w:tcBorders>
            <w:noWrap/>
            <w:vAlign w:val="center"/>
          </w:tcPr>
          <w:p w14:paraId="235DEDB7" w14:textId="76E43837" w:rsidR="006C05E7" w:rsidRPr="00987817" w:rsidRDefault="006C05E7" w:rsidP="00F91904">
            <w:pPr>
              <w:spacing w:after="0" w:line="240" w:lineRule="auto"/>
              <w:rPr>
                <w:rFonts w:cs="Arial"/>
                <w:sz w:val="21"/>
                <w:szCs w:val="21"/>
              </w:rPr>
            </w:pPr>
            <w:hyperlink w:anchor="_Pediatric_Evaluation_of" w:history="1">
              <w:r w:rsidRPr="00987817">
                <w:rPr>
                  <w:rStyle w:val="Hyperlink"/>
                  <w:rFonts w:cs="Arial"/>
                  <w:sz w:val="21"/>
                  <w:szCs w:val="21"/>
                </w:rPr>
                <w:t>PEDI-CAT</w:t>
              </w:r>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657557F9" w14:textId="1757E672" w:rsidR="006C05E7" w:rsidRPr="00987817" w:rsidRDefault="00F84A22" w:rsidP="004C132F">
            <w:pPr>
              <w:spacing w:before="0" w:after="0" w:line="240" w:lineRule="auto"/>
              <w:jc w:val="center"/>
              <w:rPr>
                <w:rFonts w:eastAsia="Times New Roman" w:cs="Arial"/>
                <w:b/>
                <w:color w:val="000000"/>
                <w:kern w:val="0"/>
                <w:sz w:val="21"/>
                <w:szCs w:val="21"/>
                <w:lang w:eastAsia="en-AU"/>
                <w14:ligatures w14:val="none"/>
              </w:rPr>
            </w:pPr>
            <w:r>
              <w:rPr>
                <w:rFonts w:eastAsia="Times New Roman" w:cs="Arial"/>
                <w:kern w:val="0"/>
                <w:sz w:val="21"/>
                <w:szCs w:val="21"/>
                <w:lang w:eastAsia="en-AU"/>
                <w14:ligatures w14:val="none"/>
              </w:rPr>
              <w:t>No</w:t>
            </w:r>
          </w:p>
        </w:tc>
        <w:tc>
          <w:tcPr>
            <w:tcW w:w="312" w:type="pct"/>
            <w:tcBorders>
              <w:top w:val="single" w:sz="4" w:space="0" w:color="auto"/>
              <w:left w:val="single" w:sz="4" w:space="0" w:color="auto"/>
              <w:bottom w:val="single" w:sz="4" w:space="0" w:color="auto"/>
              <w:right w:val="single" w:sz="4" w:space="0" w:color="auto"/>
            </w:tcBorders>
            <w:noWrap/>
            <w:vAlign w:val="center"/>
          </w:tcPr>
          <w:p w14:paraId="61BCEB22" w14:textId="2D56F15C" w:rsidR="006C05E7" w:rsidRPr="00987817" w:rsidRDefault="007827F5" w:rsidP="004C132F">
            <w:pPr>
              <w:spacing w:before="0" w:after="0" w:line="240" w:lineRule="auto"/>
              <w:jc w:val="center"/>
              <w:rPr>
                <w:rFonts w:eastAsia="Times New Roman" w:cs="Arial"/>
                <w:color w:val="000000"/>
                <w:kern w:val="0"/>
                <w:sz w:val="21"/>
                <w:szCs w:val="21"/>
                <w:lang w:eastAsia="en-AU"/>
                <w14:ligatures w14:val="none"/>
              </w:rPr>
            </w:pPr>
            <w:r w:rsidRPr="00987817">
              <w:rPr>
                <w:rFonts w:cs="Arial"/>
                <w:noProof/>
                <w:sz w:val="21"/>
                <w:szCs w:val="21"/>
              </w:rPr>
              <w:t>Partial</w:t>
            </w:r>
          </w:p>
        </w:tc>
        <w:tc>
          <w:tcPr>
            <w:tcW w:w="313" w:type="pct"/>
            <w:tcBorders>
              <w:top w:val="single" w:sz="4" w:space="0" w:color="auto"/>
              <w:left w:val="single" w:sz="4" w:space="0" w:color="auto"/>
              <w:bottom w:val="single" w:sz="4" w:space="0" w:color="auto"/>
              <w:right w:val="single" w:sz="4" w:space="0" w:color="auto"/>
            </w:tcBorders>
            <w:noWrap/>
            <w:vAlign w:val="center"/>
          </w:tcPr>
          <w:p w14:paraId="279564F9" w14:textId="6C808E6A" w:rsidR="006C05E7" w:rsidRPr="00987817" w:rsidRDefault="007827F5" w:rsidP="004C132F">
            <w:pPr>
              <w:spacing w:before="0" w:after="0" w:line="240" w:lineRule="auto"/>
              <w:jc w:val="center"/>
              <w:rPr>
                <w:rFonts w:eastAsia="Times New Roman" w:cs="Arial"/>
                <w:color w:val="000000"/>
                <w:kern w:val="0"/>
                <w:sz w:val="21"/>
                <w:szCs w:val="21"/>
                <w:lang w:eastAsia="en-AU"/>
                <w14:ligatures w14:val="none"/>
              </w:rPr>
            </w:pPr>
            <w:r w:rsidRPr="00987817">
              <w:rPr>
                <w:rFonts w:cs="Arial"/>
                <w:noProof/>
                <w:sz w:val="21"/>
                <w:szCs w:val="21"/>
              </w:rPr>
              <w:t>Partial</w:t>
            </w:r>
          </w:p>
        </w:tc>
        <w:tc>
          <w:tcPr>
            <w:tcW w:w="356" w:type="pct"/>
            <w:tcBorders>
              <w:top w:val="single" w:sz="4" w:space="0" w:color="auto"/>
              <w:left w:val="single" w:sz="4" w:space="0" w:color="auto"/>
              <w:bottom w:val="single" w:sz="4" w:space="0" w:color="auto"/>
              <w:right w:val="single" w:sz="4" w:space="0" w:color="auto"/>
            </w:tcBorders>
            <w:noWrap/>
            <w:vAlign w:val="center"/>
          </w:tcPr>
          <w:p w14:paraId="294F7455" w14:textId="0705AF6E" w:rsidR="006C05E7"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top w:val="single" w:sz="4" w:space="0" w:color="auto"/>
              <w:left w:val="single" w:sz="4" w:space="0" w:color="auto"/>
              <w:bottom w:val="single" w:sz="4" w:space="0" w:color="auto"/>
              <w:right w:val="single" w:sz="4" w:space="0" w:color="auto"/>
            </w:tcBorders>
            <w:noWrap/>
            <w:vAlign w:val="center"/>
          </w:tcPr>
          <w:p w14:paraId="682EAC7B" w14:textId="7D0DBA7E" w:rsidR="006C05E7"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400" w:type="pct"/>
            <w:tcBorders>
              <w:top w:val="single" w:sz="4" w:space="0" w:color="auto"/>
              <w:left w:val="single" w:sz="4" w:space="0" w:color="auto"/>
              <w:bottom w:val="single" w:sz="4" w:space="0" w:color="auto"/>
              <w:right w:val="single" w:sz="4" w:space="0" w:color="auto"/>
            </w:tcBorders>
            <w:noWrap/>
            <w:vAlign w:val="center"/>
          </w:tcPr>
          <w:p w14:paraId="619BCF16" w14:textId="6C3AA750" w:rsidR="006C05E7"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top w:val="single" w:sz="4" w:space="0" w:color="auto"/>
              <w:left w:val="single" w:sz="4" w:space="0" w:color="auto"/>
              <w:bottom w:val="single" w:sz="4" w:space="0" w:color="auto"/>
              <w:right w:val="single" w:sz="4" w:space="0" w:color="auto"/>
            </w:tcBorders>
            <w:noWrap/>
            <w:vAlign w:val="center"/>
          </w:tcPr>
          <w:p w14:paraId="3164681E" w14:textId="0CF9C08F" w:rsidR="006C05E7" w:rsidRPr="00987817" w:rsidRDefault="00BC1093" w:rsidP="004C132F">
            <w:pPr>
              <w:spacing w:before="0" w:after="0" w:line="240" w:lineRule="auto"/>
              <w:jc w:val="center"/>
              <w:rPr>
                <w:rFonts w:eastAsia="Times New Roman" w:cs="Arial"/>
                <w:color w:val="000000"/>
                <w:kern w:val="0"/>
                <w:sz w:val="21"/>
                <w:szCs w:val="21"/>
                <w:lang w:eastAsia="en-AU"/>
                <w14:ligatures w14:val="none"/>
              </w:rPr>
            </w:pPr>
            <w:r w:rsidRPr="00987817">
              <w:rPr>
                <w:rFonts w:eastAsia="Aptos" w:cs="Arial"/>
                <w:noProof/>
                <w:sz w:val="21"/>
                <w:szCs w:val="21"/>
                <w:lang w:eastAsia="en-US"/>
              </w:rPr>
              <w:t>Yes</w:t>
            </w:r>
          </w:p>
        </w:tc>
        <w:tc>
          <w:tcPr>
            <w:tcW w:w="358" w:type="pct"/>
            <w:tcBorders>
              <w:top w:val="single" w:sz="4" w:space="0" w:color="auto"/>
              <w:left w:val="single" w:sz="4" w:space="0" w:color="auto"/>
              <w:bottom w:val="single" w:sz="4" w:space="0" w:color="auto"/>
              <w:right w:val="single" w:sz="4" w:space="0" w:color="auto"/>
            </w:tcBorders>
            <w:noWrap/>
            <w:vAlign w:val="center"/>
          </w:tcPr>
          <w:p w14:paraId="73FB1AAA" w14:textId="59911B6C" w:rsidR="006C05E7"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03" w:type="pct"/>
            <w:tcBorders>
              <w:top w:val="single" w:sz="4" w:space="0" w:color="auto"/>
              <w:left w:val="single" w:sz="4" w:space="0" w:color="auto"/>
              <w:bottom w:val="single" w:sz="4" w:space="0" w:color="auto"/>
              <w:right w:val="single" w:sz="4" w:space="0" w:color="auto"/>
            </w:tcBorders>
            <w:noWrap/>
            <w:vAlign w:val="center"/>
          </w:tcPr>
          <w:p w14:paraId="033AEED0" w14:textId="277FC73A" w:rsidR="006C05E7" w:rsidRPr="00987817" w:rsidRDefault="007827F5" w:rsidP="004C132F">
            <w:pPr>
              <w:spacing w:before="0" w:after="0" w:line="240" w:lineRule="auto"/>
              <w:jc w:val="center"/>
              <w:rPr>
                <w:rFonts w:eastAsia="Times New Roman" w:cs="Arial"/>
                <w:color w:val="000000"/>
                <w:kern w:val="0"/>
                <w:sz w:val="21"/>
                <w:szCs w:val="21"/>
                <w:lang w:eastAsia="en-AU"/>
                <w14:ligatures w14:val="none"/>
              </w:rPr>
            </w:pPr>
            <w:r w:rsidRPr="00987817">
              <w:rPr>
                <w:rFonts w:cs="Arial"/>
                <w:noProof/>
                <w:sz w:val="21"/>
                <w:szCs w:val="21"/>
              </w:rPr>
              <w:t>Partial</w:t>
            </w:r>
          </w:p>
        </w:tc>
        <w:tc>
          <w:tcPr>
            <w:tcW w:w="366" w:type="pct"/>
            <w:tcBorders>
              <w:top w:val="single" w:sz="4" w:space="0" w:color="auto"/>
              <w:left w:val="single" w:sz="4" w:space="0" w:color="auto"/>
              <w:bottom w:val="single" w:sz="4" w:space="0" w:color="auto"/>
            </w:tcBorders>
            <w:noWrap/>
            <w:vAlign w:val="center"/>
          </w:tcPr>
          <w:p w14:paraId="06E84934" w14:textId="51116BBE" w:rsidR="006C05E7" w:rsidRPr="00987817" w:rsidRDefault="00F84A22" w:rsidP="004C132F">
            <w:pPr>
              <w:spacing w:before="0" w:after="0" w:line="240" w:lineRule="auto"/>
              <w:jc w:val="center"/>
              <w:rPr>
                <w:rFonts w:eastAsia="Times New Roman" w:cs="Arial"/>
                <w:color w:val="808080"/>
                <w:kern w:val="0"/>
                <w:sz w:val="21"/>
                <w:szCs w:val="21"/>
                <w:lang w:eastAsia="en-AU"/>
                <w14:ligatures w14:val="none"/>
              </w:rPr>
            </w:pPr>
            <w:r>
              <w:rPr>
                <w:rFonts w:eastAsia="Times New Roman" w:cs="Arial"/>
                <w:kern w:val="0"/>
                <w:sz w:val="21"/>
                <w:szCs w:val="21"/>
                <w:lang w:eastAsia="en-AU"/>
                <w14:ligatures w14:val="none"/>
              </w:rPr>
              <w:t>No</w:t>
            </w:r>
          </w:p>
        </w:tc>
      </w:tr>
      <w:tr w:rsidR="001A18E3" w:rsidRPr="00670774" w14:paraId="17F79932" w14:textId="77777777" w:rsidTr="001A18E3">
        <w:trPr>
          <w:trHeight w:val="320"/>
        </w:trPr>
        <w:tc>
          <w:tcPr>
            <w:tcW w:w="982" w:type="pct"/>
            <w:tcBorders>
              <w:top w:val="single" w:sz="4" w:space="0" w:color="auto"/>
              <w:bottom w:val="single" w:sz="4" w:space="0" w:color="auto"/>
            </w:tcBorders>
            <w:noWrap/>
            <w:vAlign w:val="center"/>
          </w:tcPr>
          <w:p w14:paraId="5F3BA35A" w14:textId="3928B741" w:rsidR="00434538" w:rsidRPr="00987817" w:rsidRDefault="00434538"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 xml:space="preserve">Vineland Adaptive </w:t>
            </w:r>
            <w:proofErr w:type="spellStart"/>
            <w:r w:rsidRPr="00987817">
              <w:rPr>
                <w:rFonts w:eastAsia="Times New Roman" w:cs="Arial"/>
                <w:color w:val="000000"/>
                <w:kern w:val="0"/>
                <w:sz w:val="21"/>
                <w:szCs w:val="21"/>
                <w:lang w:eastAsia="en-AU"/>
                <w14:ligatures w14:val="none"/>
              </w:rPr>
              <w:t>Behavior</w:t>
            </w:r>
            <w:proofErr w:type="spellEnd"/>
            <w:r w:rsidRPr="00987817">
              <w:rPr>
                <w:rFonts w:eastAsia="Times New Roman" w:cs="Arial"/>
                <w:color w:val="000000"/>
                <w:kern w:val="0"/>
                <w:sz w:val="21"/>
                <w:szCs w:val="21"/>
                <w:lang w:eastAsia="en-AU"/>
                <w14:ligatures w14:val="none"/>
              </w:rPr>
              <w:t xml:space="preserve"> Scales</w:t>
            </w:r>
          </w:p>
        </w:tc>
        <w:tc>
          <w:tcPr>
            <w:tcW w:w="359" w:type="pct"/>
            <w:tcBorders>
              <w:top w:val="single" w:sz="4" w:space="0" w:color="auto"/>
              <w:bottom w:val="single" w:sz="4" w:space="0" w:color="auto"/>
              <w:right w:val="single" w:sz="4" w:space="0" w:color="auto"/>
            </w:tcBorders>
            <w:noWrap/>
            <w:vAlign w:val="center"/>
          </w:tcPr>
          <w:p w14:paraId="0DF6AF8E" w14:textId="2FD9D0DB" w:rsidR="00434538" w:rsidRPr="00987817" w:rsidRDefault="00434538" w:rsidP="00F91904">
            <w:pPr>
              <w:spacing w:after="0" w:line="240" w:lineRule="auto"/>
              <w:rPr>
                <w:rFonts w:cs="Arial"/>
                <w:sz w:val="21"/>
                <w:szCs w:val="21"/>
              </w:rPr>
            </w:pPr>
            <w:hyperlink w:anchor="_Vineland_Adaptive_Behavior" w:history="1">
              <w:r w:rsidRPr="00987817">
                <w:rPr>
                  <w:rStyle w:val="Hyperlink"/>
                  <w:rFonts w:cs="Arial"/>
                  <w:sz w:val="21"/>
                  <w:szCs w:val="21"/>
                </w:rPr>
                <w:t>VABS</w:t>
              </w:r>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4BB997BA" w14:textId="0E55EB31" w:rsidR="00434538" w:rsidRPr="00987817" w:rsidRDefault="00F84A22" w:rsidP="004C132F">
            <w:pPr>
              <w:spacing w:before="0" w:after="0" w:line="240" w:lineRule="auto"/>
              <w:jc w:val="center"/>
              <w:rPr>
                <w:rFonts w:eastAsia="Times New Roman" w:cs="Arial"/>
                <w:b/>
                <w:color w:val="000000"/>
                <w:kern w:val="0"/>
                <w:sz w:val="21"/>
                <w:szCs w:val="21"/>
                <w:lang w:eastAsia="en-AU"/>
                <w14:ligatures w14:val="none"/>
              </w:rPr>
            </w:pPr>
            <w:r>
              <w:rPr>
                <w:rFonts w:eastAsia="Times New Roman" w:cs="Arial"/>
                <w:kern w:val="0"/>
                <w:sz w:val="21"/>
                <w:szCs w:val="21"/>
                <w:lang w:eastAsia="en-AU"/>
                <w14:ligatures w14:val="none"/>
              </w:rPr>
              <w:t>No</w:t>
            </w:r>
          </w:p>
        </w:tc>
        <w:tc>
          <w:tcPr>
            <w:tcW w:w="312" w:type="pct"/>
            <w:tcBorders>
              <w:top w:val="single" w:sz="4" w:space="0" w:color="auto"/>
              <w:left w:val="single" w:sz="4" w:space="0" w:color="auto"/>
              <w:bottom w:val="single" w:sz="4" w:space="0" w:color="auto"/>
              <w:right w:val="single" w:sz="4" w:space="0" w:color="auto"/>
            </w:tcBorders>
            <w:noWrap/>
            <w:vAlign w:val="center"/>
          </w:tcPr>
          <w:p w14:paraId="29FE9CCE" w14:textId="425F70FA" w:rsidR="00434538" w:rsidRPr="00987817" w:rsidRDefault="00BC1093" w:rsidP="004C132F">
            <w:pPr>
              <w:spacing w:before="0" w:after="0" w:line="240" w:lineRule="auto"/>
              <w:jc w:val="center"/>
              <w:rPr>
                <w:rFonts w:eastAsia="Times New Roman" w:cs="Arial"/>
                <w:color w:val="000000"/>
                <w:kern w:val="0"/>
                <w:sz w:val="21"/>
                <w:szCs w:val="21"/>
                <w:lang w:eastAsia="en-AU"/>
                <w14:ligatures w14:val="none"/>
              </w:rPr>
            </w:pPr>
            <w:r w:rsidRPr="00987817">
              <w:rPr>
                <w:rFonts w:eastAsia="Aptos" w:cs="Arial"/>
                <w:noProof/>
                <w:sz w:val="21"/>
                <w:szCs w:val="21"/>
                <w:lang w:eastAsia="en-US"/>
              </w:rPr>
              <w:t>Yes</w:t>
            </w:r>
          </w:p>
        </w:tc>
        <w:tc>
          <w:tcPr>
            <w:tcW w:w="313" w:type="pct"/>
            <w:tcBorders>
              <w:top w:val="single" w:sz="4" w:space="0" w:color="auto"/>
              <w:left w:val="single" w:sz="4" w:space="0" w:color="auto"/>
              <w:bottom w:val="single" w:sz="4" w:space="0" w:color="auto"/>
              <w:right w:val="single" w:sz="4" w:space="0" w:color="auto"/>
            </w:tcBorders>
            <w:noWrap/>
            <w:vAlign w:val="center"/>
          </w:tcPr>
          <w:p w14:paraId="27D24355" w14:textId="474DDB59" w:rsidR="00434538"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56" w:type="pct"/>
            <w:tcBorders>
              <w:top w:val="single" w:sz="4" w:space="0" w:color="auto"/>
              <w:left w:val="single" w:sz="4" w:space="0" w:color="auto"/>
              <w:bottom w:val="single" w:sz="4" w:space="0" w:color="auto"/>
              <w:right w:val="single" w:sz="4" w:space="0" w:color="auto"/>
            </w:tcBorders>
            <w:noWrap/>
            <w:vAlign w:val="center"/>
          </w:tcPr>
          <w:p w14:paraId="486DEC12" w14:textId="2B9AD47D" w:rsidR="00434538"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top w:val="single" w:sz="4" w:space="0" w:color="auto"/>
              <w:left w:val="single" w:sz="4" w:space="0" w:color="auto"/>
              <w:bottom w:val="single" w:sz="4" w:space="0" w:color="auto"/>
              <w:right w:val="single" w:sz="4" w:space="0" w:color="auto"/>
            </w:tcBorders>
            <w:noWrap/>
            <w:vAlign w:val="center"/>
          </w:tcPr>
          <w:p w14:paraId="3C06405C" w14:textId="5BA5381B" w:rsidR="00434538"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400" w:type="pct"/>
            <w:tcBorders>
              <w:top w:val="single" w:sz="4" w:space="0" w:color="auto"/>
              <w:left w:val="single" w:sz="4" w:space="0" w:color="auto"/>
              <w:bottom w:val="single" w:sz="4" w:space="0" w:color="auto"/>
              <w:right w:val="single" w:sz="4" w:space="0" w:color="auto"/>
            </w:tcBorders>
            <w:noWrap/>
            <w:vAlign w:val="center"/>
          </w:tcPr>
          <w:p w14:paraId="56DFF0BF" w14:textId="1EADD1AE" w:rsidR="00434538" w:rsidRPr="00987817" w:rsidRDefault="007827F5" w:rsidP="004C132F">
            <w:pPr>
              <w:spacing w:before="0" w:after="0" w:line="240" w:lineRule="auto"/>
              <w:jc w:val="center"/>
              <w:rPr>
                <w:rFonts w:eastAsia="Times New Roman" w:cs="Arial"/>
                <w:color w:val="000000"/>
                <w:kern w:val="0"/>
                <w:sz w:val="21"/>
                <w:szCs w:val="21"/>
                <w:lang w:eastAsia="en-AU"/>
                <w14:ligatures w14:val="none"/>
              </w:rPr>
            </w:pPr>
            <w:r w:rsidRPr="00987817">
              <w:rPr>
                <w:rFonts w:cs="Arial"/>
                <w:noProof/>
                <w:sz w:val="21"/>
                <w:szCs w:val="21"/>
              </w:rPr>
              <w:t>Partial</w:t>
            </w:r>
          </w:p>
        </w:tc>
        <w:tc>
          <w:tcPr>
            <w:tcW w:w="403" w:type="pct"/>
            <w:tcBorders>
              <w:top w:val="single" w:sz="4" w:space="0" w:color="auto"/>
              <w:left w:val="single" w:sz="4" w:space="0" w:color="auto"/>
              <w:bottom w:val="single" w:sz="4" w:space="0" w:color="auto"/>
              <w:right w:val="single" w:sz="4" w:space="0" w:color="auto"/>
            </w:tcBorders>
            <w:noWrap/>
            <w:vAlign w:val="center"/>
          </w:tcPr>
          <w:p w14:paraId="6823BBBB" w14:textId="72F6E069" w:rsidR="00434538" w:rsidRPr="00987817" w:rsidRDefault="00BC1093" w:rsidP="004C132F">
            <w:pPr>
              <w:spacing w:before="0" w:after="0" w:line="240" w:lineRule="auto"/>
              <w:jc w:val="center"/>
              <w:rPr>
                <w:rFonts w:eastAsia="Times New Roman" w:cs="Arial"/>
                <w:color w:val="000000"/>
                <w:kern w:val="0"/>
                <w:sz w:val="21"/>
                <w:szCs w:val="21"/>
                <w:lang w:eastAsia="en-AU"/>
                <w14:ligatures w14:val="none"/>
              </w:rPr>
            </w:pPr>
            <w:r w:rsidRPr="00987817">
              <w:rPr>
                <w:rFonts w:eastAsia="Aptos" w:cs="Arial"/>
                <w:noProof/>
                <w:sz w:val="21"/>
                <w:szCs w:val="21"/>
                <w:lang w:eastAsia="en-US"/>
              </w:rPr>
              <w:t>Yes</w:t>
            </w:r>
          </w:p>
        </w:tc>
        <w:tc>
          <w:tcPr>
            <w:tcW w:w="358" w:type="pct"/>
            <w:tcBorders>
              <w:top w:val="single" w:sz="4" w:space="0" w:color="auto"/>
              <w:left w:val="single" w:sz="4" w:space="0" w:color="auto"/>
              <w:bottom w:val="single" w:sz="4" w:space="0" w:color="auto"/>
              <w:right w:val="single" w:sz="4" w:space="0" w:color="auto"/>
            </w:tcBorders>
            <w:noWrap/>
            <w:vAlign w:val="center"/>
          </w:tcPr>
          <w:p w14:paraId="3DE5E7CD" w14:textId="1A26B9F8" w:rsidR="00434538"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03" w:type="pct"/>
            <w:tcBorders>
              <w:top w:val="single" w:sz="4" w:space="0" w:color="auto"/>
              <w:left w:val="single" w:sz="4" w:space="0" w:color="auto"/>
              <w:bottom w:val="single" w:sz="4" w:space="0" w:color="auto"/>
              <w:right w:val="single" w:sz="4" w:space="0" w:color="auto"/>
            </w:tcBorders>
            <w:noWrap/>
            <w:vAlign w:val="center"/>
          </w:tcPr>
          <w:p w14:paraId="37FA6868" w14:textId="2CB713C8" w:rsidR="00434538"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66" w:type="pct"/>
            <w:tcBorders>
              <w:top w:val="single" w:sz="4" w:space="0" w:color="auto"/>
              <w:left w:val="single" w:sz="4" w:space="0" w:color="auto"/>
              <w:bottom w:val="single" w:sz="4" w:space="0" w:color="auto"/>
            </w:tcBorders>
            <w:noWrap/>
            <w:vAlign w:val="center"/>
          </w:tcPr>
          <w:p w14:paraId="1C843BD2" w14:textId="35ADED67" w:rsidR="00434538" w:rsidRPr="00987817" w:rsidRDefault="007827F5" w:rsidP="004C132F">
            <w:pPr>
              <w:spacing w:before="0" w:after="0" w:line="240" w:lineRule="auto"/>
              <w:jc w:val="center"/>
              <w:rPr>
                <w:rFonts w:eastAsia="Times New Roman" w:cs="Arial"/>
                <w:color w:val="808080"/>
                <w:kern w:val="0"/>
                <w:sz w:val="21"/>
                <w:szCs w:val="21"/>
                <w:lang w:eastAsia="en-AU"/>
                <w14:ligatures w14:val="none"/>
              </w:rPr>
            </w:pPr>
            <w:r w:rsidRPr="00987817">
              <w:rPr>
                <w:rFonts w:cs="Arial"/>
                <w:noProof/>
                <w:sz w:val="21"/>
                <w:szCs w:val="21"/>
              </w:rPr>
              <w:t>Partial</w:t>
            </w:r>
          </w:p>
        </w:tc>
      </w:tr>
      <w:tr w:rsidR="001A18E3" w:rsidRPr="00670774" w14:paraId="58401E99" w14:textId="77777777" w:rsidTr="001A18E3">
        <w:trPr>
          <w:trHeight w:val="320"/>
        </w:trPr>
        <w:tc>
          <w:tcPr>
            <w:tcW w:w="982" w:type="pct"/>
            <w:tcBorders>
              <w:top w:val="single" w:sz="4" w:space="0" w:color="auto"/>
              <w:bottom w:val="single" w:sz="4" w:space="0" w:color="auto"/>
            </w:tcBorders>
            <w:noWrap/>
            <w:vAlign w:val="center"/>
          </w:tcPr>
          <w:p w14:paraId="165F793D" w14:textId="0889129C" w:rsidR="007227B4" w:rsidRPr="00987817" w:rsidRDefault="007227B4" w:rsidP="003D315A">
            <w:pPr>
              <w:spacing w:before="80" w:after="80" w:line="240" w:lineRule="auto"/>
              <w:ind w:left="315" w:hanging="315"/>
              <w:rPr>
                <w:rFonts w:eastAsia="Times New Roman" w:cs="Arial"/>
                <w:color w:val="000000"/>
                <w:kern w:val="0"/>
                <w:sz w:val="21"/>
                <w:szCs w:val="21"/>
                <w:lang w:eastAsia="en-AU"/>
                <w14:ligatures w14:val="none"/>
              </w:rPr>
            </w:pPr>
            <w:r w:rsidRPr="00987817">
              <w:rPr>
                <w:rFonts w:eastAsia="Times New Roman" w:cs="Arial"/>
                <w:color w:val="000000"/>
                <w:kern w:val="0"/>
                <w:sz w:val="21"/>
                <w:szCs w:val="21"/>
                <w:lang w:eastAsia="en-AU"/>
                <w14:ligatures w14:val="none"/>
              </w:rPr>
              <w:t>Young Children's Participation and Environment Measure</w:t>
            </w:r>
          </w:p>
        </w:tc>
        <w:tc>
          <w:tcPr>
            <w:tcW w:w="359" w:type="pct"/>
            <w:tcBorders>
              <w:top w:val="single" w:sz="4" w:space="0" w:color="auto"/>
              <w:bottom w:val="single" w:sz="4" w:space="0" w:color="auto"/>
              <w:right w:val="single" w:sz="4" w:space="0" w:color="auto"/>
            </w:tcBorders>
            <w:noWrap/>
            <w:vAlign w:val="center"/>
          </w:tcPr>
          <w:p w14:paraId="67BAE37D" w14:textId="57D6016C" w:rsidR="007227B4" w:rsidRPr="00987817" w:rsidRDefault="004F7B79" w:rsidP="00F91904">
            <w:pPr>
              <w:spacing w:after="0" w:line="240" w:lineRule="auto"/>
              <w:rPr>
                <w:rFonts w:cs="Arial"/>
                <w:sz w:val="21"/>
                <w:szCs w:val="21"/>
              </w:rPr>
            </w:pPr>
            <w:hyperlink w:anchor="_Young_Children’s_Participation" w:history="1">
              <w:r w:rsidRPr="00987817">
                <w:rPr>
                  <w:rStyle w:val="Hyperlink"/>
                  <w:rFonts w:cs="Arial"/>
                  <w:sz w:val="21"/>
                  <w:szCs w:val="21"/>
                </w:rPr>
                <w:t>YC-PEM</w:t>
              </w:r>
            </w:hyperlink>
          </w:p>
        </w:tc>
        <w:tc>
          <w:tcPr>
            <w:tcW w:w="445" w:type="pct"/>
            <w:tcBorders>
              <w:top w:val="single" w:sz="4" w:space="0" w:color="auto"/>
              <w:left w:val="single" w:sz="4" w:space="0" w:color="auto"/>
              <w:bottom w:val="single" w:sz="4" w:space="0" w:color="auto"/>
              <w:right w:val="single" w:sz="4" w:space="0" w:color="auto"/>
            </w:tcBorders>
            <w:noWrap/>
            <w:vAlign w:val="center"/>
          </w:tcPr>
          <w:p w14:paraId="07B61372" w14:textId="3753DF2E" w:rsidR="007227B4" w:rsidRPr="00987817" w:rsidRDefault="00F84A22" w:rsidP="004C132F">
            <w:pPr>
              <w:spacing w:before="0" w:after="0" w:line="240" w:lineRule="auto"/>
              <w:jc w:val="center"/>
              <w:rPr>
                <w:rFonts w:eastAsia="Times New Roman" w:cs="Arial"/>
                <w:b/>
                <w:color w:val="000000"/>
                <w:kern w:val="0"/>
                <w:sz w:val="21"/>
                <w:szCs w:val="21"/>
                <w:lang w:eastAsia="en-AU"/>
                <w14:ligatures w14:val="none"/>
              </w:rPr>
            </w:pPr>
            <w:r>
              <w:rPr>
                <w:rFonts w:eastAsia="Times New Roman" w:cs="Arial"/>
                <w:kern w:val="0"/>
                <w:sz w:val="21"/>
                <w:szCs w:val="21"/>
                <w:lang w:eastAsia="en-AU"/>
                <w14:ligatures w14:val="none"/>
              </w:rPr>
              <w:t>No</w:t>
            </w:r>
          </w:p>
        </w:tc>
        <w:tc>
          <w:tcPr>
            <w:tcW w:w="312" w:type="pct"/>
            <w:tcBorders>
              <w:top w:val="single" w:sz="4" w:space="0" w:color="auto"/>
              <w:left w:val="single" w:sz="4" w:space="0" w:color="auto"/>
              <w:bottom w:val="single" w:sz="4" w:space="0" w:color="auto"/>
              <w:right w:val="single" w:sz="4" w:space="0" w:color="auto"/>
            </w:tcBorders>
            <w:noWrap/>
            <w:vAlign w:val="center"/>
          </w:tcPr>
          <w:p w14:paraId="6F14B881" w14:textId="2A1DED4F" w:rsidR="007227B4"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13" w:type="pct"/>
            <w:tcBorders>
              <w:top w:val="single" w:sz="4" w:space="0" w:color="auto"/>
              <w:left w:val="single" w:sz="4" w:space="0" w:color="auto"/>
              <w:bottom w:val="single" w:sz="4" w:space="0" w:color="auto"/>
              <w:right w:val="single" w:sz="4" w:space="0" w:color="auto"/>
            </w:tcBorders>
            <w:noWrap/>
            <w:vAlign w:val="center"/>
          </w:tcPr>
          <w:p w14:paraId="08F720A2" w14:textId="68482949" w:rsidR="007227B4"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56" w:type="pct"/>
            <w:tcBorders>
              <w:top w:val="single" w:sz="4" w:space="0" w:color="auto"/>
              <w:left w:val="single" w:sz="4" w:space="0" w:color="auto"/>
              <w:bottom w:val="single" w:sz="4" w:space="0" w:color="auto"/>
              <w:right w:val="single" w:sz="4" w:space="0" w:color="auto"/>
            </w:tcBorders>
            <w:noWrap/>
            <w:vAlign w:val="center"/>
          </w:tcPr>
          <w:p w14:paraId="0BAB8C65" w14:textId="19929390" w:rsidR="007227B4"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403" w:type="pct"/>
            <w:tcBorders>
              <w:top w:val="single" w:sz="4" w:space="0" w:color="auto"/>
              <w:left w:val="single" w:sz="4" w:space="0" w:color="auto"/>
              <w:bottom w:val="single" w:sz="4" w:space="0" w:color="auto"/>
              <w:right w:val="single" w:sz="4" w:space="0" w:color="auto"/>
            </w:tcBorders>
            <w:noWrap/>
            <w:vAlign w:val="center"/>
          </w:tcPr>
          <w:p w14:paraId="4F35B23E" w14:textId="1C5DE517" w:rsidR="007227B4"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400" w:type="pct"/>
            <w:tcBorders>
              <w:top w:val="single" w:sz="4" w:space="0" w:color="auto"/>
              <w:left w:val="single" w:sz="4" w:space="0" w:color="auto"/>
              <w:bottom w:val="single" w:sz="4" w:space="0" w:color="auto"/>
              <w:right w:val="single" w:sz="4" w:space="0" w:color="auto"/>
            </w:tcBorders>
            <w:noWrap/>
            <w:vAlign w:val="center"/>
          </w:tcPr>
          <w:p w14:paraId="5A03CD2A" w14:textId="54AC7E71" w:rsidR="007227B4" w:rsidRPr="00987817" w:rsidRDefault="00BC1093" w:rsidP="004C132F">
            <w:pPr>
              <w:spacing w:before="0" w:after="0" w:line="240" w:lineRule="auto"/>
              <w:jc w:val="center"/>
              <w:rPr>
                <w:rFonts w:eastAsia="Times New Roman" w:cs="Arial"/>
                <w:color w:val="000000"/>
                <w:kern w:val="0"/>
                <w:sz w:val="21"/>
                <w:szCs w:val="21"/>
                <w:lang w:eastAsia="en-AU"/>
                <w14:ligatures w14:val="none"/>
              </w:rPr>
            </w:pPr>
            <w:r w:rsidRPr="00987817">
              <w:rPr>
                <w:rFonts w:eastAsia="Aptos" w:cs="Arial"/>
                <w:noProof/>
                <w:sz w:val="21"/>
                <w:szCs w:val="21"/>
                <w:lang w:eastAsia="en-US"/>
              </w:rPr>
              <w:t>Yes</w:t>
            </w:r>
          </w:p>
        </w:tc>
        <w:tc>
          <w:tcPr>
            <w:tcW w:w="403" w:type="pct"/>
            <w:tcBorders>
              <w:top w:val="single" w:sz="4" w:space="0" w:color="auto"/>
              <w:left w:val="single" w:sz="4" w:space="0" w:color="auto"/>
              <w:bottom w:val="single" w:sz="4" w:space="0" w:color="auto"/>
              <w:right w:val="single" w:sz="4" w:space="0" w:color="auto"/>
            </w:tcBorders>
            <w:noWrap/>
            <w:vAlign w:val="center"/>
          </w:tcPr>
          <w:p w14:paraId="5EE29986" w14:textId="234F0D49" w:rsidR="007227B4"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58" w:type="pct"/>
            <w:tcBorders>
              <w:top w:val="single" w:sz="4" w:space="0" w:color="auto"/>
              <w:left w:val="single" w:sz="4" w:space="0" w:color="auto"/>
              <w:bottom w:val="single" w:sz="4" w:space="0" w:color="auto"/>
              <w:right w:val="single" w:sz="4" w:space="0" w:color="auto"/>
            </w:tcBorders>
            <w:noWrap/>
            <w:vAlign w:val="center"/>
          </w:tcPr>
          <w:p w14:paraId="36289EA5" w14:textId="3D6C2B5D" w:rsidR="007227B4"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03" w:type="pct"/>
            <w:tcBorders>
              <w:top w:val="single" w:sz="4" w:space="0" w:color="auto"/>
              <w:left w:val="single" w:sz="4" w:space="0" w:color="auto"/>
              <w:bottom w:val="single" w:sz="4" w:space="0" w:color="auto"/>
              <w:right w:val="single" w:sz="4" w:space="0" w:color="auto"/>
            </w:tcBorders>
            <w:noWrap/>
            <w:vAlign w:val="center"/>
          </w:tcPr>
          <w:p w14:paraId="4F5AE82C" w14:textId="631EA6A7" w:rsidR="007227B4" w:rsidRPr="00987817" w:rsidRDefault="00F84A22" w:rsidP="004C132F">
            <w:pPr>
              <w:spacing w:before="0" w:after="0" w:line="240" w:lineRule="auto"/>
              <w:jc w:val="center"/>
              <w:rPr>
                <w:rFonts w:eastAsia="Times New Roman" w:cs="Arial"/>
                <w:color w:val="000000"/>
                <w:kern w:val="0"/>
                <w:sz w:val="21"/>
                <w:szCs w:val="21"/>
                <w:lang w:eastAsia="en-AU"/>
                <w14:ligatures w14:val="none"/>
              </w:rPr>
            </w:pPr>
            <w:r>
              <w:rPr>
                <w:rFonts w:eastAsia="Times New Roman" w:cs="Arial"/>
                <w:kern w:val="0"/>
                <w:sz w:val="21"/>
                <w:szCs w:val="21"/>
                <w:lang w:eastAsia="en-AU"/>
                <w14:ligatures w14:val="none"/>
              </w:rPr>
              <w:t>No</w:t>
            </w:r>
          </w:p>
        </w:tc>
        <w:tc>
          <w:tcPr>
            <w:tcW w:w="366" w:type="pct"/>
            <w:tcBorders>
              <w:top w:val="single" w:sz="4" w:space="0" w:color="auto"/>
              <w:left w:val="single" w:sz="4" w:space="0" w:color="auto"/>
              <w:bottom w:val="single" w:sz="4" w:space="0" w:color="auto"/>
            </w:tcBorders>
            <w:noWrap/>
            <w:vAlign w:val="center"/>
          </w:tcPr>
          <w:p w14:paraId="6D89BDB8" w14:textId="40E789DB" w:rsidR="007227B4" w:rsidRPr="00987817" w:rsidRDefault="00F84A22" w:rsidP="004C132F">
            <w:pPr>
              <w:spacing w:before="0" w:after="0" w:line="240" w:lineRule="auto"/>
              <w:jc w:val="center"/>
              <w:rPr>
                <w:rFonts w:eastAsia="Times New Roman" w:cs="Arial"/>
                <w:color w:val="808080"/>
                <w:kern w:val="0"/>
                <w:sz w:val="21"/>
                <w:szCs w:val="21"/>
                <w:lang w:eastAsia="en-AU"/>
                <w14:ligatures w14:val="none"/>
              </w:rPr>
            </w:pPr>
            <w:r>
              <w:rPr>
                <w:rFonts w:eastAsia="Times New Roman" w:cs="Arial"/>
                <w:kern w:val="0"/>
                <w:sz w:val="21"/>
                <w:szCs w:val="21"/>
                <w:lang w:eastAsia="en-AU"/>
                <w14:ligatures w14:val="none"/>
              </w:rPr>
              <w:t>No</w:t>
            </w:r>
          </w:p>
        </w:tc>
      </w:tr>
    </w:tbl>
    <w:p w14:paraId="41C2D3AA" w14:textId="77777777" w:rsidR="00E43C2D" w:rsidRDefault="00E43C2D" w:rsidP="00F42C90">
      <w:pPr>
        <w:pBdr>
          <w:top w:val="none" w:sz="0" w:space="0" w:color="000000"/>
          <w:left w:val="none" w:sz="0" w:space="0" w:color="000000"/>
          <w:bottom w:val="none" w:sz="0" w:space="0" w:color="000000"/>
          <w:right w:val="none" w:sz="0" w:space="0" w:color="000000"/>
        </w:pBdr>
      </w:pPr>
    </w:p>
    <w:p w14:paraId="7C7B0593" w14:textId="1F7092E8" w:rsidR="0027323D" w:rsidRPr="001A6E20" w:rsidRDefault="0027323D" w:rsidP="00F42C90">
      <w:pPr>
        <w:pBdr>
          <w:top w:val="none" w:sz="0" w:space="0" w:color="000000"/>
          <w:left w:val="none" w:sz="0" w:space="0" w:color="000000"/>
          <w:bottom w:val="none" w:sz="0" w:space="0" w:color="000000"/>
          <w:right w:val="none" w:sz="0" w:space="0" w:color="000000"/>
        </w:pBdr>
      </w:pPr>
      <w:r w:rsidRPr="001A6E20">
        <w:t>Note: Use the hyperlinked measure abbreviation to move to the information about that measure.</w:t>
      </w:r>
    </w:p>
    <w:p w14:paraId="41B94E66" w14:textId="36C850A9" w:rsidR="00737353" w:rsidRPr="001A6E20" w:rsidRDefault="00022522" w:rsidP="1489F845">
      <w:pPr>
        <w:spacing w:line="252" w:lineRule="auto"/>
        <w:rPr>
          <w:rFonts w:eastAsia="Aptos" w:cs="Arial"/>
        </w:rPr>
        <w:sectPr w:rsidR="00737353" w:rsidRPr="001A6E20" w:rsidSect="009A3262">
          <w:footerReference w:type="default" r:id="rId12"/>
          <w:pgSz w:w="16845" w:h="11910" w:orient="landscape"/>
          <w:pgMar w:top="1134" w:right="1440" w:bottom="1134" w:left="1440" w:header="720" w:footer="680" w:gutter="0"/>
          <w:cols w:space="720"/>
          <w:docGrid w:linePitch="326"/>
        </w:sectPr>
      </w:pPr>
      <w:r w:rsidRPr="001A6E20">
        <w:rPr>
          <w:rFonts w:eastAsia="Aptos" w:cs="Arial"/>
        </w:rPr>
        <w:t>Yes, measure addresses this outcome area; Partial, measure provides some information about this outcome</w:t>
      </w:r>
      <w:r w:rsidR="00EB7156">
        <w:rPr>
          <w:rFonts w:eastAsia="Aptos" w:cs="Arial"/>
        </w:rPr>
        <w:t xml:space="preserve">; No, this measure provides no information for this outcome. </w:t>
      </w:r>
    </w:p>
    <w:p w14:paraId="3940A5F0" w14:textId="77777777" w:rsidR="00021DDB" w:rsidRDefault="00021DDB">
      <w:pPr>
        <w:jc w:val="center"/>
      </w:pPr>
      <w:r>
        <w:rPr>
          <w:noProof/>
        </w:rPr>
        <w:lastRenderedPageBreak/>
        <w:drawing>
          <wp:anchor distT="0" distB="0" distL="114300" distR="114300" simplePos="0" relativeHeight="251658256" behindDoc="0" locked="1" layoutInCell="1" allowOverlap="1" wp14:anchorId="101D1969" wp14:editId="47649973">
            <wp:simplePos x="0" y="0"/>
            <wp:positionH relativeFrom="page">
              <wp:posOffset>0</wp:posOffset>
            </wp:positionH>
            <wp:positionV relativeFrom="page">
              <wp:posOffset>2559685</wp:posOffset>
            </wp:positionV>
            <wp:extent cx="7563485" cy="935990"/>
            <wp:effectExtent l="0" t="0" r="5715" b="3810"/>
            <wp:wrapNone/>
            <wp:docPr id="114648466"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1" locked="1" layoutInCell="1" allowOverlap="1" wp14:anchorId="795FB57A" wp14:editId="67C20E51">
            <wp:simplePos x="0" y="0"/>
            <wp:positionH relativeFrom="page">
              <wp:posOffset>0</wp:posOffset>
            </wp:positionH>
            <wp:positionV relativeFrom="page">
              <wp:posOffset>0</wp:posOffset>
            </wp:positionV>
            <wp:extent cx="7563485" cy="2267585"/>
            <wp:effectExtent l="0" t="0" r="5715" b="5715"/>
            <wp:wrapNone/>
            <wp:docPr id="455140924"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002AC195" w14:textId="77777777" w:rsidR="00021DDB" w:rsidRDefault="00021DDB">
      <w:pPr>
        <w:jc w:val="center"/>
      </w:pPr>
    </w:p>
    <w:p w14:paraId="035118FF" w14:textId="77777777" w:rsidR="00021DDB" w:rsidRDefault="00021DDB">
      <w:pPr>
        <w:tabs>
          <w:tab w:val="left" w:pos="5465"/>
        </w:tabs>
        <w:spacing w:line="300" w:lineRule="auto"/>
      </w:pPr>
      <w:r>
        <w:rPr>
          <w:rFonts w:ascii="Arial Bold" w:eastAsia="Arial Bold" w:hAnsi="Arial Bold" w:cs="Arial Bold"/>
          <w:b/>
          <w:bCs/>
          <w:color w:val="000F46"/>
          <w:sz w:val="40"/>
          <w:szCs w:val="40"/>
        </w:rPr>
        <w:t xml:space="preserve"> </w:t>
      </w:r>
      <w:r>
        <w:rPr>
          <w:rFonts w:ascii="Arial Bold" w:eastAsia="Arial Bold" w:hAnsi="Arial Bold" w:cs="Arial Bold"/>
          <w:b/>
          <w:bCs/>
          <w:color w:val="000F46"/>
          <w:sz w:val="40"/>
          <w:szCs w:val="40"/>
        </w:rPr>
        <w:tab/>
      </w:r>
    </w:p>
    <w:p w14:paraId="59389407" w14:textId="77777777" w:rsidR="00021DDB" w:rsidRDefault="00021DDB">
      <w:pPr>
        <w:spacing w:line="300" w:lineRule="auto"/>
      </w:pPr>
      <w:r>
        <w:rPr>
          <w:rFonts w:ascii="Canva Sans" w:eastAsia="Canva Sans" w:hAnsi="Canva Sans" w:cs="Canva Sans"/>
          <w:color w:val="000000"/>
        </w:rPr>
        <w:t xml:space="preserve"> </w:t>
      </w:r>
    </w:p>
    <w:p w14:paraId="6A93AAE4" w14:textId="77777777" w:rsidR="00021DDB" w:rsidRDefault="00021DDB">
      <w:pPr>
        <w:spacing w:line="300" w:lineRule="auto"/>
        <w:rPr>
          <w:rFonts w:eastAsia="Canva Sans" w:cs="Arial"/>
          <w:b/>
          <w:bCs/>
          <w:color w:val="000000"/>
          <w:sz w:val="36"/>
          <w:szCs w:val="36"/>
        </w:rPr>
      </w:pPr>
    </w:p>
    <w:p w14:paraId="3E0FEF5B" w14:textId="77777777" w:rsidR="00021DDB" w:rsidRDefault="00021DDB">
      <w:pPr>
        <w:spacing w:line="300" w:lineRule="auto"/>
        <w:rPr>
          <w:rFonts w:eastAsia="Canva Sans" w:cs="Arial"/>
          <w:b/>
          <w:bCs/>
          <w:color w:val="000000"/>
          <w:sz w:val="36"/>
          <w:szCs w:val="36"/>
        </w:rPr>
      </w:pPr>
      <w:r>
        <w:rPr>
          <w:noProof/>
        </w:rPr>
        <mc:AlternateContent>
          <mc:Choice Requires="wps">
            <w:drawing>
              <wp:anchor distT="0" distB="0" distL="114300" distR="114300" simplePos="0" relativeHeight="251658258" behindDoc="0" locked="0" layoutInCell="1" allowOverlap="1" wp14:anchorId="1AAC2327" wp14:editId="55D0FF55">
                <wp:simplePos x="0" y="0"/>
                <wp:positionH relativeFrom="column">
                  <wp:posOffset>108585</wp:posOffset>
                </wp:positionH>
                <wp:positionV relativeFrom="paragraph">
                  <wp:posOffset>137482</wp:posOffset>
                </wp:positionV>
                <wp:extent cx="6470650" cy="764275"/>
                <wp:effectExtent l="0" t="0" r="0" b="0"/>
                <wp:wrapNone/>
                <wp:docPr id="1651254697" name="Text Box 1"/>
                <wp:cNvGraphicFramePr/>
                <a:graphic xmlns:a="http://schemas.openxmlformats.org/drawingml/2006/main">
                  <a:graphicData uri="http://schemas.microsoft.com/office/word/2010/wordprocessingShape">
                    <wps:wsp>
                      <wps:cNvSpPr txBox="1"/>
                      <wps:spPr>
                        <a:xfrm>
                          <a:off x="0" y="0"/>
                          <a:ext cx="6470650" cy="764275"/>
                        </a:xfrm>
                        <a:prstGeom prst="rect">
                          <a:avLst/>
                        </a:prstGeom>
                        <a:noFill/>
                        <a:ln w="6350">
                          <a:noFill/>
                        </a:ln>
                      </wps:spPr>
                      <wps:txbx>
                        <w:txbxContent>
                          <w:p w14:paraId="7FED6EE3" w14:textId="77777777" w:rsidR="00021DDB" w:rsidRPr="00B73670" w:rsidRDefault="00021DDB">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52C3EE61" w14:textId="77777777" w:rsidR="00021DDB" w:rsidRPr="00DA3237" w:rsidRDefault="00021DDB">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2327" id="_x0000_s1027" type="#_x0000_t202" style="position:absolute;margin-left:8.55pt;margin-top:10.85pt;width:509.5pt;height:60.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" filled="f" stroked="f" strokeweight=".5pt">
                <v:textbox>
                  <w:txbxContent>
                    <w:p w14:paraId="7FED6EE3" w14:textId="77777777" w:rsidR="00021DDB" w:rsidRPr="00B73670" w:rsidRDefault="00021DDB">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52C3EE61" w14:textId="77777777" w:rsidR="00021DDB" w:rsidRPr="00DA3237" w:rsidRDefault="00021DDB">
                      <w:pPr>
                        <w:rPr>
                          <w:rFonts w:cs="Arial"/>
                        </w:rPr>
                      </w:pPr>
                    </w:p>
                  </w:txbxContent>
                </v:textbox>
              </v:shape>
            </w:pict>
          </mc:Fallback>
        </mc:AlternateContent>
      </w:r>
    </w:p>
    <w:p w14:paraId="045E3993" w14:textId="77777777" w:rsidR="00021DDB" w:rsidRDefault="00021DDB">
      <w:pPr>
        <w:spacing w:line="300" w:lineRule="auto"/>
        <w:rPr>
          <w:rFonts w:eastAsia="Canva Sans" w:cs="Arial"/>
          <w:b/>
          <w:bCs/>
          <w:color w:val="000000"/>
          <w:sz w:val="36"/>
          <w:szCs w:val="36"/>
        </w:rPr>
      </w:pPr>
    </w:p>
    <w:p w14:paraId="2DD362C4" w14:textId="77777777" w:rsidR="00021DDB" w:rsidRDefault="00021DDB" w:rsidP="00B223D5"/>
    <w:p w14:paraId="2180D30B" w14:textId="77777777" w:rsidR="00021DDB" w:rsidRPr="005D3C2D" w:rsidRDefault="00021DDB" w:rsidP="007B7F0F">
      <w:pPr>
        <w:pStyle w:val="Heading1"/>
      </w:pPr>
      <w:bookmarkStart w:id="1" w:name="_Ages_and_Stages"/>
      <w:bookmarkEnd w:id="1"/>
      <w:r w:rsidRPr="005D3C2D">
        <w:t>Ages and Stages Questionnaire-Talking about Raising Aboriginal Kids (ASQ-TRAK)</w:t>
      </w:r>
    </w:p>
    <w:tbl>
      <w:tblPr>
        <w:tblW w:w="90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75"/>
      </w:tblGrid>
      <w:tr w:rsidR="00021DDB" w:rsidRPr="00B426AB" w14:paraId="65F3C657" w14:textId="77777777" w:rsidTr="00904FEF">
        <w:trPr>
          <w:trHeight w:val="300"/>
        </w:trPr>
        <w:tc>
          <w:tcPr>
            <w:tcW w:w="1977" w:type="dxa"/>
            <w:tcBorders>
              <w:top w:val="single" w:sz="6" w:space="0" w:color="auto"/>
              <w:left w:val="single" w:sz="6" w:space="0" w:color="auto"/>
              <w:bottom w:val="single" w:sz="6" w:space="0" w:color="auto"/>
              <w:right w:val="single" w:sz="6" w:space="0" w:color="auto"/>
            </w:tcBorders>
            <w:hideMark/>
          </w:tcPr>
          <w:p w14:paraId="662D1EAA" w14:textId="77777777" w:rsidR="00021DDB" w:rsidRPr="005656FD" w:rsidRDefault="00021DDB">
            <w:pPr>
              <w:spacing w:after="100"/>
              <w:ind w:left="57" w:right="57"/>
              <w:rPr>
                <w:rFonts w:cs="Arial"/>
                <w:b/>
                <w:bCs/>
              </w:rPr>
            </w:pPr>
            <w:r w:rsidRPr="005656FD">
              <w:rPr>
                <w:rFonts w:cs="Arial"/>
                <w:b/>
                <w:bCs/>
              </w:rPr>
              <w:t>Framework Outcome Statement(s) </w:t>
            </w:r>
          </w:p>
        </w:tc>
        <w:tc>
          <w:tcPr>
            <w:tcW w:w="7075" w:type="dxa"/>
            <w:tcBorders>
              <w:top w:val="single" w:sz="6" w:space="0" w:color="auto"/>
              <w:left w:val="single" w:sz="6" w:space="0" w:color="auto"/>
              <w:bottom w:val="single" w:sz="6" w:space="0" w:color="auto"/>
              <w:right w:val="single" w:sz="6" w:space="0" w:color="auto"/>
            </w:tcBorders>
          </w:tcPr>
          <w:p w14:paraId="6BFE5F82" w14:textId="77777777" w:rsidR="00021DDB" w:rsidRPr="001D0093" w:rsidRDefault="00021DDB" w:rsidP="00D62700">
            <w:pPr>
              <w:spacing w:after="100"/>
              <w:ind w:left="57" w:right="57"/>
              <w:contextualSpacing/>
              <w:rPr>
                <w:rStyle w:val="font171"/>
                <w:b/>
                <w:bCs/>
                <w:color w:val="auto"/>
              </w:rPr>
            </w:pPr>
            <w:r w:rsidRPr="001D0093">
              <w:rPr>
                <w:rStyle w:val="font171"/>
                <w:b/>
                <w:bCs/>
                <w:color w:val="auto"/>
                <w:sz w:val="24"/>
                <w:szCs w:val="24"/>
              </w:rPr>
              <w:t>C</w:t>
            </w:r>
            <w:r w:rsidRPr="001D0093">
              <w:rPr>
                <w:rStyle w:val="font171"/>
                <w:b/>
                <w:bCs/>
                <w:color w:val="auto"/>
              </w:rPr>
              <w:t>hildren:</w:t>
            </w:r>
          </w:p>
          <w:p w14:paraId="18A2F2D1" w14:textId="77777777" w:rsidR="00021DDB" w:rsidRDefault="00021DDB" w:rsidP="004E3AF4">
            <w:pPr>
              <w:pStyle w:val="ListParagraph"/>
              <w:rPr>
                <w:rStyle w:val="font161"/>
                <w:sz w:val="24"/>
                <w:szCs w:val="24"/>
              </w:rPr>
            </w:pPr>
            <w:r w:rsidRPr="005656FD">
              <w:rPr>
                <w:rStyle w:val="font171"/>
                <w:color w:val="auto"/>
                <w:sz w:val="24"/>
                <w:szCs w:val="24"/>
              </w:rPr>
              <w:t>acquire, develop and generalise</w:t>
            </w:r>
            <w:r w:rsidRPr="005656FD">
              <w:rPr>
                <w:rStyle w:val="font161"/>
                <w:sz w:val="24"/>
                <w:szCs w:val="24"/>
              </w:rPr>
              <w:t xml:space="preserve"> new knowledge and skills </w:t>
            </w:r>
          </w:p>
          <w:p w14:paraId="3E4A07AE" w14:textId="77777777" w:rsidR="00021DDB" w:rsidRPr="005656FD" w:rsidRDefault="00021DDB" w:rsidP="00D62700">
            <w:pPr>
              <w:spacing w:after="100"/>
              <w:ind w:left="57" w:right="57"/>
              <w:contextualSpacing/>
              <w:rPr>
                <w:rStyle w:val="font161"/>
                <w:sz w:val="24"/>
                <w:szCs w:val="24"/>
              </w:rPr>
            </w:pPr>
            <w:r w:rsidRPr="005C4241">
              <w:rPr>
                <w:rFonts w:cs="Arial"/>
              </w:rPr>
              <w:t>Provides some information about: </w:t>
            </w:r>
          </w:p>
          <w:p w14:paraId="39156A30" w14:textId="77777777" w:rsidR="00021DDB" w:rsidRPr="004E3AF4" w:rsidRDefault="00021DDB" w:rsidP="004E3AF4">
            <w:pPr>
              <w:pStyle w:val="ListParagraph"/>
              <w:rPr>
                <w:rStyle w:val="font161"/>
                <w:rFonts w:cstheme="minorBidi"/>
                <w:color w:val="auto"/>
                <w:sz w:val="24"/>
                <w:szCs w:val="24"/>
              </w:rPr>
            </w:pPr>
            <w:r w:rsidRPr="004E3AF4">
              <w:rPr>
                <w:rStyle w:val="font161"/>
                <w:rFonts w:cstheme="minorBidi"/>
                <w:color w:val="auto"/>
                <w:sz w:val="24"/>
                <w:szCs w:val="24"/>
              </w:rPr>
              <w:t>have secure, stable and safe relationships with parents, carers, siblings, family members and significant others</w:t>
            </w:r>
          </w:p>
          <w:p w14:paraId="05979453" w14:textId="77777777" w:rsidR="00021DDB" w:rsidRPr="004E3AF4" w:rsidRDefault="00021DDB" w:rsidP="004E3AF4">
            <w:pPr>
              <w:pStyle w:val="ListParagraph"/>
              <w:rPr>
                <w:rStyle w:val="font161"/>
                <w:rFonts w:cstheme="minorBidi"/>
                <w:color w:val="auto"/>
                <w:sz w:val="24"/>
                <w:szCs w:val="24"/>
              </w:rPr>
            </w:pPr>
            <w:r w:rsidRPr="004E3AF4">
              <w:rPr>
                <w:rStyle w:val="font161"/>
                <w:rFonts w:cstheme="minorBidi"/>
                <w:color w:val="auto"/>
                <w:sz w:val="24"/>
                <w:szCs w:val="24"/>
              </w:rPr>
              <w:t>interact with family members, other children, and people in the community to build relational skills and connections</w:t>
            </w:r>
          </w:p>
          <w:p w14:paraId="2321E24F" w14:textId="77777777" w:rsidR="00021DDB" w:rsidRPr="00DE46F7" w:rsidRDefault="00021DDB" w:rsidP="004E3AF4">
            <w:pPr>
              <w:pStyle w:val="ListParagraph"/>
              <w:rPr>
                <w:rStyle w:val="font171"/>
                <w:color w:val="auto"/>
                <w:sz w:val="24"/>
                <w:szCs w:val="24"/>
              </w:rPr>
            </w:pPr>
            <w:r w:rsidRPr="004E3AF4">
              <w:rPr>
                <w:rStyle w:val="font171"/>
                <w:rFonts w:cstheme="minorBidi"/>
                <w:color w:val="auto"/>
                <w:sz w:val="24"/>
                <w:szCs w:val="24"/>
              </w:rPr>
              <w:t>build capacity to regulate their behaviour</w:t>
            </w:r>
          </w:p>
        </w:tc>
      </w:tr>
    </w:tbl>
    <w:p w14:paraId="540CE90C" w14:textId="741E7DAC" w:rsidR="00021DDB" w:rsidRDefault="00021DDB" w:rsidP="004E3AF4">
      <w:pPr>
        <w:pStyle w:val="Heading1"/>
      </w:pPr>
      <w:r w:rsidRPr="00A9787C">
        <w:t>ASQ-TRAK Overview</w:t>
      </w:r>
    </w:p>
    <w:tbl>
      <w:tblPr>
        <w:tblW w:w="90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75"/>
      </w:tblGrid>
      <w:tr w:rsidR="00021DDB" w:rsidRPr="001A444E" w14:paraId="5448F6EC" w14:textId="77777777" w:rsidTr="00904FEF">
        <w:trPr>
          <w:trHeight w:val="300"/>
        </w:trPr>
        <w:tc>
          <w:tcPr>
            <w:tcW w:w="1977" w:type="dxa"/>
            <w:tcBorders>
              <w:top w:val="single" w:sz="6" w:space="0" w:color="auto"/>
              <w:left w:val="single" w:sz="6" w:space="0" w:color="auto"/>
              <w:bottom w:val="single" w:sz="6" w:space="0" w:color="auto"/>
              <w:right w:val="single" w:sz="6" w:space="0" w:color="auto"/>
            </w:tcBorders>
            <w:hideMark/>
          </w:tcPr>
          <w:p w14:paraId="0E554B5A" w14:textId="77777777" w:rsidR="00021DDB" w:rsidRPr="001A444E" w:rsidRDefault="00021DDB">
            <w:pPr>
              <w:spacing w:after="100"/>
              <w:ind w:left="57" w:right="57"/>
              <w:rPr>
                <w:rFonts w:cs="Arial"/>
              </w:rPr>
            </w:pPr>
            <w:r w:rsidRPr="001A444E">
              <w:rPr>
                <w:rFonts w:cs="Arial"/>
                <w:b/>
                <w:bCs/>
              </w:rPr>
              <w:t>General description</w:t>
            </w:r>
            <w:r w:rsidRPr="001A444E">
              <w:rPr>
                <w:rFonts w:cs="Arial"/>
              </w:rPr>
              <w:t>  </w:t>
            </w:r>
          </w:p>
          <w:p w14:paraId="793874F0" w14:textId="77777777" w:rsidR="00021DDB" w:rsidRPr="001A444E" w:rsidRDefault="00021DDB">
            <w:pPr>
              <w:spacing w:after="100" w:line="276" w:lineRule="auto"/>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05EB12B4" w14:textId="77777777" w:rsidR="00021DDB" w:rsidRPr="001A444E" w:rsidRDefault="00021DDB">
            <w:pPr>
              <w:spacing w:after="100"/>
              <w:ind w:left="57" w:right="57"/>
              <w:rPr>
                <w:rFonts w:cs="Arial"/>
              </w:rPr>
            </w:pPr>
            <w:r w:rsidRPr="001A444E">
              <w:rPr>
                <w:rFonts w:cs="Arial"/>
              </w:rPr>
              <w:t>A culturally adapted developmental screening tool designed for Aboriginal and Torres Strait Islander children. Based on the Ages &amp; Stages Questionnaire (ASQ-3) but modified to be more culturally appropriate and relevant.</w:t>
            </w:r>
          </w:p>
          <w:p w14:paraId="26392C14" w14:textId="77777777" w:rsidR="00021DDB" w:rsidRPr="001A444E" w:rsidRDefault="00021DDB">
            <w:pPr>
              <w:spacing w:after="100"/>
              <w:ind w:left="57" w:right="57"/>
              <w:rPr>
                <w:rFonts w:cs="Arial"/>
              </w:rPr>
            </w:pPr>
            <w:r w:rsidRPr="001A444E">
              <w:rPr>
                <w:rFonts w:cs="Arial"/>
              </w:rPr>
              <w:t>Purpose of the tool is to identify Aboriginal and Torres Strait Islander children with possible developmental difficulties who require more in-depth assessment; to enable better access to high-quality developmental monitoring and targeted early intervention</w:t>
            </w:r>
            <w:r>
              <w:rPr>
                <w:rFonts w:cs="Arial"/>
              </w:rPr>
              <w:t>.</w:t>
            </w:r>
          </w:p>
          <w:p w14:paraId="7A5CC6F1" w14:textId="77777777" w:rsidR="00021DDB" w:rsidRPr="001A444E" w:rsidRDefault="00021DDB">
            <w:pPr>
              <w:spacing w:after="100"/>
              <w:ind w:left="57" w:right="57"/>
              <w:rPr>
                <w:rFonts w:cs="Arial"/>
              </w:rPr>
            </w:pPr>
            <w:r w:rsidRPr="006222D1">
              <w:rPr>
                <w:rFonts w:cs="Arial"/>
              </w:rPr>
              <w:t xml:space="preserve">Note: A culturally adapted developmental outcome measure, derived from the ASQ-TRAK, is in development (as of May 2025). The ASQ-Steps for measuring Aboriginal child </w:t>
            </w:r>
            <w:r w:rsidRPr="006222D1">
              <w:rPr>
                <w:rFonts w:cs="Arial"/>
              </w:rPr>
              <w:lastRenderedPageBreak/>
              <w:t>development (ASQ-STEPS) psychometric properties are still being established.</w:t>
            </w:r>
          </w:p>
        </w:tc>
      </w:tr>
      <w:tr w:rsidR="00021DDB" w:rsidRPr="001A444E" w14:paraId="14F3FDE4" w14:textId="77777777" w:rsidTr="00904FEF">
        <w:trPr>
          <w:trHeight w:val="300"/>
        </w:trPr>
        <w:tc>
          <w:tcPr>
            <w:tcW w:w="1977" w:type="dxa"/>
            <w:tcBorders>
              <w:top w:val="single" w:sz="6" w:space="0" w:color="auto"/>
              <w:left w:val="single" w:sz="6" w:space="0" w:color="auto"/>
              <w:bottom w:val="single" w:sz="6" w:space="0" w:color="auto"/>
              <w:right w:val="single" w:sz="6" w:space="0" w:color="auto"/>
            </w:tcBorders>
          </w:tcPr>
          <w:p w14:paraId="3A6726AD" w14:textId="1CD4E14E" w:rsidR="00021DDB" w:rsidRPr="001C6757" w:rsidRDefault="00021DDB" w:rsidP="001C6757">
            <w:pPr>
              <w:spacing w:after="100"/>
              <w:ind w:left="57" w:right="57"/>
              <w:rPr>
                <w:rFonts w:cs="Arial"/>
              </w:rPr>
            </w:pPr>
            <w:r w:rsidRPr="001A444E">
              <w:rPr>
                <w:rFonts w:cs="Arial"/>
                <w:b/>
                <w:bCs/>
              </w:rPr>
              <w:lastRenderedPageBreak/>
              <w:t>Domains</w:t>
            </w:r>
            <w:r>
              <w:rPr>
                <w:rFonts w:cs="Arial"/>
                <w:b/>
                <w:bCs/>
              </w:rPr>
              <w:t xml:space="preserve"> </w:t>
            </w:r>
            <w:r w:rsidRPr="001A444E">
              <w:rPr>
                <w:rFonts w:cs="Arial"/>
                <w:b/>
                <w:bCs/>
              </w:rPr>
              <w:t>/</w:t>
            </w:r>
            <w:r>
              <w:rPr>
                <w:rFonts w:cs="Arial"/>
                <w:b/>
                <w:bCs/>
              </w:rPr>
              <w:t xml:space="preserve"> subscales</w:t>
            </w:r>
            <w:r w:rsidRPr="001A444E">
              <w:rPr>
                <w:rFonts w:cs="Arial"/>
                <w:b/>
                <w:bCs/>
              </w:rPr>
              <w:t> </w:t>
            </w:r>
          </w:p>
        </w:tc>
        <w:tc>
          <w:tcPr>
            <w:tcW w:w="7075" w:type="dxa"/>
            <w:tcBorders>
              <w:top w:val="single" w:sz="6" w:space="0" w:color="auto"/>
              <w:left w:val="single" w:sz="6" w:space="0" w:color="auto"/>
              <w:bottom w:val="single" w:sz="6" w:space="0" w:color="auto"/>
              <w:right w:val="single" w:sz="6" w:space="0" w:color="auto"/>
            </w:tcBorders>
          </w:tcPr>
          <w:p w14:paraId="22438FE5" w14:textId="77777777" w:rsidR="00021DDB" w:rsidRPr="001A444E" w:rsidRDefault="00021DDB">
            <w:pPr>
              <w:spacing w:after="100"/>
              <w:ind w:left="57" w:right="57"/>
              <w:rPr>
                <w:rFonts w:cs="Arial"/>
              </w:rPr>
            </w:pPr>
            <w:r>
              <w:rPr>
                <w:rFonts w:cs="Arial"/>
              </w:rPr>
              <w:t>C</w:t>
            </w:r>
            <w:r w:rsidRPr="001A444E">
              <w:rPr>
                <w:rFonts w:cs="Arial"/>
              </w:rPr>
              <w:t>ommunication, Gross motor, Fine motor, Problem-solving, Personal-social</w:t>
            </w:r>
          </w:p>
        </w:tc>
      </w:tr>
      <w:tr w:rsidR="00021DDB" w:rsidRPr="001A444E" w14:paraId="101DAAC6" w14:textId="77777777" w:rsidTr="00904FEF">
        <w:trPr>
          <w:trHeight w:val="300"/>
        </w:trPr>
        <w:tc>
          <w:tcPr>
            <w:tcW w:w="1977" w:type="dxa"/>
            <w:tcBorders>
              <w:top w:val="single" w:sz="6" w:space="0" w:color="auto"/>
              <w:left w:val="single" w:sz="6" w:space="0" w:color="auto"/>
              <w:bottom w:val="single" w:sz="6" w:space="0" w:color="auto"/>
              <w:right w:val="single" w:sz="6" w:space="0" w:color="auto"/>
            </w:tcBorders>
          </w:tcPr>
          <w:p w14:paraId="6F5FC20E" w14:textId="77777777" w:rsidR="00021DDB" w:rsidRPr="001A444E" w:rsidRDefault="00021DDB">
            <w:pPr>
              <w:spacing w:after="100"/>
              <w:ind w:left="57" w:right="57"/>
              <w:rPr>
                <w:rFonts w:cs="Arial"/>
                <w:b/>
                <w:bCs/>
              </w:rPr>
            </w:pPr>
            <w:r w:rsidRPr="001A444E">
              <w:rPr>
                <w:rFonts w:cs="Arial"/>
                <w:b/>
                <w:bCs/>
              </w:rPr>
              <w:t>Ages</w:t>
            </w:r>
          </w:p>
        </w:tc>
        <w:tc>
          <w:tcPr>
            <w:tcW w:w="7075" w:type="dxa"/>
            <w:tcBorders>
              <w:top w:val="single" w:sz="6" w:space="0" w:color="auto"/>
              <w:left w:val="single" w:sz="6" w:space="0" w:color="auto"/>
              <w:bottom w:val="single" w:sz="6" w:space="0" w:color="auto"/>
              <w:right w:val="single" w:sz="6" w:space="0" w:color="auto"/>
            </w:tcBorders>
          </w:tcPr>
          <w:p w14:paraId="47A4960F" w14:textId="77777777" w:rsidR="00021DDB" w:rsidRPr="001A444E" w:rsidRDefault="00021DDB">
            <w:pPr>
              <w:spacing w:after="100"/>
              <w:ind w:left="57" w:right="57"/>
              <w:rPr>
                <w:rFonts w:cs="Arial"/>
              </w:rPr>
            </w:pPr>
            <w:r w:rsidRPr="001A444E">
              <w:rPr>
                <w:rFonts w:cs="Arial"/>
              </w:rPr>
              <w:t>From 2 months to 5½ years with 21 age intervals</w:t>
            </w:r>
          </w:p>
        </w:tc>
      </w:tr>
      <w:tr w:rsidR="00021DDB" w:rsidRPr="001A444E" w14:paraId="487274C4" w14:textId="77777777" w:rsidTr="00904FEF">
        <w:trPr>
          <w:trHeight w:val="300"/>
        </w:trPr>
        <w:tc>
          <w:tcPr>
            <w:tcW w:w="1977" w:type="dxa"/>
            <w:tcBorders>
              <w:top w:val="single" w:sz="6" w:space="0" w:color="auto"/>
              <w:left w:val="single" w:sz="6" w:space="0" w:color="auto"/>
              <w:bottom w:val="single" w:sz="6" w:space="0" w:color="auto"/>
              <w:right w:val="single" w:sz="6" w:space="0" w:color="auto"/>
            </w:tcBorders>
            <w:hideMark/>
          </w:tcPr>
          <w:p w14:paraId="5D2D21EE" w14:textId="77777777" w:rsidR="00021DDB" w:rsidRPr="001A444E" w:rsidRDefault="00021DDB">
            <w:pPr>
              <w:spacing w:after="100"/>
              <w:ind w:left="57" w:right="57"/>
              <w:rPr>
                <w:rFonts w:cs="Arial"/>
                <w:b/>
                <w:bCs/>
              </w:rPr>
            </w:pPr>
            <w:r w:rsidRPr="001A444E">
              <w:rPr>
                <w:rFonts w:cs="Arial"/>
                <w:b/>
                <w:bCs/>
              </w:rPr>
              <w:t>Special considerations</w:t>
            </w:r>
          </w:p>
        </w:tc>
        <w:tc>
          <w:tcPr>
            <w:tcW w:w="7075" w:type="dxa"/>
            <w:tcBorders>
              <w:top w:val="single" w:sz="6" w:space="0" w:color="auto"/>
              <w:left w:val="single" w:sz="6" w:space="0" w:color="auto"/>
              <w:bottom w:val="single" w:sz="6" w:space="0" w:color="auto"/>
              <w:right w:val="single" w:sz="6" w:space="0" w:color="auto"/>
            </w:tcBorders>
            <w:hideMark/>
          </w:tcPr>
          <w:p w14:paraId="277B838D" w14:textId="77777777" w:rsidR="00021DDB" w:rsidRPr="001A444E" w:rsidRDefault="00021DDB">
            <w:pPr>
              <w:spacing w:after="100"/>
              <w:ind w:left="57" w:right="57"/>
              <w:rPr>
                <w:rFonts w:cs="Arial"/>
              </w:rPr>
            </w:pPr>
            <w:r w:rsidRPr="78414091">
              <w:rPr>
                <w:rFonts w:cs="Arial"/>
              </w:rPr>
              <w:t xml:space="preserve">The ASQ-TRAK is a developmental screening tool. </w:t>
            </w:r>
            <w:r w:rsidRPr="00FA04C6">
              <w:rPr>
                <w:rFonts w:cs="Arial"/>
              </w:rPr>
              <w:t>Screening is a brief evaluation intended to identify those children with potential difficulties who require a more in-depth assessment. Screening tools are not designed to be used as outcome measures.</w:t>
            </w:r>
            <w:r>
              <w:br/>
            </w:r>
            <w:r>
              <w:br/>
            </w:r>
            <w:r w:rsidRPr="00FA04C6">
              <w:rPr>
                <w:rFonts w:cs="Arial"/>
              </w:rPr>
              <w:t xml:space="preserve">However, in the </w:t>
            </w:r>
            <w:r>
              <w:rPr>
                <w:rFonts w:cs="Arial"/>
              </w:rPr>
              <w:t>absence of an appropriate outcome measure, using the ASQ-TRAK</w:t>
            </w:r>
            <w:r w:rsidRPr="00FA04C6">
              <w:rPr>
                <w:rFonts w:cs="Arial"/>
              </w:rPr>
              <w:t xml:space="preserve"> to measure outcomes is better than using nothing at all or using a measure that has not been culturally adapted. Please refer to the Measurement Overview document for a more detailed explanation of the limitations of using a screening tool as an outcome measure.</w:t>
            </w:r>
            <w:r w:rsidRPr="66E77BA0">
              <w:rPr>
                <w:rFonts w:cs="Arial"/>
              </w:rPr>
              <w:t xml:space="preserve"> </w:t>
            </w:r>
          </w:p>
        </w:tc>
      </w:tr>
      <w:tr w:rsidR="00021DDB" w:rsidRPr="001A444E" w14:paraId="08F90C7D" w14:textId="77777777" w:rsidTr="00904FEF">
        <w:trPr>
          <w:trHeight w:val="300"/>
        </w:trPr>
        <w:tc>
          <w:tcPr>
            <w:tcW w:w="1977" w:type="dxa"/>
            <w:tcBorders>
              <w:top w:val="single" w:sz="6" w:space="0" w:color="auto"/>
              <w:left w:val="single" w:sz="6" w:space="0" w:color="auto"/>
              <w:bottom w:val="single" w:sz="6" w:space="0" w:color="auto"/>
              <w:right w:val="single" w:sz="6" w:space="0" w:color="auto"/>
            </w:tcBorders>
            <w:hideMark/>
          </w:tcPr>
          <w:p w14:paraId="69F6540C" w14:textId="77777777" w:rsidR="00021DDB" w:rsidRPr="001A444E" w:rsidRDefault="00021DDB">
            <w:pPr>
              <w:spacing w:after="100"/>
              <w:ind w:left="57" w:right="57"/>
              <w:rPr>
                <w:rFonts w:cs="Arial"/>
              </w:rPr>
            </w:pPr>
            <w:r w:rsidRPr="001A444E">
              <w:rPr>
                <w:rFonts w:cs="Arial"/>
                <w:b/>
                <w:bCs/>
              </w:rPr>
              <w:t>Cultural adaptation </w:t>
            </w:r>
            <w:r w:rsidRPr="001A444E">
              <w:rPr>
                <w:rFonts w:cs="Arial"/>
              </w:rPr>
              <w:t> </w:t>
            </w:r>
          </w:p>
          <w:p w14:paraId="2A035030" w14:textId="77777777" w:rsidR="00021DDB" w:rsidRPr="001A444E" w:rsidRDefault="00021DDB">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5C2816A1" w14:textId="77777777" w:rsidR="00021DDB" w:rsidRPr="001A444E" w:rsidRDefault="00021DDB">
            <w:pPr>
              <w:spacing w:after="100"/>
              <w:ind w:left="57" w:right="57"/>
              <w:rPr>
                <w:rFonts w:cs="Arial"/>
              </w:rPr>
            </w:pPr>
            <w:r w:rsidRPr="78414091">
              <w:rPr>
                <w:rFonts w:cs="Arial"/>
              </w:rPr>
              <w:t>Specifically adapted for Aboriginal and Torres Strait Islander children; Available in modified English; Uses culturally relevant examples and visual aids; Developed in collaboration with Aboriginal communities</w:t>
            </w:r>
          </w:p>
        </w:tc>
      </w:tr>
      <w:tr w:rsidR="00021DDB" w:rsidRPr="001A444E" w14:paraId="2B03259D" w14:textId="77777777" w:rsidTr="00904FEF">
        <w:trPr>
          <w:trHeight w:val="300"/>
        </w:trPr>
        <w:tc>
          <w:tcPr>
            <w:tcW w:w="1977" w:type="dxa"/>
            <w:tcBorders>
              <w:top w:val="single" w:sz="6" w:space="0" w:color="auto"/>
              <w:left w:val="single" w:sz="6" w:space="0" w:color="auto"/>
              <w:bottom w:val="single" w:sz="6" w:space="0" w:color="auto"/>
              <w:right w:val="single" w:sz="6" w:space="0" w:color="auto"/>
            </w:tcBorders>
            <w:hideMark/>
          </w:tcPr>
          <w:p w14:paraId="5560BD66" w14:textId="77777777" w:rsidR="00021DDB" w:rsidRPr="001A444E" w:rsidRDefault="00021DDB">
            <w:pPr>
              <w:spacing w:after="100"/>
              <w:ind w:left="57" w:right="57"/>
              <w:rPr>
                <w:rFonts w:cs="Arial"/>
              </w:rPr>
            </w:pPr>
            <w:r w:rsidRPr="001A444E">
              <w:rPr>
                <w:rFonts w:cs="Arial"/>
                <w:b/>
                <w:bCs/>
              </w:rPr>
              <w:t>Administration</w:t>
            </w:r>
            <w:r w:rsidRPr="001A444E">
              <w:rPr>
                <w:rFonts w:cs="Arial"/>
              </w:rPr>
              <w:t>  </w:t>
            </w:r>
          </w:p>
          <w:p w14:paraId="7B4ECF69" w14:textId="77777777" w:rsidR="00021DDB" w:rsidRPr="001A444E" w:rsidRDefault="00021DDB">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1977FBCA" w14:textId="77777777" w:rsidR="00021DDB" w:rsidRPr="001A444E" w:rsidRDefault="00021DDB">
            <w:pPr>
              <w:spacing w:after="100"/>
              <w:ind w:left="57" w:right="57"/>
              <w:rPr>
                <w:rFonts w:cs="Arial"/>
              </w:rPr>
            </w:pPr>
            <w:r w:rsidRPr="001B2EB5">
              <w:rPr>
                <w:rFonts w:cs="Arial"/>
              </w:rPr>
              <w:t xml:space="preserve">Interview format with parent/carer. In contrast to ASQ-3 not designed for parent self-administration. Parent/carer and child encouraged to demonstrate all activities while practitioner observes. Takes between 30-60 minutes, depending on age interval. </w:t>
            </w:r>
          </w:p>
        </w:tc>
      </w:tr>
      <w:tr w:rsidR="00021DDB" w:rsidRPr="001A444E" w14:paraId="086507F8" w14:textId="77777777" w:rsidTr="00904FEF">
        <w:trPr>
          <w:trHeight w:val="300"/>
        </w:trPr>
        <w:tc>
          <w:tcPr>
            <w:tcW w:w="1977" w:type="dxa"/>
            <w:tcBorders>
              <w:top w:val="single" w:sz="6" w:space="0" w:color="auto"/>
              <w:left w:val="single" w:sz="6" w:space="0" w:color="auto"/>
              <w:bottom w:val="single" w:sz="6" w:space="0" w:color="auto"/>
              <w:right w:val="single" w:sz="6" w:space="0" w:color="auto"/>
            </w:tcBorders>
            <w:hideMark/>
          </w:tcPr>
          <w:p w14:paraId="32C6B87A" w14:textId="77777777" w:rsidR="00021DDB" w:rsidRPr="001A444E" w:rsidRDefault="00021DDB">
            <w:pPr>
              <w:spacing w:after="100"/>
              <w:ind w:left="57" w:right="57"/>
              <w:rPr>
                <w:rFonts w:cs="Arial"/>
              </w:rPr>
            </w:pPr>
            <w:r w:rsidRPr="001A444E">
              <w:rPr>
                <w:rFonts w:cs="Arial"/>
                <w:b/>
                <w:bCs/>
              </w:rPr>
              <w:t>Training requirements</w:t>
            </w:r>
            <w:r w:rsidRPr="001A444E">
              <w:rPr>
                <w:rFonts w:cs="Arial"/>
              </w:rPr>
              <w:t>  </w:t>
            </w:r>
          </w:p>
          <w:p w14:paraId="0C9FDBE4" w14:textId="77777777" w:rsidR="00021DDB" w:rsidRPr="001A444E" w:rsidRDefault="00021DDB">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6BC37CD0" w14:textId="77777777" w:rsidR="00021DDB" w:rsidRPr="001B2EB5" w:rsidRDefault="00021DDB">
            <w:pPr>
              <w:spacing w:after="100"/>
              <w:ind w:left="57" w:right="57"/>
              <w:rPr>
                <w:rFonts w:cs="Arial"/>
                <w:strike/>
              </w:rPr>
            </w:pPr>
            <w:r w:rsidRPr="001A444E">
              <w:rPr>
                <w:rFonts w:cs="Arial"/>
              </w:rPr>
              <w:t xml:space="preserve">2-day </w:t>
            </w:r>
            <w:r w:rsidRPr="001B2EB5">
              <w:rPr>
                <w:rFonts w:cs="Arial"/>
              </w:rPr>
              <w:t>interactive workshop plus half-day Workplace Practice Task.</w:t>
            </w:r>
          </w:p>
          <w:p w14:paraId="4598203D" w14:textId="77777777" w:rsidR="00021DDB" w:rsidRPr="001B2EB5" w:rsidRDefault="00021DDB">
            <w:pPr>
              <w:spacing w:after="100"/>
              <w:ind w:left="57" w:right="57"/>
              <w:rPr>
                <w:rFonts w:cs="Arial"/>
              </w:rPr>
            </w:pPr>
            <w:r w:rsidRPr="001B2EB5">
              <w:rPr>
                <w:rFonts w:cs="Arial"/>
              </w:rPr>
              <w:t>Annual re-certification recommended.</w:t>
            </w:r>
          </w:p>
          <w:p w14:paraId="7819948E" w14:textId="77777777" w:rsidR="00021DDB" w:rsidRPr="001A444E" w:rsidRDefault="00021DDB">
            <w:pPr>
              <w:spacing w:after="100"/>
              <w:ind w:left="57" w:right="57"/>
              <w:rPr>
                <w:rFonts w:cs="Arial"/>
              </w:rPr>
            </w:pPr>
            <w:r w:rsidRPr="001A444E">
              <w:rPr>
                <w:rFonts w:cs="Arial"/>
              </w:rPr>
              <w:t>Cultural Safety Training recommended for non-Indigenous participants</w:t>
            </w:r>
            <w:r w:rsidRPr="6FEE9287">
              <w:rPr>
                <w:rFonts w:cs="Arial"/>
              </w:rPr>
              <w:t>.</w:t>
            </w:r>
          </w:p>
        </w:tc>
      </w:tr>
      <w:tr w:rsidR="00021DDB" w:rsidRPr="001A444E" w14:paraId="387CE2C9" w14:textId="77777777" w:rsidTr="00904FEF">
        <w:trPr>
          <w:trHeight w:val="300"/>
        </w:trPr>
        <w:tc>
          <w:tcPr>
            <w:tcW w:w="1977" w:type="dxa"/>
            <w:tcBorders>
              <w:top w:val="single" w:sz="6" w:space="0" w:color="auto"/>
              <w:left w:val="single" w:sz="6" w:space="0" w:color="auto"/>
              <w:bottom w:val="single" w:sz="6" w:space="0" w:color="auto"/>
              <w:right w:val="single" w:sz="6" w:space="0" w:color="auto"/>
            </w:tcBorders>
            <w:hideMark/>
          </w:tcPr>
          <w:p w14:paraId="26EF7CA7" w14:textId="77777777" w:rsidR="00021DDB" w:rsidRPr="001B2EB5" w:rsidRDefault="00021DDB">
            <w:pPr>
              <w:spacing w:after="100"/>
              <w:ind w:left="57" w:right="57"/>
              <w:rPr>
                <w:rFonts w:cs="Arial"/>
                <w:b/>
                <w:bCs/>
              </w:rPr>
            </w:pPr>
            <w:r w:rsidRPr="001B2EB5">
              <w:rPr>
                <w:rFonts w:cs="Arial"/>
                <w:b/>
                <w:bCs/>
              </w:rPr>
              <w:t>How to access</w:t>
            </w:r>
          </w:p>
          <w:p w14:paraId="4C8DD80D" w14:textId="77777777" w:rsidR="00021DDB" w:rsidRPr="001B2EB5" w:rsidRDefault="00021DDB">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78A64C34" w14:textId="77777777" w:rsidR="00021DDB" w:rsidRPr="001B2EB5" w:rsidRDefault="00021DDB">
            <w:pPr>
              <w:spacing w:after="100"/>
              <w:ind w:left="57" w:right="57"/>
              <w:rPr>
                <w:rFonts w:cs="Arial"/>
              </w:rPr>
            </w:pPr>
            <w:r w:rsidRPr="001B2EB5">
              <w:rPr>
                <w:rFonts w:cs="Arial"/>
              </w:rPr>
              <w:t>Available for purchase through Royal Children's Hospital Shop, Melbourne</w:t>
            </w:r>
          </w:p>
          <w:p w14:paraId="1EC64CCC" w14:textId="77777777" w:rsidR="00021DDB" w:rsidRPr="001B2EB5" w:rsidRDefault="00021DDB">
            <w:pPr>
              <w:spacing w:after="100"/>
              <w:ind w:left="57" w:right="57"/>
              <w:rPr>
                <w:rFonts w:cs="Arial"/>
              </w:rPr>
            </w:pPr>
            <w:hyperlink r:id="rId15" w:history="1">
              <w:r w:rsidRPr="001B2EB5">
                <w:rPr>
                  <w:rStyle w:val="Hyperlink"/>
                </w:rPr>
                <w:t>ASQ-TRAK – RCH Shop</w:t>
              </w:r>
            </w:hyperlink>
          </w:p>
        </w:tc>
      </w:tr>
    </w:tbl>
    <w:p w14:paraId="03BE07E7" w14:textId="77777777" w:rsidR="00021DDB" w:rsidRDefault="00021DDB">
      <w:pPr>
        <w:rPr>
          <w:lang w:eastAsia="en-US"/>
        </w:rPr>
      </w:pPr>
    </w:p>
    <w:p w14:paraId="2C41D6C7" w14:textId="37A88480" w:rsidR="00021DDB" w:rsidRDefault="00021DDB">
      <w:pPr>
        <w:rPr>
          <w:rFonts w:eastAsiaTheme="majorEastAsia" w:cs="Arial"/>
          <w:b/>
          <w:bCs/>
          <w:color w:val="3F779D"/>
          <w:sz w:val="32"/>
          <w:szCs w:val="32"/>
        </w:rPr>
      </w:pPr>
    </w:p>
    <w:p w14:paraId="74D94A0F" w14:textId="400C1BC9" w:rsidR="00021DDB" w:rsidRPr="00185783" w:rsidRDefault="00021DDB" w:rsidP="004E3AF4">
      <w:pPr>
        <w:pStyle w:val="Heading1"/>
      </w:pPr>
      <w:bookmarkStart w:id="2" w:name="_ASQ-TRAK_Evidence_Summary"/>
      <w:bookmarkStart w:id="3" w:name="_ASQ-TRAK_Evidence_Summary_1"/>
      <w:bookmarkEnd w:id="2"/>
      <w:bookmarkEnd w:id="3"/>
      <w:r w:rsidRPr="00185783">
        <w:lastRenderedPageBreak/>
        <w:t>ASQ-TRAK Evidence Summary</w:t>
      </w:r>
    </w:p>
    <w:p w14:paraId="4EFB2360" w14:textId="7C8A474F" w:rsidR="00021DDB" w:rsidRPr="00DF2D4E" w:rsidRDefault="00021DDB">
      <w:pPr>
        <w:rPr>
          <w:i/>
          <w:iCs/>
          <w:lang w:eastAsia="en-US"/>
        </w:rPr>
      </w:pPr>
      <w:hyperlink w:anchor="_ASQ-TRAK_Reference_List_1" w:history="1">
        <w:r w:rsidRPr="00BC325A">
          <w:rPr>
            <w:rStyle w:val="Hyperlink"/>
            <w:i/>
            <w:iCs/>
          </w:rPr>
          <w:t xml:space="preserve">Link to </w:t>
        </w:r>
        <w:r w:rsidR="0072064F" w:rsidRPr="00BC325A">
          <w:rPr>
            <w:rStyle w:val="Hyperlink"/>
            <w:i/>
            <w:iCs/>
          </w:rPr>
          <w:t xml:space="preserve">ASQ-TRAK </w:t>
        </w:r>
        <w:r w:rsidRPr="00BC325A">
          <w:rPr>
            <w:rStyle w:val="Hyperlink"/>
            <w:i/>
            <w:iCs/>
          </w:rPr>
          <w:t>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021DDB" w:rsidRPr="00DA4CC0" w14:paraId="7550F2ED" w14:textId="77777777" w:rsidTr="001C6757">
        <w:trPr>
          <w:trHeight w:val="300"/>
        </w:trPr>
        <w:tc>
          <w:tcPr>
            <w:tcW w:w="1979" w:type="dxa"/>
            <w:tcBorders>
              <w:top w:val="single" w:sz="6" w:space="0" w:color="auto"/>
              <w:left w:val="single" w:sz="6" w:space="0" w:color="auto"/>
              <w:bottom w:val="single" w:sz="6" w:space="0" w:color="auto"/>
              <w:right w:val="single" w:sz="6" w:space="0" w:color="auto"/>
            </w:tcBorders>
          </w:tcPr>
          <w:p w14:paraId="1388F285" w14:textId="77777777" w:rsidR="00021DDB" w:rsidRPr="00DA4CC0" w:rsidRDefault="00021DDB">
            <w:pPr>
              <w:spacing w:after="100" w:line="276" w:lineRule="auto"/>
              <w:ind w:left="57" w:right="57"/>
              <w:rPr>
                <w:rFonts w:eastAsia="Aptos" w:cs="Arial"/>
                <w:b/>
                <w:bCs/>
              </w:rPr>
            </w:pPr>
            <w:r w:rsidRPr="00DA4CC0">
              <w:rPr>
                <w:rFonts w:eastAsia="Aptos" w:cs="Arial"/>
                <w:b/>
                <w:bCs/>
              </w:rPr>
              <w:t>Overview</w:t>
            </w:r>
          </w:p>
        </w:tc>
        <w:tc>
          <w:tcPr>
            <w:tcW w:w="7075" w:type="dxa"/>
            <w:tcBorders>
              <w:top w:val="single" w:sz="6" w:space="0" w:color="auto"/>
              <w:left w:val="single" w:sz="6" w:space="0" w:color="auto"/>
              <w:bottom w:val="single" w:sz="6" w:space="0" w:color="auto"/>
              <w:right w:val="single" w:sz="6" w:space="0" w:color="auto"/>
            </w:tcBorders>
          </w:tcPr>
          <w:p w14:paraId="07CC873A" w14:textId="77777777" w:rsidR="00021DDB" w:rsidRDefault="00021DDB">
            <w:pPr>
              <w:spacing w:after="100" w:line="276" w:lineRule="auto"/>
              <w:ind w:left="57" w:right="57"/>
              <w:rPr>
                <w:rFonts w:eastAsia="Aptos" w:cs="Arial"/>
                <w:color w:val="000000" w:themeColor="text1"/>
              </w:rPr>
            </w:pPr>
            <w:r>
              <w:rPr>
                <w:rFonts w:eastAsia="Aptos" w:cs="Arial"/>
                <w:color w:val="000000" w:themeColor="text1"/>
              </w:rPr>
              <w:t>7 studies were identified that report on the measurement properties of the ASQ-TRAK or use the tool as an outcome measure in the ECI practice setting (2016 – 2024).</w:t>
            </w:r>
          </w:p>
          <w:p w14:paraId="4C6C644E" w14:textId="77777777" w:rsidR="00021DDB" w:rsidRPr="00DA4CC0" w:rsidRDefault="00021DDB">
            <w:pPr>
              <w:spacing w:after="100" w:line="276" w:lineRule="auto"/>
              <w:ind w:left="57" w:right="57"/>
              <w:rPr>
                <w:rFonts w:eastAsia="Aptos" w:cs="Arial"/>
                <w:color w:val="000000" w:themeColor="text1"/>
              </w:rPr>
            </w:pPr>
            <w:r w:rsidRPr="006222D1">
              <w:rPr>
                <w:rFonts w:eastAsia="Aptos" w:cs="Arial"/>
                <w:color w:val="000000" w:themeColor="text1"/>
              </w:rPr>
              <w:t>2 studies were identified that report on measurement properties of the ASQ-STEPS (2024 – 2025).</w:t>
            </w:r>
            <w:r>
              <w:rPr>
                <w:rFonts w:eastAsia="Aptos" w:cs="Arial"/>
                <w:color w:val="000000" w:themeColor="text1"/>
              </w:rPr>
              <w:t xml:space="preserve"> </w:t>
            </w:r>
          </w:p>
        </w:tc>
      </w:tr>
      <w:tr w:rsidR="00021DDB" w:rsidRPr="00DA4CC0" w14:paraId="1B016285" w14:textId="77777777" w:rsidTr="001C6757">
        <w:trPr>
          <w:trHeight w:val="300"/>
        </w:trPr>
        <w:tc>
          <w:tcPr>
            <w:tcW w:w="1979" w:type="dxa"/>
            <w:tcBorders>
              <w:top w:val="single" w:sz="6" w:space="0" w:color="auto"/>
              <w:left w:val="single" w:sz="6" w:space="0" w:color="auto"/>
              <w:bottom w:val="single" w:sz="6" w:space="0" w:color="auto"/>
              <w:right w:val="single" w:sz="6" w:space="0" w:color="auto"/>
            </w:tcBorders>
          </w:tcPr>
          <w:p w14:paraId="3D847232" w14:textId="77777777" w:rsidR="00021DDB" w:rsidRPr="00DA4CC0" w:rsidRDefault="00021DDB">
            <w:pPr>
              <w:spacing w:after="100" w:line="276" w:lineRule="auto"/>
              <w:ind w:left="57" w:right="57"/>
              <w:rPr>
                <w:rFonts w:eastAsia="Aptos" w:cs="Arial"/>
                <w:b/>
                <w:bCs/>
              </w:rPr>
            </w:pPr>
            <w:r w:rsidRPr="00DA4CC0">
              <w:rPr>
                <w:rFonts w:eastAsia="Aptos" w:cs="Arial"/>
                <w:b/>
                <w:bCs/>
              </w:rPr>
              <w:t>Review papers</w:t>
            </w:r>
          </w:p>
        </w:tc>
        <w:tc>
          <w:tcPr>
            <w:tcW w:w="7075" w:type="dxa"/>
            <w:tcBorders>
              <w:top w:val="single" w:sz="6" w:space="0" w:color="auto"/>
              <w:left w:val="single" w:sz="6" w:space="0" w:color="auto"/>
              <w:bottom w:val="single" w:sz="6" w:space="0" w:color="auto"/>
              <w:right w:val="single" w:sz="6" w:space="0" w:color="auto"/>
            </w:tcBorders>
          </w:tcPr>
          <w:p w14:paraId="1D1DCAFF" w14:textId="77777777" w:rsidR="00021DDB" w:rsidRPr="00DA4CC0" w:rsidRDefault="00021DDB">
            <w:pPr>
              <w:spacing w:after="100" w:line="276" w:lineRule="auto"/>
              <w:ind w:left="57" w:right="57"/>
              <w:rPr>
                <w:rFonts w:eastAsia="Aptos" w:cs="Arial"/>
                <w:color w:val="000000" w:themeColor="text1"/>
              </w:rPr>
            </w:pPr>
            <w:r>
              <w:rPr>
                <w:rFonts w:eastAsia="Aptos" w:cs="Arial"/>
                <w:i/>
                <w:iCs/>
                <w:color w:val="000000" w:themeColor="text1"/>
              </w:rPr>
              <w:t>No references identified</w:t>
            </w:r>
            <w:r w:rsidRPr="00DA4CC0">
              <w:rPr>
                <w:rFonts w:eastAsia="Aptos" w:cs="Arial"/>
                <w:color w:val="000000" w:themeColor="text1"/>
              </w:rPr>
              <w:t xml:space="preserve"> </w:t>
            </w:r>
          </w:p>
        </w:tc>
      </w:tr>
      <w:tr w:rsidR="00021DDB" w:rsidRPr="00DA4CC0" w14:paraId="6FA98036" w14:textId="77777777" w:rsidTr="001C6757">
        <w:trPr>
          <w:trHeight w:val="300"/>
        </w:trPr>
        <w:tc>
          <w:tcPr>
            <w:tcW w:w="1979" w:type="dxa"/>
            <w:tcBorders>
              <w:top w:val="single" w:sz="6" w:space="0" w:color="auto"/>
              <w:left w:val="single" w:sz="6" w:space="0" w:color="auto"/>
              <w:bottom w:val="single" w:sz="6" w:space="0" w:color="auto"/>
              <w:right w:val="single" w:sz="6" w:space="0" w:color="auto"/>
            </w:tcBorders>
          </w:tcPr>
          <w:p w14:paraId="1F2D3F8A" w14:textId="77777777" w:rsidR="00021DDB" w:rsidRPr="00DA4CC0" w:rsidRDefault="00021DDB">
            <w:pPr>
              <w:spacing w:after="100" w:line="276" w:lineRule="auto"/>
              <w:ind w:left="57" w:right="57"/>
              <w:rPr>
                <w:rFonts w:eastAsia="Aptos" w:cs="Arial"/>
                <w:b/>
                <w:bCs/>
              </w:rPr>
            </w:pPr>
            <w:r w:rsidRPr="00DA4CC0">
              <w:rPr>
                <w:rFonts w:eastAsia="Aptos" w:cs="Arial"/>
                <w:b/>
                <w:bC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25EB65F4" w14:textId="77777777" w:rsidR="00021DDB" w:rsidRDefault="00021DDB">
            <w:pPr>
              <w:spacing w:after="100"/>
              <w:ind w:left="57" w:right="57"/>
              <w:rPr>
                <w:rFonts w:cs="Arial"/>
              </w:rPr>
            </w:pPr>
            <w:r>
              <w:rPr>
                <w:rFonts w:cs="Arial"/>
              </w:rPr>
              <w:t>T</w:t>
            </w:r>
            <w:r w:rsidRPr="001A444E">
              <w:rPr>
                <w:rFonts w:cs="Arial"/>
              </w:rPr>
              <w:t>o date, there is no research that has collected psychometric data on the ASQ-T</w:t>
            </w:r>
            <w:r>
              <w:rPr>
                <w:rFonts w:cs="Arial"/>
              </w:rPr>
              <w:t>R</w:t>
            </w:r>
            <w:r w:rsidRPr="001A444E">
              <w:rPr>
                <w:rFonts w:cs="Arial"/>
              </w:rPr>
              <w:t>AK as an outcome measure. While an outcome measure</w:t>
            </w:r>
            <w:r>
              <w:rPr>
                <w:rFonts w:cs="Arial"/>
              </w:rPr>
              <w:t xml:space="preserve"> (ASQ-STEPS)</w:t>
            </w:r>
            <w:r w:rsidRPr="001A444E">
              <w:rPr>
                <w:rFonts w:cs="Arial"/>
              </w:rPr>
              <w:t xml:space="preserve"> is in development for this context, there are currently no culturally responsive, validated alternatives.</w:t>
            </w:r>
          </w:p>
          <w:p w14:paraId="52B30CCB" w14:textId="77777777" w:rsidR="00021DDB" w:rsidRDefault="00021DDB">
            <w:pPr>
              <w:spacing w:after="100"/>
              <w:ind w:left="57" w:right="57"/>
              <w:rPr>
                <w:rFonts w:cs="Arial"/>
              </w:rPr>
            </w:pPr>
            <w:r>
              <w:rPr>
                <w:rFonts w:cs="Arial"/>
              </w:rPr>
              <w:t>Key findings for the ASQ-TRAK as a developmental screening tool include:</w:t>
            </w:r>
          </w:p>
          <w:p w14:paraId="39FEA8B4" w14:textId="77777777" w:rsidR="00021DDB" w:rsidRPr="00DA4CC0" w:rsidRDefault="00021DDB">
            <w:pPr>
              <w:spacing w:after="100"/>
              <w:ind w:left="57" w:right="57"/>
              <w:rPr>
                <w:rFonts w:cs="Arial"/>
              </w:rPr>
            </w:pPr>
            <w:r w:rsidRPr="00DA4CC0">
              <w:rPr>
                <w:rFonts w:cs="Arial"/>
              </w:rPr>
              <w:t>High inter-rater and inter-instrument reliability; demonstrates consistent results across different evaluators.</w:t>
            </w:r>
          </w:p>
          <w:p w14:paraId="799ADCE0" w14:textId="77777777" w:rsidR="00021DDB" w:rsidRPr="00DA4CC0" w:rsidRDefault="00021DDB">
            <w:pPr>
              <w:spacing w:after="100"/>
              <w:ind w:left="57" w:right="57"/>
              <w:rPr>
                <w:rFonts w:cs="Arial"/>
              </w:rPr>
            </w:pPr>
            <w:r w:rsidRPr="00DA4CC0">
              <w:rPr>
                <w:rFonts w:cs="Arial"/>
              </w:rPr>
              <w:t>Moderate concurrent validity with Bayley Scales III and BDI-2. Sensitivity (71-83%) and specificity (83-92%).</w:t>
            </w:r>
          </w:p>
          <w:p w14:paraId="45187543" w14:textId="77777777" w:rsidR="00021DDB" w:rsidRDefault="00021DDB">
            <w:pPr>
              <w:spacing w:after="100" w:line="276" w:lineRule="auto"/>
              <w:ind w:left="57" w:right="57"/>
              <w:rPr>
                <w:rFonts w:cs="Arial"/>
              </w:rPr>
            </w:pPr>
            <w:r w:rsidRPr="00DA4CC0">
              <w:rPr>
                <w:rFonts w:cs="Arial"/>
              </w:rPr>
              <w:t>High acceptability among staff and caregivers with high levels of satisfaction reported</w:t>
            </w:r>
            <w:r>
              <w:rPr>
                <w:rFonts w:cs="Arial"/>
              </w:rPr>
              <w:t>.</w:t>
            </w:r>
          </w:p>
          <w:p w14:paraId="565756CB" w14:textId="77777777" w:rsidR="00021DDB" w:rsidRPr="00DA4CC0" w:rsidRDefault="00021DDB">
            <w:pPr>
              <w:spacing w:after="100" w:line="276" w:lineRule="auto"/>
              <w:ind w:left="57" w:right="57"/>
              <w:rPr>
                <w:rFonts w:eastAsia="Aptos" w:cs="Arial"/>
                <w:color w:val="000000" w:themeColor="text1"/>
              </w:rPr>
            </w:pPr>
            <w:r>
              <w:rPr>
                <w:rFonts w:eastAsia="Aptos" w:cs="Arial"/>
                <w:color w:val="000000" w:themeColor="text1"/>
              </w:rPr>
              <w:t xml:space="preserve">Early findings for the ASQ-STEPS focus on pre-testing and acceptability. </w:t>
            </w:r>
          </w:p>
        </w:tc>
      </w:tr>
      <w:tr w:rsidR="00021DDB" w:rsidRPr="00DA4CC0" w14:paraId="5B84C446" w14:textId="77777777" w:rsidTr="001C6757">
        <w:trPr>
          <w:trHeight w:val="300"/>
        </w:trPr>
        <w:tc>
          <w:tcPr>
            <w:tcW w:w="1979" w:type="dxa"/>
            <w:tcBorders>
              <w:top w:val="single" w:sz="6" w:space="0" w:color="auto"/>
              <w:left w:val="single" w:sz="6" w:space="0" w:color="auto"/>
              <w:bottom w:val="single" w:sz="6" w:space="0" w:color="auto"/>
              <w:right w:val="single" w:sz="6" w:space="0" w:color="auto"/>
            </w:tcBorders>
          </w:tcPr>
          <w:p w14:paraId="54A888FC" w14:textId="77777777" w:rsidR="00021DDB" w:rsidRPr="00DA4CC0" w:rsidRDefault="00021DDB">
            <w:pPr>
              <w:spacing w:after="100" w:line="276" w:lineRule="auto"/>
              <w:ind w:left="57" w:right="57"/>
              <w:rPr>
                <w:rFonts w:eastAsia="Aptos" w:cs="Arial"/>
                <w:b/>
                <w:bCs/>
              </w:rPr>
            </w:pPr>
            <w:r w:rsidRPr="00DA4CC0">
              <w:rPr>
                <w:rFonts w:eastAsia="Aptos" w:cs="Arial"/>
                <w:b/>
                <w:bCs/>
              </w:rPr>
              <w:t xml:space="preserve">Cultural </w:t>
            </w:r>
            <w:r w:rsidRPr="6FEE9287">
              <w:rPr>
                <w:rFonts w:eastAsia="Aptos" w:cs="Arial"/>
                <w:b/>
                <w:bCs/>
              </w:rPr>
              <w:t xml:space="preserve">adaptation </w:t>
            </w:r>
            <w:r w:rsidRPr="00DA4CC0">
              <w:rPr>
                <w:rFonts w:eastAsia="Aptos" w:cs="Arial"/>
                <w:b/>
                <w:bCs/>
              </w:rPr>
              <w:t>papers</w:t>
            </w:r>
          </w:p>
        </w:tc>
        <w:tc>
          <w:tcPr>
            <w:tcW w:w="7075" w:type="dxa"/>
            <w:tcBorders>
              <w:top w:val="single" w:sz="6" w:space="0" w:color="auto"/>
              <w:left w:val="single" w:sz="6" w:space="0" w:color="auto"/>
              <w:bottom w:val="single" w:sz="6" w:space="0" w:color="auto"/>
              <w:right w:val="single" w:sz="6" w:space="0" w:color="auto"/>
            </w:tcBorders>
          </w:tcPr>
          <w:p w14:paraId="609BFEA4" w14:textId="77777777" w:rsidR="00021DDB" w:rsidRPr="002F6827" w:rsidRDefault="00021DDB">
            <w:pPr>
              <w:spacing w:after="100" w:line="276" w:lineRule="auto"/>
              <w:ind w:left="57" w:right="57"/>
              <w:rPr>
                <w:rFonts w:eastAsia="Aptos" w:cs="Arial"/>
                <w:i/>
                <w:iCs/>
                <w:color w:val="000000" w:themeColor="text1"/>
              </w:rPr>
            </w:pPr>
            <w:r>
              <w:rPr>
                <w:rFonts w:eastAsia="Aptos" w:cs="Arial"/>
                <w:color w:val="000000" w:themeColor="text1"/>
              </w:rPr>
              <w:t>Paper describing the adaptation of the ASQ-3 to create the ASQ-TRAK (2016).</w:t>
            </w:r>
          </w:p>
        </w:tc>
      </w:tr>
      <w:tr w:rsidR="00021DDB" w:rsidRPr="00DA4CC0" w14:paraId="1733D251" w14:textId="77777777" w:rsidTr="001C6757">
        <w:trPr>
          <w:trHeight w:val="300"/>
        </w:trPr>
        <w:tc>
          <w:tcPr>
            <w:tcW w:w="1979" w:type="dxa"/>
            <w:tcBorders>
              <w:top w:val="single" w:sz="6" w:space="0" w:color="auto"/>
              <w:left w:val="single" w:sz="6" w:space="0" w:color="auto"/>
              <w:bottom w:val="single" w:sz="6" w:space="0" w:color="auto"/>
              <w:right w:val="single" w:sz="6" w:space="0" w:color="auto"/>
            </w:tcBorders>
          </w:tcPr>
          <w:p w14:paraId="0F6AA473" w14:textId="77777777" w:rsidR="00021DDB" w:rsidRPr="00DA4CC0" w:rsidRDefault="00021DDB">
            <w:pPr>
              <w:spacing w:after="100" w:line="276" w:lineRule="auto"/>
              <w:ind w:left="57" w:right="57"/>
              <w:rPr>
                <w:rFonts w:eastAsia="Aptos" w:cs="Arial"/>
                <w:b/>
                <w:bCs/>
              </w:rPr>
            </w:pPr>
            <w:r w:rsidRPr="00DA4CC0">
              <w:rPr>
                <w:rFonts w:eastAsia="Aptos" w:cs="Arial"/>
                <w:b/>
                <w:bCs/>
              </w:rPr>
              <w:t>Outcome studies in ECI settings</w:t>
            </w:r>
          </w:p>
        </w:tc>
        <w:tc>
          <w:tcPr>
            <w:tcW w:w="7075" w:type="dxa"/>
            <w:tcBorders>
              <w:top w:val="single" w:sz="6" w:space="0" w:color="auto"/>
              <w:left w:val="single" w:sz="6" w:space="0" w:color="auto"/>
              <w:bottom w:val="single" w:sz="6" w:space="0" w:color="auto"/>
              <w:right w:val="single" w:sz="6" w:space="0" w:color="auto"/>
            </w:tcBorders>
          </w:tcPr>
          <w:p w14:paraId="09337C4A" w14:textId="77777777" w:rsidR="00021DDB" w:rsidRPr="00DA4CC0" w:rsidRDefault="00021DDB">
            <w:pPr>
              <w:spacing w:after="100" w:line="276" w:lineRule="auto"/>
              <w:ind w:left="57" w:right="57"/>
              <w:rPr>
                <w:rFonts w:eastAsia="Aptos" w:cs="Arial"/>
                <w:color w:val="000000" w:themeColor="text1"/>
              </w:rPr>
            </w:pPr>
            <w:r w:rsidRPr="00DA4CC0">
              <w:rPr>
                <w:rFonts w:eastAsia="Aptos" w:cs="Arial"/>
                <w:color w:val="000000" w:themeColor="text1"/>
              </w:rPr>
              <w:t>The LEAP-CP prospective cohort study is investigating the efficacy of early screening programmes to identify Aboriginal and Torres Strait Islander infants who are at risk of adverse neurodevelopmental outcomes or disorders.</w:t>
            </w:r>
          </w:p>
        </w:tc>
      </w:tr>
    </w:tbl>
    <w:p w14:paraId="4F2B10E3" w14:textId="77777777" w:rsidR="00BC12E8" w:rsidRPr="0083134E" w:rsidRDefault="00BC12E8" w:rsidP="0069467F">
      <w:r w:rsidRPr="0083134E">
        <w:t xml:space="preserve">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w:t>
      </w:r>
      <w:hyperlink w:history="1">
        <w:r w:rsidR="00021DDB" w:rsidRPr="003647C4">
          <w:t>Methods Explainer</w:t>
        </w:r>
      </w:hyperlink>
      <w:r w:rsidRPr="003647C4">
        <w:t>.</w:t>
      </w:r>
    </w:p>
    <w:p w14:paraId="15636073" w14:textId="77F315F9" w:rsidR="00021DDB" w:rsidRPr="00CD009F" w:rsidRDefault="00021DDB" w:rsidP="004E3AF4">
      <w:pPr>
        <w:pStyle w:val="Heading1"/>
      </w:pPr>
      <w:bookmarkStart w:id="4" w:name="_ASQ-TRAK_Reference_List"/>
      <w:bookmarkStart w:id="5" w:name="_ASQ-TRAK_Reference_List_1"/>
      <w:bookmarkEnd w:id="4"/>
      <w:bookmarkEnd w:id="5"/>
      <w:r>
        <w:lastRenderedPageBreak/>
        <w:t xml:space="preserve">ASQ-TRAK </w:t>
      </w:r>
      <w:bookmarkStart w:id="6" w:name="_Hlk195712875"/>
      <w:r>
        <w:t>Reference List</w:t>
      </w:r>
      <w:bookmarkEnd w:id="6"/>
    </w:p>
    <w:p w14:paraId="32BADB3B" w14:textId="3BDC5639" w:rsidR="00021DDB" w:rsidRPr="00CF25AB" w:rsidRDefault="00CF25AB">
      <w:pPr>
        <w:spacing w:line="300" w:lineRule="auto"/>
        <w:rPr>
          <w:rStyle w:val="Hyperlink"/>
          <w:i/>
        </w:rPr>
      </w:pPr>
      <w:r>
        <w:rPr>
          <w:i/>
          <w:iCs/>
        </w:rPr>
        <w:fldChar w:fldCharType="begin"/>
      </w:r>
      <w:r>
        <w:rPr>
          <w:i/>
          <w:iCs/>
        </w:rPr>
        <w:instrText>HYPERLINK  \l "_ASQ-TRAK_Evidence_Summary_1"</w:instrText>
      </w:r>
      <w:r>
        <w:rPr>
          <w:i/>
          <w:iCs/>
        </w:rPr>
      </w:r>
      <w:r>
        <w:rPr>
          <w:i/>
          <w:iCs/>
        </w:rPr>
        <w:fldChar w:fldCharType="separate"/>
      </w:r>
      <w:r w:rsidR="00021DDB" w:rsidRPr="00CF25AB">
        <w:rPr>
          <w:rStyle w:val="Hyperlink"/>
          <w:i/>
          <w:iCs/>
        </w:rPr>
        <w:t>Link to ASQ-TRAK Evidence Summary</w:t>
      </w:r>
    </w:p>
    <w:p w14:paraId="45792EE4" w14:textId="13ADC117" w:rsidR="00021DDB" w:rsidRPr="00A9787C" w:rsidRDefault="00CF25AB" w:rsidP="004E3AF4">
      <w:pPr>
        <w:pStyle w:val="Heading2"/>
      </w:pPr>
      <w:r>
        <w:rPr>
          <w:rFonts w:cstheme="minorBidi"/>
          <w:b/>
          <w:i/>
          <w:iCs/>
          <w:color w:val="auto"/>
        </w:rPr>
        <w:fldChar w:fldCharType="end"/>
      </w:r>
      <w:r w:rsidR="00021DDB" w:rsidRPr="00A9787C">
        <w:t>Reviews</w:t>
      </w:r>
    </w:p>
    <w:p w14:paraId="5508AD1B" w14:textId="77777777" w:rsidR="00021DDB" w:rsidRPr="0071721D" w:rsidRDefault="00021DDB">
      <w:pPr>
        <w:rPr>
          <w:rFonts w:cs="Arial"/>
          <w:lang w:val="en-US"/>
        </w:rPr>
      </w:pPr>
      <w:r w:rsidRPr="0071721D">
        <w:rPr>
          <w:rFonts w:cs="Arial"/>
          <w:i/>
          <w:lang w:val="en-US"/>
        </w:rPr>
        <w:t>No references identified</w:t>
      </w:r>
    </w:p>
    <w:p w14:paraId="48E5BB33" w14:textId="77777777" w:rsidR="00021DDB" w:rsidRPr="00365AEC" w:rsidRDefault="00021DDB" w:rsidP="004E3AF4">
      <w:pPr>
        <w:pStyle w:val="Heading2"/>
      </w:pPr>
      <w:r w:rsidRPr="00365AEC">
        <w:t>Measurement Properties</w:t>
      </w:r>
    </w:p>
    <w:p w14:paraId="304B7DED" w14:textId="77777777" w:rsidR="00021DDB" w:rsidRDefault="00021DDB">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D'Aprano</w:t>
      </w:r>
      <w:proofErr w:type="spellEnd"/>
      <w:r>
        <w:rPr>
          <w:rFonts w:eastAsia="Arial" w:cs="Arial"/>
          <w:color w:val="000000"/>
        </w:rPr>
        <w:t xml:space="preserve"> A, Brookes I, Browne L, Bartlett C. (2023). Uptake of the culturally appropriate ASQ-TRAK developmental screening tool in the Australian Aboriginal and Torres Strait Islander context. </w:t>
      </w:r>
      <w:r>
        <w:rPr>
          <w:rFonts w:eastAsia="Arial" w:cs="Arial"/>
          <w:i/>
          <w:color w:val="000000"/>
        </w:rPr>
        <w:t>Child Care Health Dev</w:t>
      </w:r>
      <w:r>
        <w:rPr>
          <w:rFonts w:eastAsia="Arial" w:cs="Arial"/>
          <w:color w:val="000000"/>
        </w:rPr>
        <w:t>, 49(1):54-61.</w:t>
      </w:r>
      <w:r>
        <w:rPr>
          <w:rFonts w:eastAsia="Arial" w:cs="Arial"/>
          <w:color w:val="0000FF"/>
          <w:u w:val="single"/>
        </w:rPr>
        <w:t xml:space="preserve"> https://doi.org/10.1111/cch.13006</w:t>
      </w:r>
    </w:p>
    <w:p w14:paraId="5B2AC43D" w14:textId="77777777" w:rsidR="00021DDB" w:rsidRDefault="00021DDB">
      <w:pPr>
        <w:pBdr>
          <w:top w:val="none" w:sz="0" w:space="0" w:color="000000"/>
          <w:left w:val="none" w:sz="0" w:space="0" w:color="000000"/>
          <w:bottom w:val="none" w:sz="0" w:space="0" w:color="000000"/>
          <w:right w:val="none" w:sz="0" w:space="0" w:color="000000"/>
        </w:pBdr>
      </w:pPr>
      <w:r>
        <w:rPr>
          <w:rFonts w:eastAsia="Arial" w:cs="Arial"/>
          <w:color w:val="000000"/>
        </w:rPr>
        <w:t xml:space="preserve">Luke CR, Benfer K, Mick-Ramsamy L, Ware RS, Reid N, Bos AF, Bosanquet M, Boyd RN. (2022). Early detection of Australian Aboriginal and Torres Strait Islander infants at high risk of adverse neurodevelopmental outcomes at 12 months corrected age: LEAP-CP prospective cohort study protocol. </w:t>
      </w:r>
      <w:r>
        <w:rPr>
          <w:rFonts w:eastAsia="Arial" w:cs="Arial"/>
          <w:i/>
          <w:color w:val="000000"/>
        </w:rPr>
        <w:t>BMJ Open</w:t>
      </w:r>
      <w:r>
        <w:rPr>
          <w:rFonts w:eastAsia="Arial" w:cs="Arial"/>
          <w:color w:val="000000"/>
        </w:rPr>
        <w:t>, 12(1</w:t>
      </w:r>
      <w:proofErr w:type="gramStart"/>
      <w:r>
        <w:rPr>
          <w:rFonts w:eastAsia="Arial" w:cs="Arial"/>
          <w:color w:val="000000"/>
        </w:rPr>
        <w:t>):e</w:t>
      </w:r>
      <w:proofErr w:type="gramEnd"/>
      <w:r>
        <w:rPr>
          <w:rFonts w:eastAsia="Arial" w:cs="Arial"/>
          <w:color w:val="000000"/>
        </w:rPr>
        <w:t>053646.</w:t>
      </w:r>
      <w:r>
        <w:rPr>
          <w:rFonts w:eastAsia="Arial" w:cs="Arial"/>
          <w:color w:val="0000FF"/>
          <w:u w:val="single"/>
        </w:rPr>
        <w:t xml:space="preserve"> https://doi.org/10.1136/bmjopen-2021-053646</w:t>
      </w:r>
    </w:p>
    <w:p w14:paraId="12B73B85" w14:textId="76916A51" w:rsidR="00021DDB" w:rsidRDefault="00021DDB">
      <w:pPr>
        <w:pBdr>
          <w:top w:val="none" w:sz="0" w:space="0" w:color="000000"/>
          <w:left w:val="none" w:sz="0" w:space="0" w:color="000000"/>
          <w:bottom w:val="none" w:sz="0" w:space="0" w:color="000000"/>
          <w:right w:val="none" w:sz="0" w:space="0" w:color="000000"/>
        </w:pBdr>
      </w:pPr>
      <w:r>
        <w:rPr>
          <w:rFonts w:eastAsia="Arial" w:cs="Arial"/>
          <w:color w:val="000000"/>
        </w:rPr>
        <w:t xml:space="preserve">Simpson S, Eadie T, Khoo ST, </w:t>
      </w:r>
      <w:proofErr w:type="spellStart"/>
      <w:r>
        <w:rPr>
          <w:rFonts w:eastAsia="Arial" w:cs="Arial"/>
          <w:color w:val="000000"/>
        </w:rPr>
        <w:t>Titmuss</w:t>
      </w:r>
      <w:proofErr w:type="spellEnd"/>
      <w:r>
        <w:rPr>
          <w:rFonts w:eastAsia="Arial" w:cs="Arial"/>
          <w:color w:val="000000"/>
        </w:rPr>
        <w:t xml:space="preserve"> A, Maple-Brown LJ, Thompson R, </w:t>
      </w:r>
      <w:proofErr w:type="spellStart"/>
      <w:r>
        <w:rPr>
          <w:rFonts w:eastAsia="Arial" w:cs="Arial"/>
          <w:color w:val="000000"/>
        </w:rPr>
        <w:t>Wunungmurra</w:t>
      </w:r>
      <w:proofErr w:type="spellEnd"/>
      <w:r>
        <w:rPr>
          <w:rFonts w:eastAsia="Arial" w:cs="Arial"/>
          <w:color w:val="000000"/>
        </w:rPr>
        <w:t xml:space="preserve"> A, Jeyaseelan D, Dunham M, </w:t>
      </w:r>
      <w:proofErr w:type="spellStart"/>
      <w:r>
        <w:rPr>
          <w:rFonts w:eastAsia="Arial" w:cs="Arial"/>
          <w:color w:val="000000"/>
        </w:rPr>
        <w:t>D'Aprano</w:t>
      </w:r>
      <w:proofErr w:type="spellEnd"/>
      <w:r>
        <w:rPr>
          <w:rFonts w:eastAsia="Arial" w:cs="Arial"/>
          <w:color w:val="000000"/>
        </w:rPr>
        <w:t xml:space="preserve"> A. (2021). The ASQ-TRAK: Validating a culturally adapted developmental screening tool for Australian Aboriginal children. </w:t>
      </w:r>
      <w:r>
        <w:rPr>
          <w:rFonts w:eastAsia="Arial" w:cs="Arial"/>
          <w:i/>
          <w:color w:val="000000"/>
        </w:rPr>
        <w:t>Early Hum Dev</w:t>
      </w:r>
      <w:r>
        <w:rPr>
          <w:rFonts w:eastAsia="Arial" w:cs="Arial"/>
          <w:color w:val="000000"/>
        </w:rPr>
        <w:t xml:space="preserve">, </w:t>
      </w:r>
      <w:r w:rsidR="00824E41">
        <w:rPr>
          <w:rFonts w:eastAsia="Arial" w:cs="Arial"/>
          <w:color w:val="000000"/>
        </w:rPr>
        <w:t>63:105481</w:t>
      </w:r>
      <w:r>
        <w:rPr>
          <w:rFonts w:eastAsia="Arial" w:cs="Arial"/>
          <w:color w:val="000000"/>
        </w:rPr>
        <w:t>.</w:t>
      </w:r>
      <w:r>
        <w:rPr>
          <w:rFonts w:eastAsia="Arial" w:cs="Arial"/>
          <w:color w:val="0000FF"/>
          <w:u w:val="single"/>
        </w:rPr>
        <w:t xml:space="preserve"> https://doi.org/10.1016/j.earlhumdev.2021.105481</w:t>
      </w:r>
    </w:p>
    <w:p w14:paraId="1A730B40" w14:textId="77777777" w:rsidR="00021DDB" w:rsidRDefault="00021DDB">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D'Aprano</w:t>
      </w:r>
      <w:proofErr w:type="spellEnd"/>
      <w:r>
        <w:rPr>
          <w:rFonts w:eastAsia="Arial" w:cs="Arial"/>
          <w:color w:val="000000"/>
        </w:rPr>
        <w:t xml:space="preserve"> A, Johnston H, Jarman R, Jeyaseelan D, Chan YP, Johansen K, Finch S. (2020). Practitioners' perceptions of the ASQ-TRAK developmental screening tool for use in Aboriginal children: A preliminary survey. </w:t>
      </w:r>
      <w:r>
        <w:rPr>
          <w:rFonts w:eastAsia="Arial" w:cs="Arial"/>
          <w:i/>
          <w:color w:val="000000"/>
        </w:rPr>
        <w:t>J Paediatr Child Health</w:t>
      </w:r>
      <w:r>
        <w:rPr>
          <w:rFonts w:eastAsia="Arial" w:cs="Arial"/>
          <w:color w:val="000000"/>
        </w:rPr>
        <w:t>, 56(1):94-101.</w:t>
      </w:r>
      <w:r>
        <w:rPr>
          <w:rFonts w:eastAsia="Arial" w:cs="Arial"/>
          <w:color w:val="0000FF"/>
          <w:u w:val="single"/>
        </w:rPr>
        <w:t xml:space="preserve"> https://doi.org/10.1111/jpc.14502</w:t>
      </w:r>
    </w:p>
    <w:p w14:paraId="4A8356FD" w14:textId="77777777" w:rsidR="00021DDB" w:rsidRDefault="00021DDB">
      <w:pPr>
        <w:pBdr>
          <w:top w:val="none" w:sz="0" w:space="0" w:color="000000"/>
          <w:left w:val="none" w:sz="0" w:space="0" w:color="000000"/>
          <w:bottom w:val="none" w:sz="0" w:space="0" w:color="000000"/>
          <w:right w:val="none" w:sz="0" w:space="0" w:color="000000"/>
        </w:pBdr>
      </w:pPr>
      <w:r>
        <w:rPr>
          <w:rFonts w:eastAsia="Arial" w:cs="Arial"/>
          <w:color w:val="000000"/>
        </w:rPr>
        <w:t xml:space="preserve">Johansen K, Jeyaseelan D, Chan YP, Simpson S, O'Keefe M, </w:t>
      </w:r>
      <w:proofErr w:type="spellStart"/>
      <w:r>
        <w:rPr>
          <w:rFonts w:eastAsia="Arial" w:cs="Arial"/>
          <w:color w:val="000000"/>
        </w:rPr>
        <w:t>D'Aprano</w:t>
      </w:r>
      <w:proofErr w:type="spellEnd"/>
      <w:r>
        <w:rPr>
          <w:rFonts w:eastAsia="Arial" w:cs="Arial"/>
          <w:color w:val="000000"/>
        </w:rPr>
        <w:t xml:space="preserve"> A. (2020). Acceptability of the culturally adapted ASQ-TRAK developmental screening tool to caregivers of Aboriginal children. </w:t>
      </w:r>
      <w:r>
        <w:rPr>
          <w:rFonts w:eastAsia="Arial" w:cs="Arial"/>
          <w:i/>
          <w:color w:val="000000"/>
        </w:rPr>
        <w:t>J Paediatr Child Health</w:t>
      </w:r>
      <w:r>
        <w:rPr>
          <w:rFonts w:eastAsia="Arial" w:cs="Arial"/>
          <w:color w:val="000000"/>
        </w:rPr>
        <w:t>, 56(12):1946-1951.</w:t>
      </w:r>
      <w:r>
        <w:rPr>
          <w:rFonts w:eastAsia="Arial" w:cs="Arial"/>
          <w:color w:val="0000FF"/>
          <w:u w:val="single"/>
        </w:rPr>
        <w:t xml:space="preserve"> https://doi.org/10.1111/jpc.15099</w:t>
      </w:r>
    </w:p>
    <w:p w14:paraId="2BACFF5A" w14:textId="3170E585" w:rsidR="00021DDB" w:rsidRDefault="00021DDB">
      <w:pPr>
        <w:pBdr>
          <w:top w:val="none" w:sz="0" w:space="0" w:color="000000"/>
          <w:left w:val="none" w:sz="0" w:space="0" w:color="000000"/>
          <w:bottom w:val="none" w:sz="0" w:space="0" w:color="000000"/>
          <w:right w:val="none" w:sz="0" w:space="0" w:color="000000"/>
        </w:pBdr>
      </w:pPr>
      <w:r>
        <w:rPr>
          <w:rFonts w:eastAsia="Arial" w:cs="Arial"/>
          <w:color w:val="000000"/>
        </w:rPr>
        <w:t xml:space="preserve">Simpson S, </w:t>
      </w:r>
      <w:proofErr w:type="spellStart"/>
      <w:r>
        <w:rPr>
          <w:rFonts w:eastAsia="Arial" w:cs="Arial"/>
          <w:color w:val="000000"/>
        </w:rPr>
        <w:t>D'Aprano</w:t>
      </w:r>
      <w:proofErr w:type="spellEnd"/>
      <w:r>
        <w:rPr>
          <w:rFonts w:eastAsia="Arial" w:cs="Arial"/>
          <w:color w:val="000000"/>
        </w:rPr>
        <w:t xml:space="preserve"> A, Tayler C, Toon Khoo S, </w:t>
      </w:r>
      <w:proofErr w:type="spellStart"/>
      <w:r>
        <w:rPr>
          <w:rFonts w:eastAsia="Arial" w:cs="Arial"/>
          <w:color w:val="000000"/>
        </w:rPr>
        <w:t>Highfold</w:t>
      </w:r>
      <w:proofErr w:type="spellEnd"/>
      <w:r>
        <w:rPr>
          <w:rFonts w:eastAsia="Arial" w:cs="Arial"/>
          <w:color w:val="000000"/>
        </w:rPr>
        <w:t xml:space="preserve"> R. (2016). Validation of a culturally adapted developmental screening tool for Australian Aboriginal children: Early findings and next steps. </w:t>
      </w:r>
      <w:r>
        <w:rPr>
          <w:rFonts w:eastAsia="Arial" w:cs="Arial"/>
          <w:i/>
          <w:color w:val="000000"/>
        </w:rPr>
        <w:t>Early Hum Dev</w:t>
      </w:r>
      <w:r>
        <w:rPr>
          <w:rFonts w:eastAsia="Arial" w:cs="Arial"/>
          <w:color w:val="000000"/>
        </w:rPr>
        <w:t xml:space="preserve">, </w:t>
      </w:r>
      <w:r w:rsidR="00C93E05">
        <w:rPr>
          <w:rFonts w:eastAsia="Arial" w:cs="Arial"/>
          <w:color w:val="000000"/>
        </w:rPr>
        <w:t>103</w:t>
      </w:r>
      <w:r w:rsidR="00360A78">
        <w:rPr>
          <w:rFonts w:eastAsia="Arial" w:cs="Arial"/>
          <w:color w:val="000000"/>
        </w:rPr>
        <w:t>:91-95</w:t>
      </w:r>
      <w:r>
        <w:rPr>
          <w:rFonts w:eastAsia="Arial" w:cs="Arial"/>
          <w:color w:val="000000"/>
        </w:rPr>
        <w:t>.</w:t>
      </w:r>
      <w:r>
        <w:rPr>
          <w:rFonts w:eastAsia="Arial" w:cs="Arial"/>
          <w:color w:val="0000FF"/>
          <w:u w:val="single"/>
        </w:rPr>
        <w:t xml:space="preserve"> https://doi.org/10.1016/j.earlhumdev.2016.08.005</w:t>
      </w:r>
    </w:p>
    <w:p w14:paraId="26CCF890" w14:textId="77777777" w:rsidR="00021DDB" w:rsidRDefault="00021DDB" w:rsidP="004B7AE7">
      <w:pPr>
        <w:pStyle w:val="Heading2"/>
      </w:pPr>
      <w:r>
        <w:t>Cultural Adaptations</w:t>
      </w:r>
    </w:p>
    <w:p w14:paraId="20687020" w14:textId="77777777" w:rsidR="00021DDB" w:rsidRDefault="00021DDB">
      <w:pPr>
        <w:spacing w:line="276" w:lineRule="auto"/>
      </w:pPr>
      <w:proofErr w:type="spellStart"/>
      <w:r w:rsidRPr="00DE46F7">
        <w:rPr>
          <w:rFonts w:cs="Arial"/>
        </w:rPr>
        <w:t>D'Aprano</w:t>
      </w:r>
      <w:proofErr w:type="spellEnd"/>
      <w:r w:rsidRPr="00DE46F7">
        <w:rPr>
          <w:rFonts w:cs="Arial"/>
        </w:rPr>
        <w:t xml:space="preserve"> A, Silburn S, Johnston V, Robinson G, </w:t>
      </w:r>
      <w:proofErr w:type="spellStart"/>
      <w:r w:rsidRPr="00DE46F7">
        <w:rPr>
          <w:rFonts w:cs="Arial"/>
        </w:rPr>
        <w:t>Oberklaid</w:t>
      </w:r>
      <w:proofErr w:type="spellEnd"/>
      <w:r w:rsidRPr="00DE46F7">
        <w:rPr>
          <w:rFonts w:cs="Arial"/>
        </w:rPr>
        <w:t xml:space="preserve"> F, Squires J. Adaptation of the Ages and Stages Questionnaire for Remote Aboriginal Australia. </w:t>
      </w:r>
      <w:r w:rsidRPr="00DE46F7">
        <w:rPr>
          <w:rFonts w:cs="Arial"/>
          <w:i/>
          <w:iCs/>
        </w:rPr>
        <w:t>Qual Health Res.</w:t>
      </w:r>
      <w:r w:rsidRPr="00DE46F7">
        <w:rPr>
          <w:rFonts w:cs="Arial"/>
        </w:rPr>
        <w:t xml:space="preserve"> 2016 Apr;26(5):613-25. </w:t>
      </w:r>
      <w:hyperlink r:id="rId16" w:history="1">
        <w:r w:rsidRPr="00DE46F7">
          <w:rPr>
            <w:rStyle w:val="Hyperlink"/>
            <w:rFonts w:cs="Arial"/>
            <w:color w:val="0070C0"/>
          </w:rPr>
          <w:t>https://doi.org/10.1177/1049732314562891</w:t>
        </w:r>
      </w:hyperlink>
    </w:p>
    <w:p w14:paraId="50D879F5" w14:textId="77777777" w:rsidR="005752BC" w:rsidRDefault="005752BC">
      <w:pPr>
        <w:pStyle w:val="Heading4"/>
        <w:rPr>
          <w:rFonts w:eastAsia="Arial"/>
        </w:rPr>
      </w:pPr>
    </w:p>
    <w:p w14:paraId="61A23DDC" w14:textId="56F0040E" w:rsidR="00021DDB" w:rsidRDefault="00021DDB" w:rsidP="004E3AF4">
      <w:pPr>
        <w:pStyle w:val="Heading2"/>
      </w:pPr>
      <w:r>
        <w:t>Outcome Studies</w:t>
      </w:r>
    </w:p>
    <w:p w14:paraId="282C10A4" w14:textId="77777777" w:rsidR="00021DDB" w:rsidRPr="003022C9" w:rsidRDefault="00021DDB">
      <w:pPr>
        <w:pBdr>
          <w:top w:val="none" w:sz="0" w:space="0" w:color="000000"/>
          <w:left w:val="none" w:sz="0" w:space="0" w:color="000000"/>
          <w:bottom w:val="none" w:sz="0" w:space="0" w:color="000000"/>
          <w:right w:val="none" w:sz="0" w:space="0" w:color="000000"/>
        </w:pBdr>
        <w:rPr>
          <w:rStyle w:val="Hyperlink"/>
        </w:rPr>
      </w:pPr>
      <w:r>
        <w:rPr>
          <w:rFonts w:eastAsia="Arial" w:cs="Arial"/>
          <w:color w:val="000000"/>
        </w:rPr>
        <w:t xml:space="preserve">Luke CR, Benfer K, Mick-Ramsamy L, Ware RS, Reid N, Bos AF, Bosanquet M, Boyd RN. (2022). Early detection of Australian Aboriginal and Torres Strait Islander infants at high risk of adverse neurodevelopmental outcomes at 12 months corrected age: LEAP-CP prospective cohort study protocol. </w:t>
      </w:r>
      <w:r>
        <w:rPr>
          <w:rFonts w:eastAsia="Arial" w:cs="Arial"/>
          <w:i/>
          <w:color w:val="000000"/>
        </w:rPr>
        <w:t>BMJ Open</w:t>
      </w:r>
      <w:r>
        <w:rPr>
          <w:rFonts w:eastAsia="Arial" w:cs="Arial"/>
          <w:color w:val="000000"/>
        </w:rPr>
        <w:t>, 12(1</w:t>
      </w:r>
      <w:proofErr w:type="gramStart"/>
      <w:r>
        <w:rPr>
          <w:rFonts w:eastAsia="Arial" w:cs="Arial"/>
          <w:color w:val="000000"/>
        </w:rPr>
        <w:t>):e</w:t>
      </w:r>
      <w:proofErr w:type="gramEnd"/>
      <w:r>
        <w:rPr>
          <w:rFonts w:eastAsia="Arial" w:cs="Arial"/>
          <w:color w:val="000000"/>
        </w:rPr>
        <w:t>053646.</w:t>
      </w:r>
      <w:r>
        <w:rPr>
          <w:rFonts w:eastAsia="Arial" w:cs="Arial"/>
          <w:color w:val="0000FF"/>
          <w:u w:val="single"/>
        </w:rPr>
        <w:t xml:space="preserve"> https://doi.org/10.1136/bmjopen-2021-</w:t>
      </w:r>
      <w:r w:rsidRPr="003022C9">
        <w:rPr>
          <w:rStyle w:val="Hyperlink"/>
        </w:rPr>
        <w:t>053646</w:t>
      </w:r>
    </w:p>
    <w:p w14:paraId="3D8736C0" w14:textId="77777777" w:rsidR="00021DDB" w:rsidRPr="00CD009F" w:rsidRDefault="00021DDB" w:rsidP="001444CC">
      <w:pPr>
        <w:pStyle w:val="Heading1"/>
      </w:pPr>
      <w:r>
        <w:t>ASQ-STEPS Reference List</w:t>
      </w:r>
    </w:p>
    <w:p w14:paraId="074C2F0F" w14:textId="77777777" w:rsidR="00021DDB" w:rsidRPr="00A9787C" w:rsidRDefault="00021DDB" w:rsidP="001444CC">
      <w:pPr>
        <w:pStyle w:val="Heading2"/>
      </w:pPr>
      <w:r w:rsidRPr="00A9787C">
        <w:t>Reviews</w:t>
      </w:r>
    </w:p>
    <w:p w14:paraId="10B5F49F" w14:textId="77777777" w:rsidR="00021DDB" w:rsidRPr="0071721D" w:rsidRDefault="00021DDB">
      <w:pPr>
        <w:rPr>
          <w:rFonts w:cs="Arial"/>
          <w:lang w:val="en-US"/>
        </w:rPr>
      </w:pPr>
      <w:r w:rsidRPr="0071721D">
        <w:rPr>
          <w:rFonts w:cs="Arial"/>
          <w:i/>
          <w:lang w:val="en-US"/>
        </w:rPr>
        <w:t>No references identified</w:t>
      </w:r>
    </w:p>
    <w:p w14:paraId="2F7624A5" w14:textId="77777777" w:rsidR="00021DDB" w:rsidRPr="00365AEC" w:rsidRDefault="00021DDB" w:rsidP="001444CC">
      <w:pPr>
        <w:pStyle w:val="Heading2"/>
      </w:pPr>
      <w:r w:rsidRPr="00365AEC">
        <w:t>Measurement Properties</w:t>
      </w:r>
    </w:p>
    <w:p w14:paraId="6268A036" w14:textId="77777777" w:rsidR="00021DDB" w:rsidRDefault="00021DDB" w:rsidP="00027887">
      <w:proofErr w:type="spellStart"/>
      <w:r w:rsidRPr="00950F29">
        <w:t>D’Aprano</w:t>
      </w:r>
      <w:proofErr w:type="spellEnd"/>
      <w:r w:rsidRPr="00950F29">
        <w:t xml:space="preserve"> A, </w:t>
      </w:r>
      <w:proofErr w:type="spellStart"/>
      <w:r w:rsidRPr="00950F29">
        <w:t>Lindrea</w:t>
      </w:r>
      <w:proofErr w:type="spellEnd"/>
      <w:r w:rsidRPr="00950F29">
        <w:t xml:space="preserve">-Morrison L, Stubbs E, Bisset J, </w:t>
      </w:r>
      <w:proofErr w:type="spellStart"/>
      <w:r w:rsidRPr="00950F29">
        <w:t>Wunungmurra</w:t>
      </w:r>
      <w:proofErr w:type="spellEnd"/>
      <w:r w:rsidRPr="00950F29">
        <w:t xml:space="preserve"> A, Boyle C, Hull C, Campbell J, Naylon M, Brunette R, Simpson S, &amp; Brooke</w:t>
      </w:r>
      <w:r>
        <w:t>s</w:t>
      </w:r>
      <w:r w:rsidRPr="00950F29">
        <w:t xml:space="preserve"> I. (2024). Pre-testing a culturally adapted developmental outcome measure for Aboriginal and Torres Strait Islander children. </w:t>
      </w:r>
      <w:r w:rsidRPr="00086539">
        <w:rPr>
          <w:i/>
          <w:iCs/>
        </w:rPr>
        <w:t xml:space="preserve">First Nations Health and Wellbeing - The </w:t>
      </w:r>
      <w:proofErr w:type="spellStart"/>
      <w:r w:rsidRPr="00086539">
        <w:rPr>
          <w:i/>
          <w:iCs/>
        </w:rPr>
        <w:t>Lowitja</w:t>
      </w:r>
      <w:proofErr w:type="spellEnd"/>
      <w:r w:rsidRPr="00086539">
        <w:rPr>
          <w:i/>
          <w:iCs/>
        </w:rPr>
        <w:t xml:space="preserve"> Journal</w:t>
      </w:r>
      <w:r w:rsidRPr="00950F29">
        <w:t>.</w:t>
      </w:r>
      <w:r>
        <w:t xml:space="preserve"> 2(2024) </w:t>
      </w:r>
      <w:hyperlink r:id="rId17" w:history="1">
        <w:r w:rsidRPr="00846E05">
          <w:rPr>
            <w:rStyle w:val="Hyperlink"/>
            <w:rFonts w:cs="Arial"/>
          </w:rPr>
          <w:t>https://doi.org/10.1016/j.fnhli.2024.100034</w:t>
        </w:r>
      </w:hyperlink>
    </w:p>
    <w:p w14:paraId="62D72263" w14:textId="3FDE8DD2" w:rsidR="00021DDB" w:rsidRDefault="00021DDB" w:rsidP="00027887">
      <w:proofErr w:type="spellStart"/>
      <w:r w:rsidRPr="00462496">
        <w:t>D'Aprano</w:t>
      </w:r>
      <w:proofErr w:type="spellEnd"/>
      <w:r w:rsidRPr="00462496">
        <w:t xml:space="preserve"> A, Boyle C, </w:t>
      </w:r>
      <w:proofErr w:type="spellStart"/>
      <w:r w:rsidRPr="00462496">
        <w:t>Lindrea</w:t>
      </w:r>
      <w:proofErr w:type="spellEnd"/>
      <w:r w:rsidRPr="00462496">
        <w:t xml:space="preserve">-Morrison L, Brunette R, Stubbs E, Simpson S, Eadie P, Cloney D, Nguyen C, Lami F, Brookes I. Culturally adapted developmental outcome measure for Aboriginal and Torres Strait Islander children: </w:t>
      </w:r>
      <w:r w:rsidR="00CB5C66">
        <w:t>S</w:t>
      </w:r>
      <w:r w:rsidRPr="00462496">
        <w:t xml:space="preserve">tudy protocol for the validation of the ASQ-STEPS. </w:t>
      </w:r>
      <w:r w:rsidRPr="0026437D">
        <w:rPr>
          <w:i/>
          <w:iCs/>
        </w:rPr>
        <w:t>BMJ Open.</w:t>
      </w:r>
      <w:r w:rsidRPr="00462496">
        <w:t xml:space="preserve"> 2025 Mar 12;15(3</w:t>
      </w:r>
      <w:proofErr w:type="gramStart"/>
      <w:r w:rsidRPr="00462496">
        <w:t>):e</w:t>
      </w:r>
      <w:proofErr w:type="gramEnd"/>
      <w:r w:rsidRPr="00462496">
        <w:t xml:space="preserve">093029. </w:t>
      </w:r>
      <w:hyperlink r:id="rId18" w:tgtFrame="_new" w:history="1">
        <w:r w:rsidRPr="00D176E6">
          <w:rPr>
            <w:rStyle w:val="Hyperlink"/>
            <w:rFonts w:cs="Arial"/>
          </w:rPr>
          <w:t>https://doi.org/10.1136/bmjopen-2024-093029</w:t>
        </w:r>
      </w:hyperlink>
      <w:r w:rsidRPr="00462496">
        <w:t xml:space="preserve"> </w:t>
      </w:r>
    </w:p>
    <w:p w14:paraId="62091E06" w14:textId="3B303DD0" w:rsidR="006C0DBD" w:rsidRDefault="006C0DBD"/>
    <w:p w14:paraId="37373341" w14:textId="77777777" w:rsidR="00A22B9E" w:rsidRDefault="000D46BE">
      <w:pPr>
        <w:sectPr w:rsidR="00A22B9E" w:rsidSect="00F94BB1">
          <w:footerReference w:type="default" r:id="rId19"/>
          <w:pgSz w:w="11910" w:h="16845"/>
          <w:pgMar w:top="1440" w:right="1440" w:bottom="1440" w:left="1440" w:header="720" w:footer="720" w:gutter="0"/>
          <w:cols w:space="720"/>
          <w:docGrid w:linePitch="326"/>
        </w:sectPr>
      </w:pPr>
      <w:r>
        <w:br w:type="page"/>
      </w:r>
    </w:p>
    <w:p w14:paraId="220398B1" w14:textId="6DDCAC26" w:rsidR="00021DDB" w:rsidRDefault="00D7320B" w:rsidP="00027887">
      <w:r>
        <w:rPr>
          <w:noProof/>
        </w:rPr>
        <w:lastRenderedPageBreak/>
        <w:drawing>
          <wp:anchor distT="0" distB="0" distL="114300" distR="114300" simplePos="0" relativeHeight="251658280" behindDoc="0" locked="1" layoutInCell="1" allowOverlap="1" wp14:anchorId="3E8254EA" wp14:editId="16A6BF54">
            <wp:simplePos x="0" y="0"/>
            <wp:positionH relativeFrom="page">
              <wp:posOffset>0</wp:posOffset>
            </wp:positionH>
            <wp:positionV relativeFrom="page">
              <wp:posOffset>2529840</wp:posOffset>
            </wp:positionV>
            <wp:extent cx="7563485" cy="935990"/>
            <wp:effectExtent l="0" t="0" r="5715" b="3810"/>
            <wp:wrapNone/>
            <wp:docPr id="1929259060"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1" behindDoc="1" locked="1" layoutInCell="1" allowOverlap="1" wp14:anchorId="0E000B28" wp14:editId="1606B65C">
            <wp:simplePos x="0" y="0"/>
            <wp:positionH relativeFrom="page">
              <wp:posOffset>0</wp:posOffset>
            </wp:positionH>
            <wp:positionV relativeFrom="page">
              <wp:posOffset>-31750</wp:posOffset>
            </wp:positionV>
            <wp:extent cx="7563485" cy="2267585"/>
            <wp:effectExtent l="0" t="0" r="5715" b="5715"/>
            <wp:wrapNone/>
            <wp:docPr id="1739811764"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151235E9" w14:textId="77777777" w:rsidR="00D7320B" w:rsidRDefault="00021DDB">
      <w:pPr>
        <w:jc w:val="center"/>
        <w:rPr>
          <w:rFonts w:eastAsia="Arial" w:cs="Arial"/>
          <w:sz w:val="20"/>
          <w:szCs w:val="20"/>
          <w:lang w:eastAsia="en-US"/>
        </w:rPr>
      </w:pPr>
      <w:r w:rsidRPr="72227565">
        <w:rPr>
          <w:rFonts w:eastAsia="Arial" w:cs="Arial"/>
          <w:sz w:val="20"/>
          <w:szCs w:val="20"/>
          <w:lang w:eastAsia="en-US"/>
        </w:rPr>
        <w:t xml:space="preserve"> </w:t>
      </w:r>
    </w:p>
    <w:p w14:paraId="152A2F55" w14:textId="77777777" w:rsidR="00D7320B" w:rsidRDefault="00D7320B">
      <w:pPr>
        <w:jc w:val="center"/>
        <w:rPr>
          <w:rFonts w:eastAsia="Arial" w:cs="Arial"/>
          <w:sz w:val="20"/>
          <w:szCs w:val="20"/>
          <w:lang w:eastAsia="en-US"/>
        </w:rPr>
      </w:pPr>
    </w:p>
    <w:p w14:paraId="0ED27FD6" w14:textId="77777777" w:rsidR="00D7320B" w:rsidRDefault="00D7320B">
      <w:pPr>
        <w:jc w:val="center"/>
        <w:rPr>
          <w:rFonts w:eastAsia="Arial" w:cs="Arial"/>
          <w:sz w:val="20"/>
          <w:szCs w:val="20"/>
          <w:lang w:eastAsia="en-US"/>
        </w:rPr>
      </w:pPr>
    </w:p>
    <w:p w14:paraId="6C3AB708" w14:textId="77777777" w:rsidR="00D7320B" w:rsidRDefault="00D7320B">
      <w:pPr>
        <w:jc w:val="center"/>
        <w:rPr>
          <w:rFonts w:eastAsia="Arial" w:cs="Arial"/>
          <w:sz w:val="20"/>
          <w:szCs w:val="20"/>
          <w:lang w:eastAsia="en-US"/>
        </w:rPr>
      </w:pPr>
    </w:p>
    <w:p w14:paraId="62546FB7" w14:textId="77777777" w:rsidR="00D7320B" w:rsidRDefault="00D7320B">
      <w:pPr>
        <w:jc w:val="center"/>
        <w:rPr>
          <w:rFonts w:eastAsia="Arial" w:cs="Arial"/>
          <w:sz w:val="20"/>
          <w:szCs w:val="20"/>
          <w:lang w:eastAsia="en-US"/>
        </w:rPr>
      </w:pPr>
    </w:p>
    <w:p w14:paraId="27F67EAE" w14:textId="3D267D68" w:rsidR="009E7317" w:rsidRDefault="00A32606">
      <w:pPr>
        <w:jc w:val="center"/>
        <w:rPr>
          <w:rFonts w:eastAsia="Arial" w:cs="Arial"/>
          <w:sz w:val="20"/>
          <w:szCs w:val="20"/>
          <w:lang w:eastAsia="en-US"/>
        </w:rPr>
      </w:pPr>
      <w:r>
        <w:rPr>
          <w:noProof/>
        </w:rPr>
        <mc:AlternateContent>
          <mc:Choice Requires="wps">
            <w:drawing>
              <wp:anchor distT="0" distB="0" distL="114300" distR="114300" simplePos="0" relativeHeight="251658282" behindDoc="0" locked="0" layoutInCell="1" allowOverlap="1" wp14:anchorId="74FDADC8" wp14:editId="3522DDDB">
                <wp:simplePos x="0" y="0"/>
                <wp:positionH relativeFrom="column">
                  <wp:posOffset>68239</wp:posOffset>
                </wp:positionH>
                <wp:positionV relativeFrom="paragraph">
                  <wp:posOffset>186102</wp:posOffset>
                </wp:positionV>
                <wp:extent cx="6470650" cy="750627"/>
                <wp:effectExtent l="0" t="0" r="0" b="0"/>
                <wp:wrapNone/>
                <wp:docPr id="1719665811" name="Text Box 1"/>
                <wp:cNvGraphicFramePr/>
                <a:graphic xmlns:a="http://schemas.openxmlformats.org/drawingml/2006/main">
                  <a:graphicData uri="http://schemas.microsoft.com/office/word/2010/wordprocessingShape">
                    <wps:wsp>
                      <wps:cNvSpPr txBox="1"/>
                      <wps:spPr>
                        <a:xfrm>
                          <a:off x="0" y="0"/>
                          <a:ext cx="6470650" cy="750627"/>
                        </a:xfrm>
                        <a:prstGeom prst="rect">
                          <a:avLst/>
                        </a:prstGeom>
                        <a:noFill/>
                        <a:ln w="6350">
                          <a:noFill/>
                        </a:ln>
                      </wps:spPr>
                      <wps:txbx>
                        <w:txbxContent>
                          <w:p w14:paraId="16514149" w14:textId="77777777" w:rsidR="00D7320B" w:rsidRPr="00B73670" w:rsidRDefault="00D7320B" w:rsidP="00D7320B">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464239BA" w14:textId="77777777" w:rsidR="00D7320B" w:rsidRPr="00DA3237" w:rsidRDefault="00D7320B" w:rsidP="00D7320B">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DADC8" id="_x0000_s1028" type="#_x0000_t202" style="position:absolute;left:0;text-align:left;margin-left:5.35pt;margin-top:14.65pt;width:509.5pt;height:59.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" filled="f" stroked="f" strokeweight=".5pt">
                <v:textbox>
                  <w:txbxContent>
                    <w:p w14:paraId="16514149" w14:textId="77777777" w:rsidR="00D7320B" w:rsidRPr="00B73670" w:rsidRDefault="00D7320B" w:rsidP="00D7320B">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464239BA" w14:textId="77777777" w:rsidR="00D7320B" w:rsidRPr="00DA3237" w:rsidRDefault="00D7320B" w:rsidP="00D7320B">
                      <w:pPr>
                        <w:rPr>
                          <w:rFonts w:cs="Arial"/>
                        </w:rPr>
                      </w:pPr>
                    </w:p>
                  </w:txbxContent>
                </v:textbox>
              </v:shape>
            </w:pict>
          </mc:Fallback>
        </mc:AlternateContent>
      </w:r>
    </w:p>
    <w:p w14:paraId="534A97B0" w14:textId="13F1C530" w:rsidR="00D7320B" w:rsidRDefault="00D7320B">
      <w:pPr>
        <w:jc w:val="center"/>
        <w:rPr>
          <w:rFonts w:eastAsia="Arial" w:cs="Arial"/>
          <w:sz w:val="20"/>
          <w:szCs w:val="20"/>
          <w:lang w:eastAsia="en-US"/>
        </w:rPr>
      </w:pPr>
    </w:p>
    <w:p w14:paraId="69F1D337" w14:textId="77777777" w:rsidR="00D7320B" w:rsidRDefault="00D7320B">
      <w:pPr>
        <w:jc w:val="center"/>
        <w:rPr>
          <w:rFonts w:eastAsia="Arial" w:cs="Arial"/>
          <w:sz w:val="20"/>
          <w:szCs w:val="20"/>
          <w:lang w:eastAsia="en-US"/>
        </w:rPr>
      </w:pPr>
    </w:p>
    <w:p w14:paraId="39D3B9B8" w14:textId="77777777" w:rsidR="00D7320B" w:rsidRDefault="00D7320B">
      <w:pPr>
        <w:jc w:val="center"/>
        <w:rPr>
          <w:rFonts w:eastAsia="Arial" w:cs="Arial"/>
          <w:sz w:val="20"/>
          <w:szCs w:val="20"/>
          <w:lang w:eastAsia="en-US"/>
        </w:rPr>
      </w:pPr>
    </w:p>
    <w:p w14:paraId="33E6A852" w14:textId="77777777" w:rsidR="00D7320B" w:rsidRDefault="00D7320B">
      <w:pPr>
        <w:jc w:val="center"/>
        <w:rPr>
          <w:rFonts w:eastAsia="Arial" w:cs="Arial"/>
          <w:sz w:val="20"/>
          <w:szCs w:val="20"/>
          <w:lang w:eastAsia="en-US"/>
        </w:rPr>
      </w:pPr>
    </w:p>
    <w:p w14:paraId="67065560" w14:textId="77777777" w:rsidR="00CB11C1" w:rsidRPr="00CB11C1" w:rsidRDefault="00CB11C1" w:rsidP="00BB710D">
      <w:pPr>
        <w:pStyle w:val="Heading1"/>
        <w:rPr>
          <w:lang w:eastAsia="en-US"/>
        </w:rPr>
      </w:pPr>
      <w:bookmarkStart w:id="7" w:name="_Australian_Therapy_Outcome"/>
      <w:r w:rsidRPr="00CB11C1">
        <w:rPr>
          <w:lang w:eastAsia="en-US"/>
        </w:rPr>
        <w:t xml:space="preserve">Australian Therapy Outcome Measure for Indigenous Clients (ATOMIC) </w:t>
      </w:r>
    </w:p>
    <w:tbl>
      <w:tblPr>
        <w:tblW w:w="4672" w:type="pct"/>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8"/>
        <w:gridCol w:w="6445"/>
      </w:tblGrid>
      <w:tr w:rsidR="00CB11C1" w:rsidRPr="00CB11C1" w14:paraId="0FF10220" w14:textId="77777777">
        <w:trPr>
          <w:trHeight w:val="300"/>
        </w:trPr>
        <w:tc>
          <w:tcPr>
            <w:tcW w:w="1174" w:type="pct"/>
            <w:tcBorders>
              <w:top w:val="single" w:sz="6" w:space="0" w:color="auto"/>
              <w:left w:val="single" w:sz="6" w:space="0" w:color="auto"/>
              <w:bottom w:val="single" w:sz="6" w:space="0" w:color="auto"/>
              <w:right w:val="single" w:sz="6" w:space="0" w:color="auto"/>
            </w:tcBorders>
            <w:hideMark/>
          </w:tcPr>
          <w:p w14:paraId="7CBCCF7B" w14:textId="77777777" w:rsidR="00CB11C1" w:rsidRPr="00CB11C1" w:rsidRDefault="00CB11C1" w:rsidP="00CB11C1">
            <w:pPr>
              <w:rPr>
                <w:rFonts w:eastAsia="Aptos" w:cs="Arial"/>
                <w:b/>
                <w:bCs/>
                <w:lang w:eastAsia="en-US"/>
              </w:rPr>
            </w:pPr>
            <w:r w:rsidRPr="00CB11C1">
              <w:rPr>
                <w:rFonts w:eastAsia="Aptos" w:cs="Arial"/>
                <w:b/>
                <w:bCs/>
                <w:lang w:eastAsia="en-US"/>
              </w:rPr>
              <w:t>Framework Outcomes Statement(s) </w:t>
            </w:r>
          </w:p>
        </w:tc>
        <w:tc>
          <w:tcPr>
            <w:tcW w:w="3826" w:type="pct"/>
            <w:tcBorders>
              <w:top w:val="single" w:sz="6" w:space="0" w:color="auto"/>
              <w:left w:val="single" w:sz="6" w:space="0" w:color="auto"/>
              <w:bottom w:val="single" w:sz="6" w:space="0" w:color="auto"/>
              <w:right w:val="single" w:sz="6" w:space="0" w:color="auto"/>
            </w:tcBorders>
            <w:hideMark/>
          </w:tcPr>
          <w:p w14:paraId="7270AE9F" w14:textId="77777777" w:rsidR="00CB11C1" w:rsidRPr="00CB11C1" w:rsidRDefault="00CB11C1" w:rsidP="00D62700">
            <w:pPr>
              <w:spacing w:afterLines="100" w:after="240"/>
              <w:ind w:right="281"/>
              <w:contextualSpacing/>
              <w:rPr>
                <w:rFonts w:eastAsia="Aptos" w:cs="Arial"/>
                <w:b/>
                <w:bCs/>
                <w:lang w:eastAsia="en-US"/>
              </w:rPr>
            </w:pPr>
            <w:r w:rsidRPr="00CB11C1">
              <w:rPr>
                <w:rFonts w:eastAsia="Aptos" w:cs="Arial"/>
                <w:b/>
                <w:bCs/>
                <w:lang w:eastAsia="en-US"/>
              </w:rPr>
              <w:t>Children:</w:t>
            </w:r>
          </w:p>
          <w:p w14:paraId="67E7FD39" w14:textId="77777777" w:rsidR="00CB11C1" w:rsidRPr="00CB11C1" w:rsidRDefault="00CB11C1" w:rsidP="00D62700">
            <w:pPr>
              <w:numPr>
                <w:ilvl w:val="0"/>
                <w:numId w:val="15"/>
              </w:numPr>
              <w:spacing w:afterLines="100" w:after="240"/>
              <w:contextualSpacing/>
              <w:rPr>
                <w:rFonts w:eastAsia="Arial" w:cs="Arial"/>
                <w:lang w:eastAsia="en-US"/>
              </w:rPr>
            </w:pPr>
            <w:r w:rsidRPr="00CB11C1">
              <w:rPr>
                <w:rFonts w:eastAsia="Aptos" w:cs="Arial"/>
                <w:lang w:eastAsia="en-US"/>
              </w:rPr>
              <w:t>participate and feel they belong in everyday home, community, ECEC and school environments.</w:t>
            </w:r>
            <w:r w:rsidRPr="00CB11C1">
              <w:rPr>
                <w:rFonts w:eastAsia="Aptos Narrow" w:cs="Arial"/>
                <w:color w:val="242424"/>
                <w:lang w:eastAsia="en-US"/>
              </w:rPr>
              <w:t xml:space="preserve"> </w:t>
            </w:r>
          </w:p>
          <w:p w14:paraId="49EA7076" w14:textId="77777777" w:rsidR="00CB11C1" w:rsidRPr="00CB11C1" w:rsidRDefault="00CB11C1" w:rsidP="00D62700">
            <w:pPr>
              <w:numPr>
                <w:ilvl w:val="0"/>
                <w:numId w:val="15"/>
              </w:numPr>
              <w:spacing w:afterLines="100" w:after="240"/>
              <w:ind w:left="714" w:hanging="357"/>
              <w:rPr>
                <w:rFonts w:eastAsia="Arial" w:cs="Arial"/>
                <w:lang w:eastAsia="en-US"/>
              </w:rPr>
            </w:pPr>
            <w:r w:rsidRPr="00CB11C1">
              <w:rPr>
                <w:rFonts w:eastAsia="Arial" w:cs="Arial"/>
                <w:lang w:eastAsia="en-US"/>
              </w:rPr>
              <w:t>acquire, develop and generalise new knowledge and skills</w:t>
            </w:r>
          </w:p>
          <w:p w14:paraId="41E94944" w14:textId="77777777" w:rsidR="00CB11C1" w:rsidRPr="00CB11C1" w:rsidRDefault="00CB11C1" w:rsidP="00D62700">
            <w:pPr>
              <w:spacing w:afterLines="100" w:after="240"/>
              <w:contextualSpacing/>
              <w:rPr>
                <w:rFonts w:eastAsia="Arial" w:cs="Arial"/>
                <w:lang w:eastAsia="en-US"/>
              </w:rPr>
            </w:pPr>
            <w:r w:rsidRPr="00CB11C1">
              <w:rPr>
                <w:rFonts w:eastAsia="Arial" w:cs="Arial"/>
                <w:lang w:eastAsia="en-US"/>
              </w:rPr>
              <w:t>Depending on the goal chosen, provides information about: </w:t>
            </w:r>
          </w:p>
          <w:p w14:paraId="2DAC8CD9" w14:textId="77777777" w:rsidR="00CB11C1" w:rsidRPr="00CB11C1" w:rsidRDefault="00CB11C1" w:rsidP="00D62700">
            <w:pPr>
              <w:numPr>
                <w:ilvl w:val="0"/>
                <w:numId w:val="15"/>
              </w:numPr>
              <w:spacing w:afterLines="100" w:after="240"/>
              <w:ind w:left="714" w:hanging="357"/>
              <w:contextualSpacing/>
              <w:rPr>
                <w:rFonts w:eastAsia="Arial" w:cs="Arial"/>
                <w:lang w:eastAsia="en-US"/>
              </w:rPr>
            </w:pPr>
            <w:r w:rsidRPr="00CB11C1">
              <w:rPr>
                <w:rFonts w:eastAsia="Arial" w:cs="Arial"/>
                <w:lang w:eastAsia="en-US"/>
              </w:rPr>
              <w:t>interact with family members, other children, and people in the community to build relational skills and connections </w:t>
            </w:r>
          </w:p>
          <w:p w14:paraId="4FA41DD3" w14:textId="77777777" w:rsidR="00CB11C1" w:rsidRPr="00CB11C1" w:rsidRDefault="00CB11C1" w:rsidP="00D62700">
            <w:pPr>
              <w:numPr>
                <w:ilvl w:val="0"/>
                <w:numId w:val="15"/>
              </w:numPr>
              <w:spacing w:afterLines="100" w:after="240"/>
              <w:ind w:left="714" w:hanging="357"/>
              <w:contextualSpacing/>
              <w:rPr>
                <w:rFonts w:eastAsia="Arial" w:cs="Arial"/>
                <w:lang w:eastAsia="en-US"/>
              </w:rPr>
            </w:pPr>
            <w:r w:rsidRPr="00CB11C1">
              <w:rPr>
                <w:rFonts w:eastAsia="Arial" w:cs="Arial"/>
                <w:lang w:eastAsia="en-US"/>
              </w:rPr>
              <w:t>develop their sense of agency and have a voice in matters that affect them </w:t>
            </w:r>
          </w:p>
          <w:p w14:paraId="6618FBF2" w14:textId="77777777" w:rsidR="00CB11C1" w:rsidRPr="00CB11C1" w:rsidRDefault="00CB11C1" w:rsidP="00D62700">
            <w:pPr>
              <w:numPr>
                <w:ilvl w:val="0"/>
                <w:numId w:val="15"/>
              </w:numPr>
              <w:spacing w:afterLines="100" w:after="240"/>
              <w:ind w:left="714" w:hanging="357"/>
              <w:contextualSpacing/>
              <w:rPr>
                <w:rFonts w:eastAsia="Arial" w:cs="Arial"/>
                <w:lang w:eastAsia="en-US"/>
              </w:rPr>
            </w:pPr>
            <w:r w:rsidRPr="00CB11C1">
              <w:rPr>
                <w:rFonts w:eastAsia="Arial" w:cs="Arial"/>
                <w:lang w:eastAsia="en-US"/>
              </w:rPr>
              <w:t>have a positive sense of belonging to their family and community </w:t>
            </w:r>
          </w:p>
          <w:p w14:paraId="67865A03" w14:textId="77777777" w:rsidR="00CB11C1" w:rsidRPr="00CB11C1" w:rsidRDefault="00CB11C1" w:rsidP="00D62700">
            <w:pPr>
              <w:numPr>
                <w:ilvl w:val="0"/>
                <w:numId w:val="15"/>
              </w:numPr>
              <w:spacing w:afterLines="100" w:after="240"/>
              <w:ind w:left="714" w:hanging="357"/>
              <w:contextualSpacing/>
              <w:rPr>
                <w:rFonts w:eastAsia="Arial" w:cs="Arial"/>
                <w:lang w:eastAsia="en-US"/>
              </w:rPr>
            </w:pPr>
            <w:r w:rsidRPr="00CB11C1">
              <w:rPr>
                <w:rFonts w:eastAsia="Arial" w:cs="Arial"/>
                <w:lang w:eastAsia="en-US"/>
              </w:rPr>
              <w:t>build strong identities and connections to their culture and community </w:t>
            </w:r>
          </w:p>
          <w:p w14:paraId="0C9F840F" w14:textId="77777777" w:rsidR="00CB11C1" w:rsidRPr="00CB11C1" w:rsidRDefault="00CB11C1" w:rsidP="00D62700">
            <w:pPr>
              <w:numPr>
                <w:ilvl w:val="0"/>
                <w:numId w:val="15"/>
              </w:numPr>
              <w:spacing w:afterLines="100" w:after="240"/>
              <w:ind w:left="714" w:hanging="357"/>
              <w:contextualSpacing/>
              <w:rPr>
                <w:rFonts w:eastAsia="Arial" w:cs="Arial"/>
                <w:lang w:eastAsia="en-US"/>
              </w:rPr>
            </w:pPr>
            <w:r w:rsidRPr="00CB11C1">
              <w:rPr>
                <w:rFonts w:eastAsia="Arial" w:cs="Arial"/>
                <w:lang w:eastAsia="en-US"/>
              </w:rPr>
              <w:t>follow their interests and enjoy play opportunities </w:t>
            </w:r>
          </w:p>
          <w:p w14:paraId="5E99F742" w14:textId="77777777" w:rsidR="00CB11C1" w:rsidRPr="00CB11C1" w:rsidRDefault="00CB11C1" w:rsidP="00D62700">
            <w:pPr>
              <w:numPr>
                <w:ilvl w:val="0"/>
                <w:numId w:val="15"/>
              </w:numPr>
              <w:spacing w:afterLines="100" w:after="240"/>
              <w:ind w:left="714" w:hanging="357"/>
              <w:contextualSpacing/>
              <w:rPr>
                <w:rFonts w:eastAsia="Arial" w:cs="Arial"/>
                <w:lang w:eastAsia="en-US"/>
              </w:rPr>
            </w:pPr>
            <w:r w:rsidRPr="00CB11C1">
              <w:rPr>
                <w:rFonts w:eastAsia="Arial" w:cs="Arial"/>
                <w:lang w:eastAsia="en-US"/>
              </w:rPr>
              <w:t>develop positive health habits over time </w:t>
            </w:r>
          </w:p>
          <w:p w14:paraId="53AF8793" w14:textId="77777777" w:rsidR="00CB11C1" w:rsidRPr="00CB11C1" w:rsidRDefault="00CB11C1" w:rsidP="00D62700">
            <w:pPr>
              <w:numPr>
                <w:ilvl w:val="0"/>
                <w:numId w:val="15"/>
              </w:numPr>
              <w:spacing w:afterLines="100" w:after="240"/>
              <w:ind w:left="714" w:hanging="357"/>
              <w:rPr>
                <w:rFonts w:eastAsia="Arial" w:cs="Arial"/>
                <w:lang w:eastAsia="en-US"/>
              </w:rPr>
            </w:pPr>
            <w:r w:rsidRPr="00CB11C1">
              <w:rPr>
                <w:rFonts w:eastAsia="Arial" w:cs="Arial"/>
                <w:lang w:eastAsia="en-US"/>
              </w:rPr>
              <w:t>build capacity to regulate their behaviour </w:t>
            </w:r>
          </w:p>
        </w:tc>
      </w:tr>
      <w:bookmarkEnd w:id="7"/>
    </w:tbl>
    <w:p w14:paraId="1CB2331E" w14:textId="77777777" w:rsidR="009E7317" w:rsidRDefault="009E7317" w:rsidP="009E7317"/>
    <w:p w14:paraId="55C70522" w14:textId="0904EAD9" w:rsidR="00597FF6" w:rsidRPr="00597FF6" w:rsidRDefault="00597FF6" w:rsidP="0021669C">
      <w:pPr>
        <w:pStyle w:val="Heading1"/>
        <w:rPr>
          <w:lang w:eastAsia="en-US"/>
        </w:rPr>
      </w:pPr>
      <w:r>
        <w:lastRenderedPageBreak/>
        <w:t>ATOMIC Overview</w:t>
      </w:r>
    </w:p>
    <w:tbl>
      <w:tblPr>
        <w:tblW w:w="9052"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7"/>
        <w:gridCol w:w="7075"/>
      </w:tblGrid>
      <w:tr w:rsidR="00597FF6" w:rsidRPr="00597FF6" w14:paraId="37CAD60C" w14:textId="77777777" w:rsidTr="001C6757">
        <w:trPr>
          <w:trHeight w:val="1693"/>
        </w:trPr>
        <w:tc>
          <w:tcPr>
            <w:tcW w:w="1977" w:type="dxa"/>
            <w:tcBorders>
              <w:top w:val="single" w:sz="6" w:space="0" w:color="auto"/>
              <w:left w:val="single" w:sz="6" w:space="0" w:color="auto"/>
              <w:bottom w:val="single" w:sz="6" w:space="0" w:color="auto"/>
              <w:right w:val="single" w:sz="6" w:space="0" w:color="auto"/>
            </w:tcBorders>
            <w:hideMark/>
          </w:tcPr>
          <w:p w14:paraId="4F1CD745" w14:textId="77777777" w:rsidR="00597FF6" w:rsidRPr="00597FF6" w:rsidRDefault="00597FF6" w:rsidP="00597FF6">
            <w:pPr>
              <w:rPr>
                <w:rFonts w:cs="Arial"/>
              </w:rPr>
            </w:pPr>
            <w:r w:rsidRPr="00597FF6">
              <w:rPr>
                <w:rFonts w:cs="Arial"/>
                <w:b/>
                <w:bCs/>
              </w:rPr>
              <w:t>General description</w:t>
            </w:r>
            <w:r w:rsidRPr="00597FF6">
              <w:rPr>
                <w:rFonts w:cs="Arial"/>
              </w:rPr>
              <w:t>  </w:t>
            </w:r>
          </w:p>
        </w:tc>
        <w:tc>
          <w:tcPr>
            <w:tcW w:w="7075" w:type="dxa"/>
            <w:tcBorders>
              <w:top w:val="single" w:sz="6" w:space="0" w:color="auto"/>
              <w:left w:val="single" w:sz="6" w:space="0" w:color="auto"/>
              <w:bottom w:val="single" w:sz="6" w:space="0" w:color="auto"/>
              <w:right w:val="single" w:sz="6" w:space="0" w:color="auto"/>
            </w:tcBorders>
            <w:hideMark/>
          </w:tcPr>
          <w:p w14:paraId="207B5DD1" w14:textId="77777777" w:rsidR="00597FF6" w:rsidRPr="00597FF6" w:rsidRDefault="00597FF6" w:rsidP="00597FF6">
            <w:pPr>
              <w:ind w:right="281"/>
              <w:rPr>
                <w:rFonts w:eastAsia="Arial" w:cs="Arial"/>
              </w:rPr>
            </w:pPr>
            <w:r w:rsidRPr="00597FF6">
              <w:rPr>
                <w:rFonts w:eastAsia="Arial" w:cs="Arial"/>
              </w:rPr>
              <w:t xml:space="preserve">The ATOMIC is a goal-setting tool that aligns with the holistic view of health and wellbeing held by Aboriginal and Torres Strait Islander peoples. </w:t>
            </w:r>
            <w:r w:rsidRPr="00597FF6">
              <w:rPr>
                <w:rFonts w:eastAsia="Arial" w:cs="Arial"/>
                <w:color w:val="000000" w:themeColor="text1"/>
              </w:rPr>
              <w:t>ATOMIC measures children’s therapy outcomes and supports collaborative practice by facilitating a flexible and dynamic approach to goal setting and evaluation.</w:t>
            </w:r>
          </w:p>
        </w:tc>
      </w:tr>
      <w:tr w:rsidR="00597FF6" w:rsidRPr="00597FF6" w14:paraId="21B0B05F" w14:textId="77777777" w:rsidTr="001C6757">
        <w:trPr>
          <w:trHeight w:val="300"/>
        </w:trPr>
        <w:tc>
          <w:tcPr>
            <w:tcW w:w="1977" w:type="dxa"/>
            <w:tcBorders>
              <w:top w:val="single" w:sz="6" w:space="0" w:color="auto"/>
              <w:left w:val="single" w:sz="6" w:space="0" w:color="auto"/>
              <w:bottom w:val="single" w:sz="6" w:space="0" w:color="auto"/>
              <w:right w:val="single" w:sz="6" w:space="0" w:color="auto"/>
            </w:tcBorders>
          </w:tcPr>
          <w:p w14:paraId="7B8249E5" w14:textId="77777777" w:rsidR="00597FF6" w:rsidRPr="00597FF6" w:rsidRDefault="00597FF6" w:rsidP="00597FF6">
            <w:pPr>
              <w:rPr>
                <w:rFonts w:cs="Arial"/>
                <w:b/>
                <w:bCs/>
              </w:rPr>
            </w:pPr>
            <w:r w:rsidRPr="00597FF6">
              <w:rPr>
                <w:rFonts w:cs="Arial"/>
                <w:b/>
                <w:bCs/>
              </w:rPr>
              <w:t>Ages</w:t>
            </w:r>
          </w:p>
        </w:tc>
        <w:tc>
          <w:tcPr>
            <w:tcW w:w="7075" w:type="dxa"/>
            <w:tcBorders>
              <w:top w:val="single" w:sz="6" w:space="0" w:color="auto"/>
              <w:left w:val="single" w:sz="6" w:space="0" w:color="auto"/>
              <w:bottom w:val="single" w:sz="6" w:space="0" w:color="auto"/>
              <w:right w:val="single" w:sz="6" w:space="0" w:color="auto"/>
            </w:tcBorders>
          </w:tcPr>
          <w:p w14:paraId="5059D798" w14:textId="77777777" w:rsidR="00597FF6" w:rsidRPr="00597FF6" w:rsidRDefault="00597FF6" w:rsidP="00597FF6">
            <w:pPr>
              <w:spacing w:line="240" w:lineRule="auto"/>
              <w:rPr>
                <w:rFonts w:eastAsia="Arial" w:cs="Arial"/>
              </w:rPr>
            </w:pPr>
            <w:r w:rsidRPr="00597FF6">
              <w:rPr>
                <w:rFonts w:eastAsia="Arial" w:cs="Arial"/>
                <w:color w:val="000000" w:themeColor="text1"/>
              </w:rPr>
              <w:t>The ATOMIC is designed for children aged 2 to 16 years.</w:t>
            </w:r>
          </w:p>
        </w:tc>
      </w:tr>
      <w:tr w:rsidR="00597FF6" w:rsidRPr="00597FF6" w14:paraId="4368C043" w14:textId="77777777" w:rsidTr="001C6757">
        <w:trPr>
          <w:trHeight w:val="300"/>
        </w:trPr>
        <w:tc>
          <w:tcPr>
            <w:tcW w:w="1977" w:type="dxa"/>
            <w:tcBorders>
              <w:top w:val="single" w:sz="6" w:space="0" w:color="auto"/>
              <w:left w:val="single" w:sz="6" w:space="0" w:color="auto"/>
              <w:bottom w:val="single" w:sz="6" w:space="0" w:color="auto"/>
              <w:right w:val="single" w:sz="6" w:space="0" w:color="auto"/>
            </w:tcBorders>
          </w:tcPr>
          <w:p w14:paraId="126AF14D" w14:textId="77777777" w:rsidR="00597FF6" w:rsidRPr="00597FF6" w:rsidRDefault="00597FF6" w:rsidP="00597FF6">
            <w:pPr>
              <w:rPr>
                <w:rFonts w:cs="Arial"/>
              </w:rPr>
            </w:pPr>
            <w:r w:rsidRPr="00597FF6">
              <w:rPr>
                <w:rFonts w:cs="Arial"/>
                <w:b/>
                <w:bCs/>
              </w:rPr>
              <w:t>Domains / subscales </w:t>
            </w:r>
            <w:r w:rsidRPr="00597FF6">
              <w:rPr>
                <w:rFonts w:cs="Arial"/>
              </w:rPr>
              <w:t> </w:t>
            </w:r>
          </w:p>
        </w:tc>
        <w:tc>
          <w:tcPr>
            <w:tcW w:w="7075" w:type="dxa"/>
            <w:tcBorders>
              <w:top w:val="single" w:sz="6" w:space="0" w:color="auto"/>
              <w:left w:val="single" w:sz="6" w:space="0" w:color="auto"/>
              <w:bottom w:val="single" w:sz="6" w:space="0" w:color="auto"/>
              <w:right w:val="single" w:sz="6" w:space="0" w:color="auto"/>
            </w:tcBorders>
          </w:tcPr>
          <w:p w14:paraId="2BB7C0B6" w14:textId="77777777" w:rsidR="00597FF6" w:rsidRPr="00597FF6" w:rsidRDefault="00597FF6" w:rsidP="00597FF6">
            <w:pPr>
              <w:spacing w:line="240" w:lineRule="auto"/>
              <w:ind w:right="140"/>
              <w:rPr>
                <w:rFonts w:eastAsia="Arial" w:cs="Arial"/>
                <w:color w:val="000000" w:themeColor="text1"/>
              </w:rPr>
            </w:pPr>
            <w:r w:rsidRPr="00597FF6">
              <w:rPr>
                <w:rFonts w:eastAsia="Arial" w:cs="Arial"/>
                <w:color w:val="000000" w:themeColor="text1"/>
              </w:rPr>
              <w:t>The ATOMIC uses a yarn-based approach enabling children and families to express their goals in their own language. ATOMIC uses visual analogue scales to evaluate goals throughout the therapy process and facilitate collaboration.</w:t>
            </w:r>
          </w:p>
        </w:tc>
      </w:tr>
      <w:tr w:rsidR="00597FF6" w:rsidRPr="00597FF6" w14:paraId="36077D9E" w14:textId="77777777" w:rsidTr="001C6757">
        <w:trPr>
          <w:trHeight w:val="300"/>
        </w:trPr>
        <w:tc>
          <w:tcPr>
            <w:tcW w:w="1977" w:type="dxa"/>
            <w:tcBorders>
              <w:top w:val="single" w:sz="6" w:space="0" w:color="auto"/>
              <w:left w:val="single" w:sz="6" w:space="0" w:color="auto"/>
              <w:bottom w:val="single" w:sz="6" w:space="0" w:color="auto"/>
              <w:right w:val="single" w:sz="6" w:space="0" w:color="auto"/>
            </w:tcBorders>
            <w:hideMark/>
          </w:tcPr>
          <w:p w14:paraId="24A4A262" w14:textId="77777777" w:rsidR="00597FF6" w:rsidRPr="00597FF6" w:rsidRDefault="00597FF6" w:rsidP="00597FF6">
            <w:pPr>
              <w:rPr>
                <w:rFonts w:cs="Arial"/>
              </w:rPr>
            </w:pPr>
            <w:r w:rsidRPr="00597FF6">
              <w:rPr>
                <w:rFonts w:cs="Arial"/>
                <w:b/>
                <w:bCs/>
              </w:rPr>
              <w:t>Cultural adaptation </w:t>
            </w:r>
            <w:r w:rsidRPr="00597FF6">
              <w:rPr>
                <w:rFonts w:cs="Arial"/>
              </w:rPr>
              <w:t> </w:t>
            </w:r>
          </w:p>
        </w:tc>
        <w:tc>
          <w:tcPr>
            <w:tcW w:w="7075" w:type="dxa"/>
            <w:tcBorders>
              <w:top w:val="single" w:sz="6" w:space="0" w:color="auto"/>
              <w:left w:val="single" w:sz="6" w:space="0" w:color="auto"/>
              <w:bottom w:val="single" w:sz="6" w:space="0" w:color="auto"/>
              <w:right w:val="single" w:sz="6" w:space="0" w:color="auto"/>
            </w:tcBorders>
            <w:hideMark/>
          </w:tcPr>
          <w:p w14:paraId="5AF64D7C" w14:textId="77777777" w:rsidR="00597FF6" w:rsidRPr="00597FF6" w:rsidRDefault="00597FF6" w:rsidP="00597FF6">
            <w:pPr>
              <w:rPr>
                <w:rFonts w:eastAsia="Arial" w:cs="Arial"/>
              </w:rPr>
            </w:pPr>
            <w:r w:rsidRPr="00597FF6">
              <w:rPr>
                <w:rFonts w:eastAsia="Arial" w:cs="Arial"/>
                <w:color w:val="000000" w:themeColor="text1"/>
              </w:rPr>
              <w:t>The ATOMIC has been specifically designed for Aboriginal and Torres Strait Islander children and their families.</w:t>
            </w:r>
          </w:p>
        </w:tc>
      </w:tr>
      <w:tr w:rsidR="00597FF6" w:rsidRPr="00597FF6" w14:paraId="15A3A107" w14:textId="77777777" w:rsidTr="001C6757">
        <w:trPr>
          <w:trHeight w:val="300"/>
        </w:trPr>
        <w:tc>
          <w:tcPr>
            <w:tcW w:w="1977" w:type="dxa"/>
            <w:tcBorders>
              <w:top w:val="single" w:sz="6" w:space="0" w:color="auto"/>
              <w:left w:val="single" w:sz="6" w:space="0" w:color="auto"/>
              <w:bottom w:val="single" w:sz="6" w:space="0" w:color="auto"/>
              <w:right w:val="single" w:sz="6" w:space="0" w:color="auto"/>
            </w:tcBorders>
            <w:hideMark/>
          </w:tcPr>
          <w:p w14:paraId="586ADBA2" w14:textId="77777777" w:rsidR="00597FF6" w:rsidRPr="00597FF6" w:rsidRDefault="00597FF6" w:rsidP="00597FF6">
            <w:pPr>
              <w:rPr>
                <w:rFonts w:cs="Arial"/>
              </w:rPr>
            </w:pPr>
            <w:r w:rsidRPr="00597FF6">
              <w:rPr>
                <w:rFonts w:cs="Arial"/>
                <w:b/>
                <w:bCs/>
              </w:rPr>
              <w:t>Administration</w:t>
            </w:r>
            <w:r w:rsidRPr="00597FF6">
              <w:rPr>
                <w:rFonts w:cs="Arial"/>
              </w:rPr>
              <w:t>  </w:t>
            </w:r>
          </w:p>
          <w:p w14:paraId="1678A966" w14:textId="77777777" w:rsidR="00597FF6" w:rsidRPr="00597FF6" w:rsidRDefault="00597FF6" w:rsidP="00597FF6">
            <w:pPr>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2E0775D6" w14:textId="77777777" w:rsidR="00597FF6" w:rsidRPr="00597FF6" w:rsidRDefault="00597FF6" w:rsidP="00597FF6">
            <w:pPr>
              <w:ind w:right="140"/>
              <w:rPr>
                <w:rFonts w:cs="Arial"/>
              </w:rPr>
            </w:pPr>
            <w:r w:rsidRPr="00597FF6">
              <w:rPr>
                <w:rFonts w:cs="Arial"/>
              </w:rPr>
              <w:t>ATOMIC is used by service providers (e.g., occupational therapists and speech pathologists) who provide therapy services for Aboriginal and Torres Strait Islander children.</w:t>
            </w:r>
          </w:p>
          <w:p w14:paraId="6F406D07" w14:textId="77777777" w:rsidR="00597FF6" w:rsidRPr="00597FF6" w:rsidRDefault="00597FF6" w:rsidP="00597FF6">
            <w:pPr>
              <w:rPr>
                <w:rFonts w:ascii="Aptos" w:eastAsia="Aptos" w:hAnsi="Aptos" w:cs="Aptos"/>
                <w:color w:val="000000" w:themeColor="text1"/>
                <w:sz w:val="22"/>
                <w:szCs w:val="22"/>
              </w:rPr>
            </w:pPr>
            <w:r w:rsidRPr="00597FF6">
              <w:rPr>
                <w:rFonts w:cs="Arial"/>
              </w:rPr>
              <w:t>The ATOMIC is administered with children and families in a paper-based format.</w:t>
            </w:r>
          </w:p>
        </w:tc>
      </w:tr>
      <w:tr w:rsidR="00597FF6" w:rsidRPr="00597FF6" w14:paraId="5C81F38E" w14:textId="77777777" w:rsidTr="001C6757">
        <w:trPr>
          <w:trHeight w:val="300"/>
        </w:trPr>
        <w:tc>
          <w:tcPr>
            <w:tcW w:w="1977" w:type="dxa"/>
            <w:tcBorders>
              <w:top w:val="single" w:sz="6" w:space="0" w:color="auto"/>
              <w:left w:val="single" w:sz="6" w:space="0" w:color="auto"/>
              <w:bottom w:val="single" w:sz="6" w:space="0" w:color="auto"/>
              <w:right w:val="single" w:sz="6" w:space="0" w:color="auto"/>
            </w:tcBorders>
            <w:hideMark/>
          </w:tcPr>
          <w:p w14:paraId="41654A35" w14:textId="77777777" w:rsidR="00597FF6" w:rsidRPr="00597FF6" w:rsidRDefault="00597FF6" w:rsidP="00597FF6">
            <w:pPr>
              <w:rPr>
                <w:rFonts w:cs="Arial"/>
              </w:rPr>
            </w:pPr>
            <w:r w:rsidRPr="00597FF6">
              <w:rPr>
                <w:rFonts w:cs="Arial"/>
                <w:b/>
                <w:bCs/>
              </w:rPr>
              <w:t>Training requirements</w:t>
            </w:r>
            <w:r w:rsidRPr="00597FF6">
              <w:rPr>
                <w:rFonts w:cs="Arial"/>
              </w:rPr>
              <w:t>  </w:t>
            </w:r>
          </w:p>
        </w:tc>
        <w:tc>
          <w:tcPr>
            <w:tcW w:w="7075" w:type="dxa"/>
            <w:tcBorders>
              <w:top w:val="single" w:sz="6" w:space="0" w:color="auto"/>
              <w:left w:val="single" w:sz="6" w:space="0" w:color="auto"/>
              <w:bottom w:val="single" w:sz="6" w:space="0" w:color="auto"/>
              <w:right w:val="single" w:sz="6" w:space="0" w:color="auto"/>
            </w:tcBorders>
            <w:hideMark/>
          </w:tcPr>
          <w:p w14:paraId="65DCA3BA" w14:textId="77777777" w:rsidR="00597FF6" w:rsidRPr="00597FF6" w:rsidRDefault="00597FF6" w:rsidP="00597FF6">
            <w:pPr>
              <w:rPr>
                <w:rFonts w:eastAsia="Arial" w:cs="Arial"/>
              </w:rPr>
            </w:pPr>
            <w:r w:rsidRPr="00597FF6">
              <w:rPr>
                <w:rFonts w:eastAsia="Arial" w:cs="Arial"/>
              </w:rPr>
              <w:t>T</w:t>
            </w:r>
            <w:r w:rsidRPr="00597FF6">
              <w:rPr>
                <w:rFonts w:eastAsia="Arial" w:cs="Arial"/>
                <w:color w:val="000000" w:themeColor="text1"/>
              </w:rPr>
              <w:t xml:space="preserve">raining is recommended to administer the ATOMIC. This is not yet publicly available. </w:t>
            </w:r>
          </w:p>
        </w:tc>
      </w:tr>
      <w:tr w:rsidR="00597FF6" w:rsidRPr="00597FF6" w14:paraId="1E27374F" w14:textId="77777777" w:rsidTr="001C6757">
        <w:trPr>
          <w:trHeight w:val="300"/>
        </w:trPr>
        <w:tc>
          <w:tcPr>
            <w:tcW w:w="1977" w:type="dxa"/>
            <w:tcBorders>
              <w:top w:val="single" w:sz="6" w:space="0" w:color="auto"/>
              <w:left w:val="single" w:sz="6" w:space="0" w:color="auto"/>
              <w:bottom w:val="single" w:sz="6" w:space="0" w:color="auto"/>
              <w:right w:val="single" w:sz="6" w:space="0" w:color="auto"/>
            </w:tcBorders>
            <w:hideMark/>
          </w:tcPr>
          <w:p w14:paraId="693C33B9" w14:textId="1D0E07E7" w:rsidR="00597FF6" w:rsidRPr="00040E27" w:rsidRDefault="00597FF6" w:rsidP="00597FF6">
            <w:pPr>
              <w:rPr>
                <w:rFonts w:cs="Arial"/>
                <w:b/>
                <w:bCs/>
              </w:rPr>
            </w:pPr>
            <w:r w:rsidRPr="00597FF6">
              <w:rPr>
                <w:rFonts w:cs="Arial"/>
                <w:b/>
                <w:bCs/>
              </w:rPr>
              <w:t>How to access</w:t>
            </w:r>
          </w:p>
        </w:tc>
        <w:tc>
          <w:tcPr>
            <w:tcW w:w="7075" w:type="dxa"/>
            <w:tcBorders>
              <w:top w:val="single" w:sz="6" w:space="0" w:color="auto"/>
              <w:left w:val="single" w:sz="6" w:space="0" w:color="auto"/>
              <w:bottom w:val="single" w:sz="6" w:space="0" w:color="auto"/>
              <w:right w:val="single" w:sz="6" w:space="0" w:color="auto"/>
            </w:tcBorders>
            <w:hideMark/>
          </w:tcPr>
          <w:p w14:paraId="45991E2B" w14:textId="77777777" w:rsidR="00597FF6" w:rsidRPr="00597FF6" w:rsidRDefault="00597FF6" w:rsidP="00597FF6">
            <w:pPr>
              <w:rPr>
                <w:rFonts w:eastAsia="Arial" w:cs="Arial"/>
                <w:color w:val="000000" w:themeColor="text1"/>
              </w:rPr>
            </w:pPr>
            <w:r w:rsidRPr="00597FF6">
              <w:rPr>
                <w:rFonts w:eastAsia="Arial" w:cs="Arial"/>
              </w:rPr>
              <w:t>Service providers</w:t>
            </w:r>
            <w:r w:rsidRPr="00597FF6">
              <w:rPr>
                <w:rFonts w:eastAsia="Arial" w:cs="Arial"/>
                <w:color w:val="000000" w:themeColor="text1"/>
              </w:rPr>
              <w:t xml:space="preserve"> may access ATOMIC through professional networks or research collaborations.</w:t>
            </w:r>
          </w:p>
        </w:tc>
      </w:tr>
    </w:tbl>
    <w:p w14:paraId="61818373" w14:textId="7545F2D4" w:rsidR="00E31F5D" w:rsidRDefault="00E31F5D" w:rsidP="00E31F5D">
      <w:bookmarkStart w:id="8" w:name="_ATOMIC_Evidence_Summary"/>
      <w:bookmarkEnd w:id="8"/>
    </w:p>
    <w:p w14:paraId="1781A7F4" w14:textId="77777777" w:rsidR="00E31F5D" w:rsidRDefault="00E31F5D">
      <w:r>
        <w:br w:type="page"/>
      </w:r>
    </w:p>
    <w:p w14:paraId="409CC3FF" w14:textId="77777777" w:rsidR="00597FF6" w:rsidRPr="00DC15B5" w:rsidRDefault="00597FF6" w:rsidP="0021669C">
      <w:pPr>
        <w:pStyle w:val="Heading1"/>
      </w:pPr>
      <w:bookmarkStart w:id="9" w:name="_ATOMIC_Evidence_Summary_2"/>
      <w:bookmarkStart w:id="10" w:name="_ATOMIC_Evidence_Summary_1"/>
      <w:bookmarkEnd w:id="9"/>
      <w:r w:rsidRPr="00DC15B5">
        <w:lastRenderedPageBreak/>
        <w:t>ATOMIC Evidence Summary</w:t>
      </w:r>
      <w:bookmarkEnd w:id="10"/>
    </w:p>
    <w:p w14:paraId="5917D2B8" w14:textId="4960C570" w:rsidR="00597FF6" w:rsidRPr="00597FF6" w:rsidRDefault="00597FF6" w:rsidP="00597FF6">
      <w:hyperlink w:anchor="_ATOMIC_Reference_List_1" w:history="1">
        <w:r w:rsidRPr="00DC15B5">
          <w:rPr>
            <w:rStyle w:val="Hyperlink"/>
            <w:rFonts w:eastAsia="Aptos" w:cs="Arial"/>
            <w:i/>
            <w:iCs/>
          </w:rPr>
          <w:t>Link to ATOMIC Reference List</w:t>
        </w:r>
      </w:hyperlink>
    </w:p>
    <w:tbl>
      <w:tblPr>
        <w:tblW w:w="5022" w:type="pct"/>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9"/>
        <w:gridCol w:w="7075"/>
      </w:tblGrid>
      <w:tr w:rsidR="00597FF6" w:rsidRPr="00597FF6" w14:paraId="6B316D17" w14:textId="77777777" w:rsidTr="008A3946">
        <w:trPr>
          <w:trHeight w:val="679"/>
        </w:trPr>
        <w:tc>
          <w:tcPr>
            <w:tcW w:w="1093" w:type="pct"/>
            <w:tcBorders>
              <w:top w:val="single" w:sz="6" w:space="0" w:color="auto"/>
              <w:left w:val="single" w:sz="6" w:space="0" w:color="auto"/>
              <w:bottom w:val="single" w:sz="6" w:space="0" w:color="auto"/>
              <w:right w:val="single" w:sz="6" w:space="0" w:color="auto"/>
            </w:tcBorders>
          </w:tcPr>
          <w:p w14:paraId="3353C9F3" w14:textId="6C96BF5A" w:rsidR="00597FF6" w:rsidRPr="001C6757" w:rsidRDefault="00597FF6" w:rsidP="00597FF6">
            <w:pPr>
              <w:spacing w:line="276" w:lineRule="auto"/>
              <w:rPr>
                <w:rFonts w:eastAsia="Aptos" w:cs="Arial"/>
                <w:b/>
                <w:bCs/>
              </w:rPr>
            </w:pPr>
            <w:r w:rsidRPr="00597FF6">
              <w:rPr>
                <w:rFonts w:eastAsia="Aptos" w:cs="Arial"/>
                <w:b/>
                <w:bCs/>
              </w:rPr>
              <w:t>Overview</w:t>
            </w:r>
          </w:p>
        </w:tc>
        <w:tc>
          <w:tcPr>
            <w:tcW w:w="3907" w:type="pct"/>
            <w:tcBorders>
              <w:top w:val="single" w:sz="6" w:space="0" w:color="auto"/>
              <w:left w:val="single" w:sz="6" w:space="0" w:color="auto"/>
              <w:bottom w:val="single" w:sz="6" w:space="0" w:color="auto"/>
              <w:right w:val="single" w:sz="6" w:space="0" w:color="auto"/>
            </w:tcBorders>
          </w:tcPr>
          <w:p w14:paraId="307748D2" w14:textId="77777777" w:rsidR="00597FF6" w:rsidRPr="00597FF6" w:rsidRDefault="00597FF6" w:rsidP="00597FF6">
            <w:pPr>
              <w:spacing w:line="276" w:lineRule="auto"/>
              <w:rPr>
                <w:rFonts w:eastAsia="Aptos" w:cs="Arial"/>
                <w:color w:val="000000" w:themeColor="text1"/>
              </w:rPr>
            </w:pPr>
            <w:r w:rsidRPr="00597FF6">
              <w:rPr>
                <w:rFonts w:eastAsia="Aptos" w:cs="Arial"/>
                <w:color w:val="000000" w:themeColor="text1"/>
              </w:rPr>
              <w:t>3 studies were identified that report on the measurement properties of the ATOMIC (2019-2024)</w:t>
            </w:r>
          </w:p>
        </w:tc>
      </w:tr>
      <w:tr w:rsidR="00597FF6" w:rsidRPr="00597FF6" w14:paraId="0CE2E2F7" w14:textId="77777777" w:rsidTr="008A3946">
        <w:trPr>
          <w:trHeight w:val="300"/>
        </w:trPr>
        <w:tc>
          <w:tcPr>
            <w:tcW w:w="1093" w:type="pct"/>
            <w:tcBorders>
              <w:top w:val="single" w:sz="6" w:space="0" w:color="auto"/>
              <w:left w:val="single" w:sz="6" w:space="0" w:color="auto"/>
              <w:bottom w:val="single" w:sz="6" w:space="0" w:color="auto"/>
              <w:right w:val="single" w:sz="6" w:space="0" w:color="auto"/>
            </w:tcBorders>
          </w:tcPr>
          <w:p w14:paraId="6232EC29" w14:textId="77777777" w:rsidR="00597FF6" w:rsidRPr="00597FF6" w:rsidRDefault="00597FF6" w:rsidP="00597FF6">
            <w:pPr>
              <w:spacing w:line="276" w:lineRule="auto"/>
              <w:rPr>
                <w:rFonts w:eastAsia="Aptos" w:cs="Arial"/>
                <w:b/>
                <w:bCs/>
              </w:rPr>
            </w:pPr>
            <w:r w:rsidRPr="00597FF6">
              <w:rPr>
                <w:rFonts w:eastAsia="Aptos" w:cs="Arial"/>
                <w:b/>
                <w:bCs/>
              </w:rPr>
              <w:t>Review papers</w:t>
            </w:r>
          </w:p>
        </w:tc>
        <w:tc>
          <w:tcPr>
            <w:tcW w:w="3907" w:type="pct"/>
            <w:tcBorders>
              <w:top w:val="single" w:sz="6" w:space="0" w:color="auto"/>
              <w:left w:val="single" w:sz="6" w:space="0" w:color="auto"/>
              <w:bottom w:val="single" w:sz="6" w:space="0" w:color="auto"/>
              <w:right w:val="single" w:sz="6" w:space="0" w:color="auto"/>
            </w:tcBorders>
          </w:tcPr>
          <w:p w14:paraId="569AD4CF" w14:textId="77777777" w:rsidR="00597FF6" w:rsidRPr="00597FF6" w:rsidRDefault="00597FF6" w:rsidP="00597FF6">
            <w:pPr>
              <w:spacing w:after="0" w:line="276" w:lineRule="auto"/>
              <w:rPr>
                <w:rFonts w:eastAsia="Aptos" w:cs="Arial"/>
                <w:i/>
                <w:iCs/>
                <w:color w:val="000000" w:themeColor="text1"/>
              </w:rPr>
            </w:pPr>
            <w:r w:rsidRPr="00597FF6">
              <w:rPr>
                <w:rFonts w:eastAsia="Aptos" w:cs="Arial"/>
                <w:i/>
                <w:iCs/>
                <w:color w:val="000000" w:themeColor="text1"/>
              </w:rPr>
              <w:t>No references identified</w:t>
            </w:r>
          </w:p>
        </w:tc>
      </w:tr>
      <w:tr w:rsidR="00597FF6" w:rsidRPr="00597FF6" w14:paraId="3E87D87E" w14:textId="77777777" w:rsidTr="008A3946">
        <w:trPr>
          <w:trHeight w:val="300"/>
        </w:trPr>
        <w:tc>
          <w:tcPr>
            <w:tcW w:w="1093" w:type="pct"/>
            <w:tcBorders>
              <w:top w:val="single" w:sz="6" w:space="0" w:color="auto"/>
              <w:left w:val="single" w:sz="6" w:space="0" w:color="auto"/>
              <w:bottom w:val="single" w:sz="6" w:space="0" w:color="auto"/>
              <w:right w:val="single" w:sz="6" w:space="0" w:color="auto"/>
            </w:tcBorders>
          </w:tcPr>
          <w:p w14:paraId="7729E86E" w14:textId="77777777" w:rsidR="00597FF6" w:rsidRPr="00597FF6" w:rsidRDefault="00597FF6" w:rsidP="00597FF6">
            <w:pPr>
              <w:spacing w:line="276" w:lineRule="auto"/>
              <w:rPr>
                <w:rFonts w:eastAsia="Aptos" w:cs="Arial"/>
                <w:b/>
                <w:bCs/>
              </w:rPr>
            </w:pPr>
            <w:r w:rsidRPr="00597FF6">
              <w:rPr>
                <w:rFonts w:eastAsia="Aptos" w:cs="Arial"/>
                <w:b/>
                <w:bCs/>
              </w:rPr>
              <w:t>Measurement properties</w:t>
            </w:r>
          </w:p>
        </w:tc>
        <w:tc>
          <w:tcPr>
            <w:tcW w:w="3907" w:type="pct"/>
            <w:tcBorders>
              <w:top w:val="single" w:sz="6" w:space="0" w:color="auto"/>
              <w:left w:val="single" w:sz="6" w:space="0" w:color="auto"/>
              <w:bottom w:val="single" w:sz="6" w:space="0" w:color="auto"/>
              <w:right w:val="single" w:sz="6" w:space="0" w:color="auto"/>
            </w:tcBorders>
          </w:tcPr>
          <w:p w14:paraId="6DED2A97" w14:textId="2438AA66" w:rsidR="00597FF6" w:rsidRPr="00597FF6" w:rsidRDefault="00597FF6" w:rsidP="00BB710D">
            <w:r w:rsidRPr="00597FF6">
              <w:t>The ATOMIC was developed through an action research process for evaluating therapy outcomes for urban Aboriginal and Torres Strait Islander children (2019). Initial testing explored interrater reliability with Aboriginal and Torres Strait Islander children aged 2-16 years attending interprofessional therapy sessions. Further development refined the tool to a second version with improved clinical utility for interprofessional Aboriginal and Torres Strait Islander health services, focusing on goal-setting flexibility and responsiveness (2021). Testing with Aboriginal and Torres Strait Islander adults attending an urban health service examined the tool's responsiveness to change and clinical utility (2024). The pilot research indicates the ATOMIC is useful, reliable and responsive to change in children’s outcomes.</w:t>
            </w:r>
          </w:p>
        </w:tc>
      </w:tr>
    </w:tbl>
    <w:p w14:paraId="44E76F77" w14:textId="1FED89CC" w:rsidR="00E11626" w:rsidRDefault="00E11626" w:rsidP="00BB710D">
      <w:r w:rsidRPr="00E11626">
        <w:t xml:space="preserve">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w:t>
      </w:r>
      <w:r w:rsidRPr="003647C4">
        <w:t>Methods Explainer</w:t>
      </w:r>
      <w:r w:rsidRPr="00E11626">
        <w:t>.</w:t>
      </w:r>
    </w:p>
    <w:p w14:paraId="6C958292" w14:textId="6268F647" w:rsidR="003823BE" w:rsidRDefault="003823BE">
      <w:r>
        <w:br w:type="page"/>
      </w:r>
    </w:p>
    <w:p w14:paraId="4C8FC78D" w14:textId="77777777" w:rsidR="00B82C56" w:rsidRPr="00B82C56" w:rsidRDefault="00B82C56" w:rsidP="0021669C">
      <w:pPr>
        <w:pStyle w:val="Heading1"/>
        <w:rPr>
          <w:lang w:eastAsia="en-US"/>
        </w:rPr>
      </w:pPr>
      <w:bookmarkStart w:id="11" w:name="_ATOMIC_Reference_List_1"/>
      <w:bookmarkStart w:id="12" w:name="_ATOMIC_Reference_List"/>
      <w:bookmarkEnd w:id="11"/>
      <w:r w:rsidRPr="12E105C5">
        <w:rPr>
          <w:lang w:eastAsia="en-US"/>
        </w:rPr>
        <w:lastRenderedPageBreak/>
        <w:t>ATOMIC Reference List</w:t>
      </w:r>
      <w:bookmarkEnd w:id="12"/>
    </w:p>
    <w:p w14:paraId="42E75B7E" w14:textId="3D29F8F7" w:rsidR="00B82C56" w:rsidRPr="00DC15B5" w:rsidRDefault="00DC15B5" w:rsidP="12E105C5">
      <w:pPr>
        <w:rPr>
          <w:rStyle w:val="Hyperlink"/>
          <w:rFonts w:eastAsia="Aptos" w:cs="Arial"/>
          <w:i/>
          <w:iCs/>
        </w:rPr>
      </w:pPr>
      <w:r>
        <w:rPr>
          <w:rFonts w:eastAsia="Aptos" w:cs="Arial"/>
          <w:i/>
          <w:iCs/>
        </w:rPr>
        <w:fldChar w:fldCharType="begin"/>
      </w:r>
      <w:r>
        <w:rPr>
          <w:rFonts w:eastAsia="Aptos" w:cs="Arial"/>
          <w:i/>
          <w:iCs/>
        </w:rPr>
        <w:instrText>HYPERLINK  \l "_ATOMIC_Evidence_Summary_2"</w:instrText>
      </w:r>
      <w:r>
        <w:rPr>
          <w:rFonts w:eastAsia="Aptos" w:cs="Arial"/>
          <w:i/>
          <w:iCs/>
        </w:rPr>
      </w:r>
      <w:r>
        <w:rPr>
          <w:rFonts w:eastAsia="Aptos" w:cs="Arial"/>
          <w:i/>
          <w:iCs/>
        </w:rPr>
        <w:fldChar w:fldCharType="separate"/>
      </w:r>
      <w:r w:rsidR="00B82C56" w:rsidRPr="00DC15B5">
        <w:rPr>
          <w:rStyle w:val="Hyperlink"/>
          <w:rFonts w:eastAsia="Aptos" w:cs="Arial"/>
          <w:i/>
          <w:iCs/>
        </w:rPr>
        <w:t>Link to ATOMIC Evidence Summary</w:t>
      </w:r>
    </w:p>
    <w:p w14:paraId="40ADC07F" w14:textId="447F37A2" w:rsidR="00B82C56" w:rsidRPr="00B82C56" w:rsidRDefault="00DC15B5" w:rsidP="0021669C">
      <w:pPr>
        <w:pStyle w:val="Heading2"/>
        <w:rPr>
          <w:rFonts w:asciiTheme="majorHAnsi" w:hAnsiTheme="majorHAnsi" w:cstheme="majorBidi"/>
          <w:i/>
          <w:iCs/>
          <w:color w:val="0F4761" w:themeColor="accent1" w:themeShade="BF"/>
        </w:rPr>
      </w:pPr>
      <w:r>
        <w:rPr>
          <w:rFonts w:eastAsia="Aptos"/>
          <w:b/>
          <w:i/>
          <w:iCs/>
          <w:color w:val="auto"/>
        </w:rPr>
        <w:fldChar w:fldCharType="end"/>
      </w:r>
      <w:r w:rsidR="00B82C56">
        <w:t>Reviews</w:t>
      </w:r>
    </w:p>
    <w:p w14:paraId="64BEAC2A" w14:textId="77777777" w:rsidR="00B82C56" w:rsidRPr="00B82C56" w:rsidRDefault="00B82C56" w:rsidP="00B82C56">
      <w:pPr>
        <w:pBdr>
          <w:top w:val="none" w:sz="0" w:space="0" w:color="000000"/>
          <w:left w:val="none" w:sz="0" w:space="0" w:color="000000"/>
          <w:bottom w:val="none" w:sz="0" w:space="1" w:color="000000"/>
          <w:right w:val="none" w:sz="0" w:space="0" w:color="000000"/>
        </w:pBdr>
      </w:pPr>
      <w:r w:rsidRPr="00B82C56">
        <w:rPr>
          <w:rFonts w:eastAsia="Arial" w:cs="Arial"/>
          <w:i/>
          <w:color w:val="000000"/>
        </w:rPr>
        <w:t>No references identified</w:t>
      </w:r>
    </w:p>
    <w:p w14:paraId="01DFB3E8" w14:textId="77777777" w:rsidR="00B82C56" w:rsidRPr="00B82C56" w:rsidRDefault="00B82C56" w:rsidP="0021669C">
      <w:pPr>
        <w:pStyle w:val="Heading2"/>
        <w:rPr>
          <w:rFonts w:asciiTheme="majorHAnsi" w:hAnsiTheme="majorHAnsi" w:cstheme="majorBidi"/>
          <w:i/>
          <w:iCs/>
          <w:color w:val="0F4761" w:themeColor="accent1" w:themeShade="BF"/>
        </w:rPr>
      </w:pPr>
      <w:r>
        <w:t>Measurement Properties</w:t>
      </w:r>
    </w:p>
    <w:p w14:paraId="7E058D4A" w14:textId="77777777" w:rsidR="00B82C56" w:rsidRPr="00B82C56" w:rsidRDefault="00B82C56" w:rsidP="00B82C56">
      <w:pPr>
        <w:pBdr>
          <w:top w:val="none" w:sz="0" w:space="0" w:color="000000"/>
          <w:left w:val="none" w:sz="0" w:space="0" w:color="000000"/>
          <w:bottom w:val="none" w:sz="0" w:space="1" w:color="000000"/>
          <w:right w:val="none" w:sz="0" w:space="0" w:color="000000"/>
        </w:pBdr>
      </w:pPr>
      <w:r w:rsidRPr="00B82C56">
        <w:rPr>
          <w:rFonts w:eastAsia="Arial" w:cs="Arial"/>
          <w:color w:val="000000"/>
        </w:rPr>
        <w:t xml:space="preserve">Sheahan N, Harrington R, Nelson A, Sheppard L, Potgieter A, Bartlett A, White R, Brown R. (2025). The responsiveness and clinical utility of the Australian therapy outcome measure for indigenous clients. </w:t>
      </w:r>
      <w:r w:rsidRPr="00B82C56">
        <w:rPr>
          <w:rFonts w:eastAsia="Arial" w:cs="Arial"/>
          <w:i/>
          <w:color w:val="000000"/>
        </w:rPr>
        <w:t xml:space="preserve">Aust </w:t>
      </w:r>
      <w:proofErr w:type="spellStart"/>
      <w:r w:rsidRPr="00B82C56">
        <w:rPr>
          <w:rFonts w:eastAsia="Arial" w:cs="Arial"/>
          <w:i/>
          <w:color w:val="000000"/>
        </w:rPr>
        <w:t>Occup</w:t>
      </w:r>
      <w:proofErr w:type="spellEnd"/>
      <w:r w:rsidRPr="00B82C56">
        <w:rPr>
          <w:rFonts w:eastAsia="Arial" w:cs="Arial"/>
          <w:i/>
          <w:color w:val="000000"/>
        </w:rPr>
        <w:t xml:space="preserve"> Ther J</w:t>
      </w:r>
      <w:r w:rsidRPr="00B82C56">
        <w:rPr>
          <w:rFonts w:eastAsia="Arial" w:cs="Arial"/>
          <w:color w:val="000000"/>
        </w:rPr>
        <w:t>, 72(2</w:t>
      </w:r>
      <w:proofErr w:type="gramStart"/>
      <w:r w:rsidRPr="00B82C56">
        <w:rPr>
          <w:rFonts w:eastAsia="Arial" w:cs="Arial"/>
          <w:color w:val="000000"/>
        </w:rPr>
        <w:t>):e</w:t>
      </w:r>
      <w:proofErr w:type="gramEnd"/>
      <w:r w:rsidRPr="00B82C56">
        <w:rPr>
          <w:rFonts w:eastAsia="Arial" w:cs="Arial"/>
          <w:color w:val="000000"/>
        </w:rPr>
        <w:t>13001.</w:t>
      </w:r>
      <w:r w:rsidRPr="00B82C56">
        <w:rPr>
          <w:rFonts w:eastAsia="Arial" w:cs="Arial"/>
          <w:color w:val="0000FF"/>
          <w:u w:val="single"/>
        </w:rPr>
        <w:t xml:space="preserve"> https://doi.org/10.1111/1440-1630.13001</w:t>
      </w:r>
    </w:p>
    <w:p w14:paraId="360A5110" w14:textId="77777777" w:rsidR="00B82C56" w:rsidRPr="00B82C56" w:rsidRDefault="00B82C56" w:rsidP="00B82C56">
      <w:pPr>
        <w:pBdr>
          <w:top w:val="none" w:sz="0" w:space="0" w:color="000000"/>
          <w:left w:val="none" w:sz="0" w:space="0" w:color="000000"/>
          <w:bottom w:val="none" w:sz="0" w:space="1" w:color="000000"/>
          <w:right w:val="none" w:sz="0" w:space="0" w:color="000000"/>
        </w:pBdr>
      </w:pPr>
      <w:r w:rsidRPr="00B82C56">
        <w:rPr>
          <w:rFonts w:eastAsia="Arial" w:cs="Arial"/>
          <w:color w:val="000000"/>
        </w:rPr>
        <w:t xml:space="preserve">Copley JA, Nelson A, Hill AE, Castan C, McLaren CF, Brodrick J, Quinlan T, White R. (2021). Reflecting on culturally responsive goal achievement with indigenous clients using the Australian Therapy Outcome Measure for Indigenous Clients (ATOMIC). </w:t>
      </w:r>
      <w:r w:rsidRPr="00B82C56">
        <w:rPr>
          <w:rFonts w:eastAsia="Arial" w:cs="Arial"/>
          <w:i/>
          <w:color w:val="000000"/>
        </w:rPr>
        <w:t xml:space="preserve">Aust </w:t>
      </w:r>
      <w:proofErr w:type="spellStart"/>
      <w:r w:rsidRPr="00B82C56">
        <w:rPr>
          <w:rFonts w:eastAsia="Arial" w:cs="Arial"/>
          <w:i/>
          <w:color w:val="000000"/>
        </w:rPr>
        <w:t>Occup</w:t>
      </w:r>
      <w:proofErr w:type="spellEnd"/>
      <w:r w:rsidRPr="00B82C56">
        <w:rPr>
          <w:rFonts w:eastAsia="Arial" w:cs="Arial"/>
          <w:i/>
          <w:color w:val="000000"/>
        </w:rPr>
        <w:t xml:space="preserve"> Ther J</w:t>
      </w:r>
      <w:r w:rsidRPr="00B82C56">
        <w:rPr>
          <w:rFonts w:eastAsia="Arial" w:cs="Arial"/>
          <w:color w:val="000000"/>
        </w:rPr>
        <w:t>, 68(5):384-394.</w:t>
      </w:r>
      <w:r w:rsidRPr="00B82C56">
        <w:rPr>
          <w:rFonts w:eastAsia="Arial" w:cs="Arial"/>
          <w:color w:val="0000FF"/>
          <w:u w:val="single"/>
        </w:rPr>
        <w:t xml:space="preserve"> https://doi.org/10.1111/1440-1630.12735</w:t>
      </w:r>
    </w:p>
    <w:p w14:paraId="44D4A310" w14:textId="1091DE11" w:rsidR="00B82C56" w:rsidRPr="00B82C56" w:rsidRDefault="00B82C56" w:rsidP="00B82C56">
      <w:pPr>
        <w:pBdr>
          <w:top w:val="none" w:sz="0" w:space="0" w:color="000000"/>
          <w:left w:val="none" w:sz="0" w:space="0" w:color="000000"/>
          <w:bottom w:val="none" w:sz="0" w:space="1" w:color="000000"/>
          <w:right w:val="none" w:sz="0" w:space="0" w:color="000000"/>
        </w:pBdr>
      </w:pPr>
      <w:r w:rsidRPr="00B82C56">
        <w:rPr>
          <w:rFonts w:eastAsia="Arial" w:cs="Arial"/>
          <w:color w:val="000000"/>
        </w:rPr>
        <w:t xml:space="preserve">Hill AE, Nelson A, Copley JA, Quinlan T, McLaren CF, White R, Castan C, Brodrick J. (2020). Real gains: development of a tool to measure outcomes for urban First Australian children accessing culturally responsive interprofessional therapy. </w:t>
      </w:r>
      <w:r w:rsidRPr="00B82C56">
        <w:rPr>
          <w:rFonts w:eastAsia="Arial" w:cs="Arial"/>
          <w:i/>
          <w:color w:val="000000"/>
        </w:rPr>
        <w:t xml:space="preserve">J </w:t>
      </w:r>
      <w:proofErr w:type="spellStart"/>
      <w:r w:rsidRPr="00B82C56">
        <w:rPr>
          <w:rFonts w:eastAsia="Arial" w:cs="Arial"/>
          <w:i/>
          <w:color w:val="000000"/>
        </w:rPr>
        <w:t>Interprof</w:t>
      </w:r>
      <w:proofErr w:type="spellEnd"/>
      <w:r w:rsidRPr="00B82C56">
        <w:rPr>
          <w:rFonts w:eastAsia="Arial" w:cs="Arial"/>
          <w:i/>
          <w:color w:val="000000"/>
        </w:rPr>
        <w:t xml:space="preserve"> Care</w:t>
      </w:r>
      <w:r w:rsidRPr="00B82C56">
        <w:rPr>
          <w:rFonts w:eastAsia="Arial" w:cs="Arial"/>
          <w:color w:val="000000"/>
        </w:rPr>
        <w:t xml:space="preserve">, </w:t>
      </w:r>
      <w:r w:rsidR="00A043FC">
        <w:rPr>
          <w:rFonts w:eastAsia="Arial" w:cs="Arial"/>
          <w:color w:val="000000"/>
        </w:rPr>
        <w:t>1-8</w:t>
      </w:r>
      <w:r w:rsidRPr="00B82C56">
        <w:rPr>
          <w:rFonts w:eastAsia="Arial" w:cs="Arial"/>
          <w:color w:val="000000"/>
        </w:rPr>
        <w:t>.</w:t>
      </w:r>
      <w:r w:rsidRPr="00B82C56">
        <w:rPr>
          <w:rFonts w:eastAsia="Arial" w:cs="Arial"/>
          <w:color w:val="0000FF"/>
          <w:u w:val="single"/>
        </w:rPr>
        <w:t xml:space="preserve"> https://doi.org/10.1080/13561820.2020.1801611</w:t>
      </w:r>
    </w:p>
    <w:p w14:paraId="2C8064E5" w14:textId="77777777" w:rsidR="00B82C56" w:rsidRPr="00B82C56" w:rsidRDefault="00B82C56" w:rsidP="0021669C">
      <w:pPr>
        <w:pStyle w:val="Heading2"/>
        <w:rPr>
          <w:rFonts w:asciiTheme="majorHAnsi" w:hAnsiTheme="majorHAnsi" w:cstheme="majorBidi"/>
          <w:i/>
          <w:iCs/>
          <w:color w:val="0F4761" w:themeColor="accent1" w:themeShade="BF"/>
        </w:rPr>
      </w:pPr>
      <w:r>
        <w:t>Cultural Adaptations</w:t>
      </w:r>
    </w:p>
    <w:p w14:paraId="54AB74FD" w14:textId="77777777" w:rsidR="00B82C56" w:rsidRPr="00B82C56" w:rsidRDefault="00B82C56" w:rsidP="00B82C56">
      <w:pPr>
        <w:pBdr>
          <w:top w:val="none" w:sz="0" w:space="0" w:color="000000"/>
          <w:left w:val="none" w:sz="0" w:space="0" w:color="000000"/>
          <w:bottom w:val="none" w:sz="0" w:space="1" w:color="000000"/>
          <w:right w:val="none" w:sz="0" w:space="0" w:color="000000"/>
        </w:pBdr>
      </w:pPr>
      <w:r w:rsidRPr="00B82C56">
        <w:rPr>
          <w:rFonts w:eastAsia="Arial" w:cs="Arial"/>
          <w:i/>
          <w:color w:val="000000"/>
        </w:rPr>
        <w:t>No references identified</w:t>
      </w:r>
    </w:p>
    <w:p w14:paraId="50B3F8E8" w14:textId="77777777" w:rsidR="00B82C56" w:rsidRPr="00B82C56" w:rsidRDefault="00B82C56" w:rsidP="0021669C">
      <w:pPr>
        <w:pStyle w:val="Heading2"/>
        <w:rPr>
          <w:rFonts w:asciiTheme="majorHAnsi" w:hAnsiTheme="majorHAnsi" w:cstheme="majorBidi"/>
          <w:i/>
          <w:iCs/>
          <w:color w:val="0F4761" w:themeColor="accent1" w:themeShade="BF"/>
        </w:rPr>
      </w:pPr>
      <w:r>
        <w:t>Outcome Studies</w:t>
      </w:r>
    </w:p>
    <w:p w14:paraId="2360C4CF" w14:textId="77777777" w:rsidR="00B82C56" w:rsidRPr="00B82C56" w:rsidRDefault="00B82C56" w:rsidP="00B82C56">
      <w:pPr>
        <w:pBdr>
          <w:top w:val="none" w:sz="0" w:space="0" w:color="000000"/>
          <w:left w:val="none" w:sz="0" w:space="0" w:color="000000"/>
          <w:bottom w:val="none" w:sz="0" w:space="1" w:color="000000"/>
          <w:right w:val="none" w:sz="0" w:space="0" w:color="000000"/>
        </w:pBdr>
      </w:pPr>
      <w:r w:rsidRPr="00B82C56">
        <w:rPr>
          <w:rFonts w:eastAsia="Arial" w:cs="Arial"/>
          <w:i/>
          <w:color w:val="000000"/>
        </w:rPr>
        <w:t>No references identified</w:t>
      </w:r>
    </w:p>
    <w:p w14:paraId="42F5E0F6" w14:textId="77777777" w:rsidR="00D57571" w:rsidRDefault="00021DDB" w:rsidP="00C20BBF">
      <w:pPr>
        <w:rPr>
          <w:rFonts w:ascii="Canva Sans" w:eastAsia="Canva Sans" w:hAnsi="Canva Sans" w:cs="Canva Sans"/>
          <w:color w:val="000000" w:themeColor="text1"/>
        </w:rPr>
        <w:sectPr w:rsidR="00D57571" w:rsidSect="00F94BB1">
          <w:pgSz w:w="11910" w:h="16845"/>
          <w:pgMar w:top="1440" w:right="1440" w:bottom="1440" w:left="1440" w:header="720" w:footer="720" w:gutter="0"/>
          <w:cols w:space="720"/>
          <w:docGrid w:linePitch="326"/>
        </w:sectPr>
      </w:pPr>
      <w:r w:rsidRPr="72227565">
        <w:rPr>
          <w:rFonts w:ascii="Canva Sans" w:eastAsia="Canva Sans" w:hAnsi="Canva Sans" w:cs="Canva Sans"/>
          <w:color w:val="000000" w:themeColor="text1"/>
        </w:rPr>
        <w:br w:type="page"/>
      </w:r>
    </w:p>
    <w:p w14:paraId="6C8E3161" w14:textId="3C00E4A2" w:rsidR="00FD7BE8" w:rsidRDefault="00FD7BE8">
      <w:pPr>
        <w:jc w:val="center"/>
      </w:pPr>
      <w:r>
        <w:rPr>
          <w:noProof/>
        </w:rPr>
        <w:lastRenderedPageBreak/>
        <w:drawing>
          <wp:anchor distT="0" distB="0" distL="114300" distR="114300" simplePos="0" relativeHeight="251658271" behindDoc="0" locked="1" layoutInCell="1" allowOverlap="1" wp14:anchorId="6F4E6A42" wp14:editId="2E4F6402">
            <wp:simplePos x="0" y="0"/>
            <wp:positionH relativeFrom="page">
              <wp:posOffset>0</wp:posOffset>
            </wp:positionH>
            <wp:positionV relativeFrom="page">
              <wp:posOffset>2559685</wp:posOffset>
            </wp:positionV>
            <wp:extent cx="7563485" cy="935990"/>
            <wp:effectExtent l="0" t="0" r="5715" b="3810"/>
            <wp:wrapNone/>
            <wp:docPr id="1668305272"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2" behindDoc="1" locked="1" layoutInCell="1" allowOverlap="1" wp14:anchorId="36BC6849" wp14:editId="74F97DE6">
            <wp:simplePos x="0" y="0"/>
            <wp:positionH relativeFrom="page">
              <wp:posOffset>0</wp:posOffset>
            </wp:positionH>
            <wp:positionV relativeFrom="page">
              <wp:posOffset>0</wp:posOffset>
            </wp:positionV>
            <wp:extent cx="7563485" cy="2267585"/>
            <wp:effectExtent l="0" t="0" r="5715" b="5715"/>
            <wp:wrapNone/>
            <wp:docPr id="1815888130"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260955FE" w14:textId="77777777" w:rsidR="00FD7BE8" w:rsidRDefault="00FD7BE8">
      <w:pPr>
        <w:jc w:val="center"/>
      </w:pPr>
    </w:p>
    <w:p w14:paraId="4F34BF93" w14:textId="77777777" w:rsidR="00FD7BE8" w:rsidRDefault="00FD7BE8">
      <w:pPr>
        <w:tabs>
          <w:tab w:val="left" w:pos="5465"/>
        </w:tabs>
        <w:spacing w:line="300" w:lineRule="auto"/>
      </w:pPr>
      <w:r>
        <w:rPr>
          <w:rFonts w:ascii="Arial Bold" w:eastAsia="Arial Bold" w:hAnsi="Arial Bold" w:cs="Arial Bold"/>
          <w:b/>
          <w:bCs/>
          <w:color w:val="000F46"/>
          <w:sz w:val="40"/>
          <w:szCs w:val="40"/>
        </w:rPr>
        <w:t xml:space="preserve"> </w:t>
      </w:r>
      <w:r>
        <w:rPr>
          <w:rFonts w:ascii="Arial Bold" w:eastAsia="Arial Bold" w:hAnsi="Arial Bold" w:cs="Arial Bold"/>
          <w:b/>
          <w:bCs/>
          <w:color w:val="000F46"/>
          <w:sz w:val="40"/>
          <w:szCs w:val="40"/>
        </w:rPr>
        <w:tab/>
      </w:r>
    </w:p>
    <w:p w14:paraId="35A63D20" w14:textId="77777777" w:rsidR="00FD7BE8" w:rsidRDefault="00FD7BE8">
      <w:pPr>
        <w:spacing w:line="300" w:lineRule="auto"/>
      </w:pPr>
      <w:r>
        <w:rPr>
          <w:rFonts w:ascii="Canva Sans" w:eastAsia="Canva Sans" w:hAnsi="Canva Sans" w:cs="Canva Sans"/>
          <w:color w:val="000000"/>
        </w:rPr>
        <w:t xml:space="preserve"> </w:t>
      </w:r>
    </w:p>
    <w:p w14:paraId="4583BC7B" w14:textId="77777777" w:rsidR="00FD7BE8" w:rsidRDefault="00FD7BE8">
      <w:pPr>
        <w:spacing w:line="300" w:lineRule="auto"/>
        <w:rPr>
          <w:rFonts w:eastAsia="Canva Sans" w:cs="Arial"/>
          <w:b/>
          <w:bCs/>
          <w:color w:val="000000"/>
          <w:sz w:val="36"/>
          <w:szCs w:val="36"/>
        </w:rPr>
      </w:pPr>
    </w:p>
    <w:p w14:paraId="69E29BF0" w14:textId="77777777" w:rsidR="00FD7BE8" w:rsidRDefault="00FD7BE8">
      <w:pPr>
        <w:spacing w:line="300" w:lineRule="auto"/>
        <w:rPr>
          <w:rFonts w:eastAsia="Canva Sans" w:cs="Arial"/>
          <w:b/>
          <w:bCs/>
          <w:color w:val="000000"/>
          <w:sz w:val="36"/>
          <w:szCs w:val="36"/>
        </w:rPr>
      </w:pPr>
      <w:r>
        <w:rPr>
          <w:noProof/>
        </w:rPr>
        <mc:AlternateContent>
          <mc:Choice Requires="wps">
            <w:drawing>
              <wp:anchor distT="0" distB="0" distL="114300" distR="114300" simplePos="0" relativeHeight="251658273" behindDoc="0" locked="0" layoutInCell="1" allowOverlap="1" wp14:anchorId="225FE867" wp14:editId="6860E2CD">
                <wp:simplePos x="0" y="0"/>
                <wp:positionH relativeFrom="column">
                  <wp:posOffset>74295</wp:posOffset>
                </wp:positionH>
                <wp:positionV relativeFrom="paragraph">
                  <wp:posOffset>230134</wp:posOffset>
                </wp:positionV>
                <wp:extent cx="6470650" cy="675249"/>
                <wp:effectExtent l="0" t="0" r="0" b="0"/>
                <wp:wrapNone/>
                <wp:docPr id="421727729" name="Text Box 1"/>
                <wp:cNvGraphicFramePr/>
                <a:graphic xmlns:a="http://schemas.openxmlformats.org/drawingml/2006/main">
                  <a:graphicData uri="http://schemas.microsoft.com/office/word/2010/wordprocessingShape">
                    <wps:wsp>
                      <wps:cNvSpPr txBox="1"/>
                      <wps:spPr>
                        <a:xfrm>
                          <a:off x="0" y="0"/>
                          <a:ext cx="6470650" cy="675249"/>
                        </a:xfrm>
                        <a:prstGeom prst="rect">
                          <a:avLst/>
                        </a:prstGeom>
                        <a:noFill/>
                        <a:ln w="6350">
                          <a:noFill/>
                        </a:ln>
                      </wps:spPr>
                      <wps:txbx>
                        <w:txbxContent>
                          <w:p w14:paraId="568BEF43" w14:textId="77777777" w:rsidR="00FD7BE8" w:rsidRPr="00B73670" w:rsidRDefault="00FD7BE8">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5166B72E" w14:textId="77777777" w:rsidR="00FD7BE8" w:rsidRPr="00DA3237" w:rsidRDefault="00FD7BE8">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FE867" id="_x0000_s1029" type="#_x0000_t202" style="position:absolute;margin-left:5.85pt;margin-top:18.1pt;width:509.5pt;height:53.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" filled="f" stroked="f" strokeweight=".5pt">
                <v:textbox>
                  <w:txbxContent>
                    <w:p w14:paraId="568BEF43" w14:textId="77777777" w:rsidR="00FD7BE8" w:rsidRPr="00B73670" w:rsidRDefault="00FD7BE8">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5166B72E" w14:textId="77777777" w:rsidR="00FD7BE8" w:rsidRPr="00DA3237" w:rsidRDefault="00FD7BE8">
                      <w:pPr>
                        <w:rPr>
                          <w:rFonts w:cs="Arial"/>
                        </w:rPr>
                      </w:pPr>
                    </w:p>
                  </w:txbxContent>
                </v:textbox>
              </v:shape>
            </w:pict>
          </mc:Fallback>
        </mc:AlternateContent>
      </w:r>
    </w:p>
    <w:p w14:paraId="35853D8D" w14:textId="77777777" w:rsidR="00FD7BE8" w:rsidRDefault="00FD7BE8">
      <w:pPr>
        <w:spacing w:line="300" w:lineRule="auto"/>
        <w:rPr>
          <w:rFonts w:eastAsia="Canva Sans" w:cs="Arial"/>
          <w:b/>
          <w:bCs/>
          <w:color w:val="000000"/>
          <w:sz w:val="36"/>
          <w:szCs w:val="36"/>
        </w:rPr>
      </w:pPr>
    </w:p>
    <w:p w14:paraId="53970B42" w14:textId="77777777" w:rsidR="00FD7BE8" w:rsidRDefault="00FD7BE8" w:rsidP="00691628"/>
    <w:p w14:paraId="0491D447" w14:textId="77777777" w:rsidR="00152559" w:rsidRDefault="00152559" w:rsidP="0021669C">
      <w:pPr>
        <w:pStyle w:val="Heading1"/>
      </w:pPr>
      <w:bookmarkStart w:id="13" w:name="_Canadian_Occupational_Performance"/>
      <w:bookmarkEnd w:id="13"/>
      <w:r>
        <w:t>Canadian Occupational Performance Measure (COPM)</w:t>
      </w:r>
    </w:p>
    <w:tbl>
      <w:tblPr>
        <w:tblW w:w="901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2119"/>
        <w:gridCol w:w="6891"/>
      </w:tblGrid>
      <w:tr w:rsidR="00152559" w:rsidRPr="00C040BF" w14:paraId="2CDCA5B5" w14:textId="77777777">
        <w:trPr>
          <w:trHeight w:val="300"/>
        </w:trPr>
        <w:tc>
          <w:tcPr>
            <w:tcW w:w="2119" w:type="dxa"/>
            <w:tcBorders>
              <w:top w:val="single" w:sz="6" w:space="0" w:color="auto"/>
              <w:left w:val="single" w:sz="6" w:space="0" w:color="auto"/>
              <w:bottom w:val="single" w:sz="6" w:space="0" w:color="auto"/>
              <w:right w:val="single" w:sz="6" w:space="0" w:color="auto"/>
            </w:tcBorders>
            <w:hideMark/>
          </w:tcPr>
          <w:p w14:paraId="69895E90" w14:textId="77777777" w:rsidR="00152559" w:rsidRPr="00C040BF" w:rsidRDefault="00152559">
            <w:pPr>
              <w:spacing w:after="100"/>
              <w:ind w:left="57" w:right="57"/>
              <w:rPr>
                <w:rFonts w:cs="Arial"/>
                <w:b/>
                <w:bCs/>
              </w:rPr>
            </w:pPr>
            <w:r w:rsidRPr="6E7C5994">
              <w:rPr>
                <w:rFonts w:cs="Arial"/>
                <w:b/>
                <w:bCs/>
              </w:rPr>
              <w:t>Framework Outcomes Statement(s) </w:t>
            </w:r>
          </w:p>
        </w:tc>
        <w:tc>
          <w:tcPr>
            <w:tcW w:w="6891" w:type="dxa"/>
            <w:tcBorders>
              <w:top w:val="single" w:sz="6" w:space="0" w:color="auto"/>
              <w:left w:val="single" w:sz="6" w:space="0" w:color="auto"/>
              <w:bottom w:val="single" w:sz="6" w:space="0" w:color="auto"/>
              <w:right w:val="single" w:sz="6" w:space="0" w:color="auto"/>
            </w:tcBorders>
            <w:hideMark/>
          </w:tcPr>
          <w:p w14:paraId="55FDB20C" w14:textId="77777777" w:rsidR="00152559" w:rsidRPr="00573CD3" w:rsidRDefault="00152559" w:rsidP="009E7317">
            <w:pPr>
              <w:spacing w:afterLines="100" w:after="240"/>
              <w:ind w:left="57" w:right="57"/>
              <w:contextualSpacing/>
              <w:rPr>
                <w:rFonts w:cs="Arial"/>
                <w:b/>
                <w:bCs/>
              </w:rPr>
            </w:pPr>
            <w:r w:rsidRPr="00573CD3">
              <w:rPr>
                <w:rFonts w:cs="Arial"/>
                <w:b/>
                <w:bCs/>
              </w:rPr>
              <w:t>Child</w:t>
            </w:r>
            <w:r>
              <w:rPr>
                <w:rFonts w:cs="Arial"/>
                <w:b/>
                <w:bCs/>
              </w:rPr>
              <w:t>ren</w:t>
            </w:r>
            <w:r w:rsidRPr="00573CD3">
              <w:rPr>
                <w:rFonts w:cs="Arial"/>
                <w:b/>
                <w:bCs/>
              </w:rPr>
              <w:t>:</w:t>
            </w:r>
          </w:p>
          <w:p w14:paraId="00A45A3E" w14:textId="77777777" w:rsidR="00152559" w:rsidRPr="0095568A" w:rsidRDefault="00152559" w:rsidP="004E3AF4">
            <w:pPr>
              <w:pStyle w:val="ListParagraph"/>
              <w:numPr>
                <w:ilvl w:val="0"/>
                <w:numId w:val="11"/>
              </w:numPr>
            </w:pPr>
            <w:r w:rsidRPr="000B3ED3">
              <w:t>acquire, develop and generalise new knowledge and skills</w:t>
            </w:r>
          </w:p>
          <w:p w14:paraId="3C26B4DF" w14:textId="77777777" w:rsidR="00152559" w:rsidRPr="000B3ED3" w:rsidRDefault="00152559" w:rsidP="004E3AF4">
            <w:pPr>
              <w:pStyle w:val="ListParagraph"/>
              <w:numPr>
                <w:ilvl w:val="0"/>
                <w:numId w:val="11"/>
              </w:numPr>
            </w:pPr>
            <w:r w:rsidRPr="005F339F">
              <w:t>develop positive health habits over time</w:t>
            </w:r>
          </w:p>
          <w:p w14:paraId="7005AB3A" w14:textId="77777777" w:rsidR="00152559" w:rsidRPr="00B82B85" w:rsidRDefault="00152559" w:rsidP="009E7317">
            <w:pPr>
              <w:spacing w:afterLines="100" w:after="240"/>
              <w:ind w:left="57" w:right="57"/>
              <w:contextualSpacing/>
              <w:rPr>
                <w:rFonts w:cs="Arial"/>
              </w:rPr>
            </w:pPr>
            <w:r>
              <w:rPr>
                <w:rFonts w:cs="Arial"/>
              </w:rPr>
              <w:t>Depending on goals chosen, can p</w:t>
            </w:r>
            <w:r w:rsidRPr="00B82B85">
              <w:rPr>
                <w:rFonts w:cs="Arial"/>
              </w:rPr>
              <w:t>rovide some information about:</w:t>
            </w:r>
          </w:p>
          <w:p w14:paraId="2486D4FF" w14:textId="77777777" w:rsidR="00152559" w:rsidRPr="00AB31AA" w:rsidRDefault="00152559" w:rsidP="004E3AF4">
            <w:pPr>
              <w:pStyle w:val="ListParagraph"/>
              <w:numPr>
                <w:ilvl w:val="0"/>
                <w:numId w:val="11"/>
              </w:numPr>
            </w:pPr>
            <w:r w:rsidRPr="00577403">
              <w:t>have secure, stable and safe relationships with parents, carers, siblings, family members and significant others</w:t>
            </w:r>
          </w:p>
          <w:p w14:paraId="63A5F71A" w14:textId="77777777" w:rsidR="00152559" w:rsidRDefault="00152559" w:rsidP="004E3AF4">
            <w:pPr>
              <w:pStyle w:val="ListParagraph"/>
              <w:numPr>
                <w:ilvl w:val="0"/>
                <w:numId w:val="11"/>
              </w:numPr>
            </w:pPr>
            <w:r w:rsidRPr="00002A31">
              <w:t>interact with family members, other children, and people in the community to build relational skills and connections</w:t>
            </w:r>
          </w:p>
          <w:p w14:paraId="710590AF" w14:textId="77777777" w:rsidR="00152559" w:rsidRDefault="00152559" w:rsidP="004E3AF4">
            <w:pPr>
              <w:pStyle w:val="ListParagraph"/>
              <w:numPr>
                <w:ilvl w:val="0"/>
                <w:numId w:val="11"/>
              </w:numPr>
            </w:pPr>
            <w:r w:rsidRPr="00095320">
              <w:t>develop their sense of agency and have a voice in matters that affect them</w:t>
            </w:r>
          </w:p>
          <w:p w14:paraId="7D8C8D85" w14:textId="77777777" w:rsidR="00152559" w:rsidRDefault="00152559" w:rsidP="004E3AF4">
            <w:pPr>
              <w:pStyle w:val="ListParagraph"/>
              <w:numPr>
                <w:ilvl w:val="0"/>
                <w:numId w:val="11"/>
              </w:numPr>
            </w:pPr>
            <w:r w:rsidRPr="00240709">
              <w:t>have a positive sense of belonging to their family and community</w:t>
            </w:r>
          </w:p>
          <w:p w14:paraId="141E2294" w14:textId="77777777" w:rsidR="00152559" w:rsidRDefault="00152559" w:rsidP="004E3AF4">
            <w:pPr>
              <w:pStyle w:val="ListParagraph"/>
              <w:numPr>
                <w:ilvl w:val="0"/>
                <w:numId w:val="11"/>
              </w:numPr>
            </w:pPr>
            <w:r w:rsidRPr="44BFCF2C">
              <w:t>Participate and feel they belong in everyday home, community, ECEC and school environments</w:t>
            </w:r>
          </w:p>
          <w:p w14:paraId="63213399" w14:textId="77777777" w:rsidR="00152559" w:rsidRDefault="00152559" w:rsidP="004E3AF4">
            <w:pPr>
              <w:pStyle w:val="ListParagraph"/>
              <w:numPr>
                <w:ilvl w:val="0"/>
                <w:numId w:val="11"/>
              </w:numPr>
            </w:pPr>
            <w:r w:rsidRPr="0095568A">
              <w:t>follow their interests and enjoy play opportunities</w:t>
            </w:r>
          </w:p>
          <w:p w14:paraId="0BC55864" w14:textId="77777777" w:rsidR="00152559" w:rsidRPr="00AB31AA" w:rsidRDefault="00152559" w:rsidP="004E3AF4">
            <w:pPr>
              <w:pStyle w:val="ListParagraph"/>
              <w:numPr>
                <w:ilvl w:val="0"/>
                <w:numId w:val="11"/>
              </w:numPr>
            </w:pPr>
            <w:r w:rsidRPr="00A75899">
              <w:t>build capacity to regulate their behaviour</w:t>
            </w:r>
          </w:p>
        </w:tc>
      </w:tr>
    </w:tbl>
    <w:p w14:paraId="27CDDF21" w14:textId="77777777" w:rsidR="00152559" w:rsidRDefault="00152559" w:rsidP="00152559"/>
    <w:p w14:paraId="0BCBFBFF" w14:textId="77777777" w:rsidR="009D2879" w:rsidRDefault="009D2879">
      <w:pPr>
        <w:rPr>
          <w:rFonts w:eastAsiaTheme="majorEastAsia" w:cs="Arial"/>
          <w:b/>
          <w:bCs/>
          <w:color w:val="3F779D"/>
          <w:sz w:val="32"/>
          <w:szCs w:val="32"/>
        </w:rPr>
      </w:pPr>
      <w:r>
        <w:br w:type="page"/>
      </w:r>
    </w:p>
    <w:p w14:paraId="7EDD8B6A" w14:textId="67E9B4DA" w:rsidR="00F77313" w:rsidRPr="00531564" w:rsidRDefault="00F77313" w:rsidP="00CF4C9A">
      <w:pPr>
        <w:pStyle w:val="Heading1"/>
      </w:pPr>
      <w:r>
        <w:lastRenderedPageBreak/>
        <w:t>COPM Overview</w:t>
      </w:r>
    </w:p>
    <w:tbl>
      <w:tblPr>
        <w:tblW w:w="901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2140"/>
        <w:gridCol w:w="6870"/>
      </w:tblGrid>
      <w:tr w:rsidR="00F77313" w:rsidRPr="00C040BF" w14:paraId="4D84759C"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1E505A0A" w14:textId="4D31C2C3" w:rsidR="00F77313" w:rsidRPr="00C75FEF" w:rsidRDefault="00F77313" w:rsidP="00C75FEF">
            <w:pPr>
              <w:spacing w:after="100"/>
              <w:ind w:left="57" w:right="57"/>
              <w:rPr>
                <w:rFonts w:cs="Arial"/>
              </w:rPr>
            </w:pPr>
            <w:r w:rsidRPr="00C040BF">
              <w:rPr>
                <w:rFonts w:cs="Arial"/>
                <w:b/>
                <w:bCs/>
              </w:rPr>
              <w:t>General description</w:t>
            </w:r>
            <w:r w:rsidRPr="00C040BF">
              <w:rPr>
                <w:rFonts w:cs="Arial"/>
              </w:rPr>
              <w:t>  </w:t>
            </w:r>
          </w:p>
        </w:tc>
        <w:tc>
          <w:tcPr>
            <w:tcW w:w="6870" w:type="dxa"/>
            <w:tcBorders>
              <w:top w:val="single" w:sz="6" w:space="0" w:color="auto"/>
              <w:left w:val="single" w:sz="6" w:space="0" w:color="auto"/>
              <w:bottom w:val="single" w:sz="6" w:space="0" w:color="auto"/>
              <w:right w:val="single" w:sz="6" w:space="0" w:color="auto"/>
            </w:tcBorders>
            <w:hideMark/>
          </w:tcPr>
          <w:p w14:paraId="0B9AF705" w14:textId="77777777" w:rsidR="00F77313" w:rsidRDefault="00F77313">
            <w:pPr>
              <w:spacing w:after="100"/>
              <w:ind w:right="57"/>
              <w:rPr>
                <w:rFonts w:eastAsia="Arial" w:cs="Arial"/>
                <w:color w:val="000000" w:themeColor="text1"/>
              </w:rPr>
            </w:pPr>
            <w:r w:rsidRPr="44BFCF2C">
              <w:rPr>
                <w:rFonts w:eastAsia="Arial" w:cs="Arial"/>
                <w:color w:val="000000" w:themeColor="text1"/>
              </w:rPr>
              <w:t xml:space="preserve">The Canadian Occupational Performance Measure (COPM) is a child and family-centred outcome measure that enables children and their carers/families to identify and prioritise everyday issues that restrict participation in daily activities. </w:t>
            </w:r>
          </w:p>
          <w:p w14:paraId="530335EF" w14:textId="77777777" w:rsidR="00F77313" w:rsidRPr="00C040BF" w:rsidRDefault="00F77313">
            <w:pPr>
              <w:spacing w:after="100"/>
              <w:ind w:right="57"/>
              <w:rPr>
                <w:rFonts w:eastAsia="Arial" w:cs="Arial"/>
                <w:color w:val="000000" w:themeColor="text1"/>
              </w:rPr>
            </w:pPr>
            <w:r>
              <w:rPr>
                <w:rFonts w:eastAsia="Arial" w:cs="Arial"/>
                <w:color w:val="000000" w:themeColor="text1"/>
              </w:rPr>
              <w:t xml:space="preserve">The primary focus of the measure is ‘occupational performance’ – the knowledge, skills and abilities to carry out daily activities that individuals need </w:t>
            </w:r>
            <w:proofErr w:type="gramStart"/>
            <w:r>
              <w:rPr>
                <w:rFonts w:eastAsia="Arial" w:cs="Arial"/>
                <w:color w:val="000000" w:themeColor="text1"/>
              </w:rPr>
              <w:t>to,</w:t>
            </w:r>
            <w:proofErr w:type="gramEnd"/>
            <w:r>
              <w:rPr>
                <w:rFonts w:eastAsia="Arial" w:cs="Arial"/>
                <w:color w:val="000000" w:themeColor="text1"/>
              </w:rPr>
              <w:t xml:space="preserve"> want to, or </w:t>
            </w:r>
            <w:proofErr w:type="gramStart"/>
            <w:r>
              <w:rPr>
                <w:rFonts w:eastAsia="Arial" w:cs="Arial"/>
                <w:color w:val="000000" w:themeColor="text1"/>
              </w:rPr>
              <w:t>have to</w:t>
            </w:r>
            <w:proofErr w:type="gramEnd"/>
            <w:r>
              <w:rPr>
                <w:rFonts w:eastAsia="Arial" w:cs="Arial"/>
                <w:color w:val="000000" w:themeColor="text1"/>
              </w:rPr>
              <w:t xml:space="preserve"> do. Because the measure asks about occupational performance in daily activities, the focus of the measure can be tailored to the circumstances of the child and family. </w:t>
            </w:r>
          </w:p>
          <w:p w14:paraId="3D38F7BA" w14:textId="77777777" w:rsidR="00F77313" w:rsidRPr="00C040BF" w:rsidRDefault="00F77313">
            <w:pPr>
              <w:spacing w:after="100"/>
              <w:ind w:right="57"/>
              <w:rPr>
                <w:rFonts w:eastAsia="Arial" w:cs="Arial"/>
              </w:rPr>
            </w:pPr>
            <w:r w:rsidRPr="44BFCF2C">
              <w:rPr>
                <w:rFonts w:eastAsia="Arial" w:cs="Arial"/>
                <w:color w:val="000000" w:themeColor="text1"/>
              </w:rPr>
              <w:t>The COPM has been used as an outcome measure for early childhood intervention programs, helping therapists identify functional goals for children and measure changes in self-perceived performance and satisfaction over time.</w:t>
            </w:r>
            <w:r>
              <w:rPr>
                <w:rFonts w:eastAsia="Arial" w:cs="Arial"/>
                <w:color w:val="000000" w:themeColor="text1"/>
              </w:rPr>
              <w:t xml:space="preserve"> </w:t>
            </w:r>
          </w:p>
        </w:tc>
      </w:tr>
      <w:tr w:rsidR="00F77313" w:rsidRPr="00C040BF" w14:paraId="68058CF8" w14:textId="77777777">
        <w:trPr>
          <w:trHeight w:val="300"/>
        </w:trPr>
        <w:tc>
          <w:tcPr>
            <w:tcW w:w="2140" w:type="dxa"/>
            <w:tcBorders>
              <w:top w:val="single" w:sz="6" w:space="0" w:color="auto"/>
              <w:left w:val="single" w:sz="6" w:space="0" w:color="auto"/>
              <w:bottom w:val="single" w:sz="6" w:space="0" w:color="auto"/>
              <w:right w:val="single" w:sz="6" w:space="0" w:color="auto"/>
            </w:tcBorders>
          </w:tcPr>
          <w:p w14:paraId="6DA0AFBF" w14:textId="77777777" w:rsidR="00F77313" w:rsidRPr="00C040BF" w:rsidRDefault="00F77313">
            <w:pPr>
              <w:spacing w:after="100"/>
              <w:ind w:left="57" w:right="57"/>
              <w:rPr>
                <w:rFonts w:cs="Arial"/>
                <w:b/>
                <w:bCs/>
              </w:rPr>
            </w:pPr>
            <w:r w:rsidRPr="6E7C5994">
              <w:rPr>
                <w:rFonts w:cs="Arial"/>
                <w:b/>
                <w:bCs/>
              </w:rPr>
              <w:t xml:space="preserve">Ages </w:t>
            </w:r>
          </w:p>
        </w:tc>
        <w:tc>
          <w:tcPr>
            <w:tcW w:w="6870" w:type="dxa"/>
            <w:tcBorders>
              <w:top w:val="single" w:sz="6" w:space="0" w:color="auto"/>
              <w:left w:val="single" w:sz="6" w:space="0" w:color="auto"/>
              <w:bottom w:val="single" w:sz="6" w:space="0" w:color="auto"/>
              <w:right w:val="single" w:sz="6" w:space="0" w:color="auto"/>
            </w:tcBorders>
          </w:tcPr>
          <w:p w14:paraId="48831691" w14:textId="77777777" w:rsidR="00F77313" w:rsidRPr="00C040BF" w:rsidRDefault="00F77313">
            <w:pPr>
              <w:spacing w:after="100"/>
              <w:ind w:left="57" w:right="57"/>
              <w:rPr>
                <w:rFonts w:eastAsia="Arial" w:cs="Arial"/>
              </w:rPr>
            </w:pPr>
            <w:r w:rsidRPr="44BFCF2C">
              <w:rPr>
                <w:rFonts w:eastAsia="Arial" w:cs="Arial"/>
              </w:rPr>
              <w:t>The COPM is designed for children with a</w:t>
            </w:r>
            <w:r w:rsidRPr="44BFCF2C">
              <w:rPr>
                <w:rFonts w:eastAsia="Arial" w:cs="Arial"/>
                <w:color w:val="000000" w:themeColor="text1"/>
              </w:rPr>
              <w:t xml:space="preserve"> developmental age of at least 8 years. For younger children or those with </w:t>
            </w:r>
            <w:r>
              <w:rPr>
                <w:rFonts w:eastAsia="Arial" w:cs="Arial"/>
                <w:color w:val="000000" w:themeColor="text1"/>
              </w:rPr>
              <w:t xml:space="preserve">cognitive and/or complex </w:t>
            </w:r>
            <w:r w:rsidRPr="44BFCF2C">
              <w:rPr>
                <w:rFonts w:eastAsia="Arial" w:cs="Arial"/>
                <w:color w:val="000000" w:themeColor="text1"/>
              </w:rPr>
              <w:t xml:space="preserve">communication </w:t>
            </w:r>
            <w:r>
              <w:rPr>
                <w:rFonts w:eastAsia="Arial" w:cs="Arial"/>
                <w:color w:val="000000" w:themeColor="text1"/>
              </w:rPr>
              <w:t>needs</w:t>
            </w:r>
            <w:r w:rsidRPr="44BFCF2C">
              <w:rPr>
                <w:rFonts w:eastAsia="Arial" w:cs="Arial"/>
                <w:color w:val="000000" w:themeColor="text1"/>
              </w:rPr>
              <w:t>, the COPM can be used with responses provided by parents</w:t>
            </w:r>
            <w:r>
              <w:rPr>
                <w:rFonts w:eastAsia="Arial" w:cs="Arial"/>
                <w:color w:val="000000" w:themeColor="text1"/>
              </w:rPr>
              <w:t xml:space="preserve">, </w:t>
            </w:r>
            <w:r w:rsidRPr="44BFCF2C">
              <w:rPr>
                <w:rFonts w:eastAsia="Arial" w:cs="Arial"/>
                <w:color w:val="000000" w:themeColor="text1"/>
              </w:rPr>
              <w:t>care</w:t>
            </w:r>
            <w:r>
              <w:rPr>
                <w:rFonts w:eastAsia="Arial" w:cs="Arial"/>
                <w:color w:val="000000" w:themeColor="text1"/>
              </w:rPr>
              <w:t>rs or family members</w:t>
            </w:r>
            <w:r w:rsidRPr="44BFCF2C">
              <w:rPr>
                <w:rFonts w:eastAsia="Arial" w:cs="Arial"/>
                <w:color w:val="000000" w:themeColor="text1"/>
              </w:rPr>
              <w:t xml:space="preserve"> on behalf of the child.</w:t>
            </w:r>
            <w:r>
              <w:rPr>
                <w:rFonts w:eastAsia="Arial" w:cs="Arial"/>
                <w:color w:val="000000" w:themeColor="text1"/>
              </w:rPr>
              <w:t xml:space="preserve"> The COPM can also be used to set goals with and for parents, carers and families. </w:t>
            </w:r>
          </w:p>
        </w:tc>
      </w:tr>
      <w:tr w:rsidR="00F77313" w:rsidRPr="00C040BF" w14:paraId="52D5C728" w14:textId="77777777">
        <w:trPr>
          <w:trHeight w:val="300"/>
        </w:trPr>
        <w:tc>
          <w:tcPr>
            <w:tcW w:w="2140" w:type="dxa"/>
            <w:tcBorders>
              <w:top w:val="single" w:sz="6" w:space="0" w:color="auto"/>
              <w:left w:val="single" w:sz="6" w:space="0" w:color="auto"/>
              <w:bottom w:val="single" w:sz="6" w:space="0" w:color="auto"/>
              <w:right w:val="single" w:sz="6" w:space="0" w:color="auto"/>
            </w:tcBorders>
          </w:tcPr>
          <w:p w14:paraId="37FDED32" w14:textId="77777777" w:rsidR="00F77313" w:rsidRPr="00C040BF" w:rsidRDefault="00F77313">
            <w:pPr>
              <w:spacing w:after="100"/>
              <w:ind w:left="57" w:right="57"/>
              <w:rPr>
                <w:rFonts w:cs="Arial"/>
              </w:rPr>
            </w:pPr>
            <w:r w:rsidRPr="00C040BF">
              <w:rPr>
                <w:rFonts w:cs="Arial"/>
                <w:b/>
                <w:bCs/>
              </w:rPr>
              <w:t>Domains</w:t>
            </w:r>
            <w:r w:rsidRPr="64920801">
              <w:rPr>
                <w:rFonts w:cs="Arial"/>
                <w:b/>
                <w:bCs/>
              </w:rPr>
              <w:t xml:space="preserve"> / </w:t>
            </w:r>
            <w:r w:rsidRPr="00C040BF">
              <w:rPr>
                <w:rFonts w:cs="Arial"/>
                <w:b/>
                <w:bCs/>
              </w:rPr>
              <w:t>subscales </w:t>
            </w:r>
            <w:r w:rsidRPr="00C040BF">
              <w:rPr>
                <w:rFonts w:cs="Arial"/>
              </w:rPr>
              <w:t> </w:t>
            </w:r>
          </w:p>
        </w:tc>
        <w:tc>
          <w:tcPr>
            <w:tcW w:w="6870" w:type="dxa"/>
            <w:tcBorders>
              <w:top w:val="single" w:sz="6" w:space="0" w:color="auto"/>
              <w:left w:val="single" w:sz="6" w:space="0" w:color="auto"/>
              <w:bottom w:val="single" w:sz="6" w:space="0" w:color="auto"/>
              <w:right w:val="single" w:sz="6" w:space="0" w:color="auto"/>
            </w:tcBorders>
          </w:tcPr>
          <w:p w14:paraId="23816E9C" w14:textId="77777777" w:rsidR="00F77313" w:rsidRPr="00C040BF" w:rsidRDefault="00F77313">
            <w:pPr>
              <w:spacing w:after="100"/>
              <w:ind w:right="57"/>
              <w:rPr>
                <w:rFonts w:eastAsia="Arial" w:cs="Arial"/>
                <w:color w:val="000000" w:themeColor="text1"/>
              </w:rPr>
            </w:pPr>
            <w:r w:rsidRPr="44BFCF2C">
              <w:rPr>
                <w:rFonts w:eastAsia="Arial" w:cs="Arial"/>
                <w:color w:val="000000" w:themeColor="text1"/>
              </w:rPr>
              <w:t xml:space="preserve">The COPM measures self-perception of occupational performance and satisfaction </w:t>
            </w:r>
            <w:r>
              <w:rPr>
                <w:rFonts w:eastAsia="Arial" w:cs="Arial"/>
                <w:color w:val="000000" w:themeColor="text1"/>
              </w:rPr>
              <w:t xml:space="preserve">with performance </w:t>
            </w:r>
            <w:r w:rsidRPr="44BFCF2C">
              <w:rPr>
                <w:rFonts w:eastAsia="Arial" w:cs="Arial"/>
                <w:color w:val="000000" w:themeColor="text1"/>
              </w:rPr>
              <w:t xml:space="preserve">in areas of self-care, productivity, and leisure. </w:t>
            </w:r>
          </w:p>
          <w:p w14:paraId="377D092D" w14:textId="77777777" w:rsidR="00F77313" w:rsidRPr="00C040BF" w:rsidRDefault="00F77313">
            <w:pPr>
              <w:spacing w:after="100"/>
              <w:ind w:right="57"/>
              <w:rPr>
                <w:rFonts w:eastAsia="Arial" w:cs="Arial"/>
              </w:rPr>
            </w:pPr>
            <w:r w:rsidRPr="44BFCF2C">
              <w:rPr>
                <w:rFonts w:eastAsia="Arial" w:cs="Arial"/>
                <w:color w:val="000000" w:themeColor="text1"/>
              </w:rPr>
              <w:t>It focuses on client-identified priorities in daily activities within the framework of the Canadian Model of Occupational Performance and Engagement (CMOP-E).</w:t>
            </w:r>
            <w:r w:rsidRPr="44BFCF2C">
              <w:rPr>
                <w:rFonts w:eastAsia="Arial" w:cs="Arial"/>
              </w:rPr>
              <w:t xml:space="preserve"> </w:t>
            </w:r>
          </w:p>
        </w:tc>
      </w:tr>
      <w:tr w:rsidR="00F77313" w:rsidRPr="00C040BF" w14:paraId="6E37BC45"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6E463221" w14:textId="77777777" w:rsidR="00F77313" w:rsidRPr="00C040BF" w:rsidRDefault="00F77313">
            <w:pPr>
              <w:spacing w:after="100"/>
              <w:ind w:left="57" w:right="57"/>
              <w:rPr>
                <w:rFonts w:cs="Arial"/>
              </w:rPr>
            </w:pPr>
            <w:r w:rsidRPr="00C040BF">
              <w:rPr>
                <w:rFonts w:cs="Arial"/>
                <w:b/>
                <w:bCs/>
              </w:rPr>
              <w:t>Cultural adaptation </w:t>
            </w:r>
            <w:r w:rsidRPr="00C040BF">
              <w:rPr>
                <w:rFonts w:cs="Arial"/>
              </w:rPr>
              <w:t> </w:t>
            </w:r>
          </w:p>
          <w:p w14:paraId="15FE0BB6" w14:textId="77777777" w:rsidR="00F77313" w:rsidRPr="00C040BF" w:rsidRDefault="00F77313">
            <w:pPr>
              <w:spacing w:after="100"/>
              <w:ind w:left="57" w:right="57"/>
              <w:rPr>
                <w:rFonts w:cs="Arial"/>
              </w:rPr>
            </w:pPr>
          </w:p>
        </w:tc>
        <w:tc>
          <w:tcPr>
            <w:tcW w:w="6870" w:type="dxa"/>
            <w:tcBorders>
              <w:top w:val="single" w:sz="6" w:space="0" w:color="auto"/>
              <w:left w:val="single" w:sz="6" w:space="0" w:color="auto"/>
              <w:bottom w:val="single" w:sz="6" w:space="0" w:color="auto"/>
              <w:right w:val="single" w:sz="6" w:space="0" w:color="auto"/>
            </w:tcBorders>
            <w:hideMark/>
          </w:tcPr>
          <w:p w14:paraId="4E13F200" w14:textId="77777777" w:rsidR="00F77313" w:rsidRPr="00C040BF" w:rsidRDefault="00F77313">
            <w:pPr>
              <w:spacing w:after="100"/>
              <w:ind w:left="57" w:right="57"/>
              <w:rPr>
                <w:rFonts w:eastAsia="Arial" w:cs="Arial"/>
                <w:color w:val="000000" w:themeColor="text1"/>
              </w:rPr>
            </w:pPr>
            <w:r w:rsidRPr="44BFCF2C">
              <w:rPr>
                <w:rFonts w:eastAsia="Arial" w:cs="Arial"/>
                <w:color w:val="000000" w:themeColor="text1"/>
              </w:rPr>
              <w:t xml:space="preserve">The COPM has been adapted for use in various cultural contexts and translated into more than 40 languages, including Danish and Turkish versions. </w:t>
            </w:r>
          </w:p>
        </w:tc>
      </w:tr>
      <w:tr w:rsidR="00F77313" w:rsidRPr="00C040BF" w14:paraId="6ADB03B7"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6B3E8DD6" w14:textId="77777777" w:rsidR="00F77313" w:rsidRPr="00C040BF" w:rsidRDefault="00F77313">
            <w:pPr>
              <w:spacing w:after="100"/>
              <w:ind w:left="57" w:right="57"/>
              <w:rPr>
                <w:rFonts w:cs="Arial"/>
              </w:rPr>
            </w:pPr>
            <w:r w:rsidRPr="00C040BF">
              <w:rPr>
                <w:rFonts w:cs="Arial"/>
                <w:b/>
                <w:bCs/>
              </w:rPr>
              <w:t>Administration</w:t>
            </w:r>
            <w:r w:rsidRPr="00C040BF">
              <w:rPr>
                <w:rFonts w:cs="Arial"/>
              </w:rPr>
              <w:t>  </w:t>
            </w:r>
          </w:p>
          <w:p w14:paraId="59D444CD" w14:textId="77777777" w:rsidR="00F77313" w:rsidRPr="00C040BF" w:rsidRDefault="00F77313">
            <w:pPr>
              <w:spacing w:after="100"/>
              <w:ind w:left="57" w:right="57"/>
              <w:rPr>
                <w:rFonts w:cs="Arial"/>
                <w:i/>
                <w:iCs/>
              </w:rPr>
            </w:pPr>
          </w:p>
        </w:tc>
        <w:tc>
          <w:tcPr>
            <w:tcW w:w="6870" w:type="dxa"/>
            <w:tcBorders>
              <w:top w:val="single" w:sz="6" w:space="0" w:color="auto"/>
              <w:left w:val="single" w:sz="6" w:space="0" w:color="auto"/>
              <w:bottom w:val="single" w:sz="6" w:space="0" w:color="auto"/>
              <w:right w:val="single" w:sz="6" w:space="0" w:color="auto"/>
            </w:tcBorders>
            <w:hideMark/>
          </w:tcPr>
          <w:p w14:paraId="3F604244" w14:textId="77777777" w:rsidR="00F77313" w:rsidRPr="003901DA" w:rsidRDefault="00F77313">
            <w:pPr>
              <w:spacing w:after="100"/>
              <w:ind w:left="57" w:right="57"/>
              <w:rPr>
                <w:rFonts w:eastAsia="Arial" w:cs="Arial"/>
                <w:color w:val="000000" w:themeColor="text1"/>
              </w:rPr>
            </w:pPr>
            <w:r w:rsidRPr="44BFCF2C">
              <w:rPr>
                <w:rFonts w:cs="Arial"/>
              </w:rPr>
              <w:t>T</w:t>
            </w:r>
            <w:r w:rsidRPr="44BFCF2C">
              <w:rPr>
                <w:rFonts w:eastAsia="Arial" w:cs="Arial"/>
                <w:color w:val="000000" w:themeColor="text1"/>
              </w:rPr>
              <w:t>he COPM is administered by a clinician through a semi-structured interview available in paper format or through the COPM Web-App. The web application allows therapists to complete the COPM with clients using a laptop or tablet. The COPM takes approximately 20-40 minutes to administer.</w:t>
            </w:r>
          </w:p>
        </w:tc>
      </w:tr>
      <w:tr w:rsidR="00F77313" w:rsidRPr="00C040BF" w14:paraId="6F274FB1"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6F2A7B97" w14:textId="77777777" w:rsidR="00F77313" w:rsidRPr="00C040BF" w:rsidRDefault="00F77313">
            <w:pPr>
              <w:spacing w:after="100"/>
              <w:ind w:left="57" w:right="57"/>
              <w:rPr>
                <w:rFonts w:cs="Arial"/>
              </w:rPr>
            </w:pPr>
            <w:r w:rsidRPr="00C040BF">
              <w:rPr>
                <w:rFonts w:cs="Arial"/>
                <w:b/>
                <w:bCs/>
              </w:rPr>
              <w:lastRenderedPageBreak/>
              <w:t>Training requirements</w:t>
            </w:r>
            <w:r w:rsidRPr="00C040BF">
              <w:rPr>
                <w:rFonts w:cs="Arial"/>
              </w:rPr>
              <w:t>  </w:t>
            </w:r>
          </w:p>
          <w:p w14:paraId="4BD4304A" w14:textId="77777777" w:rsidR="00F77313" w:rsidRPr="00C040BF" w:rsidRDefault="00F77313">
            <w:pPr>
              <w:spacing w:after="100"/>
              <w:ind w:left="57" w:right="57"/>
              <w:rPr>
                <w:rFonts w:cs="Arial"/>
              </w:rPr>
            </w:pPr>
            <w:r>
              <w:rPr>
                <w:rFonts w:cs="Arial"/>
                <w:i/>
                <w:iCs/>
              </w:rPr>
              <w:t xml:space="preserve"> </w:t>
            </w:r>
            <w:r w:rsidRPr="00C040BF">
              <w:rPr>
                <w:rFonts w:cs="Arial"/>
              </w:rPr>
              <w:t> </w:t>
            </w:r>
          </w:p>
        </w:tc>
        <w:tc>
          <w:tcPr>
            <w:tcW w:w="6870" w:type="dxa"/>
            <w:tcBorders>
              <w:top w:val="single" w:sz="6" w:space="0" w:color="auto"/>
              <w:left w:val="single" w:sz="6" w:space="0" w:color="auto"/>
              <w:bottom w:val="single" w:sz="6" w:space="0" w:color="auto"/>
              <w:right w:val="single" w:sz="6" w:space="0" w:color="auto"/>
            </w:tcBorders>
            <w:hideMark/>
          </w:tcPr>
          <w:p w14:paraId="264D5808" w14:textId="77777777" w:rsidR="00F77313" w:rsidRPr="00C040BF" w:rsidRDefault="00F77313">
            <w:pPr>
              <w:spacing w:after="100"/>
              <w:ind w:left="57" w:right="57"/>
              <w:rPr>
                <w:rFonts w:eastAsia="Arial" w:cs="Arial"/>
                <w:color w:val="000000" w:themeColor="text1"/>
              </w:rPr>
            </w:pPr>
            <w:r w:rsidRPr="44BFCF2C">
              <w:rPr>
                <w:rFonts w:eastAsia="Arial" w:cs="Arial"/>
                <w:color w:val="000000" w:themeColor="text1"/>
              </w:rPr>
              <w:t xml:space="preserve">The COPM is primarily designed for use by occupational therapists. It can also be administered by other trained health professionals such as members of multidisciplinary teams, provided they have the necessary training and understanding of the tool. </w:t>
            </w:r>
          </w:p>
          <w:p w14:paraId="0036F9E3" w14:textId="77777777" w:rsidR="00F77313" w:rsidRPr="00C040BF" w:rsidRDefault="00F77313">
            <w:pPr>
              <w:spacing w:after="100"/>
              <w:ind w:left="57" w:right="57"/>
              <w:rPr>
                <w:rFonts w:eastAsia="Arial" w:cs="Arial"/>
                <w:color w:val="000000" w:themeColor="text1"/>
              </w:rPr>
            </w:pPr>
            <w:r w:rsidRPr="44BFCF2C">
              <w:rPr>
                <w:rFonts w:eastAsia="Arial" w:cs="Arial"/>
                <w:color w:val="000000" w:themeColor="text1"/>
              </w:rPr>
              <w:t>The COPM Learning Module (an online, self-directed course) is available through the official COPM website.</w:t>
            </w:r>
          </w:p>
          <w:p w14:paraId="581D17CF" w14:textId="77777777" w:rsidR="00F77313" w:rsidRPr="00C040BF" w:rsidRDefault="00F77313">
            <w:pPr>
              <w:spacing w:after="100"/>
              <w:ind w:left="57" w:right="57"/>
              <w:rPr>
                <w:rFonts w:eastAsia="Arial" w:cs="Arial"/>
                <w:color w:val="000000" w:themeColor="text1"/>
              </w:rPr>
            </w:pPr>
            <w:hyperlink r:id="rId20">
              <w:r w:rsidRPr="44BFCF2C">
                <w:rPr>
                  <w:rStyle w:val="Hyperlink"/>
                  <w:rFonts w:eastAsia="Arial" w:cs="Arial"/>
                </w:rPr>
                <w:t>https://www.thecopm.ca/learning-module/</w:t>
              </w:r>
            </w:hyperlink>
            <w:r w:rsidRPr="44BFCF2C">
              <w:rPr>
                <w:rFonts w:eastAsia="Arial" w:cs="Arial"/>
                <w:color w:val="000000" w:themeColor="text1"/>
              </w:rPr>
              <w:t xml:space="preserve"> </w:t>
            </w:r>
          </w:p>
        </w:tc>
      </w:tr>
      <w:tr w:rsidR="00F77313" w:rsidRPr="00C040BF" w14:paraId="4AC1C544"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52292C51" w14:textId="77777777" w:rsidR="00F77313" w:rsidRPr="00C040BF" w:rsidRDefault="00F77313">
            <w:pPr>
              <w:spacing w:after="100"/>
              <w:ind w:left="57" w:right="57"/>
              <w:rPr>
                <w:rFonts w:cs="Arial"/>
                <w:b/>
                <w:bCs/>
              </w:rPr>
            </w:pPr>
            <w:r>
              <w:rPr>
                <w:rFonts w:cs="Arial"/>
                <w:b/>
                <w:bCs/>
              </w:rPr>
              <w:t>How to access</w:t>
            </w:r>
          </w:p>
          <w:p w14:paraId="1095F260" w14:textId="77777777" w:rsidR="00F77313" w:rsidRPr="00C040BF" w:rsidRDefault="00F77313">
            <w:pPr>
              <w:spacing w:after="100"/>
              <w:ind w:left="57" w:right="57"/>
              <w:rPr>
                <w:rFonts w:cs="Arial"/>
              </w:rPr>
            </w:pPr>
          </w:p>
        </w:tc>
        <w:tc>
          <w:tcPr>
            <w:tcW w:w="6870" w:type="dxa"/>
            <w:tcBorders>
              <w:top w:val="single" w:sz="6" w:space="0" w:color="auto"/>
              <w:left w:val="single" w:sz="6" w:space="0" w:color="auto"/>
              <w:bottom w:val="single" w:sz="6" w:space="0" w:color="auto"/>
              <w:right w:val="single" w:sz="6" w:space="0" w:color="auto"/>
            </w:tcBorders>
            <w:hideMark/>
          </w:tcPr>
          <w:p w14:paraId="63800345" w14:textId="77777777" w:rsidR="00F77313" w:rsidRPr="00C040BF" w:rsidRDefault="00F77313">
            <w:pPr>
              <w:spacing w:after="100"/>
              <w:ind w:left="57" w:right="57"/>
              <w:rPr>
                <w:rFonts w:eastAsia="Arial" w:cs="Arial"/>
                <w:color w:val="000000" w:themeColor="text1"/>
              </w:rPr>
            </w:pPr>
            <w:r w:rsidRPr="44BFCF2C">
              <w:rPr>
                <w:rFonts w:eastAsia="Arial" w:cs="Arial"/>
              </w:rPr>
              <w:t>In Australia, t</w:t>
            </w:r>
            <w:r w:rsidRPr="44BFCF2C">
              <w:rPr>
                <w:rFonts w:eastAsia="Arial" w:cs="Arial"/>
                <w:color w:val="000000" w:themeColor="text1"/>
              </w:rPr>
              <w:t>he COPM manual and forms can be purchased from The Therapy Store.</w:t>
            </w:r>
          </w:p>
          <w:p w14:paraId="410A6953" w14:textId="77777777" w:rsidR="00F77313" w:rsidRPr="00C040BF" w:rsidRDefault="00F77313">
            <w:pPr>
              <w:spacing w:after="100"/>
              <w:ind w:left="57" w:right="57"/>
              <w:rPr>
                <w:rFonts w:ascii="Aptos" w:eastAsia="Aptos" w:hAnsi="Aptos" w:cs="Aptos"/>
                <w:color w:val="000000" w:themeColor="text1"/>
              </w:rPr>
            </w:pPr>
            <w:hyperlink r:id="rId21">
              <w:r w:rsidRPr="44BFCF2C">
                <w:rPr>
                  <w:rStyle w:val="Hyperlink"/>
                  <w:rFonts w:ascii="Aptos" w:eastAsia="Aptos" w:hAnsi="Aptos" w:cs="Aptos"/>
                </w:rPr>
                <w:t>https://www.thetherapystore.com.au/product/canadian-occupational-performance-measure-copm-manual-5th-edition/</w:t>
              </w:r>
            </w:hyperlink>
          </w:p>
          <w:p w14:paraId="47776746" w14:textId="77777777" w:rsidR="00F77313" w:rsidRPr="00C040BF" w:rsidRDefault="00F77313">
            <w:pPr>
              <w:spacing w:after="100"/>
              <w:ind w:left="57" w:right="57"/>
              <w:rPr>
                <w:rFonts w:eastAsia="Arial" w:cs="Arial"/>
              </w:rPr>
            </w:pPr>
            <w:r w:rsidRPr="44BFCF2C">
              <w:rPr>
                <w:rFonts w:eastAsia="Arial" w:cs="Arial"/>
                <w:color w:val="000000" w:themeColor="text1"/>
              </w:rPr>
              <w:t xml:space="preserve">The COPM is available internationally through the official COPM website </w:t>
            </w:r>
            <w:hyperlink r:id="rId22">
              <w:r w:rsidRPr="44BFCF2C">
                <w:rPr>
                  <w:rStyle w:val="Hyperlink"/>
                  <w:rFonts w:eastAsia="Arial" w:cs="Arial"/>
                </w:rPr>
                <w:t>www.thecopm.ca</w:t>
              </w:r>
            </w:hyperlink>
            <w:r w:rsidRPr="44BFCF2C">
              <w:rPr>
                <w:rFonts w:eastAsia="Arial" w:cs="Arial"/>
                <w:color w:val="000000" w:themeColor="text1"/>
              </w:rPr>
              <w:t xml:space="preserve"> </w:t>
            </w:r>
          </w:p>
        </w:tc>
      </w:tr>
    </w:tbl>
    <w:p w14:paraId="06B99D92" w14:textId="77777777" w:rsidR="00F77313" w:rsidRDefault="00F77313" w:rsidP="00F77313"/>
    <w:p w14:paraId="5669DBD7" w14:textId="758B5DCD" w:rsidR="00E83A0E" w:rsidRDefault="00E83A0E">
      <w:r>
        <w:br w:type="page"/>
      </w:r>
    </w:p>
    <w:p w14:paraId="16EA0D14" w14:textId="77777777" w:rsidR="00310DE0" w:rsidRPr="00531564" w:rsidRDefault="00310DE0" w:rsidP="00CF4C9A">
      <w:pPr>
        <w:pStyle w:val="Heading1"/>
      </w:pPr>
      <w:bookmarkStart w:id="14" w:name="_COPM_Evidence_Summary"/>
      <w:bookmarkEnd w:id="14"/>
      <w:r>
        <w:lastRenderedPageBreak/>
        <w:t>COPM Evidence Summary</w:t>
      </w:r>
    </w:p>
    <w:p w14:paraId="2C046FA4" w14:textId="0933FCCE" w:rsidR="00310DE0" w:rsidRPr="00531564" w:rsidRDefault="00310DE0" w:rsidP="00310DE0">
      <w:hyperlink w:anchor="_COPM_Reference_List" w:history="1">
        <w:r w:rsidRPr="00B1784F">
          <w:rPr>
            <w:rStyle w:val="Hyperlink"/>
            <w:rFonts w:eastAsia="Aptos" w:cs="Arial"/>
            <w:i/>
            <w:iCs/>
          </w:rPr>
          <w:t>Link to COPM Reference List</w:t>
        </w:r>
      </w:hyperlink>
    </w:p>
    <w:tbl>
      <w:tblPr>
        <w:tblW w:w="905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2119"/>
        <w:gridCol w:w="6931"/>
      </w:tblGrid>
      <w:tr w:rsidR="00310DE0" w:rsidRPr="00DA4CC0" w14:paraId="56B57600" w14:textId="77777777">
        <w:trPr>
          <w:trHeight w:val="300"/>
        </w:trPr>
        <w:tc>
          <w:tcPr>
            <w:tcW w:w="2119" w:type="dxa"/>
            <w:tcBorders>
              <w:top w:val="single" w:sz="6" w:space="0" w:color="auto"/>
              <w:left w:val="single" w:sz="6" w:space="0" w:color="auto"/>
              <w:bottom w:val="single" w:sz="6" w:space="0" w:color="auto"/>
              <w:right w:val="single" w:sz="6" w:space="0" w:color="auto"/>
            </w:tcBorders>
          </w:tcPr>
          <w:p w14:paraId="413BA2F8" w14:textId="77777777" w:rsidR="00310DE0" w:rsidRDefault="00310DE0">
            <w:pPr>
              <w:spacing w:after="100" w:line="276" w:lineRule="auto"/>
              <w:ind w:left="57" w:right="57"/>
              <w:rPr>
                <w:rFonts w:eastAsia="Aptos" w:cs="Arial"/>
                <w:b/>
                <w:bCs/>
              </w:rPr>
            </w:pPr>
            <w:r w:rsidRPr="00DA4CC0">
              <w:rPr>
                <w:rFonts w:eastAsia="Aptos" w:cs="Arial"/>
                <w:b/>
                <w:bCs/>
              </w:rPr>
              <w:t>Overview</w:t>
            </w:r>
          </w:p>
          <w:p w14:paraId="27E7ED5F" w14:textId="77777777" w:rsidR="00310DE0" w:rsidRPr="00350F1C" w:rsidRDefault="00310DE0">
            <w:pPr>
              <w:spacing w:after="100" w:line="276" w:lineRule="auto"/>
              <w:ind w:left="57" w:right="57"/>
              <w:rPr>
                <w:rFonts w:eastAsia="Aptos" w:cs="Arial"/>
                <w:i/>
                <w:iCs/>
              </w:rPr>
            </w:pPr>
          </w:p>
        </w:tc>
        <w:tc>
          <w:tcPr>
            <w:tcW w:w="6931" w:type="dxa"/>
            <w:tcBorders>
              <w:top w:val="single" w:sz="6" w:space="0" w:color="auto"/>
              <w:left w:val="single" w:sz="6" w:space="0" w:color="auto"/>
              <w:bottom w:val="single" w:sz="6" w:space="0" w:color="auto"/>
              <w:right w:val="single" w:sz="6" w:space="0" w:color="auto"/>
            </w:tcBorders>
          </w:tcPr>
          <w:p w14:paraId="078A10DC" w14:textId="77777777" w:rsidR="00310DE0" w:rsidRPr="00DA464B" w:rsidRDefault="00310DE0">
            <w:pPr>
              <w:spacing w:after="100" w:line="276" w:lineRule="auto"/>
              <w:ind w:right="57"/>
              <w:rPr>
                <w:rFonts w:eastAsia="Aptos" w:cs="Arial"/>
                <w:i/>
                <w:iCs/>
                <w:color w:val="000000" w:themeColor="text1"/>
              </w:rPr>
            </w:pPr>
            <w:r w:rsidRPr="00DA464B">
              <w:rPr>
                <w:rFonts w:eastAsia="Aptos" w:cs="Arial"/>
                <w:color w:val="000000" w:themeColor="text1"/>
              </w:rPr>
              <w:t xml:space="preserve">65 papers were identified that </w:t>
            </w:r>
            <w:r w:rsidRPr="00DA464B">
              <w:rPr>
                <w:rFonts w:eastAsia="Aptos" w:cs="Arial"/>
                <w:color w:val="000000"/>
              </w:rPr>
              <w:t>report on the measurement properties of the COPM or its use as an outcome measure in the ECI practice setting (1990; 2000-2024).</w:t>
            </w:r>
          </w:p>
        </w:tc>
      </w:tr>
      <w:tr w:rsidR="00310DE0" w:rsidRPr="00DA4CC0" w14:paraId="7CA0CE20" w14:textId="77777777">
        <w:trPr>
          <w:trHeight w:val="300"/>
        </w:trPr>
        <w:tc>
          <w:tcPr>
            <w:tcW w:w="2119" w:type="dxa"/>
            <w:tcBorders>
              <w:top w:val="single" w:sz="6" w:space="0" w:color="auto"/>
              <w:left w:val="single" w:sz="6" w:space="0" w:color="auto"/>
              <w:bottom w:val="single" w:sz="6" w:space="0" w:color="auto"/>
              <w:right w:val="single" w:sz="6" w:space="0" w:color="auto"/>
            </w:tcBorders>
          </w:tcPr>
          <w:p w14:paraId="0A7CD30B" w14:textId="77777777" w:rsidR="00310DE0" w:rsidRPr="00DA4CC0" w:rsidRDefault="00310DE0">
            <w:pPr>
              <w:spacing w:after="100" w:line="276" w:lineRule="auto"/>
              <w:ind w:left="57" w:right="57"/>
              <w:rPr>
                <w:rFonts w:eastAsia="Aptos" w:cs="Arial"/>
                <w:b/>
                <w:bCs/>
              </w:rPr>
            </w:pPr>
            <w:r w:rsidRPr="00DA4CC0">
              <w:rPr>
                <w:rFonts w:eastAsia="Aptos" w:cs="Arial"/>
                <w:b/>
                <w:bCs/>
              </w:rPr>
              <w:t>Review papers</w:t>
            </w:r>
          </w:p>
        </w:tc>
        <w:tc>
          <w:tcPr>
            <w:tcW w:w="6931" w:type="dxa"/>
            <w:tcBorders>
              <w:top w:val="single" w:sz="6" w:space="0" w:color="auto"/>
              <w:left w:val="single" w:sz="6" w:space="0" w:color="auto"/>
              <w:bottom w:val="single" w:sz="6" w:space="0" w:color="auto"/>
              <w:right w:val="single" w:sz="6" w:space="0" w:color="auto"/>
            </w:tcBorders>
          </w:tcPr>
          <w:p w14:paraId="71B8F5D4" w14:textId="77777777" w:rsidR="00310DE0" w:rsidRDefault="00310DE0">
            <w:pPr>
              <w:spacing w:after="100" w:line="276" w:lineRule="auto"/>
              <w:ind w:right="57"/>
              <w:rPr>
                <w:rFonts w:eastAsia="Aptos" w:cs="Arial"/>
                <w:color w:val="000000" w:themeColor="text1"/>
              </w:rPr>
            </w:pPr>
            <w:r w:rsidRPr="00F70330">
              <w:rPr>
                <w:rFonts w:eastAsia="Aptos" w:cs="Arial"/>
                <w:color w:val="000000" w:themeColor="text1"/>
              </w:rPr>
              <w:t>A scoping review of 100 studies found no empirical support for the commonly cited two-point change threshold for clinical significance (Canada, 2023).</w:t>
            </w:r>
          </w:p>
          <w:p w14:paraId="5FBBC5FE" w14:textId="77777777" w:rsidR="00310DE0" w:rsidRDefault="00310DE0">
            <w:pPr>
              <w:spacing w:after="100" w:line="276" w:lineRule="auto"/>
              <w:ind w:right="57"/>
              <w:rPr>
                <w:rFonts w:eastAsia="Aptos" w:cs="Arial"/>
                <w:color w:val="000000" w:themeColor="text1"/>
              </w:rPr>
            </w:pPr>
            <w:r w:rsidRPr="00F70330">
              <w:rPr>
                <w:rFonts w:eastAsia="Aptos" w:cs="Arial"/>
                <w:color w:val="000000" w:themeColor="text1"/>
              </w:rPr>
              <w:t>A systematic review using COSMIN methodology found the COPM lacks high-quality validation, with inconsistent reliability, validity, and responsiveness (Japan, 2021).</w:t>
            </w:r>
          </w:p>
          <w:p w14:paraId="41A78467" w14:textId="77777777" w:rsidR="00310DE0" w:rsidRDefault="00310DE0">
            <w:pPr>
              <w:spacing w:after="100" w:line="276" w:lineRule="auto"/>
              <w:ind w:right="57"/>
              <w:rPr>
                <w:rFonts w:eastAsia="Aptos" w:cs="Arial"/>
                <w:color w:val="000000" w:themeColor="text1"/>
              </w:rPr>
            </w:pPr>
            <w:r w:rsidRPr="00F70330">
              <w:rPr>
                <w:rFonts w:eastAsia="Aptos" w:cs="Arial"/>
                <w:color w:val="000000" w:themeColor="text1"/>
              </w:rPr>
              <w:t>Two narrative reviews examined the COPM's history and application, emphasising its flexibility across different situations while maintaining its client-centred approach (Canada, 2005, 2004).</w:t>
            </w:r>
          </w:p>
          <w:p w14:paraId="528F492B" w14:textId="77777777" w:rsidR="00310DE0" w:rsidRDefault="00310DE0">
            <w:pPr>
              <w:spacing w:after="100" w:line="276" w:lineRule="auto"/>
              <w:ind w:right="57"/>
              <w:rPr>
                <w:rFonts w:eastAsia="Aptos" w:cs="Arial"/>
                <w:color w:val="000000" w:themeColor="text1"/>
              </w:rPr>
            </w:pPr>
            <w:r w:rsidRPr="00F70330">
              <w:rPr>
                <w:rFonts w:eastAsia="Aptos" w:cs="Arial"/>
                <w:color w:val="000000" w:themeColor="text1"/>
              </w:rPr>
              <w:t>A narrative review of individualised outcome measures found the COPM met criteria as a standardised, client-centred tool with increased responsiveness compared to traditional questionnaires (Canada, 2002).</w:t>
            </w:r>
          </w:p>
          <w:p w14:paraId="5DF6EA16" w14:textId="77777777" w:rsidR="00310DE0" w:rsidRDefault="00310DE0">
            <w:pPr>
              <w:spacing w:after="100" w:line="276" w:lineRule="auto"/>
              <w:ind w:right="57"/>
              <w:rPr>
                <w:rFonts w:eastAsia="Aptos" w:cs="Arial"/>
                <w:color w:val="000000" w:themeColor="text1"/>
              </w:rPr>
            </w:pPr>
            <w:r w:rsidRPr="00F70330">
              <w:rPr>
                <w:rFonts w:eastAsia="Aptos" w:cs="Arial"/>
                <w:color w:val="000000" w:themeColor="text1"/>
              </w:rPr>
              <w:t>Systematic reviews identified the COPM as a well-established multidisciplinary outcome measure for children with developmental disability (Australia, 2018) and as one of only two tools demonstrating adequate responsiveness to detect clinically significant change in children with cerebral palsy (Australia, 2007).</w:t>
            </w:r>
          </w:p>
          <w:p w14:paraId="647F244F" w14:textId="77777777" w:rsidR="00310DE0" w:rsidRPr="00DA4CC0" w:rsidRDefault="00310DE0">
            <w:pPr>
              <w:spacing w:after="100" w:line="276" w:lineRule="auto"/>
              <w:ind w:right="57"/>
              <w:rPr>
                <w:rFonts w:eastAsia="Aptos" w:cs="Arial"/>
                <w:color w:val="000000" w:themeColor="text1"/>
              </w:rPr>
            </w:pPr>
            <w:r w:rsidRPr="00F70330">
              <w:rPr>
                <w:rFonts w:eastAsia="Aptos" w:cs="Arial"/>
                <w:color w:val="000000" w:themeColor="text1"/>
              </w:rPr>
              <w:t xml:space="preserve">The COPM was identified as one of the </w:t>
            </w:r>
            <w:proofErr w:type="gramStart"/>
            <w:r w:rsidRPr="00F70330">
              <w:rPr>
                <w:rFonts w:eastAsia="Aptos" w:cs="Arial"/>
                <w:color w:val="000000" w:themeColor="text1"/>
              </w:rPr>
              <w:t>most commonly used</w:t>
            </w:r>
            <w:proofErr w:type="gramEnd"/>
            <w:r w:rsidRPr="00F70330">
              <w:rPr>
                <w:rFonts w:eastAsia="Aptos" w:cs="Arial"/>
                <w:color w:val="000000" w:themeColor="text1"/>
              </w:rPr>
              <w:t xml:space="preserve"> measures for preschool children with autism spectrum disorder (Iran, 2024) and among potential participation tools for children with power mobility needs (Canada, 2016).</w:t>
            </w:r>
          </w:p>
        </w:tc>
      </w:tr>
      <w:tr w:rsidR="00310DE0" w:rsidRPr="00DA4CC0" w14:paraId="280D5545" w14:textId="77777777">
        <w:trPr>
          <w:trHeight w:val="300"/>
        </w:trPr>
        <w:tc>
          <w:tcPr>
            <w:tcW w:w="2119" w:type="dxa"/>
            <w:tcBorders>
              <w:top w:val="single" w:sz="6" w:space="0" w:color="auto"/>
              <w:left w:val="single" w:sz="6" w:space="0" w:color="auto"/>
              <w:bottom w:val="single" w:sz="6" w:space="0" w:color="auto"/>
              <w:right w:val="single" w:sz="6" w:space="0" w:color="auto"/>
            </w:tcBorders>
          </w:tcPr>
          <w:p w14:paraId="4010A340" w14:textId="77777777" w:rsidR="00310DE0" w:rsidRPr="00DA4CC0" w:rsidRDefault="00310DE0">
            <w:pPr>
              <w:spacing w:after="100" w:line="276" w:lineRule="auto"/>
              <w:ind w:left="57" w:right="57"/>
              <w:rPr>
                <w:rFonts w:eastAsia="Aptos" w:cs="Arial"/>
                <w:b/>
                <w:bCs/>
              </w:rPr>
            </w:pPr>
            <w:r w:rsidRPr="00DA4CC0">
              <w:rPr>
                <w:rFonts w:eastAsia="Aptos" w:cs="Arial"/>
                <w:b/>
                <w:bCs/>
              </w:rPr>
              <w:t>Measurement properties</w:t>
            </w:r>
          </w:p>
        </w:tc>
        <w:tc>
          <w:tcPr>
            <w:tcW w:w="6931" w:type="dxa"/>
            <w:tcBorders>
              <w:top w:val="single" w:sz="6" w:space="0" w:color="auto"/>
              <w:left w:val="single" w:sz="6" w:space="0" w:color="auto"/>
              <w:bottom w:val="single" w:sz="6" w:space="0" w:color="auto"/>
              <w:right w:val="single" w:sz="6" w:space="0" w:color="auto"/>
            </w:tcBorders>
          </w:tcPr>
          <w:p w14:paraId="5953B161" w14:textId="77777777" w:rsidR="00310DE0" w:rsidRPr="004D3568" w:rsidRDefault="00310DE0">
            <w:pPr>
              <w:spacing w:after="100" w:line="276" w:lineRule="auto"/>
              <w:ind w:right="57"/>
              <w:rPr>
                <w:rFonts w:eastAsia="Aptos" w:cs="Arial"/>
                <w:color w:val="000000" w:themeColor="text1"/>
              </w:rPr>
            </w:pPr>
            <w:r w:rsidRPr="004D3568">
              <w:rPr>
                <w:rFonts w:eastAsia="Aptos" w:cs="Arial"/>
                <w:color w:val="000000" w:themeColor="text1"/>
              </w:rPr>
              <w:t>The COPM was developed as an individuali</w:t>
            </w:r>
            <w:r>
              <w:rPr>
                <w:rFonts w:eastAsia="Aptos" w:cs="Arial"/>
                <w:color w:val="000000" w:themeColor="text1"/>
              </w:rPr>
              <w:t>s</w:t>
            </w:r>
            <w:r w:rsidRPr="004D3568">
              <w:rPr>
                <w:rFonts w:eastAsia="Aptos" w:cs="Arial"/>
                <w:color w:val="000000" w:themeColor="text1"/>
              </w:rPr>
              <w:t>ed outcome measure to assess client-identified problem areas in daily function across self-care, productivity, and leisure domains (Canada, 1990).</w:t>
            </w:r>
          </w:p>
          <w:p w14:paraId="7AC8BBFD" w14:textId="77777777" w:rsidR="00310DE0" w:rsidRPr="004D3568" w:rsidRDefault="00310DE0">
            <w:pPr>
              <w:spacing w:after="100" w:line="276" w:lineRule="auto"/>
              <w:ind w:right="57"/>
              <w:rPr>
                <w:rFonts w:eastAsia="Aptos" w:cs="Arial"/>
                <w:color w:val="000000" w:themeColor="text1"/>
              </w:rPr>
            </w:pPr>
            <w:r w:rsidRPr="004D3568">
              <w:rPr>
                <w:rFonts w:eastAsia="Aptos" w:cs="Arial"/>
                <w:color w:val="000000" w:themeColor="text1"/>
              </w:rPr>
              <w:t xml:space="preserve">The measurement properties of the COPM have been examined in children with cerebral palsy (Australia, 2006, 2007, 2012), where it was adapted for young children by removing work and household management categories and using parent-proxy ratings. The COPM has been compared with Goal </w:t>
            </w:r>
            <w:r w:rsidRPr="004D3568">
              <w:rPr>
                <w:rFonts w:eastAsia="Aptos" w:cs="Arial"/>
                <w:color w:val="000000" w:themeColor="text1"/>
              </w:rPr>
              <w:lastRenderedPageBreak/>
              <w:t xml:space="preserve">Attainment Scaling for paediatric rehabilitation research (Australia, 2006), with the </w:t>
            </w:r>
            <w:proofErr w:type="spellStart"/>
            <w:r w:rsidRPr="004D3568">
              <w:rPr>
                <w:rFonts w:eastAsia="Aptos" w:cs="Arial"/>
                <w:color w:val="000000" w:themeColor="text1"/>
              </w:rPr>
              <w:t>Pediatric</w:t>
            </w:r>
            <w:proofErr w:type="spellEnd"/>
            <w:r w:rsidRPr="004D3568">
              <w:rPr>
                <w:rFonts w:eastAsia="Aptos" w:cs="Arial"/>
                <w:color w:val="000000" w:themeColor="text1"/>
              </w:rPr>
              <w:t xml:space="preserve"> Outcomes Data Collection Instrument in paediatric hand therapy (USA, 2020) and tested for feasibility in paediatric telehealth rehabilitation (USA, 2021).</w:t>
            </w:r>
          </w:p>
          <w:p w14:paraId="01E0CC61" w14:textId="77777777" w:rsidR="00310DE0" w:rsidRPr="00DA4CC0" w:rsidRDefault="00310DE0">
            <w:pPr>
              <w:spacing w:after="100" w:line="276" w:lineRule="auto"/>
              <w:ind w:right="57"/>
              <w:rPr>
                <w:rFonts w:eastAsia="Aptos" w:cs="Arial"/>
                <w:color w:val="000000" w:themeColor="text1"/>
              </w:rPr>
            </w:pPr>
            <w:r w:rsidRPr="004D3568">
              <w:rPr>
                <w:rFonts w:eastAsia="Aptos" w:cs="Arial"/>
                <w:color w:val="000000" w:themeColor="text1"/>
              </w:rPr>
              <w:t>In adult populations, the COPM has been tested for validity as an outcome measure in pain management programs (UK, 2001), with community-dwelling adults with disabilities (Canada, 2000), in primary care settings (Canada, 2017), and with older adults in sub-acute rehabilitation where it was compared with the Functional Independence Measure and SF-36 (Australia, 2018). Studies have examined various aspects of validity, reliability, responsiveness, and clinical utility across these populations.</w:t>
            </w:r>
          </w:p>
        </w:tc>
      </w:tr>
      <w:tr w:rsidR="00310DE0" w:rsidRPr="00DA4CC0" w14:paraId="2A4FFE25" w14:textId="77777777">
        <w:trPr>
          <w:trHeight w:val="300"/>
        </w:trPr>
        <w:tc>
          <w:tcPr>
            <w:tcW w:w="2119" w:type="dxa"/>
            <w:tcBorders>
              <w:top w:val="single" w:sz="6" w:space="0" w:color="auto"/>
              <w:left w:val="single" w:sz="6" w:space="0" w:color="auto"/>
              <w:bottom w:val="single" w:sz="6" w:space="0" w:color="auto"/>
              <w:right w:val="single" w:sz="6" w:space="0" w:color="auto"/>
            </w:tcBorders>
          </w:tcPr>
          <w:p w14:paraId="228CFC1B" w14:textId="77777777" w:rsidR="00310DE0" w:rsidRPr="009C2640" w:rsidRDefault="00310DE0">
            <w:pPr>
              <w:rPr>
                <w:rFonts w:eastAsia="Aptos" w:cs="Arial"/>
                <w:b/>
                <w:bCs/>
              </w:rPr>
            </w:pPr>
            <w:r w:rsidRPr="009C2640">
              <w:rPr>
                <w:rFonts w:cs="Arial"/>
                <w:b/>
                <w:bCs/>
              </w:rPr>
              <w:lastRenderedPageBreak/>
              <w:t>S</w:t>
            </w:r>
            <w:r w:rsidRPr="009C2640">
              <w:rPr>
                <w:b/>
                <w:bCs/>
              </w:rPr>
              <w:t>pecial considerations</w:t>
            </w:r>
          </w:p>
        </w:tc>
        <w:tc>
          <w:tcPr>
            <w:tcW w:w="6931" w:type="dxa"/>
            <w:tcBorders>
              <w:top w:val="single" w:sz="6" w:space="0" w:color="auto"/>
              <w:left w:val="single" w:sz="6" w:space="0" w:color="auto"/>
              <w:bottom w:val="single" w:sz="6" w:space="0" w:color="auto"/>
              <w:right w:val="single" w:sz="6" w:space="0" w:color="auto"/>
            </w:tcBorders>
          </w:tcPr>
          <w:p w14:paraId="15B05F98" w14:textId="77777777" w:rsidR="00310DE0" w:rsidRDefault="00310DE0">
            <w:pPr>
              <w:ind w:right="115"/>
              <w:rPr>
                <w:rFonts w:eastAsia="Aptos" w:cs="Arial"/>
                <w:color w:val="000000" w:themeColor="text1"/>
              </w:rPr>
            </w:pPr>
            <w:r>
              <w:rPr>
                <w:rFonts w:eastAsia="Arial"/>
              </w:rPr>
              <w:t>Because the COPM can be tailored to circumstances of the child and family, it is possible to set goals related to a range of ECI goal areas. However, t</w:t>
            </w:r>
            <w:r w:rsidRPr="00862102">
              <w:t>o be consistent with the goal area chose</w:t>
            </w:r>
            <w:r>
              <w:t>n</w:t>
            </w:r>
            <w:r w:rsidRPr="00862102">
              <w:t xml:space="preserve"> requires clear identification of the outcome desired.</w:t>
            </w:r>
          </w:p>
        </w:tc>
      </w:tr>
      <w:tr w:rsidR="00310DE0" w:rsidRPr="00DA4CC0" w14:paraId="5EFCF67D" w14:textId="77777777">
        <w:trPr>
          <w:trHeight w:val="300"/>
        </w:trPr>
        <w:tc>
          <w:tcPr>
            <w:tcW w:w="2119" w:type="dxa"/>
            <w:tcBorders>
              <w:top w:val="single" w:sz="6" w:space="0" w:color="auto"/>
              <w:left w:val="single" w:sz="6" w:space="0" w:color="auto"/>
              <w:bottom w:val="single" w:sz="6" w:space="0" w:color="auto"/>
              <w:right w:val="single" w:sz="6" w:space="0" w:color="auto"/>
            </w:tcBorders>
          </w:tcPr>
          <w:p w14:paraId="59D5A68F" w14:textId="77777777" w:rsidR="00310DE0" w:rsidRPr="00DA4CC0" w:rsidRDefault="00310DE0">
            <w:pPr>
              <w:spacing w:after="100" w:line="276" w:lineRule="auto"/>
              <w:ind w:left="57" w:right="57"/>
              <w:rPr>
                <w:rFonts w:eastAsia="Aptos" w:cs="Arial"/>
                <w:b/>
                <w:bCs/>
              </w:rPr>
            </w:pPr>
            <w:r w:rsidRPr="6E7C5994">
              <w:rPr>
                <w:rFonts w:eastAsia="Aptos" w:cs="Arial"/>
                <w:b/>
                <w:bCs/>
              </w:rPr>
              <w:t xml:space="preserve">Cultural </w:t>
            </w:r>
            <w:r w:rsidRPr="64920801">
              <w:rPr>
                <w:rFonts w:eastAsia="Aptos" w:cs="Arial"/>
                <w:b/>
                <w:bCs/>
              </w:rPr>
              <w:t>adaptation</w:t>
            </w:r>
            <w:r w:rsidRPr="6E7C5994">
              <w:rPr>
                <w:rFonts w:eastAsia="Aptos" w:cs="Arial"/>
                <w:b/>
                <w:bCs/>
              </w:rPr>
              <w:t xml:space="preserve"> papers</w:t>
            </w:r>
          </w:p>
        </w:tc>
        <w:tc>
          <w:tcPr>
            <w:tcW w:w="6931" w:type="dxa"/>
            <w:tcBorders>
              <w:top w:val="single" w:sz="6" w:space="0" w:color="auto"/>
              <w:left w:val="single" w:sz="6" w:space="0" w:color="auto"/>
              <w:bottom w:val="single" w:sz="6" w:space="0" w:color="auto"/>
              <w:right w:val="single" w:sz="6" w:space="0" w:color="auto"/>
            </w:tcBorders>
          </w:tcPr>
          <w:p w14:paraId="7463A2F9" w14:textId="77777777" w:rsidR="00310DE0" w:rsidRDefault="00310DE0">
            <w:pPr>
              <w:spacing w:after="100" w:line="276" w:lineRule="auto"/>
              <w:ind w:right="57"/>
              <w:rPr>
                <w:rFonts w:eastAsia="Aptos" w:cs="Arial"/>
                <w:color w:val="000000" w:themeColor="text1"/>
              </w:rPr>
            </w:pPr>
            <w:r>
              <w:rPr>
                <w:rFonts w:eastAsia="Aptos" w:cs="Arial"/>
                <w:color w:val="000000" w:themeColor="text1"/>
              </w:rPr>
              <w:t xml:space="preserve">The </w:t>
            </w:r>
            <w:r w:rsidRPr="00ED5E98">
              <w:rPr>
                <w:rFonts w:eastAsia="Aptos" w:cs="Arial"/>
                <w:color w:val="000000" w:themeColor="text1"/>
              </w:rPr>
              <w:t>measurement properties of the COPM have been explored</w:t>
            </w:r>
            <w:r>
              <w:rPr>
                <w:rFonts w:eastAsia="Aptos" w:cs="Arial"/>
                <w:color w:val="000000" w:themeColor="text1"/>
              </w:rPr>
              <w:t xml:space="preserve"> in 19 identified studies</w:t>
            </w:r>
            <w:r w:rsidRPr="00ED5E98">
              <w:rPr>
                <w:rFonts w:eastAsia="Aptos" w:cs="Arial"/>
                <w:color w:val="000000" w:themeColor="text1"/>
              </w:rPr>
              <w:t xml:space="preserve"> across multiple countries and languages</w:t>
            </w:r>
            <w:r>
              <w:rPr>
                <w:rFonts w:eastAsia="Aptos" w:cs="Arial"/>
                <w:color w:val="000000" w:themeColor="text1"/>
              </w:rPr>
              <w:t xml:space="preserve"> (2002-2022)</w:t>
            </w:r>
            <w:r w:rsidRPr="00ED5E98">
              <w:rPr>
                <w:rFonts w:eastAsia="Aptos" w:cs="Arial"/>
                <w:color w:val="000000" w:themeColor="text1"/>
              </w:rPr>
              <w:t xml:space="preserve">. </w:t>
            </w:r>
          </w:p>
          <w:p w14:paraId="2D70214B" w14:textId="77777777" w:rsidR="00310DE0" w:rsidRPr="00ED5E98" w:rsidRDefault="00310DE0">
            <w:pPr>
              <w:spacing w:after="100" w:line="276" w:lineRule="auto"/>
              <w:ind w:right="57"/>
              <w:rPr>
                <w:rFonts w:eastAsia="Aptos" w:cs="Arial"/>
                <w:color w:val="000000" w:themeColor="text1"/>
              </w:rPr>
            </w:pPr>
            <w:r w:rsidRPr="00ED5E98">
              <w:rPr>
                <w:rFonts w:eastAsia="Aptos" w:cs="Arial"/>
                <w:color w:val="000000" w:themeColor="text1"/>
              </w:rPr>
              <w:t xml:space="preserve">Translation and cross-cultural validation processes were documented for Danish (2019) and Turkish (2021) versions. </w:t>
            </w:r>
          </w:p>
          <w:p w14:paraId="41BA1762" w14:textId="77777777" w:rsidR="00310DE0" w:rsidRPr="00ED5E98" w:rsidRDefault="00310DE0">
            <w:pPr>
              <w:spacing w:after="100" w:line="276" w:lineRule="auto"/>
              <w:ind w:right="57"/>
              <w:rPr>
                <w:rFonts w:eastAsia="Aptos" w:cs="Arial"/>
                <w:color w:val="000000" w:themeColor="text1"/>
              </w:rPr>
            </w:pPr>
            <w:r w:rsidRPr="00ED5E98">
              <w:rPr>
                <w:rFonts w:eastAsia="Aptos" w:cs="Arial"/>
                <w:color w:val="000000" w:themeColor="text1"/>
              </w:rPr>
              <w:t>In Denmark, clinical utility was assessed with occupational therapists (2021), content validity was examined in hospital and community rehabilitation (2020), construct validity was tested across settings (2020), and utility as an admission and outcome measure was assessed in geriatric rehabilitation (2012).</w:t>
            </w:r>
          </w:p>
          <w:p w14:paraId="1B1FDBFA" w14:textId="77777777" w:rsidR="00310DE0" w:rsidRPr="00ED5E98" w:rsidRDefault="00310DE0">
            <w:pPr>
              <w:spacing w:after="100" w:line="276" w:lineRule="auto"/>
              <w:ind w:right="57"/>
              <w:rPr>
                <w:rFonts w:eastAsia="Aptos" w:cs="Arial"/>
                <w:color w:val="000000" w:themeColor="text1"/>
              </w:rPr>
            </w:pPr>
            <w:r w:rsidRPr="00ED5E98">
              <w:rPr>
                <w:rFonts w:eastAsia="Aptos" w:cs="Arial"/>
                <w:color w:val="000000" w:themeColor="text1"/>
              </w:rPr>
              <w:t xml:space="preserve">In the Netherlands, studies have examined responsiveness in children with developmental coordination disorder (2022); children's and parents' experiences with the COPM (2021); construct validity and responsiveness in chronic pain (2014); reproducibility, construct validity and criterion validity with parents of children with disabilities (2006); reproducibility with adult outpatients (2005); convergent and divergent validity with hospital outpatients (2004); and reliability and discriminant validity in stroke patients (2003). </w:t>
            </w:r>
          </w:p>
          <w:p w14:paraId="3046C356" w14:textId="77777777" w:rsidR="00310DE0" w:rsidRDefault="00310DE0">
            <w:pPr>
              <w:spacing w:after="100" w:line="276" w:lineRule="auto"/>
              <w:ind w:right="57"/>
              <w:rPr>
                <w:rFonts w:eastAsia="Aptos" w:cs="Arial"/>
                <w:color w:val="000000" w:themeColor="text1"/>
              </w:rPr>
            </w:pPr>
            <w:r w:rsidRPr="00ED5E98">
              <w:rPr>
                <w:rFonts w:eastAsia="Aptos" w:cs="Arial"/>
                <w:color w:val="000000" w:themeColor="text1"/>
              </w:rPr>
              <w:t xml:space="preserve">The measurement properties of the COPM have also been explored in Italy (construct validity, test-retest reliability in spinal cord injury, 2019; validity, responsiveness, feasibility in ankylosing spondylitis, 2010), Norway (test-retest reliability in </w:t>
            </w:r>
            <w:r w:rsidRPr="00ED5E98">
              <w:rPr>
                <w:rFonts w:eastAsia="Aptos" w:cs="Arial"/>
                <w:color w:val="000000" w:themeColor="text1"/>
              </w:rPr>
              <w:lastRenderedPageBreak/>
              <w:t>ankylosing spondylitis, 2005; validity, responsiveness in hand osteoarthritis, 2004), Spain (convergent validity, responsiveness in carpometacarpal osteoarthritis, 2021), and Sweden (clinical utility with occupational therapists, 2002).</w:t>
            </w:r>
          </w:p>
          <w:p w14:paraId="25C098F4" w14:textId="77777777" w:rsidR="00310DE0" w:rsidRDefault="00310DE0">
            <w:pPr>
              <w:spacing w:after="100" w:line="276" w:lineRule="auto"/>
              <w:ind w:right="57"/>
              <w:rPr>
                <w:rFonts w:eastAsia="Aptos" w:cs="Arial"/>
                <w:color w:val="000000" w:themeColor="text1"/>
              </w:rPr>
            </w:pPr>
            <w:r>
              <w:rPr>
                <w:rFonts w:eastAsia="Aptos" w:cs="Arial"/>
                <w:color w:val="000000" w:themeColor="text1"/>
              </w:rPr>
              <w:t xml:space="preserve">12 studies were identified that </w:t>
            </w:r>
            <w:r w:rsidRPr="00B32B85">
              <w:rPr>
                <w:rFonts w:eastAsia="Aptos" w:cs="Arial"/>
                <w:color w:val="000000" w:themeColor="text1"/>
              </w:rPr>
              <w:t>use the COPM as an outcome measure in the ECI practice setting</w:t>
            </w:r>
            <w:r>
              <w:rPr>
                <w:rFonts w:eastAsia="Aptos" w:cs="Arial"/>
                <w:color w:val="000000" w:themeColor="text1"/>
              </w:rPr>
              <w:t xml:space="preserve"> in different cultural contexts including: </w:t>
            </w:r>
          </w:p>
          <w:p w14:paraId="68B892E4" w14:textId="77777777" w:rsidR="00310DE0" w:rsidRPr="00204119" w:rsidRDefault="00310DE0">
            <w:pPr>
              <w:spacing w:after="100" w:line="276" w:lineRule="auto"/>
              <w:ind w:right="57"/>
              <w:rPr>
                <w:rFonts w:eastAsia="Aptos" w:cs="Arial"/>
                <w:color w:val="000000" w:themeColor="text1"/>
              </w:rPr>
            </w:pPr>
            <w:r w:rsidRPr="00204119">
              <w:rPr>
                <w:rFonts w:eastAsia="Aptos" w:cs="Arial"/>
                <w:color w:val="000000" w:themeColor="text1"/>
              </w:rPr>
              <w:t>Belgium: a randomi</w:t>
            </w:r>
            <w:r>
              <w:rPr>
                <w:rFonts w:eastAsia="Aptos" w:cs="Arial"/>
                <w:color w:val="000000" w:themeColor="text1"/>
              </w:rPr>
              <w:t>s</w:t>
            </w:r>
            <w:r w:rsidRPr="00204119">
              <w:rPr>
                <w:rFonts w:eastAsia="Aptos" w:cs="Arial"/>
                <w:color w:val="000000" w:themeColor="text1"/>
              </w:rPr>
              <w:t>ed clinical trial evaluating hand-arm bimanual intensive therapy including lower extremities (HABIT-ILE) in infants aged 6 to 18 months with unilateral cerebral palsy (2024).</w:t>
            </w:r>
          </w:p>
          <w:p w14:paraId="0BE83542" w14:textId="77777777" w:rsidR="00310DE0" w:rsidRPr="00204119" w:rsidRDefault="00310DE0">
            <w:pPr>
              <w:spacing w:after="100" w:line="276" w:lineRule="auto"/>
              <w:ind w:right="57"/>
              <w:rPr>
                <w:rFonts w:eastAsia="Aptos" w:cs="Arial"/>
                <w:color w:val="000000" w:themeColor="text1"/>
              </w:rPr>
            </w:pPr>
            <w:r w:rsidRPr="00204119">
              <w:rPr>
                <w:rFonts w:eastAsia="Aptos" w:cs="Arial"/>
                <w:color w:val="000000" w:themeColor="text1"/>
              </w:rPr>
              <w:t xml:space="preserve">Brazil: Two studies </w:t>
            </w:r>
            <w:r>
              <w:rPr>
                <w:rFonts w:eastAsia="Aptos" w:cs="Arial"/>
                <w:color w:val="000000" w:themeColor="text1"/>
              </w:rPr>
              <w:t>of</w:t>
            </w:r>
            <w:r w:rsidRPr="00204119">
              <w:rPr>
                <w:rFonts w:eastAsia="Aptos" w:cs="Arial"/>
                <w:color w:val="000000" w:themeColor="text1"/>
              </w:rPr>
              <w:t xml:space="preserve"> children with cerebral palsy, including: a randomi</w:t>
            </w:r>
            <w:r>
              <w:rPr>
                <w:rFonts w:eastAsia="Aptos" w:cs="Arial"/>
                <w:color w:val="000000" w:themeColor="text1"/>
              </w:rPr>
              <w:t>s</w:t>
            </w:r>
            <w:r w:rsidRPr="00204119">
              <w:rPr>
                <w:rFonts w:eastAsia="Aptos" w:cs="Arial"/>
                <w:color w:val="000000" w:themeColor="text1"/>
              </w:rPr>
              <w:t>ed trial comparing structured skill and unstructured practice during intensive bimanual training (2014); and a pilot study examining dosage effects of hand-arm bimanual intensive training on hand and daily functioning (2018).</w:t>
            </w:r>
          </w:p>
          <w:p w14:paraId="664FE530" w14:textId="77777777" w:rsidR="00310DE0" w:rsidRPr="00204119" w:rsidRDefault="00310DE0">
            <w:pPr>
              <w:spacing w:after="100" w:line="276" w:lineRule="auto"/>
              <w:ind w:right="57"/>
              <w:rPr>
                <w:rFonts w:eastAsia="Aptos" w:cs="Arial"/>
                <w:color w:val="000000" w:themeColor="text1"/>
              </w:rPr>
            </w:pPr>
            <w:r w:rsidRPr="00204119">
              <w:rPr>
                <w:rFonts w:eastAsia="Aptos" w:cs="Arial"/>
                <w:color w:val="000000" w:themeColor="text1"/>
              </w:rPr>
              <w:t xml:space="preserve">Israel: Three studies </w:t>
            </w:r>
            <w:r>
              <w:rPr>
                <w:rFonts w:eastAsia="Aptos" w:cs="Arial"/>
                <w:color w:val="000000" w:themeColor="text1"/>
              </w:rPr>
              <w:t>of</w:t>
            </w:r>
            <w:r w:rsidRPr="00204119">
              <w:rPr>
                <w:rFonts w:eastAsia="Aptos" w:cs="Arial"/>
                <w:color w:val="000000" w:themeColor="text1"/>
              </w:rPr>
              <w:t xml:space="preserve"> children with ADHD, including: a controlled study of Cognitive-Functional (Cog-Fun) occupational therapy intervention for young children (2014); a pilot study of a cognitive-functional group intervention for preschoolers (2015); and a randomi</w:t>
            </w:r>
            <w:r>
              <w:rPr>
                <w:rFonts w:eastAsia="Aptos" w:cs="Arial"/>
                <w:color w:val="000000" w:themeColor="text1"/>
              </w:rPr>
              <w:t>s</w:t>
            </w:r>
            <w:r w:rsidRPr="00204119">
              <w:rPr>
                <w:rFonts w:eastAsia="Aptos" w:cs="Arial"/>
                <w:color w:val="000000" w:themeColor="text1"/>
              </w:rPr>
              <w:t>ed controlled trial</w:t>
            </w:r>
            <w:r>
              <w:rPr>
                <w:rFonts w:eastAsia="Aptos" w:cs="Arial"/>
                <w:color w:val="000000" w:themeColor="text1"/>
              </w:rPr>
              <w:t xml:space="preserve"> (RCT)</w:t>
            </w:r>
            <w:r w:rsidRPr="00204119">
              <w:rPr>
                <w:rFonts w:eastAsia="Aptos" w:cs="Arial"/>
                <w:color w:val="000000" w:themeColor="text1"/>
              </w:rPr>
              <w:t xml:space="preserve"> of Parental Occupation Executive Training (POET), a short-term parental training program focusing on occupational goals and executive functions (2019).</w:t>
            </w:r>
          </w:p>
          <w:p w14:paraId="221855D4" w14:textId="77777777" w:rsidR="00310DE0" w:rsidRPr="00204119" w:rsidRDefault="00310DE0">
            <w:pPr>
              <w:spacing w:after="100" w:line="276" w:lineRule="auto"/>
              <w:ind w:right="57"/>
              <w:rPr>
                <w:rFonts w:eastAsia="Aptos" w:cs="Arial"/>
                <w:color w:val="000000" w:themeColor="text1"/>
              </w:rPr>
            </w:pPr>
            <w:r w:rsidRPr="00204119">
              <w:rPr>
                <w:rFonts w:eastAsia="Aptos" w:cs="Arial"/>
                <w:color w:val="000000" w:themeColor="text1"/>
              </w:rPr>
              <w:t>South Korea: One study compar</w:t>
            </w:r>
            <w:r>
              <w:rPr>
                <w:rFonts w:eastAsia="Aptos" w:cs="Arial"/>
                <w:color w:val="000000" w:themeColor="text1"/>
              </w:rPr>
              <w:t>ing</w:t>
            </w:r>
            <w:r w:rsidRPr="00204119">
              <w:rPr>
                <w:rFonts w:eastAsia="Aptos" w:cs="Arial"/>
                <w:color w:val="000000" w:themeColor="text1"/>
              </w:rPr>
              <w:t xml:space="preserve"> three different intensities of robot-assisted gait training for achieving favo</w:t>
            </w:r>
            <w:r>
              <w:rPr>
                <w:rFonts w:eastAsia="Aptos" w:cs="Arial"/>
                <w:color w:val="000000" w:themeColor="text1"/>
              </w:rPr>
              <w:t>u</w:t>
            </w:r>
            <w:r w:rsidRPr="00204119">
              <w:rPr>
                <w:rFonts w:eastAsia="Aptos" w:cs="Arial"/>
                <w:color w:val="000000" w:themeColor="text1"/>
              </w:rPr>
              <w:t>rable outcomes in children with cerebral palsy classified in Gross Motor Function Classification System levels II and III (2024).</w:t>
            </w:r>
          </w:p>
          <w:p w14:paraId="1AA1755E" w14:textId="77777777" w:rsidR="00310DE0" w:rsidRPr="00204119" w:rsidRDefault="00310DE0">
            <w:pPr>
              <w:spacing w:after="100" w:line="276" w:lineRule="auto"/>
              <w:ind w:right="57"/>
              <w:rPr>
                <w:rFonts w:eastAsia="Aptos" w:cs="Arial"/>
                <w:color w:val="000000" w:themeColor="text1"/>
              </w:rPr>
            </w:pPr>
            <w:r w:rsidRPr="00204119">
              <w:rPr>
                <w:rFonts w:eastAsia="Aptos" w:cs="Arial"/>
                <w:color w:val="000000" w:themeColor="text1"/>
              </w:rPr>
              <w:t>Sweden</w:t>
            </w:r>
            <w:r>
              <w:rPr>
                <w:rFonts w:eastAsia="Aptos" w:cs="Arial"/>
                <w:color w:val="000000" w:themeColor="text1"/>
              </w:rPr>
              <w:t>:</w:t>
            </w:r>
            <w:r w:rsidRPr="00204119">
              <w:rPr>
                <w:rFonts w:eastAsia="Aptos" w:cs="Arial"/>
                <w:color w:val="000000" w:themeColor="text1"/>
              </w:rPr>
              <w:t xml:space="preserve"> a </w:t>
            </w:r>
            <w:r>
              <w:rPr>
                <w:rFonts w:eastAsia="Aptos" w:cs="Arial"/>
                <w:color w:val="000000" w:themeColor="text1"/>
              </w:rPr>
              <w:t>RCT</w:t>
            </w:r>
            <w:r w:rsidRPr="00204119">
              <w:rPr>
                <w:rFonts w:eastAsia="Aptos" w:cs="Arial"/>
                <w:color w:val="000000" w:themeColor="text1"/>
              </w:rPr>
              <w:t xml:space="preserve"> examining botulinum toxin A injections and occupational therapy in children with unilateral spastic cerebral palsy aged 2.5 to 8 years (2015).</w:t>
            </w:r>
          </w:p>
          <w:p w14:paraId="3F205856" w14:textId="77777777" w:rsidR="00310DE0" w:rsidRPr="00204119" w:rsidRDefault="00310DE0">
            <w:pPr>
              <w:spacing w:after="100" w:line="276" w:lineRule="auto"/>
              <w:ind w:right="57"/>
              <w:rPr>
                <w:rFonts w:eastAsia="Aptos" w:cs="Arial"/>
                <w:color w:val="000000" w:themeColor="text1"/>
              </w:rPr>
            </w:pPr>
            <w:r w:rsidRPr="00204119">
              <w:rPr>
                <w:rFonts w:eastAsia="Aptos" w:cs="Arial"/>
                <w:color w:val="000000" w:themeColor="text1"/>
              </w:rPr>
              <w:t xml:space="preserve">Taiwan: a </w:t>
            </w:r>
            <w:r>
              <w:rPr>
                <w:rFonts w:eastAsia="Aptos" w:cs="Arial"/>
                <w:color w:val="000000" w:themeColor="text1"/>
              </w:rPr>
              <w:t>RCT</w:t>
            </w:r>
            <w:r w:rsidRPr="00204119">
              <w:rPr>
                <w:rFonts w:eastAsia="Aptos" w:cs="Arial"/>
                <w:color w:val="000000" w:themeColor="text1"/>
              </w:rPr>
              <w:t xml:space="preserve"> of routines-based early intervention for children with or at risk for developmental delay (2013); and a </w:t>
            </w:r>
            <w:r>
              <w:rPr>
                <w:rFonts w:eastAsia="Aptos" w:cs="Arial"/>
                <w:color w:val="000000" w:themeColor="text1"/>
              </w:rPr>
              <w:t>RCT</w:t>
            </w:r>
            <w:r w:rsidRPr="00204119">
              <w:rPr>
                <w:rFonts w:eastAsia="Aptos" w:cs="Arial"/>
                <w:color w:val="000000" w:themeColor="text1"/>
              </w:rPr>
              <w:t xml:space="preserve"> of an environment-based intervention for participation of autistic children aged 6-10 years (2023).</w:t>
            </w:r>
          </w:p>
          <w:p w14:paraId="56E9B621" w14:textId="77777777" w:rsidR="00310DE0" w:rsidRPr="00DA4CC0" w:rsidRDefault="00310DE0">
            <w:pPr>
              <w:spacing w:after="100" w:line="276" w:lineRule="auto"/>
              <w:ind w:right="57"/>
              <w:rPr>
                <w:rFonts w:eastAsia="Aptos" w:cs="Arial"/>
                <w:color w:val="000000" w:themeColor="text1"/>
              </w:rPr>
            </w:pPr>
            <w:r w:rsidRPr="00204119">
              <w:rPr>
                <w:rFonts w:eastAsia="Aptos" w:cs="Arial"/>
                <w:color w:val="000000" w:themeColor="text1"/>
              </w:rPr>
              <w:t xml:space="preserve">Netherlands: Two studies </w:t>
            </w:r>
            <w:r>
              <w:rPr>
                <w:rFonts w:eastAsia="Aptos" w:cs="Arial"/>
                <w:color w:val="000000" w:themeColor="text1"/>
              </w:rPr>
              <w:t>of</w:t>
            </w:r>
            <w:r w:rsidRPr="00204119">
              <w:rPr>
                <w:rFonts w:eastAsia="Aptos" w:cs="Arial"/>
                <w:color w:val="000000" w:themeColor="text1"/>
              </w:rPr>
              <w:t xml:space="preserve"> children with cerebral palsy, including: a </w:t>
            </w:r>
            <w:r>
              <w:rPr>
                <w:rFonts w:eastAsia="Aptos" w:cs="Arial"/>
                <w:color w:val="000000" w:themeColor="text1"/>
              </w:rPr>
              <w:t>RCT</w:t>
            </w:r>
            <w:r w:rsidRPr="00204119">
              <w:rPr>
                <w:rFonts w:eastAsia="Aptos" w:cs="Arial"/>
                <w:color w:val="000000" w:themeColor="text1"/>
              </w:rPr>
              <w:t xml:space="preserve"> of modified constraint-induced movement therapy followed by bimanual task-specific training for children with unilateral spastic cerebral palsy (2010); and a clinical trial examining the effects of botulinum toxin A and/or bimanual task-</w:t>
            </w:r>
            <w:r w:rsidRPr="00204119">
              <w:rPr>
                <w:rFonts w:eastAsia="Aptos" w:cs="Arial"/>
                <w:color w:val="000000" w:themeColor="text1"/>
              </w:rPr>
              <w:lastRenderedPageBreak/>
              <w:t>oriented therapy on upper extremity activities in unilateral cerebral palsy (2015).</w:t>
            </w:r>
          </w:p>
        </w:tc>
      </w:tr>
      <w:tr w:rsidR="00310DE0" w:rsidRPr="00DA4CC0" w14:paraId="1C58F80E" w14:textId="77777777">
        <w:trPr>
          <w:trHeight w:val="300"/>
        </w:trPr>
        <w:tc>
          <w:tcPr>
            <w:tcW w:w="2119" w:type="dxa"/>
            <w:tcBorders>
              <w:top w:val="single" w:sz="6" w:space="0" w:color="auto"/>
              <w:left w:val="single" w:sz="6" w:space="0" w:color="auto"/>
              <w:bottom w:val="single" w:sz="6" w:space="0" w:color="auto"/>
              <w:right w:val="single" w:sz="6" w:space="0" w:color="auto"/>
            </w:tcBorders>
          </w:tcPr>
          <w:p w14:paraId="298905D5" w14:textId="77777777" w:rsidR="00310DE0" w:rsidRPr="00DA4CC0" w:rsidRDefault="00310DE0">
            <w:pPr>
              <w:spacing w:after="100" w:line="276" w:lineRule="auto"/>
              <w:ind w:left="57" w:right="57"/>
              <w:rPr>
                <w:rFonts w:eastAsia="Aptos" w:cs="Arial"/>
                <w:b/>
                <w:bCs/>
              </w:rPr>
            </w:pPr>
            <w:r w:rsidRPr="00DA4CC0">
              <w:rPr>
                <w:rFonts w:eastAsia="Aptos" w:cs="Arial"/>
                <w:b/>
                <w:bCs/>
              </w:rPr>
              <w:lastRenderedPageBreak/>
              <w:t>Outcome studies in ECI settings</w:t>
            </w:r>
          </w:p>
        </w:tc>
        <w:tc>
          <w:tcPr>
            <w:tcW w:w="6931" w:type="dxa"/>
            <w:tcBorders>
              <w:top w:val="single" w:sz="6" w:space="0" w:color="auto"/>
              <w:left w:val="single" w:sz="6" w:space="0" w:color="auto"/>
              <w:bottom w:val="single" w:sz="6" w:space="0" w:color="auto"/>
              <w:right w:val="single" w:sz="6" w:space="0" w:color="auto"/>
            </w:tcBorders>
          </w:tcPr>
          <w:p w14:paraId="08B18FDA" w14:textId="77777777" w:rsidR="00310DE0" w:rsidRPr="00B32B85" w:rsidRDefault="00310DE0">
            <w:pPr>
              <w:spacing w:after="100" w:line="276" w:lineRule="auto"/>
              <w:ind w:right="57"/>
              <w:rPr>
                <w:rFonts w:eastAsia="Aptos" w:cs="Arial"/>
                <w:color w:val="000000" w:themeColor="text1"/>
              </w:rPr>
            </w:pPr>
            <w:r w:rsidRPr="00B32B85">
              <w:rPr>
                <w:rFonts w:eastAsia="Aptos" w:cs="Arial"/>
                <w:color w:val="000000" w:themeColor="text1"/>
              </w:rPr>
              <w:t xml:space="preserve">15 primary studies were identified that use the COPM as an outcome measure in the ECI practice setting (2007-2024). </w:t>
            </w:r>
          </w:p>
          <w:p w14:paraId="1EE85F03" w14:textId="77777777" w:rsidR="00310DE0" w:rsidRPr="00B32B85" w:rsidRDefault="00310DE0">
            <w:pPr>
              <w:spacing w:after="100" w:line="276" w:lineRule="auto"/>
              <w:ind w:right="57"/>
              <w:rPr>
                <w:rFonts w:eastAsia="Aptos" w:cs="Arial"/>
                <w:color w:val="000000" w:themeColor="text1"/>
              </w:rPr>
            </w:pPr>
            <w:r w:rsidRPr="00B32B85">
              <w:rPr>
                <w:rFonts w:eastAsia="Aptos" w:cs="Arial"/>
                <w:color w:val="000000" w:themeColor="text1"/>
              </w:rPr>
              <w:t xml:space="preserve">In Australia, these include a double-blind </w:t>
            </w:r>
            <w:r>
              <w:rPr>
                <w:rFonts w:eastAsia="Aptos" w:cs="Arial"/>
                <w:color w:val="000000" w:themeColor="text1"/>
              </w:rPr>
              <w:t>RCT</w:t>
            </w:r>
            <w:r w:rsidRPr="00B32B85">
              <w:rPr>
                <w:rFonts w:eastAsia="Aptos" w:cs="Arial"/>
                <w:color w:val="000000" w:themeColor="text1"/>
              </w:rPr>
              <w:t xml:space="preserve"> of occupational therapy home programmes for children with cerebral palsy (2009); a </w:t>
            </w:r>
            <w:r>
              <w:rPr>
                <w:rFonts w:eastAsia="Aptos" w:cs="Arial"/>
                <w:color w:val="000000" w:themeColor="text1"/>
              </w:rPr>
              <w:t>RCT</w:t>
            </w:r>
            <w:r w:rsidRPr="00B32B85">
              <w:rPr>
                <w:rFonts w:eastAsia="Aptos" w:cs="Arial"/>
                <w:color w:val="000000" w:themeColor="text1"/>
              </w:rPr>
              <w:t xml:space="preserve"> of botulinum toxin-A injections combined with occupational therapy in the upper limbs of children with cerebral palsy (2007); a </w:t>
            </w:r>
            <w:r>
              <w:rPr>
                <w:rFonts w:eastAsia="Aptos" w:cs="Arial"/>
                <w:color w:val="000000" w:themeColor="text1"/>
              </w:rPr>
              <w:t>RCT</w:t>
            </w:r>
            <w:r w:rsidRPr="00B32B85">
              <w:rPr>
                <w:rFonts w:eastAsia="Aptos" w:cs="Arial"/>
                <w:color w:val="000000" w:themeColor="text1"/>
              </w:rPr>
              <w:t xml:space="preserve"> of repeat botulinum toxin-A injections in the upper limb of children with hemiplegia (2010); an assessor-blinded pragmatic randomised trial of modified constraint-induced therapy compared with intensive occupational therapy for children with hemiplegic cerebral palsy (2011); a single-blind </w:t>
            </w:r>
            <w:r>
              <w:rPr>
                <w:rFonts w:eastAsia="Aptos" w:cs="Arial"/>
                <w:color w:val="000000" w:themeColor="text1"/>
              </w:rPr>
              <w:t>RCT</w:t>
            </w:r>
            <w:r w:rsidRPr="00B32B85">
              <w:rPr>
                <w:rFonts w:eastAsia="Aptos" w:cs="Arial"/>
                <w:color w:val="000000" w:themeColor="text1"/>
              </w:rPr>
              <w:t xml:space="preserve"> of group versus individual physiotherapy following lower limb botulinum toxin-A injections for ambulant children with cerebral palsy (2016); a single-blind </w:t>
            </w:r>
            <w:r>
              <w:rPr>
                <w:rFonts w:eastAsia="Aptos" w:cs="Arial"/>
                <w:color w:val="000000" w:themeColor="text1"/>
              </w:rPr>
              <w:t>RCT</w:t>
            </w:r>
            <w:r w:rsidRPr="00B32B85">
              <w:rPr>
                <w:rFonts w:eastAsia="Aptos" w:cs="Arial"/>
                <w:color w:val="000000" w:themeColor="text1"/>
              </w:rPr>
              <w:t xml:space="preserve"> of Goals-Activity-Motor Enrichment (GAME) intervention in infants at high risk of cerebral palsy (2016); and a feasibility study of an intensive interdisciplinary programme for preschool-aged children with </w:t>
            </w:r>
            <w:proofErr w:type="spellStart"/>
            <w:r w:rsidRPr="00B32B85">
              <w:rPr>
                <w:rFonts w:eastAsia="Aptos" w:cs="Arial"/>
                <w:color w:val="000000" w:themeColor="text1"/>
              </w:rPr>
              <w:t>neurodisabilities</w:t>
            </w:r>
            <w:proofErr w:type="spellEnd"/>
            <w:r w:rsidRPr="00B32B85">
              <w:rPr>
                <w:rFonts w:eastAsia="Aptos" w:cs="Arial"/>
                <w:color w:val="000000" w:themeColor="text1"/>
              </w:rPr>
              <w:t xml:space="preserve"> requiring daily equipment and physical assistance (2023).</w:t>
            </w:r>
          </w:p>
          <w:p w14:paraId="5391AE23" w14:textId="77777777" w:rsidR="00310DE0" w:rsidRPr="00B32B85" w:rsidRDefault="00310DE0">
            <w:pPr>
              <w:spacing w:after="100" w:line="276" w:lineRule="auto"/>
              <w:ind w:right="57"/>
              <w:rPr>
                <w:rFonts w:eastAsia="Aptos" w:cs="Arial"/>
                <w:color w:val="000000" w:themeColor="text1"/>
              </w:rPr>
            </w:pPr>
            <w:r w:rsidRPr="00B32B85">
              <w:rPr>
                <w:rFonts w:eastAsia="Aptos" w:cs="Arial"/>
                <w:color w:val="000000" w:themeColor="text1"/>
              </w:rPr>
              <w:t xml:space="preserve">One study in the UK used the COPM as an outcome measure in a pilot single-blind multicentre </w:t>
            </w:r>
            <w:r>
              <w:rPr>
                <w:rFonts w:eastAsia="Aptos" w:cs="Arial"/>
                <w:color w:val="000000" w:themeColor="text1"/>
              </w:rPr>
              <w:t>RCT</w:t>
            </w:r>
            <w:r w:rsidRPr="00B32B85">
              <w:rPr>
                <w:rFonts w:eastAsia="Aptos" w:cs="Arial"/>
                <w:color w:val="000000" w:themeColor="text1"/>
              </w:rPr>
              <w:t xml:space="preserve"> evaluating computer-assisted arm rehabilitation gaming technology for children with spastic cerebral palsy aged five to 12 years (2016).</w:t>
            </w:r>
          </w:p>
          <w:p w14:paraId="16D24976" w14:textId="77777777" w:rsidR="00310DE0" w:rsidRPr="00DA4CC0" w:rsidRDefault="00310DE0">
            <w:pPr>
              <w:spacing w:after="100" w:line="276" w:lineRule="auto"/>
              <w:ind w:right="57"/>
              <w:rPr>
                <w:rFonts w:eastAsia="Aptos" w:cs="Arial"/>
                <w:color w:val="000000" w:themeColor="text1"/>
              </w:rPr>
            </w:pPr>
            <w:r w:rsidRPr="00B32B85">
              <w:rPr>
                <w:rFonts w:eastAsia="Aptos" w:cs="Arial"/>
                <w:color w:val="000000" w:themeColor="text1"/>
              </w:rPr>
              <w:t xml:space="preserve">In the USA, </w:t>
            </w:r>
            <w:r>
              <w:rPr>
                <w:rFonts w:eastAsia="Aptos" w:cs="Arial"/>
                <w:color w:val="000000" w:themeColor="text1"/>
              </w:rPr>
              <w:t xml:space="preserve">studies using the COPM as an outcome measure in the ECI practice setting include </w:t>
            </w:r>
            <w:r w:rsidRPr="00B32B85">
              <w:rPr>
                <w:rFonts w:eastAsia="Aptos" w:cs="Arial"/>
                <w:color w:val="000000" w:themeColor="text1"/>
              </w:rPr>
              <w:t xml:space="preserve">a controlled study of parent-directed intervention using reflective guidance occupational therapy for improving participation in children with autism spectrum disorders (2012); a </w:t>
            </w:r>
            <w:r>
              <w:rPr>
                <w:rFonts w:eastAsia="Aptos" w:cs="Arial"/>
                <w:color w:val="000000" w:themeColor="text1"/>
              </w:rPr>
              <w:t>RCT</w:t>
            </w:r>
            <w:r w:rsidRPr="00B32B85">
              <w:rPr>
                <w:rFonts w:eastAsia="Aptos" w:cs="Arial"/>
                <w:color w:val="000000" w:themeColor="text1"/>
              </w:rPr>
              <w:t xml:space="preserve"> evaluating the effects of a collaborative intervention process on parent empowerment and child performance for children with physical disabilities (2019); a prospective cohort study examining repeated episodes of p</w:t>
            </w:r>
            <w:r>
              <w:rPr>
                <w:rFonts w:eastAsia="Aptos" w:cs="Arial"/>
                <w:color w:val="000000" w:themeColor="text1"/>
              </w:rPr>
              <w:t>a</w:t>
            </w:r>
            <w:r w:rsidRPr="00B32B85">
              <w:rPr>
                <w:rFonts w:eastAsia="Aptos" w:cs="Arial"/>
                <w:color w:val="000000" w:themeColor="text1"/>
              </w:rPr>
              <w:t xml:space="preserve">ediatric constraint induced movement therapy with a gross motor training component for children with unilateral upper extremity impairment aged 14 months to 6 years (2020); a </w:t>
            </w:r>
            <w:r>
              <w:rPr>
                <w:rFonts w:eastAsia="Aptos" w:cs="Arial"/>
                <w:color w:val="000000" w:themeColor="text1"/>
              </w:rPr>
              <w:t>RCT</w:t>
            </w:r>
            <w:r w:rsidRPr="00B32B85">
              <w:rPr>
                <w:rFonts w:eastAsia="Aptos" w:cs="Arial"/>
                <w:color w:val="000000" w:themeColor="text1"/>
              </w:rPr>
              <w:t xml:space="preserve"> comparing structured skill and unstructured practice during intensive bimanual training in children with unilateral spastic cerebral palsy (2014); a </w:t>
            </w:r>
            <w:r>
              <w:rPr>
                <w:rFonts w:eastAsia="Aptos" w:cs="Arial"/>
                <w:color w:val="000000" w:themeColor="text1"/>
              </w:rPr>
              <w:t>RCT</w:t>
            </w:r>
            <w:r w:rsidRPr="00B32B85">
              <w:rPr>
                <w:rFonts w:eastAsia="Aptos" w:cs="Arial"/>
                <w:color w:val="000000" w:themeColor="text1"/>
              </w:rPr>
              <w:t xml:space="preserve"> of caregiver-directed home-based intensive bimanual training in young children with unilateral spastic cerebral palsy aged 2.5 to 10 years (2017); and a </w:t>
            </w:r>
            <w:r>
              <w:rPr>
                <w:rFonts w:eastAsia="Aptos" w:cs="Arial"/>
                <w:color w:val="000000" w:themeColor="text1"/>
              </w:rPr>
              <w:t>RCT</w:t>
            </w:r>
            <w:r w:rsidRPr="00B32B85">
              <w:rPr>
                <w:rFonts w:eastAsia="Aptos" w:cs="Arial"/>
                <w:color w:val="000000" w:themeColor="text1"/>
              </w:rPr>
              <w:t xml:space="preserve"> assessing participation and quality of life in a supported speed </w:t>
            </w:r>
            <w:r w:rsidRPr="00B32B85">
              <w:rPr>
                <w:rFonts w:eastAsia="Aptos" w:cs="Arial"/>
                <w:color w:val="000000" w:themeColor="text1"/>
              </w:rPr>
              <w:lastRenderedPageBreak/>
              <w:t>treadmill training exercise program versus a strengthening program for children with cerebral palsy (2012).</w:t>
            </w:r>
          </w:p>
        </w:tc>
      </w:tr>
    </w:tbl>
    <w:p w14:paraId="169B0287" w14:textId="77777777" w:rsidR="00785EE2" w:rsidRDefault="00BC12E8" w:rsidP="0069467F">
      <w:bookmarkStart w:id="15" w:name="_Hlk197594583"/>
      <w:r w:rsidRPr="0083134E">
        <w:lastRenderedPageBreak/>
        <w:t xml:space="preserve">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w:t>
      </w:r>
      <w:hyperlink w:history="1">
        <w:r w:rsidR="00FD7BE8" w:rsidRPr="003647C4">
          <w:t>Methods Explainer</w:t>
        </w:r>
      </w:hyperlink>
      <w:r w:rsidRPr="0083134E">
        <w:t>.</w:t>
      </w:r>
      <w:bookmarkEnd w:id="15"/>
    </w:p>
    <w:p w14:paraId="21E83EA6" w14:textId="3B67C26F" w:rsidR="00FD7BE8" w:rsidRPr="004410A0" w:rsidRDefault="00FD7BE8">
      <w:pPr>
        <w:rPr>
          <w:rFonts w:cs="Arial"/>
          <w:sz w:val="22"/>
          <w:szCs w:val="22"/>
        </w:rPr>
      </w:pPr>
      <w:r w:rsidRPr="0018070F">
        <w:rPr>
          <w:rFonts w:cs="Arial"/>
        </w:rPr>
        <w:br w:type="page"/>
      </w:r>
    </w:p>
    <w:p w14:paraId="2CB0F998" w14:textId="77777777" w:rsidR="009B1D46" w:rsidRPr="009B1D46" w:rsidRDefault="009B1D46" w:rsidP="00CF4C9A">
      <w:pPr>
        <w:pStyle w:val="Heading1"/>
      </w:pPr>
      <w:bookmarkStart w:id="16" w:name="_COPM_Reference_List"/>
      <w:bookmarkEnd w:id="16"/>
      <w:r w:rsidRPr="009B1D46">
        <w:lastRenderedPageBreak/>
        <w:t>COPM Reference List</w:t>
      </w:r>
    </w:p>
    <w:p w14:paraId="1C641503" w14:textId="77777777" w:rsidR="009B1D46" w:rsidRPr="009B1D46" w:rsidRDefault="009B1D46" w:rsidP="009B1D46">
      <w:pPr>
        <w:rPr>
          <w:rFonts w:eastAsia="Aptos" w:cs="Arial"/>
          <w:i/>
          <w:iCs/>
          <w:color w:val="000000" w:themeColor="text1"/>
        </w:rPr>
      </w:pPr>
      <w:hyperlink w:anchor="_COPM_Evidence_Summary" w:history="1">
        <w:r w:rsidRPr="009B1D46">
          <w:rPr>
            <w:rFonts w:eastAsia="Aptos" w:cs="Arial"/>
            <w:i/>
            <w:iCs/>
            <w:color w:val="467886" w:themeColor="hyperlink"/>
            <w:u w:val="single"/>
          </w:rPr>
          <w:t>Link to COPM Evidence Summary</w:t>
        </w:r>
      </w:hyperlink>
    </w:p>
    <w:p w14:paraId="4686D0EE" w14:textId="77777777" w:rsidR="009B1D46" w:rsidRPr="009B1D46" w:rsidRDefault="009B1D46" w:rsidP="00CF4C9A">
      <w:pPr>
        <w:pStyle w:val="Heading2"/>
      </w:pPr>
      <w:r w:rsidRPr="009B1D46">
        <w:t>Reviews</w:t>
      </w:r>
    </w:p>
    <w:p w14:paraId="3D0A272F"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Ghahramani S, Hassani Mehraban A, Alizadeh Zarei M, Ghahramani S. (2024). Occupational Therapy Outcome Measures in Preschool Children </w:t>
      </w:r>
      <w:proofErr w:type="gramStart"/>
      <w:r w:rsidRPr="009B1D46">
        <w:rPr>
          <w:rFonts w:eastAsia="Arial" w:cs="Arial"/>
          <w:color w:val="000000"/>
        </w:rPr>
        <w:t>With</w:t>
      </w:r>
      <w:proofErr w:type="gramEnd"/>
      <w:r w:rsidRPr="009B1D46">
        <w:rPr>
          <w:rFonts w:eastAsia="Arial" w:cs="Arial"/>
          <w:color w:val="000000"/>
        </w:rPr>
        <w:t xml:space="preserve"> Autism Spectrum Disorders: A Scoping Review. </w:t>
      </w:r>
      <w:r w:rsidRPr="009B1D46">
        <w:rPr>
          <w:rFonts w:eastAsia="Arial" w:cs="Arial"/>
          <w:i/>
          <w:color w:val="000000"/>
        </w:rPr>
        <w:t>OTJR (Thorofare N J)</w:t>
      </w:r>
      <w:r w:rsidRPr="009B1D46">
        <w:rPr>
          <w:rFonts w:eastAsia="Arial" w:cs="Arial"/>
          <w:color w:val="000000"/>
        </w:rPr>
        <w:t>, 44(4):568-576.</w:t>
      </w:r>
      <w:r w:rsidRPr="009B1D46">
        <w:rPr>
          <w:rFonts w:eastAsia="Arial" w:cs="Arial"/>
          <w:color w:val="0000FF"/>
          <w:u w:val="single"/>
        </w:rPr>
        <w:t xml:space="preserve"> https://doi.org/10.1177/15394492241246547</w:t>
      </w:r>
    </w:p>
    <w:p w14:paraId="498DFF0E"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McColl MA, Denis CB, Douglas KL, Gilmour J, Haveman N, Petersen M, </w:t>
      </w:r>
      <w:proofErr w:type="spellStart"/>
      <w:r w:rsidRPr="009B1D46">
        <w:rPr>
          <w:rFonts w:eastAsia="Arial" w:cs="Arial"/>
          <w:color w:val="000000"/>
        </w:rPr>
        <w:t>Presswell</w:t>
      </w:r>
      <w:proofErr w:type="spellEnd"/>
      <w:r w:rsidRPr="009B1D46">
        <w:rPr>
          <w:rFonts w:eastAsia="Arial" w:cs="Arial"/>
          <w:color w:val="000000"/>
        </w:rPr>
        <w:t xml:space="preserve"> B, Law M. (2023). A Clinically Significant Difference on the COPM: A Review. </w:t>
      </w:r>
      <w:r w:rsidRPr="009B1D46">
        <w:rPr>
          <w:rFonts w:eastAsia="Arial" w:cs="Arial"/>
          <w:i/>
          <w:color w:val="000000"/>
        </w:rPr>
        <w:t xml:space="preserve">Can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90(1):92-102.</w:t>
      </w:r>
      <w:r w:rsidRPr="009B1D46">
        <w:rPr>
          <w:rFonts w:eastAsia="Arial" w:cs="Arial"/>
          <w:color w:val="0000FF"/>
          <w:u w:val="single"/>
        </w:rPr>
        <w:t xml:space="preserve"> https://doi.org/10.1177/00084174221142177</w:t>
      </w:r>
    </w:p>
    <w:p w14:paraId="677E92C7"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Ohno K, Tomori K, Sawada T, </w:t>
      </w:r>
      <w:proofErr w:type="spellStart"/>
      <w:r w:rsidRPr="009B1D46">
        <w:rPr>
          <w:rFonts w:eastAsia="Arial" w:cs="Arial"/>
          <w:color w:val="000000"/>
        </w:rPr>
        <w:t>Seike</w:t>
      </w:r>
      <w:proofErr w:type="spellEnd"/>
      <w:r w:rsidRPr="009B1D46">
        <w:rPr>
          <w:rFonts w:eastAsia="Arial" w:cs="Arial"/>
          <w:color w:val="000000"/>
        </w:rPr>
        <w:t xml:space="preserve"> Y, Yaguchi A, Kobayashi R. (2021). Measurement Properties of the Canadian Occupational Performance Measure: A Systematic Review. </w:t>
      </w:r>
      <w:r w:rsidRPr="009B1D46">
        <w:rPr>
          <w:rFonts w:eastAsia="Arial" w:cs="Arial"/>
          <w:i/>
          <w:color w:val="000000"/>
        </w:rPr>
        <w:t xml:space="preserve">Am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75(6):7506205100.</w:t>
      </w:r>
      <w:r w:rsidRPr="009B1D46">
        <w:rPr>
          <w:rFonts w:eastAsia="Arial" w:cs="Arial"/>
          <w:color w:val="0000FF"/>
          <w:u w:val="single"/>
        </w:rPr>
        <w:t xml:space="preserve"> https://doi.org/10.5014/ajot.2021.041699</w:t>
      </w:r>
    </w:p>
    <w:p w14:paraId="7DD1BC33"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Calder S, Ward R, Jones M, Johnston J, Claessen M. (2018). The uses of outcome measures within multidisciplinary early childhood intervention services: a systematic review. </w:t>
      </w:r>
      <w:proofErr w:type="spellStart"/>
      <w:r w:rsidRPr="009B1D46">
        <w:rPr>
          <w:rFonts w:eastAsia="Arial" w:cs="Arial"/>
          <w:i/>
          <w:color w:val="000000"/>
        </w:rPr>
        <w:t>Disabil</w:t>
      </w:r>
      <w:proofErr w:type="spellEnd"/>
      <w:r w:rsidRPr="009B1D46">
        <w:rPr>
          <w:rFonts w:eastAsia="Arial" w:cs="Arial"/>
          <w:i/>
          <w:color w:val="000000"/>
        </w:rPr>
        <w:t xml:space="preserve"> </w:t>
      </w:r>
      <w:proofErr w:type="spellStart"/>
      <w:r w:rsidRPr="009B1D46">
        <w:rPr>
          <w:rFonts w:eastAsia="Arial" w:cs="Arial"/>
          <w:i/>
          <w:color w:val="000000"/>
        </w:rPr>
        <w:t>Rehabil</w:t>
      </w:r>
      <w:proofErr w:type="spellEnd"/>
      <w:r w:rsidRPr="009B1D46">
        <w:rPr>
          <w:rFonts w:eastAsia="Arial" w:cs="Arial"/>
          <w:color w:val="000000"/>
        </w:rPr>
        <w:t>, 40(22):2599-2622.</w:t>
      </w:r>
      <w:r w:rsidRPr="009B1D46">
        <w:rPr>
          <w:rFonts w:eastAsia="Arial" w:cs="Arial"/>
          <w:color w:val="0000FF"/>
          <w:u w:val="single"/>
        </w:rPr>
        <w:t xml:space="preserve"> https://doi.org/10.1080/09638288.2017.1353144</w:t>
      </w:r>
    </w:p>
    <w:p w14:paraId="722DDD8C"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Field DA, Miller WC, Ryan SE, Jarus T, Abundo A. (2016). Measuring Participation for Children and Youth </w:t>
      </w:r>
      <w:proofErr w:type="gramStart"/>
      <w:r w:rsidRPr="009B1D46">
        <w:rPr>
          <w:rFonts w:eastAsia="Arial" w:cs="Arial"/>
          <w:color w:val="000000"/>
        </w:rPr>
        <w:t>With</w:t>
      </w:r>
      <w:proofErr w:type="gramEnd"/>
      <w:r w:rsidRPr="009B1D46">
        <w:rPr>
          <w:rFonts w:eastAsia="Arial" w:cs="Arial"/>
          <w:color w:val="000000"/>
        </w:rPr>
        <w:t xml:space="preserve"> Power Mobility Needs: A Systematic Review of Potential Health Measurement Tools. </w:t>
      </w:r>
      <w:r w:rsidRPr="009B1D46">
        <w:rPr>
          <w:rFonts w:eastAsia="Arial" w:cs="Arial"/>
          <w:i/>
          <w:color w:val="000000"/>
        </w:rPr>
        <w:t>Arch Phys Med Rehabil</w:t>
      </w:r>
      <w:r w:rsidRPr="009B1D46">
        <w:rPr>
          <w:rFonts w:eastAsia="Arial" w:cs="Arial"/>
          <w:color w:val="000000"/>
        </w:rPr>
        <w:t>, 97(3):462-477.e40.</w:t>
      </w:r>
      <w:r w:rsidRPr="009B1D46">
        <w:rPr>
          <w:rFonts w:eastAsia="Arial" w:cs="Arial"/>
          <w:color w:val="0000FF"/>
          <w:u w:val="single"/>
        </w:rPr>
        <w:t xml:space="preserve"> https://doi.org/10.1016/j.apmr.2015.08.428</w:t>
      </w:r>
    </w:p>
    <w:p w14:paraId="649928C9" w14:textId="77777777" w:rsidR="009B1D46" w:rsidRPr="009B1D46" w:rsidRDefault="009B1D46" w:rsidP="009B1D46">
      <w:pPr>
        <w:pBdr>
          <w:top w:val="none" w:sz="0" w:space="0" w:color="000000"/>
          <w:left w:val="none" w:sz="0" w:space="0" w:color="000000"/>
          <w:bottom w:val="none" w:sz="0" w:space="0" w:color="000000"/>
          <w:right w:val="none" w:sz="0" w:space="0" w:color="000000"/>
        </w:pBdr>
      </w:pPr>
      <w:proofErr w:type="spellStart"/>
      <w:r w:rsidRPr="009B1D46">
        <w:rPr>
          <w:rFonts w:eastAsia="Arial" w:cs="Arial"/>
          <w:color w:val="000000"/>
        </w:rPr>
        <w:t>Sakzewski</w:t>
      </w:r>
      <w:proofErr w:type="spellEnd"/>
      <w:r w:rsidRPr="009B1D46">
        <w:rPr>
          <w:rFonts w:eastAsia="Arial" w:cs="Arial"/>
          <w:color w:val="000000"/>
        </w:rPr>
        <w:t xml:space="preserve"> L, Boyd R, Ziviani J. (2007). </w:t>
      </w:r>
      <w:proofErr w:type="spellStart"/>
      <w:r w:rsidRPr="009B1D46">
        <w:rPr>
          <w:rFonts w:eastAsia="Arial" w:cs="Arial"/>
          <w:color w:val="000000"/>
        </w:rPr>
        <w:t>Clinimetric</w:t>
      </w:r>
      <w:proofErr w:type="spellEnd"/>
      <w:r w:rsidRPr="009B1D46">
        <w:rPr>
          <w:rFonts w:eastAsia="Arial" w:cs="Arial"/>
          <w:color w:val="000000"/>
        </w:rPr>
        <w:t xml:space="preserve"> properties of participation measures for 5- to 13-year-old children with cerebral palsy: a systematic review. </w:t>
      </w:r>
      <w:r w:rsidRPr="009B1D46">
        <w:rPr>
          <w:rFonts w:eastAsia="Arial" w:cs="Arial"/>
          <w:i/>
          <w:color w:val="000000"/>
        </w:rPr>
        <w:t>Dev Med Child Neurol</w:t>
      </w:r>
      <w:r w:rsidRPr="009B1D46">
        <w:rPr>
          <w:rFonts w:eastAsia="Arial" w:cs="Arial"/>
          <w:color w:val="000000"/>
        </w:rPr>
        <w:t>, 49(3):232-40.</w:t>
      </w:r>
      <w:r w:rsidRPr="009B1D46">
        <w:rPr>
          <w:rFonts w:eastAsia="Arial" w:cs="Arial"/>
          <w:color w:val="0000FF"/>
          <w:u w:val="single"/>
        </w:rPr>
        <w:t xml:space="preserve"> https://doi.org/10.1111/j.1469-8749.2007.00232.x</w:t>
      </w:r>
    </w:p>
    <w:p w14:paraId="62BE9AA2"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McColl MA, Law M, Baptiste S, Pollock N, Carswell A, Polatajko HJ. (2005). Targeted applications of the Canadian Occupational Performance Measure. </w:t>
      </w:r>
      <w:r w:rsidRPr="009B1D46">
        <w:rPr>
          <w:rFonts w:eastAsia="Arial" w:cs="Arial"/>
          <w:i/>
          <w:color w:val="000000"/>
        </w:rPr>
        <w:t xml:space="preserve">Can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72(5):298-300.</w:t>
      </w:r>
      <w:r w:rsidRPr="009B1D46">
        <w:rPr>
          <w:rFonts w:eastAsia="Arial" w:cs="Arial"/>
          <w:color w:val="0000FF"/>
          <w:u w:val="single"/>
        </w:rPr>
        <w:t xml:space="preserve"> https://doi.org/10.1177/000841740507200506</w:t>
      </w:r>
    </w:p>
    <w:p w14:paraId="453F1D1B"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Carswell A, McColl MA, Baptiste S, Law M, Polatajko H, Pollock N. (2004). The Canadian Occupational Performance Measure: a research and clinical literature review. </w:t>
      </w:r>
      <w:r w:rsidRPr="009B1D46">
        <w:rPr>
          <w:rFonts w:eastAsia="Arial" w:cs="Arial"/>
          <w:i/>
          <w:color w:val="000000"/>
        </w:rPr>
        <w:t xml:space="preserve">Can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71(4):210-22.</w:t>
      </w:r>
      <w:r w:rsidRPr="009B1D46">
        <w:rPr>
          <w:rFonts w:eastAsia="Arial" w:cs="Arial"/>
          <w:color w:val="0000FF"/>
          <w:u w:val="single"/>
        </w:rPr>
        <w:t xml:space="preserve"> https://doi.org/10.1177/000841740407100406</w:t>
      </w:r>
    </w:p>
    <w:p w14:paraId="214C7000" w14:textId="30D01BC8" w:rsidR="009B1D46" w:rsidRDefault="009B1D46" w:rsidP="009B1D46">
      <w:pPr>
        <w:pBdr>
          <w:top w:val="none" w:sz="0" w:space="0" w:color="000000"/>
          <w:left w:val="none" w:sz="0" w:space="0" w:color="000000"/>
          <w:bottom w:val="none" w:sz="0" w:space="0" w:color="000000"/>
          <w:right w:val="none" w:sz="0" w:space="0" w:color="000000"/>
        </w:pBdr>
        <w:rPr>
          <w:rFonts w:eastAsia="Arial" w:cs="Arial"/>
          <w:color w:val="0000FF"/>
          <w:u w:val="single"/>
        </w:rPr>
      </w:pPr>
      <w:r w:rsidRPr="009B1D46">
        <w:rPr>
          <w:rFonts w:eastAsia="Arial" w:cs="Arial"/>
          <w:color w:val="000000"/>
        </w:rPr>
        <w:t xml:space="preserve">Donnelly C, Carswell A. (2002). Individualized outcome measures: a review of the literature. </w:t>
      </w:r>
      <w:r w:rsidRPr="009B1D46">
        <w:rPr>
          <w:rFonts w:eastAsia="Arial" w:cs="Arial"/>
          <w:i/>
          <w:color w:val="000000"/>
        </w:rPr>
        <w:t xml:space="preserve">Can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69(2):84-94.</w:t>
      </w:r>
      <w:r w:rsidRPr="009B1D46">
        <w:rPr>
          <w:rFonts w:eastAsia="Arial" w:cs="Arial"/>
          <w:color w:val="0000FF"/>
          <w:u w:val="single"/>
        </w:rPr>
        <w:t xml:space="preserve"> </w:t>
      </w:r>
      <w:hyperlink r:id="rId23" w:history="1">
        <w:r w:rsidR="00A91255" w:rsidRPr="009B1D46">
          <w:rPr>
            <w:rStyle w:val="Hyperlink"/>
            <w:rFonts w:eastAsia="Arial" w:cs="Arial"/>
          </w:rPr>
          <w:t>https://doi.org/10.1177/000841740206900204</w:t>
        </w:r>
      </w:hyperlink>
    </w:p>
    <w:p w14:paraId="7A33B805" w14:textId="32FF70FC" w:rsidR="00203692" w:rsidRDefault="00203692">
      <w:pPr>
        <w:rPr>
          <w:rFonts w:eastAsia="Arial" w:cs="Arial"/>
          <w:color w:val="0000FF"/>
          <w:u w:val="single"/>
        </w:rPr>
      </w:pPr>
      <w:r>
        <w:rPr>
          <w:rFonts w:eastAsia="Arial" w:cs="Arial"/>
          <w:color w:val="0000FF"/>
          <w:u w:val="single"/>
        </w:rPr>
        <w:br w:type="page"/>
      </w:r>
    </w:p>
    <w:p w14:paraId="0C7165A7" w14:textId="77777777" w:rsidR="009B1D46" w:rsidRPr="009B1D46" w:rsidRDefault="009B1D46" w:rsidP="00CF4C9A">
      <w:pPr>
        <w:pStyle w:val="Heading2"/>
      </w:pPr>
      <w:r w:rsidRPr="009B1D46">
        <w:lastRenderedPageBreak/>
        <w:t>Measurement Properties</w:t>
      </w:r>
    </w:p>
    <w:p w14:paraId="75556D3D"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Tanner LR, Grinde K, McCormick C. (2021). The Canadian Occupational Performance Measure: </w:t>
      </w:r>
      <w:proofErr w:type="gramStart"/>
      <w:r w:rsidRPr="009B1D46">
        <w:rPr>
          <w:rFonts w:eastAsia="Arial" w:cs="Arial"/>
          <w:color w:val="000000"/>
        </w:rPr>
        <w:t>a</w:t>
      </w:r>
      <w:proofErr w:type="gramEnd"/>
      <w:r w:rsidRPr="009B1D46">
        <w:rPr>
          <w:rFonts w:eastAsia="Arial" w:cs="Arial"/>
          <w:color w:val="000000"/>
        </w:rPr>
        <w:t xml:space="preserve"> Feasible Multidisciplinary Outcome Measure for </w:t>
      </w:r>
      <w:proofErr w:type="spellStart"/>
      <w:r w:rsidRPr="009B1D46">
        <w:rPr>
          <w:rFonts w:eastAsia="Arial" w:cs="Arial"/>
          <w:color w:val="000000"/>
        </w:rPr>
        <w:t>Pediatric</w:t>
      </w:r>
      <w:proofErr w:type="spellEnd"/>
      <w:r w:rsidRPr="009B1D46">
        <w:rPr>
          <w:rFonts w:eastAsia="Arial" w:cs="Arial"/>
          <w:color w:val="000000"/>
        </w:rPr>
        <w:t xml:space="preserve"> Telerehabilitation. </w:t>
      </w:r>
      <w:r w:rsidRPr="009B1D46">
        <w:rPr>
          <w:rFonts w:eastAsia="Arial" w:cs="Arial"/>
          <w:i/>
          <w:color w:val="000000"/>
        </w:rPr>
        <w:t xml:space="preserve">Int J </w:t>
      </w:r>
      <w:proofErr w:type="spellStart"/>
      <w:r w:rsidRPr="009B1D46">
        <w:rPr>
          <w:rFonts w:eastAsia="Arial" w:cs="Arial"/>
          <w:i/>
          <w:color w:val="000000"/>
        </w:rPr>
        <w:t>Telerehabil</w:t>
      </w:r>
      <w:proofErr w:type="spellEnd"/>
      <w:r w:rsidRPr="009B1D46">
        <w:rPr>
          <w:rFonts w:eastAsia="Arial" w:cs="Arial"/>
          <w:color w:val="000000"/>
        </w:rPr>
        <w:t>, 13(1</w:t>
      </w:r>
      <w:proofErr w:type="gramStart"/>
      <w:r w:rsidRPr="009B1D46">
        <w:rPr>
          <w:rFonts w:eastAsia="Arial" w:cs="Arial"/>
          <w:color w:val="000000"/>
        </w:rPr>
        <w:t>):e</w:t>
      </w:r>
      <w:proofErr w:type="gramEnd"/>
      <w:r w:rsidRPr="009B1D46">
        <w:rPr>
          <w:rFonts w:eastAsia="Arial" w:cs="Arial"/>
          <w:color w:val="000000"/>
        </w:rPr>
        <w:t>6372.</w:t>
      </w:r>
      <w:r w:rsidRPr="009B1D46">
        <w:rPr>
          <w:rFonts w:eastAsia="Arial" w:cs="Arial"/>
          <w:color w:val="0000FF"/>
          <w:u w:val="single"/>
        </w:rPr>
        <w:t xml:space="preserve"> https://doi.org/10.5195/ijt.2021.6372</w:t>
      </w:r>
    </w:p>
    <w:p w14:paraId="694CB87D"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Dorich JM, Cornwall R. (2020). A psychometric comparison of patient-reported outcome measures used in </w:t>
      </w:r>
      <w:proofErr w:type="spellStart"/>
      <w:r w:rsidRPr="009B1D46">
        <w:rPr>
          <w:rFonts w:eastAsia="Arial" w:cs="Arial"/>
          <w:color w:val="000000"/>
        </w:rPr>
        <w:t>pediatric</w:t>
      </w:r>
      <w:proofErr w:type="spellEnd"/>
      <w:r w:rsidRPr="009B1D46">
        <w:rPr>
          <w:rFonts w:eastAsia="Arial" w:cs="Arial"/>
          <w:color w:val="000000"/>
        </w:rPr>
        <w:t xml:space="preserve"> hand therapy. </w:t>
      </w:r>
      <w:r w:rsidRPr="009B1D46">
        <w:rPr>
          <w:rFonts w:eastAsia="Arial" w:cs="Arial"/>
          <w:i/>
          <w:color w:val="000000"/>
        </w:rPr>
        <w:t>J Hand Ther</w:t>
      </w:r>
      <w:r w:rsidRPr="009B1D46">
        <w:rPr>
          <w:rFonts w:eastAsia="Arial" w:cs="Arial"/>
          <w:color w:val="000000"/>
        </w:rPr>
        <w:t>, 33(4):477-483.</w:t>
      </w:r>
      <w:r w:rsidRPr="009B1D46">
        <w:rPr>
          <w:rFonts w:eastAsia="Arial" w:cs="Arial"/>
          <w:color w:val="0000FF"/>
          <w:u w:val="single"/>
        </w:rPr>
        <w:t xml:space="preserve"> https://doi.org/10.1016/j.jht.2019.05.001</w:t>
      </w:r>
    </w:p>
    <w:p w14:paraId="3F4E9303"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Thyer L, Brown T, Roe D. (2018). The Validity of the Canadian Occupational Performance Measure (COPM) When Used in a Sub-Acute Rehabilitation Setting with Older Adults. </w:t>
      </w:r>
      <w:proofErr w:type="spellStart"/>
      <w:r w:rsidRPr="009B1D46">
        <w:rPr>
          <w:rFonts w:eastAsia="Arial" w:cs="Arial"/>
          <w:i/>
          <w:color w:val="000000"/>
        </w:rPr>
        <w:t>Occup</w:t>
      </w:r>
      <w:proofErr w:type="spellEnd"/>
      <w:r w:rsidRPr="009B1D46">
        <w:rPr>
          <w:rFonts w:eastAsia="Arial" w:cs="Arial"/>
          <w:i/>
          <w:color w:val="000000"/>
        </w:rPr>
        <w:t xml:space="preserve"> Ther Health Care</w:t>
      </w:r>
      <w:r w:rsidRPr="009B1D46">
        <w:rPr>
          <w:rFonts w:eastAsia="Arial" w:cs="Arial"/>
          <w:color w:val="000000"/>
        </w:rPr>
        <w:t>, 32(2):137-153.</w:t>
      </w:r>
      <w:r w:rsidRPr="009B1D46">
        <w:rPr>
          <w:rFonts w:eastAsia="Arial" w:cs="Arial"/>
          <w:color w:val="0000FF"/>
          <w:u w:val="single"/>
        </w:rPr>
        <w:t xml:space="preserve"> https://doi.org/10.1080/07380577.2018.1446233</w:t>
      </w:r>
    </w:p>
    <w:p w14:paraId="446AC0BE"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Donnelly C, O'Neill C, Bauer M, Letts L. (2017). Canadian Occupational Performance Measure (COPM) in Primary Care: A Profile of Practice. </w:t>
      </w:r>
      <w:r w:rsidRPr="009B1D46">
        <w:rPr>
          <w:rFonts w:eastAsia="Arial" w:cs="Arial"/>
          <w:i/>
          <w:color w:val="000000"/>
        </w:rPr>
        <w:t xml:space="preserve">Am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71(6):7106265010p1-7106265010p8.</w:t>
      </w:r>
      <w:r w:rsidRPr="009B1D46">
        <w:rPr>
          <w:rFonts w:eastAsia="Arial" w:cs="Arial"/>
          <w:color w:val="0000FF"/>
          <w:u w:val="single"/>
        </w:rPr>
        <w:t xml:space="preserve"> https://doi.org/10.5014/ajot.2017.020008</w:t>
      </w:r>
    </w:p>
    <w:p w14:paraId="4E710D04"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Wallen MA, Ziviani JM. (2012). Canadian Occupational Performance Measure: impact of blinded parent-proxy ratings on outcome. </w:t>
      </w:r>
      <w:r w:rsidRPr="009B1D46">
        <w:rPr>
          <w:rFonts w:eastAsia="Arial" w:cs="Arial"/>
          <w:i/>
          <w:color w:val="000000"/>
        </w:rPr>
        <w:t xml:space="preserve">Can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79(1):7-14.</w:t>
      </w:r>
      <w:r w:rsidRPr="009B1D46">
        <w:rPr>
          <w:rFonts w:eastAsia="Arial" w:cs="Arial"/>
          <w:color w:val="0000FF"/>
          <w:u w:val="single"/>
        </w:rPr>
        <w:t xml:space="preserve"> https://doi.org/10.2182/cjot.2012.79.1.2</w:t>
      </w:r>
    </w:p>
    <w:p w14:paraId="620D440B"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Cusick A, Lannin NA, Lowe K. (2007). Adapting the Canadian Occupational Performance Measure for use in a paediatric clinical trial. </w:t>
      </w:r>
      <w:proofErr w:type="spellStart"/>
      <w:r w:rsidRPr="009B1D46">
        <w:rPr>
          <w:rFonts w:eastAsia="Arial" w:cs="Arial"/>
          <w:i/>
          <w:color w:val="000000"/>
        </w:rPr>
        <w:t>Disabil</w:t>
      </w:r>
      <w:proofErr w:type="spellEnd"/>
      <w:r w:rsidRPr="009B1D46">
        <w:rPr>
          <w:rFonts w:eastAsia="Arial" w:cs="Arial"/>
          <w:i/>
          <w:color w:val="000000"/>
        </w:rPr>
        <w:t xml:space="preserve"> </w:t>
      </w:r>
      <w:proofErr w:type="spellStart"/>
      <w:r w:rsidRPr="009B1D46">
        <w:rPr>
          <w:rFonts w:eastAsia="Arial" w:cs="Arial"/>
          <w:i/>
          <w:color w:val="000000"/>
        </w:rPr>
        <w:t>Rehabil</w:t>
      </w:r>
      <w:proofErr w:type="spellEnd"/>
      <w:r w:rsidRPr="009B1D46">
        <w:rPr>
          <w:rFonts w:eastAsia="Arial" w:cs="Arial"/>
          <w:color w:val="000000"/>
        </w:rPr>
        <w:t>, 29(10):761-6.</w:t>
      </w:r>
      <w:r w:rsidRPr="009B1D46">
        <w:rPr>
          <w:rFonts w:eastAsia="Arial" w:cs="Arial"/>
          <w:color w:val="0000FF"/>
          <w:u w:val="single"/>
        </w:rPr>
        <w:t xml:space="preserve"> https://doi.org/10.1080/09638280600929201</w:t>
      </w:r>
    </w:p>
    <w:p w14:paraId="31F841EC"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Cusick A, McIntyre S, Novak I, Lannin N, Lowe K. (2006). A comparison of goal attainment scaling and the Canadian Occupational Performance Measure for paediatric rehabilitation research. </w:t>
      </w:r>
      <w:proofErr w:type="spellStart"/>
      <w:r w:rsidRPr="009B1D46">
        <w:rPr>
          <w:rFonts w:eastAsia="Arial" w:cs="Arial"/>
          <w:i/>
          <w:color w:val="000000"/>
        </w:rPr>
        <w:t>Pediatr</w:t>
      </w:r>
      <w:proofErr w:type="spellEnd"/>
      <w:r w:rsidRPr="009B1D46">
        <w:rPr>
          <w:rFonts w:eastAsia="Arial" w:cs="Arial"/>
          <w:i/>
          <w:color w:val="000000"/>
        </w:rPr>
        <w:t xml:space="preserve"> Rehabil</w:t>
      </w:r>
      <w:r w:rsidRPr="009B1D46">
        <w:rPr>
          <w:rFonts w:eastAsia="Arial" w:cs="Arial"/>
          <w:color w:val="000000"/>
        </w:rPr>
        <w:t>, 9(2):149-57.</w:t>
      </w:r>
      <w:r w:rsidRPr="009B1D46">
        <w:rPr>
          <w:rFonts w:eastAsia="Arial" w:cs="Arial"/>
          <w:color w:val="0000FF"/>
          <w:u w:val="single"/>
        </w:rPr>
        <w:t xml:space="preserve"> https://doi.org/10.1080/13638490500235581</w:t>
      </w:r>
    </w:p>
    <w:p w14:paraId="1C05D21A"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Carpenter L, Baker GA, Tyldesley B. (2001). The use of the Canadian occupational performance measure as an outcome of a pain management program. </w:t>
      </w:r>
      <w:r w:rsidRPr="009B1D46">
        <w:rPr>
          <w:rFonts w:eastAsia="Arial" w:cs="Arial"/>
          <w:i/>
          <w:color w:val="000000"/>
        </w:rPr>
        <w:t xml:space="preserve">Can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68(1):16-22.</w:t>
      </w:r>
      <w:r w:rsidRPr="009B1D46">
        <w:rPr>
          <w:rFonts w:eastAsia="Arial" w:cs="Arial"/>
          <w:color w:val="0000FF"/>
          <w:u w:val="single"/>
        </w:rPr>
        <w:t xml:space="preserve"> https://doi.org/10.1177/000841740106800102</w:t>
      </w:r>
    </w:p>
    <w:p w14:paraId="265A0158"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McColl MA, Paterson M, Davies D, Doubt L, Law M. (2000). Validity and community utility of the Canadian Occupational Performance Measure. </w:t>
      </w:r>
      <w:r w:rsidRPr="009B1D46">
        <w:rPr>
          <w:rFonts w:eastAsia="Arial" w:cs="Arial"/>
          <w:i/>
          <w:color w:val="000000"/>
        </w:rPr>
        <w:t xml:space="preserve">Can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67(1):22-30.</w:t>
      </w:r>
      <w:r w:rsidRPr="009B1D46">
        <w:rPr>
          <w:rFonts w:eastAsia="Arial" w:cs="Arial"/>
          <w:color w:val="0000FF"/>
          <w:u w:val="single"/>
        </w:rPr>
        <w:t xml:space="preserve"> https://doi.org/10.1177/000841740006700105</w:t>
      </w:r>
    </w:p>
    <w:p w14:paraId="4CD4617A" w14:textId="005EC59E" w:rsidR="00203692" w:rsidRDefault="009B1D46" w:rsidP="009B1D46">
      <w:pPr>
        <w:pBdr>
          <w:top w:val="none" w:sz="0" w:space="0" w:color="000000"/>
          <w:left w:val="none" w:sz="0" w:space="0" w:color="000000"/>
          <w:bottom w:val="none" w:sz="0" w:space="0" w:color="000000"/>
          <w:right w:val="none" w:sz="0" w:space="0" w:color="000000"/>
        </w:pBdr>
        <w:rPr>
          <w:rFonts w:eastAsia="Arial" w:cs="Arial"/>
          <w:color w:val="0000FF"/>
          <w:u w:val="single"/>
        </w:rPr>
      </w:pPr>
      <w:r w:rsidRPr="009B1D46">
        <w:rPr>
          <w:rFonts w:eastAsia="Arial" w:cs="Arial"/>
          <w:color w:val="000000"/>
        </w:rPr>
        <w:t xml:space="preserve">Law M, Baptiste S, McColl M, </w:t>
      </w:r>
      <w:proofErr w:type="spellStart"/>
      <w:r w:rsidRPr="009B1D46">
        <w:rPr>
          <w:rFonts w:eastAsia="Arial" w:cs="Arial"/>
          <w:color w:val="000000"/>
        </w:rPr>
        <w:t>Opzoomer</w:t>
      </w:r>
      <w:proofErr w:type="spellEnd"/>
      <w:r w:rsidRPr="009B1D46">
        <w:rPr>
          <w:rFonts w:eastAsia="Arial" w:cs="Arial"/>
          <w:color w:val="000000"/>
        </w:rPr>
        <w:t xml:space="preserve"> A, Polatajko H, Pollock N. (1990). The Canadian occupational performance measure: an outcome measure for occupational therapy. </w:t>
      </w:r>
      <w:r w:rsidRPr="009B1D46">
        <w:rPr>
          <w:rFonts w:eastAsia="Arial" w:cs="Arial"/>
          <w:i/>
          <w:color w:val="000000"/>
        </w:rPr>
        <w:t xml:space="preserve">Can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57(2):82-7.</w:t>
      </w:r>
      <w:r w:rsidRPr="009B1D46">
        <w:rPr>
          <w:rFonts w:eastAsia="Arial" w:cs="Arial"/>
          <w:color w:val="0000FF"/>
          <w:u w:val="single"/>
        </w:rPr>
        <w:t xml:space="preserve"> </w:t>
      </w:r>
      <w:hyperlink r:id="rId24" w:history="1">
        <w:r w:rsidR="00203692" w:rsidRPr="009B1D46">
          <w:rPr>
            <w:rStyle w:val="Hyperlink"/>
            <w:rFonts w:eastAsia="Arial" w:cs="Arial"/>
          </w:rPr>
          <w:t>https://doi.org/10.1177/000841749005700207</w:t>
        </w:r>
      </w:hyperlink>
    </w:p>
    <w:p w14:paraId="65F254E6" w14:textId="33AB4720" w:rsidR="009B1D46" w:rsidRPr="009B1D46" w:rsidRDefault="009B1D46" w:rsidP="009B1D46">
      <w:pPr>
        <w:pBdr>
          <w:top w:val="none" w:sz="0" w:space="0" w:color="000000"/>
          <w:left w:val="none" w:sz="0" w:space="0" w:color="000000"/>
          <w:bottom w:val="none" w:sz="0" w:space="0" w:color="000000"/>
          <w:right w:val="none" w:sz="0" w:space="0" w:color="000000"/>
        </w:pBdr>
        <w:rPr>
          <w:rFonts w:eastAsia="Arial" w:cs="Arial"/>
          <w:b/>
          <w:color w:val="3F779D"/>
        </w:rPr>
      </w:pPr>
      <w:r w:rsidRPr="009B1D46">
        <w:br w:type="page"/>
      </w:r>
    </w:p>
    <w:p w14:paraId="1CAFE3C8" w14:textId="77777777" w:rsidR="009B1D46" w:rsidRPr="009B1D46" w:rsidRDefault="009B1D46" w:rsidP="00CF4C9A">
      <w:pPr>
        <w:pStyle w:val="Heading2"/>
      </w:pPr>
      <w:r w:rsidRPr="009B1D46">
        <w:lastRenderedPageBreak/>
        <w:t>Cultural Adaptations</w:t>
      </w:r>
    </w:p>
    <w:p w14:paraId="22C23C89"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Carton de Tournai A, Herman E, Ebner-</w:t>
      </w:r>
      <w:proofErr w:type="spellStart"/>
      <w:r w:rsidRPr="009B1D46">
        <w:rPr>
          <w:rFonts w:eastAsia="Arial" w:cs="Arial"/>
          <w:color w:val="000000"/>
        </w:rPr>
        <w:t>Karestinos</w:t>
      </w:r>
      <w:proofErr w:type="spellEnd"/>
      <w:r w:rsidRPr="009B1D46">
        <w:rPr>
          <w:rFonts w:eastAsia="Arial" w:cs="Arial"/>
          <w:color w:val="000000"/>
        </w:rPr>
        <w:t xml:space="preserve"> D, </w:t>
      </w:r>
      <w:proofErr w:type="spellStart"/>
      <w:r w:rsidRPr="009B1D46">
        <w:rPr>
          <w:rFonts w:eastAsia="Arial" w:cs="Arial"/>
          <w:color w:val="000000"/>
        </w:rPr>
        <w:t>Gathy</w:t>
      </w:r>
      <w:proofErr w:type="spellEnd"/>
      <w:r w:rsidRPr="009B1D46">
        <w:rPr>
          <w:rFonts w:eastAsia="Arial" w:cs="Arial"/>
          <w:color w:val="000000"/>
        </w:rPr>
        <w:t xml:space="preserve"> E, Araneda R, Renders A, De Clerck C, </w:t>
      </w:r>
      <w:proofErr w:type="spellStart"/>
      <w:r w:rsidRPr="009B1D46">
        <w:rPr>
          <w:rFonts w:eastAsia="Arial" w:cs="Arial"/>
          <w:color w:val="000000"/>
        </w:rPr>
        <w:t>Kilcioglu</w:t>
      </w:r>
      <w:proofErr w:type="spellEnd"/>
      <w:r w:rsidRPr="009B1D46">
        <w:rPr>
          <w:rFonts w:eastAsia="Arial" w:cs="Arial"/>
          <w:color w:val="000000"/>
        </w:rPr>
        <w:t xml:space="preserve"> S, </w:t>
      </w:r>
      <w:proofErr w:type="spellStart"/>
      <w:r w:rsidRPr="009B1D46">
        <w:rPr>
          <w:rFonts w:eastAsia="Arial" w:cs="Arial"/>
          <w:color w:val="000000"/>
        </w:rPr>
        <w:t>Dricot</w:t>
      </w:r>
      <w:proofErr w:type="spellEnd"/>
      <w:r w:rsidRPr="009B1D46">
        <w:rPr>
          <w:rFonts w:eastAsia="Arial" w:cs="Arial"/>
          <w:color w:val="000000"/>
        </w:rPr>
        <w:t xml:space="preserve"> L, Macq B, </w:t>
      </w:r>
      <w:proofErr w:type="spellStart"/>
      <w:r w:rsidRPr="009B1D46">
        <w:rPr>
          <w:rFonts w:eastAsia="Arial" w:cs="Arial"/>
          <w:color w:val="000000"/>
        </w:rPr>
        <w:t>Vandermeeren</w:t>
      </w:r>
      <w:proofErr w:type="spellEnd"/>
      <w:r w:rsidRPr="009B1D46">
        <w:rPr>
          <w:rFonts w:eastAsia="Arial" w:cs="Arial"/>
          <w:color w:val="000000"/>
        </w:rPr>
        <w:t xml:space="preserve"> Y, </w:t>
      </w:r>
      <w:proofErr w:type="spellStart"/>
      <w:r w:rsidRPr="009B1D46">
        <w:rPr>
          <w:rFonts w:eastAsia="Arial" w:cs="Arial"/>
          <w:color w:val="000000"/>
        </w:rPr>
        <w:t>Bleyenheuft</w:t>
      </w:r>
      <w:proofErr w:type="spellEnd"/>
      <w:r w:rsidRPr="009B1D46">
        <w:rPr>
          <w:rFonts w:eastAsia="Arial" w:cs="Arial"/>
          <w:color w:val="000000"/>
        </w:rPr>
        <w:t xml:space="preserve"> Y. (2024). Hand-Arm Bimanual Intensive Therapy Including Lower Extremities in Infants </w:t>
      </w:r>
      <w:proofErr w:type="gramStart"/>
      <w:r w:rsidRPr="009B1D46">
        <w:rPr>
          <w:rFonts w:eastAsia="Arial" w:cs="Arial"/>
          <w:color w:val="000000"/>
        </w:rPr>
        <w:t>With</w:t>
      </w:r>
      <w:proofErr w:type="gramEnd"/>
      <w:r w:rsidRPr="009B1D46">
        <w:rPr>
          <w:rFonts w:eastAsia="Arial" w:cs="Arial"/>
          <w:color w:val="000000"/>
        </w:rPr>
        <w:t xml:space="preserve"> Unilateral Cerebral Palsy: A Randomized Clinical Trial. </w:t>
      </w:r>
      <w:r w:rsidRPr="009B1D46">
        <w:rPr>
          <w:rFonts w:eastAsia="Arial" w:cs="Arial"/>
          <w:i/>
          <w:color w:val="000000"/>
        </w:rPr>
        <w:t xml:space="preserve">JAMA </w:t>
      </w:r>
      <w:proofErr w:type="spellStart"/>
      <w:r w:rsidRPr="009B1D46">
        <w:rPr>
          <w:rFonts w:eastAsia="Arial" w:cs="Arial"/>
          <w:i/>
          <w:color w:val="000000"/>
        </w:rPr>
        <w:t>Netw</w:t>
      </w:r>
      <w:proofErr w:type="spellEnd"/>
      <w:r w:rsidRPr="009B1D46">
        <w:rPr>
          <w:rFonts w:eastAsia="Arial" w:cs="Arial"/>
          <w:i/>
          <w:color w:val="000000"/>
        </w:rPr>
        <w:t xml:space="preserve"> Open</w:t>
      </w:r>
      <w:r w:rsidRPr="009B1D46">
        <w:rPr>
          <w:rFonts w:eastAsia="Arial" w:cs="Arial"/>
          <w:color w:val="000000"/>
        </w:rPr>
        <w:t>, 7(11</w:t>
      </w:r>
      <w:proofErr w:type="gramStart"/>
      <w:r w:rsidRPr="009B1D46">
        <w:rPr>
          <w:rFonts w:eastAsia="Arial" w:cs="Arial"/>
          <w:color w:val="000000"/>
        </w:rPr>
        <w:t>):e</w:t>
      </w:r>
      <w:proofErr w:type="gramEnd"/>
      <w:r w:rsidRPr="009B1D46">
        <w:rPr>
          <w:rFonts w:eastAsia="Arial" w:cs="Arial"/>
          <w:color w:val="000000"/>
        </w:rPr>
        <w:t>2445133.</w:t>
      </w:r>
      <w:r w:rsidRPr="009B1D46">
        <w:rPr>
          <w:rFonts w:eastAsia="Arial" w:cs="Arial"/>
          <w:color w:val="0000FF"/>
          <w:u w:val="single"/>
        </w:rPr>
        <w:t xml:space="preserve"> https://doi.org/10.1001/jamanetworkopen.2024.45133</w:t>
      </w:r>
    </w:p>
    <w:p w14:paraId="1099152F"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Choi JY, Jin LH, Jeon MS, Kim MH, Yang SS, Sohn MK. (2024). Training intensity of robot-assisted gait training in children with cerebral palsy. </w:t>
      </w:r>
      <w:r w:rsidRPr="009B1D46">
        <w:rPr>
          <w:rFonts w:eastAsia="Arial" w:cs="Arial"/>
          <w:i/>
          <w:color w:val="000000"/>
        </w:rPr>
        <w:t>Dev Med Child Neurol</w:t>
      </w:r>
      <w:r w:rsidRPr="009B1D46">
        <w:rPr>
          <w:rFonts w:eastAsia="Arial" w:cs="Arial"/>
          <w:color w:val="000000"/>
        </w:rPr>
        <w:t>, 66(8):1096-1105.</w:t>
      </w:r>
      <w:r w:rsidRPr="009B1D46">
        <w:rPr>
          <w:rFonts w:eastAsia="Arial" w:cs="Arial"/>
          <w:color w:val="0000FF"/>
          <w:u w:val="single"/>
        </w:rPr>
        <w:t xml:space="preserve"> https://doi.org/10.1111/dmcn.15834</w:t>
      </w:r>
    </w:p>
    <w:p w14:paraId="5BCE7581"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Kang LJ, Huang HH, Wu YT, Chen CL. (2024). Initial evaluation of an environment-based intervention for participation of autistic children: a randomized controlled trial. </w:t>
      </w:r>
      <w:proofErr w:type="spellStart"/>
      <w:r w:rsidRPr="009B1D46">
        <w:rPr>
          <w:rFonts w:eastAsia="Arial" w:cs="Arial"/>
          <w:i/>
          <w:color w:val="000000"/>
        </w:rPr>
        <w:t>Disabil</w:t>
      </w:r>
      <w:proofErr w:type="spellEnd"/>
      <w:r w:rsidRPr="009B1D46">
        <w:rPr>
          <w:rFonts w:eastAsia="Arial" w:cs="Arial"/>
          <w:i/>
          <w:color w:val="000000"/>
        </w:rPr>
        <w:t xml:space="preserve"> </w:t>
      </w:r>
      <w:proofErr w:type="spellStart"/>
      <w:r w:rsidRPr="009B1D46">
        <w:rPr>
          <w:rFonts w:eastAsia="Arial" w:cs="Arial"/>
          <w:i/>
          <w:color w:val="000000"/>
        </w:rPr>
        <w:t>Rehabil</w:t>
      </w:r>
      <w:proofErr w:type="spellEnd"/>
      <w:r w:rsidRPr="009B1D46">
        <w:rPr>
          <w:rFonts w:eastAsia="Arial" w:cs="Arial"/>
          <w:color w:val="000000"/>
        </w:rPr>
        <w:t>, 46(9):1851-1861.</w:t>
      </w:r>
      <w:r w:rsidRPr="009B1D46">
        <w:rPr>
          <w:rFonts w:eastAsia="Arial" w:cs="Arial"/>
          <w:color w:val="0000FF"/>
          <w:u w:val="single"/>
        </w:rPr>
        <w:t xml:space="preserve"> https://doi.org/10.1080/09638288.2023.2209743</w:t>
      </w:r>
    </w:p>
    <w:p w14:paraId="1A7EB001"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Heus I, </w:t>
      </w:r>
      <w:proofErr w:type="spellStart"/>
      <w:r w:rsidRPr="009B1D46">
        <w:rPr>
          <w:rFonts w:eastAsia="Arial" w:cs="Arial"/>
          <w:color w:val="000000"/>
        </w:rPr>
        <w:t>Weezenberg</w:t>
      </w:r>
      <w:proofErr w:type="spellEnd"/>
      <w:r w:rsidRPr="009B1D46">
        <w:rPr>
          <w:rFonts w:eastAsia="Arial" w:cs="Arial"/>
          <w:color w:val="000000"/>
        </w:rPr>
        <w:t xml:space="preserve"> D, </w:t>
      </w:r>
      <w:proofErr w:type="spellStart"/>
      <w:r w:rsidRPr="009B1D46">
        <w:rPr>
          <w:rFonts w:eastAsia="Arial" w:cs="Arial"/>
          <w:color w:val="000000"/>
        </w:rPr>
        <w:t>Severijnen</w:t>
      </w:r>
      <w:proofErr w:type="spellEnd"/>
      <w:r w:rsidRPr="009B1D46">
        <w:rPr>
          <w:rFonts w:eastAsia="Arial" w:cs="Arial"/>
          <w:color w:val="000000"/>
        </w:rPr>
        <w:t xml:space="preserve"> S, Vliet </w:t>
      </w:r>
      <w:proofErr w:type="spellStart"/>
      <w:r w:rsidRPr="009B1D46">
        <w:rPr>
          <w:rFonts w:eastAsia="Arial" w:cs="Arial"/>
          <w:color w:val="000000"/>
        </w:rPr>
        <w:t>Vlieland</w:t>
      </w:r>
      <w:proofErr w:type="spellEnd"/>
      <w:r w:rsidRPr="009B1D46">
        <w:rPr>
          <w:rFonts w:eastAsia="Arial" w:cs="Arial"/>
          <w:color w:val="000000"/>
        </w:rPr>
        <w:t xml:space="preserve"> T, van der Holst M. (2022). Measuring treatment outcome in children with developmental coordination disorder; responsiveness of six outcome measures. </w:t>
      </w:r>
      <w:proofErr w:type="spellStart"/>
      <w:r w:rsidRPr="009B1D46">
        <w:rPr>
          <w:rFonts w:eastAsia="Arial" w:cs="Arial"/>
          <w:i/>
          <w:color w:val="000000"/>
        </w:rPr>
        <w:t>Disabil</w:t>
      </w:r>
      <w:proofErr w:type="spellEnd"/>
      <w:r w:rsidRPr="009B1D46">
        <w:rPr>
          <w:rFonts w:eastAsia="Arial" w:cs="Arial"/>
          <w:i/>
          <w:color w:val="000000"/>
        </w:rPr>
        <w:t xml:space="preserve"> </w:t>
      </w:r>
      <w:proofErr w:type="spellStart"/>
      <w:r w:rsidRPr="009B1D46">
        <w:rPr>
          <w:rFonts w:eastAsia="Arial" w:cs="Arial"/>
          <w:i/>
          <w:color w:val="000000"/>
        </w:rPr>
        <w:t>Rehabil</w:t>
      </w:r>
      <w:proofErr w:type="spellEnd"/>
      <w:r w:rsidRPr="009B1D46">
        <w:rPr>
          <w:rFonts w:eastAsia="Arial" w:cs="Arial"/>
          <w:color w:val="000000"/>
        </w:rPr>
        <w:t>, 44(7):1023-1034.</w:t>
      </w:r>
      <w:r w:rsidRPr="009B1D46">
        <w:rPr>
          <w:rFonts w:eastAsia="Arial" w:cs="Arial"/>
          <w:color w:val="0000FF"/>
          <w:u w:val="single"/>
        </w:rPr>
        <w:t xml:space="preserve"> https://doi.org/10.1080/09638288.2020.1785022</w:t>
      </w:r>
    </w:p>
    <w:p w14:paraId="0932DD8D"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Enemark Larsen A, Jessen Winge C, Christensen JR. (2021). Clinical utility of the Danish version of the Canadian Occupational Performance Measure. </w:t>
      </w:r>
      <w:r w:rsidRPr="009B1D46">
        <w:rPr>
          <w:rFonts w:eastAsia="Arial" w:cs="Arial"/>
          <w:i/>
          <w:color w:val="000000"/>
        </w:rPr>
        <w:t xml:space="preserve">Scand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28(3):239-250.</w:t>
      </w:r>
      <w:r w:rsidRPr="009B1D46">
        <w:rPr>
          <w:rFonts w:eastAsia="Arial" w:cs="Arial"/>
          <w:color w:val="0000FF"/>
          <w:u w:val="single"/>
        </w:rPr>
        <w:t xml:space="preserve"> https://doi.org/10.1080/11038128.2019.1634150</w:t>
      </w:r>
    </w:p>
    <w:p w14:paraId="7F6A0CC3"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Raquel CT, Villafañe JH, Medina-</w:t>
      </w:r>
      <w:proofErr w:type="spellStart"/>
      <w:r w:rsidRPr="009B1D46">
        <w:rPr>
          <w:rFonts w:eastAsia="Arial" w:cs="Arial"/>
          <w:color w:val="000000"/>
        </w:rPr>
        <w:t>Porqueres</w:t>
      </w:r>
      <w:proofErr w:type="spellEnd"/>
      <w:r w:rsidRPr="009B1D46">
        <w:rPr>
          <w:rFonts w:eastAsia="Arial" w:cs="Arial"/>
          <w:color w:val="000000"/>
        </w:rPr>
        <w:t xml:space="preserve"> I, Garcia-Orza S, Valdes K. (2021). Convergent validity and responsiveness of the Canadian Occupational Performance Measure for the evaluation of therapeutic outcomes for patients with carpometacarpal osteoarthritis. </w:t>
      </w:r>
      <w:r w:rsidRPr="009B1D46">
        <w:rPr>
          <w:rFonts w:eastAsia="Arial" w:cs="Arial"/>
          <w:i/>
          <w:color w:val="000000"/>
        </w:rPr>
        <w:t>J Hand Ther</w:t>
      </w:r>
      <w:r w:rsidRPr="009B1D46">
        <w:rPr>
          <w:rFonts w:eastAsia="Arial" w:cs="Arial"/>
          <w:color w:val="000000"/>
        </w:rPr>
        <w:t>, 34(3):439-445.</w:t>
      </w:r>
      <w:r w:rsidRPr="009B1D46">
        <w:rPr>
          <w:rFonts w:eastAsia="Arial" w:cs="Arial"/>
          <w:color w:val="0000FF"/>
          <w:u w:val="single"/>
        </w:rPr>
        <w:t xml:space="preserve"> https://doi.org/10.1016/j.jht.2020.03.011</w:t>
      </w:r>
    </w:p>
    <w:p w14:paraId="22788AEE" w14:textId="77777777" w:rsidR="009B1D46" w:rsidRPr="009B1D46" w:rsidRDefault="009B1D46" w:rsidP="009B1D46">
      <w:pPr>
        <w:pBdr>
          <w:top w:val="none" w:sz="0" w:space="0" w:color="000000"/>
          <w:left w:val="none" w:sz="0" w:space="0" w:color="000000"/>
          <w:bottom w:val="none" w:sz="0" w:space="0" w:color="000000"/>
          <w:right w:val="none" w:sz="0" w:space="0" w:color="000000"/>
        </w:pBdr>
      </w:pPr>
      <w:proofErr w:type="spellStart"/>
      <w:r w:rsidRPr="009B1D46">
        <w:rPr>
          <w:rFonts w:eastAsia="Arial" w:cs="Arial"/>
          <w:color w:val="000000"/>
        </w:rPr>
        <w:t>Torpil</w:t>
      </w:r>
      <w:proofErr w:type="spellEnd"/>
      <w:r w:rsidRPr="009B1D46">
        <w:rPr>
          <w:rFonts w:eastAsia="Arial" w:cs="Arial"/>
          <w:color w:val="000000"/>
        </w:rPr>
        <w:t xml:space="preserve"> B, Ekici Çağlar G, </w:t>
      </w:r>
      <w:proofErr w:type="spellStart"/>
      <w:r w:rsidRPr="009B1D46">
        <w:rPr>
          <w:rFonts w:eastAsia="Arial" w:cs="Arial"/>
          <w:color w:val="000000"/>
        </w:rPr>
        <w:t>Bumin</w:t>
      </w:r>
      <w:proofErr w:type="spellEnd"/>
      <w:r w:rsidRPr="009B1D46">
        <w:rPr>
          <w:rFonts w:eastAsia="Arial" w:cs="Arial"/>
          <w:color w:val="000000"/>
        </w:rPr>
        <w:t xml:space="preserve"> G, </w:t>
      </w:r>
      <w:proofErr w:type="spellStart"/>
      <w:r w:rsidRPr="009B1D46">
        <w:rPr>
          <w:rFonts w:eastAsia="Arial" w:cs="Arial"/>
          <w:color w:val="000000"/>
        </w:rPr>
        <w:t>Pekçetin</w:t>
      </w:r>
      <w:proofErr w:type="spellEnd"/>
      <w:r w:rsidRPr="009B1D46">
        <w:rPr>
          <w:rFonts w:eastAsia="Arial" w:cs="Arial"/>
          <w:color w:val="000000"/>
        </w:rPr>
        <w:t xml:space="preserve"> S. (2021). Validity and Reliability of the Turkish Canadian Occupational Performance Measure (COPM-TR) for People with Multiple Sclerosis. </w:t>
      </w:r>
      <w:proofErr w:type="spellStart"/>
      <w:r w:rsidRPr="009B1D46">
        <w:rPr>
          <w:rFonts w:eastAsia="Arial" w:cs="Arial"/>
          <w:i/>
          <w:color w:val="000000"/>
        </w:rPr>
        <w:t>Occup</w:t>
      </w:r>
      <w:proofErr w:type="spellEnd"/>
      <w:r w:rsidRPr="009B1D46">
        <w:rPr>
          <w:rFonts w:eastAsia="Arial" w:cs="Arial"/>
          <w:i/>
          <w:color w:val="000000"/>
        </w:rPr>
        <w:t xml:space="preserve"> Ther Health Care</w:t>
      </w:r>
      <w:r w:rsidRPr="009B1D46">
        <w:rPr>
          <w:rFonts w:eastAsia="Arial" w:cs="Arial"/>
          <w:color w:val="000000"/>
        </w:rPr>
        <w:t>, 35(3):306-317.</w:t>
      </w:r>
      <w:r w:rsidRPr="009B1D46">
        <w:rPr>
          <w:rFonts w:eastAsia="Arial" w:cs="Arial"/>
          <w:color w:val="0000FF"/>
          <w:u w:val="single"/>
        </w:rPr>
        <w:t xml:space="preserve"> https://doi.org/10.1080/07380577.2021.1933673</w:t>
      </w:r>
    </w:p>
    <w:p w14:paraId="05768A21" w14:textId="77777777" w:rsidR="009B1D46" w:rsidRPr="009B1D46" w:rsidRDefault="009B1D46" w:rsidP="009B1D46">
      <w:pPr>
        <w:pBdr>
          <w:top w:val="none" w:sz="0" w:space="0" w:color="000000"/>
          <w:left w:val="none" w:sz="0" w:space="0" w:color="000000"/>
          <w:bottom w:val="none" w:sz="0" w:space="0" w:color="000000"/>
          <w:right w:val="none" w:sz="0" w:space="0" w:color="000000"/>
        </w:pBdr>
      </w:pPr>
      <w:proofErr w:type="spellStart"/>
      <w:r w:rsidRPr="009B1D46">
        <w:rPr>
          <w:rFonts w:eastAsia="Arial" w:cs="Arial"/>
          <w:color w:val="000000"/>
        </w:rPr>
        <w:t>Verkerk</w:t>
      </w:r>
      <w:proofErr w:type="spellEnd"/>
      <w:r w:rsidRPr="009B1D46">
        <w:rPr>
          <w:rFonts w:eastAsia="Arial" w:cs="Arial"/>
          <w:color w:val="000000"/>
        </w:rPr>
        <w:t xml:space="preserve"> GJQ, van der Molen-</w:t>
      </w:r>
      <w:proofErr w:type="spellStart"/>
      <w:r w:rsidRPr="009B1D46">
        <w:rPr>
          <w:rFonts w:eastAsia="Arial" w:cs="Arial"/>
          <w:color w:val="000000"/>
        </w:rPr>
        <w:t>Meulmeester</w:t>
      </w:r>
      <w:proofErr w:type="spellEnd"/>
      <w:r w:rsidRPr="009B1D46">
        <w:rPr>
          <w:rFonts w:eastAsia="Arial" w:cs="Arial"/>
          <w:color w:val="000000"/>
        </w:rPr>
        <w:t xml:space="preserve"> L, Alsem MW. (2021). How children and their parents value using the Canadian Occupational Performance Measure (COPM) with children themselves. </w:t>
      </w:r>
      <w:r w:rsidRPr="009B1D46">
        <w:rPr>
          <w:rFonts w:eastAsia="Arial" w:cs="Arial"/>
          <w:i/>
          <w:color w:val="000000"/>
        </w:rPr>
        <w:t xml:space="preserve">J Pediatr </w:t>
      </w:r>
      <w:proofErr w:type="spellStart"/>
      <w:r w:rsidRPr="009B1D46">
        <w:rPr>
          <w:rFonts w:eastAsia="Arial" w:cs="Arial"/>
          <w:i/>
          <w:color w:val="000000"/>
        </w:rPr>
        <w:t>Rehabil</w:t>
      </w:r>
      <w:proofErr w:type="spellEnd"/>
      <w:r w:rsidRPr="009B1D46">
        <w:rPr>
          <w:rFonts w:eastAsia="Arial" w:cs="Arial"/>
          <w:i/>
          <w:color w:val="000000"/>
        </w:rPr>
        <w:t xml:space="preserve"> Med</w:t>
      </w:r>
      <w:r w:rsidRPr="009B1D46">
        <w:rPr>
          <w:rFonts w:eastAsia="Arial" w:cs="Arial"/>
          <w:color w:val="000000"/>
        </w:rPr>
        <w:t>, 14(1):7-17.</w:t>
      </w:r>
      <w:r w:rsidRPr="009B1D46">
        <w:rPr>
          <w:rFonts w:eastAsia="Arial" w:cs="Arial"/>
          <w:color w:val="0000FF"/>
          <w:u w:val="single"/>
        </w:rPr>
        <w:t xml:space="preserve"> https://doi.org/10.3233/PRM-190604</w:t>
      </w:r>
    </w:p>
    <w:p w14:paraId="2F9DDA46"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Enemark Larsen A, </w:t>
      </w:r>
      <w:proofErr w:type="spellStart"/>
      <w:r w:rsidRPr="009B1D46">
        <w:rPr>
          <w:rFonts w:eastAsia="Arial" w:cs="Arial"/>
          <w:color w:val="000000"/>
        </w:rPr>
        <w:t>Wehberg</w:t>
      </w:r>
      <w:proofErr w:type="spellEnd"/>
      <w:r w:rsidRPr="009B1D46">
        <w:rPr>
          <w:rFonts w:eastAsia="Arial" w:cs="Arial"/>
          <w:color w:val="000000"/>
        </w:rPr>
        <w:t xml:space="preserve"> S, Christensen JR. (2020). Looking into the Content of the Canadian Occupational Performance Measure (COPM): A Danish Cross-Sectional Study. </w:t>
      </w:r>
      <w:proofErr w:type="spellStart"/>
      <w:r w:rsidRPr="009B1D46">
        <w:rPr>
          <w:rFonts w:eastAsia="Arial" w:cs="Arial"/>
          <w:i/>
          <w:color w:val="000000"/>
        </w:rPr>
        <w:t>Occup</w:t>
      </w:r>
      <w:proofErr w:type="spellEnd"/>
      <w:r w:rsidRPr="009B1D46">
        <w:rPr>
          <w:rFonts w:eastAsia="Arial" w:cs="Arial"/>
          <w:i/>
          <w:color w:val="000000"/>
        </w:rPr>
        <w:t xml:space="preserve"> Ther Int</w:t>
      </w:r>
      <w:r w:rsidRPr="009B1D46">
        <w:rPr>
          <w:rFonts w:eastAsia="Arial" w:cs="Arial"/>
          <w:color w:val="000000"/>
        </w:rPr>
        <w:t xml:space="preserve">, 9573950:11 pages. </w:t>
      </w:r>
      <w:r w:rsidRPr="009B1D46">
        <w:rPr>
          <w:rFonts w:eastAsia="Arial" w:cs="Arial"/>
          <w:color w:val="0000FF"/>
          <w:u w:val="single"/>
        </w:rPr>
        <w:t>https://doi.org/10.1155/2020/9573950</w:t>
      </w:r>
    </w:p>
    <w:p w14:paraId="55CB7171"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Enemark Larsen A, </w:t>
      </w:r>
      <w:proofErr w:type="spellStart"/>
      <w:r w:rsidRPr="009B1D46">
        <w:rPr>
          <w:rFonts w:eastAsia="Arial" w:cs="Arial"/>
          <w:color w:val="000000"/>
        </w:rPr>
        <w:t>Wehberg</w:t>
      </w:r>
      <w:proofErr w:type="spellEnd"/>
      <w:r w:rsidRPr="009B1D46">
        <w:rPr>
          <w:rFonts w:eastAsia="Arial" w:cs="Arial"/>
          <w:color w:val="000000"/>
        </w:rPr>
        <w:t xml:space="preserve"> S, Christensen JR. (2020). The Validity of the Danish Version of the Canadian Occupational Performance Measure. </w:t>
      </w:r>
      <w:proofErr w:type="spellStart"/>
      <w:r w:rsidRPr="009B1D46">
        <w:rPr>
          <w:rFonts w:eastAsia="Arial" w:cs="Arial"/>
          <w:i/>
          <w:color w:val="000000"/>
        </w:rPr>
        <w:t>Occup</w:t>
      </w:r>
      <w:proofErr w:type="spellEnd"/>
      <w:r w:rsidRPr="009B1D46">
        <w:rPr>
          <w:rFonts w:eastAsia="Arial" w:cs="Arial"/>
          <w:i/>
          <w:color w:val="000000"/>
        </w:rPr>
        <w:t xml:space="preserve"> Ther Int</w:t>
      </w:r>
      <w:r w:rsidRPr="009B1D46">
        <w:rPr>
          <w:rFonts w:eastAsia="Arial" w:cs="Arial"/>
          <w:color w:val="000000"/>
        </w:rPr>
        <w:t>, 1309104:11 pages.</w:t>
      </w:r>
      <w:r w:rsidRPr="009B1D46">
        <w:rPr>
          <w:rFonts w:eastAsia="Arial" w:cs="Arial"/>
          <w:color w:val="0000FF"/>
          <w:u w:val="single"/>
        </w:rPr>
        <w:t xml:space="preserve"> https://doi.org/10.1155/2020/1309104</w:t>
      </w:r>
    </w:p>
    <w:p w14:paraId="78CBD6DC"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lastRenderedPageBreak/>
        <w:t xml:space="preserve">Frisch C, Tirosh E, Rosenblum S. (2020). Parental Occupation Executive Training (POET): An Efficient Innovative Intervention for Young Children with Attention Deficit Hyperactive Disorder. </w:t>
      </w:r>
      <w:r w:rsidRPr="009B1D46">
        <w:rPr>
          <w:rFonts w:eastAsia="Arial" w:cs="Arial"/>
          <w:i/>
          <w:color w:val="000000"/>
        </w:rPr>
        <w:t xml:space="preserve">Phys </w:t>
      </w:r>
      <w:proofErr w:type="spellStart"/>
      <w:r w:rsidRPr="009B1D46">
        <w:rPr>
          <w:rFonts w:eastAsia="Arial" w:cs="Arial"/>
          <w:i/>
          <w:color w:val="000000"/>
        </w:rPr>
        <w:t>Occup</w:t>
      </w:r>
      <w:proofErr w:type="spellEnd"/>
      <w:r w:rsidRPr="009B1D46">
        <w:rPr>
          <w:rFonts w:eastAsia="Arial" w:cs="Arial"/>
          <w:i/>
          <w:color w:val="000000"/>
        </w:rPr>
        <w:t xml:space="preserve"> Ther </w:t>
      </w:r>
      <w:proofErr w:type="spellStart"/>
      <w:r w:rsidRPr="009B1D46">
        <w:rPr>
          <w:rFonts w:eastAsia="Arial" w:cs="Arial"/>
          <w:i/>
          <w:color w:val="000000"/>
        </w:rPr>
        <w:t>Pediatr</w:t>
      </w:r>
      <w:proofErr w:type="spellEnd"/>
      <w:r w:rsidRPr="009B1D46">
        <w:rPr>
          <w:rFonts w:eastAsia="Arial" w:cs="Arial"/>
          <w:color w:val="000000"/>
        </w:rPr>
        <w:t>, 40(1):47-61.</w:t>
      </w:r>
      <w:r w:rsidRPr="009B1D46">
        <w:rPr>
          <w:rFonts w:eastAsia="Arial" w:cs="Arial"/>
          <w:color w:val="0000FF"/>
          <w:u w:val="single"/>
        </w:rPr>
        <w:t xml:space="preserve"> https://doi.org/10.1080/01942638.2019.1640336</w:t>
      </w:r>
    </w:p>
    <w:p w14:paraId="3EFEBBD2"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Berardi A, Galeoto G, Guarino D, Marquez MA, De Santis R, Valente D, Caporale G, Tofani M. (2019). Construct validity, test-retest reliability, and the ability to detect change of the Canadian Occupational Performance Measure in a spinal cord injury population. </w:t>
      </w:r>
      <w:r w:rsidRPr="009B1D46">
        <w:rPr>
          <w:rFonts w:eastAsia="Arial" w:cs="Arial"/>
          <w:i/>
          <w:color w:val="000000"/>
        </w:rPr>
        <w:t>Spinal Cord Ser Cases</w:t>
      </w:r>
      <w:r w:rsidRPr="009B1D46">
        <w:rPr>
          <w:rFonts w:eastAsia="Arial" w:cs="Arial"/>
          <w:color w:val="000000"/>
        </w:rPr>
        <w:t>, 5:52.</w:t>
      </w:r>
      <w:r w:rsidRPr="009B1D46">
        <w:rPr>
          <w:rFonts w:eastAsia="Arial" w:cs="Arial"/>
          <w:color w:val="0000FF"/>
          <w:u w:val="single"/>
        </w:rPr>
        <w:t xml:space="preserve"> https://doi.org/10.1038/s41394-019-0196-6</w:t>
      </w:r>
    </w:p>
    <w:p w14:paraId="4D78318B"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Larsen AE, Morville AL, Hansen T. (2019). Translating the Canadian Occupational Performance Measure to Danish, addressing face and content validity. </w:t>
      </w:r>
      <w:r w:rsidRPr="009B1D46">
        <w:rPr>
          <w:rFonts w:eastAsia="Arial" w:cs="Arial"/>
          <w:i/>
          <w:color w:val="000000"/>
        </w:rPr>
        <w:t xml:space="preserve">Scand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26(1):33-45.</w:t>
      </w:r>
      <w:r w:rsidRPr="009B1D46">
        <w:rPr>
          <w:rFonts w:eastAsia="Arial" w:cs="Arial"/>
          <w:color w:val="0000FF"/>
          <w:u w:val="single"/>
        </w:rPr>
        <w:t xml:space="preserve"> https://doi.org/10.1080/11038128.2017.1388441</w:t>
      </w:r>
    </w:p>
    <w:p w14:paraId="17117B90"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Brandão MB, Mancini MC, Ferre CL, Figueiredo PRP, Oliveira RHS, Gonçalves SC, Dias MCS, Gordon AM. (2018). Does Dosage Matter? A Pilot Study of Hand-Arm Bimanual Intensive Training (HABIT) Dose and Dosing Schedule in Children with Unilateral Cerebral Palsy. </w:t>
      </w:r>
      <w:r w:rsidRPr="009B1D46">
        <w:rPr>
          <w:rFonts w:eastAsia="Arial" w:cs="Arial"/>
          <w:i/>
          <w:color w:val="000000"/>
        </w:rPr>
        <w:t xml:space="preserve">Phys </w:t>
      </w:r>
      <w:proofErr w:type="spellStart"/>
      <w:r w:rsidRPr="009B1D46">
        <w:rPr>
          <w:rFonts w:eastAsia="Arial" w:cs="Arial"/>
          <w:i/>
          <w:color w:val="000000"/>
        </w:rPr>
        <w:t>Occup</w:t>
      </w:r>
      <w:proofErr w:type="spellEnd"/>
      <w:r w:rsidRPr="009B1D46">
        <w:rPr>
          <w:rFonts w:eastAsia="Arial" w:cs="Arial"/>
          <w:i/>
          <w:color w:val="000000"/>
        </w:rPr>
        <w:t xml:space="preserve"> Ther </w:t>
      </w:r>
      <w:proofErr w:type="spellStart"/>
      <w:r w:rsidRPr="009B1D46">
        <w:rPr>
          <w:rFonts w:eastAsia="Arial" w:cs="Arial"/>
          <w:i/>
          <w:color w:val="000000"/>
        </w:rPr>
        <w:t>Pediatr</w:t>
      </w:r>
      <w:proofErr w:type="spellEnd"/>
      <w:r w:rsidRPr="009B1D46">
        <w:rPr>
          <w:rFonts w:eastAsia="Arial" w:cs="Arial"/>
          <w:color w:val="000000"/>
        </w:rPr>
        <w:t>, 38(3):227-242.</w:t>
      </w:r>
      <w:r w:rsidRPr="009B1D46">
        <w:rPr>
          <w:rFonts w:eastAsia="Arial" w:cs="Arial"/>
          <w:color w:val="0000FF"/>
          <w:u w:val="single"/>
        </w:rPr>
        <w:t xml:space="preserve"> https://doi.org/10.1080/01942638.2017.1407014</w:t>
      </w:r>
    </w:p>
    <w:p w14:paraId="14BE0387"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Lidman G, </w:t>
      </w:r>
      <w:proofErr w:type="spellStart"/>
      <w:r w:rsidRPr="009B1D46">
        <w:rPr>
          <w:rFonts w:eastAsia="Arial" w:cs="Arial"/>
          <w:color w:val="000000"/>
        </w:rPr>
        <w:t>Nachemson</w:t>
      </w:r>
      <w:proofErr w:type="spellEnd"/>
      <w:r w:rsidRPr="009B1D46">
        <w:rPr>
          <w:rFonts w:eastAsia="Arial" w:cs="Arial"/>
          <w:color w:val="000000"/>
        </w:rPr>
        <w:t xml:space="preserve"> A, Peny-Dahlstrand M, Himmelmann K. (2015). Botulinum toxin A injections and occupational therapy in children with unilateral spastic cerebral palsy: a randomized controlled trial. </w:t>
      </w:r>
      <w:r w:rsidRPr="009B1D46">
        <w:rPr>
          <w:rFonts w:eastAsia="Arial" w:cs="Arial"/>
          <w:i/>
          <w:color w:val="000000"/>
        </w:rPr>
        <w:t>Dev Med Child Neurol</w:t>
      </w:r>
      <w:r w:rsidRPr="009B1D46">
        <w:rPr>
          <w:rFonts w:eastAsia="Arial" w:cs="Arial"/>
          <w:color w:val="000000"/>
        </w:rPr>
        <w:t>, 57(8):754-61.</w:t>
      </w:r>
      <w:r w:rsidRPr="009B1D46">
        <w:rPr>
          <w:rFonts w:eastAsia="Arial" w:cs="Arial"/>
          <w:color w:val="0000FF"/>
          <w:u w:val="single"/>
        </w:rPr>
        <w:t xml:space="preserve"> https://doi.org/10.1111/dmcn.12739</w:t>
      </w:r>
    </w:p>
    <w:p w14:paraId="589A1F11"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Rosenberg L, Maeir A, </w:t>
      </w:r>
      <w:proofErr w:type="spellStart"/>
      <w:r w:rsidRPr="009B1D46">
        <w:rPr>
          <w:rFonts w:eastAsia="Arial" w:cs="Arial"/>
          <w:color w:val="000000"/>
        </w:rPr>
        <w:t>Yochman</w:t>
      </w:r>
      <w:proofErr w:type="spellEnd"/>
      <w:r w:rsidRPr="009B1D46">
        <w:rPr>
          <w:rFonts w:eastAsia="Arial" w:cs="Arial"/>
          <w:color w:val="000000"/>
        </w:rPr>
        <w:t xml:space="preserve"> A, Dahan I, Hirsch I. (2015). Effectiveness of a cognitive-functional group intervention among preschoolers with attention deficit hyperactivity disorder: a pilot study. </w:t>
      </w:r>
      <w:r w:rsidRPr="009B1D46">
        <w:rPr>
          <w:rFonts w:eastAsia="Arial" w:cs="Arial"/>
          <w:i/>
          <w:color w:val="000000"/>
        </w:rPr>
        <w:t xml:space="preserve">Am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69(3):6903220040p1-8.</w:t>
      </w:r>
      <w:r w:rsidRPr="009B1D46">
        <w:rPr>
          <w:rFonts w:eastAsia="Arial" w:cs="Arial"/>
          <w:color w:val="0000FF"/>
          <w:u w:val="single"/>
        </w:rPr>
        <w:t xml:space="preserve"> https://doi.org/10.5014/ajot.2015.014795</w:t>
      </w:r>
    </w:p>
    <w:p w14:paraId="2BA6C4E4"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Speth L, Janssen-</w:t>
      </w:r>
      <w:proofErr w:type="spellStart"/>
      <w:r w:rsidRPr="009B1D46">
        <w:rPr>
          <w:rFonts w:eastAsia="Arial" w:cs="Arial"/>
          <w:color w:val="000000"/>
        </w:rPr>
        <w:t>Potten</w:t>
      </w:r>
      <w:proofErr w:type="spellEnd"/>
      <w:r w:rsidRPr="009B1D46">
        <w:rPr>
          <w:rFonts w:eastAsia="Arial" w:cs="Arial"/>
          <w:color w:val="000000"/>
        </w:rPr>
        <w:t xml:space="preserve"> Y, Rameckers E, </w:t>
      </w:r>
      <w:proofErr w:type="spellStart"/>
      <w:r w:rsidRPr="009B1D46">
        <w:rPr>
          <w:rFonts w:eastAsia="Arial" w:cs="Arial"/>
          <w:color w:val="000000"/>
        </w:rPr>
        <w:t>Defesche</w:t>
      </w:r>
      <w:proofErr w:type="spellEnd"/>
      <w:r w:rsidRPr="009B1D46">
        <w:rPr>
          <w:rFonts w:eastAsia="Arial" w:cs="Arial"/>
          <w:color w:val="000000"/>
        </w:rPr>
        <w:t xml:space="preserve"> A, </w:t>
      </w:r>
      <w:proofErr w:type="spellStart"/>
      <w:r w:rsidRPr="009B1D46">
        <w:rPr>
          <w:rFonts w:eastAsia="Arial" w:cs="Arial"/>
          <w:color w:val="000000"/>
        </w:rPr>
        <w:t>Winkens</w:t>
      </w:r>
      <w:proofErr w:type="spellEnd"/>
      <w:r w:rsidRPr="009B1D46">
        <w:rPr>
          <w:rFonts w:eastAsia="Arial" w:cs="Arial"/>
          <w:color w:val="000000"/>
        </w:rPr>
        <w:t xml:space="preserve"> B, Becher J, Smeets R, </w:t>
      </w:r>
      <w:proofErr w:type="spellStart"/>
      <w:r w:rsidRPr="009B1D46">
        <w:rPr>
          <w:rFonts w:eastAsia="Arial" w:cs="Arial"/>
          <w:color w:val="000000"/>
        </w:rPr>
        <w:t>Vles</w:t>
      </w:r>
      <w:proofErr w:type="spellEnd"/>
      <w:r w:rsidRPr="009B1D46">
        <w:rPr>
          <w:rFonts w:eastAsia="Arial" w:cs="Arial"/>
          <w:color w:val="000000"/>
        </w:rPr>
        <w:t xml:space="preserve"> H. (2015). Effects of botulinum toxin A and/or bimanual task-oriented therapy on upper extremity activities in unilateral Cerebral Palsy: a clinical trial. </w:t>
      </w:r>
      <w:r w:rsidRPr="009B1D46">
        <w:rPr>
          <w:rFonts w:eastAsia="Arial" w:cs="Arial"/>
          <w:i/>
          <w:color w:val="000000"/>
        </w:rPr>
        <w:t>BMC Neurol</w:t>
      </w:r>
      <w:r w:rsidRPr="009B1D46">
        <w:rPr>
          <w:rFonts w:eastAsia="Arial" w:cs="Arial"/>
          <w:color w:val="000000"/>
        </w:rPr>
        <w:t>, 15:143.</w:t>
      </w:r>
      <w:r w:rsidRPr="009B1D46">
        <w:rPr>
          <w:rFonts w:eastAsia="Arial" w:cs="Arial"/>
          <w:color w:val="0000FF"/>
          <w:u w:val="single"/>
        </w:rPr>
        <w:t xml:space="preserve"> https://doi.org/10.1186/s12883-015-0404-3</w:t>
      </w:r>
    </w:p>
    <w:p w14:paraId="37DC2004"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Brandão MB, Ferre C, Kuo HC, Rameckers EA, </w:t>
      </w:r>
      <w:proofErr w:type="spellStart"/>
      <w:r w:rsidRPr="009B1D46">
        <w:rPr>
          <w:rFonts w:eastAsia="Arial" w:cs="Arial"/>
          <w:color w:val="000000"/>
        </w:rPr>
        <w:t>Bleyenheuft</w:t>
      </w:r>
      <w:proofErr w:type="spellEnd"/>
      <w:r w:rsidRPr="009B1D46">
        <w:rPr>
          <w:rFonts w:eastAsia="Arial" w:cs="Arial"/>
          <w:color w:val="000000"/>
        </w:rPr>
        <w:t xml:space="preserve"> Y, Hung YC, Friel K, Gordon AM. (2014). Comparison of Structured Skill and Unstructured Practice During Intensive Bimanual Training in Children </w:t>
      </w:r>
      <w:proofErr w:type="gramStart"/>
      <w:r w:rsidRPr="009B1D46">
        <w:rPr>
          <w:rFonts w:eastAsia="Arial" w:cs="Arial"/>
          <w:color w:val="000000"/>
        </w:rPr>
        <w:t>With</w:t>
      </w:r>
      <w:proofErr w:type="gramEnd"/>
      <w:r w:rsidRPr="009B1D46">
        <w:rPr>
          <w:rFonts w:eastAsia="Arial" w:cs="Arial"/>
          <w:color w:val="000000"/>
        </w:rPr>
        <w:t xml:space="preserve"> Unilateral Spastic Cerebral Palsy. </w:t>
      </w:r>
      <w:proofErr w:type="spellStart"/>
      <w:r w:rsidRPr="009B1D46">
        <w:rPr>
          <w:rFonts w:eastAsia="Arial" w:cs="Arial"/>
          <w:i/>
          <w:color w:val="000000"/>
        </w:rPr>
        <w:t>Neurorehabil</w:t>
      </w:r>
      <w:proofErr w:type="spellEnd"/>
      <w:r w:rsidRPr="009B1D46">
        <w:rPr>
          <w:rFonts w:eastAsia="Arial" w:cs="Arial"/>
          <w:i/>
          <w:color w:val="000000"/>
        </w:rPr>
        <w:t xml:space="preserve"> Neural Repair</w:t>
      </w:r>
      <w:r w:rsidRPr="009B1D46">
        <w:rPr>
          <w:rFonts w:eastAsia="Arial" w:cs="Arial"/>
          <w:color w:val="000000"/>
        </w:rPr>
        <w:t>, 28(5):452-61.</w:t>
      </w:r>
      <w:r w:rsidRPr="009B1D46">
        <w:rPr>
          <w:rFonts w:eastAsia="Arial" w:cs="Arial"/>
          <w:color w:val="0000FF"/>
          <w:u w:val="single"/>
        </w:rPr>
        <w:t xml:space="preserve"> https://doi.org/10.1177/1545968313516871</w:t>
      </w:r>
    </w:p>
    <w:p w14:paraId="12C51458"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Maeir A, Fisher O, Bar-Ilan RT, Boas N, Berger I, Landau YE. (2014). Effectiveness of Cognitive-Functional (Cog-Fun) occupational therapy intervention for young children with attention deficit hyperactivity disorder: a controlled study. </w:t>
      </w:r>
      <w:r w:rsidRPr="009B1D46">
        <w:rPr>
          <w:rFonts w:eastAsia="Arial" w:cs="Arial"/>
          <w:i/>
          <w:color w:val="000000"/>
        </w:rPr>
        <w:t xml:space="preserve">Am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68(3):260-7.</w:t>
      </w:r>
      <w:r w:rsidRPr="009B1D46">
        <w:rPr>
          <w:rFonts w:eastAsia="Arial" w:cs="Arial"/>
          <w:color w:val="0000FF"/>
          <w:u w:val="single"/>
        </w:rPr>
        <w:t xml:space="preserve"> https://doi.org/10.5014/ajot.2014.011700</w:t>
      </w:r>
    </w:p>
    <w:p w14:paraId="2DAA341C"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Nieuwenhuizen MG, de Groot S, Janssen TW, van der Maas LC, Beckerman H. (2014). Canadian Occupational Performance Measure performance scale: validity </w:t>
      </w:r>
      <w:r w:rsidRPr="009B1D46">
        <w:rPr>
          <w:rFonts w:eastAsia="Arial" w:cs="Arial"/>
          <w:color w:val="000000"/>
        </w:rPr>
        <w:lastRenderedPageBreak/>
        <w:t xml:space="preserve">and responsiveness in chronic pain. </w:t>
      </w:r>
      <w:r w:rsidRPr="009B1D46">
        <w:rPr>
          <w:rFonts w:eastAsia="Arial" w:cs="Arial"/>
          <w:i/>
          <w:color w:val="000000"/>
        </w:rPr>
        <w:t xml:space="preserve">J </w:t>
      </w:r>
      <w:proofErr w:type="spellStart"/>
      <w:r w:rsidRPr="009B1D46">
        <w:rPr>
          <w:rFonts w:eastAsia="Arial" w:cs="Arial"/>
          <w:i/>
          <w:color w:val="000000"/>
        </w:rPr>
        <w:t>Rehabil</w:t>
      </w:r>
      <w:proofErr w:type="spellEnd"/>
      <w:r w:rsidRPr="009B1D46">
        <w:rPr>
          <w:rFonts w:eastAsia="Arial" w:cs="Arial"/>
          <w:i/>
          <w:color w:val="000000"/>
        </w:rPr>
        <w:t xml:space="preserve"> Res Dev</w:t>
      </w:r>
      <w:r w:rsidRPr="009B1D46">
        <w:rPr>
          <w:rFonts w:eastAsia="Arial" w:cs="Arial"/>
          <w:color w:val="000000"/>
        </w:rPr>
        <w:t>, 51(5):727-46.</w:t>
      </w:r>
      <w:r w:rsidRPr="009B1D46">
        <w:rPr>
          <w:rFonts w:eastAsia="Arial" w:cs="Arial"/>
          <w:color w:val="0000FF"/>
          <w:u w:val="single"/>
        </w:rPr>
        <w:t xml:space="preserve"> https://doi.org/10.1682/JRRD.2012.12.0221</w:t>
      </w:r>
    </w:p>
    <w:p w14:paraId="759DDC3A"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Hwang AW, Chao MY, Liu SW. (2013). A randomized controlled trial of routines-based early intervention for children with or at risk for developmental delay. </w:t>
      </w:r>
      <w:r w:rsidRPr="009B1D46">
        <w:rPr>
          <w:rFonts w:eastAsia="Arial" w:cs="Arial"/>
          <w:i/>
          <w:color w:val="000000"/>
        </w:rPr>
        <w:t xml:space="preserve">Res Dev </w:t>
      </w:r>
      <w:proofErr w:type="spellStart"/>
      <w:r w:rsidRPr="009B1D46">
        <w:rPr>
          <w:rFonts w:eastAsia="Arial" w:cs="Arial"/>
          <w:i/>
          <w:color w:val="000000"/>
        </w:rPr>
        <w:t>Disabil</w:t>
      </w:r>
      <w:proofErr w:type="spellEnd"/>
      <w:r w:rsidRPr="009B1D46">
        <w:rPr>
          <w:rFonts w:eastAsia="Arial" w:cs="Arial"/>
          <w:color w:val="000000"/>
        </w:rPr>
        <w:t>, 34(10):3112-23.</w:t>
      </w:r>
      <w:r w:rsidRPr="009B1D46">
        <w:rPr>
          <w:rFonts w:eastAsia="Arial" w:cs="Arial"/>
          <w:color w:val="0000FF"/>
          <w:u w:val="single"/>
        </w:rPr>
        <w:t xml:space="preserve"> https://doi.org/10.1016/j.ridd.2013.06.037</w:t>
      </w:r>
    </w:p>
    <w:p w14:paraId="441696E7"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Enemark Larsen A, Carlsson G. (2012). Utility of the Canadian Occupational Performance Measure as an admission and outcome measure in interdisciplinary community-based geriatric rehabilitation. </w:t>
      </w:r>
      <w:r w:rsidRPr="009B1D46">
        <w:rPr>
          <w:rFonts w:eastAsia="Arial" w:cs="Arial"/>
          <w:i/>
          <w:color w:val="000000"/>
        </w:rPr>
        <w:t xml:space="preserve">Scand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19(2):204-13.</w:t>
      </w:r>
      <w:r w:rsidRPr="009B1D46">
        <w:rPr>
          <w:rFonts w:eastAsia="Arial" w:cs="Arial"/>
          <w:color w:val="0000FF"/>
          <w:u w:val="single"/>
        </w:rPr>
        <w:t xml:space="preserve"> https://doi.org/10.3109/11038128.2011.574151</w:t>
      </w:r>
    </w:p>
    <w:p w14:paraId="31A8033F"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Aarts PB, </w:t>
      </w:r>
      <w:proofErr w:type="spellStart"/>
      <w:r w:rsidRPr="009B1D46">
        <w:rPr>
          <w:rFonts w:eastAsia="Arial" w:cs="Arial"/>
          <w:color w:val="000000"/>
        </w:rPr>
        <w:t>Jongerius</w:t>
      </w:r>
      <w:proofErr w:type="spellEnd"/>
      <w:r w:rsidRPr="009B1D46">
        <w:rPr>
          <w:rFonts w:eastAsia="Arial" w:cs="Arial"/>
          <w:color w:val="000000"/>
        </w:rPr>
        <w:t xml:space="preserve"> PH, </w:t>
      </w:r>
      <w:proofErr w:type="spellStart"/>
      <w:r w:rsidRPr="009B1D46">
        <w:rPr>
          <w:rFonts w:eastAsia="Arial" w:cs="Arial"/>
          <w:color w:val="000000"/>
        </w:rPr>
        <w:t>Geerdink</w:t>
      </w:r>
      <w:proofErr w:type="spellEnd"/>
      <w:r w:rsidRPr="009B1D46">
        <w:rPr>
          <w:rFonts w:eastAsia="Arial" w:cs="Arial"/>
          <w:color w:val="000000"/>
        </w:rPr>
        <w:t xml:space="preserve"> YA, van </w:t>
      </w:r>
      <w:proofErr w:type="spellStart"/>
      <w:r w:rsidRPr="009B1D46">
        <w:rPr>
          <w:rFonts w:eastAsia="Arial" w:cs="Arial"/>
          <w:color w:val="000000"/>
        </w:rPr>
        <w:t>Limbeek</w:t>
      </w:r>
      <w:proofErr w:type="spellEnd"/>
      <w:r w:rsidRPr="009B1D46">
        <w:rPr>
          <w:rFonts w:eastAsia="Arial" w:cs="Arial"/>
          <w:color w:val="000000"/>
        </w:rPr>
        <w:t xml:space="preserve"> J, Geurts AC. (2010). Effectiveness of modified constraint-induced movement therapy in children with unilateral spastic cerebral palsy: a randomized controlled trial. </w:t>
      </w:r>
      <w:proofErr w:type="spellStart"/>
      <w:r w:rsidRPr="009B1D46">
        <w:rPr>
          <w:rFonts w:eastAsia="Arial" w:cs="Arial"/>
          <w:i/>
          <w:color w:val="000000"/>
        </w:rPr>
        <w:t>Neurorehabil</w:t>
      </w:r>
      <w:proofErr w:type="spellEnd"/>
      <w:r w:rsidRPr="009B1D46">
        <w:rPr>
          <w:rFonts w:eastAsia="Arial" w:cs="Arial"/>
          <w:i/>
          <w:color w:val="000000"/>
        </w:rPr>
        <w:t xml:space="preserve"> Neural Repair</w:t>
      </w:r>
      <w:r w:rsidRPr="009B1D46">
        <w:rPr>
          <w:rFonts w:eastAsia="Arial" w:cs="Arial"/>
          <w:color w:val="000000"/>
        </w:rPr>
        <w:t>, 24(6):509-18.</w:t>
      </w:r>
      <w:r w:rsidRPr="009B1D46">
        <w:rPr>
          <w:rFonts w:eastAsia="Arial" w:cs="Arial"/>
          <w:color w:val="0000FF"/>
          <w:u w:val="single"/>
        </w:rPr>
        <w:t xml:space="preserve"> https://doi.org/10.1177/1545968309359767</w:t>
      </w:r>
    </w:p>
    <w:p w14:paraId="15914DDF"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Spadaro A, Lubrano E, </w:t>
      </w:r>
      <w:proofErr w:type="spellStart"/>
      <w:r w:rsidRPr="009B1D46">
        <w:rPr>
          <w:rFonts w:eastAsia="Arial" w:cs="Arial"/>
          <w:color w:val="000000"/>
        </w:rPr>
        <w:t>Massimiani</w:t>
      </w:r>
      <w:proofErr w:type="spellEnd"/>
      <w:r w:rsidRPr="009B1D46">
        <w:rPr>
          <w:rFonts w:eastAsia="Arial" w:cs="Arial"/>
          <w:color w:val="000000"/>
        </w:rPr>
        <w:t xml:space="preserve"> MP, Gaia P, Perrotta FM, Parsons W, Ferrara N, </w:t>
      </w:r>
      <w:proofErr w:type="spellStart"/>
      <w:r w:rsidRPr="009B1D46">
        <w:rPr>
          <w:rFonts w:eastAsia="Arial" w:cs="Arial"/>
          <w:color w:val="000000"/>
        </w:rPr>
        <w:t>Valesini</w:t>
      </w:r>
      <w:proofErr w:type="spellEnd"/>
      <w:r w:rsidRPr="009B1D46">
        <w:rPr>
          <w:rFonts w:eastAsia="Arial" w:cs="Arial"/>
          <w:color w:val="000000"/>
        </w:rPr>
        <w:t xml:space="preserve"> G. (2010). Validity, responsiveness and feasibility of an Italian version of the Canadian Occupational Performance Measure for patients with ankylosing spondylitis. </w:t>
      </w:r>
      <w:r w:rsidRPr="009B1D46">
        <w:rPr>
          <w:rFonts w:eastAsia="Arial" w:cs="Arial"/>
          <w:i/>
          <w:color w:val="000000"/>
        </w:rPr>
        <w:t xml:space="preserve">Clin Exp </w:t>
      </w:r>
      <w:proofErr w:type="spellStart"/>
      <w:r w:rsidRPr="009B1D46">
        <w:rPr>
          <w:rFonts w:eastAsia="Arial" w:cs="Arial"/>
          <w:i/>
          <w:color w:val="000000"/>
        </w:rPr>
        <w:t>Rheumatol</w:t>
      </w:r>
      <w:proofErr w:type="spellEnd"/>
      <w:r w:rsidRPr="009B1D46">
        <w:rPr>
          <w:rFonts w:eastAsia="Arial" w:cs="Arial"/>
          <w:color w:val="000000"/>
        </w:rPr>
        <w:t>, 28(2):215-22.</w:t>
      </w:r>
    </w:p>
    <w:p w14:paraId="02653085" w14:textId="77777777" w:rsidR="009B1D46" w:rsidRPr="009B1D46" w:rsidRDefault="009B1D46" w:rsidP="009B1D46">
      <w:pPr>
        <w:pBdr>
          <w:top w:val="none" w:sz="0" w:space="0" w:color="000000"/>
          <w:left w:val="none" w:sz="0" w:space="0" w:color="000000"/>
          <w:bottom w:val="none" w:sz="0" w:space="0" w:color="000000"/>
          <w:right w:val="none" w:sz="0" w:space="0" w:color="000000"/>
        </w:pBdr>
      </w:pPr>
      <w:proofErr w:type="spellStart"/>
      <w:r w:rsidRPr="009B1D46">
        <w:rPr>
          <w:rFonts w:eastAsia="Arial" w:cs="Arial"/>
          <w:color w:val="000000"/>
        </w:rPr>
        <w:t>Verkerk</w:t>
      </w:r>
      <w:proofErr w:type="spellEnd"/>
      <w:r w:rsidRPr="009B1D46">
        <w:rPr>
          <w:rFonts w:eastAsia="Arial" w:cs="Arial"/>
          <w:color w:val="000000"/>
        </w:rPr>
        <w:t xml:space="preserve"> GJ, Wolf MJ, Louwers AM, Meester-Delver A, Nollet F. (2006). The reproducibility and validity of the Canadian Occupational Performance Measure in parents of children with disabilities. </w:t>
      </w:r>
      <w:r w:rsidRPr="009B1D46">
        <w:rPr>
          <w:rFonts w:eastAsia="Arial" w:cs="Arial"/>
          <w:i/>
          <w:color w:val="000000"/>
        </w:rPr>
        <w:t>Clin Rehabil</w:t>
      </w:r>
      <w:r w:rsidRPr="009B1D46">
        <w:rPr>
          <w:rFonts w:eastAsia="Arial" w:cs="Arial"/>
          <w:color w:val="000000"/>
        </w:rPr>
        <w:t>, 20(11):980-8.</w:t>
      </w:r>
      <w:r w:rsidRPr="009B1D46">
        <w:rPr>
          <w:rFonts w:eastAsia="Arial" w:cs="Arial"/>
          <w:color w:val="0000FF"/>
          <w:u w:val="single"/>
        </w:rPr>
        <w:t xml:space="preserve"> https://doi.org/10.1177/0269215506070703</w:t>
      </w:r>
    </w:p>
    <w:p w14:paraId="7F02FCE2" w14:textId="77777777" w:rsidR="009B1D46" w:rsidRPr="009B1D46" w:rsidRDefault="009B1D46" w:rsidP="009B1D46">
      <w:pPr>
        <w:pBdr>
          <w:top w:val="none" w:sz="0" w:space="0" w:color="000000"/>
          <w:left w:val="none" w:sz="0" w:space="0" w:color="000000"/>
          <w:bottom w:val="none" w:sz="0" w:space="0" w:color="000000"/>
          <w:right w:val="none" w:sz="0" w:space="0" w:color="000000"/>
        </w:pBdr>
      </w:pPr>
      <w:proofErr w:type="spellStart"/>
      <w:r w:rsidRPr="009B1D46">
        <w:rPr>
          <w:rFonts w:eastAsia="Arial" w:cs="Arial"/>
          <w:color w:val="000000"/>
        </w:rPr>
        <w:t>Eyssen</w:t>
      </w:r>
      <w:proofErr w:type="spellEnd"/>
      <w:r w:rsidRPr="009B1D46">
        <w:rPr>
          <w:rFonts w:eastAsia="Arial" w:cs="Arial"/>
          <w:color w:val="000000"/>
        </w:rPr>
        <w:t xml:space="preserve"> IC, Beelen A, </w:t>
      </w:r>
      <w:proofErr w:type="spellStart"/>
      <w:r w:rsidRPr="009B1D46">
        <w:rPr>
          <w:rFonts w:eastAsia="Arial" w:cs="Arial"/>
          <w:color w:val="000000"/>
        </w:rPr>
        <w:t>Dedding</w:t>
      </w:r>
      <w:proofErr w:type="spellEnd"/>
      <w:r w:rsidRPr="009B1D46">
        <w:rPr>
          <w:rFonts w:eastAsia="Arial" w:cs="Arial"/>
          <w:color w:val="000000"/>
        </w:rPr>
        <w:t xml:space="preserve"> C, </w:t>
      </w:r>
      <w:proofErr w:type="spellStart"/>
      <w:r w:rsidRPr="009B1D46">
        <w:rPr>
          <w:rFonts w:eastAsia="Arial" w:cs="Arial"/>
          <w:color w:val="000000"/>
        </w:rPr>
        <w:t>Cardol</w:t>
      </w:r>
      <w:proofErr w:type="spellEnd"/>
      <w:r w:rsidRPr="009B1D46">
        <w:rPr>
          <w:rFonts w:eastAsia="Arial" w:cs="Arial"/>
          <w:color w:val="000000"/>
        </w:rPr>
        <w:t xml:space="preserve"> M, Dekker J. (2005). The reproducibility of the Canadian Occupational Performance Measure. </w:t>
      </w:r>
      <w:r w:rsidRPr="009B1D46">
        <w:rPr>
          <w:rFonts w:eastAsia="Arial" w:cs="Arial"/>
          <w:i/>
          <w:color w:val="000000"/>
        </w:rPr>
        <w:t>Clin Rehabil</w:t>
      </w:r>
      <w:r w:rsidRPr="009B1D46">
        <w:rPr>
          <w:rFonts w:eastAsia="Arial" w:cs="Arial"/>
          <w:color w:val="000000"/>
        </w:rPr>
        <w:t>, 19(8):888-94.</w:t>
      </w:r>
      <w:r w:rsidRPr="009B1D46">
        <w:rPr>
          <w:rFonts w:eastAsia="Arial" w:cs="Arial"/>
          <w:color w:val="0000FF"/>
          <w:u w:val="single"/>
        </w:rPr>
        <w:t xml:space="preserve"> https://doi.org/10.1191/0269215505cr883oa</w:t>
      </w:r>
    </w:p>
    <w:p w14:paraId="30AC6E81" w14:textId="77777777" w:rsidR="009B1D46" w:rsidRPr="009B1D46" w:rsidRDefault="009B1D46" w:rsidP="009B1D46">
      <w:pPr>
        <w:pBdr>
          <w:top w:val="none" w:sz="0" w:space="0" w:color="000000"/>
          <w:left w:val="none" w:sz="0" w:space="0" w:color="000000"/>
          <w:bottom w:val="none" w:sz="0" w:space="0" w:color="000000"/>
          <w:right w:val="none" w:sz="0" w:space="0" w:color="000000"/>
        </w:pBdr>
      </w:pPr>
      <w:proofErr w:type="spellStart"/>
      <w:r w:rsidRPr="009B1D46">
        <w:rPr>
          <w:rFonts w:eastAsia="Arial" w:cs="Arial"/>
          <w:color w:val="000000"/>
        </w:rPr>
        <w:t>Kjeken</w:t>
      </w:r>
      <w:proofErr w:type="spellEnd"/>
      <w:r w:rsidRPr="009B1D46">
        <w:rPr>
          <w:rFonts w:eastAsia="Arial" w:cs="Arial"/>
          <w:color w:val="000000"/>
        </w:rPr>
        <w:t xml:space="preserve"> I, </w:t>
      </w:r>
      <w:proofErr w:type="spellStart"/>
      <w:r w:rsidRPr="009B1D46">
        <w:rPr>
          <w:rFonts w:eastAsia="Arial" w:cs="Arial"/>
          <w:color w:val="000000"/>
        </w:rPr>
        <w:t>Dagfinrud</w:t>
      </w:r>
      <w:proofErr w:type="spellEnd"/>
      <w:r w:rsidRPr="009B1D46">
        <w:rPr>
          <w:rFonts w:eastAsia="Arial" w:cs="Arial"/>
          <w:color w:val="000000"/>
        </w:rPr>
        <w:t xml:space="preserve"> H, Uhlig T, Mowinckel P, Kvien TK, </w:t>
      </w:r>
      <w:proofErr w:type="spellStart"/>
      <w:r w:rsidRPr="009B1D46">
        <w:rPr>
          <w:rFonts w:eastAsia="Arial" w:cs="Arial"/>
          <w:color w:val="000000"/>
        </w:rPr>
        <w:t>Finset</w:t>
      </w:r>
      <w:proofErr w:type="spellEnd"/>
      <w:r w:rsidRPr="009B1D46">
        <w:rPr>
          <w:rFonts w:eastAsia="Arial" w:cs="Arial"/>
          <w:color w:val="000000"/>
        </w:rPr>
        <w:t xml:space="preserve"> A. (2005). Reliability of the Canadian Occupational Performance Measure in patients with ankylosing spondylitis. </w:t>
      </w:r>
      <w:r w:rsidRPr="009B1D46">
        <w:rPr>
          <w:rFonts w:eastAsia="Arial" w:cs="Arial"/>
          <w:i/>
          <w:color w:val="000000"/>
        </w:rPr>
        <w:t>J Rheumatol</w:t>
      </w:r>
      <w:r w:rsidRPr="009B1D46">
        <w:rPr>
          <w:rFonts w:eastAsia="Arial" w:cs="Arial"/>
          <w:color w:val="000000"/>
        </w:rPr>
        <w:t>, 32(8):1503-9.</w:t>
      </w:r>
    </w:p>
    <w:p w14:paraId="621813C4" w14:textId="77777777" w:rsidR="009B1D46" w:rsidRPr="009B1D46" w:rsidRDefault="009B1D46" w:rsidP="009B1D46">
      <w:pPr>
        <w:pBdr>
          <w:top w:val="none" w:sz="0" w:space="0" w:color="000000"/>
          <w:left w:val="none" w:sz="0" w:space="0" w:color="000000"/>
          <w:bottom w:val="none" w:sz="0" w:space="0" w:color="000000"/>
          <w:right w:val="none" w:sz="0" w:space="0" w:color="000000"/>
        </w:pBdr>
      </w:pPr>
      <w:proofErr w:type="spellStart"/>
      <w:r w:rsidRPr="009B1D46">
        <w:rPr>
          <w:rFonts w:eastAsia="Arial" w:cs="Arial"/>
          <w:color w:val="000000"/>
        </w:rPr>
        <w:t>Dedding</w:t>
      </w:r>
      <w:proofErr w:type="spellEnd"/>
      <w:r w:rsidRPr="009B1D46">
        <w:rPr>
          <w:rFonts w:eastAsia="Arial" w:cs="Arial"/>
          <w:color w:val="000000"/>
        </w:rPr>
        <w:t xml:space="preserve"> C, </w:t>
      </w:r>
      <w:proofErr w:type="spellStart"/>
      <w:r w:rsidRPr="009B1D46">
        <w:rPr>
          <w:rFonts w:eastAsia="Arial" w:cs="Arial"/>
          <w:color w:val="000000"/>
        </w:rPr>
        <w:t>Cardol</w:t>
      </w:r>
      <w:proofErr w:type="spellEnd"/>
      <w:r w:rsidRPr="009B1D46">
        <w:rPr>
          <w:rFonts w:eastAsia="Arial" w:cs="Arial"/>
          <w:color w:val="000000"/>
        </w:rPr>
        <w:t xml:space="preserve"> M, </w:t>
      </w:r>
      <w:proofErr w:type="spellStart"/>
      <w:r w:rsidRPr="009B1D46">
        <w:rPr>
          <w:rFonts w:eastAsia="Arial" w:cs="Arial"/>
          <w:color w:val="000000"/>
        </w:rPr>
        <w:t>Eyssen</w:t>
      </w:r>
      <w:proofErr w:type="spellEnd"/>
      <w:r w:rsidRPr="009B1D46">
        <w:rPr>
          <w:rFonts w:eastAsia="Arial" w:cs="Arial"/>
          <w:color w:val="000000"/>
        </w:rPr>
        <w:t xml:space="preserve"> IC, Dekker J, Beelen A. (2004). Validity of the Canadian Occupational Performance Measure: a client-centred outcome measurement. </w:t>
      </w:r>
      <w:r w:rsidRPr="009B1D46">
        <w:rPr>
          <w:rFonts w:eastAsia="Arial" w:cs="Arial"/>
          <w:i/>
          <w:color w:val="000000"/>
        </w:rPr>
        <w:t>Clin Rehabil</w:t>
      </w:r>
      <w:r w:rsidRPr="009B1D46">
        <w:rPr>
          <w:rFonts w:eastAsia="Arial" w:cs="Arial"/>
          <w:color w:val="000000"/>
        </w:rPr>
        <w:t>, 18(6):660-7.</w:t>
      </w:r>
      <w:r w:rsidRPr="009B1D46">
        <w:rPr>
          <w:rFonts w:eastAsia="Arial" w:cs="Arial"/>
          <w:color w:val="0000FF"/>
          <w:u w:val="single"/>
        </w:rPr>
        <w:t xml:space="preserve"> https://doi.org/10.1191/0269215504cr746oa</w:t>
      </w:r>
    </w:p>
    <w:p w14:paraId="50BB3C4A" w14:textId="77777777" w:rsidR="009B1D46" w:rsidRPr="009B1D46" w:rsidRDefault="009B1D46" w:rsidP="009B1D46">
      <w:pPr>
        <w:pBdr>
          <w:top w:val="none" w:sz="0" w:space="0" w:color="000000"/>
          <w:left w:val="none" w:sz="0" w:space="0" w:color="000000"/>
          <w:bottom w:val="none" w:sz="0" w:space="0" w:color="000000"/>
          <w:right w:val="none" w:sz="0" w:space="0" w:color="000000"/>
        </w:pBdr>
      </w:pPr>
      <w:proofErr w:type="spellStart"/>
      <w:r w:rsidRPr="009B1D46">
        <w:rPr>
          <w:rFonts w:eastAsia="Arial" w:cs="Arial"/>
          <w:color w:val="000000"/>
        </w:rPr>
        <w:t>Kjeken</w:t>
      </w:r>
      <w:proofErr w:type="spellEnd"/>
      <w:r w:rsidRPr="009B1D46">
        <w:rPr>
          <w:rFonts w:eastAsia="Arial" w:cs="Arial"/>
          <w:color w:val="000000"/>
        </w:rPr>
        <w:t xml:space="preserve"> I, </w:t>
      </w:r>
      <w:proofErr w:type="spellStart"/>
      <w:r w:rsidRPr="009B1D46">
        <w:rPr>
          <w:rFonts w:eastAsia="Arial" w:cs="Arial"/>
          <w:color w:val="000000"/>
        </w:rPr>
        <w:t>Slatkowsky</w:t>
      </w:r>
      <w:proofErr w:type="spellEnd"/>
      <w:r w:rsidRPr="009B1D46">
        <w:rPr>
          <w:rFonts w:eastAsia="Arial" w:cs="Arial"/>
          <w:color w:val="000000"/>
        </w:rPr>
        <w:t xml:space="preserve">-Christensen B, Kvien TK, Uhlig T. (2004). Norwegian version of the Canadian Occupational Performance Measure in patients with hand osteoarthritis: validity, responsiveness, and feasibility. </w:t>
      </w:r>
      <w:r w:rsidRPr="009B1D46">
        <w:rPr>
          <w:rFonts w:eastAsia="Arial" w:cs="Arial"/>
          <w:i/>
          <w:color w:val="000000"/>
        </w:rPr>
        <w:t>Arthritis Rheum</w:t>
      </w:r>
      <w:r w:rsidRPr="009B1D46">
        <w:rPr>
          <w:rFonts w:eastAsia="Arial" w:cs="Arial"/>
          <w:color w:val="000000"/>
        </w:rPr>
        <w:t>, 51(5):709-15.</w:t>
      </w:r>
      <w:r w:rsidRPr="009B1D46">
        <w:rPr>
          <w:rFonts w:eastAsia="Arial" w:cs="Arial"/>
          <w:color w:val="0000FF"/>
          <w:u w:val="single"/>
        </w:rPr>
        <w:t xml:space="preserve"> https://doi.org/10.1002/art.20522</w:t>
      </w:r>
    </w:p>
    <w:p w14:paraId="3A04C6EA"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Cup EH, Scholte op Reimer WJ, </w:t>
      </w:r>
      <w:proofErr w:type="spellStart"/>
      <w:r w:rsidRPr="009B1D46">
        <w:rPr>
          <w:rFonts w:eastAsia="Arial" w:cs="Arial"/>
          <w:color w:val="000000"/>
        </w:rPr>
        <w:t>Thijssen</w:t>
      </w:r>
      <w:proofErr w:type="spellEnd"/>
      <w:r w:rsidRPr="009B1D46">
        <w:rPr>
          <w:rFonts w:eastAsia="Arial" w:cs="Arial"/>
          <w:color w:val="000000"/>
        </w:rPr>
        <w:t xml:space="preserve"> MC, van Kuyk-Minis MA. (2003). Reliability and validity of the Canadian Occupational Performance Measure in stroke patients. </w:t>
      </w:r>
      <w:r w:rsidRPr="009B1D46">
        <w:rPr>
          <w:rFonts w:eastAsia="Arial" w:cs="Arial"/>
          <w:i/>
          <w:color w:val="000000"/>
        </w:rPr>
        <w:t>Clin Rehabil</w:t>
      </w:r>
      <w:r w:rsidRPr="009B1D46">
        <w:rPr>
          <w:rFonts w:eastAsia="Arial" w:cs="Arial"/>
          <w:color w:val="000000"/>
        </w:rPr>
        <w:t>, 17(4):402-9.</w:t>
      </w:r>
      <w:r w:rsidRPr="009B1D46">
        <w:rPr>
          <w:rFonts w:eastAsia="Arial" w:cs="Arial"/>
          <w:color w:val="0000FF"/>
          <w:u w:val="single"/>
        </w:rPr>
        <w:t xml:space="preserve"> https://doi.org/10.1191/0269215503cr635oa</w:t>
      </w:r>
    </w:p>
    <w:p w14:paraId="644FC54A" w14:textId="77777777" w:rsidR="009B1D46" w:rsidRPr="009B1D46" w:rsidRDefault="009B1D46" w:rsidP="009B1D46">
      <w:pPr>
        <w:pBdr>
          <w:top w:val="none" w:sz="0" w:space="0" w:color="000000"/>
          <w:left w:val="none" w:sz="0" w:space="0" w:color="000000"/>
          <w:bottom w:val="none" w:sz="0" w:space="0" w:color="000000"/>
          <w:right w:val="none" w:sz="0" w:space="0" w:color="000000"/>
        </w:pBdr>
      </w:pPr>
      <w:proofErr w:type="spellStart"/>
      <w:r w:rsidRPr="009B1D46">
        <w:rPr>
          <w:rFonts w:eastAsia="Arial" w:cs="Arial"/>
          <w:color w:val="000000"/>
        </w:rPr>
        <w:lastRenderedPageBreak/>
        <w:t>Wressle</w:t>
      </w:r>
      <w:proofErr w:type="spellEnd"/>
      <w:r w:rsidRPr="009B1D46">
        <w:rPr>
          <w:rFonts w:eastAsia="Arial" w:cs="Arial"/>
          <w:color w:val="000000"/>
        </w:rPr>
        <w:t xml:space="preserve"> E, Marcusson J, Henriksson C. (2002). Clinical utility of the Canadian Occupational Performance Measure--Swedish version. </w:t>
      </w:r>
      <w:r w:rsidRPr="009B1D46">
        <w:rPr>
          <w:rFonts w:eastAsia="Arial" w:cs="Arial"/>
          <w:i/>
          <w:color w:val="000000"/>
        </w:rPr>
        <w:t xml:space="preserve">Can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69(1):40-8.</w:t>
      </w:r>
      <w:r w:rsidRPr="009B1D46">
        <w:rPr>
          <w:rFonts w:eastAsia="Arial" w:cs="Arial"/>
          <w:color w:val="0000FF"/>
          <w:u w:val="single"/>
        </w:rPr>
        <w:t xml:space="preserve"> https://doi.org/10.1177/000841740206900104</w:t>
      </w:r>
    </w:p>
    <w:p w14:paraId="63509042" w14:textId="3513365C" w:rsidR="009B1D46" w:rsidRPr="009B1D46" w:rsidRDefault="009B1D46" w:rsidP="00CF4C9A">
      <w:pPr>
        <w:pStyle w:val="Heading2"/>
      </w:pPr>
      <w:r w:rsidRPr="009B1D46">
        <w:t>Outcome Studies</w:t>
      </w:r>
    </w:p>
    <w:p w14:paraId="24BB0ECB"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Haddon M, West L, Elliott C, Walmsley C, Valentine J, Bear N, Pool D; Healthy Strides Research Advisory Council. (2023). Kindy Moves: the feasibility of an intensive interdisciplinary programme on goal and motor outcomes for preschool-aged children with </w:t>
      </w:r>
      <w:proofErr w:type="spellStart"/>
      <w:r w:rsidRPr="009B1D46">
        <w:rPr>
          <w:rFonts w:eastAsia="Arial" w:cs="Arial"/>
          <w:color w:val="000000"/>
        </w:rPr>
        <w:t>neurodisabilities</w:t>
      </w:r>
      <w:proofErr w:type="spellEnd"/>
      <w:r w:rsidRPr="009B1D46">
        <w:rPr>
          <w:rFonts w:eastAsia="Arial" w:cs="Arial"/>
          <w:color w:val="000000"/>
        </w:rPr>
        <w:t xml:space="preserve"> requiring daily equipment and physical assistance. </w:t>
      </w:r>
      <w:r w:rsidRPr="009B1D46">
        <w:rPr>
          <w:rFonts w:eastAsia="Arial" w:cs="Arial"/>
          <w:i/>
          <w:color w:val="000000"/>
        </w:rPr>
        <w:t>BMJ Open</w:t>
      </w:r>
      <w:r w:rsidRPr="009B1D46">
        <w:rPr>
          <w:rFonts w:eastAsia="Arial" w:cs="Arial"/>
          <w:color w:val="000000"/>
        </w:rPr>
        <w:t>, 13(5</w:t>
      </w:r>
      <w:proofErr w:type="gramStart"/>
      <w:r w:rsidRPr="009B1D46">
        <w:rPr>
          <w:rFonts w:eastAsia="Arial" w:cs="Arial"/>
          <w:color w:val="000000"/>
        </w:rPr>
        <w:t>):e</w:t>
      </w:r>
      <w:proofErr w:type="gramEnd"/>
      <w:r w:rsidRPr="009B1D46">
        <w:rPr>
          <w:rFonts w:eastAsia="Arial" w:cs="Arial"/>
          <w:color w:val="000000"/>
        </w:rPr>
        <w:t>068816.</w:t>
      </w:r>
      <w:r w:rsidRPr="009B1D46">
        <w:rPr>
          <w:rFonts w:eastAsia="Arial" w:cs="Arial"/>
          <w:color w:val="0000FF"/>
          <w:u w:val="single"/>
        </w:rPr>
        <w:t xml:space="preserve"> https://doi.org/10.1136/bmjopen-2022-068816</w:t>
      </w:r>
    </w:p>
    <w:p w14:paraId="37333AEB"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Grinde K, Myhre J, Finch MD. (2020). Repeated episodes of </w:t>
      </w:r>
      <w:proofErr w:type="spellStart"/>
      <w:r w:rsidRPr="009B1D46">
        <w:rPr>
          <w:rFonts w:eastAsia="Arial" w:cs="Arial"/>
          <w:color w:val="000000"/>
        </w:rPr>
        <w:t>pediatric</w:t>
      </w:r>
      <w:proofErr w:type="spellEnd"/>
      <w:r w:rsidRPr="009B1D46">
        <w:rPr>
          <w:rFonts w:eastAsia="Arial" w:cs="Arial"/>
          <w:color w:val="000000"/>
        </w:rPr>
        <w:t xml:space="preserve"> constraint induced movement therapy with a gross motor training component: A prospective cohort study. </w:t>
      </w:r>
      <w:r w:rsidRPr="009B1D46">
        <w:rPr>
          <w:rFonts w:eastAsia="Arial" w:cs="Arial"/>
          <w:i/>
          <w:color w:val="000000"/>
        </w:rPr>
        <w:t xml:space="preserve">J Pediatr </w:t>
      </w:r>
      <w:proofErr w:type="spellStart"/>
      <w:r w:rsidRPr="009B1D46">
        <w:rPr>
          <w:rFonts w:eastAsia="Arial" w:cs="Arial"/>
          <w:i/>
          <w:color w:val="000000"/>
        </w:rPr>
        <w:t>Rehabil</w:t>
      </w:r>
      <w:proofErr w:type="spellEnd"/>
      <w:r w:rsidRPr="009B1D46">
        <w:rPr>
          <w:rFonts w:eastAsia="Arial" w:cs="Arial"/>
          <w:i/>
          <w:color w:val="000000"/>
        </w:rPr>
        <w:t xml:space="preserve"> Med</w:t>
      </w:r>
      <w:r w:rsidRPr="009B1D46">
        <w:rPr>
          <w:rFonts w:eastAsia="Arial" w:cs="Arial"/>
          <w:color w:val="000000"/>
        </w:rPr>
        <w:t>, 13(2):149-159.</w:t>
      </w:r>
      <w:r w:rsidRPr="009B1D46">
        <w:rPr>
          <w:rFonts w:eastAsia="Arial" w:cs="Arial"/>
          <w:color w:val="0000FF"/>
          <w:u w:val="single"/>
        </w:rPr>
        <w:t xml:space="preserve"> https://doi.org/10.3233/PRM-180543</w:t>
      </w:r>
    </w:p>
    <w:p w14:paraId="4368138D"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An M, Palisano RJ, Yi CH, Chiarello LA, Dunst CJ, Gracely EJ. (2019). Effects of a Collaborative Intervention Process on Parent Empowerment and Child Performance: A Randomized Controlled Trial. </w:t>
      </w:r>
      <w:r w:rsidRPr="009B1D46">
        <w:rPr>
          <w:rFonts w:eastAsia="Arial" w:cs="Arial"/>
          <w:i/>
          <w:color w:val="000000"/>
        </w:rPr>
        <w:t xml:space="preserve">Phys </w:t>
      </w:r>
      <w:proofErr w:type="spellStart"/>
      <w:r w:rsidRPr="009B1D46">
        <w:rPr>
          <w:rFonts w:eastAsia="Arial" w:cs="Arial"/>
          <w:i/>
          <w:color w:val="000000"/>
        </w:rPr>
        <w:t>Occup</w:t>
      </w:r>
      <w:proofErr w:type="spellEnd"/>
      <w:r w:rsidRPr="009B1D46">
        <w:rPr>
          <w:rFonts w:eastAsia="Arial" w:cs="Arial"/>
          <w:i/>
          <w:color w:val="000000"/>
        </w:rPr>
        <w:t xml:space="preserve"> Ther </w:t>
      </w:r>
      <w:proofErr w:type="spellStart"/>
      <w:r w:rsidRPr="009B1D46">
        <w:rPr>
          <w:rFonts w:eastAsia="Arial" w:cs="Arial"/>
          <w:i/>
          <w:color w:val="000000"/>
        </w:rPr>
        <w:t>Pediatr</w:t>
      </w:r>
      <w:proofErr w:type="spellEnd"/>
      <w:r w:rsidRPr="009B1D46">
        <w:rPr>
          <w:rFonts w:eastAsia="Arial" w:cs="Arial"/>
          <w:color w:val="000000"/>
        </w:rPr>
        <w:t>, 39(1):1-15.</w:t>
      </w:r>
      <w:r w:rsidRPr="009B1D46">
        <w:rPr>
          <w:rFonts w:eastAsia="Arial" w:cs="Arial"/>
          <w:color w:val="0000FF"/>
          <w:u w:val="single"/>
        </w:rPr>
        <w:t xml:space="preserve"> https://doi.org/10.1080/01942638.2017.1365324</w:t>
      </w:r>
    </w:p>
    <w:p w14:paraId="0AC2DB52"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Ferre CL, Brandão M, Surana B, Dew AP, Moreau NG, Gordon AM. (2017). Caregiver-directed home-based intensive bimanual training in young children with unilateral spastic cerebral palsy: a randomized trial. </w:t>
      </w:r>
      <w:r w:rsidRPr="009B1D46">
        <w:rPr>
          <w:rFonts w:eastAsia="Arial" w:cs="Arial"/>
          <w:i/>
          <w:color w:val="000000"/>
        </w:rPr>
        <w:t>Dev Med Child Neurol</w:t>
      </w:r>
      <w:r w:rsidRPr="009B1D46">
        <w:rPr>
          <w:rFonts w:eastAsia="Arial" w:cs="Arial"/>
          <w:color w:val="000000"/>
        </w:rPr>
        <w:t>, 59(5):497-504.</w:t>
      </w:r>
      <w:r w:rsidRPr="009B1D46">
        <w:rPr>
          <w:rFonts w:eastAsia="Arial" w:cs="Arial"/>
          <w:color w:val="0000FF"/>
          <w:u w:val="single"/>
        </w:rPr>
        <w:t xml:space="preserve"> https://doi.org/10.1111/dmcn.13330</w:t>
      </w:r>
    </w:p>
    <w:p w14:paraId="70649D1F"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Morgan C, Novak I, Dale RC, Guzzetta A, Badawi N. (2016). Single blind randomised controlled trial of GAME (Goals - Activity - Motor Enrichment) in infants at high risk of cerebral palsy. </w:t>
      </w:r>
      <w:r w:rsidRPr="009B1D46">
        <w:rPr>
          <w:rFonts w:eastAsia="Arial" w:cs="Arial"/>
          <w:i/>
          <w:color w:val="000000"/>
        </w:rPr>
        <w:t xml:space="preserve">Res Dev </w:t>
      </w:r>
      <w:proofErr w:type="spellStart"/>
      <w:r w:rsidRPr="009B1D46">
        <w:rPr>
          <w:rFonts w:eastAsia="Arial" w:cs="Arial"/>
          <w:i/>
          <w:color w:val="000000"/>
        </w:rPr>
        <w:t>Disabil</w:t>
      </w:r>
      <w:proofErr w:type="spellEnd"/>
      <w:r w:rsidRPr="009B1D46">
        <w:rPr>
          <w:rFonts w:eastAsia="Arial" w:cs="Arial"/>
          <w:color w:val="000000"/>
        </w:rPr>
        <w:t>, 55:256-267.</w:t>
      </w:r>
      <w:r w:rsidRPr="009B1D46">
        <w:rPr>
          <w:rFonts w:eastAsia="Arial" w:cs="Arial"/>
          <w:color w:val="0000FF"/>
          <w:u w:val="single"/>
        </w:rPr>
        <w:t xml:space="preserve"> https://doi.org/10.1016/j.ridd.2016.04.005</w:t>
      </w:r>
    </w:p>
    <w:p w14:paraId="5EECA146"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Preston N, Weightman A, Gallagher J, </w:t>
      </w:r>
      <w:proofErr w:type="spellStart"/>
      <w:r w:rsidRPr="009B1D46">
        <w:rPr>
          <w:rFonts w:eastAsia="Arial" w:cs="Arial"/>
          <w:color w:val="000000"/>
        </w:rPr>
        <w:t>Levesley</w:t>
      </w:r>
      <w:proofErr w:type="spellEnd"/>
      <w:r w:rsidRPr="009B1D46">
        <w:rPr>
          <w:rFonts w:eastAsia="Arial" w:cs="Arial"/>
          <w:color w:val="000000"/>
        </w:rPr>
        <w:t xml:space="preserve"> M, Mon-Williams M, Clarke M, O'Connor RJ. (2016). A pilot single-blind multicentre randomized controlled trial to evaluate the potential benefits of computer-assisted arm rehabilitation gaming technology on the arm function of children with spastic cerebral palsy. </w:t>
      </w:r>
      <w:r w:rsidRPr="009B1D46">
        <w:rPr>
          <w:rFonts w:eastAsia="Arial" w:cs="Arial"/>
          <w:i/>
          <w:color w:val="000000"/>
        </w:rPr>
        <w:t>Clin Rehabil</w:t>
      </w:r>
      <w:r w:rsidRPr="009B1D46">
        <w:rPr>
          <w:rFonts w:eastAsia="Arial" w:cs="Arial"/>
          <w:color w:val="000000"/>
        </w:rPr>
        <w:t>, 30(10):1004-1015.</w:t>
      </w:r>
      <w:r w:rsidRPr="009B1D46">
        <w:rPr>
          <w:rFonts w:eastAsia="Arial" w:cs="Arial"/>
          <w:color w:val="0000FF"/>
          <w:u w:val="single"/>
        </w:rPr>
        <w:t xml:space="preserve"> https://doi.org/10.1177/0269215515604699</w:t>
      </w:r>
    </w:p>
    <w:p w14:paraId="36F3F3BD"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Thomas RE, Johnston LM, </w:t>
      </w:r>
      <w:proofErr w:type="spellStart"/>
      <w:r w:rsidRPr="009B1D46">
        <w:rPr>
          <w:rFonts w:eastAsia="Arial" w:cs="Arial"/>
          <w:color w:val="000000"/>
        </w:rPr>
        <w:t>Sakzewski</w:t>
      </w:r>
      <w:proofErr w:type="spellEnd"/>
      <w:r w:rsidRPr="009B1D46">
        <w:rPr>
          <w:rFonts w:eastAsia="Arial" w:cs="Arial"/>
          <w:color w:val="000000"/>
        </w:rPr>
        <w:t xml:space="preserve"> L, Kentish MJ, Boyd RN. (2016). Evaluation of group versus individual physiotherapy following lower limb intra-muscular Botulinum Toxin-Type A injections for ambulant children with cerebral palsy: A single-blind randomized comparison trial. </w:t>
      </w:r>
      <w:r w:rsidRPr="009B1D46">
        <w:rPr>
          <w:rFonts w:eastAsia="Arial" w:cs="Arial"/>
          <w:i/>
          <w:color w:val="000000"/>
        </w:rPr>
        <w:t xml:space="preserve">Res Dev </w:t>
      </w:r>
      <w:proofErr w:type="spellStart"/>
      <w:r w:rsidRPr="009B1D46">
        <w:rPr>
          <w:rFonts w:eastAsia="Arial" w:cs="Arial"/>
          <w:i/>
          <w:color w:val="000000"/>
        </w:rPr>
        <w:t>Disabil</w:t>
      </w:r>
      <w:proofErr w:type="spellEnd"/>
      <w:r w:rsidRPr="009B1D46">
        <w:rPr>
          <w:rFonts w:eastAsia="Arial" w:cs="Arial"/>
          <w:color w:val="000000"/>
        </w:rPr>
        <w:t>, 53-54:267-278.</w:t>
      </w:r>
      <w:r w:rsidRPr="009B1D46">
        <w:rPr>
          <w:rFonts w:eastAsia="Arial" w:cs="Arial"/>
          <w:color w:val="0000FF"/>
          <w:u w:val="single"/>
        </w:rPr>
        <w:t xml:space="preserve"> https://doi.org/10.1016/j.ridd.2016.02.014</w:t>
      </w:r>
    </w:p>
    <w:p w14:paraId="47DA766C"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Hoare B, </w:t>
      </w:r>
      <w:proofErr w:type="spellStart"/>
      <w:r w:rsidRPr="009B1D46">
        <w:rPr>
          <w:rFonts w:eastAsia="Arial" w:cs="Arial"/>
          <w:color w:val="000000"/>
        </w:rPr>
        <w:t>Imms</w:t>
      </w:r>
      <w:proofErr w:type="spellEnd"/>
      <w:r w:rsidRPr="009B1D46">
        <w:rPr>
          <w:rFonts w:eastAsia="Arial" w:cs="Arial"/>
          <w:color w:val="000000"/>
        </w:rPr>
        <w:t xml:space="preserve"> C, Villanueva E, Rawicki HB, Matyas T, Carey L. (2013). Intensive therapy following upper limb botulinum toxin A injection in young children with </w:t>
      </w:r>
      <w:r w:rsidRPr="009B1D46">
        <w:rPr>
          <w:rFonts w:eastAsia="Arial" w:cs="Arial"/>
          <w:color w:val="000000"/>
        </w:rPr>
        <w:lastRenderedPageBreak/>
        <w:t xml:space="preserve">unilateral cerebral palsy: a randomized trial. </w:t>
      </w:r>
      <w:r w:rsidRPr="009B1D46">
        <w:rPr>
          <w:rFonts w:eastAsia="Arial" w:cs="Arial"/>
          <w:i/>
          <w:color w:val="000000"/>
        </w:rPr>
        <w:t>Dev Med Child Neurol</w:t>
      </w:r>
      <w:r w:rsidRPr="009B1D46">
        <w:rPr>
          <w:rFonts w:eastAsia="Arial" w:cs="Arial"/>
          <w:color w:val="000000"/>
        </w:rPr>
        <w:t>, 55(3):238-47.</w:t>
      </w:r>
      <w:r w:rsidRPr="009B1D46">
        <w:rPr>
          <w:rFonts w:eastAsia="Arial" w:cs="Arial"/>
          <w:color w:val="0000FF"/>
          <w:u w:val="single"/>
        </w:rPr>
        <w:t xml:space="preserve"> https://doi.org/10.1111/dmcn.12054</w:t>
      </w:r>
    </w:p>
    <w:p w14:paraId="22FDE221"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Dunn W, Cox J, Foster L, Mische-Lawson L, Tanquary J. (2012). Impact of a contextual intervention on child participation and parent competence among children with autism spectrum disorders: a pretest-</w:t>
      </w:r>
      <w:proofErr w:type="spellStart"/>
      <w:r w:rsidRPr="009B1D46">
        <w:rPr>
          <w:rFonts w:eastAsia="Arial" w:cs="Arial"/>
          <w:color w:val="000000"/>
        </w:rPr>
        <w:t>posttest</w:t>
      </w:r>
      <w:proofErr w:type="spellEnd"/>
      <w:r w:rsidRPr="009B1D46">
        <w:rPr>
          <w:rFonts w:eastAsia="Arial" w:cs="Arial"/>
          <w:color w:val="000000"/>
        </w:rPr>
        <w:t xml:space="preserve"> repeated-measures design. </w:t>
      </w:r>
      <w:r w:rsidRPr="009B1D46">
        <w:rPr>
          <w:rFonts w:eastAsia="Arial" w:cs="Arial"/>
          <w:i/>
          <w:color w:val="000000"/>
        </w:rPr>
        <w:t xml:space="preserve">Am J </w:t>
      </w:r>
      <w:proofErr w:type="spellStart"/>
      <w:r w:rsidRPr="009B1D46">
        <w:rPr>
          <w:rFonts w:eastAsia="Arial" w:cs="Arial"/>
          <w:i/>
          <w:color w:val="000000"/>
        </w:rPr>
        <w:t>Occup</w:t>
      </w:r>
      <w:proofErr w:type="spellEnd"/>
      <w:r w:rsidRPr="009B1D46">
        <w:rPr>
          <w:rFonts w:eastAsia="Arial" w:cs="Arial"/>
          <w:i/>
          <w:color w:val="000000"/>
        </w:rPr>
        <w:t xml:space="preserve"> Ther</w:t>
      </w:r>
      <w:r w:rsidRPr="009B1D46">
        <w:rPr>
          <w:rFonts w:eastAsia="Arial" w:cs="Arial"/>
          <w:color w:val="000000"/>
        </w:rPr>
        <w:t>, 66(5):520-8.</w:t>
      </w:r>
      <w:r w:rsidRPr="009B1D46">
        <w:rPr>
          <w:rFonts w:eastAsia="Arial" w:cs="Arial"/>
          <w:color w:val="0000FF"/>
          <w:u w:val="single"/>
        </w:rPr>
        <w:t xml:space="preserve"> https://doi.org/10.5014/ajot.2012.004119</w:t>
      </w:r>
    </w:p>
    <w:p w14:paraId="00D8DE1D"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Gates PE, Banks D, Johnston TE, Campbell SR, Gaughan JP, Ross SA, Engsberg JR, Tucker C. (2012). Randomized controlled trial assessing participation and quality of life in a supported speed treadmill training exercise program vs. a strengthening program for children with cerebral palsy. </w:t>
      </w:r>
      <w:r w:rsidRPr="009B1D46">
        <w:rPr>
          <w:rFonts w:eastAsia="Arial" w:cs="Arial"/>
          <w:i/>
          <w:color w:val="000000"/>
        </w:rPr>
        <w:t xml:space="preserve">J Pediatr </w:t>
      </w:r>
      <w:proofErr w:type="spellStart"/>
      <w:r w:rsidRPr="009B1D46">
        <w:rPr>
          <w:rFonts w:eastAsia="Arial" w:cs="Arial"/>
          <w:i/>
          <w:color w:val="000000"/>
        </w:rPr>
        <w:t>Rehabil</w:t>
      </w:r>
      <w:proofErr w:type="spellEnd"/>
      <w:r w:rsidRPr="009B1D46">
        <w:rPr>
          <w:rFonts w:eastAsia="Arial" w:cs="Arial"/>
          <w:i/>
          <w:color w:val="000000"/>
        </w:rPr>
        <w:t xml:space="preserve"> Med</w:t>
      </w:r>
      <w:r w:rsidRPr="009B1D46">
        <w:rPr>
          <w:rFonts w:eastAsia="Arial" w:cs="Arial"/>
          <w:color w:val="000000"/>
        </w:rPr>
        <w:t>, 5(2):75-88.</w:t>
      </w:r>
      <w:r w:rsidRPr="009B1D46">
        <w:rPr>
          <w:rFonts w:eastAsia="Arial" w:cs="Arial"/>
          <w:color w:val="0000FF"/>
          <w:u w:val="single"/>
        </w:rPr>
        <w:t xml:space="preserve"> https://doi.org/10.3233/PRM-2012-0199</w:t>
      </w:r>
    </w:p>
    <w:p w14:paraId="1ACDB503"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Reidy TG, Naber E, </w:t>
      </w:r>
      <w:proofErr w:type="spellStart"/>
      <w:r w:rsidRPr="009B1D46">
        <w:rPr>
          <w:rFonts w:eastAsia="Arial" w:cs="Arial"/>
          <w:color w:val="000000"/>
        </w:rPr>
        <w:t>Viguers</w:t>
      </w:r>
      <w:proofErr w:type="spellEnd"/>
      <w:r w:rsidRPr="009B1D46">
        <w:rPr>
          <w:rFonts w:eastAsia="Arial" w:cs="Arial"/>
          <w:color w:val="000000"/>
        </w:rPr>
        <w:t xml:space="preserve"> E, Allison K, Brady K, Carney J, Salorio C, Pidcock F. (2012). Outcomes of a clinic-based </w:t>
      </w:r>
      <w:proofErr w:type="spellStart"/>
      <w:r w:rsidRPr="009B1D46">
        <w:rPr>
          <w:rFonts w:eastAsia="Arial" w:cs="Arial"/>
          <w:color w:val="000000"/>
        </w:rPr>
        <w:t>pediatric</w:t>
      </w:r>
      <w:proofErr w:type="spellEnd"/>
      <w:r w:rsidRPr="009B1D46">
        <w:rPr>
          <w:rFonts w:eastAsia="Arial" w:cs="Arial"/>
          <w:color w:val="000000"/>
        </w:rPr>
        <w:t xml:space="preserve"> constraint-induced movement therapy program. </w:t>
      </w:r>
      <w:r w:rsidRPr="009B1D46">
        <w:rPr>
          <w:rFonts w:eastAsia="Arial" w:cs="Arial"/>
          <w:i/>
          <w:color w:val="000000"/>
        </w:rPr>
        <w:t xml:space="preserve">Phys </w:t>
      </w:r>
      <w:proofErr w:type="spellStart"/>
      <w:r w:rsidRPr="009B1D46">
        <w:rPr>
          <w:rFonts w:eastAsia="Arial" w:cs="Arial"/>
          <w:i/>
          <w:color w:val="000000"/>
        </w:rPr>
        <w:t>Occup</w:t>
      </w:r>
      <w:proofErr w:type="spellEnd"/>
      <w:r w:rsidRPr="009B1D46">
        <w:rPr>
          <w:rFonts w:eastAsia="Arial" w:cs="Arial"/>
          <w:i/>
          <w:color w:val="000000"/>
        </w:rPr>
        <w:t xml:space="preserve"> Ther </w:t>
      </w:r>
      <w:proofErr w:type="spellStart"/>
      <w:r w:rsidRPr="009B1D46">
        <w:rPr>
          <w:rFonts w:eastAsia="Arial" w:cs="Arial"/>
          <w:i/>
          <w:color w:val="000000"/>
        </w:rPr>
        <w:t>Pediatr</w:t>
      </w:r>
      <w:proofErr w:type="spellEnd"/>
      <w:r w:rsidRPr="009B1D46">
        <w:rPr>
          <w:rFonts w:eastAsia="Arial" w:cs="Arial"/>
          <w:color w:val="000000"/>
        </w:rPr>
        <w:t>, 32(4):355-67.</w:t>
      </w:r>
      <w:r w:rsidRPr="009B1D46">
        <w:rPr>
          <w:rFonts w:eastAsia="Arial" w:cs="Arial"/>
          <w:color w:val="0000FF"/>
          <w:u w:val="single"/>
        </w:rPr>
        <w:t xml:space="preserve"> https://doi.org/10.3109/01942638.2012.694991</w:t>
      </w:r>
    </w:p>
    <w:p w14:paraId="60A5E997"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Wallen M, Ziviani J, Naylor O, Evans R, Novak I, Herbert RD. (2011). Modified constraint-induced therapy for children with hemiplegic cerebral palsy: a randomized trial. </w:t>
      </w:r>
      <w:r w:rsidRPr="009B1D46">
        <w:rPr>
          <w:rFonts w:eastAsia="Arial" w:cs="Arial"/>
          <w:i/>
          <w:color w:val="000000"/>
        </w:rPr>
        <w:t>Dev Med Child Neurol</w:t>
      </w:r>
      <w:r w:rsidRPr="009B1D46">
        <w:rPr>
          <w:rFonts w:eastAsia="Arial" w:cs="Arial"/>
          <w:color w:val="000000"/>
        </w:rPr>
        <w:t>, 53(12):1091-9.</w:t>
      </w:r>
      <w:r w:rsidRPr="009B1D46">
        <w:rPr>
          <w:rFonts w:eastAsia="Arial" w:cs="Arial"/>
          <w:color w:val="0000FF"/>
          <w:u w:val="single"/>
        </w:rPr>
        <w:t xml:space="preserve"> https://doi.org/10.1111/j.1469-8749.2011.04086.x</w:t>
      </w:r>
    </w:p>
    <w:p w14:paraId="57FF1F5B" w14:textId="77777777" w:rsidR="009B1D46" w:rsidRPr="009B1D46" w:rsidRDefault="009B1D46" w:rsidP="009B1D46">
      <w:pPr>
        <w:pBdr>
          <w:top w:val="none" w:sz="0" w:space="0" w:color="000000"/>
          <w:left w:val="none" w:sz="0" w:space="0" w:color="000000"/>
          <w:bottom w:val="none" w:sz="0" w:space="0" w:color="000000"/>
          <w:right w:val="none" w:sz="0" w:space="0" w:color="000000"/>
        </w:pBdr>
      </w:pPr>
      <w:proofErr w:type="spellStart"/>
      <w:r w:rsidRPr="009B1D46">
        <w:rPr>
          <w:rFonts w:eastAsia="Arial" w:cs="Arial"/>
          <w:color w:val="000000"/>
        </w:rPr>
        <w:t>Olesch</w:t>
      </w:r>
      <w:proofErr w:type="spellEnd"/>
      <w:r w:rsidRPr="009B1D46">
        <w:rPr>
          <w:rFonts w:eastAsia="Arial" w:cs="Arial"/>
          <w:color w:val="000000"/>
        </w:rPr>
        <w:t xml:space="preserve"> CA, Greaves S, </w:t>
      </w:r>
      <w:proofErr w:type="spellStart"/>
      <w:r w:rsidRPr="009B1D46">
        <w:rPr>
          <w:rFonts w:eastAsia="Arial" w:cs="Arial"/>
          <w:color w:val="000000"/>
        </w:rPr>
        <w:t>Imms</w:t>
      </w:r>
      <w:proofErr w:type="spellEnd"/>
      <w:r w:rsidRPr="009B1D46">
        <w:rPr>
          <w:rFonts w:eastAsia="Arial" w:cs="Arial"/>
          <w:color w:val="000000"/>
        </w:rPr>
        <w:t xml:space="preserve"> C, Reid SM, Graham HK. (2010). Repeat botulinum toxin-A injections in the upper limb of children with hemiplegia: a randomized controlled trial. </w:t>
      </w:r>
      <w:r w:rsidRPr="009B1D46">
        <w:rPr>
          <w:rFonts w:eastAsia="Arial" w:cs="Arial"/>
          <w:i/>
          <w:color w:val="000000"/>
        </w:rPr>
        <w:t>Dev Med Child Neurol</w:t>
      </w:r>
      <w:r w:rsidRPr="009B1D46">
        <w:rPr>
          <w:rFonts w:eastAsia="Arial" w:cs="Arial"/>
          <w:color w:val="000000"/>
        </w:rPr>
        <w:t>, 52(1):79-86.</w:t>
      </w:r>
      <w:r w:rsidRPr="009B1D46">
        <w:rPr>
          <w:rFonts w:eastAsia="Arial" w:cs="Arial"/>
          <w:color w:val="0000FF"/>
          <w:u w:val="single"/>
        </w:rPr>
        <w:t xml:space="preserve"> https://doi.org/10.1111/j.1469-8749.2009.03387.x</w:t>
      </w:r>
    </w:p>
    <w:p w14:paraId="7162D1F4"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Novak I, Cusick A, Lannin N. (2009). Occupational therapy home programs for cerebral palsy: double-blind, randomized, controlled trial. </w:t>
      </w:r>
      <w:proofErr w:type="spellStart"/>
      <w:r w:rsidRPr="009B1D46">
        <w:rPr>
          <w:rFonts w:eastAsia="Arial" w:cs="Arial"/>
          <w:i/>
          <w:color w:val="000000"/>
        </w:rPr>
        <w:t>Pediatrics</w:t>
      </w:r>
      <w:proofErr w:type="spellEnd"/>
      <w:r w:rsidRPr="009B1D46">
        <w:rPr>
          <w:rFonts w:eastAsia="Arial" w:cs="Arial"/>
          <w:color w:val="000000"/>
        </w:rPr>
        <w:t>, 124(4</w:t>
      </w:r>
      <w:proofErr w:type="gramStart"/>
      <w:r w:rsidRPr="009B1D46">
        <w:rPr>
          <w:rFonts w:eastAsia="Arial" w:cs="Arial"/>
          <w:color w:val="000000"/>
        </w:rPr>
        <w:t>):e</w:t>
      </w:r>
      <w:proofErr w:type="gramEnd"/>
      <w:r w:rsidRPr="009B1D46">
        <w:rPr>
          <w:rFonts w:eastAsia="Arial" w:cs="Arial"/>
          <w:color w:val="000000"/>
        </w:rPr>
        <w:t>606-14.</w:t>
      </w:r>
      <w:r w:rsidRPr="009B1D46">
        <w:rPr>
          <w:rFonts w:eastAsia="Arial" w:cs="Arial"/>
          <w:color w:val="0000FF"/>
          <w:u w:val="single"/>
        </w:rPr>
        <w:t xml:space="preserve"> https://doi.org/10.1542/peds.2009-0288</w:t>
      </w:r>
    </w:p>
    <w:p w14:paraId="771D6D0E" w14:textId="77777777" w:rsidR="009B1D46" w:rsidRPr="009B1D46" w:rsidRDefault="009B1D46" w:rsidP="009B1D46">
      <w:pPr>
        <w:pBdr>
          <w:top w:val="none" w:sz="0" w:space="0" w:color="000000"/>
          <w:left w:val="none" w:sz="0" w:space="0" w:color="000000"/>
          <w:bottom w:val="none" w:sz="0" w:space="0" w:color="000000"/>
          <w:right w:val="none" w:sz="0" w:space="0" w:color="000000"/>
        </w:pBdr>
      </w:pPr>
      <w:r w:rsidRPr="009B1D46">
        <w:rPr>
          <w:rFonts w:eastAsia="Arial" w:cs="Arial"/>
          <w:color w:val="000000"/>
        </w:rPr>
        <w:t xml:space="preserve">Wallen M, O'Flaherty SJ, Waugh MC. (2007). Functional outcomes of intramuscular botulinum toxin type </w:t>
      </w:r>
      <w:proofErr w:type="gramStart"/>
      <w:r w:rsidRPr="009B1D46">
        <w:rPr>
          <w:rFonts w:eastAsia="Arial" w:cs="Arial"/>
          <w:color w:val="000000"/>
        </w:rPr>
        <w:t>a and</w:t>
      </w:r>
      <w:proofErr w:type="gramEnd"/>
      <w:r w:rsidRPr="009B1D46">
        <w:rPr>
          <w:rFonts w:eastAsia="Arial" w:cs="Arial"/>
          <w:color w:val="000000"/>
        </w:rPr>
        <w:t xml:space="preserve"> occupational therapy in the upper limbs of children with cerebral palsy: a randomized controlled trial. </w:t>
      </w:r>
      <w:r w:rsidRPr="009B1D46">
        <w:rPr>
          <w:rFonts w:eastAsia="Arial" w:cs="Arial"/>
          <w:i/>
          <w:color w:val="000000"/>
        </w:rPr>
        <w:t>Arch Phys Med Rehabil</w:t>
      </w:r>
      <w:r w:rsidRPr="009B1D46">
        <w:rPr>
          <w:rFonts w:eastAsia="Arial" w:cs="Arial"/>
          <w:color w:val="000000"/>
        </w:rPr>
        <w:t>, 88(1):1-10.</w:t>
      </w:r>
      <w:r w:rsidRPr="009B1D46">
        <w:rPr>
          <w:rFonts w:eastAsia="Arial" w:cs="Arial"/>
          <w:color w:val="0000FF"/>
          <w:u w:val="single"/>
        </w:rPr>
        <w:t xml:space="preserve"> https://doi.org/10.1016/j.apmr.2006.10.017</w:t>
      </w:r>
    </w:p>
    <w:p w14:paraId="12DF45ED" w14:textId="77777777" w:rsidR="00A64F6B" w:rsidRDefault="005D129C">
      <w:pPr>
        <w:rPr>
          <w:rFonts w:eastAsiaTheme="majorEastAsia" w:cs="Arial"/>
          <w:b/>
          <w:bCs/>
          <w:color w:val="3F779D"/>
          <w:sz w:val="36"/>
          <w:szCs w:val="36"/>
        </w:rPr>
        <w:sectPr w:rsidR="00A64F6B" w:rsidSect="00F94BB1">
          <w:pgSz w:w="11910" w:h="16845"/>
          <w:pgMar w:top="1440" w:right="1440" w:bottom="1440" w:left="1440" w:header="720" w:footer="720" w:gutter="0"/>
          <w:cols w:space="720"/>
          <w:docGrid w:linePitch="326"/>
        </w:sectPr>
      </w:pPr>
      <w:r>
        <w:rPr>
          <w:rFonts w:eastAsiaTheme="majorEastAsia" w:cs="Arial"/>
          <w:b/>
          <w:bCs/>
          <w:color w:val="3F779D"/>
          <w:sz w:val="36"/>
          <w:szCs w:val="36"/>
        </w:rPr>
        <w:br w:type="page"/>
      </w:r>
    </w:p>
    <w:p w14:paraId="5DE0AC78" w14:textId="1F567FFF" w:rsidR="005D129C" w:rsidRDefault="005D129C">
      <w:pPr>
        <w:rPr>
          <w:rFonts w:eastAsiaTheme="majorEastAsia" w:cs="Arial"/>
          <w:b/>
          <w:bCs/>
          <w:color w:val="3F779D"/>
          <w:sz w:val="36"/>
          <w:szCs w:val="36"/>
        </w:rPr>
      </w:pPr>
    </w:p>
    <w:p w14:paraId="476002FF" w14:textId="77777777" w:rsidR="0032193C" w:rsidRDefault="0032193C">
      <w:pPr>
        <w:jc w:val="center"/>
      </w:pPr>
      <w:r>
        <w:rPr>
          <w:noProof/>
        </w:rPr>
        <w:drawing>
          <wp:anchor distT="0" distB="0" distL="114300" distR="114300" simplePos="0" relativeHeight="251658243" behindDoc="0" locked="1" layoutInCell="1" allowOverlap="1" wp14:anchorId="01275E04" wp14:editId="5E4E7AF2">
            <wp:simplePos x="0" y="0"/>
            <wp:positionH relativeFrom="page">
              <wp:posOffset>0</wp:posOffset>
            </wp:positionH>
            <wp:positionV relativeFrom="page">
              <wp:posOffset>2559685</wp:posOffset>
            </wp:positionV>
            <wp:extent cx="7563485" cy="935990"/>
            <wp:effectExtent l="0" t="0" r="5715" b="3810"/>
            <wp:wrapNone/>
            <wp:docPr id="37287620"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1" locked="1" layoutInCell="1" allowOverlap="1" wp14:anchorId="03CF784D" wp14:editId="4946CD81">
            <wp:simplePos x="0" y="0"/>
            <wp:positionH relativeFrom="page">
              <wp:posOffset>0</wp:posOffset>
            </wp:positionH>
            <wp:positionV relativeFrom="page">
              <wp:posOffset>0</wp:posOffset>
            </wp:positionV>
            <wp:extent cx="7563485" cy="2267585"/>
            <wp:effectExtent l="0" t="0" r="5715" b="5715"/>
            <wp:wrapNone/>
            <wp:docPr id="1790135478"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495FD544" w14:textId="77777777" w:rsidR="0032193C" w:rsidRDefault="0032193C">
      <w:pPr>
        <w:jc w:val="center"/>
      </w:pPr>
    </w:p>
    <w:p w14:paraId="7C85695E" w14:textId="77777777" w:rsidR="0032193C" w:rsidRDefault="0032193C">
      <w:pPr>
        <w:tabs>
          <w:tab w:val="left" w:pos="5465"/>
        </w:tabs>
        <w:spacing w:line="300" w:lineRule="auto"/>
      </w:pPr>
      <w:r>
        <w:rPr>
          <w:rFonts w:ascii="Arial Bold" w:eastAsia="Arial Bold" w:hAnsi="Arial Bold" w:cs="Arial Bold"/>
          <w:b/>
          <w:bCs/>
          <w:color w:val="000F46"/>
          <w:sz w:val="40"/>
          <w:szCs w:val="40"/>
        </w:rPr>
        <w:t xml:space="preserve"> </w:t>
      </w:r>
      <w:r>
        <w:rPr>
          <w:rFonts w:ascii="Arial Bold" w:eastAsia="Arial Bold" w:hAnsi="Arial Bold" w:cs="Arial Bold"/>
          <w:b/>
          <w:bCs/>
          <w:color w:val="000F46"/>
          <w:sz w:val="40"/>
          <w:szCs w:val="40"/>
        </w:rPr>
        <w:tab/>
      </w:r>
    </w:p>
    <w:p w14:paraId="252828EC" w14:textId="77777777" w:rsidR="0032193C" w:rsidRDefault="0032193C">
      <w:pPr>
        <w:spacing w:line="300" w:lineRule="auto"/>
      </w:pPr>
      <w:r>
        <w:rPr>
          <w:rFonts w:ascii="Canva Sans" w:eastAsia="Canva Sans" w:hAnsi="Canva Sans" w:cs="Canva Sans"/>
          <w:color w:val="000000"/>
        </w:rPr>
        <w:t xml:space="preserve"> </w:t>
      </w:r>
    </w:p>
    <w:p w14:paraId="10B69D42" w14:textId="3E3782D8" w:rsidR="0032193C" w:rsidRDefault="003933C7">
      <w:pPr>
        <w:spacing w:line="300" w:lineRule="auto"/>
        <w:rPr>
          <w:rFonts w:eastAsia="Canva Sans" w:cs="Arial"/>
          <w:b/>
          <w:bCs/>
          <w:color w:val="000000"/>
          <w:sz w:val="36"/>
          <w:szCs w:val="36"/>
        </w:rPr>
      </w:pPr>
      <w:r>
        <w:rPr>
          <w:noProof/>
        </w:rPr>
        <mc:AlternateContent>
          <mc:Choice Requires="wps">
            <w:drawing>
              <wp:anchor distT="0" distB="0" distL="114300" distR="114300" simplePos="0" relativeHeight="251658284" behindDoc="0" locked="0" layoutInCell="1" allowOverlap="1" wp14:anchorId="3C46BC29" wp14:editId="3DBEDDA6">
                <wp:simplePos x="0" y="0"/>
                <wp:positionH relativeFrom="column">
                  <wp:posOffset>95250</wp:posOffset>
                </wp:positionH>
                <wp:positionV relativeFrom="paragraph">
                  <wp:posOffset>216857</wp:posOffset>
                </wp:positionV>
                <wp:extent cx="6470650" cy="813160"/>
                <wp:effectExtent l="0" t="0" r="0" b="6350"/>
                <wp:wrapNone/>
                <wp:docPr id="968108704" name="Text Box 1"/>
                <wp:cNvGraphicFramePr/>
                <a:graphic xmlns:a="http://schemas.openxmlformats.org/drawingml/2006/main">
                  <a:graphicData uri="http://schemas.microsoft.com/office/word/2010/wordprocessingShape">
                    <wps:wsp>
                      <wps:cNvSpPr txBox="1"/>
                      <wps:spPr>
                        <a:xfrm>
                          <a:off x="0" y="0"/>
                          <a:ext cx="6470650" cy="813160"/>
                        </a:xfrm>
                        <a:prstGeom prst="rect">
                          <a:avLst/>
                        </a:prstGeom>
                        <a:noFill/>
                        <a:ln w="6350">
                          <a:noFill/>
                        </a:ln>
                      </wps:spPr>
                      <wps:txbx>
                        <w:txbxContent>
                          <w:p w14:paraId="7184326B" w14:textId="77777777" w:rsidR="0032193C" w:rsidRPr="00B73670" w:rsidRDefault="0032193C">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778F1686" w14:textId="77777777" w:rsidR="0032193C" w:rsidRPr="00DA3237" w:rsidRDefault="0032193C">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6BC29" id="_x0000_s1030" type="#_x0000_t202" style="position:absolute;margin-left:7.5pt;margin-top:17.1pt;width:509.5pt;height:64.0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" filled="f" stroked="f" strokeweight=".5pt">
                <v:textbox>
                  <w:txbxContent>
                    <w:p w14:paraId="7184326B" w14:textId="77777777" w:rsidR="0032193C" w:rsidRPr="00B73670" w:rsidRDefault="0032193C">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778F1686" w14:textId="77777777" w:rsidR="0032193C" w:rsidRPr="00DA3237" w:rsidRDefault="0032193C">
                      <w:pPr>
                        <w:rPr>
                          <w:rFonts w:cs="Arial"/>
                        </w:rPr>
                      </w:pPr>
                    </w:p>
                  </w:txbxContent>
                </v:textbox>
              </v:shape>
            </w:pict>
          </mc:Fallback>
        </mc:AlternateContent>
      </w:r>
    </w:p>
    <w:p w14:paraId="48BBB74E" w14:textId="465822B0" w:rsidR="0032193C" w:rsidRDefault="0032193C">
      <w:pPr>
        <w:spacing w:line="300" w:lineRule="auto"/>
        <w:rPr>
          <w:rFonts w:eastAsia="Canva Sans" w:cs="Arial"/>
          <w:b/>
          <w:bCs/>
          <w:color w:val="000000"/>
          <w:sz w:val="36"/>
          <w:szCs w:val="36"/>
        </w:rPr>
      </w:pPr>
    </w:p>
    <w:p w14:paraId="64740C5E" w14:textId="77777777" w:rsidR="0032193C" w:rsidRDefault="0032193C">
      <w:pPr>
        <w:spacing w:line="300" w:lineRule="auto"/>
        <w:rPr>
          <w:rFonts w:eastAsia="Canva Sans" w:cs="Arial"/>
          <w:b/>
          <w:bCs/>
          <w:color w:val="000000"/>
          <w:sz w:val="36"/>
          <w:szCs w:val="36"/>
        </w:rPr>
      </w:pPr>
    </w:p>
    <w:p w14:paraId="5D998A4E" w14:textId="77777777" w:rsidR="00065DB8" w:rsidRPr="00065DB8" w:rsidRDefault="00065DB8" w:rsidP="00CF4C9A">
      <w:pPr>
        <w:pStyle w:val="Heading1"/>
      </w:pPr>
      <w:bookmarkStart w:id="17" w:name="_Child_Engagement_in"/>
      <w:bookmarkEnd w:id="17"/>
      <w:r w:rsidRPr="00065DB8">
        <w:t>Child Engagement in Daily Life (CEDL)</w:t>
      </w:r>
    </w:p>
    <w:tbl>
      <w:tblPr>
        <w:tblW w:w="901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2119"/>
        <w:gridCol w:w="6891"/>
      </w:tblGrid>
      <w:tr w:rsidR="00065DB8" w:rsidRPr="00065DB8" w14:paraId="77B86E7F" w14:textId="77777777">
        <w:trPr>
          <w:trHeight w:val="300"/>
        </w:trPr>
        <w:tc>
          <w:tcPr>
            <w:tcW w:w="2119" w:type="dxa"/>
            <w:tcBorders>
              <w:top w:val="single" w:sz="6" w:space="0" w:color="auto"/>
              <w:left w:val="single" w:sz="6" w:space="0" w:color="auto"/>
              <w:bottom w:val="single" w:sz="6" w:space="0" w:color="auto"/>
              <w:right w:val="single" w:sz="6" w:space="0" w:color="auto"/>
            </w:tcBorders>
            <w:hideMark/>
          </w:tcPr>
          <w:p w14:paraId="665BC979" w14:textId="77777777" w:rsidR="00065DB8" w:rsidRPr="00065DB8" w:rsidRDefault="00065DB8" w:rsidP="00065DB8">
            <w:pPr>
              <w:spacing w:after="100"/>
              <w:ind w:left="57" w:right="57"/>
              <w:rPr>
                <w:rFonts w:cs="Arial"/>
                <w:b/>
                <w:bCs/>
              </w:rPr>
            </w:pPr>
            <w:r w:rsidRPr="00065DB8">
              <w:rPr>
                <w:rFonts w:cs="Arial"/>
                <w:b/>
                <w:bCs/>
              </w:rPr>
              <w:t>Framework Outcomes Statement(s) </w:t>
            </w:r>
          </w:p>
        </w:tc>
        <w:tc>
          <w:tcPr>
            <w:tcW w:w="6891" w:type="dxa"/>
            <w:tcBorders>
              <w:top w:val="single" w:sz="6" w:space="0" w:color="auto"/>
              <w:left w:val="single" w:sz="6" w:space="0" w:color="auto"/>
              <w:bottom w:val="single" w:sz="6" w:space="0" w:color="auto"/>
              <w:right w:val="single" w:sz="6" w:space="0" w:color="auto"/>
            </w:tcBorders>
            <w:hideMark/>
          </w:tcPr>
          <w:p w14:paraId="6A4D04EA" w14:textId="77777777" w:rsidR="00065DB8" w:rsidRPr="00065DB8" w:rsidRDefault="00065DB8" w:rsidP="001C69DF">
            <w:pPr>
              <w:spacing w:afterLines="100" w:after="240"/>
              <w:ind w:left="57"/>
              <w:contextualSpacing/>
              <w:rPr>
                <w:rFonts w:eastAsia="Arial" w:cs="Arial"/>
                <w:b/>
                <w:bCs/>
                <w:color w:val="212121"/>
              </w:rPr>
            </w:pPr>
            <w:r w:rsidRPr="00065DB8">
              <w:rPr>
                <w:rFonts w:eastAsia="Arial" w:cs="Arial"/>
                <w:b/>
                <w:bCs/>
                <w:color w:val="212121"/>
              </w:rPr>
              <w:t xml:space="preserve">Children: </w:t>
            </w:r>
          </w:p>
          <w:p w14:paraId="27C27CAC" w14:textId="674B3138" w:rsidR="00065DB8" w:rsidRPr="00065DB8" w:rsidRDefault="00065DB8" w:rsidP="001C69DF">
            <w:pPr>
              <w:numPr>
                <w:ilvl w:val="0"/>
                <w:numId w:val="11"/>
              </w:numPr>
              <w:spacing w:afterLines="100" w:after="240"/>
              <w:ind w:right="57"/>
              <w:contextualSpacing/>
              <w:rPr>
                <w:rFonts w:cs="Arial"/>
              </w:rPr>
            </w:pPr>
            <w:r w:rsidRPr="00065DB8">
              <w:rPr>
                <w:rFonts w:cs="Arial"/>
                <w:color w:val="000000"/>
                <w:shd w:val="clear" w:color="auto" w:fill="FFFFFF"/>
              </w:rPr>
              <w:t>participate and feel they belong in everyday home, community, ECEC and school environments</w:t>
            </w:r>
          </w:p>
          <w:p w14:paraId="6B358908" w14:textId="77777777" w:rsidR="00065DB8" w:rsidRPr="00065DB8" w:rsidRDefault="00065DB8" w:rsidP="001C69DF">
            <w:pPr>
              <w:numPr>
                <w:ilvl w:val="0"/>
                <w:numId w:val="11"/>
              </w:numPr>
              <w:spacing w:afterLines="100" w:after="240"/>
              <w:ind w:right="57"/>
              <w:contextualSpacing/>
              <w:rPr>
                <w:rFonts w:cs="Arial"/>
              </w:rPr>
            </w:pPr>
            <w:r w:rsidRPr="00065DB8">
              <w:rPr>
                <w:rFonts w:cs="Arial"/>
              </w:rPr>
              <w:t>acquire, develop and generalise new knowledge and skills</w:t>
            </w:r>
          </w:p>
          <w:p w14:paraId="7FD6DABC" w14:textId="77777777" w:rsidR="00065DB8" w:rsidRPr="00065DB8" w:rsidRDefault="00065DB8" w:rsidP="001C69DF">
            <w:pPr>
              <w:numPr>
                <w:ilvl w:val="0"/>
                <w:numId w:val="11"/>
              </w:numPr>
              <w:spacing w:afterLines="100" w:after="240"/>
              <w:ind w:left="414" w:right="57" w:hanging="357"/>
              <w:rPr>
                <w:rFonts w:cs="Arial"/>
              </w:rPr>
            </w:pPr>
            <w:r w:rsidRPr="00065DB8">
              <w:rPr>
                <w:rFonts w:cs="Arial"/>
              </w:rPr>
              <w:t>follow their interests and enjoy play opportunities</w:t>
            </w:r>
          </w:p>
          <w:p w14:paraId="70924E9D" w14:textId="77777777" w:rsidR="00065DB8" w:rsidRPr="00065DB8" w:rsidRDefault="00065DB8" w:rsidP="001C69DF">
            <w:pPr>
              <w:spacing w:afterLines="100" w:after="240"/>
              <w:ind w:left="57" w:right="57"/>
              <w:contextualSpacing/>
              <w:rPr>
                <w:rFonts w:cs="Arial"/>
              </w:rPr>
            </w:pPr>
            <w:r w:rsidRPr="00065DB8">
              <w:rPr>
                <w:rFonts w:cs="Arial"/>
              </w:rPr>
              <w:t>Provides some information about:</w:t>
            </w:r>
          </w:p>
          <w:p w14:paraId="37DEC1AA" w14:textId="77777777" w:rsidR="00065DB8" w:rsidRPr="00065DB8" w:rsidRDefault="00065DB8" w:rsidP="001C69DF">
            <w:pPr>
              <w:numPr>
                <w:ilvl w:val="0"/>
                <w:numId w:val="11"/>
              </w:numPr>
              <w:spacing w:afterLines="100" w:after="240"/>
              <w:ind w:left="414" w:right="57" w:hanging="357"/>
              <w:rPr>
                <w:rFonts w:cs="Arial"/>
              </w:rPr>
            </w:pPr>
            <w:r w:rsidRPr="00065DB8">
              <w:rPr>
                <w:rFonts w:cs="Arial"/>
              </w:rPr>
              <w:t>interact with family members, other children and people in the community to build relational skills and connections</w:t>
            </w:r>
          </w:p>
        </w:tc>
      </w:tr>
    </w:tbl>
    <w:p w14:paraId="1CDFFCA3" w14:textId="77777777" w:rsidR="00FE233B" w:rsidRPr="00FE233B" w:rsidRDefault="00FE233B" w:rsidP="0065768A">
      <w:pPr>
        <w:pStyle w:val="Heading1"/>
      </w:pPr>
      <w:r w:rsidRPr="00FE233B">
        <w:t>CEDL Overview</w:t>
      </w:r>
    </w:p>
    <w:tbl>
      <w:tblPr>
        <w:tblW w:w="901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2140"/>
        <w:gridCol w:w="6870"/>
      </w:tblGrid>
      <w:tr w:rsidR="00FE233B" w:rsidRPr="00FE233B" w14:paraId="15DE4B0F"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57EBAC8A" w14:textId="77777777" w:rsidR="00FE233B" w:rsidRPr="00FE233B" w:rsidRDefault="00FE233B" w:rsidP="00FE233B">
            <w:pPr>
              <w:spacing w:after="100"/>
              <w:ind w:left="57" w:right="57"/>
              <w:rPr>
                <w:rFonts w:cs="Arial"/>
              </w:rPr>
            </w:pPr>
            <w:r w:rsidRPr="00FE233B">
              <w:rPr>
                <w:rFonts w:cs="Arial"/>
                <w:b/>
                <w:bCs/>
              </w:rPr>
              <w:t>General description</w:t>
            </w:r>
            <w:r w:rsidRPr="00FE233B">
              <w:rPr>
                <w:rFonts w:cs="Arial"/>
              </w:rPr>
              <w:t>  </w:t>
            </w:r>
          </w:p>
          <w:p w14:paraId="0747143C" w14:textId="77777777" w:rsidR="00FE233B" w:rsidRPr="00FE233B" w:rsidRDefault="00FE233B" w:rsidP="00FE233B">
            <w:pPr>
              <w:spacing w:after="100"/>
              <w:ind w:left="57" w:right="57"/>
              <w:rPr>
                <w:rFonts w:cs="Arial"/>
                <w:i/>
                <w:iCs/>
              </w:rPr>
            </w:pPr>
          </w:p>
        </w:tc>
        <w:tc>
          <w:tcPr>
            <w:tcW w:w="6870" w:type="dxa"/>
            <w:tcBorders>
              <w:top w:val="single" w:sz="6" w:space="0" w:color="auto"/>
              <w:left w:val="single" w:sz="6" w:space="0" w:color="auto"/>
              <w:bottom w:val="single" w:sz="6" w:space="0" w:color="auto"/>
              <w:right w:val="single" w:sz="6" w:space="0" w:color="auto"/>
            </w:tcBorders>
            <w:hideMark/>
          </w:tcPr>
          <w:p w14:paraId="4CDFFD11" w14:textId="77777777" w:rsidR="00FE233B" w:rsidRPr="00FE233B" w:rsidRDefault="00FE233B" w:rsidP="00FE233B">
            <w:pPr>
              <w:spacing w:after="100"/>
              <w:ind w:right="57"/>
              <w:rPr>
                <w:rFonts w:eastAsia="Arial" w:cs="Arial"/>
                <w:color w:val="000000" w:themeColor="text1"/>
              </w:rPr>
            </w:pPr>
            <w:r w:rsidRPr="00FE233B">
              <w:rPr>
                <w:rFonts w:eastAsia="Arial" w:cs="Arial"/>
                <w:color w:val="000000" w:themeColor="text1"/>
              </w:rPr>
              <w:t xml:space="preserve">The Child Engagement in Daily Life (CEDL) is a parent-report measure designed to evaluate how children participate in daily activities. Parents or caregivers who know the child well complete the questionnaire, rating both how often the child participates in specific activities and how much the child enjoys them. </w:t>
            </w:r>
          </w:p>
          <w:p w14:paraId="47FC42A7" w14:textId="77777777" w:rsidR="00FE233B" w:rsidRPr="00FE233B" w:rsidRDefault="00FE233B" w:rsidP="00FE233B">
            <w:pPr>
              <w:spacing w:after="100"/>
              <w:ind w:right="57"/>
              <w:rPr>
                <w:rFonts w:eastAsia="Arial" w:cs="Arial"/>
              </w:rPr>
            </w:pPr>
            <w:r w:rsidRPr="00FE233B">
              <w:rPr>
                <w:rFonts w:eastAsia="Arial" w:cs="Arial"/>
                <w:color w:val="000000" w:themeColor="text1"/>
              </w:rPr>
              <w:t>The CEDL may help service providers and families to understand participation levels and identify areas where support or intervention is needed.</w:t>
            </w:r>
          </w:p>
          <w:p w14:paraId="3395D377" w14:textId="77777777" w:rsidR="00FE233B" w:rsidRPr="00FE233B" w:rsidRDefault="00FE233B" w:rsidP="00FE233B">
            <w:pPr>
              <w:spacing w:after="100"/>
              <w:ind w:right="57"/>
              <w:rPr>
                <w:rFonts w:eastAsia="Arial" w:cs="Arial"/>
                <w:color w:val="000000" w:themeColor="text1"/>
              </w:rPr>
            </w:pPr>
            <w:r w:rsidRPr="00FE233B">
              <w:rPr>
                <w:rFonts w:eastAsia="Arial" w:cs="Arial"/>
                <w:color w:val="000000" w:themeColor="text1"/>
              </w:rPr>
              <w:t>The original CEDL was released in 2014. An updated version (CEDL, Version 2) was released in 2022.</w:t>
            </w:r>
          </w:p>
        </w:tc>
      </w:tr>
      <w:tr w:rsidR="00FE233B" w:rsidRPr="00FE233B" w14:paraId="5AC6EC25" w14:textId="77777777">
        <w:trPr>
          <w:trHeight w:val="300"/>
        </w:trPr>
        <w:tc>
          <w:tcPr>
            <w:tcW w:w="2140" w:type="dxa"/>
            <w:tcBorders>
              <w:top w:val="single" w:sz="6" w:space="0" w:color="auto"/>
              <w:left w:val="single" w:sz="6" w:space="0" w:color="auto"/>
              <w:bottom w:val="single" w:sz="6" w:space="0" w:color="auto"/>
              <w:right w:val="single" w:sz="6" w:space="0" w:color="auto"/>
            </w:tcBorders>
          </w:tcPr>
          <w:p w14:paraId="0BF2353A" w14:textId="77777777" w:rsidR="00FE233B" w:rsidRPr="00FE233B" w:rsidRDefault="00FE233B" w:rsidP="00FE233B">
            <w:pPr>
              <w:spacing w:after="100"/>
              <w:ind w:left="57" w:right="57"/>
              <w:rPr>
                <w:rFonts w:cs="Arial"/>
                <w:b/>
                <w:bCs/>
              </w:rPr>
            </w:pPr>
            <w:r w:rsidRPr="00FE233B">
              <w:rPr>
                <w:rFonts w:cs="Arial"/>
                <w:b/>
                <w:bCs/>
              </w:rPr>
              <w:t xml:space="preserve">Ages </w:t>
            </w:r>
          </w:p>
        </w:tc>
        <w:tc>
          <w:tcPr>
            <w:tcW w:w="6870" w:type="dxa"/>
            <w:tcBorders>
              <w:top w:val="single" w:sz="6" w:space="0" w:color="auto"/>
              <w:left w:val="single" w:sz="6" w:space="0" w:color="auto"/>
              <w:bottom w:val="single" w:sz="6" w:space="0" w:color="auto"/>
              <w:right w:val="single" w:sz="6" w:space="0" w:color="auto"/>
            </w:tcBorders>
          </w:tcPr>
          <w:p w14:paraId="65F09D14" w14:textId="77777777" w:rsidR="00FE233B" w:rsidRPr="00FE233B" w:rsidRDefault="00FE233B" w:rsidP="00FE233B">
            <w:pPr>
              <w:spacing w:after="100"/>
              <w:ind w:right="57"/>
              <w:rPr>
                <w:rFonts w:ascii="Aptos" w:eastAsia="Aptos" w:hAnsi="Aptos" w:cs="Aptos"/>
                <w:color w:val="000000" w:themeColor="text1"/>
              </w:rPr>
            </w:pPr>
            <w:r w:rsidRPr="00FE233B">
              <w:rPr>
                <w:rFonts w:cs="Arial"/>
              </w:rPr>
              <w:t>The CEDL is designed for children aged 18 months to 12 years.</w:t>
            </w:r>
          </w:p>
        </w:tc>
      </w:tr>
      <w:tr w:rsidR="00FE233B" w:rsidRPr="00FE233B" w14:paraId="56E7B94C" w14:textId="77777777">
        <w:trPr>
          <w:trHeight w:val="300"/>
        </w:trPr>
        <w:tc>
          <w:tcPr>
            <w:tcW w:w="2140" w:type="dxa"/>
            <w:tcBorders>
              <w:top w:val="single" w:sz="6" w:space="0" w:color="auto"/>
              <w:left w:val="single" w:sz="6" w:space="0" w:color="auto"/>
              <w:bottom w:val="single" w:sz="6" w:space="0" w:color="auto"/>
              <w:right w:val="single" w:sz="6" w:space="0" w:color="auto"/>
            </w:tcBorders>
          </w:tcPr>
          <w:p w14:paraId="1C5E2627" w14:textId="77777777" w:rsidR="00FE233B" w:rsidRPr="00FE233B" w:rsidRDefault="00FE233B" w:rsidP="00FE233B">
            <w:pPr>
              <w:spacing w:after="100"/>
              <w:ind w:left="57" w:right="57"/>
              <w:rPr>
                <w:rFonts w:cs="Arial"/>
              </w:rPr>
            </w:pPr>
            <w:r w:rsidRPr="00FE233B">
              <w:rPr>
                <w:rFonts w:cs="Arial"/>
                <w:b/>
                <w:bCs/>
              </w:rPr>
              <w:lastRenderedPageBreak/>
              <w:t>Domains / subscales </w:t>
            </w:r>
            <w:r w:rsidRPr="00FE233B">
              <w:rPr>
                <w:rFonts w:cs="Arial"/>
              </w:rPr>
              <w:t> </w:t>
            </w:r>
          </w:p>
        </w:tc>
        <w:tc>
          <w:tcPr>
            <w:tcW w:w="6870" w:type="dxa"/>
            <w:tcBorders>
              <w:top w:val="single" w:sz="6" w:space="0" w:color="auto"/>
              <w:left w:val="single" w:sz="6" w:space="0" w:color="auto"/>
              <w:bottom w:val="single" w:sz="6" w:space="0" w:color="auto"/>
              <w:right w:val="single" w:sz="6" w:space="0" w:color="auto"/>
            </w:tcBorders>
          </w:tcPr>
          <w:p w14:paraId="62EA706C" w14:textId="77777777" w:rsidR="00FE233B" w:rsidRPr="00FE233B" w:rsidRDefault="00FE233B" w:rsidP="00FE233B">
            <w:pPr>
              <w:spacing w:after="100"/>
              <w:ind w:right="57"/>
              <w:rPr>
                <w:rFonts w:cs="Arial"/>
              </w:rPr>
            </w:pPr>
            <w:r w:rsidRPr="00FE233B">
              <w:rPr>
                <w:rFonts w:cs="Arial"/>
              </w:rPr>
              <w:t>The CEDL has two subscales: 1) Participation in Family and Recreational Activities and 2) Performance in Self-Care</w:t>
            </w:r>
          </w:p>
        </w:tc>
      </w:tr>
      <w:tr w:rsidR="00FE233B" w:rsidRPr="00FE233B" w14:paraId="56BB9251"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12BC7F30" w14:textId="77777777" w:rsidR="00FE233B" w:rsidRPr="00FE233B" w:rsidRDefault="00FE233B" w:rsidP="00FE233B">
            <w:pPr>
              <w:spacing w:after="100"/>
              <w:ind w:left="57" w:right="57"/>
              <w:rPr>
                <w:rFonts w:cs="Arial"/>
              </w:rPr>
            </w:pPr>
            <w:r w:rsidRPr="00FE233B">
              <w:rPr>
                <w:rFonts w:cs="Arial"/>
                <w:b/>
                <w:bCs/>
              </w:rPr>
              <w:t>Cultural adaptation </w:t>
            </w:r>
            <w:r w:rsidRPr="00FE233B">
              <w:rPr>
                <w:rFonts w:cs="Arial"/>
              </w:rPr>
              <w:t> </w:t>
            </w:r>
          </w:p>
          <w:p w14:paraId="64682176" w14:textId="77777777" w:rsidR="00FE233B" w:rsidRPr="00FE233B" w:rsidRDefault="00FE233B" w:rsidP="00FE233B">
            <w:pPr>
              <w:spacing w:after="100"/>
              <w:ind w:left="57" w:right="57"/>
              <w:rPr>
                <w:rFonts w:cs="Arial"/>
              </w:rPr>
            </w:pPr>
          </w:p>
        </w:tc>
        <w:tc>
          <w:tcPr>
            <w:tcW w:w="6870" w:type="dxa"/>
            <w:tcBorders>
              <w:top w:val="single" w:sz="6" w:space="0" w:color="auto"/>
              <w:left w:val="single" w:sz="6" w:space="0" w:color="auto"/>
              <w:bottom w:val="single" w:sz="6" w:space="0" w:color="auto"/>
              <w:right w:val="single" w:sz="6" w:space="0" w:color="auto"/>
            </w:tcBorders>
            <w:hideMark/>
          </w:tcPr>
          <w:p w14:paraId="09D8A195" w14:textId="77777777" w:rsidR="00FE233B" w:rsidRPr="00FE233B" w:rsidRDefault="00FE233B" w:rsidP="00FE233B">
            <w:pPr>
              <w:spacing w:after="100"/>
              <w:ind w:right="57"/>
              <w:rPr>
                <w:rFonts w:eastAsia="Arial" w:cs="Arial"/>
              </w:rPr>
            </w:pPr>
            <w:r w:rsidRPr="00FE233B">
              <w:rPr>
                <w:rFonts w:eastAsia="Arial" w:cs="Arial"/>
              </w:rPr>
              <w:t xml:space="preserve">The CEDL has been adapted for use in other languages and countries. For example, it </w:t>
            </w:r>
            <w:r w:rsidRPr="00FE233B">
              <w:rPr>
                <w:rFonts w:eastAsia="Arial" w:cs="Arial"/>
                <w:color w:val="000000" w:themeColor="text1"/>
              </w:rPr>
              <w:t>has been translated and validated in Greek. The Self-Care Domain of the CEDL has been adapted for Arabic language and Saudi culture.</w:t>
            </w:r>
          </w:p>
        </w:tc>
      </w:tr>
      <w:tr w:rsidR="00FE233B" w:rsidRPr="00FE233B" w14:paraId="079FE2C5"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74E90850" w14:textId="77777777" w:rsidR="00FE233B" w:rsidRPr="00FE233B" w:rsidRDefault="00FE233B" w:rsidP="00FE233B">
            <w:pPr>
              <w:spacing w:after="100"/>
              <w:ind w:left="57" w:right="57"/>
              <w:rPr>
                <w:rFonts w:cs="Arial"/>
              </w:rPr>
            </w:pPr>
            <w:r w:rsidRPr="00FE233B">
              <w:rPr>
                <w:rFonts w:cs="Arial"/>
                <w:b/>
                <w:bCs/>
              </w:rPr>
              <w:t>Administration</w:t>
            </w:r>
            <w:r w:rsidRPr="00FE233B">
              <w:rPr>
                <w:rFonts w:cs="Arial"/>
              </w:rPr>
              <w:t>  </w:t>
            </w:r>
          </w:p>
          <w:p w14:paraId="2AF0CB91" w14:textId="77777777" w:rsidR="00FE233B" w:rsidRPr="00FE233B" w:rsidRDefault="00FE233B" w:rsidP="00FE233B">
            <w:pPr>
              <w:spacing w:after="100"/>
              <w:ind w:right="57"/>
              <w:rPr>
                <w:rFonts w:cs="Arial"/>
                <w:i/>
                <w:iCs/>
              </w:rPr>
            </w:pPr>
          </w:p>
        </w:tc>
        <w:tc>
          <w:tcPr>
            <w:tcW w:w="6870" w:type="dxa"/>
            <w:tcBorders>
              <w:top w:val="single" w:sz="6" w:space="0" w:color="auto"/>
              <w:left w:val="single" w:sz="6" w:space="0" w:color="auto"/>
              <w:bottom w:val="single" w:sz="6" w:space="0" w:color="auto"/>
              <w:right w:val="single" w:sz="6" w:space="0" w:color="auto"/>
            </w:tcBorders>
            <w:hideMark/>
          </w:tcPr>
          <w:p w14:paraId="72BE3FBB" w14:textId="77777777" w:rsidR="00FE233B" w:rsidRPr="00FE233B" w:rsidRDefault="00FE233B" w:rsidP="00FE233B">
            <w:pPr>
              <w:spacing w:after="100"/>
              <w:ind w:left="57" w:right="57"/>
              <w:rPr>
                <w:rFonts w:cs="Arial"/>
              </w:rPr>
            </w:pPr>
            <w:r w:rsidRPr="00FE233B">
              <w:rPr>
                <w:rFonts w:eastAsia="Arial" w:cs="Arial"/>
                <w:color w:val="000000" w:themeColor="text1"/>
              </w:rPr>
              <w:t>The CEDL is completed by a parent or caregiver. It is available as a paper questionnaire. The CEDL takes 10-20 minutes to complete.</w:t>
            </w:r>
          </w:p>
        </w:tc>
      </w:tr>
      <w:tr w:rsidR="00FE233B" w:rsidRPr="00FE233B" w14:paraId="7A7F53D4"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1BCB6088" w14:textId="77777777" w:rsidR="00FE233B" w:rsidRPr="00FE233B" w:rsidRDefault="00FE233B" w:rsidP="00FE233B">
            <w:pPr>
              <w:spacing w:after="100"/>
              <w:ind w:left="57" w:right="57"/>
              <w:rPr>
                <w:rFonts w:cs="Arial"/>
              </w:rPr>
            </w:pPr>
            <w:r w:rsidRPr="00FE233B">
              <w:rPr>
                <w:rFonts w:cs="Arial"/>
                <w:b/>
                <w:bCs/>
              </w:rPr>
              <w:t>Training requirements</w:t>
            </w:r>
            <w:r w:rsidRPr="00FE233B">
              <w:rPr>
                <w:rFonts w:cs="Arial"/>
              </w:rPr>
              <w:t>  </w:t>
            </w:r>
          </w:p>
        </w:tc>
        <w:tc>
          <w:tcPr>
            <w:tcW w:w="6870" w:type="dxa"/>
            <w:tcBorders>
              <w:top w:val="single" w:sz="6" w:space="0" w:color="auto"/>
              <w:left w:val="single" w:sz="6" w:space="0" w:color="auto"/>
              <w:bottom w:val="single" w:sz="6" w:space="0" w:color="auto"/>
              <w:right w:val="single" w:sz="6" w:space="0" w:color="auto"/>
            </w:tcBorders>
            <w:hideMark/>
          </w:tcPr>
          <w:p w14:paraId="64430763" w14:textId="77777777" w:rsidR="00FE233B" w:rsidRPr="00FE233B" w:rsidRDefault="00FE233B" w:rsidP="00FE233B">
            <w:pPr>
              <w:spacing w:after="100"/>
              <w:ind w:right="57"/>
              <w:rPr>
                <w:rFonts w:eastAsia="Arial" w:cs="Arial"/>
                <w:color w:val="000000" w:themeColor="text1"/>
              </w:rPr>
            </w:pPr>
            <w:r w:rsidRPr="00FE233B">
              <w:rPr>
                <w:rFonts w:eastAsia="Arial" w:cs="Arial"/>
                <w:color w:val="000000" w:themeColor="text1"/>
              </w:rPr>
              <w:t xml:space="preserve">No specific training is required to administer or score the CEDL. </w:t>
            </w:r>
          </w:p>
        </w:tc>
      </w:tr>
      <w:tr w:rsidR="00FE233B" w:rsidRPr="00FE233B" w14:paraId="733670C3"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01BFD751" w14:textId="77777777" w:rsidR="00FE233B" w:rsidRPr="00FE233B" w:rsidRDefault="00FE233B" w:rsidP="00FE233B">
            <w:pPr>
              <w:spacing w:after="100"/>
              <w:ind w:left="57" w:right="57"/>
              <w:rPr>
                <w:rFonts w:cs="Arial"/>
                <w:b/>
                <w:bCs/>
              </w:rPr>
            </w:pPr>
            <w:r w:rsidRPr="00FE233B">
              <w:rPr>
                <w:rFonts w:cs="Arial"/>
                <w:b/>
                <w:bCs/>
              </w:rPr>
              <w:t>How to access</w:t>
            </w:r>
          </w:p>
          <w:p w14:paraId="37B3F619" w14:textId="77777777" w:rsidR="00FE233B" w:rsidRPr="00FE233B" w:rsidRDefault="00FE233B" w:rsidP="00FE233B">
            <w:pPr>
              <w:spacing w:after="100"/>
              <w:ind w:left="57" w:right="57"/>
              <w:rPr>
                <w:rFonts w:cs="Arial"/>
              </w:rPr>
            </w:pPr>
          </w:p>
        </w:tc>
        <w:tc>
          <w:tcPr>
            <w:tcW w:w="6870" w:type="dxa"/>
            <w:tcBorders>
              <w:top w:val="single" w:sz="6" w:space="0" w:color="auto"/>
              <w:left w:val="single" w:sz="6" w:space="0" w:color="auto"/>
              <w:bottom w:val="single" w:sz="6" w:space="0" w:color="auto"/>
              <w:right w:val="single" w:sz="6" w:space="0" w:color="auto"/>
            </w:tcBorders>
            <w:hideMark/>
          </w:tcPr>
          <w:p w14:paraId="0DF4F55A" w14:textId="77777777" w:rsidR="00FE233B" w:rsidRPr="00FE233B" w:rsidRDefault="00FE233B" w:rsidP="00FE233B">
            <w:pPr>
              <w:spacing w:after="100"/>
              <w:rPr>
                <w:rFonts w:eastAsia="Arial" w:cs="Arial"/>
                <w:color w:val="000000" w:themeColor="text1"/>
              </w:rPr>
            </w:pPr>
            <w:r w:rsidRPr="00FE233B">
              <w:rPr>
                <w:rFonts w:eastAsia="Arial" w:cs="Arial"/>
                <w:color w:val="000000" w:themeColor="text1"/>
              </w:rPr>
              <w:t xml:space="preserve">The CEDL and CEDL Version 2 (including some translated versions) are freely available as a downloadable PDF from </w:t>
            </w:r>
            <w:proofErr w:type="spellStart"/>
            <w:r w:rsidRPr="00FE233B">
              <w:rPr>
                <w:rFonts w:eastAsia="Arial" w:cs="Arial"/>
                <w:color w:val="000000" w:themeColor="text1"/>
              </w:rPr>
              <w:t>CanChild</w:t>
            </w:r>
            <w:proofErr w:type="spellEnd"/>
            <w:r w:rsidRPr="00FE233B">
              <w:rPr>
                <w:rFonts w:eastAsia="Arial" w:cs="Arial"/>
                <w:color w:val="000000" w:themeColor="text1"/>
              </w:rPr>
              <w:t xml:space="preserve"> website</w:t>
            </w:r>
          </w:p>
          <w:p w14:paraId="09754721" w14:textId="77777777" w:rsidR="00FE233B" w:rsidRPr="00FE233B" w:rsidRDefault="00FE233B" w:rsidP="00FE233B">
            <w:pPr>
              <w:spacing w:after="100"/>
              <w:rPr>
                <w:rFonts w:eastAsia="Arial" w:cs="Arial"/>
                <w:color w:val="000000" w:themeColor="text1"/>
              </w:rPr>
            </w:pPr>
            <w:hyperlink r:id="rId25">
              <w:r w:rsidRPr="00FE233B">
                <w:rPr>
                  <w:rFonts w:eastAsia="Arial" w:cs="Arial"/>
                  <w:color w:val="467886" w:themeColor="hyperlink"/>
                  <w:u w:val="single"/>
                </w:rPr>
                <w:t>https://canchild.ca/en/research-in-practice/current-studies/move-play-study-understanding-determinants-of-motor-abilities-self-care-and-play-of-young-children-with-cerebral-palsy/measures</w:t>
              </w:r>
            </w:hyperlink>
            <w:r w:rsidRPr="00FE233B">
              <w:rPr>
                <w:rFonts w:eastAsia="Arial" w:cs="Arial"/>
                <w:color w:val="000000" w:themeColor="text1"/>
              </w:rPr>
              <w:t xml:space="preserve"> </w:t>
            </w:r>
          </w:p>
        </w:tc>
      </w:tr>
    </w:tbl>
    <w:p w14:paraId="0A90D663" w14:textId="77777777" w:rsidR="00FE233B" w:rsidRPr="00FE233B" w:rsidRDefault="00FE233B" w:rsidP="00FE233B">
      <w:pPr>
        <w:rPr>
          <w:rFonts w:asciiTheme="minorHAnsi" w:hAnsiTheme="minorHAnsi"/>
        </w:rPr>
      </w:pPr>
    </w:p>
    <w:p w14:paraId="2E80B97F" w14:textId="77777777" w:rsidR="0032193C" w:rsidRDefault="0032193C">
      <w:pPr>
        <w:rPr>
          <w:rFonts w:eastAsiaTheme="majorEastAsia" w:cs="Arial"/>
          <w:b/>
          <w:bCs/>
          <w:color w:val="3F779D"/>
          <w:sz w:val="32"/>
          <w:szCs w:val="32"/>
        </w:rPr>
      </w:pPr>
      <w:r>
        <w:br w:type="page"/>
      </w:r>
    </w:p>
    <w:p w14:paraId="5E14587A" w14:textId="77777777" w:rsidR="009A35CB" w:rsidRPr="009A35CB" w:rsidRDefault="009A35CB" w:rsidP="0065768A">
      <w:pPr>
        <w:pStyle w:val="Heading1"/>
      </w:pPr>
      <w:bookmarkStart w:id="18" w:name="_Child_Engagement_in_2"/>
      <w:bookmarkStart w:id="19" w:name="_CEDL_Evidence_Summary"/>
      <w:bookmarkEnd w:id="18"/>
      <w:bookmarkEnd w:id="19"/>
      <w:r w:rsidRPr="009A35CB">
        <w:lastRenderedPageBreak/>
        <w:t>CEDL Evidence Summary</w:t>
      </w:r>
    </w:p>
    <w:p w14:paraId="4D932553" w14:textId="540977E4" w:rsidR="009A35CB" w:rsidRPr="009A35CB" w:rsidRDefault="009A35CB" w:rsidP="009A35CB">
      <w:pPr>
        <w:rPr>
          <w:rFonts w:asciiTheme="minorHAnsi" w:hAnsiTheme="minorHAnsi"/>
        </w:rPr>
      </w:pPr>
      <w:hyperlink w:anchor="_CEDL_Reference_List" w:history="1">
        <w:r w:rsidRPr="00F073D6">
          <w:rPr>
            <w:rStyle w:val="Hyperlink"/>
            <w:rFonts w:eastAsia="Aptos" w:cs="Arial"/>
            <w:i/>
            <w:iCs/>
          </w:rPr>
          <w:t>Link to CEDL Reference List</w:t>
        </w:r>
      </w:hyperlink>
    </w:p>
    <w:tbl>
      <w:tblPr>
        <w:tblW w:w="905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2119"/>
        <w:gridCol w:w="6931"/>
      </w:tblGrid>
      <w:tr w:rsidR="009A35CB" w:rsidRPr="009A35CB" w14:paraId="2DB2749D" w14:textId="77777777">
        <w:trPr>
          <w:trHeight w:val="300"/>
        </w:trPr>
        <w:tc>
          <w:tcPr>
            <w:tcW w:w="2119" w:type="dxa"/>
            <w:tcBorders>
              <w:top w:val="single" w:sz="6" w:space="0" w:color="auto"/>
              <w:left w:val="single" w:sz="6" w:space="0" w:color="auto"/>
              <w:bottom w:val="single" w:sz="6" w:space="0" w:color="auto"/>
              <w:right w:val="single" w:sz="6" w:space="0" w:color="auto"/>
            </w:tcBorders>
          </w:tcPr>
          <w:p w14:paraId="210BB54D" w14:textId="77777777" w:rsidR="009A35CB" w:rsidRPr="009A35CB" w:rsidRDefault="009A35CB" w:rsidP="009A35CB">
            <w:pPr>
              <w:spacing w:after="100" w:line="276" w:lineRule="auto"/>
              <w:ind w:left="57" w:right="57"/>
              <w:rPr>
                <w:rFonts w:eastAsia="Aptos" w:cs="Arial"/>
                <w:i/>
                <w:iCs/>
              </w:rPr>
            </w:pPr>
            <w:r w:rsidRPr="009A35CB">
              <w:rPr>
                <w:rFonts w:eastAsia="Aptos" w:cs="Arial"/>
                <w:b/>
                <w:bCs/>
              </w:rPr>
              <w:t>Overview</w:t>
            </w:r>
          </w:p>
        </w:tc>
        <w:tc>
          <w:tcPr>
            <w:tcW w:w="6931" w:type="dxa"/>
            <w:tcBorders>
              <w:top w:val="single" w:sz="6" w:space="0" w:color="auto"/>
              <w:left w:val="single" w:sz="6" w:space="0" w:color="auto"/>
              <w:bottom w:val="single" w:sz="6" w:space="0" w:color="auto"/>
              <w:right w:val="single" w:sz="6" w:space="0" w:color="auto"/>
            </w:tcBorders>
          </w:tcPr>
          <w:p w14:paraId="5936FDC6" w14:textId="77777777" w:rsidR="009A35CB" w:rsidRPr="009A35CB" w:rsidRDefault="009A35CB" w:rsidP="009A35CB">
            <w:pPr>
              <w:spacing w:after="100" w:line="276" w:lineRule="auto"/>
              <w:ind w:right="57"/>
              <w:rPr>
                <w:rFonts w:eastAsia="Aptos" w:cs="Arial"/>
                <w:color w:val="000000" w:themeColor="text1"/>
              </w:rPr>
            </w:pPr>
            <w:r w:rsidRPr="009A35CB">
              <w:rPr>
                <w:rFonts w:eastAsia="Aptos" w:cs="Arial"/>
                <w:color w:val="000000" w:themeColor="text1"/>
              </w:rPr>
              <w:t>7 studies were identified that report on the measurement properties of the CEDL or its use as an outcome measure in the ECI practice setting (2014-2025).</w:t>
            </w:r>
          </w:p>
        </w:tc>
      </w:tr>
      <w:tr w:rsidR="009A35CB" w:rsidRPr="009A35CB" w14:paraId="2AD2BD44" w14:textId="77777777">
        <w:trPr>
          <w:trHeight w:val="300"/>
        </w:trPr>
        <w:tc>
          <w:tcPr>
            <w:tcW w:w="2119" w:type="dxa"/>
            <w:tcBorders>
              <w:top w:val="single" w:sz="6" w:space="0" w:color="auto"/>
              <w:left w:val="single" w:sz="6" w:space="0" w:color="auto"/>
              <w:bottom w:val="single" w:sz="6" w:space="0" w:color="auto"/>
              <w:right w:val="single" w:sz="6" w:space="0" w:color="auto"/>
            </w:tcBorders>
          </w:tcPr>
          <w:p w14:paraId="32308327" w14:textId="77777777" w:rsidR="009A35CB" w:rsidRPr="009A35CB" w:rsidRDefault="009A35CB" w:rsidP="009A35CB">
            <w:pPr>
              <w:spacing w:after="100" w:line="276" w:lineRule="auto"/>
              <w:ind w:left="57" w:right="57"/>
              <w:rPr>
                <w:rFonts w:eastAsia="Aptos" w:cs="Arial"/>
                <w:b/>
                <w:bCs/>
              </w:rPr>
            </w:pPr>
            <w:r w:rsidRPr="009A35CB">
              <w:rPr>
                <w:rFonts w:eastAsia="Aptos" w:cs="Arial"/>
                <w:b/>
                <w:bCs/>
              </w:rPr>
              <w:t>Review papers</w:t>
            </w:r>
          </w:p>
        </w:tc>
        <w:tc>
          <w:tcPr>
            <w:tcW w:w="6931" w:type="dxa"/>
            <w:tcBorders>
              <w:top w:val="single" w:sz="6" w:space="0" w:color="auto"/>
              <w:left w:val="single" w:sz="6" w:space="0" w:color="auto"/>
              <w:bottom w:val="single" w:sz="6" w:space="0" w:color="auto"/>
              <w:right w:val="single" w:sz="6" w:space="0" w:color="auto"/>
            </w:tcBorders>
          </w:tcPr>
          <w:p w14:paraId="0A243A06" w14:textId="77777777" w:rsidR="009A35CB" w:rsidRPr="009A35CB" w:rsidRDefault="009A35CB" w:rsidP="009A35CB">
            <w:pPr>
              <w:spacing w:after="100" w:line="276" w:lineRule="auto"/>
              <w:ind w:right="57"/>
              <w:rPr>
                <w:rFonts w:eastAsia="Aptos" w:cs="Arial"/>
                <w:color w:val="000000" w:themeColor="text1"/>
              </w:rPr>
            </w:pPr>
            <w:r w:rsidRPr="009A35CB">
              <w:rPr>
                <w:rFonts w:eastAsia="Aptos" w:cs="Arial"/>
                <w:color w:val="000000" w:themeColor="text1"/>
              </w:rPr>
              <w:t>The CEDL was reported as having the strongest psychometric properties of four tools identified in a systematic review of participation measures for infants and toddlers aged birth to 23 months, based on the Family of Participation-Related Constructs (Australia, 2021). </w:t>
            </w:r>
          </w:p>
        </w:tc>
      </w:tr>
      <w:tr w:rsidR="009A35CB" w:rsidRPr="009A35CB" w14:paraId="7808BE91" w14:textId="77777777">
        <w:trPr>
          <w:trHeight w:val="300"/>
        </w:trPr>
        <w:tc>
          <w:tcPr>
            <w:tcW w:w="2119" w:type="dxa"/>
            <w:tcBorders>
              <w:top w:val="single" w:sz="6" w:space="0" w:color="auto"/>
              <w:left w:val="single" w:sz="6" w:space="0" w:color="auto"/>
              <w:bottom w:val="single" w:sz="6" w:space="0" w:color="auto"/>
              <w:right w:val="single" w:sz="6" w:space="0" w:color="auto"/>
            </w:tcBorders>
          </w:tcPr>
          <w:p w14:paraId="71B39F4F" w14:textId="77777777" w:rsidR="009A35CB" w:rsidRPr="009A35CB" w:rsidRDefault="009A35CB" w:rsidP="009A35CB">
            <w:pPr>
              <w:spacing w:after="100" w:line="276" w:lineRule="auto"/>
              <w:ind w:left="57" w:right="57"/>
              <w:rPr>
                <w:rFonts w:eastAsia="Aptos" w:cs="Arial"/>
                <w:b/>
                <w:bCs/>
              </w:rPr>
            </w:pPr>
            <w:r w:rsidRPr="009A35CB">
              <w:rPr>
                <w:rFonts w:eastAsia="Aptos" w:cs="Arial"/>
                <w:b/>
                <w:bCs/>
              </w:rPr>
              <w:t>Measurement properties</w:t>
            </w:r>
          </w:p>
        </w:tc>
        <w:tc>
          <w:tcPr>
            <w:tcW w:w="6931" w:type="dxa"/>
            <w:tcBorders>
              <w:top w:val="single" w:sz="6" w:space="0" w:color="auto"/>
              <w:left w:val="single" w:sz="6" w:space="0" w:color="auto"/>
              <w:bottom w:val="single" w:sz="6" w:space="0" w:color="auto"/>
              <w:right w:val="single" w:sz="6" w:space="0" w:color="auto"/>
            </w:tcBorders>
          </w:tcPr>
          <w:p w14:paraId="12F39017" w14:textId="77777777" w:rsidR="009A35CB" w:rsidRPr="009A35CB" w:rsidRDefault="009A35CB" w:rsidP="00207A00">
            <w:pPr>
              <w:spacing w:after="100" w:line="276" w:lineRule="auto"/>
              <w:ind w:right="57"/>
              <w:rPr>
                <w:rFonts w:eastAsia="Aptos" w:cs="Arial"/>
                <w:color w:val="000000" w:themeColor="text1"/>
              </w:rPr>
            </w:pPr>
            <w:r w:rsidRPr="009A35CB">
              <w:rPr>
                <w:rFonts w:eastAsia="Aptos" w:cs="Arial"/>
                <w:color w:val="000000" w:themeColor="text1"/>
              </w:rPr>
              <w:t>The CEDL has been evaluated for internal consistency, test-retest reliability, and construct validity to assess participation in family and recreational activities and self-care for young children with and without cerebral palsy (USA, 2014). The responsiveness of the CEDL has also been explored for young children with cerebral palsy, with further research recommended (USA, 2014).</w:t>
            </w:r>
          </w:p>
          <w:p w14:paraId="24EB7589" w14:textId="77777777" w:rsidR="009A35CB" w:rsidRPr="009A35CB" w:rsidRDefault="009A35CB" w:rsidP="009A35CB">
            <w:pPr>
              <w:spacing w:after="100" w:line="276" w:lineRule="auto"/>
              <w:ind w:right="57"/>
              <w:rPr>
                <w:rFonts w:eastAsia="Aptos" w:cs="Arial"/>
                <w:color w:val="000000" w:themeColor="text1"/>
              </w:rPr>
            </w:pPr>
            <w:r w:rsidRPr="009A35CB">
              <w:rPr>
                <w:rFonts w:eastAsia="Aptos" w:cs="Arial"/>
                <w:color w:val="000000" w:themeColor="text1"/>
              </w:rPr>
              <w:t xml:space="preserve">Structural validity and test-retest reliability of the CEDL (Version 2) have been explored and supported for parents of children with cerebral palsy (USA, 2023). </w:t>
            </w:r>
          </w:p>
        </w:tc>
      </w:tr>
      <w:tr w:rsidR="009A35CB" w:rsidRPr="009A35CB" w14:paraId="6E53EC76" w14:textId="77777777">
        <w:trPr>
          <w:trHeight w:val="300"/>
        </w:trPr>
        <w:tc>
          <w:tcPr>
            <w:tcW w:w="2119" w:type="dxa"/>
            <w:tcBorders>
              <w:top w:val="single" w:sz="6" w:space="0" w:color="auto"/>
              <w:left w:val="single" w:sz="6" w:space="0" w:color="auto"/>
              <w:bottom w:val="single" w:sz="6" w:space="0" w:color="auto"/>
              <w:right w:val="single" w:sz="6" w:space="0" w:color="auto"/>
            </w:tcBorders>
          </w:tcPr>
          <w:p w14:paraId="0283AA8E" w14:textId="77777777" w:rsidR="009A35CB" w:rsidRPr="009A35CB" w:rsidRDefault="009A35CB" w:rsidP="009A35CB">
            <w:pPr>
              <w:spacing w:after="100" w:line="276" w:lineRule="auto"/>
              <w:ind w:left="57" w:right="57"/>
              <w:rPr>
                <w:rFonts w:eastAsia="Aptos" w:cs="Arial"/>
                <w:b/>
                <w:bCs/>
              </w:rPr>
            </w:pPr>
            <w:r w:rsidRPr="009A35CB">
              <w:rPr>
                <w:rFonts w:eastAsia="Aptos" w:cs="Arial"/>
                <w:b/>
                <w:bCs/>
              </w:rPr>
              <w:t>Cultural adaptation papers</w:t>
            </w:r>
          </w:p>
        </w:tc>
        <w:tc>
          <w:tcPr>
            <w:tcW w:w="6931" w:type="dxa"/>
            <w:tcBorders>
              <w:top w:val="single" w:sz="6" w:space="0" w:color="auto"/>
              <w:left w:val="single" w:sz="6" w:space="0" w:color="auto"/>
              <w:bottom w:val="single" w:sz="6" w:space="0" w:color="auto"/>
              <w:right w:val="single" w:sz="6" w:space="0" w:color="auto"/>
            </w:tcBorders>
          </w:tcPr>
          <w:p w14:paraId="1032B007" w14:textId="77777777" w:rsidR="009A35CB" w:rsidRPr="009A35CB" w:rsidRDefault="009A35CB" w:rsidP="009A35CB">
            <w:pPr>
              <w:spacing w:after="100" w:line="276" w:lineRule="auto"/>
              <w:ind w:right="57"/>
              <w:rPr>
                <w:rFonts w:eastAsia="Aptos" w:cs="Arial"/>
                <w:color w:val="000000" w:themeColor="text1"/>
              </w:rPr>
            </w:pPr>
            <w:r w:rsidRPr="009A35CB">
              <w:rPr>
                <w:rFonts w:eastAsia="Aptos" w:cs="Arial"/>
                <w:color w:val="000000" w:themeColor="text1"/>
              </w:rPr>
              <w:t>The CEDL has been culturally adapted for Greece and evaluated for internal consistency, test-retest reliability, measurement error, and validity to assess participation in family and recreational activities and self-care for young children with and without cerebral palsy (Greece, 2024).</w:t>
            </w:r>
          </w:p>
          <w:p w14:paraId="0397B6FE" w14:textId="77777777" w:rsidR="009A35CB" w:rsidRPr="009A35CB" w:rsidRDefault="009A35CB" w:rsidP="009A35CB">
            <w:pPr>
              <w:spacing w:after="100" w:line="276" w:lineRule="auto"/>
              <w:ind w:right="57"/>
              <w:rPr>
                <w:rFonts w:eastAsia="Aptos" w:cs="Arial"/>
                <w:color w:val="000000" w:themeColor="text1"/>
              </w:rPr>
            </w:pPr>
            <w:r w:rsidRPr="009A35CB">
              <w:rPr>
                <w:rFonts w:eastAsia="Aptos" w:cs="Arial"/>
                <w:color w:val="000000" w:themeColor="text1"/>
              </w:rPr>
              <w:t xml:space="preserve">The self-care domain of the CEDL has been culturally adapted for Saudi Arabia (requiring minor linguistic adjustments) and evaluated for internal consistency, test-retest reliability, and measurement precision to assess self-care performance in Arabic-speaking children with cerebral palsy (Saudi Arabia, 2021). </w:t>
            </w:r>
          </w:p>
        </w:tc>
      </w:tr>
      <w:tr w:rsidR="009A35CB" w:rsidRPr="009A35CB" w14:paraId="6F125137" w14:textId="77777777">
        <w:trPr>
          <w:trHeight w:val="300"/>
        </w:trPr>
        <w:tc>
          <w:tcPr>
            <w:tcW w:w="2119" w:type="dxa"/>
            <w:tcBorders>
              <w:top w:val="single" w:sz="6" w:space="0" w:color="auto"/>
              <w:left w:val="single" w:sz="6" w:space="0" w:color="auto"/>
              <w:bottom w:val="single" w:sz="6" w:space="0" w:color="auto"/>
              <w:right w:val="single" w:sz="6" w:space="0" w:color="auto"/>
            </w:tcBorders>
          </w:tcPr>
          <w:p w14:paraId="24A361EE" w14:textId="77777777" w:rsidR="009A35CB" w:rsidRPr="009A35CB" w:rsidRDefault="009A35CB" w:rsidP="009A35CB">
            <w:pPr>
              <w:spacing w:after="100" w:line="276" w:lineRule="auto"/>
              <w:ind w:left="57" w:right="57"/>
              <w:rPr>
                <w:rFonts w:eastAsia="Aptos" w:cs="Arial"/>
                <w:b/>
                <w:bCs/>
              </w:rPr>
            </w:pPr>
            <w:r w:rsidRPr="009A35CB">
              <w:rPr>
                <w:rFonts w:eastAsia="Aptos" w:cs="Arial"/>
                <w:b/>
                <w:bCs/>
              </w:rPr>
              <w:t>Outcome studies in ECI settings</w:t>
            </w:r>
          </w:p>
        </w:tc>
        <w:tc>
          <w:tcPr>
            <w:tcW w:w="6931" w:type="dxa"/>
            <w:tcBorders>
              <w:top w:val="single" w:sz="6" w:space="0" w:color="auto"/>
              <w:left w:val="single" w:sz="6" w:space="0" w:color="auto"/>
              <w:bottom w:val="single" w:sz="6" w:space="0" w:color="auto"/>
              <w:right w:val="single" w:sz="6" w:space="0" w:color="auto"/>
            </w:tcBorders>
          </w:tcPr>
          <w:p w14:paraId="2AF0B311" w14:textId="77777777" w:rsidR="009A35CB" w:rsidRPr="009A35CB" w:rsidRDefault="009A35CB" w:rsidP="009A35CB">
            <w:pPr>
              <w:spacing w:after="100" w:line="276" w:lineRule="auto"/>
              <w:ind w:right="57"/>
              <w:rPr>
                <w:rFonts w:eastAsia="Aptos" w:cs="Arial"/>
                <w:color w:val="000000" w:themeColor="text1"/>
              </w:rPr>
            </w:pPr>
            <w:r w:rsidRPr="009A35CB">
              <w:rPr>
                <w:rFonts w:eastAsia="Aptos" w:cs="Arial"/>
                <w:color w:val="000000" w:themeColor="text1"/>
              </w:rPr>
              <w:t>The CEDL has been used as an outcome measure in a randomised controlled trial (RCT) of 2 short-term powered mobility interventions for young children with cerebral palsy (USA, 2025).</w:t>
            </w:r>
          </w:p>
        </w:tc>
      </w:tr>
    </w:tbl>
    <w:p w14:paraId="2CC2941B" w14:textId="77777777" w:rsidR="009A35CB" w:rsidRPr="009A35CB" w:rsidRDefault="009A35CB" w:rsidP="009A35CB">
      <w:pPr>
        <w:rPr>
          <w:rFonts w:cs="Arial"/>
        </w:rPr>
      </w:pPr>
    </w:p>
    <w:p w14:paraId="016E696D" w14:textId="77777777" w:rsidR="0032193C" w:rsidRDefault="0032193C" w:rsidP="006C4F41">
      <w:r w:rsidRPr="4694A5BD">
        <w:lastRenderedPageBreak/>
        <w:t xml:space="preserve">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w:t>
      </w:r>
      <w:r w:rsidRPr="003647C4">
        <w:t>Methods Explainer</w:t>
      </w:r>
      <w:r w:rsidRPr="4694A5BD">
        <w:t>.</w:t>
      </w:r>
    </w:p>
    <w:p w14:paraId="03CF1C18" w14:textId="77777777" w:rsidR="0032193C" w:rsidRDefault="0032193C">
      <w:pPr>
        <w:rPr>
          <w:rFonts w:cs="Arial"/>
          <w:sz w:val="22"/>
          <w:szCs w:val="22"/>
        </w:rPr>
      </w:pPr>
    </w:p>
    <w:p w14:paraId="3B757F9D" w14:textId="77777777" w:rsidR="0032193C" w:rsidRDefault="0032193C">
      <w:pPr>
        <w:rPr>
          <w:rFonts w:eastAsiaTheme="majorEastAsia" w:cs="Arial"/>
          <w:b/>
          <w:bCs/>
          <w:color w:val="3F779D"/>
          <w:sz w:val="32"/>
          <w:szCs w:val="32"/>
        </w:rPr>
      </w:pPr>
      <w:r w:rsidRPr="0018070F">
        <w:rPr>
          <w:rFonts w:cs="Arial"/>
        </w:rPr>
        <w:br w:type="page"/>
      </w:r>
    </w:p>
    <w:p w14:paraId="771197FC" w14:textId="77777777" w:rsidR="008B565C" w:rsidRPr="008B565C" w:rsidRDefault="008B565C" w:rsidP="0065768A">
      <w:pPr>
        <w:pStyle w:val="Heading1"/>
      </w:pPr>
      <w:bookmarkStart w:id="20" w:name="_Child_Engagement_in_1"/>
      <w:bookmarkStart w:id="21" w:name="_CEDL_Reference_List"/>
      <w:bookmarkEnd w:id="20"/>
      <w:bookmarkEnd w:id="21"/>
      <w:r w:rsidRPr="008B565C">
        <w:lastRenderedPageBreak/>
        <w:t>CEDL Reference List</w:t>
      </w:r>
    </w:p>
    <w:p w14:paraId="7900899E" w14:textId="485693B1" w:rsidR="008B565C" w:rsidRPr="008B565C" w:rsidRDefault="008B565C" w:rsidP="008B565C">
      <w:pPr>
        <w:rPr>
          <w:rFonts w:eastAsia="Aptos" w:cs="Arial"/>
          <w:i/>
          <w:iCs/>
          <w:color w:val="000000" w:themeColor="text1"/>
        </w:rPr>
      </w:pPr>
      <w:hyperlink w:anchor="_CEDL_Evidence_Summary" w:history="1">
        <w:r w:rsidRPr="00F073D6">
          <w:rPr>
            <w:rStyle w:val="Hyperlink"/>
            <w:rFonts w:eastAsia="Aptos" w:cs="Arial"/>
            <w:i/>
            <w:iCs/>
          </w:rPr>
          <w:t>Link to CEDL Evidence Summary</w:t>
        </w:r>
      </w:hyperlink>
    </w:p>
    <w:p w14:paraId="24AC61F8" w14:textId="77777777" w:rsidR="008B565C" w:rsidRPr="008B565C" w:rsidRDefault="008B565C" w:rsidP="0065768A">
      <w:pPr>
        <w:pStyle w:val="Heading2"/>
      </w:pPr>
      <w:r w:rsidRPr="008B565C">
        <w:t>Reviews</w:t>
      </w:r>
    </w:p>
    <w:p w14:paraId="04372C68" w14:textId="77777777" w:rsidR="008B565C" w:rsidRPr="008B565C" w:rsidRDefault="008B565C" w:rsidP="008B565C">
      <w:pPr>
        <w:pBdr>
          <w:top w:val="none" w:sz="0" w:space="0" w:color="000000"/>
          <w:left w:val="none" w:sz="0" w:space="0" w:color="000000"/>
          <w:bottom w:val="none" w:sz="0" w:space="0" w:color="000000"/>
          <w:right w:val="none" w:sz="0" w:space="0" w:color="000000"/>
        </w:pBdr>
        <w:rPr>
          <w:rFonts w:asciiTheme="minorHAnsi" w:hAnsiTheme="minorHAnsi"/>
        </w:rPr>
      </w:pPr>
      <w:r w:rsidRPr="008B565C">
        <w:rPr>
          <w:rFonts w:eastAsia="Arial" w:cs="Arial"/>
          <w:color w:val="000000"/>
        </w:rPr>
        <w:t xml:space="preserve">Mobbs CA, Spittle AJ, Johnston LM. (2021). Participation Measures for Infants and Toddlers Aged Birth to 23 Months: A Systematic Review. </w:t>
      </w:r>
      <w:r w:rsidRPr="008B565C">
        <w:rPr>
          <w:rFonts w:eastAsia="Arial" w:cs="Arial"/>
          <w:i/>
          <w:color w:val="000000"/>
        </w:rPr>
        <w:t xml:space="preserve">Phys </w:t>
      </w:r>
      <w:proofErr w:type="spellStart"/>
      <w:r w:rsidRPr="008B565C">
        <w:rPr>
          <w:rFonts w:eastAsia="Arial" w:cs="Arial"/>
          <w:i/>
          <w:color w:val="000000"/>
        </w:rPr>
        <w:t>Occup</w:t>
      </w:r>
      <w:proofErr w:type="spellEnd"/>
      <w:r w:rsidRPr="008B565C">
        <w:rPr>
          <w:rFonts w:eastAsia="Arial" w:cs="Arial"/>
          <w:i/>
          <w:color w:val="000000"/>
        </w:rPr>
        <w:t xml:space="preserve"> Ther </w:t>
      </w:r>
      <w:proofErr w:type="spellStart"/>
      <w:r w:rsidRPr="008B565C">
        <w:rPr>
          <w:rFonts w:eastAsia="Arial" w:cs="Arial"/>
          <w:i/>
          <w:color w:val="000000"/>
        </w:rPr>
        <w:t>Pediatr</w:t>
      </w:r>
      <w:proofErr w:type="spellEnd"/>
      <w:r w:rsidRPr="008B565C">
        <w:rPr>
          <w:rFonts w:eastAsia="Arial" w:cs="Arial"/>
          <w:color w:val="000000"/>
        </w:rPr>
        <w:t>, 41(6):567-589.</w:t>
      </w:r>
      <w:r w:rsidRPr="008B565C">
        <w:rPr>
          <w:rFonts w:eastAsia="Arial" w:cs="Arial"/>
          <w:color w:val="0000FF"/>
          <w:u w:val="single"/>
        </w:rPr>
        <w:t xml:space="preserve"> https://doi.org/10.1080/01942638.2021.1900488</w:t>
      </w:r>
    </w:p>
    <w:p w14:paraId="53AF45EE" w14:textId="77777777" w:rsidR="008B565C" w:rsidRPr="008B565C" w:rsidRDefault="008B565C" w:rsidP="0065768A">
      <w:pPr>
        <w:pStyle w:val="Heading2"/>
      </w:pPr>
      <w:r w:rsidRPr="008B565C">
        <w:t>Measurement Properties</w:t>
      </w:r>
    </w:p>
    <w:p w14:paraId="061AA57D" w14:textId="77777777" w:rsidR="008B565C" w:rsidRPr="008B565C" w:rsidRDefault="008B565C" w:rsidP="008B565C">
      <w:pPr>
        <w:pBdr>
          <w:top w:val="none" w:sz="0" w:space="0" w:color="000000"/>
          <w:left w:val="none" w:sz="0" w:space="0" w:color="000000"/>
          <w:bottom w:val="none" w:sz="0" w:space="0" w:color="000000"/>
          <w:right w:val="none" w:sz="0" w:space="0" w:color="000000"/>
        </w:pBdr>
        <w:rPr>
          <w:rFonts w:asciiTheme="minorHAnsi" w:hAnsiTheme="minorHAnsi"/>
        </w:rPr>
      </w:pPr>
      <w:r w:rsidRPr="008B565C">
        <w:rPr>
          <w:rFonts w:eastAsia="Arial" w:cs="Arial"/>
          <w:color w:val="000000"/>
        </w:rPr>
        <w:t xml:space="preserve">Chiarello LA, Alghamdi MS, McCoy SW, Avery L, Palisano RJ. (2023). Child engagement in daily life measure V2: validation of psychometric properties for children with cerebral palsy. </w:t>
      </w:r>
      <w:proofErr w:type="spellStart"/>
      <w:r w:rsidRPr="008B565C">
        <w:rPr>
          <w:rFonts w:eastAsia="Arial" w:cs="Arial"/>
          <w:i/>
          <w:color w:val="000000"/>
        </w:rPr>
        <w:t>Disabil</w:t>
      </w:r>
      <w:proofErr w:type="spellEnd"/>
      <w:r w:rsidRPr="008B565C">
        <w:rPr>
          <w:rFonts w:eastAsia="Arial" w:cs="Arial"/>
          <w:i/>
          <w:color w:val="000000"/>
        </w:rPr>
        <w:t xml:space="preserve"> </w:t>
      </w:r>
      <w:proofErr w:type="spellStart"/>
      <w:r w:rsidRPr="008B565C">
        <w:rPr>
          <w:rFonts w:eastAsia="Arial" w:cs="Arial"/>
          <w:i/>
          <w:color w:val="000000"/>
        </w:rPr>
        <w:t>Rehabil</w:t>
      </w:r>
      <w:proofErr w:type="spellEnd"/>
      <w:r w:rsidRPr="008B565C">
        <w:rPr>
          <w:rFonts w:eastAsia="Arial" w:cs="Arial"/>
          <w:color w:val="000000"/>
        </w:rPr>
        <w:t>, 45(23):3912-3921.</w:t>
      </w:r>
      <w:r w:rsidRPr="008B565C">
        <w:rPr>
          <w:rFonts w:eastAsia="Arial" w:cs="Arial"/>
          <w:color w:val="0000FF"/>
          <w:u w:val="single"/>
        </w:rPr>
        <w:t xml:space="preserve"> https://doi.org/10.1080/09638288.2022.2140849</w:t>
      </w:r>
    </w:p>
    <w:p w14:paraId="474B60B6" w14:textId="77777777" w:rsidR="008B565C" w:rsidRPr="008B565C" w:rsidRDefault="008B565C" w:rsidP="008B565C">
      <w:pPr>
        <w:pBdr>
          <w:top w:val="none" w:sz="0" w:space="0" w:color="000000"/>
          <w:left w:val="none" w:sz="0" w:space="0" w:color="000000"/>
          <w:bottom w:val="none" w:sz="0" w:space="0" w:color="000000"/>
          <w:right w:val="none" w:sz="0" w:space="0" w:color="000000"/>
        </w:pBdr>
        <w:rPr>
          <w:rFonts w:asciiTheme="minorHAnsi" w:hAnsiTheme="minorHAnsi"/>
        </w:rPr>
      </w:pPr>
      <w:r w:rsidRPr="008B565C">
        <w:rPr>
          <w:rFonts w:eastAsia="Arial" w:cs="Arial"/>
          <w:color w:val="000000"/>
        </w:rPr>
        <w:t xml:space="preserve">Chiarello LA, Palisano RJ, McCoy SW, Bartlett DJ, Wood A, Chang HJ, Kang LJ, Avery L. (2014). Child Engagement in Daily Life: a measure of participation for young children with cerebral palsy. </w:t>
      </w:r>
      <w:proofErr w:type="spellStart"/>
      <w:r w:rsidRPr="008B565C">
        <w:rPr>
          <w:rFonts w:eastAsia="Arial" w:cs="Arial"/>
          <w:i/>
          <w:color w:val="000000"/>
        </w:rPr>
        <w:t>Disabil</w:t>
      </w:r>
      <w:proofErr w:type="spellEnd"/>
      <w:r w:rsidRPr="008B565C">
        <w:rPr>
          <w:rFonts w:eastAsia="Arial" w:cs="Arial"/>
          <w:i/>
          <w:color w:val="000000"/>
        </w:rPr>
        <w:t xml:space="preserve"> </w:t>
      </w:r>
      <w:proofErr w:type="spellStart"/>
      <w:r w:rsidRPr="008B565C">
        <w:rPr>
          <w:rFonts w:eastAsia="Arial" w:cs="Arial"/>
          <w:i/>
          <w:color w:val="000000"/>
        </w:rPr>
        <w:t>Rehabil</w:t>
      </w:r>
      <w:proofErr w:type="spellEnd"/>
      <w:r w:rsidRPr="008B565C">
        <w:rPr>
          <w:rFonts w:eastAsia="Arial" w:cs="Arial"/>
          <w:color w:val="000000"/>
        </w:rPr>
        <w:t>, 36(21):1804-16.</w:t>
      </w:r>
      <w:r w:rsidRPr="008B565C">
        <w:rPr>
          <w:rFonts w:eastAsia="Arial" w:cs="Arial"/>
          <w:color w:val="0000FF"/>
          <w:u w:val="single"/>
        </w:rPr>
        <w:t xml:space="preserve"> https://doi.org/10.3109/09638288.2014.882417</w:t>
      </w:r>
    </w:p>
    <w:p w14:paraId="31C9F7B7" w14:textId="77777777" w:rsidR="008B565C" w:rsidRPr="008B565C" w:rsidRDefault="008B565C" w:rsidP="008B565C">
      <w:pPr>
        <w:pBdr>
          <w:top w:val="none" w:sz="0" w:space="0" w:color="000000"/>
          <w:left w:val="none" w:sz="0" w:space="0" w:color="000000"/>
          <w:bottom w:val="none" w:sz="0" w:space="0" w:color="000000"/>
          <w:right w:val="none" w:sz="0" w:space="0" w:color="000000"/>
        </w:pBdr>
        <w:rPr>
          <w:rFonts w:asciiTheme="minorHAnsi" w:hAnsiTheme="minorHAnsi"/>
        </w:rPr>
      </w:pPr>
      <w:r w:rsidRPr="008B565C">
        <w:rPr>
          <w:rFonts w:eastAsia="Arial" w:cs="Arial"/>
          <w:color w:val="000000"/>
        </w:rPr>
        <w:t xml:space="preserve">Palisano RJ, Chiarello LA, McCoy SW, Bartlett D, An M. (2014). Use of the Child Engagement in Daily Life and Ease of Caregiving for Children to Evaluate Change in Young Children with Cerebral Palsy. </w:t>
      </w:r>
      <w:r w:rsidRPr="008B565C">
        <w:rPr>
          <w:rFonts w:eastAsia="Arial" w:cs="Arial"/>
          <w:i/>
          <w:color w:val="000000"/>
        </w:rPr>
        <w:t xml:space="preserve">Phys </w:t>
      </w:r>
      <w:proofErr w:type="spellStart"/>
      <w:r w:rsidRPr="008B565C">
        <w:rPr>
          <w:rFonts w:eastAsia="Arial" w:cs="Arial"/>
          <w:i/>
          <w:color w:val="000000"/>
        </w:rPr>
        <w:t>Occup</w:t>
      </w:r>
      <w:proofErr w:type="spellEnd"/>
      <w:r w:rsidRPr="008B565C">
        <w:rPr>
          <w:rFonts w:eastAsia="Arial" w:cs="Arial"/>
          <w:i/>
          <w:color w:val="000000"/>
        </w:rPr>
        <w:t xml:space="preserve"> Ther </w:t>
      </w:r>
      <w:proofErr w:type="spellStart"/>
      <w:r w:rsidRPr="008B565C">
        <w:rPr>
          <w:rFonts w:eastAsia="Arial" w:cs="Arial"/>
          <w:i/>
          <w:color w:val="000000"/>
        </w:rPr>
        <w:t>Pediatr</w:t>
      </w:r>
      <w:proofErr w:type="spellEnd"/>
      <w:r w:rsidRPr="008B565C">
        <w:rPr>
          <w:rFonts w:eastAsia="Arial" w:cs="Arial"/>
          <w:color w:val="000000"/>
        </w:rPr>
        <w:t>, 35(3):280-295.</w:t>
      </w:r>
      <w:r w:rsidRPr="008B565C">
        <w:rPr>
          <w:rFonts w:eastAsia="Arial" w:cs="Arial"/>
          <w:color w:val="0000FF"/>
          <w:u w:val="single"/>
        </w:rPr>
        <w:t xml:space="preserve"> https://doi.org/10.3109/01942638.2014.907221</w:t>
      </w:r>
    </w:p>
    <w:p w14:paraId="2C30F9E7" w14:textId="77777777" w:rsidR="008B565C" w:rsidRPr="008B565C" w:rsidRDefault="008B565C" w:rsidP="00A36579">
      <w:pPr>
        <w:pStyle w:val="Heading2"/>
      </w:pPr>
      <w:r w:rsidRPr="008B565C">
        <w:t>Cultural Adaptations</w:t>
      </w:r>
    </w:p>
    <w:p w14:paraId="6DEFE543" w14:textId="77777777" w:rsidR="008B565C" w:rsidRPr="008B565C" w:rsidRDefault="008B565C" w:rsidP="008B565C">
      <w:pPr>
        <w:pBdr>
          <w:top w:val="none" w:sz="0" w:space="0" w:color="000000"/>
          <w:left w:val="none" w:sz="0" w:space="0" w:color="000000"/>
          <w:bottom w:val="none" w:sz="0" w:space="0" w:color="000000"/>
          <w:right w:val="none" w:sz="0" w:space="0" w:color="000000"/>
        </w:pBdr>
        <w:rPr>
          <w:rFonts w:asciiTheme="minorHAnsi" w:hAnsiTheme="minorHAnsi"/>
        </w:rPr>
      </w:pPr>
      <w:r w:rsidRPr="008B565C">
        <w:rPr>
          <w:rFonts w:eastAsia="Arial" w:cs="Arial"/>
          <w:color w:val="000000"/>
        </w:rPr>
        <w:t xml:space="preserve">Dimakopoulos R, Papadopoulou Μ, Pons R, </w:t>
      </w:r>
      <w:proofErr w:type="spellStart"/>
      <w:r w:rsidRPr="008B565C">
        <w:rPr>
          <w:rFonts w:eastAsia="Arial" w:cs="Arial"/>
          <w:color w:val="000000"/>
        </w:rPr>
        <w:t>Spinou</w:t>
      </w:r>
      <w:proofErr w:type="spellEnd"/>
      <w:r w:rsidRPr="008B565C">
        <w:rPr>
          <w:rFonts w:eastAsia="Arial" w:cs="Arial"/>
          <w:color w:val="000000"/>
        </w:rPr>
        <w:t xml:space="preserve"> A. (2024). Translation, reliability and validity of the Greek version of the Child Engagement in Daily Life in children with cerebral palsy. </w:t>
      </w:r>
      <w:r w:rsidRPr="008B565C">
        <w:rPr>
          <w:rFonts w:eastAsia="Arial" w:cs="Arial"/>
          <w:i/>
          <w:color w:val="000000"/>
        </w:rPr>
        <w:t>Child Care Health Dev</w:t>
      </w:r>
      <w:r w:rsidRPr="008B565C">
        <w:rPr>
          <w:rFonts w:eastAsia="Arial" w:cs="Arial"/>
          <w:color w:val="000000"/>
        </w:rPr>
        <w:t>, 50(1</w:t>
      </w:r>
      <w:proofErr w:type="gramStart"/>
      <w:r w:rsidRPr="008B565C">
        <w:rPr>
          <w:rFonts w:eastAsia="Arial" w:cs="Arial"/>
          <w:color w:val="000000"/>
        </w:rPr>
        <w:t>):e</w:t>
      </w:r>
      <w:proofErr w:type="gramEnd"/>
      <w:r w:rsidRPr="008B565C">
        <w:rPr>
          <w:rFonts w:eastAsia="Arial" w:cs="Arial"/>
          <w:color w:val="000000"/>
        </w:rPr>
        <w:t>13202.</w:t>
      </w:r>
      <w:r w:rsidRPr="008B565C">
        <w:rPr>
          <w:rFonts w:eastAsia="Arial" w:cs="Arial"/>
          <w:color w:val="0000FF"/>
          <w:u w:val="single"/>
        </w:rPr>
        <w:t xml:space="preserve"> https://doi.org/10.1111/cch.13202</w:t>
      </w:r>
    </w:p>
    <w:p w14:paraId="273B2D15" w14:textId="77777777" w:rsidR="008B565C" w:rsidRPr="008B565C" w:rsidRDefault="008B565C" w:rsidP="008B565C">
      <w:pPr>
        <w:pBdr>
          <w:top w:val="none" w:sz="0" w:space="0" w:color="000000"/>
          <w:left w:val="none" w:sz="0" w:space="0" w:color="000000"/>
          <w:bottom w:val="none" w:sz="0" w:space="0" w:color="000000"/>
          <w:right w:val="none" w:sz="0" w:space="0" w:color="000000"/>
        </w:pBdr>
        <w:rPr>
          <w:rFonts w:asciiTheme="minorHAnsi" w:hAnsiTheme="minorHAnsi"/>
        </w:rPr>
      </w:pPr>
      <w:r w:rsidRPr="008B565C">
        <w:rPr>
          <w:rFonts w:eastAsia="Arial" w:cs="Arial"/>
          <w:color w:val="000000"/>
        </w:rPr>
        <w:t>Alghamdi MS, Chiarello LA, Abd-</w:t>
      </w:r>
      <w:proofErr w:type="spellStart"/>
      <w:r w:rsidRPr="008B565C">
        <w:rPr>
          <w:rFonts w:eastAsia="Arial" w:cs="Arial"/>
          <w:color w:val="000000"/>
        </w:rPr>
        <w:t>Elkafy</w:t>
      </w:r>
      <w:proofErr w:type="spellEnd"/>
      <w:r w:rsidRPr="008B565C">
        <w:rPr>
          <w:rFonts w:eastAsia="Arial" w:cs="Arial"/>
          <w:color w:val="000000"/>
        </w:rPr>
        <w:t xml:space="preserve"> EM, Palisano RJ, Orlin M, McCoy SW. (2021). Cross-cultural adaptation of the Arabic version of Self-Care Domain of Child Engagement in Daily Life and Ease of Caregiving for Children measures. </w:t>
      </w:r>
      <w:r w:rsidRPr="008B565C">
        <w:rPr>
          <w:rFonts w:eastAsia="Arial" w:cs="Arial"/>
          <w:i/>
          <w:color w:val="000000"/>
        </w:rPr>
        <w:t xml:space="preserve">Res Dev </w:t>
      </w:r>
      <w:proofErr w:type="spellStart"/>
      <w:r w:rsidRPr="008B565C">
        <w:rPr>
          <w:rFonts w:eastAsia="Arial" w:cs="Arial"/>
          <w:i/>
          <w:color w:val="000000"/>
        </w:rPr>
        <w:t>Disabil</w:t>
      </w:r>
      <w:proofErr w:type="spellEnd"/>
      <w:r w:rsidRPr="008B565C">
        <w:rPr>
          <w:rFonts w:eastAsia="Arial" w:cs="Arial"/>
          <w:color w:val="000000"/>
        </w:rPr>
        <w:t>, 110:103853.</w:t>
      </w:r>
      <w:r w:rsidRPr="008B565C">
        <w:rPr>
          <w:rFonts w:eastAsia="Arial" w:cs="Arial"/>
          <w:color w:val="0000FF"/>
          <w:u w:val="single"/>
        </w:rPr>
        <w:t xml:space="preserve"> https://doi.org/10.1016/j.ridd.2021.103853</w:t>
      </w:r>
    </w:p>
    <w:p w14:paraId="243D4E48" w14:textId="77777777" w:rsidR="008B565C" w:rsidRPr="008B565C" w:rsidRDefault="008B565C" w:rsidP="00A36579">
      <w:pPr>
        <w:pStyle w:val="Heading2"/>
      </w:pPr>
      <w:r w:rsidRPr="008B565C">
        <w:t>Outcome Studies</w:t>
      </w:r>
    </w:p>
    <w:p w14:paraId="5EF0D6DA" w14:textId="77777777" w:rsidR="008B565C" w:rsidRPr="008B565C" w:rsidRDefault="008B565C" w:rsidP="008B565C">
      <w:pPr>
        <w:pBdr>
          <w:top w:val="none" w:sz="0" w:space="0" w:color="000000"/>
          <w:left w:val="none" w:sz="0" w:space="0" w:color="000000"/>
          <w:bottom w:val="none" w:sz="0" w:space="0" w:color="000000"/>
          <w:right w:val="none" w:sz="0" w:space="0" w:color="000000"/>
        </w:pBdr>
        <w:rPr>
          <w:rFonts w:asciiTheme="minorHAnsi" w:hAnsiTheme="minorHAnsi"/>
        </w:rPr>
      </w:pPr>
      <w:r w:rsidRPr="008B565C">
        <w:rPr>
          <w:rFonts w:eastAsia="Arial" w:cs="Arial"/>
          <w:color w:val="000000"/>
        </w:rPr>
        <w:t xml:space="preserve">Feldner HA, Logan SW, Otieno S, Fragomeni A, Kono C, Riordan K, Sloane B, Kenyon LK. (2025). Short-Term Powered Mobility Intervention Is Associated </w:t>
      </w:r>
      <w:proofErr w:type="gramStart"/>
      <w:r w:rsidRPr="008B565C">
        <w:rPr>
          <w:rFonts w:eastAsia="Arial" w:cs="Arial"/>
          <w:color w:val="000000"/>
        </w:rPr>
        <w:t>With</w:t>
      </w:r>
      <w:proofErr w:type="gramEnd"/>
      <w:r w:rsidRPr="008B565C">
        <w:rPr>
          <w:rFonts w:eastAsia="Arial" w:cs="Arial"/>
          <w:color w:val="000000"/>
        </w:rPr>
        <w:t xml:space="preserve"> Improvements in Development and Participation for Young Children </w:t>
      </w:r>
      <w:proofErr w:type="gramStart"/>
      <w:r w:rsidRPr="008B565C">
        <w:rPr>
          <w:rFonts w:eastAsia="Arial" w:cs="Arial"/>
          <w:color w:val="000000"/>
        </w:rPr>
        <w:t>With</w:t>
      </w:r>
      <w:proofErr w:type="gramEnd"/>
      <w:r w:rsidRPr="008B565C">
        <w:rPr>
          <w:rFonts w:eastAsia="Arial" w:cs="Arial"/>
          <w:color w:val="000000"/>
        </w:rPr>
        <w:t xml:space="preserve"> Cerebral Palsy: A Randomized Clinical Trial. </w:t>
      </w:r>
      <w:r w:rsidRPr="008B565C">
        <w:rPr>
          <w:rFonts w:eastAsia="Arial" w:cs="Arial"/>
          <w:i/>
          <w:color w:val="000000"/>
        </w:rPr>
        <w:t>Phys Ther</w:t>
      </w:r>
      <w:r w:rsidRPr="008B565C">
        <w:rPr>
          <w:rFonts w:eastAsia="Arial" w:cs="Arial"/>
          <w:color w:val="000000"/>
        </w:rPr>
        <w:t>, 105(1</w:t>
      </w:r>
      <w:proofErr w:type="gramStart"/>
      <w:r w:rsidRPr="008B565C">
        <w:rPr>
          <w:rFonts w:eastAsia="Arial" w:cs="Arial"/>
          <w:color w:val="000000"/>
        </w:rPr>
        <w:t>):pzae</w:t>
      </w:r>
      <w:proofErr w:type="gramEnd"/>
      <w:r w:rsidRPr="008B565C">
        <w:rPr>
          <w:rFonts w:eastAsia="Arial" w:cs="Arial"/>
          <w:color w:val="000000"/>
        </w:rPr>
        <w:t>152.</w:t>
      </w:r>
      <w:r w:rsidRPr="008B565C">
        <w:rPr>
          <w:rFonts w:eastAsia="Arial" w:cs="Arial"/>
          <w:color w:val="0000FF"/>
          <w:u w:val="single"/>
        </w:rPr>
        <w:t xml:space="preserve"> https://doi.org/10.1093/ptj/pzae152</w:t>
      </w:r>
    </w:p>
    <w:p w14:paraId="038D8182" w14:textId="77777777" w:rsidR="00815B4B" w:rsidRDefault="00815B4B" w:rsidP="004969C3">
      <w:pPr>
        <w:sectPr w:rsidR="00815B4B" w:rsidSect="00F94BB1">
          <w:pgSz w:w="11910" w:h="16845"/>
          <w:pgMar w:top="1440" w:right="1440" w:bottom="1440" w:left="1440" w:header="720" w:footer="720" w:gutter="0"/>
          <w:cols w:space="720"/>
          <w:docGrid w:linePitch="326"/>
        </w:sectPr>
      </w:pPr>
    </w:p>
    <w:p w14:paraId="7320F9C7" w14:textId="312B24FC" w:rsidR="00FD7BE8" w:rsidRPr="004969C3" w:rsidRDefault="00536A5B" w:rsidP="004969C3">
      <w:pPr>
        <w:rPr>
          <w:rFonts w:eastAsiaTheme="majorEastAsia" w:cs="Arial"/>
          <w:b/>
          <w:bCs/>
          <w:color w:val="3F779D"/>
          <w:sz w:val="20"/>
          <w:szCs w:val="20"/>
        </w:rPr>
      </w:pPr>
      <w:r>
        <w:lastRenderedPageBreak/>
        <w:t xml:space="preserve"> </w:t>
      </w:r>
    </w:p>
    <w:p w14:paraId="531B2DF2" w14:textId="77777777" w:rsidR="00FD7BE8" w:rsidRDefault="00FD7BE8"/>
    <w:p w14:paraId="54BE87FC" w14:textId="77777777" w:rsidR="00FD7BE8" w:rsidRPr="000F0245" w:rsidRDefault="00FD7BE8"/>
    <w:p w14:paraId="12D1C8CA" w14:textId="340EF1B3" w:rsidR="00FD7BE8" w:rsidRDefault="00FD7BE8">
      <w:pPr>
        <w:rPr>
          <w:rFonts w:ascii="Canva Sans" w:eastAsia="Canva Sans" w:hAnsi="Canva Sans" w:cs="Canva Sans"/>
          <w:color w:val="000000" w:themeColor="text1"/>
        </w:rPr>
      </w:pPr>
    </w:p>
    <w:p w14:paraId="2FC47E84" w14:textId="77777777" w:rsidR="003E6A06" w:rsidRDefault="003E6A06">
      <w:pPr>
        <w:rPr>
          <w:rFonts w:ascii="Canva Sans" w:eastAsia="Canva Sans" w:hAnsi="Canva Sans" w:cs="Canva Sans"/>
          <w:color w:val="000000" w:themeColor="text1"/>
        </w:rPr>
      </w:pPr>
    </w:p>
    <w:p w14:paraId="1CB56B62" w14:textId="77777777" w:rsidR="00021DDB" w:rsidRDefault="00021DDB" w:rsidP="008425D4"/>
    <w:p w14:paraId="4FB19135" w14:textId="65B08A92" w:rsidR="00F94BB1" w:rsidRDefault="00F94BB1">
      <w:pPr>
        <w:jc w:val="center"/>
      </w:pPr>
      <w:r>
        <w:rPr>
          <w:noProof/>
        </w:rPr>
        <w:drawing>
          <wp:anchor distT="0" distB="0" distL="114300" distR="114300" simplePos="0" relativeHeight="251658240" behindDoc="0" locked="1" layoutInCell="1" allowOverlap="1" wp14:anchorId="0CFA54E9" wp14:editId="46F9BAF4">
            <wp:simplePos x="0" y="0"/>
            <wp:positionH relativeFrom="page">
              <wp:posOffset>0</wp:posOffset>
            </wp:positionH>
            <wp:positionV relativeFrom="page">
              <wp:posOffset>2559685</wp:posOffset>
            </wp:positionV>
            <wp:extent cx="7563485" cy="935990"/>
            <wp:effectExtent l="0" t="0" r="5715" b="3810"/>
            <wp:wrapNone/>
            <wp:docPr id="1"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1" layoutInCell="1" allowOverlap="1" wp14:anchorId="3A9C92C6" wp14:editId="23B78548">
            <wp:simplePos x="0" y="0"/>
            <wp:positionH relativeFrom="page">
              <wp:posOffset>0</wp:posOffset>
            </wp:positionH>
            <wp:positionV relativeFrom="page">
              <wp:posOffset>0</wp:posOffset>
            </wp:positionV>
            <wp:extent cx="7563485" cy="2267585"/>
            <wp:effectExtent l="0" t="0" r="5715" b="5715"/>
            <wp:wrapNone/>
            <wp:docPr id="230786943"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6A1C722C" w14:textId="40C0FEBF" w:rsidR="00F94BB1" w:rsidRDefault="00815B4B">
      <w:pPr>
        <w:jc w:val="center"/>
      </w:pPr>
      <w:r>
        <w:rPr>
          <w:noProof/>
        </w:rPr>
        <mc:AlternateContent>
          <mc:Choice Requires="wps">
            <w:drawing>
              <wp:anchor distT="0" distB="0" distL="114300" distR="114300" simplePos="0" relativeHeight="251658241" behindDoc="0" locked="0" layoutInCell="1" allowOverlap="1" wp14:anchorId="5280DC58" wp14:editId="0635DEF1">
                <wp:simplePos x="0" y="0"/>
                <wp:positionH relativeFrom="column">
                  <wp:posOffset>41910</wp:posOffset>
                </wp:positionH>
                <wp:positionV relativeFrom="page">
                  <wp:posOffset>2621492</wp:posOffset>
                </wp:positionV>
                <wp:extent cx="6470650" cy="882650"/>
                <wp:effectExtent l="0" t="0" r="0" b="0"/>
                <wp:wrapNone/>
                <wp:docPr id="537872086" name="Text Box 1"/>
                <wp:cNvGraphicFramePr/>
                <a:graphic xmlns:a="http://schemas.openxmlformats.org/drawingml/2006/main">
                  <a:graphicData uri="http://schemas.microsoft.com/office/word/2010/wordprocessingShape">
                    <wps:wsp>
                      <wps:cNvSpPr txBox="1"/>
                      <wps:spPr>
                        <a:xfrm>
                          <a:off x="0" y="0"/>
                          <a:ext cx="6470650" cy="882650"/>
                        </a:xfrm>
                        <a:prstGeom prst="rect">
                          <a:avLst/>
                        </a:prstGeom>
                        <a:noFill/>
                        <a:ln w="6350">
                          <a:noFill/>
                        </a:ln>
                      </wps:spPr>
                      <wps:txbx>
                        <w:txbxContent>
                          <w:p w14:paraId="16A50769" w14:textId="627FCAEA" w:rsidR="00F94BB1" w:rsidRPr="0065768A" w:rsidRDefault="00F94BB1">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DC58" id="_x0000_s1031" type="#_x0000_t202" style="position:absolute;left:0;text-align:left;margin-left:3.3pt;margin-top:206.4pt;width:509.5pt;height: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" filled="f" stroked="f" strokeweight=".5pt">
                <v:textbox>
                  <w:txbxContent>
                    <w:p w14:paraId="16A50769" w14:textId="627FCAEA" w:rsidR="00F94BB1" w:rsidRPr="0065768A" w:rsidRDefault="00F94BB1">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txbxContent>
                </v:textbox>
                <w10:wrap anchory="page"/>
              </v:shape>
            </w:pict>
          </mc:Fallback>
        </mc:AlternateContent>
      </w:r>
    </w:p>
    <w:p w14:paraId="6054EC9B" w14:textId="6F18A03B" w:rsidR="00F94BB1" w:rsidRDefault="00F94BB1">
      <w:pPr>
        <w:tabs>
          <w:tab w:val="left" w:pos="5465"/>
        </w:tabs>
        <w:spacing w:line="300" w:lineRule="auto"/>
      </w:pPr>
      <w:r>
        <w:rPr>
          <w:rFonts w:ascii="Arial Bold" w:eastAsia="Arial Bold" w:hAnsi="Arial Bold" w:cs="Arial Bold"/>
          <w:b/>
          <w:bCs/>
          <w:color w:val="000F46"/>
          <w:sz w:val="40"/>
          <w:szCs w:val="40"/>
        </w:rPr>
        <w:t xml:space="preserve"> </w:t>
      </w:r>
      <w:r>
        <w:rPr>
          <w:rFonts w:ascii="Arial Bold" w:eastAsia="Arial Bold" w:hAnsi="Arial Bold" w:cs="Arial Bold"/>
          <w:b/>
          <w:bCs/>
          <w:color w:val="000F46"/>
          <w:sz w:val="40"/>
          <w:szCs w:val="40"/>
        </w:rPr>
        <w:tab/>
      </w:r>
    </w:p>
    <w:p w14:paraId="3505E25B" w14:textId="37FE95E8" w:rsidR="00F94BB1" w:rsidRDefault="00F94BB1">
      <w:pPr>
        <w:spacing w:line="300" w:lineRule="auto"/>
      </w:pPr>
      <w:r>
        <w:rPr>
          <w:rFonts w:ascii="Canva Sans" w:eastAsia="Canva Sans" w:hAnsi="Canva Sans" w:cs="Canva Sans"/>
          <w:color w:val="000000"/>
        </w:rPr>
        <w:t xml:space="preserve"> </w:t>
      </w:r>
    </w:p>
    <w:p w14:paraId="1181F253" w14:textId="422CF6E3" w:rsidR="00F94BB1" w:rsidRPr="006F3F99" w:rsidRDefault="00F94BB1" w:rsidP="003E6A06">
      <w:pPr>
        <w:pStyle w:val="Heading1"/>
      </w:pPr>
      <w:bookmarkStart w:id="22" w:name="_Devereux_Early_Childhood"/>
      <w:bookmarkEnd w:id="22"/>
      <w:r w:rsidRPr="00452D37">
        <w:t xml:space="preserve">Devereux Early Childhood Assessment (DECA) </w:t>
      </w:r>
      <w:r w:rsidRPr="006F3F99">
        <w:t xml:space="preserve"> </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F94BB1" w:rsidRPr="007F7744" w14:paraId="78D561C0"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hideMark/>
          </w:tcPr>
          <w:p w14:paraId="413A0B61" w14:textId="77777777" w:rsidR="00F94BB1" w:rsidRPr="007F7744" w:rsidRDefault="00F94BB1">
            <w:pPr>
              <w:spacing w:after="100"/>
              <w:ind w:left="57" w:right="57"/>
              <w:rPr>
                <w:rFonts w:eastAsia="Aptos" w:cs="Arial"/>
                <w:b/>
                <w:bCs/>
                <w:lang w:eastAsia="en-US"/>
              </w:rPr>
            </w:pPr>
            <w:r w:rsidRPr="007F7744">
              <w:rPr>
                <w:rFonts w:eastAsia="Aptos" w:cs="Arial"/>
                <w:b/>
                <w:bCs/>
                <w:lang w:eastAsia="en-U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6AD36F0A" w14:textId="77777777" w:rsidR="00F94BB1" w:rsidRPr="00D81697" w:rsidRDefault="00F94BB1">
            <w:pPr>
              <w:spacing w:after="100"/>
              <w:ind w:left="57" w:right="57"/>
              <w:rPr>
                <w:rFonts w:eastAsia="Aptos" w:cs="Arial"/>
                <w:lang w:eastAsia="en-US"/>
              </w:rPr>
            </w:pPr>
            <w:r w:rsidRPr="00D81697">
              <w:rPr>
                <w:rFonts w:eastAsia="Aptos" w:cs="Arial"/>
                <w:b/>
                <w:lang w:eastAsia="en-US"/>
              </w:rPr>
              <w:t>Children</w:t>
            </w:r>
            <w:r w:rsidRPr="00D81697">
              <w:rPr>
                <w:rFonts w:eastAsia="Aptos" w:cs="Arial"/>
                <w:lang w:eastAsia="en-US"/>
              </w:rPr>
              <w:t>:</w:t>
            </w:r>
          </w:p>
          <w:p w14:paraId="6B8D15CD" w14:textId="59707A1B" w:rsidR="00FB7046" w:rsidRPr="00D96F87" w:rsidRDefault="00D96F87" w:rsidP="004E3AF4">
            <w:pPr>
              <w:pStyle w:val="ListParagraph"/>
              <w:rPr>
                <w:rStyle w:val="font171"/>
                <w:color w:val="auto"/>
                <w:sz w:val="24"/>
                <w:szCs w:val="24"/>
              </w:rPr>
            </w:pPr>
            <w:r>
              <w:rPr>
                <w:rStyle w:val="font171"/>
                <w:color w:val="auto"/>
                <w:sz w:val="24"/>
                <w:szCs w:val="24"/>
              </w:rPr>
              <w:t>h</w:t>
            </w:r>
            <w:r w:rsidR="00F94BB1" w:rsidRPr="00D96F87">
              <w:rPr>
                <w:rStyle w:val="font171"/>
                <w:color w:val="auto"/>
                <w:sz w:val="24"/>
                <w:szCs w:val="24"/>
              </w:rPr>
              <w:t>ave secure, stable and safe relationships with parents, carers, siblings, family members and significant others</w:t>
            </w:r>
          </w:p>
          <w:p w14:paraId="0B2C7ACB" w14:textId="5F73529A" w:rsidR="00FB7046" w:rsidRPr="00D96F87" w:rsidRDefault="00D96F87" w:rsidP="004E3AF4">
            <w:pPr>
              <w:pStyle w:val="ListParagraph"/>
              <w:rPr>
                <w:rStyle w:val="font171"/>
                <w:color w:val="auto"/>
                <w:sz w:val="24"/>
                <w:szCs w:val="24"/>
              </w:rPr>
            </w:pPr>
            <w:r>
              <w:rPr>
                <w:rStyle w:val="font171"/>
                <w:color w:val="auto"/>
                <w:sz w:val="24"/>
                <w:szCs w:val="24"/>
              </w:rPr>
              <w:t>i</w:t>
            </w:r>
            <w:r w:rsidR="00F94BB1" w:rsidRPr="00D96F87">
              <w:rPr>
                <w:rStyle w:val="font171"/>
                <w:color w:val="auto"/>
                <w:sz w:val="24"/>
                <w:szCs w:val="24"/>
              </w:rPr>
              <w:t>nteract with family members, other children, and people in the community to build relational skills and connections.</w:t>
            </w:r>
          </w:p>
          <w:p w14:paraId="11FED8F1" w14:textId="4B093540" w:rsidR="00F94BB1" w:rsidRPr="0037265D" w:rsidRDefault="00902038" w:rsidP="004E3AF4">
            <w:pPr>
              <w:pStyle w:val="ListParagraph"/>
              <w:rPr>
                <w:rFonts w:eastAsia="Aptos"/>
                <w:lang w:eastAsia="en-US"/>
              </w:rPr>
            </w:pPr>
            <w:r>
              <w:rPr>
                <w:rStyle w:val="font171"/>
                <w:color w:val="auto"/>
                <w:sz w:val="24"/>
                <w:szCs w:val="24"/>
              </w:rPr>
              <w:t>b</w:t>
            </w:r>
            <w:r w:rsidR="00F94BB1" w:rsidRPr="0037265D">
              <w:rPr>
                <w:rStyle w:val="font171"/>
                <w:color w:val="auto"/>
                <w:sz w:val="24"/>
                <w:szCs w:val="24"/>
              </w:rPr>
              <w:t>uild capacity to regulate their behaviour</w:t>
            </w:r>
          </w:p>
        </w:tc>
      </w:tr>
    </w:tbl>
    <w:p w14:paraId="72328E49" w14:textId="77777777" w:rsidR="00F94BB1" w:rsidRPr="007F7744" w:rsidRDefault="00F94BB1" w:rsidP="003E6A06">
      <w:pPr>
        <w:pStyle w:val="Heading1"/>
        <w:rPr>
          <w:lang w:eastAsia="en-US"/>
        </w:rPr>
      </w:pPr>
      <w:r w:rsidRPr="007F7744">
        <w:rPr>
          <w:lang w:eastAsia="en-US"/>
        </w:rPr>
        <w:t>DECA Overview</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F94BB1" w:rsidRPr="007F7744" w14:paraId="004B9CC1"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hideMark/>
          </w:tcPr>
          <w:p w14:paraId="188983A7" w14:textId="77777777" w:rsidR="00F94BB1" w:rsidRPr="007F7744" w:rsidRDefault="00F94BB1">
            <w:pPr>
              <w:spacing w:after="100"/>
              <w:ind w:left="57" w:right="57"/>
              <w:rPr>
                <w:rFonts w:eastAsia="Aptos" w:cs="Arial"/>
                <w:lang w:eastAsia="en-US"/>
              </w:rPr>
            </w:pPr>
            <w:r w:rsidRPr="007F7744">
              <w:rPr>
                <w:rFonts w:eastAsia="Aptos" w:cs="Arial"/>
                <w:b/>
                <w:bCs/>
                <w:lang w:eastAsia="en-US"/>
              </w:rPr>
              <w:t>General description</w:t>
            </w:r>
            <w:r w:rsidRPr="007F7744">
              <w:rPr>
                <w:rFonts w:eastAsia="Aptos" w:cs="Arial"/>
                <w:lang w:eastAsia="en-US"/>
              </w:rPr>
              <w:t>  </w:t>
            </w:r>
          </w:p>
          <w:p w14:paraId="6E8C5E54" w14:textId="77777777" w:rsidR="00F94BB1" w:rsidRPr="007F7744" w:rsidRDefault="00F94BB1">
            <w:pPr>
              <w:spacing w:after="100" w:line="276" w:lineRule="auto"/>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1A0BB35B" w14:textId="77777777" w:rsidR="00F94BB1" w:rsidRPr="007F7744" w:rsidRDefault="00F94BB1">
            <w:pPr>
              <w:spacing w:after="100"/>
              <w:ind w:left="57" w:right="57"/>
              <w:rPr>
                <w:rFonts w:eastAsia="Aptos" w:cs="Arial"/>
                <w:lang w:eastAsia="en-US"/>
              </w:rPr>
            </w:pPr>
            <w:r w:rsidRPr="007F7744">
              <w:rPr>
                <w:rFonts w:eastAsia="Aptos" w:cs="Arial"/>
                <w:lang w:eastAsia="en-US"/>
              </w:rPr>
              <w:t xml:space="preserve">The Devereux Early Childhood Assessment (DECA) is a standardised, norm-referenced behaviour rating scale that provides information about a child's social-emotional strengths and needs. Its main purpose is to promote resilience in young children by assessing and strengthening protective factors central to social and emotional health. </w:t>
            </w:r>
          </w:p>
          <w:p w14:paraId="4DEC60D5" w14:textId="77777777" w:rsidR="00F94BB1" w:rsidRPr="007F7744" w:rsidRDefault="00F94BB1">
            <w:pPr>
              <w:spacing w:after="100"/>
              <w:ind w:left="57" w:right="57"/>
              <w:rPr>
                <w:rFonts w:eastAsia="Aptos" w:cs="Arial"/>
                <w:lang w:eastAsia="en-US"/>
              </w:rPr>
            </w:pPr>
            <w:r w:rsidRPr="007F7744">
              <w:rPr>
                <w:rFonts w:eastAsia="Aptos" w:cs="Arial"/>
                <w:lang w:eastAsia="en-US"/>
              </w:rPr>
              <w:t xml:space="preserve">Separate versions of the DECA are available for infants (DECA-I), toddlers (DECA-T) and preschool children (DECA-P2). The DECA Clinical Form (DECA-C) is designed for young children already showing significant behavioural concerns.   </w:t>
            </w:r>
          </w:p>
        </w:tc>
      </w:tr>
      <w:tr w:rsidR="00F94BB1" w:rsidRPr="007F7744" w14:paraId="449F0031"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tcPr>
          <w:p w14:paraId="6FC955A0" w14:textId="77777777" w:rsidR="00F94BB1" w:rsidRPr="007F7744" w:rsidRDefault="00F94BB1">
            <w:pPr>
              <w:spacing w:after="100"/>
              <w:ind w:left="57" w:right="57"/>
              <w:rPr>
                <w:rFonts w:eastAsia="Aptos" w:cs="Arial"/>
                <w:b/>
                <w:bCs/>
                <w:lang w:eastAsia="en-US"/>
              </w:rPr>
            </w:pPr>
            <w:r w:rsidRPr="007F7744">
              <w:rPr>
                <w:rFonts w:eastAsia="Aptos" w:cs="Arial"/>
                <w:b/>
                <w:bCs/>
                <w:lang w:eastAsia="en-US"/>
              </w:rPr>
              <w:t>Ages</w:t>
            </w:r>
          </w:p>
        </w:tc>
        <w:tc>
          <w:tcPr>
            <w:tcW w:w="7075" w:type="dxa"/>
            <w:tcBorders>
              <w:top w:val="single" w:sz="6" w:space="0" w:color="auto"/>
              <w:left w:val="single" w:sz="6" w:space="0" w:color="auto"/>
              <w:bottom w:val="single" w:sz="6" w:space="0" w:color="auto"/>
              <w:right w:val="single" w:sz="6" w:space="0" w:color="auto"/>
            </w:tcBorders>
          </w:tcPr>
          <w:p w14:paraId="19E6E034" w14:textId="77777777" w:rsidR="00F94BB1" w:rsidRPr="007F7744" w:rsidRDefault="00F94BB1">
            <w:pPr>
              <w:spacing w:after="100"/>
              <w:ind w:left="57" w:right="57"/>
              <w:rPr>
                <w:rFonts w:eastAsia="Aptos" w:cs="Arial"/>
                <w:lang w:eastAsia="en-US"/>
              </w:rPr>
            </w:pPr>
            <w:r w:rsidRPr="007F7744">
              <w:rPr>
                <w:rFonts w:eastAsia="Aptos" w:cs="Arial"/>
                <w:lang w:eastAsia="en-US"/>
              </w:rPr>
              <w:t>The DECA-I can be used with infants from 4 weeks to 18 months of age.</w:t>
            </w:r>
          </w:p>
          <w:p w14:paraId="4933DD2B" w14:textId="77777777" w:rsidR="00F94BB1" w:rsidRPr="007F7744" w:rsidRDefault="00F94BB1">
            <w:pPr>
              <w:spacing w:after="100"/>
              <w:ind w:left="57" w:right="57"/>
              <w:rPr>
                <w:rFonts w:eastAsia="Aptos" w:cs="Arial"/>
                <w:lang w:eastAsia="en-US"/>
              </w:rPr>
            </w:pPr>
            <w:r w:rsidRPr="007F7744">
              <w:rPr>
                <w:rFonts w:eastAsia="Aptos" w:cs="Arial"/>
                <w:lang w:eastAsia="en-US"/>
              </w:rPr>
              <w:t xml:space="preserve">The DECA-T can be used with toddlers from 18 to 36 months of age. </w:t>
            </w:r>
          </w:p>
          <w:p w14:paraId="65B88FE3" w14:textId="77777777" w:rsidR="00F94BB1" w:rsidRPr="007F7744" w:rsidRDefault="00F94BB1">
            <w:pPr>
              <w:spacing w:after="100"/>
              <w:ind w:left="57" w:right="57"/>
              <w:rPr>
                <w:rFonts w:eastAsia="Aptos" w:cs="Arial"/>
                <w:lang w:eastAsia="en-US"/>
              </w:rPr>
            </w:pPr>
            <w:r w:rsidRPr="007F7744">
              <w:rPr>
                <w:rFonts w:eastAsia="Aptos" w:cs="Arial"/>
                <w:lang w:eastAsia="en-US"/>
              </w:rPr>
              <w:lastRenderedPageBreak/>
              <w:t xml:space="preserve">The DECA-P2 can be used with preschool children from 3 to &lt;6 years of age. </w:t>
            </w:r>
          </w:p>
          <w:p w14:paraId="7474EC6D" w14:textId="77777777" w:rsidR="00F94BB1" w:rsidRPr="007F7744" w:rsidRDefault="00F94BB1">
            <w:pPr>
              <w:spacing w:after="100"/>
              <w:ind w:left="57" w:right="57"/>
              <w:rPr>
                <w:rFonts w:eastAsia="Aptos" w:cs="Arial"/>
                <w:lang w:eastAsia="en-US"/>
              </w:rPr>
            </w:pPr>
            <w:r w:rsidRPr="007F7744">
              <w:rPr>
                <w:rFonts w:eastAsia="Aptos" w:cs="Arial"/>
                <w:lang w:eastAsia="en-US"/>
              </w:rPr>
              <w:t>The DECA-C can be used with children aged 2 to 5 years.</w:t>
            </w:r>
          </w:p>
        </w:tc>
      </w:tr>
      <w:tr w:rsidR="00F94BB1" w:rsidRPr="007F7744" w14:paraId="68D59E58"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tcPr>
          <w:p w14:paraId="22D7358A" w14:textId="77777777" w:rsidR="00F94BB1" w:rsidRPr="007F7744" w:rsidRDefault="00F94BB1">
            <w:pPr>
              <w:spacing w:after="100"/>
              <w:ind w:left="57" w:right="57"/>
              <w:rPr>
                <w:rFonts w:eastAsia="Aptos" w:cs="Arial"/>
                <w:lang w:eastAsia="en-US"/>
              </w:rPr>
            </w:pPr>
            <w:r w:rsidRPr="007F7744">
              <w:rPr>
                <w:rFonts w:eastAsia="Aptos" w:cs="Arial"/>
                <w:b/>
                <w:bCs/>
                <w:lang w:eastAsia="en-US"/>
              </w:rPr>
              <w:lastRenderedPageBreak/>
              <w:t>Domains / subscales </w:t>
            </w:r>
            <w:r w:rsidRPr="007F7744">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vAlign w:val="center"/>
          </w:tcPr>
          <w:p w14:paraId="352DAB87" w14:textId="77777777" w:rsidR="00F94BB1" w:rsidRPr="007F7744" w:rsidRDefault="00F94BB1">
            <w:pPr>
              <w:spacing w:after="100"/>
              <w:ind w:left="57" w:right="57"/>
              <w:rPr>
                <w:rFonts w:eastAsia="Aptos" w:cs="Arial"/>
                <w:lang w:eastAsia="en-US"/>
              </w:rPr>
            </w:pPr>
            <w:r w:rsidRPr="007F7744">
              <w:rPr>
                <w:rFonts w:eastAsia="Aptos" w:cs="Arial"/>
                <w:lang w:eastAsia="en-US"/>
              </w:rPr>
              <w:t xml:space="preserve">The DECA-I includes two subscales of protective factors related to resilience: Initiative and Attachment / Relationships. </w:t>
            </w:r>
          </w:p>
          <w:p w14:paraId="341A1CF4" w14:textId="77777777" w:rsidR="00F94BB1" w:rsidRPr="007F7744" w:rsidRDefault="00F94BB1">
            <w:pPr>
              <w:spacing w:after="100"/>
              <w:ind w:left="57" w:right="57"/>
              <w:rPr>
                <w:rFonts w:eastAsia="Aptos" w:cs="Arial"/>
                <w:lang w:eastAsia="en-US"/>
              </w:rPr>
            </w:pPr>
            <w:r w:rsidRPr="007F7744">
              <w:rPr>
                <w:rFonts w:eastAsia="Aptos" w:cs="Arial"/>
                <w:lang w:eastAsia="en-US"/>
              </w:rPr>
              <w:t>The DECA-T, DECA-P2 and DECA-C include three subscales of protective factors related to resilience: Initiative, Self-Regulation and Attachment / Relationships. In addition, the DECA-P2 includes a Behavioural Concerns screener score, and the DECA-C includes Attention Problems, Aggression, Withdrawal/Depression, and Emotional Control Problems scales.</w:t>
            </w:r>
          </w:p>
        </w:tc>
      </w:tr>
      <w:tr w:rsidR="00F94BB1" w:rsidRPr="007F7744" w14:paraId="6597294A"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hideMark/>
          </w:tcPr>
          <w:p w14:paraId="662890C6" w14:textId="77777777" w:rsidR="00F94BB1" w:rsidRPr="007F7744" w:rsidRDefault="00F94BB1">
            <w:pPr>
              <w:spacing w:after="100"/>
              <w:ind w:left="57" w:right="57"/>
              <w:rPr>
                <w:rFonts w:eastAsia="Aptos" w:cs="Arial"/>
                <w:lang w:eastAsia="en-US"/>
              </w:rPr>
            </w:pPr>
            <w:r w:rsidRPr="007F7744">
              <w:rPr>
                <w:rFonts w:eastAsia="Aptos" w:cs="Arial"/>
                <w:b/>
                <w:bCs/>
                <w:lang w:eastAsia="en-US"/>
              </w:rPr>
              <w:t>Cultural adaptation </w:t>
            </w:r>
            <w:r w:rsidRPr="007F7744">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hideMark/>
          </w:tcPr>
          <w:p w14:paraId="3D46F0F8" w14:textId="77777777" w:rsidR="00F94BB1" w:rsidRPr="007F7744" w:rsidRDefault="00F94BB1">
            <w:pPr>
              <w:spacing w:after="100"/>
              <w:ind w:left="57" w:right="57"/>
              <w:rPr>
                <w:rFonts w:eastAsia="Aptos" w:cs="Arial"/>
                <w:lang w:eastAsia="en-US"/>
              </w:rPr>
            </w:pPr>
            <w:r w:rsidRPr="007F7744">
              <w:rPr>
                <w:rFonts w:eastAsia="Aptos" w:cs="Arial"/>
                <w:lang w:eastAsia="en-US"/>
              </w:rPr>
              <w:t xml:space="preserve">The DECA has been adapted for use in Spanish and Chinese. </w:t>
            </w:r>
          </w:p>
        </w:tc>
      </w:tr>
      <w:tr w:rsidR="00F94BB1" w:rsidRPr="007F7744" w14:paraId="7E196D80"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hideMark/>
          </w:tcPr>
          <w:p w14:paraId="7317FBDC" w14:textId="77777777" w:rsidR="00F94BB1" w:rsidRPr="007F7744" w:rsidRDefault="00F94BB1">
            <w:pPr>
              <w:spacing w:after="100"/>
              <w:ind w:left="57" w:right="57"/>
              <w:rPr>
                <w:rFonts w:eastAsia="Aptos" w:cs="Arial"/>
                <w:lang w:eastAsia="en-US"/>
              </w:rPr>
            </w:pPr>
            <w:r w:rsidRPr="007F7744">
              <w:rPr>
                <w:rFonts w:eastAsia="Aptos" w:cs="Arial"/>
                <w:b/>
                <w:bCs/>
                <w:lang w:eastAsia="en-US"/>
              </w:rPr>
              <w:t>Administration</w:t>
            </w:r>
            <w:r w:rsidRPr="007F7744">
              <w:rPr>
                <w:rFonts w:eastAsia="Aptos" w:cs="Arial"/>
                <w:lang w:eastAsia="en-US"/>
              </w:rPr>
              <w:t>  </w:t>
            </w:r>
          </w:p>
          <w:p w14:paraId="7A260A0C" w14:textId="77777777" w:rsidR="00F94BB1" w:rsidRPr="007F7744" w:rsidRDefault="00F94BB1">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205C7A8D" w14:textId="77777777" w:rsidR="00F94BB1" w:rsidRPr="007F7744" w:rsidRDefault="00F94BB1">
            <w:pPr>
              <w:spacing w:after="100"/>
              <w:ind w:left="57" w:right="57"/>
              <w:rPr>
                <w:rFonts w:eastAsia="Aptos" w:cs="Arial"/>
                <w:lang w:eastAsia="en-US"/>
              </w:rPr>
            </w:pPr>
            <w:r w:rsidRPr="007F7744">
              <w:rPr>
                <w:rFonts w:eastAsia="Aptos" w:cs="Arial"/>
                <w:lang w:eastAsia="en-US"/>
              </w:rPr>
              <w:t>The DECA-I, DECA-T and DECA-P2 are observer-report scales completed by adults familiar with the child, including parents, carers and teachers.</w:t>
            </w:r>
          </w:p>
          <w:p w14:paraId="16D6475F" w14:textId="77777777" w:rsidR="00F94BB1" w:rsidRPr="007F7744" w:rsidRDefault="00F94BB1">
            <w:pPr>
              <w:spacing w:after="100"/>
              <w:ind w:left="57" w:right="57"/>
              <w:rPr>
                <w:rFonts w:eastAsia="Aptos" w:cs="Arial"/>
                <w:lang w:eastAsia="en-US"/>
              </w:rPr>
            </w:pPr>
            <w:r w:rsidRPr="007F7744">
              <w:rPr>
                <w:rFonts w:eastAsia="Aptos" w:cs="Arial"/>
                <w:lang w:eastAsia="en-US"/>
              </w:rPr>
              <w:t>The DECA-C is designed to be administered and interpreted by early childhood mental health consultants and other mental health professionals.</w:t>
            </w:r>
          </w:p>
          <w:p w14:paraId="357CBA50" w14:textId="77777777" w:rsidR="00F94BB1" w:rsidRPr="007F7744" w:rsidRDefault="00F94BB1">
            <w:pPr>
              <w:spacing w:after="100"/>
              <w:ind w:left="57" w:right="57"/>
              <w:rPr>
                <w:rFonts w:eastAsia="Aptos" w:cs="Arial"/>
                <w:lang w:eastAsia="en-US"/>
              </w:rPr>
            </w:pPr>
            <w:r w:rsidRPr="007F7744">
              <w:rPr>
                <w:rFonts w:eastAsia="Aptos" w:cs="Arial"/>
                <w:lang w:eastAsia="en-US"/>
              </w:rPr>
              <w:t xml:space="preserve">All versions of the tool take approximately 5-10 minutes to complete. They can be administered as paper-based scales or through a web-based platform, the e-DECA. </w:t>
            </w:r>
          </w:p>
          <w:p w14:paraId="0D046EC0" w14:textId="006491AF" w:rsidR="00F94BB1" w:rsidRPr="007F7744" w:rsidRDefault="00D61B2F">
            <w:pPr>
              <w:spacing w:after="100"/>
              <w:ind w:left="57" w:right="57"/>
              <w:rPr>
                <w:rFonts w:eastAsia="Aptos" w:cs="Arial"/>
                <w:lang w:eastAsia="en-US"/>
              </w:rPr>
            </w:pPr>
            <w:hyperlink r:id="rId26" w:history="1">
              <w:r w:rsidRPr="00F2754B">
                <w:rPr>
                  <w:rStyle w:val="Hyperlink"/>
                  <w:rFonts w:eastAsia="Aptos" w:cs="Arial"/>
                  <w:lang w:eastAsia="en-US"/>
                </w:rPr>
                <w:t>https://www.e-deca2.org/</w:t>
              </w:r>
            </w:hyperlink>
            <w:r w:rsidR="00F94BB1" w:rsidRPr="007F7744">
              <w:rPr>
                <w:rFonts w:eastAsia="Aptos" w:cs="Arial"/>
                <w:lang w:eastAsia="en-US"/>
              </w:rPr>
              <w:t xml:space="preserve"> </w:t>
            </w:r>
          </w:p>
        </w:tc>
      </w:tr>
      <w:tr w:rsidR="00F94BB1" w:rsidRPr="007F7744" w14:paraId="1F9398BA"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hideMark/>
          </w:tcPr>
          <w:p w14:paraId="308AB8B8" w14:textId="77777777" w:rsidR="00F94BB1" w:rsidRPr="007F7744" w:rsidRDefault="00F94BB1">
            <w:pPr>
              <w:spacing w:after="100"/>
              <w:ind w:left="57" w:right="57"/>
              <w:rPr>
                <w:rFonts w:eastAsia="Aptos" w:cs="Arial"/>
                <w:lang w:eastAsia="en-US"/>
              </w:rPr>
            </w:pPr>
            <w:r w:rsidRPr="007F7744">
              <w:rPr>
                <w:rFonts w:eastAsia="Aptos" w:cs="Arial"/>
                <w:b/>
                <w:bCs/>
                <w:lang w:eastAsia="en-US"/>
              </w:rPr>
              <w:t>Training requirements</w:t>
            </w:r>
            <w:r w:rsidRPr="007F7744">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hideMark/>
          </w:tcPr>
          <w:p w14:paraId="54DD3000" w14:textId="77777777" w:rsidR="00F94BB1" w:rsidRPr="007F7744" w:rsidRDefault="00F94BB1">
            <w:pPr>
              <w:spacing w:after="100"/>
              <w:ind w:left="57" w:right="57"/>
              <w:rPr>
                <w:rFonts w:eastAsia="Aptos" w:cs="Arial"/>
                <w:lang w:eastAsia="en-US"/>
              </w:rPr>
            </w:pPr>
            <w:r w:rsidRPr="007F7744">
              <w:rPr>
                <w:rFonts w:eastAsia="Arial" w:cs="Arial"/>
                <w:lang w:eastAsia="en-US"/>
              </w:rPr>
              <w:t>No specific training required to administer the</w:t>
            </w:r>
            <w:r w:rsidRPr="007F7744">
              <w:rPr>
                <w:rFonts w:eastAsia="Aptos" w:cs="Arial"/>
                <w:lang w:eastAsia="en-US"/>
              </w:rPr>
              <w:t xml:space="preserve"> DECA-I, DECA-T and DECA-P2.</w:t>
            </w:r>
          </w:p>
          <w:p w14:paraId="448762F1" w14:textId="77777777" w:rsidR="00F94BB1" w:rsidRPr="007F7744" w:rsidRDefault="00F94BB1">
            <w:pPr>
              <w:tabs>
                <w:tab w:val="num" w:pos="720"/>
              </w:tabs>
              <w:spacing w:after="100"/>
              <w:ind w:left="57" w:right="57"/>
              <w:rPr>
                <w:rFonts w:eastAsia="Aptos" w:cs="Arial"/>
                <w:lang w:eastAsia="en-US"/>
              </w:rPr>
            </w:pPr>
            <w:r w:rsidRPr="007F7744">
              <w:rPr>
                <w:rFonts w:eastAsia="Aptos" w:cs="Arial"/>
                <w:lang w:eastAsia="en-US"/>
              </w:rPr>
              <w:t>The DECA-C is a clinical tool and has stricter requirements. To interpret and use the DECA-C results, users must have a relevant degree such as psychology, social work, early childhood education, or special education.</w:t>
            </w:r>
          </w:p>
          <w:p w14:paraId="18EB8375" w14:textId="77777777" w:rsidR="00F94BB1" w:rsidRPr="007F7744" w:rsidRDefault="00F94BB1">
            <w:pPr>
              <w:tabs>
                <w:tab w:val="num" w:pos="720"/>
              </w:tabs>
              <w:spacing w:after="100"/>
              <w:ind w:left="57" w:right="57"/>
              <w:rPr>
                <w:rFonts w:eastAsia="Aptos" w:cs="Arial"/>
                <w:lang w:eastAsia="en-US"/>
              </w:rPr>
            </w:pPr>
            <w:r w:rsidRPr="007F7744">
              <w:rPr>
                <w:rFonts w:eastAsia="Aptos" w:cs="Arial"/>
                <w:lang w:eastAsia="en-US"/>
              </w:rPr>
              <w:t xml:space="preserve">Professional development opportunities for the DECA are available through the Devereux Advanced Behavioural Health </w:t>
            </w:r>
            <w:proofErr w:type="spellStart"/>
            <w:r w:rsidRPr="007F7744">
              <w:rPr>
                <w:rFonts w:eastAsia="Aptos" w:cs="Arial"/>
                <w:lang w:eastAsia="en-US"/>
              </w:rPr>
              <w:t>Center</w:t>
            </w:r>
            <w:proofErr w:type="spellEnd"/>
            <w:r w:rsidRPr="007F7744">
              <w:rPr>
                <w:rFonts w:eastAsia="Aptos" w:cs="Arial"/>
                <w:lang w:eastAsia="en-US"/>
              </w:rPr>
              <w:t xml:space="preserve"> for Resilient Children.</w:t>
            </w:r>
          </w:p>
          <w:p w14:paraId="1E1ED30F" w14:textId="77777777" w:rsidR="00F94BB1" w:rsidRPr="007F7744" w:rsidRDefault="00F94BB1">
            <w:pPr>
              <w:spacing w:after="100"/>
              <w:ind w:left="57" w:right="57"/>
              <w:rPr>
                <w:rFonts w:eastAsia="Aptos" w:cs="Arial"/>
                <w:lang w:eastAsia="en-US"/>
              </w:rPr>
            </w:pPr>
            <w:hyperlink r:id="rId27" w:history="1">
              <w:r w:rsidRPr="007F7744">
                <w:rPr>
                  <w:rFonts w:eastAsia="Aptos" w:cs="Arial"/>
                  <w:color w:val="467886"/>
                  <w:u w:val="single"/>
                  <w:lang w:eastAsia="en-US"/>
                </w:rPr>
                <w:t>https://centerforresilientchildren.org/</w:t>
              </w:r>
            </w:hyperlink>
          </w:p>
        </w:tc>
      </w:tr>
      <w:tr w:rsidR="00F94BB1" w:rsidRPr="007F7744" w14:paraId="3203BCCE"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hideMark/>
          </w:tcPr>
          <w:p w14:paraId="7C56ECD6" w14:textId="77777777" w:rsidR="00F94BB1" w:rsidRPr="007F7744" w:rsidRDefault="00F94BB1">
            <w:pPr>
              <w:spacing w:after="100"/>
              <w:ind w:left="57" w:right="57"/>
              <w:rPr>
                <w:rFonts w:eastAsia="Aptos" w:cs="Arial"/>
                <w:b/>
                <w:bCs/>
                <w:lang w:eastAsia="en-US"/>
              </w:rPr>
            </w:pPr>
            <w:r w:rsidRPr="007F7744">
              <w:rPr>
                <w:rFonts w:eastAsia="Aptos" w:cs="Arial"/>
                <w:b/>
                <w:bCs/>
                <w:lang w:eastAsia="en-US"/>
              </w:rPr>
              <w:t>How to access</w:t>
            </w:r>
          </w:p>
          <w:p w14:paraId="2DC8C2B5" w14:textId="77777777" w:rsidR="00F94BB1" w:rsidRPr="007F7744" w:rsidRDefault="00F94BB1">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09E26210" w14:textId="77777777" w:rsidR="00F94BB1" w:rsidRPr="007F7744" w:rsidRDefault="00F94BB1">
            <w:pPr>
              <w:spacing w:after="100" w:line="240" w:lineRule="auto"/>
              <w:ind w:left="57" w:right="57"/>
              <w:rPr>
                <w:rFonts w:eastAsia="Aptos" w:cs="Arial"/>
                <w:lang w:eastAsia="en-US"/>
              </w:rPr>
            </w:pPr>
            <w:r w:rsidRPr="007F7744">
              <w:rPr>
                <w:rFonts w:eastAsia="Aptos" w:cs="Arial"/>
                <w:lang w:eastAsia="en-US"/>
              </w:rPr>
              <w:t xml:space="preserve">The DECA can be purchased from the Kaplan Early Learning Company in the USA. </w:t>
            </w:r>
          </w:p>
          <w:p w14:paraId="4CD8BE27" w14:textId="77777777" w:rsidR="00F94BB1" w:rsidRPr="007F7744" w:rsidRDefault="00F94BB1">
            <w:pPr>
              <w:spacing w:after="100"/>
              <w:ind w:left="57" w:right="57"/>
              <w:rPr>
                <w:rFonts w:eastAsia="Aptos" w:cs="Arial"/>
                <w:lang w:eastAsia="en-US"/>
              </w:rPr>
            </w:pPr>
            <w:hyperlink r:id="rId28" w:history="1">
              <w:r w:rsidRPr="007F7744">
                <w:rPr>
                  <w:rFonts w:eastAsia="Aptos" w:cs="Arial"/>
                  <w:color w:val="467886"/>
                  <w:u w:val="single"/>
                  <w:lang w:eastAsia="en-US"/>
                </w:rPr>
                <w:t>https://www.kaplanco.com/devereux</w:t>
              </w:r>
            </w:hyperlink>
          </w:p>
        </w:tc>
      </w:tr>
    </w:tbl>
    <w:p w14:paraId="3EB1F972" w14:textId="77777777" w:rsidR="00F94BB1" w:rsidRPr="00211BF9" w:rsidRDefault="00F94BB1" w:rsidP="003E6A06">
      <w:pPr>
        <w:pStyle w:val="Heading1"/>
        <w:rPr>
          <w:lang w:eastAsia="en-US"/>
        </w:rPr>
      </w:pPr>
      <w:bookmarkStart w:id="23" w:name="_DECA_Evidence_Summary"/>
      <w:bookmarkStart w:id="24" w:name="_DECA_Evidence_Summary_1"/>
      <w:bookmarkEnd w:id="23"/>
      <w:bookmarkEnd w:id="24"/>
      <w:r w:rsidRPr="00211BF9">
        <w:rPr>
          <w:lang w:eastAsia="en-US"/>
        </w:rPr>
        <w:lastRenderedPageBreak/>
        <w:t>DECA Evidence Summary</w:t>
      </w:r>
    </w:p>
    <w:p w14:paraId="4CBB709E" w14:textId="5986D862" w:rsidR="00F94BB1" w:rsidRPr="00211BF9" w:rsidRDefault="00F94BB1">
      <w:pPr>
        <w:rPr>
          <w:rFonts w:ascii="Aptos" w:eastAsia="Aptos" w:hAnsi="Aptos" w:cs="Arial"/>
          <w:lang w:eastAsia="en-US"/>
        </w:rPr>
      </w:pPr>
      <w:hyperlink w:anchor="_DECA_Reference_List_1" w:history="1">
        <w:r w:rsidRPr="00870EEC">
          <w:rPr>
            <w:rStyle w:val="Hyperlink"/>
            <w:rFonts w:eastAsia="Aptos" w:cs="Arial"/>
            <w:i/>
            <w:iCs/>
            <w:lang w:eastAsia="en-US"/>
          </w:rPr>
          <w:t>Link to DECA 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F94BB1" w:rsidRPr="00211BF9" w14:paraId="30F21EA6"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tcPr>
          <w:p w14:paraId="4DDC2DF2" w14:textId="77777777" w:rsidR="00F94BB1" w:rsidRPr="00211BF9" w:rsidRDefault="00F94BB1">
            <w:pPr>
              <w:spacing w:after="100" w:line="276" w:lineRule="auto"/>
              <w:ind w:left="57" w:right="57"/>
              <w:rPr>
                <w:rFonts w:eastAsia="Aptos" w:cs="Arial"/>
                <w:b/>
                <w:bCs/>
                <w:lang w:eastAsia="en-US"/>
              </w:rPr>
            </w:pPr>
            <w:r w:rsidRPr="00211BF9">
              <w:rPr>
                <w:rFonts w:eastAsia="Aptos" w:cs="Arial"/>
                <w:b/>
                <w:bCs/>
                <w:lang w:eastAsia="en-US"/>
              </w:rPr>
              <w:t>Overview</w:t>
            </w:r>
          </w:p>
          <w:p w14:paraId="12DB80DF" w14:textId="77777777" w:rsidR="00F94BB1" w:rsidRPr="00211BF9" w:rsidRDefault="00F94BB1">
            <w:pPr>
              <w:spacing w:after="100" w:line="276" w:lineRule="auto"/>
              <w:ind w:left="57" w:right="57"/>
              <w:rPr>
                <w:rFonts w:eastAsia="Aptos" w:cs="Arial"/>
                <w:i/>
                <w:iCs/>
                <w:lang w:eastAsia="en-US"/>
              </w:rPr>
            </w:pPr>
          </w:p>
        </w:tc>
        <w:tc>
          <w:tcPr>
            <w:tcW w:w="7075" w:type="dxa"/>
            <w:tcBorders>
              <w:top w:val="single" w:sz="6" w:space="0" w:color="auto"/>
              <w:left w:val="single" w:sz="6" w:space="0" w:color="auto"/>
              <w:bottom w:val="single" w:sz="6" w:space="0" w:color="auto"/>
              <w:right w:val="single" w:sz="6" w:space="0" w:color="auto"/>
            </w:tcBorders>
          </w:tcPr>
          <w:p w14:paraId="09EBAA54" w14:textId="42DD563E" w:rsidR="00F94BB1" w:rsidRPr="00211BF9" w:rsidRDefault="00F94BB1">
            <w:pPr>
              <w:spacing w:after="100" w:line="276" w:lineRule="auto"/>
              <w:ind w:left="57" w:right="57"/>
              <w:rPr>
                <w:rFonts w:eastAsia="Aptos" w:cs="Arial"/>
                <w:color w:val="000000"/>
                <w:lang w:eastAsia="en-US"/>
              </w:rPr>
            </w:pPr>
            <w:r w:rsidRPr="00211BF9">
              <w:rPr>
                <w:rFonts w:eastAsia="Aptos" w:cs="Arial"/>
                <w:color w:val="000000"/>
                <w:lang w:eastAsia="en-US"/>
              </w:rPr>
              <w:t>10 studies were identified that report on the psychometric properties of the DECA or use the tool an outcome measure in the ECI setting (2004-2024)</w:t>
            </w:r>
            <w:r w:rsidR="000D4B7A">
              <w:rPr>
                <w:rFonts w:eastAsia="Aptos" w:cs="Arial"/>
                <w:color w:val="000000"/>
                <w:lang w:eastAsia="en-US"/>
              </w:rPr>
              <w:t>.</w:t>
            </w:r>
          </w:p>
        </w:tc>
      </w:tr>
      <w:tr w:rsidR="00F94BB1" w:rsidRPr="00211BF9" w14:paraId="63D9EA0C"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tcPr>
          <w:p w14:paraId="538EA0BE" w14:textId="77777777" w:rsidR="00F94BB1" w:rsidRPr="00211BF9" w:rsidRDefault="00F94BB1">
            <w:pPr>
              <w:spacing w:after="100" w:line="276" w:lineRule="auto"/>
              <w:ind w:left="57" w:right="57"/>
              <w:rPr>
                <w:rFonts w:eastAsia="Aptos" w:cs="Arial"/>
                <w:b/>
                <w:bCs/>
                <w:lang w:eastAsia="en-US"/>
              </w:rPr>
            </w:pPr>
            <w:r w:rsidRPr="00211BF9">
              <w:rPr>
                <w:rFonts w:eastAsia="Aptos" w:cs="Arial"/>
                <w:b/>
                <w:bCs/>
                <w:lang w:eastAsia="en-US"/>
              </w:rPr>
              <w:t>Review papers</w:t>
            </w:r>
          </w:p>
        </w:tc>
        <w:tc>
          <w:tcPr>
            <w:tcW w:w="7075" w:type="dxa"/>
            <w:tcBorders>
              <w:top w:val="single" w:sz="6" w:space="0" w:color="auto"/>
              <w:left w:val="single" w:sz="6" w:space="0" w:color="auto"/>
              <w:bottom w:val="single" w:sz="6" w:space="0" w:color="auto"/>
              <w:right w:val="single" w:sz="6" w:space="0" w:color="auto"/>
            </w:tcBorders>
          </w:tcPr>
          <w:p w14:paraId="21B97C15" w14:textId="77777777" w:rsidR="00F94BB1" w:rsidRPr="00211BF9" w:rsidRDefault="00F94BB1">
            <w:pPr>
              <w:spacing w:after="100" w:line="276" w:lineRule="auto"/>
              <w:ind w:left="57" w:right="57"/>
              <w:rPr>
                <w:rFonts w:eastAsia="Aptos" w:cs="Arial"/>
                <w:i/>
                <w:iCs/>
                <w:color w:val="000000"/>
                <w:lang w:eastAsia="en-US"/>
              </w:rPr>
            </w:pPr>
            <w:r w:rsidRPr="00211BF9">
              <w:rPr>
                <w:rFonts w:eastAsia="Aptos" w:cs="Arial"/>
                <w:i/>
                <w:iCs/>
                <w:color w:val="000000"/>
                <w:lang w:eastAsia="en-US"/>
              </w:rPr>
              <w:t>No references identified</w:t>
            </w:r>
          </w:p>
        </w:tc>
      </w:tr>
      <w:tr w:rsidR="00F94BB1" w:rsidRPr="00211BF9" w14:paraId="77597A82"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tcPr>
          <w:p w14:paraId="39F4C5F2" w14:textId="77777777" w:rsidR="00F94BB1" w:rsidRPr="00211BF9" w:rsidRDefault="00F94BB1">
            <w:pPr>
              <w:spacing w:after="100" w:line="276" w:lineRule="auto"/>
              <w:ind w:left="57" w:right="57"/>
              <w:rPr>
                <w:rFonts w:eastAsia="Aptos" w:cs="Arial"/>
                <w:b/>
                <w:bCs/>
                <w:lang w:eastAsia="en-US"/>
              </w:rPr>
            </w:pPr>
            <w:r w:rsidRPr="00211BF9">
              <w:rPr>
                <w:rFonts w:eastAsia="Aptos" w:cs="Arial"/>
                <w:b/>
                <w:bCs/>
                <w:lang w:eastAsia="en-U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7E5AAADA" w14:textId="77777777" w:rsidR="00F94BB1" w:rsidRPr="00211BF9" w:rsidRDefault="00F94BB1">
            <w:pPr>
              <w:spacing w:after="100" w:line="276" w:lineRule="auto"/>
              <w:ind w:left="57" w:right="57"/>
              <w:rPr>
                <w:rFonts w:eastAsia="Aptos" w:cs="Arial"/>
                <w:color w:val="000000"/>
                <w:lang w:eastAsia="en-US"/>
              </w:rPr>
            </w:pPr>
            <w:r w:rsidRPr="00211BF9">
              <w:rPr>
                <w:rFonts w:eastAsia="Aptos" w:cs="Arial"/>
                <w:color w:val="000000"/>
                <w:lang w:eastAsia="en-US"/>
              </w:rPr>
              <w:t xml:space="preserve">The psychometric properties of the DECA have been examined in culturally and linguistically diverse Head Start children (USA, 2009, 2013, 2018), preschoolers with and without emotional and behaviour problems (USA, 2014), and kindergarten children (USA, 2012). Studies have assessed internal consistency, test-retest reliability, construct validity, and discriminant validity. The psychometric properties of different versions of the DECA require further investigation in ECI practice settings. </w:t>
            </w:r>
          </w:p>
        </w:tc>
      </w:tr>
      <w:tr w:rsidR="00F94BB1" w:rsidRPr="00211BF9" w14:paraId="193095BB"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tcPr>
          <w:p w14:paraId="3EBDBD3F" w14:textId="77777777" w:rsidR="00F94BB1" w:rsidRPr="00211BF9" w:rsidRDefault="00F94BB1">
            <w:pPr>
              <w:spacing w:after="100" w:line="276" w:lineRule="auto"/>
              <w:ind w:left="57" w:right="57"/>
              <w:rPr>
                <w:rFonts w:eastAsia="Aptos" w:cs="Arial"/>
                <w:b/>
                <w:bCs/>
                <w:lang w:eastAsia="en-US"/>
              </w:rPr>
            </w:pPr>
            <w:r w:rsidRPr="00211BF9">
              <w:rPr>
                <w:rFonts w:eastAsia="Aptos" w:cs="Arial"/>
                <w:b/>
                <w:bCs/>
                <w:lang w:eastAsia="en-US"/>
              </w:rPr>
              <w:t>Cultural adaptation papers</w:t>
            </w:r>
          </w:p>
        </w:tc>
        <w:tc>
          <w:tcPr>
            <w:tcW w:w="7075" w:type="dxa"/>
            <w:tcBorders>
              <w:top w:val="single" w:sz="6" w:space="0" w:color="auto"/>
              <w:left w:val="single" w:sz="6" w:space="0" w:color="auto"/>
              <w:bottom w:val="single" w:sz="6" w:space="0" w:color="auto"/>
              <w:right w:val="single" w:sz="6" w:space="0" w:color="auto"/>
            </w:tcBorders>
          </w:tcPr>
          <w:p w14:paraId="1011E2A5" w14:textId="77777777" w:rsidR="00F94BB1" w:rsidRPr="00211BF9" w:rsidRDefault="00F94BB1">
            <w:pPr>
              <w:spacing w:after="100" w:line="276" w:lineRule="auto"/>
              <w:ind w:left="57" w:right="57"/>
              <w:rPr>
                <w:rFonts w:eastAsia="Aptos" w:cs="Arial"/>
                <w:color w:val="000000"/>
                <w:lang w:eastAsia="en-US"/>
              </w:rPr>
            </w:pPr>
            <w:r w:rsidRPr="00211BF9">
              <w:rPr>
                <w:rFonts w:eastAsia="Aptos" w:cs="Arial"/>
                <w:color w:val="000000"/>
                <w:lang w:eastAsia="en-US"/>
              </w:rPr>
              <w:t>The measurement properties of the DECA have been examined in Chinese preschool children (teacher-reported DECA-P2), Taiwanese toddlers (Chinese-DECA-T), and Spanish-speaking ethnically diverse preschoolers in the US (DECA English and Spanish forms). These studies demonstrate acceptable to good reliability and validity across different cultural contexts, though parent-teacher agreement was only moderate when assessed. The psychometric properties of the DECA should be investigated further in ECI practice settings.</w:t>
            </w:r>
          </w:p>
        </w:tc>
      </w:tr>
      <w:tr w:rsidR="00F94BB1" w:rsidRPr="00211BF9" w14:paraId="550C4F6B"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tcPr>
          <w:p w14:paraId="77ECECD7" w14:textId="77777777" w:rsidR="00F94BB1" w:rsidRPr="00211BF9" w:rsidRDefault="00F94BB1">
            <w:pPr>
              <w:spacing w:after="100" w:line="276" w:lineRule="auto"/>
              <w:ind w:left="57" w:right="57"/>
              <w:rPr>
                <w:rFonts w:eastAsia="Aptos" w:cs="Arial"/>
                <w:b/>
                <w:bCs/>
                <w:lang w:eastAsia="en-US"/>
              </w:rPr>
            </w:pPr>
            <w:r w:rsidRPr="00211BF9">
              <w:rPr>
                <w:rFonts w:eastAsia="Aptos" w:cs="Arial"/>
                <w:b/>
                <w:bCs/>
                <w:lang w:eastAsia="en-US"/>
              </w:rPr>
              <w:t>Outcome studies in the ECI practice setting</w:t>
            </w:r>
          </w:p>
        </w:tc>
        <w:tc>
          <w:tcPr>
            <w:tcW w:w="7075" w:type="dxa"/>
            <w:tcBorders>
              <w:top w:val="single" w:sz="6" w:space="0" w:color="auto"/>
              <w:left w:val="single" w:sz="6" w:space="0" w:color="auto"/>
              <w:bottom w:val="single" w:sz="6" w:space="0" w:color="auto"/>
              <w:right w:val="single" w:sz="6" w:space="0" w:color="auto"/>
            </w:tcBorders>
          </w:tcPr>
          <w:p w14:paraId="5746E000" w14:textId="77777777" w:rsidR="00F94BB1" w:rsidRPr="00211BF9" w:rsidRDefault="00F94BB1">
            <w:pPr>
              <w:spacing w:after="100" w:line="276" w:lineRule="auto"/>
              <w:ind w:left="57" w:right="57"/>
              <w:rPr>
                <w:rFonts w:eastAsia="Aptos" w:cs="Arial"/>
                <w:color w:val="000000"/>
                <w:lang w:eastAsia="en-US"/>
              </w:rPr>
            </w:pPr>
            <w:r w:rsidRPr="00211BF9">
              <w:rPr>
                <w:rFonts w:eastAsia="Aptos" w:cs="Arial"/>
                <w:color w:val="000000"/>
                <w:lang w:eastAsia="en-US"/>
              </w:rPr>
              <w:t>The DECA was used as an outcome measure in a cluster randomised control trial of Teacher-Child Interaction Training-Universal (TCIT-U) for racially and ethnically diverse children with disabilities (USA, 2024).</w:t>
            </w:r>
          </w:p>
        </w:tc>
      </w:tr>
    </w:tbl>
    <w:p w14:paraId="182BE431" w14:textId="77777777" w:rsidR="00994072" w:rsidRPr="0083134E" w:rsidRDefault="00F94BB1" w:rsidP="0069467F">
      <w:r w:rsidRPr="0083134E">
        <w:t xml:space="preserve">This Evidence Summary was developed with rapid synthesis methods, combining a comprehensive PubMed search, augmented literature identification, and dual reviewer screening. It represents a living resource that maps key evidence on </w:t>
      </w:r>
      <w:r w:rsidR="00994072" w:rsidRPr="0083134E">
        <w:t>measurement</w:t>
      </w:r>
      <w:r w:rsidRPr="0083134E">
        <w:t xml:space="preserve"> properties, cultural adaptations, and relevant applications in the ECI practice setting</w:t>
      </w:r>
      <w:r w:rsidR="00994072" w:rsidRPr="0083134E">
        <w:t xml:space="preserve"> for each outcome measure.</w:t>
      </w:r>
      <w:r w:rsidRPr="0083134E">
        <w:t xml:space="preserve"> For complete methodology, see our </w:t>
      </w:r>
      <w:hyperlink w:history="1">
        <w:r w:rsidR="00994072" w:rsidRPr="003647C4">
          <w:t>Methods Explainer</w:t>
        </w:r>
      </w:hyperlink>
      <w:r w:rsidR="00994072" w:rsidRPr="0083134E">
        <w:t>.</w:t>
      </w:r>
      <w:bookmarkStart w:id="25" w:name="_Family_Empowerment_Scale"/>
      <w:bookmarkStart w:id="26" w:name="_DECA_Reference_List"/>
      <w:bookmarkEnd w:id="25"/>
      <w:bookmarkEnd w:id="26"/>
    </w:p>
    <w:p w14:paraId="0CC1D232" w14:textId="16CED772" w:rsidR="00F94BB1" w:rsidRPr="00A65E18" w:rsidRDefault="00F94BB1">
      <w:pPr>
        <w:rPr>
          <w:rFonts w:eastAsia="Yu Gothic Light" w:cs="Arial"/>
          <w:b/>
          <w:bCs/>
          <w:color w:val="3F779D"/>
          <w:sz w:val="22"/>
          <w:szCs w:val="22"/>
          <w:lang w:eastAsia="en-US"/>
        </w:rPr>
      </w:pPr>
      <w:r w:rsidRPr="00A65E18">
        <w:rPr>
          <w:rFonts w:eastAsia="Aptos" w:cs="Arial"/>
          <w:sz w:val="22"/>
          <w:szCs w:val="22"/>
          <w:lang w:eastAsia="en-US"/>
        </w:rPr>
        <w:br w:type="page"/>
      </w:r>
    </w:p>
    <w:p w14:paraId="02A98F33" w14:textId="77777777" w:rsidR="00F94BB1" w:rsidRPr="00211BF9" w:rsidRDefault="00F94BB1" w:rsidP="003E6A06">
      <w:pPr>
        <w:pStyle w:val="Heading1"/>
        <w:rPr>
          <w:lang w:eastAsia="en-US"/>
        </w:rPr>
      </w:pPr>
      <w:bookmarkStart w:id="27" w:name="_DECA_Reference_List_1"/>
      <w:bookmarkEnd w:id="27"/>
      <w:r w:rsidRPr="00211BF9">
        <w:rPr>
          <w:lang w:eastAsia="en-US"/>
        </w:rPr>
        <w:lastRenderedPageBreak/>
        <w:t>DECA Reference List</w:t>
      </w:r>
    </w:p>
    <w:p w14:paraId="3DE7527F" w14:textId="3B66943C" w:rsidR="00F94BB1" w:rsidRPr="00870EEC" w:rsidRDefault="00870EEC">
      <w:pPr>
        <w:rPr>
          <w:rStyle w:val="Hyperlink"/>
          <w:rFonts w:eastAsia="Aptos" w:cs="Arial"/>
          <w:i/>
          <w:iCs/>
          <w:lang w:eastAsia="en-US"/>
        </w:rPr>
      </w:pPr>
      <w:r>
        <w:rPr>
          <w:rFonts w:eastAsia="Aptos" w:cs="Arial"/>
          <w:i/>
          <w:iCs/>
          <w:color w:val="467886"/>
          <w:u w:val="single"/>
          <w:lang w:eastAsia="en-US"/>
        </w:rPr>
        <w:fldChar w:fldCharType="begin"/>
      </w:r>
      <w:r>
        <w:rPr>
          <w:rFonts w:eastAsia="Aptos" w:cs="Arial"/>
          <w:i/>
          <w:iCs/>
          <w:color w:val="467886"/>
          <w:u w:val="single"/>
          <w:lang w:eastAsia="en-US"/>
        </w:rPr>
        <w:instrText>HYPERLINK  \l "_DECA_Evidence_Summary_1"</w:instrText>
      </w:r>
      <w:r>
        <w:rPr>
          <w:rFonts w:eastAsia="Aptos" w:cs="Arial"/>
          <w:i/>
          <w:iCs/>
          <w:color w:val="467886"/>
          <w:u w:val="single"/>
          <w:lang w:eastAsia="en-US"/>
        </w:rPr>
      </w:r>
      <w:r>
        <w:rPr>
          <w:rFonts w:eastAsia="Aptos" w:cs="Arial"/>
          <w:i/>
          <w:iCs/>
          <w:color w:val="467886"/>
          <w:u w:val="single"/>
          <w:lang w:eastAsia="en-US"/>
        </w:rPr>
        <w:fldChar w:fldCharType="separate"/>
      </w:r>
      <w:r w:rsidR="00F94BB1" w:rsidRPr="00870EEC">
        <w:rPr>
          <w:rStyle w:val="Hyperlink"/>
          <w:rFonts w:eastAsia="Aptos" w:cs="Arial"/>
          <w:i/>
          <w:iCs/>
          <w:lang w:eastAsia="en-US"/>
        </w:rPr>
        <w:t>Link to DECA Evidence Summary</w:t>
      </w:r>
    </w:p>
    <w:p w14:paraId="6E54AA1A" w14:textId="1BF90503" w:rsidR="00F94BB1" w:rsidRPr="00211BF9" w:rsidRDefault="00870EEC" w:rsidP="003E6A06">
      <w:pPr>
        <w:pStyle w:val="Heading2"/>
        <w:rPr>
          <w:lang w:eastAsia="en-US"/>
        </w:rPr>
      </w:pPr>
      <w:r>
        <w:rPr>
          <w:rFonts w:eastAsia="Aptos"/>
          <w:b/>
          <w:i/>
          <w:iCs/>
          <w:color w:val="467886"/>
          <w:u w:val="single"/>
          <w:lang w:eastAsia="en-US"/>
        </w:rPr>
        <w:fldChar w:fldCharType="end"/>
      </w:r>
      <w:r w:rsidR="00F94BB1" w:rsidRPr="00211BF9">
        <w:rPr>
          <w:lang w:eastAsia="en-US"/>
        </w:rPr>
        <w:t>Reviews</w:t>
      </w:r>
    </w:p>
    <w:p w14:paraId="410EA1BB" w14:textId="77777777" w:rsidR="00F94BB1" w:rsidRPr="00211BF9" w:rsidRDefault="00F94BB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211BF9">
        <w:rPr>
          <w:rFonts w:eastAsia="Arial" w:cs="Arial"/>
          <w:i/>
          <w:color w:val="000000"/>
          <w:lang w:eastAsia="en-US"/>
        </w:rPr>
        <w:t>No references identified</w:t>
      </w:r>
    </w:p>
    <w:p w14:paraId="695F4731" w14:textId="77777777" w:rsidR="00F94BB1" w:rsidRPr="00211BF9" w:rsidRDefault="00F94BB1" w:rsidP="003E6A06">
      <w:pPr>
        <w:pStyle w:val="Heading2"/>
        <w:rPr>
          <w:lang w:eastAsia="en-US"/>
        </w:rPr>
      </w:pPr>
      <w:r w:rsidRPr="00211BF9">
        <w:rPr>
          <w:lang w:eastAsia="en-US"/>
        </w:rPr>
        <w:t>Measurement Properties</w:t>
      </w:r>
    </w:p>
    <w:p w14:paraId="073B0EDA" w14:textId="74FD3A14" w:rsidR="00F94BB1" w:rsidRPr="00211BF9" w:rsidRDefault="00F94BB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211BF9">
        <w:rPr>
          <w:rFonts w:eastAsia="Arial" w:cs="Arial"/>
          <w:color w:val="000000"/>
          <w:lang w:eastAsia="en-US"/>
        </w:rPr>
        <w:t>Carlson, J., &amp; Voris, D. (2018). One-</w:t>
      </w:r>
      <w:r w:rsidR="009B271D">
        <w:rPr>
          <w:rFonts w:eastAsia="Arial" w:cs="Arial"/>
          <w:color w:val="000000"/>
          <w:lang w:eastAsia="en-US"/>
        </w:rPr>
        <w:t>y</w:t>
      </w:r>
      <w:r w:rsidRPr="00211BF9">
        <w:rPr>
          <w:rFonts w:eastAsia="Arial" w:cs="Arial"/>
          <w:color w:val="000000"/>
          <w:lang w:eastAsia="en-US"/>
        </w:rPr>
        <w:t xml:space="preserve">ear </w:t>
      </w:r>
      <w:r w:rsidR="009B271D">
        <w:rPr>
          <w:rFonts w:eastAsia="Arial" w:cs="Arial"/>
          <w:color w:val="000000"/>
          <w:lang w:eastAsia="en-US"/>
        </w:rPr>
        <w:t>s</w:t>
      </w:r>
      <w:r w:rsidRPr="00211BF9">
        <w:rPr>
          <w:rFonts w:eastAsia="Arial" w:cs="Arial"/>
          <w:color w:val="000000"/>
          <w:lang w:eastAsia="en-US"/>
        </w:rPr>
        <w:t xml:space="preserve">tability of the Devereux Early Childhood Assessment for Preschoolers, Second Edition. </w:t>
      </w:r>
      <w:r w:rsidRPr="00211BF9">
        <w:rPr>
          <w:rFonts w:eastAsia="Arial" w:cs="Arial"/>
          <w:i/>
          <w:color w:val="000000"/>
          <w:lang w:eastAsia="en-US"/>
        </w:rPr>
        <w:t>Journal of Psychoeducational Assessment</w:t>
      </w:r>
      <w:r w:rsidRPr="00211BF9">
        <w:rPr>
          <w:rFonts w:eastAsia="Arial" w:cs="Arial"/>
          <w:color w:val="000000"/>
          <w:lang w:eastAsia="en-US"/>
        </w:rPr>
        <w:t xml:space="preserve">, </w:t>
      </w:r>
      <w:r w:rsidR="000D29D9">
        <w:rPr>
          <w:rFonts w:eastAsia="Arial" w:cs="Arial"/>
          <w:color w:val="000000"/>
          <w:lang w:eastAsia="en-US"/>
        </w:rPr>
        <w:t>36(8):829-834</w:t>
      </w:r>
      <w:r w:rsidRPr="00211BF9">
        <w:rPr>
          <w:rFonts w:eastAsia="Arial" w:cs="Arial"/>
          <w:color w:val="000000"/>
          <w:lang w:eastAsia="en-US"/>
        </w:rPr>
        <w:t>.</w:t>
      </w:r>
      <w:r w:rsidRPr="00211BF9">
        <w:rPr>
          <w:rFonts w:eastAsia="Arial" w:cs="Arial"/>
          <w:color w:val="0000FF"/>
          <w:u w:val="single"/>
          <w:lang w:eastAsia="en-US"/>
        </w:rPr>
        <w:t xml:space="preserve"> https://doi.org/10.1177/0734282917710890</w:t>
      </w:r>
    </w:p>
    <w:p w14:paraId="7FB571D2" w14:textId="06ACA360" w:rsidR="00F94BB1" w:rsidRPr="00211BF9" w:rsidRDefault="00F94BB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211BF9">
        <w:rPr>
          <w:rFonts w:eastAsia="Arial" w:cs="Arial"/>
          <w:color w:val="000000"/>
          <w:lang w:eastAsia="en-US"/>
        </w:rPr>
        <w:t>Barbu, O., Levine-</w:t>
      </w:r>
      <w:proofErr w:type="spellStart"/>
      <w:r w:rsidRPr="00211BF9">
        <w:rPr>
          <w:rFonts w:eastAsia="Arial" w:cs="Arial"/>
          <w:color w:val="000000"/>
          <w:lang w:eastAsia="en-US"/>
        </w:rPr>
        <w:t>Donnerstein</w:t>
      </w:r>
      <w:proofErr w:type="spellEnd"/>
      <w:r w:rsidRPr="00211BF9">
        <w:rPr>
          <w:rFonts w:eastAsia="Arial" w:cs="Arial"/>
          <w:color w:val="000000"/>
          <w:lang w:eastAsia="en-US"/>
        </w:rPr>
        <w:t xml:space="preserve">, D., Marx, R., &amp; Yaden, D. (2013). Reliability and </w:t>
      </w:r>
      <w:r w:rsidR="009B271D">
        <w:rPr>
          <w:rFonts w:eastAsia="Arial" w:cs="Arial"/>
          <w:color w:val="000000"/>
          <w:lang w:eastAsia="en-US"/>
        </w:rPr>
        <w:t>v</w:t>
      </w:r>
      <w:r w:rsidRPr="00211BF9">
        <w:rPr>
          <w:rFonts w:eastAsia="Arial" w:cs="Arial"/>
          <w:color w:val="000000"/>
          <w:lang w:eastAsia="en-US"/>
        </w:rPr>
        <w:t xml:space="preserve">alidity of the Devereux Early Childhood Assessment (DECA) as a </w:t>
      </w:r>
      <w:r w:rsidR="009B271D">
        <w:rPr>
          <w:rFonts w:eastAsia="Arial" w:cs="Arial"/>
          <w:color w:val="000000"/>
          <w:lang w:eastAsia="en-US"/>
        </w:rPr>
        <w:t>f</w:t>
      </w:r>
      <w:r w:rsidRPr="00211BF9">
        <w:rPr>
          <w:rFonts w:eastAsia="Arial" w:cs="Arial"/>
          <w:color w:val="000000"/>
          <w:lang w:eastAsia="en-US"/>
        </w:rPr>
        <w:t xml:space="preserve">unction of </w:t>
      </w:r>
      <w:r w:rsidR="009B271D">
        <w:rPr>
          <w:rFonts w:eastAsia="Arial" w:cs="Arial"/>
          <w:color w:val="000000"/>
          <w:lang w:eastAsia="en-US"/>
        </w:rPr>
        <w:t>p</w:t>
      </w:r>
      <w:r w:rsidRPr="00211BF9">
        <w:rPr>
          <w:rFonts w:eastAsia="Arial" w:cs="Arial"/>
          <w:color w:val="000000"/>
          <w:lang w:eastAsia="en-US"/>
        </w:rPr>
        <w:t xml:space="preserve">arent and </w:t>
      </w:r>
      <w:r w:rsidR="009B271D">
        <w:rPr>
          <w:rFonts w:eastAsia="Arial" w:cs="Arial"/>
          <w:color w:val="000000"/>
          <w:lang w:eastAsia="en-US"/>
        </w:rPr>
        <w:t>t</w:t>
      </w:r>
      <w:r w:rsidRPr="00211BF9">
        <w:rPr>
          <w:rFonts w:eastAsia="Arial" w:cs="Arial"/>
          <w:color w:val="000000"/>
          <w:lang w:eastAsia="en-US"/>
        </w:rPr>
        <w:t xml:space="preserve">eacher </w:t>
      </w:r>
      <w:r w:rsidR="009B271D">
        <w:rPr>
          <w:rFonts w:eastAsia="Arial" w:cs="Arial"/>
          <w:color w:val="000000"/>
          <w:lang w:eastAsia="en-US"/>
        </w:rPr>
        <w:t>r</w:t>
      </w:r>
      <w:r w:rsidRPr="00211BF9">
        <w:rPr>
          <w:rFonts w:eastAsia="Arial" w:cs="Arial"/>
          <w:color w:val="000000"/>
          <w:lang w:eastAsia="en-US"/>
        </w:rPr>
        <w:t xml:space="preserve">atings. </w:t>
      </w:r>
      <w:r w:rsidRPr="00211BF9">
        <w:rPr>
          <w:rFonts w:eastAsia="Arial" w:cs="Arial"/>
          <w:i/>
          <w:color w:val="000000"/>
          <w:lang w:eastAsia="en-US"/>
        </w:rPr>
        <w:t>Journal of Psychoeducational Assessment</w:t>
      </w:r>
      <w:r w:rsidRPr="00211BF9">
        <w:rPr>
          <w:rFonts w:eastAsia="Arial" w:cs="Arial"/>
          <w:color w:val="000000"/>
          <w:lang w:eastAsia="en-US"/>
        </w:rPr>
        <w:t xml:space="preserve">, </w:t>
      </w:r>
      <w:r w:rsidR="00916614">
        <w:rPr>
          <w:rFonts w:eastAsia="Arial" w:cs="Arial"/>
          <w:color w:val="000000"/>
          <w:lang w:eastAsia="en-US"/>
        </w:rPr>
        <w:t>31(5):469-481</w:t>
      </w:r>
      <w:r w:rsidRPr="00211BF9">
        <w:rPr>
          <w:rFonts w:eastAsia="Arial" w:cs="Arial"/>
          <w:color w:val="000000"/>
          <w:lang w:eastAsia="en-US"/>
        </w:rPr>
        <w:t>.</w:t>
      </w:r>
      <w:r w:rsidRPr="00211BF9">
        <w:rPr>
          <w:rFonts w:eastAsia="Arial" w:cs="Arial"/>
          <w:color w:val="0000FF"/>
          <w:u w:val="single"/>
          <w:lang w:eastAsia="en-US"/>
        </w:rPr>
        <w:t xml:space="preserve"> https://doi.org/10.1177/0734282912467758</w:t>
      </w:r>
    </w:p>
    <w:p w14:paraId="6EDC8111" w14:textId="17189C79" w:rsidR="00F94BB1" w:rsidRPr="00211BF9" w:rsidRDefault="00F94BB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211BF9">
        <w:rPr>
          <w:rFonts w:eastAsia="Arial" w:cs="Arial"/>
          <w:color w:val="000000"/>
          <w:lang w:eastAsia="en-US"/>
        </w:rPr>
        <w:t xml:space="preserve">Bulotsky-Shearer, R., Fernandez, V., &amp; </w:t>
      </w:r>
      <w:proofErr w:type="spellStart"/>
      <w:r w:rsidRPr="00211BF9">
        <w:rPr>
          <w:rFonts w:eastAsia="Arial" w:cs="Arial"/>
          <w:color w:val="000000"/>
          <w:lang w:eastAsia="en-US"/>
        </w:rPr>
        <w:t>Rainelli</w:t>
      </w:r>
      <w:proofErr w:type="spellEnd"/>
      <w:r w:rsidRPr="00211BF9">
        <w:rPr>
          <w:rFonts w:eastAsia="Arial" w:cs="Arial"/>
          <w:color w:val="000000"/>
          <w:lang w:eastAsia="en-US"/>
        </w:rPr>
        <w:t xml:space="preserve">, S. (2013). The validity of the Devereux Early Childhood Assessment for culturally and linguistically diverse Head Start children. </w:t>
      </w:r>
      <w:r w:rsidRPr="00211BF9">
        <w:rPr>
          <w:rFonts w:eastAsia="Arial" w:cs="Arial"/>
          <w:i/>
          <w:color w:val="000000"/>
          <w:lang w:eastAsia="en-US"/>
        </w:rPr>
        <w:t>Early Childhood Research Quarterly</w:t>
      </w:r>
      <w:r w:rsidRPr="00211BF9">
        <w:rPr>
          <w:rFonts w:eastAsia="Arial" w:cs="Arial"/>
          <w:color w:val="000000"/>
          <w:lang w:eastAsia="en-US"/>
        </w:rPr>
        <w:t xml:space="preserve">, </w:t>
      </w:r>
      <w:r w:rsidR="008D3BB0">
        <w:rPr>
          <w:rFonts w:eastAsia="Arial" w:cs="Arial"/>
          <w:color w:val="000000"/>
          <w:lang w:eastAsia="en-US"/>
        </w:rPr>
        <w:t>28(4):</w:t>
      </w:r>
      <w:r w:rsidR="00D34110">
        <w:rPr>
          <w:rFonts w:eastAsia="Arial" w:cs="Arial"/>
          <w:color w:val="000000"/>
          <w:lang w:eastAsia="en-US"/>
        </w:rPr>
        <w:t>794-807</w:t>
      </w:r>
      <w:r w:rsidRPr="00211BF9">
        <w:rPr>
          <w:rFonts w:eastAsia="Arial" w:cs="Arial"/>
          <w:color w:val="000000"/>
          <w:lang w:eastAsia="en-US"/>
        </w:rPr>
        <w:t>.</w:t>
      </w:r>
      <w:r w:rsidRPr="00211BF9">
        <w:rPr>
          <w:rFonts w:eastAsia="Arial" w:cs="Arial"/>
          <w:color w:val="0000FF"/>
          <w:u w:val="single"/>
          <w:lang w:eastAsia="en-US"/>
        </w:rPr>
        <w:t xml:space="preserve"> https://doi.org/10.1016/J.ECRESQ.2013.07.009</w:t>
      </w:r>
    </w:p>
    <w:p w14:paraId="1C506C14" w14:textId="4EB5E22E" w:rsidR="00F94BB1" w:rsidRPr="00211BF9" w:rsidRDefault="00F94BB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211BF9">
        <w:rPr>
          <w:rFonts w:eastAsia="Arial" w:cs="Arial"/>
          <w:color w:val="000000"/>
          <w:lang w:eastAsia="en-US"/>
        </w:rPr>
        <w:t xml:space="preserve">Lien, M., &amp; Carlson, J. (2009). Psychometric </w:t>
      </w:r>
      <w:r w:rsidR="009B271D">
        <w:rPr>
          <w:rFonts w:eastAsia="Arial" w:cs="Arial"/>
          <w:color w:val="000000"/>
          <w:lang w:eastAsia="en-US"/>
        </w:rPr>
        <w:t>p</w:t>
      </w:r>
      <w:r w:rsidRPr="00211BF9">
        <w:rPr>
          <w:rFonts w:eastAsia="Arial" w:cs="Arial"/>
          <w:color w:val="000000"/>
          <w:lang w:eastAsia="en-US"/>
        </w:rPr>
        <w:t xml:space="preserve">roperties of the Devereux Early Childhood Assessment in a Head Start </w:t>
      </w:r>
      <w:r w:rsidR="009B271D">
        <w:rPr>
          <w:rFonts w:eastAsia="Arial" w:cs="Arial"/>
          <w:color w:val="000000"/>
          <w:lang w:eastAsia="en-US"/>
        </w:rPr>
        <w:t>s</w:t>
      </w:r>
      <w:r w:rsidRPr="00211BF9">
        <w:rPr>
          <w:rFonts w:eastAsia="Arial" w:cs="Arial"/>
          <w:color w:val="000000"/>
          <w:lang w:eastAsia="en-US"/>
        </w:rPr>
        <w:t xml:space="preserve">ample. </w:t>
      </w:r>
      <w:r w:rsidRPr="00211BF9">
        <w:rPr>
          <w:rFonts w:eastAsia="Arial" w:cs="Arial"/>
          <w:i/>
          <w:color w:val="000000"/>
          <w:lang w:eastAsia="en-US"/>
        </w:rPr>
        <w:t>Journal of Psychoeducational Assessment</w:t>
      </w:r>
      <w:r w:rsidRPr="00211BF9">
        <w:rPr>
          <w:rFonts w:eastAsia="Arial" w:cs="Arial"/>
          <w:color w:val="000000"/>
          <w:lang w:eastAsia="en-US"/>
        </w:rPr>
        <w:t xml:space="preserve">, </w:t>
      </w:r>
      <w:r w:rsidR="00C8489F">
        <w:rPr>
          <w:rFonts w:eastAsia="Arial" w:cs="Arial"/>
          <w:color w:val="000000"/>
          <w:lang w:eastAsia="en-US"/>
        </w:rPr>
        <w:t>27(</w:t>
      </w:r>
      <w:r w:rsidR="004B591A">
        <w:rPr>
          <w:rFonts w:eastAsia="Arial" w:cs="Arial"/>
          <w:color w:val="000000"/>
          <w:lang w:eastAsia="en-US"/>
        </w:rPr>
        <w:t>5):386-396</w:t>
      </w:r>
      <w:r w:rsidRPr="00211BF9">
        <w:rPr>
          <w:rFonts w:eastAsia="Arial" w:cs="Arial"/>
          <w:color w:val="000000"/>
          <w:lang w:eastAsia="en-US"/>
        </w:rPr>
        <w:t>.</w:t>
      </w:r>
      <w:r w:rsidRPr="00211BF9">
        <w:rPr>
          <w:rFonts w:eastAsia="Arial" w:cs="Arial"/>
          <w:color w:val="0000FF"/>
          <w:u w:val="single"/>
          <w:lang w:eastAsia="en-US"/>
        </w:rPr>
        <w:t xml:space="preserve"> https://doi.org/10.1177/0734282909331754</w:t>
      </w:r>
    </w:p>
    <w:p w14:paraId="544EFB54" w14:textId="5E4051EF" w:rsidR="00F94BB1" w:rsidRPr="00211BF9" w:rsidRDefault="00F94BB1">
      <w:pPr>
        <w:pBdr>
          <w:top w:val="none" w:sz="0" w:space="0" w:color="000000"/>
          <w:left w:val="none" w:sz="0" w:space="0" w:color="000000"/>
          <w:bottom w:val="none" w:sz="0" w:space="0" w:color="000000"/>
          <w:right w:val="none" w:sz="0" w:space="0" w:color="000000"/>
        </w:pBdr>
        <w:rPr>
          <w:rFonts w:ascii="Aptos" w:eastAsia="Aptos" w:hAnsi="Aptos" w:cs="Arial"/>
          <w:lang w:eastAsia="en-US"/>
        </w:rPr>
      </w:pPr>
      <w:proofErr w:type="spellStart"/>
      <w:r w:rsidRPr="00211BF9">
        <w:rPr>
          <w:rFonts w:eastAsia="Arial" w:cs="Arial"/>
          <w:color w:val="000000"/>
          <w:lang w:eastAsia="en-US"/>
        </w:rPr>
        <w:t>LeBuffe</w:t>
      </w:r>
      <w:proofErr w:type="spellEnd"/>
      <w:r w:rsidRPr="00211BF9">
        <w:rPr>
          <w:rFonts w:eastAsia="Arial" w:cs="Arial"/>
          <w:color w:val="000000"/>
          <w:lang w:eastAsia="en-US"/>
        </w:rPr>
        <w:t xml:space="preserve">, P., &amp; Shapiro, V. (2004). Lending “Strength” to the </w:t>
      </w:r>
      <w:r w:rsidR="00A72474">
        <w:rPr>
          <w:rFonts w:eastAsia="Arial" w:cs="Arial"/>
          <w:color w:val="000000"/>
          <w:lang w:eastAsia="en-US"/>
        </w:rPr>
        <w:t>a</w:t>
      </w:r>
      <w:r w:rsidRPr="00211BF9">
        <w:rPr>
          <w:rFonts w:eastAsia="Arial" w:cs="Arial"/>
          <w:color w:val="000000"/>
          <w:lang w:eastAsia="en-US"/>
        </w:rPr>
        <w:t xml:space="preserve">ssessment of </w:t>
      </w:r>
      <w:r w:rsidR="00A72474">
        <w:rPr>
          <w:rFonts w:eastAsia="Arial" w:cs="Arial"/>
          <w:color w:val="000000"/>
          <w:lang w:eastAsia="en-US"/>
        </w:rPr>
        <w:t>p</w:t>
      </w:r>
      <w:r w:rsidRPr="00211BF9">
        <w:rPr>
          <w:rFonts w:eastAsia="Arial" w:cs="Arial"/>
          <w:color w:val="000000"/>
          <w:lang w:eastAsia="en-US"/>
        </w:rPr>
        <w:t xml:space="preserve">reschool </w:t>
      </w:r>
      <w:r w:rsidR="00A72474">
        <w:rPr>
          <w:rFonts w:eastAsia="Arial" w:cs="Arial"/>
          <w:color w:val="000000"/>
          <w:lang w:eastAsia="en-US"/>
        </w:rPr>
        <w:t>s</w:t>
      </w:r>
      <w:r w:rsidRPr="00211BF9">
        <w:rPr>
          <w:rFonts w:eastAsia="Arial" w:cs="Arial"/>
          <w:color w:val="000000"/>
          <w:lang w:eastAsia="en-US"/>
        </w:rPr>
        <w:t>ocial-</w:t>
      </w:r>
      <w:r w:rsidR="00A72474">
        <w:rPr>
          <w:rFonts w:eastAsia="Arial" w:cs="Arial"/>
          <w:color w:val="000000"/>
          <w:lang w:eastAsia="en-US"/>
        </w:rPr>
        <w:t>e</w:t>
      </w:r>
      <w:r w:rsidRPr="00211BF9">
        <w:rPr>
          <w:rFonts w:eastAsia="Arial" w:cs="Arial"/>
          <w:color w:val="000000"/>
          <w:lang w:eastAsia="en-US"/>
        </w:rPr>
        <w:t xml:space="preserve">motional </w:t>
      </w:r>
      <w:r w:rsidR="00A72474">
        <w:rPr>
          <w:rFonts w:eastAsia="Arial" w:cs="Arial"/>
          <w:color w:val="000000"/>
          <w:lang w:eastAsia="en-US"/>
        </w:rPr>
        <w:t>h</w:t>
      </w:r>
      <w:r w:rsidRPr="00211BF9">
        <w:rPr>
          <w:rFonts w:eastAsia="Arial" w:cs="Arial"/>
          <w:color w:val="000000"/>
          <w:lang w:eastAsia="en-US"/>
        </w:rPr>
        <w:t xml:space="preserve">ealth. </w:t>
      </w:r>
      <w:r w:rsidRPr="00211BF9">
        <w:rPr>
          <w:rFonts w:eastAsia="Arial" w:cs="Arial"/>
          <w:i/>
          <w:color w:val="000000"/>
          <w:lang w:eastAsia="en-US"/>
        </w:rPr>
        <w:t>The California School Psychologist</w:t>
      </w:r>
      <w:r w:rsidRPr="00211BF9">
        <w:rPr>
          <w:rFonts w:eastAsia="Arial" w:cs="Arial"/>
          <w:color w:val="000000"/>
          <w:lang w:eastAsia="en-US"/>
        </w:rPr>
        <w:t xml:space="preserve">, </w:t>
      </w:r>
      <w:r w:rsidR="00536328">
        <w:rPr>
          <w:rFonts w:eastAsia="Arial" w:cs="Arial"/>
          <w:color w:val="000000"/>
          <w:lang w:eastAsia="en-US"/>
        </w:rPr>
        <w:t>9:51-61</w:t>
      </w:r>
      <w:r w:rsidRPr="00211BF9">
        <w:rPr>
          <w:rFonts w:eastAsia="Arial" w:cs="Arial"/>
          <w:color w:val="000000"/>
          <w:lang w:eastAsia="en-US"/>
        </w:rPr>
        <w:t>.</w:t>
      </w:r>
      <w:r w:rsidRPr="00211BF9">
        <w:rPr>
          <w:rFonts w:eastAsia="Arial" w:cs="Arial"/>
          <w:color w:val="0000FF"/>
          <w:u w:val="single"/>
          <w:lang w:eastAsia="en-US"/>
        </w:rPr>
        <w:t xml:space="preserve"> https://doi.org/10.1007/BF03340907</w:t>
      </w:r>
    </w:p>
    <w:p w14:paraId="750CAAF7" w14:textId="77777777" w:rsidR="00F94BB1" w:rsidRPr="00211BF9" w:rsidRDefault="00F94BB1" w:rsidP="00E35DD3">
      <w:pPr>
        <w:pStyle w:val="Heading2"/>
        <w:rPr>
          <w:lang w:eastAsia="en-US"/>
        </w:rPr>
      </w:pPr>
      <w:r w:rsidRPr="00211BF9">
        <w:rPr>
          <w:lang w:eastAsia="en-US"/>
        </w:rPr>
        <w:t>Cultural Adaptations</w:t>
      </w:r>
    </w:p>
    <w:p w14:paraId="0207C3B0" w14:textId="03AEC9BE" w:rsidR="00F94BB1" w:rsidRPr="00211BF9" w:rsidRDefault="00F94BB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211BF9">
        <w:rPr>
          <w:rFonts w:eastAsia="Arial" w:cs="Arial"/>
          <w:color w:val="000000"/>
          <w:lang w:eastAsia="en-US"/>
        </w:rPr>
        <w:t xml:space="preserve">Siu, A., Keung, C., &amp; To, A. (2023). Construction and </w:t>
      </w:r>
      <w:r w:rsidR="00A72474">
        <w:rPr>
          <w:rFonts w:eastAsia="Arial" w:cs="Arial"/>
          <w:color w:val="000000"/>
          <w:lang w:eastAsia="en-US"/>
        </w:rPr>
        <w:t>v</w:t>
      </w:r>
      <w:r w:rsidRPr="00211BF9">
        <w:rPr>
          <w:rFonts w:eastAsia="Arial" w:cs="Arial"/>
          <w:color w:val="000000"/>
          <w:lang w:eastAsia="en-US"/>
        </w:rPr>
        <w:t xml:space="preserve">alidation of a Chinese </w:t>
      </w:r>
      <w:r w:rsidR="00A72474">
        <w:rPr>
          <w:rFonts w:eastAsia="Arial" w:cs="Arial"/>
          <w:color w:val="000000"/>
          <w:lang w:eastAsia="en-US"/>
        </w:rPr>
        <w:t>t</w:t>
      </w:r>
      <w:r w:rsidRPr="00211BF9">
        <w:rPr>
          <w:rFonts w:eastAsia="Arial" w:cs="Arial"/>
          <w:color w:val="000000"/>
          <w:lang w:eastAsia="en-US"/>
        </w:rPr>
        <w:t xml:space="preserve">ranslation of the Devereux Early Childhood Assessment, Second Edition (DECA-P2). </w:t>
      </w:r>
      <w:r w:rsidRPr="00211BF9">
        <w:rPr>
          <w:rFonts w:eastAsia="Arial" w:cs="Arial"/>
          <w:i/>
          <w:color w:val="000000"/>
          <w:lang w:eastAsia="en-US"/>
        </w:rPr>
        <w:t>Journal of Psychoeducational Assessment</w:t>
      </w:r>
      <w:r w:rsidRPr="00211BF9">
        <w:rPr>
          <w:rFonts w:eastAsia="Arial" w:cs="Arial"/>
          <w:color w:val="000000"/>
          <w:lang w:eastAsia="en-US"/>
        </w:rPr>
        <w:t xml:space="preserve">, </w:t>
      </w:r>
      <w:r w:rsidR="008060E4">
        <w:rPr>
          <w:rFonts w:eastAsia="Arial" w:cs="Arial"/>
          <w:color w:val="000000"/>
          <w:lang w:eastAsia="en-US"/>
        </w:rPr>
        <w:t>42(2):248-255</w:t>
      </w:r>
      <w:r w:rsidRPr="00211BF9">
        <w:rPr>
          <w:rFonts w:eastAsia="Arial" w:cs="Arial"/>
          <w:color w:val="000000"/>
          <w:lang w:eastAsia="en-US"/>
        </w:rPr>
        <w:t>.</w:t>
      </w:r>
      <w:r w:rsidRPr="00211BF9">
        <w:rPr>
          <w:rFonts w:eastAsia="Arial" w:cs="Arial"/>
          <w:color w:val="0000FF"/>
          <w:u w:val="single"/>
          <w:lang w:eastAsia="en-US"/>
        </w:rPr>
        <w:t xml:space="preserve"> https://doi.org/10.1177/07342829231210032</w:t>
      </w:r>
    </w:p>
    <w:p w14:paraId="7EEAF772" w14:textId="33BC7CDA" w:rsidR="00F94BB1" w:rsidRPr="00211BF9" w:rsidRDefault="00F94BB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211BF9">
        <w:rPr>
          <w:rFonts w:eastAsia="Arial" w:cs="Arial"/>
          <w:color w:val="000000"/>
          <w:lang w:eastAsia="en-US"/>
        </w:rPr>
        <w:t xml:space="preserve">Liang SH, Chou JY, Wu YY, Lee CP, Kelsen BA, Lee YC. (2019). Validity and </w:t>
      </w:r>
      <w:r w:rsidR="00A72474">
        <w:rPr>
          <w:rFonts w:eastAsia="Arial" w:cs="Arial"/>
          <w:color w:val="000000"/>
          <w:lang w:eastAsia="en-US"/>
        </w:rPr>
        <w:t>r</w:t>
      </w:r>
      <w:r w:rsidRPr="00211BF9">
        <w:rPr>
          <w:rFonts w:eastAsia="Arial" w:cs="Arial"/>
          <w:color w:val="000000"/>
          <w:lang w:eastAsia="en-US"/>
        </w:rPr>
        <w:t xml:space="preserve">eliability </w:t>
      </w:r>
      <w:r w:rsidR="00A72474">
        <w:rPr>
          <w:rFonts w:eastAsia="Arial" w:cs="Arial"/>
          <w:color w:val="000000"/>
          <w:lang w:eastAsia="en-US"/>
        </w:rPr>
        <w:t>s</w:t>
      </w:r>
      <w:r w:rsidRPr="00211BF9">
        <w:rPr>
          <w:rFonts w:eastAsia="Arial" w:cs="Arial"/>
          <w:color w:val="000000"/>
          <w:lang w:eastAsia="en-US"/>
        </w:rPr>
        <w:t xml:space="preserve">tudy of the Chinese (Traditional) </w:t>
      </w:r>
      <w:r w:rsidR="00A72474">
        <w:rPr>
          <w:rFonts w:eastAsia="Arial" w:cs="Arial"/>
          <w:color w:val="000000"/>
          <w:lang w:eastAsia="en-US"/>
        </w:rPr>
        <w:t>v</w:t>
      </w:r>
      <w:r w:rsidRPr="00211BF9">
        <w:rPr>
          <w:rFonts w:eastAsia="Arial" w:cs="Arial"/>
          <w:color w:val="000000"/>
          <w:lang w:eastAsia="en-US"/>
        </w:rPr>
        <w:t xml:space="preserve">ersion of the Devereux Early Childhood Assessment for Toddlers (DECA-T). </w:t>
      </w:r>
      <w:proofErr w:type="spellStart"/>
      <w:r w:rsidRPr="00211BF9">
        <w:rPr>
          <w:rFonts w:eastAsia="Arial" w:cs="Arial"/>
          <w:i/>
          <w:color w:val="000000"/>
          <w:lang w:eastAsia="en-US"/>
        </w:rPr>
        <w:t>Neuropsychiatr</w:t>
      </w:r>
      <w:proofErr w:type="spellEnd"/>
      <w:r w:rsidRPr="00211BF9">
        <w:rPr>
          <w:rFonts w:eastAsia="Arial" w:cs="Arial"/>
          <w:i/>
          <w:color w:val="000000"/>
          <w:lang w:eastAsia="en-US"/>
        </w:rPr>
        <w:t xml:space="preserve"> Dis Treat</w:t>
      </w:r>
      <w:r w:rsidRPr="00211BF9">
        <w:rPr>
          <w:rFonts w:eastAsia="Arial" w:cs="Arial"/>
          <w:color w:val="000000"/>
          <w:lang w:eastAsia="en-US"/>
        </w:rPr>
        <w:t xml:space="preserve">, </w:t>
      </w:r>
      <w:r w:rsidR="00B01719">
        <w:rPr>
          <w:rFonts w:eastAsia="Arial" w:cs="Arial"/>
          <w:color w:val="000000"/>
          <w:lang w:eastAsia="en-US"/>
        </w:rPr>
        <w:t>15:</w:t>
      </w:r>
      <w:r w:rsidR="00817486">
        <w:rPr>
          <w:rFonts w:eastAsia="Arial" w:cs="Arial"/>
          <w:color w:val="000000"/>
          <w:lang w:eastAsia="en-US"/>
        </w:rPr>
        <w:t>3375-3385</w:t>
      </w:r>
      <w:r w:rsidRPr="00211BF9">
        <w:rPr>
          <w:rFonts w:eastAsia="Arial" w:cs="Arial"/>
          <w:color w:val="000000"/>
          <w:lang w:eastAsia="en-US"/>
        </w:rPr>
        <w:t>.</w:t>
      </w:r>
      <w:r w:rsidRPr="00211BF9">
        <w:rPr>
          <w:rFonts w:eastAsia="Arial" w:cs="Arial"/>
          <w:color w:val="0000FF"/>
          <w:u w:val="single"/>
          <w:lang w:eastAsia="en-US"/>
        </w:rPr>
        <w:t xml:space="preserve"> https://doi.org/10.2147/NDT.S218943</w:t>
      </w:r>
    </w:p>
    <w:p w14:paraId="1723DFAF" w14:textId="4CEC6BA4" w:rsidR="00F94BB1" w:rsidRPr="00211BF9" w:rsidRDefault="00F94BB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211BF9">
        <w:rPr>
          <w:rFonts w:eastAsia="Arial" w:cs="Arial"/>
          <w:color w:val="000000"/>
          <w:lang w:eastAsia="en-US"/>
        </w:rPr>
        <w:t xml:space="preserve">Crane, J., </w:t>
      </w:r>
      <w:proofErr w:type="spellStart"/>
      <w:r w:rsidRPr="00211BF9">
        <w:rPr>
          <w:rFonts w:eastAsia="Arial" w:cs="Arial"/>
          <w:color w:val="000000"/>
          <w:lang w:eastAsia="en-US"/>
        </w:rPr>
        <w:t>Mincic</w:t>
      </w:r>
      <w:proofErr w:type="spellEnd"/>
      <w:r w:rsidRPr="00211BF9">
        <w:rPr>
          <w:rFonts w:eastAsia="Arial" w:cs="Arial"/>
          <w:color w:val="000000"/>
          <w:lang w:eastAsia="en-US"/>
        </w:rPr>
        <w:t xml:space="preserve">, M., &amp; </w:t>
      </w:r>
      <w:proofErr w:type="spellStart"/>
      <w:r w:rsidRPr="00211BF9">
        <w:rPr>
          <w:rFonts w:eastAsia="Arial" w:cs="Arial"/>
          <w:color w:val="000000"/>
          <w:lang w:eastAsia="en-US"/>
        </w:rPr>
        <w:t>Winsler</w:t>
      </w:r>
      <w:proofErr w:type="spellEnd"/>
      <w:r w:rsidRPr="00211BF9">
        <w:rPr>
          <w:rFonts w:eastAsia="Arial" w:cs="Arial"/>
          <w:color w:val="000000"/>
          <w:lang w:eastAsia="en-US"/>
        </w:rPr>
        <w:t>, A. (2011). Parent–</w:t>
      </w:r>
      <w:r w:rsidR="00A72474">
        <w:rPr>
          <w:rFonts w:eastAsia="Arial" w:cs="Arial"/>
          <w:color w:val="000000"/>
          <w:lang w:eastAsia="en-US"/>
        </w:rPr>
        <w:t>t</w:t>
      </w:r>
      <w:r w:rsidRPr="00211BF9">
        <w:rPr>
          <w:rFonts w:eastAsia="Arial" w:cs="Arial"/>
          <w:color w:val="000000"/>
          <w:lang w:eastAsia="en-US"/>
        </w:rPr>
        <w:t xml:space="preserve">eacher </w:t>
      </w:r>
      <w:r w:rsidR="00A72474">
        <w:rPr>
          <w:rFonts w:eastAsia="Arial" w:cs="Arial"/>
          <w:color w:val="000000"/>
          <w:lang w:eastAsia="en-US"/>
        </w:rPr>
        <w:t>a</w:t>
      </w:r>
      <w:r w:rsidRPr="00211BF9">
        <w:rPr>
          <w:rFonts w:eastAsia="Arial" w:cs="Arial"/>
          <w:color w:val="000000"/>
          <w:lang w:eastAsia="en-US"/>
        </w:rPr>
        <w:t xml:space="preserve">greement and </w:t>
      </w:r>
      <w:r w:rsidR="00A72474">
        <w:rPr>
          <w:rFonts w:eastAsia="Arial" w:cs="Arial"/>
          <w:color w:val="000000"/>
          <w:lang w:eastAsia="en-US"/>
        </w:rPr>
        <w:t>r</w:t>
      </w:r>
      <w:r w:rsidRPr="00211BF9">
        <w:rPr>
          <w:rFonts w:eastAsia="Arial" w:cs="Arial"/>
          <w:color w:val="000000"/>
          <w:lang w:eastAsia="en-US"/>
        </w:rPr>
        <w:t xml:space="preserve">eliability on the Devereux Early Childhood Assessment (DECA) in English and Spanish for </w:t>
      </w:r>
      <w:r w:rsidR="00A72474">
        <w:rPr>
          <w:rFonts w:eastAsia="Arial" w:cs="Arial"/>
          <w:color w:val="000000"/>
          <w:lang w:eastAsia="en-US"/>
        </w:rPr>
        <w:t>e</w:t>
      </w:r>
      <w:r w:rsidRPr="00211BF9">
        <w:rPr>
          <w:rFonts w:eastAsia="Arial" w:cs="Arial"/>
          <w:color w:val="000000"/>
          <w:lang w:eastAsia="en-US"/>
        </w:rPr>
        <w:t xml:space="preserve">thnically </w:t>
      </w:r>
      <w:r w:rsidR="00A72474">
        <w:rPr>
          <w:rFonts w:eastAsia="Arial" w:cs="Arial"/>
          <w:color w:val="000000"/>
          <w:lang w:eastAsia="en-US"/>
        </w:rPr>
        <w:t>d</w:t>
      </w:r>
      <w:r w:rsidRPr="00211BF9">
        <w:rPr>
          <w:rFonts w:eastAsia="Arial" w:cs="Arial"/>
          <w:color w:val="000000"/>
          <w:lang w:eastAsia="en-US"/>
        </w:rPr>
        <w:t xml:space="preserve">iverse </w:t>
      </w:r>
      <w:r w:rsidR="00A72474">
        <w:rPr>
          <w:rFonts w:eastAsia="Arial" w:cs="Arial"/>
          <w:color w:val="000000"/>
          <w:lang w:eastAsia="en-US"/>
        </w:rPr>
        <w:t>c</w:t>
      </w:r>
      <w:r w:rsidRPr="00211BF9">
        <w:rPr>
          <w:rFonts w:eastAsia="Arial" w:cs="Arial"/>
          <w:color w:val="000000"/>
          <w:lang w:eastAsia="en-US"/>
        </w:rPr>
        <w:t xml:space="preserve">hildren </w:t>
      </w:r>
      <w:r w:rsidR="00A72474">
        <w:rPr>
          <w:rFonts w:eastAsia="Arial" w:cs="Arial"/>
          <w:color w:val="000000"/>
          <w:lang w:eastAsia="en-US"/>
        </w:rPr>
        <w:t>l</w:t>
      </w:r>
      <w:r w:rsidRPr="00211BF9">
        <w:rPr>
          <w:rFonts w:eastAsia="Arial" w:cs="Arial"/>
          <w:color w:val="000000"/>
          <w:lang w:eastAsia="en-US"/>
        </w:rPr>
        <w:t xml:space="preserve">iving in </w:t>
      </w:r>
      <w:r w:rsidR="00A72474">
        <w:rPr>
          <w:rFonts w:eastAsia="Arial" w:cs="Arial"/>
          <w:color w:val="000000"/>
          <w:lang w:eastAsia="en-US"/>
        </w:rPr>
        <w:t>p</w:t>
      </w:r>
      <w:r w:rsidRPr="00211BF9">
        <w:rPr>
          <w:rFonts w:eastAsia="Arial" w:cs="Arial"/>
          <w:color w:val="000000"/>
          <w:lang w:eastAsia="en-US"/>
        </w:rPr>
        <w:t xml:space="preserve">overty. </w:t>
      </w:r>
      <w:r w:rsidRPr="00211BF9">
        <w:rPr>
          <w:rFonts w:eastAsia="Arial" w:cs="Arial"/>
          <w:i/>
          <w:color w:val="000000"/>
          <w:lang w:eastAsia="en-US"/>
        </w:rPr>
        <w:t>Early Education and Development</w:t>
      </w:r>
      <w:r w:rsidRPr="00211BF9">
        <w:rPr>
          <w:rFonts w:eastAsia="Arial" w:cs="Arial"/>
          <w:color w:val="000000"/>
          <w:lang w:eastAsia="en-US"/>
        </w:rPr>
        <w:t xml:space="preserve">, </w:t>
      </w:r>
      <w:r w:rsidR="007B7507">
        <w:rPr>
          <w:rFonts w:eastAsia="Arial" w:cs="Arial"/>
          <w:color w:val="000000"/>
          <w:lang w:eastAsia="en-US"/>
        </w:rPr>
        <w:t>22(3):520-547</w:t>
      </w:r>
      <w:r w:rsidRPr="00211BF9">
        <w:rPr>
          <w:rFonts w:eastAsia="Arial" w:cs="Arial"/>
          <w:color w:val="000000"/>
          <w:lang w:eastAsia="en-US"/>
        </w:rPr>
        <w:t>.</w:t>
      </w:r>
      <w:r w:rsidRPr="00211BF9">
        <w:rPr>
          <w:rFonts w:eastAsia="Arial" w:cs="Arial"/>
          <w:color w:val="0000FF"/>
          <w:u w:val="single"/>
          <w:lang w:eastAsia="en-US"/>
        </w:rPr>
        <w:t xml:space="preserve"> https://doi.org/10.1080/10409289.2011.565722</w:t>
      </w:r>
    </w:p>
    <w:p w14:paraId="5648EC27" w14:textId="07198824" w:rsidR="00F94BB1" w:rsidRPr="00211BF9" w:rsidRDefault="00F94BB1">
      <w:pPr>
        <w:pBdr>
          <w:top w:val="none" w:sz="0" w:space="0" w:color="000000"/>
          <w:left w:val="none" w:sz="0" w:space="0" w:color="000000"/>
          <w:bottom w:val="none" w:sz="0" w:space="0" w:color="000000"/>
          <w:right w:val="none" w:sz="0" w:space="0" w:color="000000"/>
        </w:pBdr>
        <w:rPr>
          <w:rFonts w:ascii="Aptos" w:eastAsia="Aptos" w:hAnsi="Aptos" w:cs="Arial"/>
          <w:lang w:eastAsia="en-US"/>
        </w:rPr>
      </w:pPr>
      <w:proofErr w:type="spellStart"/>
      <w:r w:rsidRPr="00211BF9">
        <w:rPr>
          <w:rFonts w:eastAsia="Arial" w:cs="Arial"/>
          <w:color w:val="000000"/>
          <w:lang w:eastAsia="en-US"/>
        </w:rPr>
        <w:lastRenderedPageBreak/>
        <w:t>Oades</w:t>
      </w:r>
      <w:proofErr w:type="spellEnd"/>
      <w:r w:rsidRPr="00211BF9">
        <w:rPr>
          <w:rFonts w:ascii="Cambria Math" w:eastAsia="Arial" w:hAnsi="Cambria Math" w:cs="Cambria Math"/>
          <w:color w:val="000000"/>
          <w:lang w:eastAsia="en-US"/>
        </w:rPr>
        <w:t>‐</w:t>
      </w:r>
      <w:r w:rsidRPr="00211BF9">
        <w:rPr>
          <w:rFonts w:eastAsia="Arial" w:cs="Arial"/>
          <w:color w:val="000000"/>
          <w:lang w:eastAsia="en-US"/>
        </w:rPr>
        <w:t xml:space="preserve">Sese, G., Kaliski, P., &amp; Weiss, K. (2010). Factor </w:t>
      </w:r>
      <w:r w:rsidR="00A72474">
        <w:rPr>
          <w:rFonts w:eastAsia="Arial" w:cs="Arial"/>
          <w:color w:val="000000"/>
          <w:lang w:eastAsia="en-US"/>
        </w:rPr>
        <w:t>s</w:t>
      </w:r>
      <w:r w:rsidRPr="00211BF9">
        <w:rPr>
          <w:rFonts w:eastAsia="Arial" w:cs="Arial"/>
          <w:color w:val="000000"/>
          <w:lang w:eastAsia="en-US"/>
        </w:rPr>
        <w:t xml:space="preserve">tructure of the Devereux Early Childhood Assessment </w:t>
      </w:r>
      <w:r w:rsidR="00A72474">
        <w:rPr>
          <w:rFonts w:eastAsia="Arial" w:cs="Arial"/>
          <w:color w:val="000000"/>
          <w:lang w:eastAsia="en-US"/>
        </w:rPr>
        <w:t>c</w:t>
      </w:r>
      <w:r w:rsidRPr="00211BF9">
        <w:rPr>
          <w:rFonts w:eastAsia="Arial" w:cs="Arial"/>
          <w:color w:val="000000"/>
          <w:lang w:eastAsia="en-US"/>
        </w:rPr>
        <w:t xml:space="preserve">linical </w:t>
      </w:r>
      <w:r w:rsidR="00A72474">
        <w:rPr>
          <w:rFonts w:eastAsia="Arial" w:cs="Arial"/>
          <w:color w:val="000000"/>
          <w:lang w:eastAsia="en-US"/>
        </w:rPr>
        <w:t>f</w:t>
      </w:r>
      <w:r w:rsidRPr="00211BF9">
        <w:rPr>
          <w:rFonts w:eastAsia="Arial" w:cs="Arial"/>
          <w:color w:val="000000"/>
          <w:lang w:eastAsia="en-US"/>
        </w:rPr>
        <w:t xml:space="preserve">orm in </w:t>
      </w:r>
      <w:r w:rsidR="00A72474">
        <w:rPr>
          <w:rFonts w:eastAsia="Arial" w:cs="Arial"/>
          <w:color w:val="000000"/>
          <w:lang w:eastAsia="en-US"/>
        </w:rPr>
        <w:t>l</w:t>
      </w:r>
      <w:r w:rsidRPr="00211BF9">
        <w:rPr>
          <w:rFonts w:eastAsia="Arial" w:cs="Arial"/>
          <w:color w:val="000000"/>
          <w:lang w:eastAsia="en-US"/>
        </w:rPr>
        <w:t>ow-</w:t>
      </w:r>
      <w:r w:rsidR="00A72474">
        <w:rPr>
          <w:rFonts w:eastAsia="Arial" w:cs="Arial"/>
          <w:color w:val="000000"/>
          <w:lang w:eastAsia="en-US"/>
        </w:rPr>
        <w:t>i</w:t>
      </w:r>
      <w:r w:rsidRPr="00211BF9">
        <w:rPr>
          <w:rFonts w:eastAsia="Arial" w:cs="Arial"/>
          <w:color w:val="000000"/>
          <w:lang w:eastAsia="en-US"/>
        </w:rPr>
        <w:t xml:space="preserve">ncome Hispanic American </w:t>
      </w:r>
      <w:r w:rsidR="00A72474">
        <w:rPr>
          <w:rFonts w:eastAsia="Arial" w:cs="Arial"/>
          <w:color w:val="000000"/>
          <w:lang w:eastAsia="en-US"/>
        </w:rPr>
        <w:t>b</w:t>
      </w:r>
      <w:r w:rsidRPr="00211BF9">
        <w:rPr>
          <w:rFonts w:eastAsia="Arial" w:cs="Arial"/>
          <w:color w:val="000000"/>
          <w:lang w:eastAsia="en-US"/>
        </w:rPr>
        <w:t xml:space="preserve">ilingual </w:t>
      </w:r>
      <w:r w:rsidR="00BE4796">
        <w:rPr>
          <w:rFonts w:eastAsia="Arial" w:cs="Arial"/>
          <w:color w:val="000000"/>
          <w:lang w:eastAsia="en-US"/>
        </w:rPr>
        <w:t>p</w:t>
      </w:r>
      <w:r w:rsidRPr="00211BF9">
        <w:rPr>
          <w:rFonts w:eastAsia="Arial" w:cs="Arial"/>
          <w:color w:val="000000"/>
          <w:lang w:eastAsia="en-US"/>
        </w:rPr>
        <w:t xml:space="preserve">reschool </w:t>
      </w:r>
      <w:r w:rsidR="00BE4796">
        <w:rPr>
          <w:rFonts w:eastAsia="Arial" w:cs="Arial"/>
          <w:color w:val="000000"/>
          <w:lang w:eastAsia="en-US"/>
        </w:rPr>
        <w:t>c</w:t>
      </w:r>
      <w:r w:rsidRPr="00211BF9">
        <w:rPr>
          <w:rFonts w:eastAsia="Arial" w:cs="Arial"/>
          <w:color w:val="000000"/>
          <w:lang w:eastAsia="en-US"/>
        </w:rPr>
        <w:t xml:space="preserve">hildren. </w:t>
      </w:r>
      <w:r w:rsidRPr="00211BF9">
        <w:rPr>
          <w:rFonts w:eastAsia="Arial" w:cs="Arial"/>
          <w:i/>
          <w:color w:val="000000"/>
          <w:lang w:eastAsia="en-US"/>
        </w:rPr>
        <w:t>Journal of Psychoeducational Assessment</w:t>
      </w:r>
      <w:r w:rsidRPr="00211BF9">
        <w:rPr>
          <w:rFonts w:eastAsia="Arial" w:cs="Arial"/>
          <w:color w:val="000000"/>
          <w:lang w:eastAsia="en-US"/>
        </w:rPr>
        <w:t xml:space="preserve">, </w:t>
      </w:r>
      <w:r w:rsidR="006333DC">
        <w:rPr>
          <w:rFonts w:eastAsia="Arial" w:cs="Arial"/>
          <w:color w:val="000000"/>
          <w:lang w:eastAsia="en-US"/>
        </w:rPr>
        <w:t>28(4):</w:t>
      </w:r>
      <w:r w:rsidR="00D109E9">
        <w:rPr>
          <w:rFonts w:eastAsia="Arial" w:cs="Arial"/>
          <w:color w:val="000000"/>
          <w:lang w:eastAsia="en-US"/>
        </w:rPr>
        <w:t>357-372</w:t>
      </w:r>
      <w:r w:rsidRPr="00211BF9">
        <w:rPr>
          <w:rFonts w:eastAsia="Arial" w:cs="Arial"/>
          <w:color w:val="000000"/>
          <w:lang w:eastAsia="en-US"/>
        </w:rPr>
        <w:t>.</w:t>
      </w:r>
      <w:r w:rsidRPr="00211BF9">
        <w:rPr>
          <w:rFonts w:eastAsia="Arial" w:cs="Arial"/>
          <w:color w:val="0000FF"/>
          <w:u w:val="single"/>
          <w:lang w:eastAsia="en-US"/>
        </w:rPr>
        <w:t xml:space="preserve"> https://doi.org/10.1177/0734282910366842</w:t>
      </w:r>
    </w:p>
    <w:p w14:paraId="46987B1F" w14:textId="77777777" w:rsidR="00F94BB1" w:rsidRPr="00211BF9" w:rsidRDefault="00F94BB1" w:rsidP="00E35DD3">
      <w:pPr>
        <w:pStyle w:val="Heading2"/>
        <w:rPr>
          <w:lang w:eastAsia="en-US"/>
        </w:rPr>
      </w:pPr>
      <w:r w:rsidRPr="00211BF9">
        <w:rPr>
          <w:lang w:eastAsia="en-US"/>
        </w:rPr>
        <w:t>Outcome Studies</w:t>
      </w:r>
    </w:p>
    <w:p w14:paraId="62B81DC4" w14:textId="1CCA56D1" w:rsidR="00F94BB1" w:rsidRPr="00211BF9" w:rsidRDefault="00F94BB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211BF9">
        <w:rPr>
          <w:rFonts w:eastAsia="Arial" w:cs="Arial"/>
          <w:color w:val="000000"/>
          <w:lang w:eastAsia="en-US"/>
        </w:rPr>
        <w:t xml:space="preserve">Rothenberg WA, Schmidt E, Davidson B, Garcia D, Barnett M, Fernandez C, Mills K, Jent JF, Davis E. (2024). Universal </w:t>
      </w:r>
      <w:r w:rsidR="00BE4796">
        <w:rPr>
          <w:rFonts w:eastAsia="Arial" w:cs="Arial"/>
          <w:color w:val="000000"/>
          <w:lang w:eastAsia="en-US"/>
        </w:rPr>
        <w:t>t</w:t>
      </w:r>
      <w:r w:rsidRPr="00211BF9">
        <w:rPr>
          <w:rFonts w:eastAsia="Arial" w:cs="Arial"/>
          <w:color w:val="000000"/>
          <w:lang w:eastAsia="en-US"/>
        </w:rPr>
        <w:t>eacher-</w:t>
      </w:r>
      <w:r w:rsidR="00BE4796">
        <w:rPr>
          <w:rFonts w:eastAsia="Arial" w:cs="Arial"/>
          <w:color w:val="000000"/>
          <w:lang w:eastAsia="en-US"/>
        </w:rPr>
        <w:t>c</w:t>
      </w:r>
      <w:r w:rsidRPr="00211BF9">
        <w:rPr>
          <w:rFonts w:eastAsia="Arial" w:cs="Arial"/>
          <w:color w:val="000000"/>
          <w:lang w:eastAsia="en-US"/>
        </w:rPr>
        <w:t xml:space="preserve">hild </w:t>
      </w:r>
      <w:r w:rsidR="00BE4796">
        <w:rPr>
          <w:rFonts w:eastAsia="Arial" w:cs="Arial"/>
          <w:color w:val="000000"/>
          <w:lang w:eastAsia="en-US"/>
        </w:rPr>
        <w:t>i</w:t>
      </w:r>
      <w:r w:rsidRPr="00211BF9">
        <w:rPr>
          <w:rFonts w:eastAsia="Arial" w:cs="Arial"/>
          <w:color w:val="000000"/>
          <w:lang w:eastAsia="en-US"/>
        </w:rPr>
        <w:t xml:space="preserve">nteraction </w:t>
      </w:r>
      <w:r w:rsidR="00BE4796">
        <w:rPr>
          <w:rFonts w:eastAsia="Arial" w:cs="Arial"/>
          <w:color w:val="000000"/>
          <w:lang w:eastAsia="en-US"/>
        </w:rPr>
        <w:t>t</w:t>
      </w:r>
      <w:r w:rsidRPr="00211BF9">
        <w:rPr>
          <w:rFonts w:eastAsia="Arial" w:cs="Arial"/>
          <w:color w:val="000000"/>
          <w:lang w:eastAsia="en-US"/>
        </w:rPr>
        <w:t xml:space="preserve">raining in early childhood special education: Identifying mechanisms of action that explain why it works. </w:t>
      </w:r>
      <w:r w:rsidRPr="00211BF9">
        <w:rPr>
          <w:rFonts w:eastAsia="Arial" w:cs="Arial"/>
          <w:i/>
          <w:color w:val="000000"/>
          <w:lang w:eastAsia="en-US"/>
        </w:rPr>
        <w:t>J Sch Psychol</w:t>
      </w:r>
      <w:r w:rsidRPr="00211BF9">
        <w:rPr>
          <w:rFonts w:eastAsia="Arial" w:cs="Arial"/>
          <w:color w:val="000000"/>
          <w:lang w:eastAsia="en-US"/>
        </w:rPr>
        <w:t xml:space="preserve">, </w:t>
      </w:r>
      <w:r w:rsidR="006651D8">
        <w:rPr>
          <w:rFonts w:eastAsia="Arial" w:cs="Arial"/>
          <w:color w:val="000000"/>
          <w:lang w:eastAsia="en-US"/>
        </w:rPr>
        <w:t>107:10192</w:t>
      </w:r>
      <w:r w:rsidRPr="00211BF9">
        <w:rPr>
          <w:rFonts w:eastAsia="Arial" w:cs="Arial"/>
          <w:color w:val="000000"/>
          <w:lang w:eastAsia="en-US"/>
        </w:rPr>
        <w:t>.</w:t>
      </w:r>
      <w:r w:rsidRPr="00211BF9">
        <w:rPr>
          <w:rFonts w:eastAsia="Arial" w:cs="Arial"/>
          <w:color w:val="0000FF"/>
          <w:u w:val="single"/>
          <w:lang w:eastAsia="en-US"/>
        </w:rPr>
        <w:t xml:space="preserve"> https://doi.org/10.1016/j.jsp.2024.101392</w:t>
      </w:r>
    </w:p>
    <w:p w14:paraId="58B402D9" w14:textId="77777777" w:rsidR="00F94BB1" w:rsidRPr="00211BF9" w:rsidRDefault="00F94BB1">
      <w:pPr>
        <w:rPr>
          <w:rFonts w:eastAsia="Aptos" w:cs="Arial"/>
          <w:color w:val="000000"/>
          <w:lang w:eastAsia="en-US"/>
        </w:rPr>
      </w:pPr>
    </w:p>
    <w:p w14:paraId="41A71629" w14:textId="77777777" w:rsidR="00F94BB1" w:rsidRPr="00211BF9" w:rsidRDefault="00F94BB1">
      <w:pPr>
        <w:rPr>
          <w:rFonts w:ascii="Aptos" w:eastAsia="Aptos" w:hAnsi="Aptos" w:cs="Arial"/>
          <w:lang w:eastAsia="en-US"/>
        </w:rPr>
        <w:sectPr w:rsidR="00F94BB1" w:rsidRPr="00211BF9" w:rsidSect="00F94BB1">
          <w:pgSz w:w="11910" w:h="16845"/>
          <w:pgMar w:top="1440" w:right="1440" w:bottom="1440" w:left="1440" w:header="720" w:footer="720" w:gutter="0"/>
          <w:cols w:space="720"/>
          <w:docGrid w:linePitch="326"/>
        </w:sectPr>
      </w:pPr>
    </w:p>
    <w:p w14:paraId="38B260F9" w14:textId="4919043A" w:rsidR="00EA2852" w:rsidRDefault="00EA2852">
      <w:pPr>
        <w:rPr>
          <w:rFonts w:cs="Arial"/>
          <w:sz w:val="36"/>
          <w:szCs w:val="36"/>
        </w:rPr>
      </w:pPr>
    </w:p>
    <w:p w14:paraId="35E0D1CB" w14:textId="77777777" w:rsidR="00E25937" w:rsidRDefault="00E25937">
      <w:pPr>
        <w:jc w:val="center"/>
      </w:pPr>
      <w:r>
        <w:rPr>
          <w:noProof/>
        </w:rPr>
        <w:drawing>
          <wp:anchor distT="0" distB="0" distL="114300" distR="114300" simplePos="0" relativeHeight="251658248" behindDoc="0" locked="1" layoutInCell="1" allowOverlap="1" wp14:anchorId="67190E32" wp14:editId="47427B57">
            <wp:simplePos x="0" y="0"/>
            <wp:positionH relativeFrom="page">
              <wp:posOffset>0</wp:posOffset>
            </wp:positionH>
            <wp:positionV relativeFrom="page">
              <wp:posOffset>2559685</wp:posOffset>
            </wp:positionV>
            <wp:extent cx="7563485" cy="935990"/>
            <wp:effectExtent l="0" t="0" r="5715" b="3810"/>
            <wp:wrapNone/>
            <wp:docPr id="1979550459"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1" layoutInCell="1" allowOverlap="1" wp14:anchorId="5C829704" wp14:editId="18E84933">
            <wp:simplePos x="0" y="0"/>
            <wp:positionH relativeFrom="page">
              <wp:posOffset>0</wp:posOffset>
            </wp:positionH>
            <wp:positionV relativeFrom="page">
              <wp:posOffset>0</wp:posOffset>
            </wp:positionV>
            <wp:extent cx="7563485" cy="2267585"/>
            <wp:effectExtent l="0" t="0" r="5715" b="5715"/>
            <wp:wrapNone/>
            <wp:docPr id="1093552604"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0CDD2DB8" w14:textId="77777777" w:rsidR="00E25937" w:rsidRDefault="00E25937">
      <w:pPr>
        <w:jc w:val="center"/>
      </w:pPr>
    </w:p>
    <w:p w14:paraId="1C2F9E93" w14:textId="77777777" w:rsidR="00E25937" w:rsidRDefault="00E25937">
      <w:pPr>
        <w:tabs>
          <w:tab w:val="left" w:pos="5465"/>
        </w:tabs>
        <w:spacing w:line="300" w:lineRule="auto"/>
      </w:pPr>
      <w:r>
        <w:rPr>
          <w:rFonts w:ascii="Arial Bold" w:eastAsia="Arial Bold" w:hAnsi="Arial Bold" w:cs="Arial Bold"/>
          <w:b/>
          <w:bCs/>
          <w:color w:val="000F46"/>
          <w:sz w:val="40"/>
          <w:szCs w:val="40"/>
        </w:rPr>
        <w:t xml:space="preserve"> </w:t>
      </w:r>
      <w:r>
        <w:rPr>
          <w:rFonts w:ascii="Arial Bold" w:eastAsia="Arial Bold" w:hAnsi="Arial Bold" w:cs="Arial Bold"/>
          <w:b/>
          <w:bCs/>
          <w:color w:val="000F46"/>
          <w:sz w:val="40"/>
          <w:szCs w:val="40"/>
        </w:rPr>
        <w:tab/>
      </w:r>
    </w:p>
    <w:p w14:paraId="69E31FC0" w14:textId="77777777" w:rsidR="00E25937" w:rsidRDefault="00E25937">
      <w:pPr>
        <w:spacing w:line="300" w:lineRule="auto"/>
      </w:pPr>
      <w:r>
        <w:rPr>
          <w:rFonts w:ascii="Canva Sans" w:eastAsia="Canva Sans" w:hAnsi="Canva Sans" w:cs="Canva Sans"/>
          <w:color w:val="000000"/>
        </w:rPr>
        <w:t xml:space="preserve"> </w:t>
      </w:r>
    </w:p>
    <w:p w14:paraId="49460B5A" w14:textId="35860A7D" w:rsidR="00E25937" w:rsidRDefault="00C25100">
      <w:pPr>
        <w:spacing w:line="300" w:lineRule="auto"/>
        <w:rPr>
          <w:rFonts w:eastAsia="Canva Sans" w:cs="Arial"/>
          <w:b/>
          <w:bCs/>
          <w:color w:val="000000"/>
          <w:sz w:val="36"/>
          <w:szCs w:val="36"/>
        </w:rPr>
      </w:pPr>
      <w:r>
        <w:rPr>
          <w:noProof/>
        </w:rPr>
        <mc:AlternateContent>
          <mc:Choice Requires="wps">
            <w:drawing>
              <wp:anchor distT="0" distB="0" distL="114300" distR="114300" simplePos="0" relativeHeight="251658249" behindDoc="0" locked="0" layoutInCell="1" allowOverlap="1" wp14:anchorId="224CEDB7" wp14:editId="7F51A6A4">
                <wp:simplePos x="0" y="0"/>
                <wp:positionH relativeFrom="column">
                  <wp:posOffset>63500</wp:posOffset>
                </wp:positionH>
                <wp:positionV relativeFrom="paragraph">
                  <wp:posOffset>160342</wp:posOffset>
                </wp:positionV>
                <wp:extent cx="6470650" cy="882650"/>
                <wp:effectExtent l="0" t="0" r="0" b="0"/>
                <wp:wrapNone/>
                <wp:docPr id="707546096" name="Text Box 1"/>
                <wp:cNvGraphicFramePr/>
                <a:graphic xmlns:a="http://schemas.openxmlformats.org/drawingml/2006/main">
                  <a:graphicData uri="http://schemas.microsoft.com/office/word/2010/wordprocessingShape">
                    <wps:wsp>
                      <wps:cNvSpPr txBox="1"/>
                      <wps:spPr>
                        <a:xfrm>
                          <a:off x="0" y="0"/>
                          <a:ext cx="6470650" cy="882650"/>
                        </a:xfrm>
                        <a:prstGeom prst="rect">
                          <a:avLst/>
                        </a:prstGeom>
                        <a:noFill/>
                        <a:ln w="6350">
                          <a:noFill/>
                        </a:ln>
                      </wps:spPr>
                      <wps:txbx>
                        <w:txbxContent>
                          <w:p w14:paraId="00ED5411" w14:textId="77777777" w:rsidR="00E25937" w:rsidRPr="00B73670" w:rsidRDefault="00E25937">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2BBEC214" w14:textId="77777777" w:rsidR="00E25937" w:rsidRPr="00DA3237" w:rsidRDefault="00E25937">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CEDB7" id="_x0000_s1032" type="#_x0000_t202" style="position:absolute;margin-left:5pt;margin-top:12.65pt;width:509.5pt;height:6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" filled="f" stroked="f" strokeweight=".5pt">
                <v:textbox>
                  <w:txbxContent>
                    <w:p w14:paraId="00ED5411" w14:textId="77777777" w:rsidR="00E25937" w:rsidRPr="00B73670" w:rsidRDefault="00E25937">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2BBEC214" w14:textId="77777777" w:rsidR="00E25937" w:rsidRPr="00DA3237" w:rsidRDefault="00E25937">
                      <w:pPr>
                        <w:rPr>
                          <w:rFonts w:cs="Arial"/>
                        </w:rPr>
                      </w:pPr>
                    </w:p>
                  </w:txbxContent>
                </v:textbox>
              </v:shape>
            </w:pict>
          </mc:Fallback>
        </mc:AlternateContent>
      </w:r>
    </w:p>
    <w:p w14:paraId="1F2E462D" w14:textId="6A0DFBE9" w:rsidR="00E25937" w:rsidRDefault="00E25937">
      <w:pPr>
        <w:spacing w:line="300" w:lineRule="auto"/>
        <w:rPr>
          <w:rFonts w:eastAsia="Canva Sans" w:cs="Arial"/>
          <w:b/>
          <w:bCs/>
          <w:color w:val="000000"/>
          <w:sz w:val="36"/>
          <w:szCs w:val="36"/>
        </w:rPr>
      </w:pPr>
    </w:p>
    <w:p w14:paraId="36300EDB" w14:textId="77777777" w:rsidR="00E25937" w:rsidRDefault="00E25937">
      <w:pPr>
        <w:spacing w:line="300" w:lineRule="auto"/>
        <w:rPr>
          <w:rFonts w:eastAsia="Canva Sans" w:cs="Arial"/>
          <w:b/>
          <w:bCs/>
          <w:color w:val="000000"/>
          <w:sz w:val="36"/>
          <w:szCs w:val="36"/>
        </w:rPr>
      </w:pPr>
    </w:p>
    <w:p w14:paraId="6CB6B5B5" w14:textId="77777777" w:rsidR="00E25937" w:rsidRPr="004335EC" w:rsidRDefault="00E25937" w:rsidP="00E35DD3">
      <w:pPr>
        <w:pStyle w:val="Heading1"/>
        <w:rPr>
          <w:lang w:eastAsia="en-US"/>
        </w:rPr>
      </w:pPr>
      <w:bookmarkStart w:id="28" w:name="_Emotional_Regulation_Checklist"/>
      <w:bookmarkEnd w:id="28"/>
      <w:r w:rsidRPr="004335EC">
        <w:rPr>
          <w:lang w:eastAsia="en-US"/>
        </w:rPr>
        <w:t xml:space="preserve">Emotional Regulation Checklist (ERC) </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E25937" w:rsidRPr="00694546" w14:paraId="2BA1D331" w14:textId="77777777" w:rsidTr="003C5A03">
        <w:trPr>
          <w:trHeight w:val="300"/>
        </w:trPr>
        <w:tc>
          <w:tcPr>
            <w:tcW w:w="1979" w:type="dxa"/>
            <w:tcBorders>
              <w:top w:val="single" w:sz="6" w:space="0" w:color="auto"/>
              <w:left w:val="single" w:sz="6" w:space="0" w:color="auto"/>
              <w:bottom w:val="single" w:sz="6" w:space="0" w:color="auto"/>
              <w:right w:val="single" w:sz="6" w:space="0" w:color="auto"/>
            </w:tcBorders>
            <w:hideMark/>
          </w:tcPr>
          <w:p w14:paraId="3865CBE7" w14:textId="77777777" w:rsidR="00E25937" w:rsidRPr="00FB7046" w:rsidRDefault="00E25937">
            <w:pPr>
              <w:ind w:left="57" w:right="57"/>
              <w:rPr>
                <w:rFonts w:eastAsia="Aptos" w:cs="Arial"/>
                <w:b/>
                <w:bCs/>
                <w:lang w:eastAsia="en-US"/>
              </w:rPr>
            </w:pPr>
            <w:r w:rsidRPr="00FB7046">
              <w:rPr>
                <w:rFonts w:eastAsia="Aptos" w:cs="Arial"/>
                <w:b/>
                <w:bCs/>
                <w:lang w:eastAsia="en-U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344C2D2B" w14:textId="77777777" w:rsidR="00E25937" w:rsidRPr="00FB7046" w:rsidRDefault="00E25937">
            <w:pPr>
              <w:spacing w:after="100"/>
              <w:ind w:left="57" w:right="57"/>
              <w:rPr>
                <w:rFonts w:eastAsia="Aptos" w:cs="Arial"/>
                <w:b/>
                <w:bCs/>
                <w:lang w:eastAsia="en-US"/>
              </w:rPr>
            </w:pPr>
            <w:r w:rsidRPr="00FB7046">
              <w:rPr>
                <w:rFonts w:eastAsia="Aptos" w:cs="Arial"/>
                <w:lang w:eastAsia="en-US"/>
              </w:rPr>
              <w:t> </w:t>
            </w:r>
            <w:r w:rsidRPr="00FB7046">
              <w:rPr>
                <w:rFonts w:eastAsia="Aptos" w:cs="Arial"/>
                <w:b/>
                <w:bCs/>
                <w:lang w:eastAsia="en-US"/>
              </w:rPr>
              <w:t>Children:</w:t>
            </w:r>
          </w:p>
          <w:p w14:paraId="696D92B3" w14:textId="6BCC9BCE" w:rsidR="00E25937" w:rsidRPr="00FB7046" w:rsidRDefault="00742148" w:rsidP="004E3AF4">
            <w:pPr>
              <w:pStyle w:val="ListParagraph"/>
              <w:numPr>
                <w:ilvl w:val="0"/>
                <w:numId w:val="6"/>
              </w:numPr>
              <w:rPr>
                <w:lang w:eastAsia="en-US"/>
              </w:rPr>
            </w:pPr>
            <w:r>
              <w:rPr>
                <w:rStyle w:val="font171"/>
                <w:color w:val="auto"/>
                <w:sz w:val="24"/>
                <w:szCs w:val="24"/>
              </w:rPr>
              <w:t>b</w:t>
            </w:r>
            <w:r w:rsidR="00E25937" w:rsidRPr="00742148">
              <w:rPr>
                <w:rStyle w:val="font171"/>
                <w:color w:val="auto"/>
                <w:sz w:val="24"/>
                <w:szCs w:val="24"/>
              </w:rPr>
              <w:t>uild</w:t>
            </w:r>
            <w:r w:rsidR="00E25937" w:rsidRPr="00FB7046">
              <w:rPr>
                <w:lang w:eastAsia="en-US"/>
              </w:rPr>
              <w:t xml:space="preserve"> capacity to regulate their behaviour</w:t>
            </w:r>
            <w:r w:rsidR="00FB7046">
              <w:rPr>
                <w:lang w:eastAsia="en-US"/>
              </w:rPr>
              <w:t>.</w:t>
            </w:r>
          </w:p>
        </w:tc>
      </w:tr>
    </w:tbl>
    <w:p w14:paraId="156961DA" w14:textId="77777777" w:rsidR="00E25937" w:rsidRPr="00694546" w:rsidRDefault="00E25937" w:rsidP="00E35DD3">
      <w:pPr>
        <w:pStyle w:val="Heading1"/>
        <w:rPr>
          <w:lang w:eastAsia="en-US"/>
        </w:rPr>
      </w:pPr>
      <w:r w:rsidRPr="00694546">
        <w:rPr>
          <w:lang w:eastAsia="en-US"/>
        </w:rPr>
        <w:t>ERC Overview</w:t>
      </w:r>
    </w:p>
    <w:tbl>
      <w:tblPr>
        <w:tblW w:w="90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79"/>
        <w:gridCol w:w="7075"/>
      </w:tblGrid>
      <w:tr w:rsidR="00E25937" w:rsidRPr="00694546" w14:paraId="7C784E82" w14:textId="77777777" w:rsidTr="001C4566">
        <w:trPr>
          <w:cantSplit/>
          <w:trHeight w:val="300"/>
        </w:trPr>
        <w:tc>
          <w:tcPr>
            <w:tcW w:w="1979" w:type="dxa"/>
            <w:tcBorders>
              <w:top w:val="single" w:sz="6" w:space="0" w:color="auto"/>
              <w:left w:val="single" w:sz="6" w:space="0" w:color="auto"/>
              <w:bottom w:val="single" w:sz="6" w:space="0" w:color="auto"/>
              <w:right w:val="single" w:sz="6" w:space="0" w:color="auto"/>
            </w:tcBorders>
            <w:hideMark/>
          </w:tcPr>
          <w:p w14:paraId="06DBAAA9" w14:textId="77777777" w:rsidR="00E25937" w:rsidRPr="00694546" w:rsidRDefault="00E25937">
            <w:pPr>
              <w:spacing w:after="100"/>
              <w:ind w:left="57" w:right="57"/>
              <w:rPr>
                <w:rFonts w:eastAsia="Aptos" w:cs="Arial"/>
                <w:lang w:eastAsia="en-US"/>
              </w:rPr>
            </w:pPr>
            <w:r w:rsidRPr="00694546">
              <w:rPr>
                <w:rFonts w:eastAsia="Aptos" w:cs="Arial"/>
                <w:b/>
                <w:bCs/>
                <w:lang w:eastAsia="en-US"/>
              </w:rPr>
              <w:t>General description</w:t>
            </w:r>
            <w:r w:rsidRPr="00694546">
              <w:rPr>
                <w:rFonts w:eastAsia="Aptos" w:cs="Arial"/>
                <w:lang w:eastAsia="en-US"/>
              </w:rPr>
              <w:t>  </w:t>
            </w:r>
          </w:p>
          <w:p w14:paraId="342ECD4B" w14:textId="77777777" w:rsidR="00E25937" w:rsidRPr="00694546" w:rsidRDefault="00E25937">
            <w:pPr>
              <w:spacing w:after="100" w:line="276" w:lineRule="auto"/>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02867D0F" w14:textId="77777777" w:rsidR="00E25937" w:rsidRPr="00694546" w:rsidRDefault="00E25937">
            <w:pPr>
              <w:spacing w:after="100"/>
              <w:ind w:left="57" w:right="57"/>
              <w:rPr>
                <w:rFonts w:eastAsia="Aptos" w:cs="Arial"/>
                <w:lang w:eastAsia="en-US"/>
              </w:rPr>
            </w:pPr>
            <w:r w:rsidRPr="00694546">
              <w:rPr>
                <w:rFonts w:eastAsia="Aptos" w:cs="Arial"/>
                <w:lang w:eastAsia="en-US"/>
              </w:rPr>
              <w:t>The Emotion Regulation Checklist (ERC) measures a child's capacity to manage and modulate their emotional responses in various situations. It helps identify patterns of emotional regulation and dysregulation in children, to guide interventions.</w:t>
            </w:r>
          </w:p>
        </w:tc>
      </w:tr>
      <w:tr w:rsidR="00E25937" w:rsidRPr="00694546" w14:paraId="61C5933B" w14:textId="77777777" w:rsidTr="001C4566">
        <w:trPr>
          <w:cantSplit/>
          <w:trHeight w:val="300"/>
        </w:trPr>
        <w:tc>
          <w:tcPr>
            <w:tcW w:w="1979" w:type="dxa"/>
            <w:tcBorders>
              <w:top w:val="single" w:sz="6" w:space="0" w:color="auto"/>
              <w:left w:val="single" w:sz="6" w:space="0" w:color="auto"/>
              <w:bottom w:val="single" w:sz="6" w:space="0" w:color="auto"/>
              <w:right w:val="single" w:sz="6" w:space="0" w:color="auto"/>
            </w:tcBorders>
          </w:tcPr>
          <w:p w14:paraId="2E68DBEC" w14:textId="77777777" w:rsidR="00E25937" w:rsidRPr="00694546" w:rsidRDefault="00E25937">
            <w:pPr>
              <w:spacing w:after="100"/>
              <w:ind w:left="57" w:right="57"/>
              <w:rPr>
                <w:rFonts w:eastAsia="Aptos" w:cs="Arial"/>
                <w:b/>
                <w:bCs/>
                <w:lang w:eastAsia="en-US"/>
              </w:rPr>
            </w:pPr>
            <w:r w:rsidRPr="00694546">
              <w:rPr>
                <w:rFonts w:eastAsia="Aptos" w:cs="Arial"/>
                <w:b/>
                <w:bCs/>
                <w:lang w:eastAsia="en-US"/>
              </w:rPr>
              <w:t>Ages</w:t>
            </w:r>
          </w:p>
        </w:tc>
        <w:tc>
          <w:tcPr>
            <w:tcW w:w="7075" w:type="dxa"/>
            <w:tcBorders>
              <w:top w:val="single" w:sz="6" w:space="0" w:color="auto"/>
              <w:left w:val="single" w:sz="6" w:space="0" w:color="auto"/>
              <w:bottom w:val="single" w:sz="6" w:space="0" w:color="auto"/>
              <w:right w:val="single" w:sz="6" w:space="0" w:color="auto"/>
            </w:tcBorders>
          </w:tcPr>
          <w:p w14:paraId="07C9BF89" w14:textId="77777777" w:rsidR="00E25937" w:rsidRPr="00694546" w:rsidRDefault="00E25937">
            <w:pPr>
              <w:spacing w:after="100"/>
              <w:ind w:left="57" w:right="57"/>
              <w:rPr>
                <w:rFonts w:eastAsia="Aptos" w:cs="Arial"/>
                <w:lang w:eastAsia="en-US"/>
              </w:rPr>
            </w:pPr>
            <w:r w:rsidRPr="00694546">
              <w:rPr>
                <w:rFonts w:eastAsia="Aptos" w:cs="Arial"/>
                <w:lang w:eastAsia="en-US"/>
              </w:rPr>
              <w:t>The ERC was originally developed for children 6 to 12 years of age. It has been applied to children as young as 3 years of age.</w:t>
            </w:r>
          </w:p>
        </w:tc>
      </w:tr>
      <w:tr w:rsidR="00E25937" w:rsidRPr="00694546" w14:paraId="592F01BC" w14:textId="77777777" w:rsidTr="001C4566">
        <w:trPr>
          <w:cantSplit/>
          <w:trHeight w:val="300"/>
        </w:trPr>
        <w:tc>
          <w:tcPr>
            <w:tcW w:w="1979" w:type="dxa"/>
            <w:tcBorders>
              <w:top w:val="single" w:sz="6" w:space="0" w:color="auto"/>
              <w:left w:val="single" w:sz="6" w:space="0" w:color="auto"/>
              <w:bottom w:val="single" w:sz="6" w:space="0" w:color="auto"/>
              <w:right w:val="single" w:sz="6" w:space="0" w:color="auto"/>
            </w:tcBorders>
          </w:tcPr>
          <w:p w14:paraId="73AE1B91" w14:textId="77777777" w:rsidR="00E25937" w:rsidRPr="00694546" w:rsidRDefault="00E25937">
            <w:pPr>
              <w:spacing w:after="100"/>
              <w:ind w:left="57" w:right="57"/>
              <w:rPr>
                <w:rFonts w:eastAsia="Aptos" w:cs="Arial"/>
                <w:lang w:eastAsia="en-US"/>
              </w:rPr>
            </w:pPr>
            <w:r w:rsidRPr="00694546">
              <w:rPr>
                <w:rFonts w:eastAsia="Aptos" w:cs="Arial"/>
                <w:b/>
                <w:bCs/>
                <w:lang w:eastAsia="en-US"/>
              </w:rPr>
              <w:t>Domains / subscales </w:t>
            </w:r>
            <w:r w:rsidRPr="00694546">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tcPr>
          <w:p w14:paraId="79648168" w14:textId="77777777" w:rsidR="00E25937" w:rsidRPr="00694546" w:rsidRDefault="00E25937">
            <w:pPr>
              <w:spacing w:after="100"/>
              <w:ind w:left="57" w:right="57"/>
              <w:rPr>
                <w:rFonts w:eastAsia="Aptos" w:cs="Arial"/>
                <w:lang w:eastAsia="en-US"/>
              </w:rPr>
            </w:pPr>
            <w:r w:rsidRPr="00694546">
              <w:rPr>
                <w:rFonts w:eastAsia="Aptos" w:cs="Arial"/>
                <w:lang w:eastAsia="en-US"/>
              </w:rPr>
              <w:t>The ERC has two main scales.</w:t>
            </w:r>
          </w:p>
          <w:p w14:paraId="1FC57D2D" w14:textId="77777777" w:rsidR="00E25937" w:rsidRPr="00694546" w:rsidRDefault="00E25937" w:rsidP="00E25937">
            <w:pPr>
              <w:numPr>
                <w:ilvl w:val="0"/>
                <w:numId w:val="2"/>
              </w:numPr>
              <w:spacing w:after="100"/>
              <w:ind w:left="57" w:right="57"/>
              <w:contextualSpacing/>
              <w:rPr>
                <w:rFonts w:eastAsia="Aptos" w:cs="Arial"/>
                <w:lang w:eastAsia="en-US"/>
              </w:rPr>
            </w:pPr>
            <w:r w:rsidRPr="00694546">
              <w:rPr>
                <w:rFonts w:eastAsia="Aptos" w:cs="Arial"/>
                <w:lang w:eastAsia="en-US"/>
              </w:rPr>
              <w:t xml:space="preserve">Emotion Regulation (assessing the child's expression of emotions, empathy, and emotional self-awareness) and </w:t>
            </w:r>
          </w:p>
          <w:p w14:paraId="765FEDB4" w14:textId="77777777" w:rsidR="00E25937" w:rsidRPr="00694546" w:rsidRDefault="00E25937" w:rsidP="00B62863">
            <w:pPr>
              <w:numPr>
                <w:ilvl w:val="0"/>
                <w:numId w:val="2"/>
              </w:numPr>
              <w:spacing w:after="100"/>
              <w:ind w:left="56" w:right="57" w:hanging="357"/>
              <w:rPr>
                <w:rFonts w:eastAsia="Aptos" w:cs="Arial"/>
                <w:lang w:eastAsia="en-US"/>
              </w:rPr>
            </w:pPr>
            <w:r w:rsidRPr="00694546">
              <w:rPr>
                <w:rFonts w:eastAsia="Aptos" w:cs="Arial"/>
                <w:lang w:eastAsia="en-US"/>
              </w:rPr>
              <w:t>Emotional Lability/Negativity (assessing the child’s lack of flexibility, anger dysregulation, and mood lability).</w:t>
            </w:r>
          </w:p>
        </w:tc>
      </w:tr>
      <w:tr w:rsidR="00E25937" w:rsidRPr="00694546" w14:paraId="727EBAE9" w14:textId="77777777" w:rsidTr="001C4566">
        <w:trPr>
          <w:cantSplit/>
          <w:trHeight w:val="300"/>
        </w:trPr>
        <w:tc>
          <w:tcPr>
            <w:tcW w:w="1979" w:type="dxa"/>
            <w:tcBorders>
              <w:top w:val="single" w:sz="6" w:space="0" w:color="auto"/>
              <w:left w:val="single" w:sz="6" w:space="0" w:color="auto"/>
              <w:bottom w:val="single" w:sz="6" w:space="0" w:color="auto"/>
              <w:right w:val="single" w:sz="6" w:space="0" w:color="auto"/>
            </w:tcBorders>
            <w:hideMark/>
          </w:tcPr>
          <w:p w14:paraId="7B626023" w14:textId="77777777" w:rsidR="00E25937" w:rsidRPr="00694546" w:rsidRDefault="00E25937">
            <w:pPr>
              <w:spacing w:after="100"/>
              <w:ind w:left="57" w:right="57"/>
              <w:rPr>
                <w:rFonts w:eastAsia="Aptos" w:cs="Arial"/>
                <w:lang w:eastAsia="en-US"/>
              </w:rPr>
            </w:pPr>
            <w:r w:rsidRPr="00694546">
              <w:rPr>
                <w:rFonts w:eastAsia="Aptos" w:cs="Arial"/>
                <w:b/>
                <w:bCs/>
                <w:lang w:eastAsia="en-US"/>
              </w:rPr>
              <w:t>Cultural adaptation </w:t>
            </w:r>
            <w:r w:rsidRPr="00694546">
              <w:rPr>
                <w:rFonts w:eastAsia="Aptos" w:cs="Arial"/>
                <w:lang w:eastAsia="en-US"/>
              </w:rPr>
              <w:t> </w:t>
            </w:r>
          </w:p>
          <w:p w14:paraId="080F0C90" w14:textId="77777777" w:rsidR="00E25937" w:rsidRPr="00694546" w:rsidRDefault="00E25937">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4461AEE1" w14:textId="77777777" w:rsidR="00E25937" w:rsidRPr="00694546" w:rsidRDefault="00E25937">
            <w:pPr>
              <w:spacing w:after="100"/>
              <w:ind w:left="57" w:right="57"/>
              <w:rPr>
                <w:rFonts w:eastAsia="Aptos" w:cs="Arial"/>
                <w:lang w:eastAsia="en-US"/>
              </w:rPr>
            </w:pPr>
            <w:r w:rsidRPr="00694546">
              <w:rPr>
                <w:rFonts w:eastAsia="Aptos" w:cs="Arial"/>
                <w:lang w:eastAsia="en-US"/>
              </w:rPr>
              <w:t>The ERC has been translated and adapted for use in different cultural contexts, including Chinese, French, Italian, Malay, Persian, Portuguese and Turkish.</w:t>
            </w:r>
          </w:p>
        </w:tc>
      </w:tr>
      <w:tr w:rsidR="00E25937" w:rsidRPr="00694546" w14:paraId="6D200654" w14:textId="77777777" w:rsidTr="001C4566">
        <w:trPr>
          <w:cantSplit/>
          <w:trHeight w:val="300"/>
        </w:trPr>
        <w:tc>
          <w:tcPr>
            <w:tcW w:w="1979" w:type="dxa"/>
            <w:tcBorders>
              <w:top w:val="single" w:sz="6" w:space="0" w:color="auto"/>
              <w:left w:val="single" w:sz="6" w:space="0" w:color="auto"/>
              <w:bottom w:val="single" w:sz="6" w:space="0" w:color="auto"/>
              <w:right w:val="single" w:sz="6" w:space="0" w:color="auto"/>
            </w:tcBorders>
            <w:hideMark/>
          </w:tcPr>
          <w:p w14:paraId="02D5804C" w14:textId="77777777" w:rsidR="00E25937" w:rsidRPr="00694546" w:rsidRDefault="00E25937">
            <w:pPr>
              <w:spacing w:after="100"/>
              <w:ind w:left="57" w:right="57"/>
              <w:rPr>
                <w:rFonts w:eastAsia="Aptos" w:cs="Arial"/>
                <w:lang w:eastAsia="en-US"/>
              </w:rPr>
            </w:pPr>
            <w:r w:rsidRPr="00694546">
              <w:rPr>
                <w:rFonts w:eastAsia="Aptos" w:cs="Arial"/>
                <w:b/>
                <w:bCs/>
                <w:lang w:eastAsia="en-US"/>
              </w:rPr>
              <w:lastRenderedPageBreak/>
              <w:t>Administration</w:t>
            </w:r>
            <w:r w:rsidRPr="00694546">
              <w:rPr>
                <w:rFonts w:eastAsia="Aptos" w:cs="Arial"/>
                <w:lang w:eastAsia="en-US"/>
              </w:rPr>
              <w:t>  </w:t>
            </w:r>
          </w:p>
          <w:p w14:paraId="53A79CA1" w14:textId="77777777" w:rsidR="00E25937" w:rsidRPr="00694546" w:rsidRDefault="00E25937">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6030AF18" w14:textId="77777777" w:rsidR="00E25937" w:rsidRPr="00694546" w:rsidRDefault="00E25937">
            <w:pPr>
              <w:spacing w:after="100"/>
              <w:ind w:left="57" w:right="57"/>
              <w:rPr>
                <w:rFonts w:eastAsia="Aptos" w:cs="Arial"/>
                <w:lang w:eastAsia="en-US"/>
              </w:rPr>
            </w:pPr>
            <w:r w:rsidRPr="00694546">
              <w:rPr>
                <w:rFonts w:eastAsia="Aptos" w:cs="Arial"/>
                <w:lang w:eastAsia="en-US"/>
              </w:rPr>
              <w:t xml:space="preserve">The ERC is completed by adults who are familiar with the child, including parents, carers and teachers. It is administered as a paper-based scale. </w:t>
            </w:r>
          </w:p>
          <w:p w14:paraId="46BA1E0F" w14:textId="77777777" w:rsidR="00E25937" w:rsidRPr="00694546" w:rsidRDefault="00E25937">
            <w:pPr>
              <w:spacing w:after="100"/>
              <w:ind w:left="57" w:right="57"/>
              <w:rPr>
                <w:rFonts w:eastAsia="Aptos" w:cs="Arial"/>
                <w:lang w:eastAsia="en-US"/>
              </w:rPr>
            </w:pPr>
            <w:r w:rsidRPr="00694546">
              <w:rPr>
                <w:rFonts w:eastAsia="Aptos" w:cs="Arial"/>
                <w:lang w:eastAsia="en-US"/>
              </w:rPr>
              <w:t xml:space="preserve">The ERC takes approximately 5 minutes to complete.   </w:t>
            </w:r>
          </w:p>
        </w:tc>
      </w:tr>
      <w:tr w:rsidR="00E25937" w:rsidRPr="00694546" w14:paraId="765B8A68" w14:textId="77777777" w:rsidTr="001C4566">
        <w:trPr>
          <w:cantSplit/>
          <w:trHeight w:val="300"/>
        </w:trPr>
        <w:tc>
          <w:tcPr>
            <w:tcW w:w="1979" w:type="dxa"/>
            <w:tcBorders>
              <w:top w:val="single" w:sz="6" w:space="0" w:color="auto"/>
              <w:left w:val="single" w:sz="6" w:space="0" w:color="auto"/>
              <w:bottom w:val="single" w:sz="6" w:space="0" w:color="auto"/>
              <w:right w:val="single" w:sz="6" w:space="0" w:color="auto"/>
            </w:tcBorders>
            <w:hideMark/>
          </w:tcPr>
          <w:p w14:paraId="009FBF67" w14:textId="77777777" w:rsidR="00E25937" w:rsidRPr="00694546" w:rsidRDefault="00E25937">
            <w:pPr>
              <w:spacing w:after="100"/>
              <w:ind w:left="57" w:right="57"/>
              <w:rPr>
                <w:rFonts w:eastAsia="Aptos" w:cs="Arial"/>
                <w:lang w:eastAsia="en-US"/>
              </w:rPr>
            </w:pPr>
            <w:r w:rsidRPr="00694546">
              <w:rPr>
                <w:rFonts w:eastAsia="Aptos" w:cs="Arial"/>
                <w:b/>
                <w:bCs/>
                <w:lang w:eastAsia="en-US"/>
              </w:rPr>
              <w:t>Training requirements</w:t>
            </w:r>
            <w:r w:rsidRPr="00694546">
              <w:rPr>
                <w:rFonts w:eastAsia="Aptos" w:cs="Arial"/>
                <w:lang w:eastAsia="en-US"/>
              </w:rPr>
              <w:t>  </w:t>
            </w:r>
          </w:p>
          <w:p w14:paraId="0B7E81B4" w14:textId="77777777" w:rsidR="00E25937" w:rsidRPr="00694546" w:rsidRDefault="00E25937">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0F427B1C" w14:textId="77777777" w:rsidR="00E25937" w:rsidRPr="00694546" w:rsidRDefault="00E25937">
            <w:pPr>
              <w:spacing w:after="100"/>
              <w:ind w:left="57" w:right="57"/>
              <w:rPr>
                <w:rFonts w:eastAsia="Aptos" w:cs="Arial"/>
                <w:lang w:eastAsia="en-US"/>
              </w:rPr>
            </w:pPr>
            <w:r w:rsidRPr="00694546">
              <w:rPr>
                <w:rFonts w:eastAsia="Aptos" w:cs="Arial"/>
                <w:lang w:eastAsia="en-US"/>
              </w:rPr>
              <w:t>While no specific training is required to administer the ERC, scores should be interpreted by psychologist or mental health clinician, familiar with the scale characteristics and scoring guidelines.</w:t>
            </w:r>
          </w:p>
          <w:p w14:paraId="0479A04E" w14:textId="77777777" w:rsidR="00E25937" w:rsidRPr="00694546" w:rsidRDefault="00E25937">
            <w:pPr>
              <w:spacing w:after="100"/>
              <w:ind w:left="57" w:right="57"/>
              <w:rPr>
                <w:rFonts w:eastAsia="Aptos" w:cs="Arial"/>
                <w:lang w:eastAsia="en-US"/>
              </w:rPr>
            </w:pPr>
            <w:r w:rsidRPr="00694546">
              <w:rPr>
                <w:rFonts w:eastAsia="Aptos" w:cs="Arial"/>
                <w:lang w:eastAsia="en-US"/>
              </w:rPr>
              <w:t>This information is freely available at</w:t>
            </w:r>
          </w:p>
          <w:p w14:paraId="3DA82335" w14:textId="182988F5" w:rsidR="00E25937" w:rsidRPr="00694546" w:rsidRDefault="00E25937" w:rsidP="00DE56C8">
            <w:pPr>
              <w:spacing w:after="100"/>
              <w:ind w:left="57" w:right="57"/>
              <w:rPr>
                <w:rFonts w:eastAsia="Aptos" w:cs="Arial"/>
                <w:lang w:eastAsia="en-US"/>
              </w:rPr>
            </w:pPr>
            <w:hyperlink r:id="rId29" w:history="1">
              <w:r w:rsidRPr="00694546">
                <w:rPr>
                  <w:rFonts w:eastAsia="Aptos" w:cs="Arial"/>
                  <w:color w:val="467886"/>
                  <w:u w:val="single"/>
                  <w:lang w:eastAsia="en-US"/>
                </w:rPr>
                <w:t>https://novopsych.com/assessments/child/child-emotional-health-assessment/</w:t>
              </w:r>
            </w:hyperlink>
          </w:p>
        </w:tc>
      </w:tr>
      <w:tr w:rsidR="00E25937" w:rsidRPr="00694546" w14:paraId="2F91450D" w14:textId="77777777" w:rsidTr="001C4566">
        <w:trPr>
          <w:cantSplit/>
          <w:trHeight w:val="300"/>
        </w:trPr>
        <w:tc>
          <w:tcPr>
            <w:tcW w:w="1979" w:type="dxa"/>
            <w:tcBorders>
              <w:top w:val="single" w:sz="6" w:space="0" w:color="auto"/>
              <w:left w:val="single" w:sz="6" w:space="0" w:color="auto"/>
              <w:bottom w:val="single" w:sz="6" w:space="0" w:color="auto"/>
              <w:right w:val="single" w:sz="6" w:space="0" w:color="auto"/>
            </w:tcBorders>
            <w:hideMark/>
          </w:tcPr>
          <w:p w14:paraId="30D9B609" w14:textId="77777777" w:rsidR="00E25937" w:rsidRPr="00694546" w:rsidRDefault="00E25937">
            <w:pPr>
              <w:spacing w:after="100"/>
              <w:ind w:left="57" w:right="57"/>
              <w:rPr>
                <w:rFonts w:eastAsia="Aptos" w:cs="Arial"/>
                <w:b/>
                <w:bCs/>
                <w:lang w:eastAsia="en-US"/>
              </w:rPr>
            </w:pPr>
            <w:r w:rsidRPr="00694546">
              <w:rPr>
                <w:rFonts w:eastAsia="Aptos" w:cs="Arial"/>
                <w:b/>
                <w:bCs/>
                <w:lang w:eastAsia="en-US"/>
              </w:rPr>
              <w:t>How to access</w:t>
            </w:r>
          </w:p>
          <w:p w14:paraId="2B2953A8" w14:textId="77777777" w:rsidR="00E25937" w:rsidRPr="00694546" w:rsidRDefault="00E25937">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6B7B2C72" w14:textId="77777777" w:rsidR="00E25937" w:rsidRPr="00694546" w:rsidRDefault="00E25937">
            <w:pPr>
              <w:spacing w:after="100"/>
              <w:ind w:left="57" w:right="57"/>
              <w:rPr>
                <w:rFonts w:eastAsia="Aptos" w:cs="Arial"/>
                <w:lang w:eastAsia="en-US"/>
              </w:rPr>
            </w:pPr>
            <w:r w:rsidRPr="00694546">
              <w:rPr>
                <w:rFonts w:eastAsia="Aptos" w:cs="Arial"/>
                <w:lang w:eastAsia="en-US"/>
              </w:rPr>
              <w:t xml:space="preserve">Can be downloaded from </w:t>
            </w:r>
            <w:proofErr w:type="spellStart"/>
            <w:r w:rsidRPr="00694546">
              <w:rPr>
                <w:rFonts w:eastAsia="Aptos" w:cs="Arial"/>
                <w:lang w:eastAsia="en-US"/>
              </w:rPr>
              <w:t>NovoPsych</w:t>
            </w:r>
            <w:proofErr w:type="spellEnd"/>
            <w:r w:rsidRPr="00694546">
              <w:rPr>
                <w:rFonts w:eastAsia="Aptos" w:cs="Arial"/>
                <w:lang w:eastAsia="en-US"/>
              </w:rPr>
              <w:t xml:space="preserve">. </w:t>
            </w:r>
          </w:p>
          <w:p w14:paraId="6F64F823" w14:textId="77777777" w:rsidR="00E25937" w:rsidRPr="00694546" w:rsidRDefault="00E25937">
            <w:pPr>
              <w:spacing w:after="100"/>
              <w:ind w:left="57" w:right="57"/>
              <w:rPr>
                <w:rFonts w:eastAsia="Aptos" w:cs="Arial"/>
                <w:lang w:eastAsia="en-US"/>
              </w:rPr>
            </w:pPr>
            <w:r w:rsidRPr="00694546">
              <w:rPr>
                <w:rFonts w:eastAsia="Aptos" w:cs="Arial"/>
                <w:lang w:eastAsia="en-US"/>
              </w:rPr>
              <w:t xml:space="preserve">In Australia, ERC normative data can be accessed by psychologists and mental health clinicians through </w:t>
            </w:r>
            <w:proofErr w:type="spellStart"/>
            <w:r w:rsidRPr="00694546">
              <w:rPr>
                <w:rFonts w:eastAsia="Aptos" w:cs="Arial"/>
                <w:lang w:eastAsia="en-US"/>
              </w:rPr>
              <w:t>NovoPsych</w:t>
            </w:r>
            <w:proofErr w:type="spellEnd"/>
            <w:r w:rsidRPr="00694546">
              <w:rPr>
                <w:rFonts w:eastAsia="Aptos" w:cs="Arial"/>
                <w:lang w:eastAsia="en-US"/>
              </w:rPr>
              <w:t xml:space="preserve">. A range of subscription plans for individuals and organisations are available to access these data.  </w:t>
            </w:r>
          </w:p>
          <w:p w14:paraId="0F90581F" w14:textId="77777777" w:rsidR="00E25937" w:rsidRPr="00694546" w:rsidRDefault="00E25937">
            <w:pPr>
              <w:spacing w:after="100"/>
              <w:ind w:left="57" w:right="57"/>
              <w:rPr>
                <w:rFonts w:eastAsia="Aptos" w:cs="Arial"/>
                <w:lang w:eastAsia="en-US"/>
              </w:rPr>
            </w:pPr>
            <w:hyperlink r:id="rId30" w:history="1">
              <w:r w:rsidRPr="00694546">
                <w:rPr>
                  <w:rFonts w:eastAsia="Aptos" w:cs="Arial"/>
                  <w:color w:val="467886"/>
                  <w:u w:val="single"/>
                  <w:lang w:eastAsia="en-US"/>
                </w:rPr>
                <w:t>https://novopsych.com/pricing/</w:t>
              </w:r>
            </w:hyperlink>
            <w:r w:rsidRPr="00694546">
              <w:rPr>
                <w:rFonts w:eastAsia="Aptos" w:cs="Arial"/>
                <w:lang w:eastAsia="en-US"/>
              </w:rPr>
              <w:t xml:space="preserve"> </w:t>
            </w:r>
          </w:p>
        </w:tc>
      </w:tr>
    </w:tbl>
    <w:p w14:paraId="7312C881" w14:textId="6C28AB47" w:rsidR="001C4566" w:rsidRDefault="001C4566">
      <w:pPr>
        <w:rPr>
          <w:rFonts w:ascii="Aptos" w:eastAsia="Aptos" w:hAnsi="Aptos" w:cs="Arial"/>
          <w:lang w:eastAsia="en-US"/>
        </w:rPr>
      </w:pPr>
    </w:p>
    <w:p w14:paraId="6F3FB25C" w14:textId="77777777" w:rsidR="001C4566" w:rsidRDefault="001C4566">
      <w:pPr>
        <w:spacing w:before="0" w:after="160"/>
        <w:rPr>
          <w:rFonts w:ascii="Aptos" w:eastAsia="Aptos" w:hAnsi="Aptos" w:cs="Arial"/>
          <w:lang w:eastAsia="en-US"/>
        </w:rPr>
      </w:pPr>
      <w:r>
        <w:rPr>
          <w:rFonts w:ascii="Aptos" w:eastAsia="Aptos" w:hAnsi="Aptos" w:cs="Arial"/>
          <w:lang w:eastAsia="en-US"/>
        </w:rPr>
        <w:br w:type="page"/>
      </w:r>
    </w:p>
    <w:p w14:paraId="1192E64F" w14:textId="77777777" w:rsidR="00E25937" w:rsidRPr="00694546" w:rsidRDefault="00E25937" w:rsidP="00E35DD3">
      <w:pPr>
        <w:pStyle w:val="Heading1"/>
        <w:rPr>
          <w:lang w:eastAsia="en-US"/>
        </w:rPr>
      </w:pPr>
      <w:bookmarkStart w:id="29" w:name="_ERC_Evidence_Summary"/>
      <w:bookmarkEnd w:id="29"/>
      <w:r w:rsidRPr="00694546">
        <w:rPr>
          <w:lang w:eastAsia="en-US"/>
        </w:rPr>
        <w:lastRenderedPageBreak/>
        <w:t>ERC Evidence Summary</w:t>
      </w:r>
    </w:p>
    <w:p w14:paraId="4B9A2476" w14:textId="77777777" w:rsidR="00E25937" w:rsidRPr="00694546" w:rsidRDefault="00E25937">
      <w:pPr>
        <w:rPr>
          <w:rFonts w:ascii="Aptos" w:eastAsia="Aptos" w:hAnsi="Aptos" w:cs="Arial"/>
          <w:lang w:eastAsia="en-US"/>
        </w:rPr>
      </w:pPr>
      <w:hyperlink w:anchor="_ERC_Reference_List" w:history="1">
        <w:r w:rsidRPr="00694546">
          <w:rPr>
            <w:rFonts w:eastAsia="Aptos" w:cs="Arial"/>
            <w:i/>
            <w:iCs/>
            <w:color w:val="467886"/>
            <w:u w:val="single"/>
            <w:lang w:eastAsia="en-US"/>
          </w:rPr>
          <w:t>Link to ERC 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E25937" w:rsidRPr="00694546" w14:paraId="6C08FED2" w14:textId="77777777" w:rsidTr="00D7154C">
        <w:trPr>
          <w:trHeight w:val="766"/>
        </w:trPr>
        <w:tc>
          <w:tcPr>
            <w:tcW w:w="1979" w:type="dxa"/>
            <w:tcBorders>
              <w:top w:val="single" w:sz="6" w:space="0" w:color="auto"/>
              <w:left w:val="single" w:sz="6" w:space="0" w:color="auto"/>
              <w:bottom w:val="single" w:sz="6" w:space="0" w:color="auto"/>
              <w:right w:val="single" w:sz="6" w:space="0" w:color="auto"/>
            </w:tcBorders>
          </w:tcPr>
          <w:p w14:paraId="05599747" w14:textId="00885631" w:rsidR="00E25937" w:rsidRPr="00D7154C" w:rsidRDefault="00E25937" w:rsidP="00D7154C">
            <w:pPr>
              <w:spacing w:after="100" w:line="276" w:lineRule="auto"/>
              <w:ind w:left="57" w:right="57"/>
              <w:rPr>
                <w:rFonts w:eastAsia="Aptos" w:cs="Arial"/>
                <w:b/>
                <w:bCs/>
                <w:lang w:eastAsia="en-US"/>
              </w:rPr>
            </w:pPr>
            <w:r w:rsidRPr="00694546">
              <w:rPr>
                <w:rFonts w:eastAsia="Aptos" w:cs="Arial"/>
                <w:b/>
                <w:bCs/>
                <w:lang w:eastAsia="en-US"/>
              </w:rPr>
              <w:t>Overv</w:t>
            </w:r>
            <w:r w:rsidR="00D7154C">
              <w:rPr>
                <w:rFonts w:eastAsia="Aptos" w:cs="Arial"/>
                <w:b/>
                <w:bCs/>
                <w:lang w:eastAsia="en-US"/>
              </w:rPr>
              <w:t>iew</w:t>
            </w:r>
          </w:p>
        </w:tc>
        <w:tc>
          <w:tcPr>
            <w:tcW w:w="7075" w:type="dxa"/>
            <w:tcBorders>
              <w:top w:val="single" w:sz="6" w:space="0" w:color="auto"/>
              <w:left w:val="single" w:sz="6" w:space="0" w:color="auto"/>
              <w:bottom w:val="single" w:sz="6" w:space="0" w:color="auto"/>
              <w:right w:val="single" w:sz="6" w:space="0" w:color="auto"/>
            </w:tcBorders>
          </w:tcPr>
          <w:p w14:paraId="590D3DCE" w14:textId="77777777" w:rsidR="00E25937" w:rsidRPr="00694546" w:rsidRDefault="00E25937" w:rsidP="00D7154C">
            <w:pPr>
              <w:spacing w:afterLines="100" w:after="240" w:line="276" w:lineRule="auto"/>
              <w:ind w:left="57" w:right="57"/>
              <w:rPr>
                <w:rFonts w:eastAsia="Aptos" w:cs="Arial"/>
                <w:color w:val="000000"/>
                <w:lang w:eastAsia="en-US"/>
              </w:rPr>
            </w:pPr>
            <w:r w:rsidRPr="00694546">
              <w:rPr>
                <w:rFonts w:eastAsia="Aptos" w:cs="Arial"/>
                <w:color w:val="000000"/>
                <w:lang w:eastAsia="en-US"/>
              </w:rPr>
              <w:t>7 studies were identified that report on the measurement properties of the ERC or use of the tool as an outcome measure in the ECI practice setting.</w:t>
            </w:r>
          </w:p>
        </w:tc>
      </w:tr>
      <w:tr w:rsidR="00E25937" w:rsidRPr="00694546" w14:paraId="03388ABB"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tcPr>
          <w:p w14:paraId="3024A937" w14:textId="77777777" w:rsidR="00E25937" w:rsidRPr="00694546" w:rsidRDefault="00E25937">
            <w:pPr>
              <w:spacing w:after="100" w:line="276" w:lineRule="auto"/>
              <w:ind w:left="57" w:right="57"/>
              <w:rPr>
                <w:rFonts w:eastAsia="Aptos" w:cs="Arial"/>
                <w:b/>
                <w:bCs/>
                <w:lang w:eastAsia="en-US"/>
              </w:rPr>
            </w:pPr>
            <w:r w:rsidRPr="00694546">
              <w:rPr>
                <w:rFonts w:eastAsia="Aptos" w:cs="Arial"/>
                <w:b/>
                <w:bCs/>
                <w:lang w:eastAsia="en-US"/>
              </w:rPr>
              <w:t>Review papers</w:t>
            </w:r>
          </w:p>
        </w:tc>
        <w:tc>
          <w:tcPr>
            <w:tcW w:w="7075" w:type="dxa"/>
            <w:tcBorders>
              <w:top w:val="single" w:sz="6" w:space="0" w:color="auto"/>
              <w:left w:val="single" w:sz="6" w:space="0" w:color="auto"/>
              <w:bottom w:val="single" w:sz="6" w:space="0" w:color="auto"/>
              <w:right w:val="single" w:sz="6" w:space="0" w:color="auto"/>
            </w:tcBorders>
          </w:tcPr>
          <w:p w14:paraId="097C5E41" w14:textId="77777777" w:rsidR="00E25937" w:rsidRPr="00694546" w:rsidRDefault="00E25937" w:rsidP="00D7154C">
            <w:pPr>
              <w:spacing w:afterLines="100" w:after="240" w:line="276" w:lineRule="auto"/>
              <w:ind w:left="57" w:right="57"/>
              <w:rPr>
                <w:rFonts w:eastAsia="Aptos" w:cs="Arial"/>
                <w:i/>
                <w:iCs/>
                <w:color w:val="000000"/>
                <w:lang w:eastAsia="en-US"/>
              </w:rPr>
            </w:pPr>
            <w:r w:rsidRPr="00694546">
              <w:rPr>
                <w:rFonts w:eastAsia="Aptos" w:cs="Arial"/>
                <w:i/>
                <w:iCs/>
                <w:color w:val="000000"/>
                <w:lang w:eastAsia="en-US"/>
              </w:rPr>
              <w:t>No references identified</w:t>
            </w:r>
          </w:p>
        </w:tc>
      </w:tr>
      <w:tr w:rsidR="00E25937" w:rsidRPr="00694546" w14:paraId="5A7991E3" w14:textId="77777777" w:rsidTr="00D7154C">
        <w:trPr>
          <w:trHeight w:val="535"/>
        </w:trPr>
        <w:tc>
          <w:tcPr>
            <w:tcW w:w="1979" w:type="dxa"/>
            <w:tcBorders>
              <w:top w:val="single" w:sz="6" w:space="0" w:color="auto"/>
              <w:left w:val="single" w:sz="6" w:space="0" w:color="auto"/>
              <w:bottom w:val="single" w:sz="6" w:space="0" w:color="auto"/>
              <w:right w:val="single" w:sz="6" w:space="0" w:color="auto"/>
            </w:tcBorders>
          </w:tcPr>
          <w:p w14:paraId="2B2ED45E" w14:textId="77777777" w:rsidR="00E25937" w:rsidRPr="00694546" w:rsidRDefault="00E25937">
            <w:pPr>
              <w:spacing w:after="100" w:line="276" w:lineRule="auto"/>
              <w:ind w:left="57" w:right="57"/>
              <w:rPr>
                <w:rFonts w:eastAsia="Aptos" w:cs="Arial"/>
                <w:b/>
                <w:bCs/>
                <w:lang w:eastAsia="en-US"/>
              </w:rPr>
            </w:pPr>
            <w:r w:rsidRPr="00694546">
              <w:rPr>
                <w:rFonts w:eastAsia="Aptos" w:cs="Arial"/>
                <w:b/>
                <w:bCs/>
                <w:lang w:eastAsia="en-U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18178C99" w14:textId="623D62DA" w:rsidR="00E25937" w:rsidRPr="00694546" w:rsidRDefault="00E25937" w:rsidP="00D7154C">
            <w:pPr>
              <w:spacing w:afterLines="100" w:after="240" w:line="276" w:lineRule="auto"/>
              <w:ind w:left="57" w:right="57"/>
              <w:rPr>
                <w:rFonts w:eastAsia="Aptos" w:cs="Arial"/>
                <w:color w:val="000000"/>
                <w:lang w:eastAsia="en-US"/>
              </w:rPr>
            </w:pPr>
            <w:r w:rsidRPr="00694546">
              <w:rPr>
                <w:rFonts w:eastAsia="Aptos" w:cs="Arial"/>
                <w:color w:val="000000"/>
                <w:lang w:eastAsia="en-US"/>
              </w:rPr>
              <w:t>ERC normative data have been presented for a sample of preschool children with autism spectrum disorder (USA, 2023).</w:t>
            </w:r>
          </w:p>
        </w:tc>
      </w:tr>
      <w:tr w:rsidR="00E25937" w:rsidRPr="00694546" w14:paraId="22DE5187"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tcPr>
          <w:p w14:paraId="04DE962C" w14:textId="77777777" w:rsidR="00E25937" w:rsidRPr="00694546" w:rsidRDefault="00E25937">
            <w:pPr>
              <w:spacing w:after="100" w:line="276" w:lineRule="auto"/>
              <w:ind w:left="57" w:right="57"/>
              <w:rPr>
                <w:rFonts w:eastAsia="Aptos" w:cs="Arial"/>
                <w:b/>
                <w:bCs/>
                <w:lang w:eastAsia="en-US"/>
              </w:rPr>
            </w:pPr>
            <w:r w:rsidRPr="00694546">
              <w:rPr>
                <w:rFonts w:eastAsia="Aptos" w:cs="Arial"/>
                <w:b/>
                <w:bCs/>
                <w:lang w:eastAsia="en-US"/>
              </w:rPr>
              <w:t>Cultural adaptation papers</w:t>
            </w:r>
          </w:p>
        </w:tc>
        <w:tc>
          <w:tcPr>
            <w:tcW w:w="7075" w:type="dxa"/>
            <w:tcBorders>
              <w:top w:val="single" w:sz="6" w:space="0" w:color="auto"/>
              <w:left w:val="single" w:sz="6" w:space="0" w:color="auto"/>
              <w:bottom w:val="single" w:sz="6" w:space="0" w:color="auto"/>
              <w:right w:val="single" w:sz="6" w:space="0" w:color="auto"/>
            </w:tcBorders>
          </w:tcPr>
          <w:p w14:paraId="607C7D43" w14:textId="43BD47AD" w:rsidR="00E25937" w:rsidRPr="00694546" w:rsidRDefault="00E25937" w:rsidP="00D7154C">
            <w:pPr>
              <w:spacing w:afterLines="100" w:after="240" w:line="276" w:lineRule="auto"/>
              <w:ind w:left="57" w:right="57"/>
              <w:rPr>
                <w:rFonts w:eastAsia="Aptos" w:cs="Arial"/>
                <w:color w:val="000000"/>
                <w:lang w:eastAsia="en-US"/>
              </w:rPr>
            </w:pPr>
            <w:r w:rsidRPr="00694546">
              <w:rPr>
                <w:rFonts w:eastAsia="Aptos" w:cs="Arial"/>
                <w:color w:val="000000"/>
                <w:lang w:eastAsia="en-US"/>
              </w:rPr>
              <w:t>The measurement properties of the ERC have been explored in several countries, including Brazil (parents and teachers of children aged 3-12 years old, 2016), Iran (mothers of children aged 3-6 years, 2018), Italy (mothers and teachers of kindergarten and elementary school children, 2014), Malaysia (parents of school-aged children, 2021), and Turkey (teachers of preschool children aged 4-5 years, 2016). These studies have examined factor structure, internal consistency, test-retest reliability, and convergent and divergent validity across these populations.</w:t>
            </w:r>
          </w:p>
        </w:tc>
      </w:tr>
      <w:tr w:rsidR="00E25937" w:rsidRPr="00694546" w14:paraId="3504D943"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tcPr>
          <w:p w14:paraId="45EA67E2" w14:textId="77777777" w:rsidR="00E25937" w:rsidRPr="00694546" w:rsidRDefault="00E25937">
            <w:pPr>
              <w:spacing w:after="100" w:line="276" w:lineRule="auto"/>
              <w:ind w:left="57" w:right="57"/>
              <w:rPr>
                <w:rFonts w:eastAsia="Aptos" w:cs="Arial"/>
                <w:b/>
                <w:bCs/>
                <w:lang w:eastAsia="en-US"/>
              </w:rPr>
            </w:pPr>
            <w:r w:rsidRPr="00694546">
              <w:rPr>
                <w:rFonts w:eastAsia="Aptos" w:cs="Arial"/>
                <w:b/>
                <w:bCs/>
                <w:lang w:eastAsia="en-US"/>
              </w:rPr>
              <w:t>Outcome studies in ECI settings</w:t>
            </w:r>
          </w:p>
        </w:tc>
        <w:tc>
          <w:tcPr>
            <w:tcW w:w="7075" w:type="dxa"/>
            <w:tcBorders>
              <w:top w:val="single" w:sz="6" w:space="0" w:color="auto"/>
              <w:left w:val="single" w:sz="6" w:space="0" w:color="auto"/>
              <w:bottom w:val="single" w:sz="6" w:space="0" w:color="auto"/>
              <w:right w:val="single" w:sz="6" w:space="0" w:color="auto"/>
            </w:tcBorders>
          </w:tcPr>
          <w:p w14:paraId="4CA019A6" w14:textId="77777777" w:rsidR="00E25937" w:rsidRPr="00694546" w:rsidRDefault="00E25937">
            <w:pPr>
              <w:spacing w:afterLines="100" w:after="240" w:line="276" w:lineRule="auto"/>
              <w:ind w:left="57" w:right="57"/>
              <w:rPr>
                <w:rFonts w:eastAsia="Aptos" w:cs="Arial"/>
                <w:color w:val="000000"/>
                <w:lang w:eastAsia="en-US"/>
              </w:rPr>
            </w:pPr>
            <w:r w:rsidRPr="00694546">
              <w:rPr>
                <w:rFonts w:eastAsia="Aptos" w:cs="Arial"/>
                <w:color w:val="000000"/>
                <w:lang w:eastAsia="en-US"/>
              </w:rPr>
              <w:t>The ERC has been used as an outcome measure in a cross-sectional study examining the effects of visual experience and age on emotion regulation in children (Switzerland, 2022).</w:t>
            </w:r>
          </w:p>
        </w:tc>
      </w:tr>
    </w:tbl>
    <w:p w14:paraId="0794B2CE" w14:textId="77777777" w:rsidR="00994072" w:rsidRPr="0083134E" w:rsidRDefault="00994072" w:rsidP="00994072">
      <w:pPr>
        <w:rPr>
          <w:rFonts w:cs="Arial"/>
          <w:sz w:val="22"/>
          <w:szCs w:val="22"/>
        </w:rPr>
      </w:pPr>
      <w:r w:rsidRPr="0069467F">
        <w:t xml:space="preserve">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w:t>
      </w:r>
      <w:hyperlink w:history="1">
        <w:r w:rsidRPr="0069467F">
          <w:t>Methods Explainer</w:t>
        </w:r>
      </w:hyperlink>
      <w:r w:rsidRPr="0083134E">
        <w:rPr>
          <w:rFonts w:cs="Arial"/>
          <w:sz w:val="22"/>
          <w:szCs w:val="22"/>
        </w:rPr>
        <w:t>.</w:t>
      </w:r>
    </w:p>
    <w:p w14:paraId="55D77AB2" w14:textId="0C77DCD3" w:rsidR="00DE56C8" w:rsidRDefault="00DE56C8">
      <w:pPr>
        <w:spacing w:before="0" w:after="160"/>
        <w:rPr>
          <w:rFonts w:eastAsia="Aptos" w:cs="Arial"/>
          <w:lang w:eastAsia="en-US"/>
        </w:rPr>
      </w:pPr>
      <w:r>
        <w:rPr>
          <w:rFonts w:eastAsia="Aptos" w:cs="Arial"/>
          <w:lang w:eastAsia="en-US"/>
        </w:rPr>
        <w:br w:type="page"/>
      </w:r>
    </w:p>
    <w:p w14:paraId="468AE1CB" w14:textId="77777777" w:rsidR="00E25937" w:rsidRPr="00694546" w:rsidRDefault="00E25937" w:rsidP="00E35DD3">
      <w:pPr>
        <w:pStyle w:val="Heading1"/>
        <w:rPr>
          <w:lang w:eastAsia="en-US"/>
        </w:rPr>
      </w:pPr>
      <w:bookmarkStart w:id="30" w:name="_ERC_Reference_List"/>
      <w:bookmarkEnd w:id="30"/>
      <w:r w:rsidRPr="00694546">
        <w:rPr>
          <w:lang w:eastAsia="en-US"/>
        </w:rPr>
        <w:lastRenderedPageBreak/>
        <w:t>ERC Reference List</w:t>
      </w:r>
    </w:p>
    <w:p w14:paraId="59050E7F" w14:textId="77777777" w:rsidR="00E25937" w:rsidRPr="00694546" w:rsidRDefault="00E25937">
      <w:pPr>
        <w:rPr>
          <w:rFonts w:eastAsia="Aptos" w:cs="Arial"/>
          <w:i/>
          <w:iCs/>
          <w:color w:val="000000"/>
          <w:lang w:eastAsia="en-US"/>
        </w:rPr>
      </w:pPr>
      <w:hyperlink w:anchor="_ERC_Evidence_Summary" w:history="1">
        <w:r w:rsidRPr="00694546">
          <w:rPr>
            <w:rFonts w:eastAsia="Aptos" w:cs="Arial"/>
            <w:i/>
            <w:iCs/>
            <w:color w:val="467886"/>
            <w:u w:val="single"/>
            <w:lang w:eastAsia="en-US"/>
          </w:rPr>
          <w:t>Link to ERC Evidence Summary</w:t>
        </w:r>
      </w:hyperlink>
    </w:p>
    <w:p w14:paraId="320A119A" w14:textId="77777777" w:rsidR="00E25937" w:rsidRPr="00694546" w:rsidRDefault="00E25937" w:rsidP="0069467F">
      <w:pPr>
        <w:pStyle w:val="Heading2"/>
        <w:rPr>
          <w:lang w:eastAsia="en-US"/>
        </w:rPr>
      </w:pPr>
      <w:r w:rsidRPr="00694546">
        <w:rPr>
          <w:lang w:eastAsia="en-US"/>
        </w:rPr>
        <w:t>Reviews</w:t>
      </w:r>
    </w:p>
    <w:p w14:paraId="47521743" w14:textId="77777777" w:rsidR="00E25937" w:rsidRPr="00694546" w:rsidRDefault="00E25937">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694546">
        <w:rPr>
          <w:rFonts w:eastAsia="Arial" w:cs="Arial"/>
          <w:i/>
          <w:color w:val="000000"/>
          <w:lang w:eastAsia="en-US"/>
        </w:rPr>
        <w:t>No references identified</w:t>
      </w:r>
    </w:p>
    <w:p w14:paraId="335348C5" w14:textId="77777777" w:rsidR="00E25937" w:rsidRPr="00694546" w:rsidRDefault="00E25937" w:rsidP="0069467F">
      <w:pPr>
        <w:pStyle w:val="Heading2"/>
        <w:rPr>
          <w:lang w:eastAsia="en-US"/>
        </w:rPr>
      </w:pPr>
      <w:r w:rsidRPr="00694546">
        <w:rPr>
          <w:lang w:eastAsia="en-US"/>
        </w:rPr>
        <w:t>Measurement Properties</w:t>
      </w:r>
    </w:p>
    <w:p w14:paraId="1D1B88D5" w14:textId="082C642F" w:rsidR="00E25937" w:rsidRPr="00694546" w:rsidRDefault="00E25937">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694546">
        <w:rPr>
          <w:rFonts w:eastAsia="Arial" w:cs="Arial"/>
          <w:color w:val="000000"/>
          <w:lang w:eastAsia="en-US"/>
        </w:rPr>
        <w:t xml:space="preserve">Berkovits L, Blacher J, Eisenhower A, Daniel S. (2023). The Emotion Regulation Checklist with </w:t>
      </w:r>
      <w:r w:rsidR="000B26CE">
        <w:rPr>
          <w:rFonts w:eastAsia="Arial" w:cs="Arial"/>
          <w:color w:val="000000"/>
          <w:lang w:eastAsia="en-US"/>
        </w:rPr>
        <w:t>y</w:t>
      </w:r>
      <w:r w:rsidRPr="00694546">
        <w:rPr>
          <w:rFonts w:eastAsia="Arial" w:cs="Arial"/>
          <w:color w:val="000000"/>
          <w:lang w:eastAsia="en-US"/>
        </w:rPr>
        <w:t xml:space="preserve">oung </w:t>
      </w:r>
      <w:r w:rsidR="000B26CE">
        <w:rPr>
          <w:rFonts w:eastAsia="Arial" w:cs="Arial"/>
          <w:color w:val="000000"/>
          <w:lang w:eastAsia="en-US"/>
        </w:rPr>
        <w:t>a</w:t>
      </w:r>
      <w:r w:rsidRPr="00694546">
        <w:rPr>
          <w:rFonts w:eastAsia="Arial" w:cs="Arial"/>
          <w:color w:val="000000"/>
          <w:lang w:eastAsia="en-US"/>
        </w:rPr>
        <w:t xml:space="preserve">utistic </w:t>
      </w:r>
      <w:r w:rsidR="000B26CE">
        <w:rPr>
          <w:rFonts w:eastAsia="Arial" w:cs="Arial"/>
          <w:color w:val="000000"/>
          <w:lang w:eastAsia="en-US"/>
        </w:rPr>
        <w:t>c</w:t>
      </w:r>
      <w:r w:rsidRPr="00694546">
        <w:rPr>
          <w:rFonts w:eastAsia="Arial" w:cs="Arial"/>
          <w:color w:val="000000"/>
          <w:lang w:eastAsia="en-US"/>
        </w:rPr>
        <w:t xml:space="preserve">hildren: Data </w:t>
      </w:r>
      <w:r w:rsidR="000B26CE">
        <w:rPr>
          <w:rFonts w:eastAsia="Arial" w:cs="Arial"/>
          <w:color w:val="000000"/>
          <w:lang w:eastAsia="en-US"/>
        </w:rPr>
        <w:t>s</w:t>
      </w:r>
      <w:r w:rsidRPr="00694546">
        <w:rPr>
          <w:rFonts w:eastAsia="Arial" w:cs="Arial"/>
          <w:color w:val="000000"/>
          <w:lang w:eastAsia="en-US"/>
        </w:rPr>
        <w:t xml:space="preserve">et for </w:t>
      </w:r>
      <w:r w:rsidR="000B26CE">
        <w:rPr>
          <w:rFonts w:eastAsia="Arial" w:cs="Arial"/>
          <w:color w:val="000000"/>
          <w:lang w:eastAsia="en-US"/>
        </w:rPr>
        <w:t>c</w:t>
      </w:r>
      <w:r w:rsidRPr="00694546">
        <w:rPr>
          <w:rFonts w:eastAsia="Arial" w:cs="Arial"/>
          <w:color w:val="000000"/>
          <w:lang w:eastAsia="en-US"/>
        </w:rPr>
        <w:t xml:space="preserve">omparative </w:t>
      </w:r>
      <w:r w:rsidR="000B26CE">
        <w:rPr>
          <w:rFonts w:eastAsia="Arial" w:cs="Arial"/>
          <w:color w:val="000000"/>
          <w:lang w:eastAsia="en-US"/>
        </w:rPr>
        <w:t>u</w:t>
      </w:r>
      <w:r w:rsidRPr="00694546">
        <w:rPr>
          <w:rFonts w:eastAsia="Arial" w:cs="Arial"/>
          <w:color w:val="000000"/>
          <w:lang w:eastAsia="en-US"/>
        </w:rPr>
        <w:t xml:space="preserve">se in </w:t>
      </w:r>
      <w:r w:rsidR="000B26CE">
        <w:rPr>
          <w:rFonts w:eastAsia="Arial" w:cs="Arial"/>
          <w:color w:val="000000"/>
          <w:lang w:eastAsia="en-US"/>
        </w:rPr>
        <w:t>i</w:t>
      </w:r>
      <w:r w:rsidRPr="00694546">
        <w:rPr>
          <w:rFonts w:eastAsia="Arial" w:cs="Arial"/>
          <w:color w:val="000000"/>
          <w:lang w:eastAsia="en-US"/>
        </w:rPr>
        <w:t xml:space="preserve">ntervention </w:t>
      </w:r>
      <w:r w:rsidR="000B26CE">
        <w:rPr>
          <w:rFonts w:eastAsia="Arial" w:cs="Arial"/>
          <w:color w:val="000000"/>
          <w:lang w:eastAsia="en-US"/>
        </w:rPr>
        <w:t>s</w:t>
      </w:r>
      <w:r w:rsidRPr="00694546">
        <w:rPr>
          <w:rFonts w:eastAsia="Arial" w:cs="Arial"/>
          <w:color w:val="000000"/>
          <w:lang w:eastAsia="en-US"/>
        </w:rPr>
        <w:t xml:space="preserve">tudies. </w:t>
      </w:r>
      <w:r w:rsidRPr="00694546">
        <w:rPr>
          <w:rFonts w:eastAsia="Arial" w:cs="Arial"/>
          <w:i/>
          <w:color w:val="000000"/>
          <w:lang w:eastAsia="en-US"/>
        </w:rPr>
        <w:t xml:space="preserve">J Autism Dev </w:t>
      </w:r>
      <w:proofErr w:type="spellStart"/>
      <w:r w:rsidRPr="00694546">
        <w:rPr>
          <w:rFonts w:eastAsia="Arial" w:cs="Arial"/>
          <w:i/>
          <w:color w:val="000000"/>
          <w:lang w:eastAsia="en-US"/>
        </w:rPr>
        <w:t>Disord</w:t>
      </w:r>
      <w:proofErr w:type="spellEnd"/>
      <w:r w:rsidRPr="00694546">
        <w:rPr>
          <w:rFonts w:eastAsia="Arial" w:cs="Arial"/>
          <w:color w:val="000000"/>
          <w:lang w:eastAsia="en-US"/>
        </w:rPr>
        <w:t xml:space="preserve">, </w:t>
      </w:r>
      <w:r w:rsidR="00396405">
        <w:rPr>
          <w:rFonts w:eastAsia="Arial" w:cs="Arial"/>
          <w:color w:val="000000"/>
          <w:lang w:eastAsia="en-US"/>
        </w:rPr>
        <w:t>55:2009-2013</w:t>
      </w:r>
      <w:r w:rsidRPr="00694546">
        <w:rPr>
          <w:rFonts w:eastAsia="Arial" w:cs="Arial"/>
          <w:color w:val="000000"/>
          <w:lang w:eastAsia="en-US"/>
        </w:rPr>
        <w:t>.</w:t>
      </w:r>
      <w:r w:rsidRPr="00694546">
        <w:rPr>
          <w:rFonts w:eastAsia="Arial" w:cs="Arial"/>
          <w:color w:val="0000FF"/>
          <w:u w:val="single"/>
          <w:lang w:eastAsia="en-US"/>
        </w:rPr>
        <w:t xml:space="preserve"> https://doi.org/10.1007/s10803-023-05991-y</w:t>
      </w:r>
    </w:p>
    <w:p w14:paraId="445D0FFF" w14:textId="77777777" w:rsidR="00E25937" w:rsidRPr="00694546" w:rsidRDefault="00E25937" w:rsidP="00DE56C8">
      <w:pPr>
        <w:pStyle w:val="Heading2"/>
        <w:rPr>
          <w:lang w:eastAsia="en-US"/>
        </w:rPr>
      </w:pPr>
      <w:r w:rsidRPr="00694546">
        <w:rPr>
          <w:lang w:eastAsia="en-US"/>
        </w:rPr>
        <w:t>Cultural Adaptations</w:t>
      </w:r>
    </w:p>
    <w:p w14:paraId="413B8174" w14:textId="77777777" w:rsidR="00E25937" w:rsidRPr="00694546" w:rsidRDefault="00E25937">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694546">
        <w:rPr>
          <w:rFonts w:eastAsia="Arial" w:cs="Arial"/>
          <w:color w:val="000000"/>
          <w:lang w:eastAsia="en-US"/>
        </w:rPr>
        <w:t xml:space="preserve">Jamal FN, Dzulkarnain AAA, </w:t>
      </w:r>
      <w:proofErr w:type="spellStart"/>
      <w:r w:rsidRPr="00694546">
        <w:rPr>
          <w:rFonts w:eastAsia="Arial" w:cs="Arial"/>
          <w:color w:val="000000"/>
          <w:lang w:eastAsia="en-US"/>
        </w:rPr>
        <w:t>Shahrudin</w:t>
      </w:r>
      <w:proofErr w:type="spellEnd"/>
      <w:r w:rsidRPr="00694546">
        <w:rPr>
          <w:rFonts w:eastAsia="Arial" w:cs="Arial"/>
          <w:color w:val="000000"/>
          <w:lang w:eastAsia="en-US"/>
        </w:rPr>
        <w:t xml:space="preserve"> FA, Musa R, Sidek SN, Yusof HM, Khalid M. (2021). Translation, validation and cross-cultural adaptation of the Malay emotion regulation checklist (ERC-M): A preliminary study. </w:t>
      </w:r>
      <w:r w:rsidRPr="00694546">
        <w:rPr>
          <w:rFonts w:eastAsia="Arial" w:cs="Arial"/>
          <w:i/>
          <w:color w:val="000000"/>
          <w:lang w:eastAsia="en-US"/>
        </w:rPr>
        <w:t>Med J Malaysia</w:t>
      </w:r>
      <w:r w:rsidRPr="00694546">
        <w:rPr>
          <w:rFonts w:eastAsia="Arial" w:cs="Arial"/>
          <w:color w:val="000000"/>
          <w:lang w:eastAsia="en-US"/>
        </w:rPr>
        <w:t>, 76(5):680-684.</w:t>
      </w:r>
    </w:p>
    <w:p w14:paraId="22E2147C" w14:textId="52168986" w:rsidR="00E25937" w:rsidRPr="00694546" w:rsidRDefault="00E25937">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694546">
        <w:rPr>
          <w:rFonts w:eastAsia="Arial" w:cs="Arial"/>
          <w:color w:val="000000"/>
          <w:lang w:eastAsia="en-US"/>
        </w:rPr>
        <w:t xml:space="preserve">Meybodi, F., </w:t>
      </w:r>
      <w:proofErr w:type="spellStart"/>
      <w:r w:rsidRPr="00694546">
        <w:rPr>
          <w:rFonts w:eastAsia="Arial" w:cs="Arial"/>
          <w:color w:val="000000"/>
          <w:lang w:eastAsia="en-US"/>
        </w:rPr>
        <w:t>Mohammadkhani</w:t>
      </w:r>
      <w:proofErr w:type="spellEnd"/>
      <w:r w:rsidRPr="00694546">
        <w:rPr>
          <w:rFonts w:eastAsia="Arial" w:cs="Arial"/>
          <w:color w:val="000000"/>
          <w:lang w:eastAsia="en-US"/>
        </w:rPr>
        <w:t xml:space="preserve">, P., &amp; </w:t>
      </w:r>
      <w:proofErr w:type="spellStart"/>
      <w:r w:rsidRPr="00694546">
        <w:rPr>
          <w:rFonts w:eastAsia="Arial" w:cs="Arial"/>
          <w:color w:val="000000"/>
          <w:lang w:eastAsia="en-US"/>
        </w:rPr>
        <w:t>Pourshahbaz</w:t>
      </w:r>
      <w:proofErr w:type="spellEnd"/>
      <w:r w:rsidRPr="00694546">
        <w:rPr>
          <w:rFonts w:eastAsia="Arial" w:cs="Arial"/>
          <w:color w:val="000000"/>
          <w:lang w:eastAsia="en-US"/>
        </w:rPr>
        <w:t xml:space="preserve">, A. (2018). Psychometric Properties of the Persian Version of the Emotion Regulation Checklist. </w:t>
      </w:r>
      <w:r w:rsidRPr="00694546">
        <w:rPr>
          <w:rFonts w:eastAsia="Arial" w:cs="Arial"/>
          <w:i/>
          <w:color w:val="000000"/>
          <w:lang w:eastAsia="en-US"/>
        </w:rPr>
        <w:t>World family medicine/Middle East Journal of Family Medicine</w:t>
      </w:r>
      <w:r w:rsidRPr="00694546">
        <w:rPr>
          <w:rFonts w:eastAsia="Arial" w:cs="Arial"/>
          <w:color w:val="000000"/>
          <w:lang w:eastAsia="en-US"/>
        </w:rPr>
        <w:t xml:space="preserve">, </w:t>
      </w:r>
      <w:r w:rsidR="00B22EE0">
        <w:rPr>
          <w:rFonts w:eastAsia="Arial" w:cs="Arial"/>
          <w:color w:val="000000"/>
          <w:lang w:eastAsia="en-US"/>
        </w:rPr>
        <w:t>16(2):187-192</w:t>
      </w:r>
      <w:r w:rsidRPr="00694546">
        <w:rPr>
          <w:rFonts w:eastAsia="Arial" w:cs="Arial"/>
          <w:color w:val="000000"/>
          <w:lang w:eastAsia="en-US"/>
        </w:rPr>
        <w:t>.</w:t>
      </w:r>
      <w:r w:rsidRPr="00694546">
        <w:rPr>
          <w:rFonts w:eastAsia="Arial" w:cs="Arial"/>
          <w:color w:val="0000FF"/>
          <w:u w:val="single"/>
          <w:lang w:eastAsia="en-US"/>
        </w:rPr>
        <w:t xml:space="preserve"> https://doi.org/10.5742/MEWFM.2018.93260</w:t>
      </w:r>
    </w:p>
    <w:p w14:paraId="5638AE9D" w14:textId="4DBE6171" w:rsidR="00E25937" w:rsidRPr="00694546" w:rsidRDefault="00E25937">
      <w:pPr>
        <w:pBdr>
          <w:top w:val="none" w:sz="0" w:space="0" w:color="000000"/>
          <w:left w:val="none" w:sz="0" w:space="0" w:color="000000"/>
          <w:bottom w:val="none" w:sz="0" w:space="0" w:color="000000"/>
          <w:right w:val="none" w:sz="0" w:space="0" w:color="000000"/>
        </w:pBdr>
        <w:rPr>
          <w:rFonts w:ascii="Aptos" w:eastAsia="Aptos" w:hAnsi="Aptos" w:cs="Arial"/>
          <w:lang w:eastAsia="en-US"/>
        </w:rPr>
      </w:pPr>
      <w:proofErr w:type="spellStart"/>
      <w:r w:rsidRPr="00694546">
        <w:rPr>
          <w:rFonts w:eastAsia="Arial" w:cs="Arial"/>
          <w:color w:val="000000"/>
          <w:lang w:eastAsia="en-US"/>
        </w:rPr>
        <w:t>Danisman</w:t>
      </w:r>
      <w:proofErr w:type="spellEnd"/>
      <w:r w:rsidRPr="00694546">
        <w:rPr>
          <w:rFonts w:eastAsia="Arial" w:cs="Arial"/>
          <w:color w:val="000000"/>
          <w:lang w:eastAsia="en-US"/>
        </w:rPr>
        <w:t xml:space="preserve">, S., Iman, E., Demircan, Z., &amp; Yaya, D. (2016). Examining the </w:t>
      </w:r>
      <w:r w:rsidR="00787136">
        <w:rPr>
          <w:rFonts w:eastAsia="Arial" w:cs="Arial"/>
          <w:color w:val="000000"/>
          <w:lang w:eastAsia="en-US"/>
        </w:rPr>
        <w:t>p</w:t>
      </w:r>
      <w:r w:rsidRPr="00694546">
        <w:rPr>
          <w:rFonts w:eastAsia="Arial" w:cs="Arial"/>
          <w:color w:val="000000"/>
          <w:lang w:eastAsia="en-US"/>
        </w:rPr>
        <w:t xml:space="preserve">sychometric </w:t>
      </w:r>
      <w:r w:rsidR="00787136">
        <w:rPr>
          <w:rFonts w:eastAsia="Arial" w:cs="Arial"/>
          <w:color w:val="000000"/>
          <w:lang w:eastAsia="en-US"/>
        </w:rPr>
        <w:t>p</w:t>
      </w:r>
      <w:r w:rsidRPr="00694546">
        <w:rPr>
          <w:rFonts w:eastAsia="Arial" w:cs="Arial"/>
          <w:color w:val="000000"/>
          <w:lang w:eastAsia="en-US"/>
        </w:rPr>
        <w:t>roperties of the</w:t>
      </w:r>
      <w:r w:rsidR="00787136">
        <w:rPr>
          <w:rFonts w:eastAsia="Arial" w:cs="Arial"/>
          <w:color w:val="000000"/>
          <w:lang w:eastAsia="en-US"/>
        </w:rPr>
        <w:t xml:space="preserve"> “</w:t>
      </w:r>
      <w:r w:rsidRPr="00694546">
        <w:rPr>
          <w:rFonts w:eastAsia="Arial" w:cs="Arial"/>
          <w:color w:val="000000"/>
          <w:lang w:eastAsia="en-US"/>
        </w:rPr>
        <w:t>Emotional Regulation Checklist" in 4- and 5-</w:t>
      </w:r>
      <w:r w:rsidR="00787136">
        <w:rPr>
          <w:rFonts w:eastAsia="Arial" w:cs="Arial"/>
          <w:color w:val="000000"/>
          <w:lang w:eastAsia="en-US"/>
        </w:rPr>
        <w:t>y</w:t>
      </w:r>
      <w:r w:rsidRPr="00694546">
        <w:rPr>
          <w:rFonts w:eastAsia="Arial" w:cs="Arial"/>
          <w:color w:val="000000"/>
          <w:lang w:eastAsia="en-US"/>
        </w:rPr>
        <w:t>ear-</w:t>
      </w:r>
      <w:r w:rsidR="00787136">
        <w:rPr>
          <w:rFonts w:eastAsia="Arial" w:cs="Arial"/>
          <w:color w:val="000000"/>
          <w:lang w:eastAsia="en-US"/>
        </w:rPr>
        <w:t>o</w:t>
      </w:r>
      <w:r w:rsidRPr="00694546">
        <w:rPr>
          <w:rFonts w:eastAsia="Arial" w:cs="Arial"/>
          <w:color w:val="000000"/>
          <w:lang w:eastAsia="en-US"/>
        </w:rPr>
        <w:t xml:space="preserve">ld </w:t>
      </w:r>
      <w:r w:rsidR="00787136">
        <w:rPr>
          <w:rFonts w:eastAsia="Arial" w:cs="Arial"/>
          <w:color w:val="000000"/>
          <w:lang w:eastAsia="en-US"/>
        </w:rPr>
        <w:t>p</w:t>
      </w:r>
      <w:r w:rsidRPr="00694546">
        <w:rPr>
          <w:rFonts w:eastAsia="Arial" w:cs="Arial"/>
          <w:color w:val="000000"/>
          <w:lang w:eastAsia="en-US"/>
        </w:rPr>
        <w:t xml:space="preserve">reschoolers. </w:t>
      </w:r>
      <w:r w:rsidRPr="00694546">
        <w:rPr>
          <w:rFonts w:eastAsia="Arial" w:cs="Arial"/>
          <w:i/>
          <w:color w:val="000000"/>
          <w:lang w:eastAsia="en-US"/>
        </w:rPr>
        <w:t>Electronic Journal of Research in Educational Psychology</w:t>
      </w:r>
      <w:r w:rsidRPr="00694546">
        <w:rPr>
          <w:rFonts w:eastAsia="Arial" w:cs="Arial"/>
          <w:color w:val="000000"/>
          <w:lang w:eastAsia="en-US"/>
        </w:rPr>
        <w:t xml:space="preserve">, </w:t>
      </w:r>
      <w:r w:rsidR="004A1200">
        <w:rPr>
          <w:rFonts w:eastAsia="Arial" w:cs="Arial"/>
          <w:color w:val="000000"/>
          <w:lang w:eastAsia="en-US"/>
        </w:rPr>
        <w:t>14(3):534</w:t>
      </w:r>
      <w:r w:rsidR="00DA724F">
        <w:rPr>
          <w:rFonts w:eastAsia="Arial" w:cs="Arial"/>
          <w:color w:val="000000"/>
          <w:lang w:eastAsia="en-US"/>
        </w:rPr>
        <w:t>-556</w:t>
      </w:r>
    </w:p>
    <w:p w14:paraId="578FA782" w14:textId="13695824" w:rsidR="00E25937" w:rsidRPr="00694546" w:rsidRDefault="00E25937">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694546">
        <w:rPr>
          <w:rFonts w:eastAsia="Arial" w:cs="Arial"/>
          <w:color w:val="000000"/>
          <w:lang w:eastAsia="en-US"/>
        </w:rPr>
        <w:t xml:space="preserve">Reis, A., &amp; Oliveira, S. (2016). Emotion Regulation Checklist (ERC): Preliminary </w:t>
      </w:r>
      <w:r w:rsidR="00787136">
        <w:rPr>
          <w:rFonts w:eastAsia="Arial" w:cs="Arial"/>
          <w:color w:val="000000"/>
          <w:lang w:eastAsia="en-US"/>
        </w:rPr>
        <w:t>s</w:t>
      </w:r>
      <w:r w:rsidRPr="00694546">
        <w:rPr>
          <w:rFonts w:eastAsia="Arial" w:cs="Arial"/>
          <w:color w:val="000000"/>
          <w:lang w:eastAsia="en-US"/>
        </w:rPr>
        <w:t xml:space="preserve">tudies of </w:t>
      </w:r>
      <w:r w:rsidR="00787136">
        <w:rPr>
          <w:rFonts w:eastAsia="Arial" w:cs="Arial"/>
          <w:color w:val="000000"/>
          <w:lang w:eastAsia="en-US"/>
        </w:rPr>
        <w:t>c</w:t>
      </w:r>
      <w:r w:rsidRPr="00694546">
        <w:rPr>
          <w:rFonts w:eastAsia="Arial" w:cs="Arial"/>
          <w:color w:val="000000"/>
          <w:lang w:eastAsia="en-US"/>
        </w:rPr>
        <w:t>ross-</w:t>
      </w:r>
      <w:r w:rsidR="00787136">
        <w:rPr>
          <w:rFonts w:eastAsia="Arial" w:cs="Arial"/>
          <w:color w:val="000000"/>
          <w:lang w:eastAsia="en-US"/>
        </w:rPr>
        <w:t>c</w:t>
      </w:r>
      <w:r w:rsidRPr="00694546">
        <w:rPr>
          <w:rFonts w:eastAsia="Arial" w:cs="Arial"/>
          <w:color w:val="000000"/>
          <w:lang w:eastAsia="en-US"/>
        </w:rPr>
        <w:t xml:space="preserve">ultural </w:t>
      </w:r>
      <w:r w:rsidR="00787136">
        <w:rPr>
          <w:rFonts w:eastAsia="Arial" w:cs="Arial"/>
          <w:color w:val="000000"/>
          <w:lang w:eastAsia="en-US"/>
        </w:rPr>
        <w:t>a</w:t>
      </w:r>
      <w:r w:rsidRPr="00694546">
        <w:rPr>
          <w:rFonts w:eastAsia="Arial" w:cs="Arial"/>
          <w:color w:val="000000"/>
          <w:lang w:eastAsia="en-US"/>
        </w:rPr>
        <w:t xml:space="preserve">daptation and </w:t>
      </w:r>
      <w:r w:rsidR="00787136">
        <w:rPr>
          <w:rFonts w:eastAsia="Arial" w:cs="Arial"/>
          <w:color w:val="000000"/>
          <w:lang w:eastAsia="en-US"/>
        </w:rPr>
        <w:t>v</w:t>
      </w:r>
      <w:r w:rsidRPr="00694546">
        <w:rPr>
          <w:rFonts w:eastAsia="Arial" w:cs="Arial"/>
          <w:color w:val="000000"/>
          <w:lang w:eastAsia="en-US"/>
        </w:rPr>
        <w:t xml:space="preserve">alidation for </w:t>
      </w:r>
      <w:r w:rsidR="00787136">
        <w:rPr>
          <w:rFonts w:eastAsia="Arial" w:cs="Arial"/>
          <w:color w:val="000000"/>
          <w:lang w:eastAsia="en-US"/>
        </w:rPr>
        <w:t>u</w:t>
      </w:r>
      <w:r w:rsidRPr="00694546">
        <w:rPr>
          <w:rFonts w:eastAsia="Arial" w:cs="Arial"/>
          <w:color w:val="000000"/>
          <w:lang w:eastAsia="en-US"/>
        </w:rPr>
        <w:t xml:space="preserve">se in Brazil. </w:t>
      </w:r>
      <w:r w:rsidRPr="00694546">
        <w:rPr>
          <w:rFonts w:eastAsia="Arial" w:cs="Arial"/>
          <w:i/>
          <w:color w:val="000000"/>
          <w:lang w:eastAsia="en-US"/>
        </w:rPr>
        <w:t xml:space="preserve">Trends in Psychology/Temas </w:t>
      </w:r>
      <w:proofErr w:type="spellStart"/>
      <w:r w:rsidRPr="00694546">
        <w:rPr>
          <w:rFonts w:eastAsia="Arial" w:cs="Arial"/>
          <w:i/>
          <w:color w:val="000000"/>
          <w:lang w:eastAsia="en-US"/>
        </w:rPr>
        <w:t>em</w:t>
      </w:r>
      <w:proofErr w:type="spellEnd"/>
      <w:r w:rsidRPr="00694546">
        <w:rPr>
          <w:rFonts w:eastAsia="Arial" w:cs="Arial"/>
          <w:i/>
          <w:color w:val="000000"/>
          <w:lang w:eastAsia="en-US"/>
        </w:rPr>
        <w:t xml:space="preserve"> </w:t>
      </w:r>
      <w:proofErr w:type="spellStart"/>
      <w:r w:rsidRPr="00694546">
        <w:rPr>
          <w:rFonts w:eastAsia="Arial" w:cs="Arial"/>
          <w:i/>
          <w:color w:val="000000"/>
          <w:lang w:eastAsia="en-US"/>
        </w:rPr>
        <w:t>Psicologia</w:t>
      </w:r>
      <w:proofErr w:type="spellEnd"/>
      <w:r w:rsidRPr="000D41CA">
        <w:rPr>
          <w:rFonts w:eastAsia="Arial" w:cs="Arial"/>
          <w:color w:val="000000"/>
          <w:lang w:eastAsia="en-US"/>
        </w:rPr>
        <w:t>, 24</w:t>
      </w:r>
      <w:r w:rsidR="004E30D6" w:rsidRPr="000D41CA">
        <w:rPr>
          <w:rFonts w:eastAsia="Arial" w:cs="Arial"/>
          <w:iCs/>
          <w:color w:val="000000"/>
          <w:lang w:eastAsia="en-US"/>
        </w:rPr>
        <w:t>(</w:t>
      </w:r>
      <w:r w:rsidRPr="000D41CA">
        <w:rPr>
          <w:rFonts w:eastAsia="Arial" w:cs="Arial"/>
          <w:color w:val="000000"/>
          <w:lang w:eastAsia="en-US"/>
        </w:rPr>
        <w:t>1</w:t>
      </w:r>
      <w:r w:rsidR="004E30D6" w:rsidRPr="000D41CA">
        <w:rPr>
          <w:rFonts w:eastAsia="Arial" w:cs="Arial"/>
          <w:iCs/>
          <w:color w:val="000000"/>
          <w:lang w:eastAsia="en-US"/>
        </w:rPr>
        <w:t>):</w:t>
      </w:r>
      <w:r w:rsidRPr="000D41CA">
        <w:rPr>
          <w:rFonts w:eastAsia="Arial" w:cs="Arial"/>
          <w:color w:val="000000"/>
          <w:lang w:eastAsia="en-US"/>
        </w:rPr>
        <w:t>97-116</w:t>
      </w:r>
      <w:r w:rsidRPr="00694546">
        <w:rPr>
          <w:rFonts w:eastAsia="Arial" w:cs="Arial"/>
          <w:color w:val="000000"/>
          <w:lang w:eastAsia="en-US"/>
        </w:rPr>
        <w:t>.</w:t>
      </w:r>
      <w:r w:rsidRPr="00694546">
        <w:rPr>
          <w:rFonts w:eastAsia="Arial" w:cs="Arial"/>
          <w:color w:val="0000FF"/>
          <w:u w:val="single"/>
          <w:lang w:eastAsia="en-US"/>
        </w:rPr>
        <w:t xml:space="preserve"> https://doi.org/10.9788/TP2016.1-07</w:t>
      </w:r>
    </w:p>
    <w:p w14:paraId="3D1A0456" w14:textId="3F0FF7E8" w:rsidR="00E25937" w:rsidRPr="00694546" w:rsidRDefault="00E25937">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694546">
        <w:rPr>
          <w:rFonts w:eastAsia="Arial" w:cs="Arial"/>
          <w:color w:val="000000"/>
          <w:lang w:eastAsia="en-US"/>
        </w:rPr>
        <w:t xml:space="preserve">Molina, P., Sala, M., Zappulla, C., </w:t>
      </w:r>
      <w:proofErr w:type="spellStart"/>
      <w:r w:rsidRPr="00694546">
        <w:rPr>
          <w:rFonts w:eastAsia="Arial" w:cs="Arial"/>
          <w:color w:val="000000"/>
          <w:lang w:eastAsia="en-US"/>
        </w:rPr>
        <w:t>Bonfigliuoli</w:t>
      </w:r>
      <w:proofErr w:type="spellEnd"/>
      <w:r w:rsidRPr="00694546">
        <w:rPr>
          <w:rFonts w:eastAsia="Arial" w:cs="Arial"/>
          <w:color w:val="000000"/>
          <w:lang w:eastAsia="en-US"/>
        </w:rPr>
        <w:t xml:space="preserve">, C., Cavioni, V., Zanetti, M., Baiocco, R., Laghi, F., Pallini, S., De Stasio, S., </w:t>
      </w:r>
      <w:proofErr w:type="spellStart"/>
      <w:r w:rsidRPr="00694546">
        <w:rPr>
          <w:rFonts w:eastAsia="Arial" w:cs="Arial"/>
          <w:color w:val="000000"/>
          <w:lang w:eastAsia="en-US"/>
        </w:rPr>
        <w:t>Raccanello</w:t>
      </w:r>
      <w:proofErr w:type="spellEnd"/>
      <w:r w:rsidRPr="00694546">
        <w:rPr>
          <w:rFonts w:eastAsia="Arial" w:cs="Arial"/>
          <w:color w:val="000000"/>
          <w:lang w:eastAsia="en-US"/>
        </w:rPr>
        <w:t xml:space="preserve">, D., &amp; Cicchetti, D. (2014). The Emotion Regulation Checklist – Italian translation. Validation of parent and teacher versions. </w:t>
      </w:r>
      <w:r w:rsidRPr="00694546">
        <w:rPr>
          <w:rFonts w:eastAsia="Arial" w:cs="Arial"/>
          <w:i/>
          <w:color w:val="000000"/>
          <w:lang w:eastAsia="en-US"/>
        </w:rPr>
        <w:t>European Journal of Developmental Psychology</w:t>
      </w:r>
      <w:r w:rsidRPr="00694546">
        <w:rPr>
          <w:rFonts w:eastAsia="Arial" w:cs="Arial"/>
          <w:color w:val="000000"/>
          <w:lang w:eastAsia="en-US"/>
        </w:rPr>
        <w:t xml:space="preserve">, </w:t>
      </w:r>
      <w:r w:rsidR="0014425C">
        <w:rPr>
          <w:rFonts w:eastAsia="Arial" w:cs="Arial"/>
          <w:color w:val="000000"/>
          <w:lang w:eastAsia="en-US"/>
        </w:rPr>
        <w:t>11(5):624-634</w:t>
      </w:r>
      <w:r w:rsidRPr="00694546">
        <w:rPr>
          <w:rFonts w:eastAsia="Arial" w:cs="Arial"/>
          <w:color w:val="000000"/>
          <w:lang w:eastAsia="en-US"/>
        </w:rPr>
        <w:t>.</w:t>
      </w:r>
      <w:r w:rsidRPr="00694546">
        <w:rPr>
          <w:rFonts w:eastAsia="Arial" w:cs="Arial"/>
          <w:color w:val="0000FF"/>
          <w:u w:val="single"/>
          <w:lang w:eastAsia="en-US"/>
        </w:rPr>
        <w:t xml:space="preserve"> https://doi.org/10.1080/17405629.2014.898581</w:t>
      </w:r>
    </w:p>
    <w:p w14:paraId="2A25367A" w14:textId="77777777" w:rsidR="00E25937" w:rsidRPr="00694546" w:rsidRDefault="00E25937" w:rsidP="00DE56C8">
      <w:pPr>
        <w:pStyle w:val="Heading2"/>
        <w:rPr>
          <w:lang w:eastAsia="en-US"/>
        </w:rPr>
      </w:pPr>
      <w:r w:rsidRPr="00694546">
        <w:rPr>
          <w:lang w:eastAsia="en-US"/>
        </w:rPr>
        <w:t>Outcome Studies</w:t>
      </w:r>
    </w:p>
    <w:p w14:paraId="70A7BAFD" w14:textId="31A76EAC" w:rsidR="00E25937" w:rsidRDefault="00E25937">
      <w:pPr>
        <w:pBdr>
          <w:top w:val="none" w:sz="0" w:space="0" w:color="000000"/>
          <w:left w:val="none" w:sz="0" w:space="0" w:color="000000"/>
          <w:bottom w:val="none" w:sz="0" w:space="0" w:color="000000"/>
          <w:right w:val="none" w:sz="0" w:space="0" w:color="000000"/>
        </w:pBdr>
        <w:rPr>
          <w:rFonts w:eastAsia="Arial" w:cs="Arial"/>
          <w:color w:val="0000FF"/>
          <w:u w:val="single"/>
          <w:lang w:eastAsia="en-US"/>
        </w:rPr>
      </w:pPr>
      <w:proofErr w:type="spellStart"/>
      <w:r w:rsidRPr="00694546">
        <w:rPr>
          <w:rFonts w:eastAsia="Arial" w:cs="Arial"/>
          <w:color w:val="000000"/>
          <w:lang w:eastAsia="en-US"/>
        </w:rPr>
        <w:t>Chennaz</w:t>
      </w:r>
      <w:proofErr w:type="spellEnd"/>
      <w:r w:rsidRPr="00694546">
        <w:rPr>
          <w:rFonts w:eastAsia="Arial" w:cs="Arial"/>
          <w:color w:val="000000"/>
          <w:lang w:eastAsia="en-US"/>
        </w:rPr>
        <w:t xml:space="preserve"> L, Valente D, </w:t>
      </w:r>
      <w:proofErr w:type="spellStart"/>
      <w:r w:rsidRPr="00694546">
        <w:rPr>
          <w:rFonts w:eastAsia="Arial" w:cs="Arial"/>
          <w:color w:val="000000"/>
          <w:lang w:eastAsia="en-US"/>
        </w:rPr>
        <w:t>Baltenneck</w:t>
      </w:r>
      <w:proofErr w:type="spellEnd"/>
      <w:r w:rsidRPr="00694546">
        <w:rPr>
          <w:rFonts w:eastAsia="Arial" w:cs="Arial"/>
          <w:color w:val="000000"/>
          <w:lang w:eastAsia="en-US"/>
        </w:rPr>
        <w:t xml:space="preserve"> N, Baudouin JY, </w:t>
      </w:r>
      <w:proofErr w:type="spellStart"/>
      <w:r w:rsidRPr="00694546">
        <w:rPr>
          <w:rFonts w:eastAsia="Arial" w:cs="Arial"/>
          <w:color w:val="000000"/>
          <w:lang w:eastAsia="en-US"/>
        </w:rPr>
        <w:t>Gentaz</w:t>
      </w:r>
      <w:proofErr w:type="spellEnd"/>
      <w:r w:rsidRPr="00694546">
        <w:rPr>
          <w:rFonts w:eastAsia="Arial" w:cs="Arial"/>
          <w:color w:val="000000"/>
          <w:lang w:eastAsia="en-US"/>
        </w:rPr>
        <w:t xml:space="preserve"> E. (2022). Emotion regulation in blind and visually impaired children aged 3 to 12 years assessed by a </w:t>
      </w:r>
      <w:r w:rsidRPr="00694546">
        <w:rPr>
          <w:rFonts w:eastAsia="Arial" w:cs="Arial"/>
          <w:color w:val="000000"/>
          <w:lang w:eastAsia="en-US"/>
        </w:rPr>
        <w:lastRenderedPageBreak/>
        <w:t xml:space="preserve">parental questionnaire. </w:t>
      </w:r>
      <w:r w:rsidRPr="00694546">
        <w:rPr>
          <w:rFonts w:eastAsia="Arial" w:cs="Arial"/>
          <w:i/>
          <w:color w:val="000000"/>
          <w:lang w:eastAsia="en-US"/>
        </w:rPr>
        <w:t>Acta Psychol (</w:t>
      </w:r>
      <w:proofErr w:type="spellStart"/>
      <w:r w:rsidRPr="00694546">
        <w:rPr>
          <w:rFonts w:eastAsia="Arial" w:cs="Arial"/>
          <w:i/>
          <w:color w:val="000000"/>
          <w:lang w:eastAsia="en-US"/>
        </w:rPr>
        <w:t>Amst</w:t>
      </w:r>
      <w:proofErr w:type="spellEnd"/>
      <w:r w:rsidRPr="00694546">
        <w:rPr>
          <w:rFonts w:eastAsia="Arial" w:cs="Arial"/>
          <w:i/>
          <w:color w:val="000000"/>
          <w:lang w:eastAsia="en-US"/>
        </w:rPr>
        <w:t>)</w:t>
      </w:r>
      <w:r w:rsidRPr="00694546">
        <w:rPr>
          <w:rFonts w:eastAsia="Arial" w:cs="Arial"/>
          <w:color w:val="000000"/>
          <w:lang w:eastAsia="en-US"/>
        </w:rPr>
        <w:t xml:space="preserve">, </w:t>
      </w:r>
      <w:r w:rsidR="00E971E5">
        <w:rPr>
          <w:rFonts w:eastAsia="Arial" w:cs="Arial"/>
          <w:color w:val="000000"/>
          <w:lang w:eastAsia="en-US"/>
        </w:rPr>
        <w:t>225:103553</w:t>
      </w:r>
      <w:r w:rsidRPr="00694546">
        <w:rPr>
          <w:rFonts w:eastAsia="Arial" w:cs="Arial"/>
          <w:color w:val="000000"/>
          <w:lang w:eastAsia="en-US"/>
        </w:rPr>
        <w:t>.</w:t>
      </w:r>
      <w:r w:rsidRPr="00694546">
        <w:rPr>
          <w:rFonts w:eastAsia="Arial" w:cs="Arial"/>
          <w:color w:val="0000FF"/>
          <w:u w:val="single"/>
          <w:lang w:eastAsia="en-US"/>
        </w:rPr>
        <w:t xml:space="preserve"> </w:t>
      </w:r>
      <w:hyperlink r:id="rId31" w:history="1">
        <w:r w:rsidR="002956B4" w:rsidRPr="00E861DE">
          <w:rPr>
            <w:rStyle w:val="Hyperlink"/>
            <w:rFonts w:eastAsia="Arial" w:cs="Arial"/>
            <w:lang w:eastAsia="en-US"/>
          </w:rPr>
          <w:t>https://doi.org/</w:t>
        </w:r>
        <w:bookmarkStart w:id="31" w:name="_Hlt198823264"/>
        <w:bookmarkStart w:id="32" w:name="_Hlt198823265"/>
        <w:r w:rsidR="002956B4" w:rsidRPr="00E861DE">
          <w:rPr>
            <w:rStyle w:val="Hyperlink"/>
            <w:rFonts w:eastAsia="Arial" w:cs="Arial"/>
            <w:lang w:eastAsia="en-US"/>
          </w:rPr>
          <w:t>1</w:t>
        </w:r>
        <w:bookmarkEnd w:id="31"/>
        <w:bookmarkEnd w:id="32"/>
        <w:r w:rsidR="002956B4" w:rsidRPr="00E861DE">
          <w:rPr>
            <w:rStyle w:val="Hyperlink"/>
            <w:rFonts w:eastAsia="Arial" w:cs="Arial"/>
            <w:lang w:eastAsia="en-US"/>
          </w:rPr>
          <w:t>0.1016/j.actpsy.2022.103553</w:t>
        </w:r>
      </w:hyperlink>
    </w:p>
    <w:p w14:paraId="5581A5DB" w14:textId="77777777" w:rsidR="007750F5" w:rsidRDefault="009B6C21" w:rsidP="007750F5">
      <w:pPr>
        <w:rPr>
          <w:rFonts w:ascii="Aptos" w:eastAsia="Aptos" w:hAnsi="Aptos" w:cs="Arial"/>
          <w:lang w:eastAsia="en-US"/>
        </w:rPr>
        <w:sectPr w:rsidR="007750F5" w:rsidSect="009B6C21">
          <w:pgSz w:w="11906" w:h="16838"/>
          <w:pgMar w:top="1440" w:right="1440" w:bottom="1440" w:left="1440" w:header="708" w:footer="708" w:gutter="0"/>
          <w:cols w:space="708"/>
          <w:docGrid w:linePitch="360"/>
        </w:sectPr>
      </w:pPr>
      <w:r>
        <w:rPr>
          <w:rFonts w:ascii="Aptos" w:eastAsia="Aptos" w:hAnsi="Aptos" w:cs="Arial"/>
          <w:lang w:eastAsia="en-US"/>
        </w:rPr>
        <w:br w:type="page"/>
      </w:r>
    </w:p>
    <w:p w14:paraId="6D124664" w14:textId="77777777" w:rsidR="009B6C21" w:rsidRDefault="009B6C21" w:rsidP="007750F5">
      <w:pPr>
        <w:rPr>
          <w:rFonts w:ascii="Aptos" w:eastAsia="Aptos" w:hAnsi="Aptos" w:cs="Arial"/>
          <w:lang w:eastAsia="en-US"/>
        </w:rPr>
      </w:pPr>
    </w:p>
    <w:p w14:paraId="19B1B170" w14:textId="0469E211" w:rsidR="009B6C21" w:rsidRDefault="009B6C21">
      <w:pPr>
        <w:jc w:val="center"/>
      </w:pPr>
      <w:r>
        <w:rPr>
          <w:noProof/>
        </w:rPr>
        <w:drawing>
          <wp:anchor distT="0" distB="0" distL="114300" distR="114300" simplePos="0" relativeHeight="251658265" behindDoc="0" locked="1" layoutInCell="1" allowOverlap="1" wp14:anchorId="300842D0" wp14:editId="47F7DF8F">
            <wp:simplePos x="0" y="0"/>
            <wp:positionH relativeFrom="page">
              <wp:posOffset>0</wp:posOffset>
            </wp:positionH>
            <wp:positionV relativeFrom="page">
              <wp:posOffset>2559685</wp:posOffset>
            </wp:positionV>
            <wp:extent cx="7563485" cy="935990"/>
            <wp:effectExtent l="0" t="0" r="5715" b="3810"/>
            <wp:wrapNone/>
            <wp:docPr id="1147277692"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7" behindDoc="1" locked="1" layoutInCell="1" allowOverlap="1" wp14:anchorId="0B483B0F" wp14:editId="6D0E5436">
            <wp:simplePos x="0" y="0"/>
            <wp:positionH relativeFrom="page">
              <wp:posOffset>0</wp:posOffset>
            </wp:positionH>
            <wp:positionV relativeFrom="page">
              <wp:posOffset>0</wp:posOffset>
            </wp:positionV>
            <wp:extent cx="7563485" cy="2267585"/>
            <wp:effectExtent l="0" t="0" r="5715" b="5715"/>
            <wp:wrapNone/>
            <wp:docPr id="59971093"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50F0C2E8" w14:textId="77777777" w:rsidR="009B6C21" w:rsidRDefault="009B6C21">
      <w:pPr>
        <w:jc w:val="center"/>
      </w:pPr>
    </w:p>
    <w:p w14:paraId="3F721CBB" w14:textId="77777777" w:rsidR="009B6C21" w:rsidRDefault="009B6C21">
      <w:pPr>
        <w:tabs>
          <w:tab w:val="left" w:pos="5465"/>
        </w:tabs>
        <w:spacing w:line="300" w:lineRule="auto"/>
      </w:pPr>
      <w:r>
        <w:rPr>
          <w:rFonts w:ascii="Arial Bold" w:eastAsia="Arial Bold" w:hAnsi="Arial Bold" w:cs="Arial Bold"/>
          <w:b/>
          <w:bCs/>
          <w:color w:val="000F46"/>
          <w:sz w:val="40"/>
          <w:szCs w:val="40"/>
        </w:rPr>
        <w:t xml:space="preserve"> </w:t>
      </w:r>
      <w:r>
        <w:rPr>
          <w:rFonts w:ascii="Arial Bold" w:eastAsia="Arial Bold" w:hAnsi="Arial Bold" w:cs="Arial Bold"/>
          <w:b/>
          <w:bCs/>
          <w:color w:val="000F46"/>
          <w:sz w:val="40"/>
          <w:szCs w:val="40"/>
        </w:rPr>
        <w:tab/>
      </w:r>
    </w:p>
    <w:p w14:paraId="17C4F705" w14:textId="77777777" w:rsidR="009B6C21" w:rsidRDefault="009B6C21">
      <w:pPr>
        <w:spacing w:line="300" w:lineRule="auto"/>
      </w:pPr>
      <w:r>
        <w:rPr>
          <w:rFonts w:ascii="Canva Sans" w:eastAsia="Canva Sans" w:hAnsi="Canva Sans" w:cs="Canva Sans"/>
          <w:color w:val="000000"/>
        </w:rPr>
        <w:t xml:space="preserve"> </w:t>
      </w:r>
    </w:p>
    <w:p w14:paraId="4DC5659F" w14:textId="77777777" w:rsidR="009B6C21" w:rsidRDefault="009B6C21">
      <w:pPr>
        <w:spacing w:line="300" w:lineRule="auto"/>
        <w:rPr>
          <w:rFonts w:eastAsia="Canva Sans" w:cs="Arial"/>
          <w:b/>
          <w:bCs/>
          <w:color w:val="000000"/>
          <w:sz w:val="36"/>
          <w:szCs w:val="36"/>
        </w:rPr>
      </w:pPr>
      <w:r>
        <w:rPr>
          <w:noProof/>
        </w:rPr>
        <mc:AlternateContent>
          <mc:Choice Requires="wps">
            <w:drawing>
              <wp:anchor distT="0" distB="0" distL="114300" distR="114300" simplePos="0" relativeHeight="251658266" behindDoc="0" locked="0" layoutInCell="1" allowOverlap="1" wp14:anchorId="59C18A6F" wp14:editId="38AE8B4D">
                <wp:simplePos x="0" y="0"/>
                <wp:positionH relativeFrom="column">
                  <wp:posOffset>50800</wp:posOffset>
                </wp:positionH>
                <wp:positionV relativeFrom="paragraph">
                  <wp:posOffset>268927</wp:posOffset>
                </wp:positionV>
                <wp:extent cx="6470650" cy="882650"/>
                <wp:effectExtent l="0" t="0" r="0" b="0"/>
                <wp:wrapNone/>
                <wp:docPr id="479554529" name="Text Box 1"/>
                <wp:cNvGraphicFramePr/>
                <a:graphic xmlns:a="http://schemas.openxmlformats.org/drawingml/2006/main">
                  <a:graphicData uri="http://schemas.microsoft.com/office/word/2010/wordprocessingShape">
                    <wps:wsp>
                      <wps:cNvSpPr txBox="1"/>
                      <wps:spPr>
                        <a:xfrm>
                          <a:off x="0" y="0"/>
                          <a:ext cx="6470650" cy="882650"/>
                        </a:xfrm>
                        <a:prstGeom prst="rect">
                          <a:avLst/>
                        </a:prstGeom>
                        <a:noFill/>
                        <a:ln w="6350">
                          <a:noFill/>
                        </a:ln>
                      </wps:spPr>
                      <wps:txbx>
                        <w:txbxContent>
                          <w:p w14:paraId="57CA243B" w14:textId="77777777" w:rsidR="009B6C21" w:rsidRPr="00B73670" w:rsidRDefault="009B6C21">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18A6F" id="_x0000_s1033" type="#_x0000_t202" style="position:absolute;margin-left:4pt;margin-top:21.2pt;width:509.5pt;height:6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" filled="f" stroked="f" strokeweight=".5pt">
                <v:textbox>
                  <w:txbxContent>
                    <w:p w14:paraId="57CA243B" w14:textId="77777777" w:rsidR="009B6C21" w:rsidRPr="00B73670" w:rsidRDefault="009B6C21">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txbxContent>
                </v:textbox>
              </v:shape>
            </w:pict>
          </mc:Fallback>
        </mc:AlternateContent>
      </w:r>
    </w:p>
    <w:p w14:paraId="28D85E4E" w14:textId="77777777" w:rsidR="009B6C21" w:rsidRDefault="009B6C21">
      <w:pPr>
        <w:spacing w:line="300" w:lineRule="auto"/>
        <w:rPr>
          <w:rFonts w:eastAsia="Canva Sans" w:cs="Arial"/>
          <w:b/>
          <w:bCs/>
          <w:color w:val="000000"/>
          <w:sz w:val="36"/>
          <w:szCs w:val="36"/>
        </w:rPr>
      </w:pPr>
    </w:p>
    <w:p w14:paraId="0FA68C23" w14:textId="77777777" w:rsidR="009B6C21" w:rsidRDefault="009B6C21">
      <w:pPr>
        <w:spacing w:line="300" w:lineRule="auto"/>
        <w:rPr>
          <w:rFonts w:eastAsia="Canva Sans" w:cs="Arial"/>
          <w:b/>
          <w:bCs/>
          <w:color w:val="000000"/>
          <w:sz w:val="36"/>
          <w:szCs w:val="36"/>
        </w:rPr>
      </w:pPr>
    </w:p>
    <w:p w14:paraId="035ADE3B" w14:textId="77777777" w:rsidR="009B6C21" w:rsidRDefault="009B6C21" w:rsidP="00DE56C8">
      <w:pPr>
        <w:pStyle w:val="Heading1"/>
      </w:pPr>
      <w:bookmarkStart w:id="33" w:name="_The_Functional_Independence"/>
      <w:bookmarkEnd w:id="33"/>
      <w:r w:rsidRPr="00E83DBB">
        <w:t>The Functional Independence Measure for Children (</w:t>
      </w:r>
      <w:proofErr w:type="spellStart"/>
      <w:r w:rsidRPr="00E83DBB">
        <w:t>WeeFIM</w:t>
      </w:r>
      <w:proofErr w:type="spellEnd"/>
      <w:r w:rsidRPr="00E83DBB">
        <w:t xml:space="preserve">) </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9B6C21" w:rsidRPr="008A0216" w14:paraId="32936FDE"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hideMark/>
          </w:tcPr>
          <w:p w14:paraId="500C23CC" w14:textId="77777777" w:rsidR="009B6C21" w:rsidRPr="008A0216" w:rsidRDefault="009B6C21">
            <w:pPr>
              <w:spacing w:after="100"/>
              <w:ind w:left="57" w:right="57"/>
              <w:rPr>
                <w:rFonts w:eastAsia="Aptos" w:cs="Arial"/>
                <w:b/>
                <w:bCs/>
                <w:lang w:eastAsia="en-US"/>
              </w:rPr>
            </w:pPr>
            <w:r w:rsidRPr="008A0216">
              <w:rPr>
                <w:rFonts w:eastAsia="Aptos" w:cs="Arial"/>
                <w:b/>
                <w:bCs/>
                <w:lang w:eastAsia="en-U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7CC622F2" w14:textId="77777777" w:rsidR="009B6C21" w:rsidRPr="008A0216" w:rsidRDefault="009B6C21" w:rsidP="00EC0623">
            <w:pPr>
              <w:spacing w:after="100"/>
              <w:ind w:left="57" w:right="57"/>
              <w:contextualSpacing/>
              <w:rPr>
                <w:rFonts w:eastAsia="Aptos" w:cs="Arial"/>
                <w:b/>
                <w:bCs/>
                <w:lang w:eastAsia="en-US"/>
              </w:rPr>
            </w:pPr>
            <w:r w:rsidRPr="008A0216">
              <w:rPr>
                <w:rFonts w:eastAsia="Aptos" w:cs="Arial"/>
                <w:b/>
                <w:bCs/>
                <w:lang w:eastAsia="en-US"/>
              </w:rPr>
              <w:t>Children:</w:t>
            </w:r>
          </w:p>
          <w:p w14:paraId="583795F3" w14:textId="2CFC80C9" w:rsidR="009B6C21" w:rsidRDefault="009B6C21" w:rsidP="004E3AF4">
            <w:pPr>
              <w:pStyle w:val="ListParagraph"/>
              <w:numPr>
                <w:ilvl w:val="0"/>
                <w:numId w:val="6"/>
              </w:numPr>
              <w:rPr>
                <w:lang w:eastAsia="en-US"/>
              </w:rPr>
            </w:pPr>
            <w:r>
              <w:rPr>
                <w:lang w:eastAsia="en-US"/>
              </w:rPr>
              <w:t>A</w:t>
            </w:r>
            <w:r w:rsidRPr="008A0216">
              <w:rPr>
                <w:lang w:eastAsia="en-US"/>
              </w:rPr>
              <w:t>cquire, develop and generalise new knowledge and skills </w:t>
            </w:r>
          </w:p>
          <w:p w14:paraId="7AA857CD" w14:textId="77777777" w:rsidR="007750F5" w:rsidRDefault="007D5A0C" w:rsidP="00EC0623">
            <w:pPr>
              <w:spacing w:after="100"/>
              <w:ind w:left="70" w:right="57"/>
              <w:contextualSpacing/>
              <w:rPr>
                <w:rFonts w:eastAsia="Aptos" w:cs="Arial"/>
                <w:lang w:eastAsia="en-US"/>
              </w:rPr>
            </w:pPr>
            <w:r>
              <w:rPr>
                <w:rFonts w:eastAsia="Aptos" w:cs="Arial"/>
                <w:lang w:eastAsia="en-US"/>
              </w:rPr>
              <w:t>Provides some information about:</w:t>
            </w:r>
          </w:p>
          <w:p w14:paraId="43A88216" w14:textId="3CB4D831" w:rsidR="009B6C21" w:rsidRPr="00EC0623" w:rsidRDefault="009B6C21" w:rsidP="004E3AF4">
            <w:pPr>
              <w:pStyle w:val="ListParagraph"/>
              <w:numPr>
                <w:ilvl w:val="0"/>
                <w:numId w:val="6"/>
              </w:numPr>
              <w:rPr>
                <w:lang w:eastAsia="en-US"/>
              </w:rPr>
            </w:pPr>
            <w:r w:rsidRPr="00EC0623">
              <w:rPr>
                <w:lang w:eastAsia="en-US"/>
              </w:rPr>
              <w:t>Participate and feel they belong in everyday home, community, ECEC and school environments</w:t>
            </w:r>
          </w:p>
        </w:tc>
      </w:tr>
    </w:tbl>
    <w:p w14:paraId="311290B7" w14:textId="77777777" w:rsidR="009B6C21" w:rsidRPr="008A0216" w:rsidRDefault="009B6C21" w:rsidP="00DE56C8">
      <w:pPr>
        <w:pStyle w:val="Heading1"/>
        <w:rPr>
          <w:lang w:eastAsia="en-US"/>
        </w:rPr>
      </w:pPr>
      <w:proofErr w:type="spellStart"/>
      <w:r w:rsidRPr="008A0216">
        <w:rPr>
          <w:lang w:eastAsia="en-US"/>
        </w:rPr>
        <w:t>WeeFIM</w:t>
      </w:r>
      <w:proofErr w:type="spellEnd"/>
      <w:r w:rsidRPr="008A0216">
        <w:rPr>
          <w:lang w:eastAsia="en-US"/>
        </w:rPr>
        <w:t xml:space="preserve"> Overview</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9B6C21" w:rsidRPr="008A0216" w14:paraId="4316151A"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hideMark/>
          </w:tcPr>
          <w:p w14:paraId="30468E27" w14:textId="77777777" w:rsidR="009B6C21" w:rsidRPr="008A0216" w:rsidRDefault="009B6C21">
            <w:pPr>
              <w:spacing w:after="100"/>
              <w:ind w:left="57" w:right="57"/>
              <w:rPr>
                <w:rFonts w:eastAsia="Aptos" w:cs="Arial"/>
                <w:lang w:eastAsia="en-US"/>
              </w:rPr>
            </w:pPr>
            <w:r w:rsidRPr="008A0216">
              <w:rPr>
                <w:rFonts w:eastAsia="Aptos" w:cs="Arial"/>
                <w:b/>
                <w:bCs/>
                <w:lang w:eastAsia="en-US"/>
              </w:rPr>
              <w:t>General description</w:t>
            </w:r>
            <w:r w:rsidRPr="008A0216">
              <w:rPr>
                <w:rFonts w:eastAsia="Aptos" w:cs="Arial"/>
                <w:lang w:eastAsia="en-US"/>
              </w:rPr>
              <w:t>  </w:t>
            </w:r>
          </w:p>
          <w:p w14:paraId="1DC8478F" w14:textId="77777777" w:rsidR="009B6C21" w:rsidRPr="008A0216" w:rsidRDefault="009B6C21">
            <w:pPr>
              <w:spacing w:after="100" w:line="276" w:lineRule="auto"/>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276E072D" w14:textId="77777777" w:rsidR="009B6C21" w:rsidRPr="008A0216" w:rsidRDefault="009B6C21">
            <w:pPr>
              <w:spacing w:after="100"/>
              <w:ind w:left="57" w:right="57"/>
              <w:rPr>
                <w:rFonts w:eastAsia="Aptos" w:cs="Arial"/>
                <w:lang w:eastAsia="en-US"/>
              </w:rPr>
            </w:pPr>
            <w:r w:rsidRPr="008A0216">
              <w:rPr>
                <w:rFonts w:eastAsia="Aptos" w:cs="Arial"/>
                <w:lang w:eastAsia="en-US"/>
              </w:rPr>
              <w:t xml:space="preserve">The </w:t>
            </w:r>
            <w:proofErr w:type="spellStart"/>
            <w:r w:rsidRPr="008A0216">
              <w:rPr>
                <w:rFonts w:eastAsia="Aptos" w:cs="Arial"/>
                <w:lang w:eastAsia="en-US"/>
              </w:rPr>
              <w:t>WeeFIM</w:t>
            </w:r>
            <w:proofErr w:type="spellEnd"/>
            <w:r w:rsidRPr="008A0216">
              <w:rPr>
                <w:rFonts w:eastAsia="Aptos" w:cs="Arial"/>
                <w:lang w:eastAsia="en-US"/>
              </w:rPr>
              <w:t xml:space="preserve"> is an assessment tool designed to evaluate functional independence in children with disabilities. It is based on the Functional Independence Measure (FIM) for adults but adapted to account for developmental stages of children. The </w:t>
            </w:r>
            <w:proofErr w:type="spellStart"/>
            <w:r w:rsidRPr="008A0216">
              <w:rPr>
                <w:rFonts w:eastAsia="Aptos" w:cs="Arial"/>
                <w:lang w:eastAsia="en-US"/>
              </w:rPr>
              <w:t>WeeFIM</w:t>
            </w:r>
            <w:proofErr w:type="spellEnd"/>
            <w:r w:rsidRPr="008A0216">
              <w:rPr>
                <w:rFonts w:eastAsia="Aptos" w:cs="Arial"/>
                <w:lang w:eastAsia="en-US"/>
              </w:rPr>
              <w:t xml:space="preserve"> can be used to track changes in functional ability during rehabilitation.   </w:t>
            </w:r>
          </w:p>
        </w:tc>
      </w:tr>
      <w:tr w:rsidR="009B6C21" w:rsidRPr="008A0216" w14:paraId="459E856B"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tcPr>
          <w:p w14:paraId="4134526C" w14:textId="77777777" w:rsidR="009B6C21" w:rsidRPr="008A0216" w:rsidRDefault="009B6C21">
            <w:pPr>
              <w:spacing w:after="100"/>
              <w:ind w:left="57" w:right="57"/>
              <w:rPr>
                <w:rFonts w:eastAsia="Aptos" w:cs="Arial"/>
                <w:b/>
                <w:bCs/>
                <w:lang w:eastAsia="en-US"/>
              </w:rPr>
            </w:pPr>
            <w:r w:rsidRPr="008A0216">
              <w:rPr>
                <w:rFonts w:eastAsia="Aptos" w:cs="Arial"/>
                <w:b/>
                <w:bCs/>
                <w:lang w:eastAsia="en-US"/>
              </w:rPr>
              <w:t>Ages</w:t>
            </w:r>
          </w:p>
        </w:tc>
        <w:tc>
          <w:tcPr>
            <w:tcW w:w="7075" w:type="dxa"/>
            <w:tcBorders>
              <w:top w:val="single" w:sz="6" w:space="0" w:color="auto"/>
              <w:left w:val="single" w:sz="6" w:space="0" w:color="auto"/>
              <w:bottom w:val="single" w:sz="6" w:space="0" w:color="auto"/>
              <w:right w:val="single" w:sz="6" w:space="0" w:color="auto"/>
            </w:tcBorders>
          </w:tcPr>
          <w:p w14:paraId="0F4ADA1F" w14:textId="77777777" w:rsidR="009B6C21" w:rsidRPr="008A0216" w:rsidRDefault="009B6C21">
            <w:pPr>
              <w:spacing w:after="100"/>
              <w:ind w:left="57" w:right="57"/>
              <w:rPr>
                <w:rFonts w:eastAsia="Aptos" w:cs="Arial"/>
                <w:lang w:eastAsia="en-US"/>
              </w:rPr>
            </w:pPr>
            <w:r w:rsidRPr="008A0216">
              <w:rPr>
                <w:rFonts w:eastAsia="Aptos" w:cs="Arial"/>
                <w:lang w:eastAsia="en-US"/>
              </w:rPr>
              <w:t>Primarily designed for children aged 6 months to 7 years. It may be used for children with developmental disabilities aged 6 months to 21 years of age.</w:t>
            </w:r>
          </w:p>
        </w:tc>
      </w:tr>
      <w:tr w:rsidR="009B6C21" w:rsidRPr="008A0216" w14:paraId="5A465B0B"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tcPr>
          <w:p w14:paraId="6D712F83" w14:textId="77777777" w:rsidR="009B6C21" w:rsidRPr="008A0216" w:rsidRDefault="009B6C21">
            <w:pPr>
              <w:spacing w:after="100"/>
              <w:ind w:left="57" w:right="57"/>
              <w:rPr>
                <w:rFonts w:eastAsia="Aptos" w:cs="Arial"/>
                <w:lang w:eastAsia="en-US"/>
              </w:rPr>
            </w:pPr>
            <w:r w:rsidRPr="008A0216">
              <w:rPr>
                <w:rFonts w:eastAsia="Aptos" w:cs="Arial"/>
                <w:b/>
                <w:bCs/>
                <w:lang w:eastAsia="en-US"/>
              </w:rPr>
              <w:t>Domains / subscales </w:t>
            </w:r>
            <w:r w:rsidRPr="008A0216">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tcPr>
          <w:p w14:paraId="2A38A608" w14:textId="77777777" w:rsidR="009B6C21" w:rsidRPr="008A0216" w:rsidRDefault="009B6C21">
            <w:pPr>
              <w:spacing w:after="100"/>
              <w:ind w:left="57" w:right="57"/>
              <w:rPr>
                <w:rFonts w:eastAsia="Aptos" w:cs="Arial"/>
                <w:lang w:eastAsia="en-US"/>
              </w:rPr>
            </w:pPr>
            <w:r w:rsidRPr="008A0216">
              <w:rPr>
                <w:rFonts w:eastAsia="Aptos" w:cs="Arial"/>
                <w:lang w:eastAsia="en-US"/>
              </w:rPr>
              <w:t>Functional independence across six subscales: Self-care, Sphincter control, Transfers, Locomotion, Communication and Social cognition.</w:t>
            </w:r>
          </w:p>
        </w:tc>
      </w:tr>
      <w:tr w:rsidR="009B6C21" w:rsidRPr="008A0216" w14:paraId="5D107A24"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hideMark/>
          </w:tcPr>
          <w:p w14:paraId="581FA28A" w14:textId="77777777" w:rsidR="009B6C21" w:rsidRPr="008A0216" w:rsidRDefault="009B6C21">
            <w:pPr>
              <w:spacing w:after="100"/>
              <w:ind w:left="57" w:right="57"/>
              <w:rPr>
                <w:rFonts w:eastAsia="Aptos" w:cs="Arial"/>
                <w:lang w:eastAsia="en-US"/>
              </w:rPr>
            </w:pPr>
            <w:r w:rsidRPr="008A0216">
              <w:rPr>
                <w:rFonts w:eastAsia="Aptos" w:cs="Arial"/>
                <w:b/>
                <w:bCs/>
                <w:lang w:eastAsia="en-US"/>
              </w:rPr>
              <w:lastRenderedPageBreak/>
              <w:t>Cultural adaptation </w:t>
            </w:r>
            <w:r w:rsidRPr="008A0216">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hideMark/>
          </w:tcPr>
          <w:p w14:paraId="50AB7767" w14:textId="77777777" w:rsidR="009B6C21" w:rsidRPr="008A0216" w:rsidRDefault="009B6C21">
            <w:pPr>
              <w:spacing w:after="100"/>
              <w:ind w:left="57" w:right="57"/>
              <w:rPr>
                <w:rFonts w:eastAsia="Aptos" w:cs="Arial"/>
                <w:lang w:eastAsia="en-US"/>
              </w:rPr>
            </w:pPr>
            <w:r w:rsidRPr="008A0216">
              <w:rPr>
                <w:rFonts w:eastAsia="Aptos" w:cs="Arial"/>
                <w:lang w:eastAsia="en-US"/>
              </w:rPr>
              <w:t>Adapted for use in multiple languages, including Chinese, Japanese, Turkish, and Urdu.</w:t>
            </w:r>
          </w:p>
        </w:tc>
      </w:tr>
      <w:tr w:rsidR="009B6C21" w:rsidRPr="008A0216" w14:paraId="1A7543C5"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hideMark/>
          </w:tcPr>
          <w:p w14:paraId="5C2A9B1B" w14:textId="77777777" w:rsidR="009B6C21" w:rsidRPr="008A0216" w:rsidRDefault="009B6C21">
            <w:pPr>
              <w:spacing w:after="100"/>
              <w:ind w:left="57" w:right="57"/>
              <w:rPr>
                <w:rFonts w:eastAsia="Aptos" w:cs="Arial"/>
                <w:lang w:eastAsia="en-US"/>
              </w:rPr>
            </w:pPr>
            <w:r w:rsidRPr="008A0216">
              <w:rPr>
                <w:rFonts w:eastAsia="Aptos" w:cs="Arial"/>
                <w:b/>
                <w:bCs/>
                <w:lang w:eastAsia="en-US"/>
              </w:rPr>
              <w:t>Administration</w:t>
            </w:r>
            <w:r w:rsidRPr="008A0216">
              <w:rPr>
                <w:rFonts w:eastAsia="Aptos" w:cs="Arial"/>
                <w:lang w:eastAsia="en-US"/>
              </w:rPr>
              <w:t>  </w:t>
            </w:r>
          </w:p>
          <w:p w14:paraId="698D4774" w14:textId="77777777" w:rsidR="009B6C21" w:rsidRPr="008A0216" w:rsidRDefault="009B6C21">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6BFB1583" w14:textId="77777777" w:rsidR="009B6C21" w:rsidRPr="008A0216" w:rsidRDefault="009B6C21">
            <w:pPr>
              <w:spacing w:after="100"/>
              <w:ind w:left="57" w:right="57"/>
              <w:rPr>
                <w:rFonts w:eastAsia="Aptos" w:cs="Arial"/>
                <w:lang w:eastAsia="en-US"/>
              </w:rPr>
            </w:pPr>
            <w:r w:rsidRPr="008A0216">
              <w:rPr>
                <w:rFonts w:eastAsia="Aptos" w:cs="Arial"/>
                <w:lang w:eastAsia="en-US"/>
              </w:rPr>
              <w:t xml:space="preserve">The </w:t>
            </w:r>
            <w:proofErr w:type="spellStart"/>
            <w:r w:rsidRPr="008A0216">
              <w:rPr>
                <w:rFonts w:eastAsia="Aptos" w:cs="Arial"/>
                <w:lang w:eastAsia="en-US"/>
              </w:rPr>
              <w:t>WeeFIM</w:t>
            </w:r>
            <w:proofErr w:type="spellEnd"/>
            <w:r w:rsidRPr="008A0216">
              <w:rPr>
                <w:rFonts w:eastAsia="Aptos" w:cs="Arial"/>
                <w:lang w:eastAsia="en-US"/>
              </w:rPr>
              <w:t xml:space="preserve"> is administered by </w:t>
            </w:r>
            <w:proofErr w:type="spellStart"/>
            <w:r w:rsidRPr="008A0216">
              <w:rPr>
                <w:rFonts w:eastAsia="Aptos" w:cs="Arial"/>
                <w:lang w:eastAsia="en-US"/>
              </w:rPr>
              <w:t>WeeFIM</w:t>
            </w:r>
            <w:proofErr w:type="spellEnd"/>
            <w:r w:rsidRPr="008A0216">
              <w:rPr>
                <w:rFonts w:eastAsia="Aptos" w:cs="Arial"/>
                <w:lang w:eastAsia="en-US"/>
              </w:rPr>
              <w:t xml:space="preserve"> credentialed professionals. It takes approximately 20-30 minutes to administer. The </w:t>
            </w:r>
            <w:proofErr w:type="spellStart"/>
            <w:r w:rsidRPr="008A0216">
              <w:rPr>
                <w:rFonts w:eastAsia="Aptos" w:cs="Arial"/>
                <w:lang w:eastAsia="en-US"/>
              </w:rPr>
              <w:t>WeeFIM</w:t>
            </w:r>
            <w:proofErr w:type="spellEnd"/>
            <w:r w:rsidRPr="008A0216">
              <w:rPr>
                <w:rFonts w:eastAsia="Aptos" w:cs="Arial"/>
                <w:lang w:eastAsia="en-US"/>
              </w:rPr>
              <w:t xml:space="preserve"> can be administered through direct observation, interview with the child or caregiver, or telephone interview with the caregiver. </w:t>
            </w:r>
          </w:p>
        </w:tc>
      </w:tr>
      <w:tr w:rsidR="009B6C21" w:rsidRPr="008A0216" w14:paraId="172344BA"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hideMark/>
          </w:tcPr>
          <w:p w14:paraId="1FB595BD" w14:textId="77777777" w:rsidR="009B6C21" w:rsidRPr="008A0216" w:rsidRDefault="009B6C21">
            <w:pPr>
              <w:spacing w:after="100"/>
              <w:ind w:left="57" w:right="57"/>
              <w:rPr>
                <w:rFonts w:eastAsia="Aptos" w:cs="Arial"/>
                <w:lang w:eastAsia="en-US"/>
              </w:rPr>
            </w:pPr>
            <w:r w:rsidRPr="008A0216">
              <w:rPr>
                <w:rFonts w:eastAsia="Aptos" w:cs="Arial"/>
                <w:b/>
                <w:bCs/>
                <w:lang w:eastAsia="en-US"/>
              </w:rPr>
              <w:t>Training requirements</w:t>
            </w:r>
            <w:r w:rsidRPr="008A0216">
              <w:rPr>
                <w:rFonts w:eastAsia="Aptos" w:cs="Arial"/>
                <w:lang w:eastAsia="en-US"/>
              </w:rPr>
              <w:t>  </w:t>
            </w:r>
          </w:p>
          <w:p w14:paraId="143E3DD8" w14:textId="77777777" w:rsidR="009B6C21" w:rsidRPr="008A0216" w:rsidRDefault="009B6C21">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32D73434" w14:textId="77777777" w:rsidR="009B6C21" w:rsidRPr="008A0216" w:rsidRDefault="009B6C21">
            <w:pPr>
              <w:spacing w:after="100"/>
              <w:ind w:left="57" w:right="57"/>
              <w:rPr>
                <w:rFonts w:eastAsia="Aptos" w:cs="Arial"/>
                <w:lang w:eastAsia="en-US"/>
              </w:rPr>
            </w:pPr>
            <w:r w:rsidRPr="008A0216">
              <w:rPr>
                <w:rFonts w:eastAsia="Aptos" w:cs="Arial"/>
                <w:lang w:eastAsia="en-US"/>
              </w:rPr>
              <w:t xml:space="preserve">Registered Nurses, Enrolled Nurses, Doctors, Registrars and Allied Health staff can enrol in a </w:t>
            </w:r>
            <w:proofErr w:type="spellStart"/>
            <w:r w:rsidRPr="008A0216">
              <w:rPr>
                <w:rFonts w:eastAsia="Aptos" w:cs="Arial"/>
                <w:lang w:eastAsia="en-US"/>
              </w:rPr>
              <w:t>WeeFIM</w:t>
            </w:r>
            <w:proofErr w:type="spellEnd"/>
            <w:r w:rsidRPr="008A0216">
              <w:rPr>
                <w:rFonts w:eastAsia="Aptos" w:cs="Arial"/>
                <w:lang w:eastAsia="en-US"/>
              </w:rPr>
              <w:t xml:space="preserve"> training workshop and must pass an online credentialing exam to become a credentialed </w:t>
            </w:r>
            <w:proofErr w:type="spellStart"/>
            <w:r w:rsidRPr="008A0216">
              <w:rPr>
                <w:rFonts w:eastAsia="Aptos" w:cs="Arial"/>
                <w:lang w:eastAsia="en-US"/>
              </w:rPr>
              <w:t>WeeFIM</w:t>
            </w:r>
            <w:proofErr w:type="spellEnd"/>
            <w:r w:rsidRPr="008A0216">
              <w:rPr>
                <w:rFonts w:eastAsia="Aptos" w:cs="Arial"/>
                <w:lang w:eastAsia="en-US"/>
              </w:rPr>
              <w:t xml:space="preserve"> clinician. Credentials are valid for two years, after which recertification is required. </w:t>
            </w:r>
          </w:p>
          <w:p w14:paraId="04FA733B" w14:textId="77777777" w:rsidR="009B6C21" w:rsidRPr="008A0216" w:rsidRDefault="009B6C21">
            <w:pPr>
              <w:spacing w:after="100"/>
              <w:ind w:left="57" w:right="57"/>
              <w:rPr>
                <w:rFonts w:eastAsia="Aptos" w:cs="Arial"/>
                <w:lang w:eastAsia="en-US"/>
              </w:rPr>
            </w:pPr>
            <w:hyperlink r:id="rId32" w:history="1">
              <w:r w:rsidRPr="008A0216">
                <w:rPr>
                  <w:rFonts w:eastAsia="Aptos" w:cs="Arial"/>
                  <w:color w:val="467886"/>
                  <w:u w:val="single"/>
                  <w:lang w:eastAsia="en-US"/>
                </w:rPr>
                <w:t>https://www.uow.edu.au/australasian-health-outcomes-consortium/aroc/fim-weefim/training-credentialing/</w:t>
              </w:r>
            </w:hyperlink>
          </w:p>
        </w:tc>
      </w:tr>
      <w:tr w:rsidR="009B6C21" w:rsidRPr="008A0216" w14:paraId="4845E62E"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hideMark/>
          </w:tcPr>
          <w:p w14:paraId="3F104014" w14:textId="77777777" w:rsidR="009B6C21" w:rsidRPr="008A0216" w:rsidRDefault="009B6C21">
            <w:pPr>
              <w:spacing w:after="100"/>
              <w:ind w:left="57" w:right="57"/>
              <w:rPr>
                <w:rFonts w:eastAsia="Aptos" w:cs="Arial"/>
                <w:b/>
                <w:bCs/>
                <w:lang w:eastAsia="en-US"/>
              </w:rPr>
            </w:pPr>
            <w:r w:rsidRPr="008A0216">
              <w:rPr>
                <w:rFonts w:eastAsia="Aptos" w:cs="Arial"/>
                <w:b/>
                <w:bCs/>
                <w:lang w:eastAsia="en-US"/>
              </w:rPr>
              <w:t>How to access</w:t>
            </w:r>
          </w:p>
          <w:p w14:paraId="6D77150E" w14:textId="77777777" w:rsidR="009B6C21" w:rsidRPr="008A0216" w:rsidRDefault="009B6C21">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0C6FB978" w14:textId="77777777" w:rsidR="009B6C21" w:rsidRPr="008A0216" w:rsidRDefault="009B6C21">
            <w:pPr>
              <w:spacing w:after="100"/>
              <w:ind w:left="57" w:right="57"/>
              <w:rPr>
                <w:rFonts w:eastAsia="Aptos" w:cs="Arial"/>
                <w:lang w:eastAsia="en-US"/>
              </w:rPr>
            </w:pPr>
            <w:r w:rsidRPr="008A0216">
              <w:rPr>
                <w:rFonts w:eastAsia="Aptos" w:cs="Arial"/>
                <w:lang w:eastAsia="en-US"/>
              </w:rPr>
              <w:t xml:space="preserve">The </w:t>
            </w:r>
            <w:proofErr w:type="spellStart"/>
            <w:r w:rsidRPr="008A0216">
              <w:rPr>
                <w:rFonts w:eastAsia="Aptos" w:cs="Arial"/>
                <w:lang w:eastAsia="en-US"/>
              </w:rPr>
              <w:t>WeeFIM</w:t>
            </w:r>
            <w:proofErr w:type="spellEnd"/>
            <w:r w:rsidRPr="008A0216">
              <w:rPr>
                <w:rFonts w:eastAsia="Aptos" w:cs="Arial"/>
                <w:lang w:eastAsia="en-US"/>
              </w:rPr>
              <w:t xml:space="preserve"> is available through the Australasian Rehabilitation Outcomes Centre based at the University of Wollongong.</w:t>
            </w:r>
          </w:p>
          <w:p w14:paraId="352ADBFA" w14:textId="77777777" w:rsidR="009B6C21" w:rsidRPr="008A0216" w:rsidRDefault="009B6C21">
            <w:pPr>
              <w:spacing w:after="100"/>
              <w:ind w:left="57" w:right="57"/>
              <w:rPr>
                <w:rFonts w:eastAsia="Aptos" w:cs="Arial"/>
                <w:lang w:eastAsia="en-US"/>
              </w:rPr>
            </w:pPr>
            <w:hyperlink r:id="rId33">
              <w:r w:rsidRPr="008A0216">
                <w:rPr>
                  <w:rFonts w:eastAsia="Aptos" w:cs="Arial"/>
                  <w:color w:val="467886"/>
                  <w:u w:val="single"/>
                  <w:lang w:eastAsia="en-US"/>
                </w:rPr>
                <w:t>https://www.uow.edu.au/australasian-health-outcomes-consortium/aroc/fim-weefim/</w:t>
              </w:r>
            </w:hyperlink>
            <w:r w:rsidRPr="008A0216">
              <w:rPr>
                <w:rFonts w:eastAsia="Aptos" w:cs="Arial"/>
                <w:lang w:eastAsia="en-US"/>
              </w:rPr>
              <w:t xml:space="preserve"> </w:t>
            </w:r>
          </w:p>
        </w:tc>
      </w:tr>
    </w:tbl>
    <w:p w14:paraId="3DE64BD6" w14:textId="77777777" w:rsidR="0060594E" w:rsidRDefault="0060594E" w:rsidP="0060594E">
      <w:pPr>
        <w:rPr>
          <w:lang w:eastAsia="en-US"/>
        </w:rPr>
      </w:pPr>
      <w:bookmarkStart w:id="34" w:name="_WeeFIM_Evidence_Summary"/>
      <w:bookmarkEnd w:id="34"/>
    </w:p>
    <w:p w14:paraId="7CCF68CD" w14:textId="77777777" w:rsidR="002F5A53" w:rsidRDefault="002F5A53">
      <w:pPr>
        <w:rPr>
          <w:rFonts w:eastAsia="Yu Gothic Light" w:cs="Arial"/>
          <w:b/>
          <w:bCs/>
          <w:color w:val="3F779D"/>
          <w:sz w:val="32"/>
          <w:szCs w:val="32"/>
          <w:lang w:eastAsia="en-US"/>
        </w:rPr>
      </w:pPr>
      <w:r>
        <w:rPr>
          <w:rFonts w:eastAsia="Yu Gothic Light"/>
          <w:lang w:eastAsia="en-US"/>
        </w:rPr>
        <w:br w:type="page"/>
      </w:r>
    </w:p>
    <w:p w14:paraId="50D5EA0D" w14:textId="2D8E0F1B" w:rsidR="009B6C21" w:rsidRPr="008A0216" w:rsidRDefault="009B6C21" w:rsidP="00DE56C8">
      <w:pPr>
        <w:pStyle w:val="Heading1"/>
        <w:rPr>
          <w:lang w:eastAsia="en-US"/>
        </w:rPr>
      </w:pPr>
      <w:bookmarkStart w:id="35" w:name="_WeeFIM_Evidence_Summary_1"/>
      <w:bookmarkEnd w:id="35"/>
      <w:proofErr w:type="spellStart"/>
      <w:r w:rsidRPr="008A0216">
        <w:rPr>
          <w:lang w:eastAsia="en-US"/>
        </w:rPr>
        <w:lastRenderedPageBreak/>
        <w:t>WeeFIM</w:t>
      </w:r>
      <w:proofErr w:type="spellEnd"/>
      <w:r w:rsidRPr="008A0216">
        <w:rPr>
          <w:lang w:eastAsia="en-US"/>
        </w:rPr>
        <w:t xml:space="preserve"> Evidence Summary</w:t>
      </w:r>
    </w:p>
    <w:p w14:paraId="3980E38B" w14:textId="4172B2DB" w:rsidR="009B6C21" w:rsidRPr="008A0216" w:rsidRDefault="009B6C21">
      <w:pPr>
        <w:rPr>
          <w:rFonts w:ascii="Aptos" w:eastAsia="Aptos" w:hAnsi="Aptos" w:cs="Arial"/>
          <w:lang w:eastAsia="en-US"/>
        </w:rPr>
      </w:pPr>
      <w:hyperlink w:anchor="_WeeFIM_Reference_List" w:history="1">
        <w:r w:rsidRPr="0056672D">
          <w:rPr>
            <w:rStyle w:val="Hyperlink"/>
            <w:rFonts w:eastAsia="Aptos" w:cs="Arial"/>
            <w:i/>
            <w:iCs/>
            <w:lang w:eastAsia="en-US"/>
          </w:rPr>
          <w:t xml:space="preserve">Link to </w:t>
        </w:r>
        <w:proofErr w:type="spellStart"/>
        <w:r w:rsidRPr="0056672D">
          <w:rPr>
            <w:rStyle w:val="Hyperlink"/>
            <w:rFonts w:eastAsia="Aptos" w:cs="Arial"/>
            <w:i/>
            <w:iCs/>
            <w:lang w:eastAsia="en-US"/>
          </w:rPr>
          <w:t>WeeFIM</w:t>
        </w:r>
        <w:proofErr w:type="spellEnd"/>
        <w:r w:rsidRPr="0056672D">
          <w:rPr>
            <w:rStyle w:val="Hyperlink"/>
            <w:rFonts w:eastAsia="Aptos" w:cs="Arial"/>
            <w:i/>
            <w:iCs/>
            <w:lang w:eastAsia="en-US"/>
          </w:rPr>
          <w:t xml:space="preserve"> 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9B6C21" w:rsidRPr="008A0216" w14:paraId="3F847194"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tcPr>
          <w:p w14:paraId="20A617C6" w14:textId="77777777" w:rsidR="009B6C21" w:rsidRPr="008A0216" w:rsidRDefault="009B6C21">
            <w:pPr>
              <w:spacing w:after="100" w:line="276" w:lineRule="auto"/>
              <w:ind w:left="57" w:right="57"/>
              <w:rPr>
                <w:rFonts w:eastAsia="Aptos" w:cs="Arial"/>
                <w:b/>
                <w:bCs/>
                <w:lang w:eastAsia="en-US"/>
              </w:rPr>
            </w:pPr>
            <w:r w:rsidRPr="008A0216">
              <w:rPr>
                <w:rFonts w:eastAsia="Aptos" w:cs="Arial"/>
                <w:b/>
                <w:bCs/>
                <w:lang w:eastAsia="en-US"/>
              </w:rPr>
              <w:t>Overview</w:t>
            </w:r>
          </w:p>
          <w:p w14:paraId="1EEADD53" w14:textId="77777777" w:rsidR="009B6C21" w:rsidRPr="008A0216" w:rsidRDefault="009B6C21">
            <w:pPr>
              <w:spacing w:after="100" w:line="276" w:lineRule="auto"/>
              <w:ind w:left="57" w:right="57"/>
              <w:rPr>
                <w:rFonts w:eastAsia="Aptos" w:cs="Arial"/>
                <w:i/>
                <w:iCs/>
                <w:lang w:eastAsia="en-US"/>
              </w:rPr>
            </w:pPr>
          </w:p>
        </w:tc>
        <w:tc>
          <w:tcPr>
            <w:tcW w:w="7075" w:type="dxa"/>
            <w:tcBorders>
              <w:top w:val="single" w:sz="6" w:space="0" w:color="auto"/>
              <w:left w:val="single" w:sz="6" w:space="0" w:color="auto"/>
              <w:bottom w:val="single" w:sz="6" w:space="0" w:color="auto"/>
              <w:right w:val="single" w:sz="6" w:space="0" w:color="auto"/>
            </w:tcBorders>
          </w:tcPr>
          <w:p w14:paraId="33397D30" w14:textId="77777777" w:rsidR="009B6C21" w:rsidRPr="008A0216" w:rsidRDefault="009B6C21">
            <w:pPr>
              <w:spacing w:after="100" w:line="276" w:lineRule="auto"/>
              <w:ind w:left="57" w:right="57"/>
              <w:rPr>
                <w:rFonts w:eastAsia="Aptos" w:cs="Arial"/>
                <w:color w:val="000000"/>
                <w:lang w:eastAsia="en-US"/>
              </w:rPr>
            </w:pPr>
            <w:r w:rsidRPr="008A0216">
              <w:rPr>
                <w:rFonts w:eastAsia="Aptos" w:cs="Arial"/>
                <w:color w:val="000000"/>
                <w:lang w:eastAsia="en-US"/>
              </w:rPr>
              <w:t xml:space="preserve">28 studies were identified reporting on the measurement properties of the </w:t>
            </w:r>
            <w:proofErr w:type="spellStart"/>
            <w:r w:rsidRPr="008A0216">
              <w:rPr>
                <w:rFonts w:eastAsia="Aptos" w:cs="Arial"/>
                <w:color w:val="000000"/>
                <w:lang w:eastAsia="en-US"/>
              </w:rPr>
              <w:t>WeeFIM</w:t>
            </w:r>
            <w:proofErr w:type="spellEnd"/>
            <w:r w:rsidRPr="008A0216">
              <w:rPr>
                <w:rFonts w:eastAsia="Aptos" w:cs="Arial"/>
                <w:color w:val="000000"/>
                <w:lang w:eastAsia="en-US"/>
              </w:rPr>
              <w:t xml:space="preserve"> (1994-2024).</w:t>
            </w:r>
          </w:p>
        </w:tc>
      </w:tr>
      <w:tr w:rsidR="009B6C21" w:rsidRPr="008A0216" w14:paraId="2C018461"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tcPr>
          <w:p w14:paraId="57061E1F" w14:textId="77777777" w:rsidR="009B6C21" w:rsidRPr="008A0216" w:rsidRDefault="009B6C21">
            <w:pPr>
              <w:spacing w:after="100" w:line="276" w:lineRule="auto"/>
              <w:ind w:left="57" w:right="57"/>
              <w:rPr>
                <w:rFonts w:eastAsia="Aptos" w:cs="Arial"/>
                <w:b/>
                <w:bCs/>
                <w:lang w:eastAsia="en-US"/>
              </w:rPr>
            </w:pPr>
            <w:r w:rsidRPr="008A0216">
              <w:rPr>
                <w:rFonts w:eastAsia="Aptos" w:cs="Arial"/>
                <w:b/>
                <w:bCs/>
                <w:lang w:eastAsia="en-US"/>
              </w:rPr>
              <w:t>Review papers</w:t>
            </w:r>
          </w:p>
        </w:tc>
        <w:tc>
          <w:tcPr>
            <w:tcW w:w="7075" w:type="dxa"/>
            <w:tcBorders>
              <w:top w:val="single" w:sz="6" w:space="0" w:color="auto"/>
              <w:left w:val="single" w:sz="6" w:space="0" w:color="auto"/>
              <w:bottom w:val="single" w:sz="6" w:space="0" w:color="auto"/>
              <w:right w:val="single" w:sz="6" w:space="0" w:color="auto"/>
            </w:tcBorders>
          </w:tcPr>
          <w:p w14:paraId="20BE5F8F" w14:textId="77777777" w:rsidR="009B6C21" w:rsidRPr="008A0216" w:rsidRDefault="009B6C21">
            <w:pPr>
              <w:spacing w:after="100" w:line="276" w:lineRule="auto"/>
              <w:ind w:left="57" w:right="57"/>
              <w:rPr>
                <w:rFonts w:eastAsia="Aptos" w:cs="Arial"/>
                <w:color w:val="000000"/>
                <w:lang w:eastAsia="en-US"/>
              </w:rPr>
            </w:pPr>
            <w:r w:rsidRPr="008A0216">
              <w:rPr>
                <w:rFonts w:eastAsia="Aptos" w:cs="Arial"/>
                <w:color w:val="000000"/>
                <w:lang w:eastAsia="en-US"/>
              </w:rPr>
              <w:t xml:space="preserve">5 systematic reviews exploring the psychometric properties of the </w:t>
            </w:r>
            <w:proofErr w:type="spellStart"/>
            <w:r w:rsidRPr="008A0216">
              <w:rPr>
                <w:rFonts w:eastAsia="Aptos" w:cs="Arial"/>
                <w:color w:val="000000"/>
                <w:lang w:eastAsia="en-US"/>
              </w:rPr>
              <w:t>WeeFIM</w:t>
            </w:r>
            <w:proofErr w:type="spellEnd"/>
            <w:r w:rsidRPr="008A0216">
              <w:rPr>
                <w:rFonts w:eastAsia="Aptos" w:cs="Arial"/>
                <w:color w:val="000000"/>
                <w:lang w:eastAsia="en-US"/>
              </w:rPr>
              <w:t>, including for its use in children with Cerebral Palsy (Spain, 2020), children with disabilities 0 to 6 years of age (The Netherlands, 2015) and as a measure of capacity in activities of daily living in children with Developmental Coordination Disorder (The Netherlands, 2015).</w:t>
            </w:r>
          </w:p>
          <w:p w14:paraId="4264B1B0" w14:textId="77777777" w:rsidR="009B6C21" w:rsidRPr="008A0216" w:rsidRDefault="009B6C21">
            <w:pPr>
              <w:spacing w:after="100" w:line="276" w:lineRule="auto"/>
              <w:ind w:left="57" w:right="57"/>
              <w:rPr>
                <w:rFonts w:eastAsia="Aptos" w:cs="Arial"/>
                <w:color w:val="000000"/>
                <w:lang w:eastAsia="en-US"/>
              </w:rPr>
            </w:pPr>
            <w:r w:rsidRPr="008A0216">
              <w:rPr>
                <w:rFonts w:eastAsia="Aptos" w:cs="Arial"/>
                <w:color w:val="000000"/>
                <w:lang w:eastAsia="en-US"/>
              </w:rPr>
              <w:t xml:space="preserve">The </w:t>
            </w:r>
            <w:proofErr w:type="spellStart"/>
            <w:r w:rsidRPr="008A0216">
              <w:rPr>
                <w:rFonts w:eastAsia="Aptos" w:cs="Arial"/>
                <w:color w:val="000000"/>
                <w:lang w:eastAsia="en-US"/>
              </w:rPr>
              <w:t>WeeFIM</w:t>
            </w:r>
            <w:proofErr w:type="spellEnd"/>
            <w:r w:rsidRPr="008A0216">
              <w:rPr>
                <w:rFonts w:eastAsia="Aptos" w:cs="Arial"/>
                <w:color w:val="000000"/>
                <w:lang w:eastAsia="en-US"/>
              </w:rPr>
              <w:t xml:space="preserve"> is recommended for children following moderate to severe TBI following a review by the Australian Traumatic Brain Injury Initiative (Australia, 2024) and has been explored in a systematic review comparing the </w:t>
            </w:r>
            <w:proofErr w:type="spellStart"/>
            <w:r w:rsidRPr="008A0216">
              <w:rPr>
                <w:rFonts w:eastAsia="Aptos" w:cs="Arial"/>
                <w:color w:val="000000"/>
                <w:lang w:eastAsia="en-US"/>
              </w:rPr>
              <w:t>WeeFIM</w:t>
            </w:r>
            <w:proofErr w:type="spellEnd"/>
            <w:r w:rsidRPr="008A0216">
              <w:rPr>
                <w:rFonts w:eastAsia="Aptos" w:cs="Arial"/>
                <w:color w:val="000000"/>
                <w:lang w:eastAsia="en-US"/>
              </w:rPr>
              <w:t xml:space="preserve"> and PEDI in neurorehabilitation for children with acquired brain injury (UK, 2017).</w:t>
            </w:r>
          </w:p>
        </w:tc>
      </w:tr>
      <w:tr w:rsidR="009B6C21" w:rsidRPr="008A0216" w14:paraId="4F39823A"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tcPr>
          <w:p w14:paraId="5140561A" w14:textId="77777777" w:rsidR="009B6C21" w:rsidRPr="008A0216" w:rsidRDefault="009B6C21">
            <w:pPr>
              <w:spacing w:after="100" w:line="276" w:lineRule="auto"/>
              <w:ind w:left="57" w:right="57"/>
              <w:rPr>
                <w:rFonts w:eastAsia="Aptos" w:cs="Arial"/>
                <w:b/>
                <w:bCs/>
                <w:lang w:eastAsia="en-US"/>
              </w:rPr>
            </w:pPr>
            <w:r w:rsidRPr="008A0216">
              <w:rPr>
                <w:rFonts w:eastAsia="Aptos" w:cs="Arial"/>
                <w:b/>
                <w:bCs/>
                <w:lang w:eastAsia="en-U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2C340D9F" w14:textId="77777777" w:rsidR="009B6C21" w:rsidRPr="008A0216" w:rsidRDefault="009B6C21">
            <w:pPr>
              <w:spacing w:after="100" w:line="276" w:lineRule="auto"/>
              <w:ind w:left="57" w:right="57"/>
              <w:rPr>
                <w:rFonts w:eastAsia="Aptos" w:cs="Arial"/>
                <w:color w:val="000000"/>
                <w:lang w:eastAsia="en-US"/>
              </w:rPr>
            </w:pPr>
            <w:r w:rsidRPr="008A0216">
              <w:rPr>
                <w:rFonts w:eastAsia="Aptos" w:cs="Arial"/>
                <w:color w:val="000000"/>
                <w:lang w:eastAsia="en-US"/>
              </w:rPr>
              <w:t xml:space="preserve">The </w:t>
            </w:r>
            <w:proofErr w:type="spellStart"/>
            <w:r w:rsidRPr="008A0216">
              <w:rPr>
                <w:rFonts w:eastAsia="Aptos" w:cs="Arial"/>
                <w:color w:val="000000"/>
                <w:lang w:eastAsia="en-US"/>
              </w:rPr>
              <w:t>WeeFIM</w:t>
            </w:r>
            <w:proofErr w:type="spellEnd"/>
            <w:r w:rsidRPr="008A0216">
              <w:rPr>
                <w:rFonts w:eastAsia="Aptos" w:cs="Arial"/>
                <w:color w:val="000000"/>
                <w:lang w:eastAsia="en-US"/>
              </w:rPr>
              <w:t xml:space="preserve"> has established reliability across raters and time for children with developmental disabilities (USA, 1997); good agreement for total ratings when the </w:t>
            </w:r>
            <w:proofErr w:type="spellStart"/>
            <w:r w:rsidRPr="008A0216">
              <w:rPr>
                <w:rFonts w:eastAsia="Aptos" w:cs="Arial"/>
                <w:color w:val="000000"/>
                <w:lang w:eastAsia="en-US"/>
              </w:rPr>
              <w:t>WeeFIM</w:t>
            </w:r>
            <w:proofErr w:type="spellEnd"/>
            <w:r w:rsidRPr="008A0216">
              <w:rPr>
                <w:rFonts w:eastAsia="Aptos" w:cs="Arial"/>
                <w:color w:val="000000"/>
                <w:lang w:eastAsia="en-US"/>
              </w:rPr>
              <w:t xml:space="preserve"> is administered by direct observation and by interview with a parent (USA, 1997); and demonstrated equivalence between direct observation and telephone interview (USA, 1996).</w:t>
            </w:r>
          </w:p>
          <w:p w14:paraId="63FB4EFF" w14:textId="77777777" w:rsidR="009B6C21" w:rsidRPr="008A0216" w:rsidRDefault="009B6C21">
            <w:pPr>
              <w:spacing w:after="100" w:line="276" w:lineRule="auto"/>
              <w:ind w:left="57" w:right="57"/>
              <w:rPr>
                <w:rFonts w:eastAsia="Aptos" w:cs="Arial"/>
                <w:color w:val="000000"/>
                <w:lang w:eastAsia="en-US"/>
              </w:rPr>
            </w:pPr>
            <w:r w:rsidRPr="008A0216">
              <w:rPr>
                <w:rFonts w:eastAsia="Aptos" w:cs="Arial"/>
                <w:color w:val="000000"/>
                <w:lang w:eastAsia="en-US"/>
              </w:rPr>
              <w:t xml:space="preserve">The </w:t>
            </w:r>
            <w:proofErr w:type="spellStart"/>
            <w:r w:rsidRPr="008A0216">
              <w:rPr>
                <w:rFonts w:eastAsia="Aptos" w:cs="Arial"/>
                <w:color w:val="000000"/>
                <w:lang w:eastAsia="en-US"/>
              </w:rPr>
              <w:t>WeeFIM</w:t>
            </w:r>
            <w:proofErr w:type="spellEnd"/>
            <w:r w:rsidRPr="008A0216">
              <w:rPr>
                <w:rFonts w:eastAsia="Aptos" w:cs="Arial"/>
                <w:color w:val="000000"/>
                <w:lang w:eastAsia="en-US"/>
              </w:rPr>
              <w:t xml:space="preserve"> has established concurrent validity with the </w:t>
            </w:r>
            <w:proofErr w:type="spellStart"/>
            <w:r w:rsidRPr="008A0216">
              <w:rPr>
                <w:rFonts w:eastAsia="Aptos" w:cs="Arial"/>
                <w:color w:val="000000"/>
                <w:lang w:eastAsia="en-US"/>
              </w:rPr>
              <w:t>Pediatric</w:t>
            </w:r>
            <w:proofErr w:type="spellEnd"/>
            <w:r w:rsidRPr="008A0216">
              <w:rPr>
                <w:rFonts w:eastAsia="Aptos" w:cs="Arial"/>
                <w:color w:val="000000"/>
                <w:lang w:eastAsia="en-US"/>
              </w:rPr>
              <w:t xml:space="preserve"> Evaluation of Disability Inventory when used with children with developmental disabilities and acquired brain injury (Australia, 2001). </w:t>
            </w:r>
            <w:proofErr w:type="spellStart"/>
            <w:r w:rsidRPr="008A0216">
              <w:rPr>
                <w:rFonts w:eastAsia="Aptos" w:cs="Arial"/>
                <w:color w:val="000000"/>
                <w:lang w:eastAsia="en-US"/>
              </w:rPr>
              <w:t>WeeFIM</w:t>
            </w:r>
            <w:proofErr w:type="spellEnd"/>
            <w:r w:rsidRPr="008A0216">
              <w:rPr>
                <w:rFonts w:eastAsia="Aptos" w:cs="Arial"/>
                <w:color w:val="000000"/>
                <w:lang w:eastAsia="en-US"/>
              </w:rPr>
              <w:t xml:space="preserve"> scores have been associated with level of assistance ratings by parents and teachers for activities of daily living in children with developmental disabilities (USA, 2000). </w:t>
            </w:r>
          </w:p>
          <w:p w14:paraId="3B127C5B" w14:textId="77777777" w:rsidR="009B6C21" w:rsidRPr="008A0216" w:rsidRDefault="009B6C21">
            <w:pPr>
              <w:spacing w:after="100" w:line="276" w:lineRule="auto"/>
              <w:ind w:left="57" w:right="57"/>
              <w:rPr>
                <w:rFonts w:eastAsia="Aptos" w:cs="Arial"/>
                <w:color w:val="000000"/>
                <w:lang w:eastAsia="en-US"/>
              </w:rPr>
            </w:pPr>
            <w:r w:rsidRPr="008A0216">
              <w:rPr>
                <w:rFonts w:eastAsia="Aptos" w:cs="Arial"/>
                <w:color w:val="000000"/>
                <w:lang w:eastAsia="en-US"/>
              </w:rPr>
              <w:t xml:space="preserve">The construct validity of the </w:t>
            </w:r>
            <w:proofErr w:type="spellStart"/>
            <w:r w:rsidRPr="008A0216">
              <w:rPr>
                <w:rFonts w:eastAsia="Aptos" w:cs="Arial"/>
                <w:color w:val="000000"/>
                <w:lang w:eastAsia="en-US"/>
              </w:rPr>
              <w:t>WeeFIM</w:t>
            </w:r>
            <w:proofErr w:type="spellEnd"/>
            <w:r w:rsidRPr="008A0216">
              <w:rPr>
                <w:rFonts w:eastAsia="Aptos" w:cs="Arial"/>
                <w:color w:val="000000"/>
                <w:lang w:eastAsia="en-US"/>
              </w:rPr>
              <w:t xml:space="preserve"> has been explored for children undergoing inpatient rehabilitation (USA, 2005). The tool has demonstrated the ability to detect change over time in functional abilities in children with disabilities (USA, 2000) but there may be significant ceiling effects when used following orthopaedic surgery for children with Cerebral Palsy (USA, 2006). </w:t>
            </w:r>
          </w:p>
        </w:tc>
      </w:tr>
      <w:tr w:rsidR="009B6C21" w:rsidRPr="008A0216" w14:paraId="3CEF5743"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tcPr>
          <w:p w14:paraId="6C45DCBC" w14:textId="77777777" w:rsidR="009B6C21" w:rsidRPr="008A0216" w:rsidRDefault="009B6C21">
            <w:pPr>
              <w:spacing w:after="100" w:line="276" w:lineRule="auto"/>
              <w:ind w:left="57" w:right="57"/>
              <w:rPr>
                <w:rFonts w:eastAsia="Aptos" w:cs="Arial"/>
                <w:b/>
                <w:bCs/>
                <w:lang w:eastAsia="en-US"/>
              </w:rPr>
            </w:pPr>
            <w:r w:rsidRPr="008A0216">
              <w:rPr>
                <w:rFonts w:eastAsia="Aptos" w:cs="Arial"/>
                <w:b/>
                <w:bCs/>
                <w:lang w:eastAsia="en-US"/>
              </w:rPr>
              <w:lastRenderedPageBreak/>
              <w:t xml:space="preserve">Cultural </w:t>
            </w:r>
            <w:r>
              <w:rPr>
                <w:rFonts w:eastAsia="Aptos" w:cs="Arial"/>
                <w:b/>
                <w:bCs/>
                <w:lang w:eastAsia="en-US"/>
              </w:rPr>
              <w:t xml:space="preserve">adaptation </w:t>
            </w:r>
            <w:r w:rsidRPr="008A0216">
              <w:rPr>
                <w:rFonts w:eastAsia="Aptos" w:cs="Arial"/>
                <w:b/>
                <w:bCs/>
                <w:lang w:eastAsia="en-US"/>
              </w:rPr>
              <w:t>papers</w:t>
            </w:r>
          </w:p>
        </w:tc>
        <w:tc>
          <w:tcPr>
            <w:tcW w:w="7075" w:type="dxa"/>
            <w:tcBorders>
              <w:top w:val="single" w:sz="6" w:space="0" w:color="auto"/>
              <w:left w:val="single" w:sz="6" w:space="0" w:color="auto"/>
              <w:bottom w:val="single" w:sz="6" w:space="0" w:color="auto"/>
              <w:right w:val="single" w:sz="6" w:space="0" w:color="auto"/>
            </w:tcBorders>
          </w:tcPr>
          <w:p w14:paraId="4F320731" w14:textId="77777777" w:rsidR="009B6C21" w:rsidRPr="008A0216" w:rsidRDefault="009B6C21">
            <w:pPr>
              <w:spacing w:after="100" w:line="276" w:lineRule="auto"/>
              <w:ind w:left="57" w:right="57"/>
              <w:rPr>
                <w:rFonts w:eastAsia="Aptos" w:cs="Arial"/>
                <w:color w:val="000000"/>
                <w:lang w:eastAsia="en-US"/>
              </w:rPr>
            </w:pPr>
            <w:r w:rsidRPr="008A0216">
              <w:rPr>
                <w:rFonts w:eastAsia="Aptos" w:cs="Arial"/>
                <w:color w:val="000000"/>
                <w:lang w:eastAsia="en-US"/>
              </w:rPr>
              <w:t xml:space="preserve">The measurement properties of the </w:t>
            </w:r>
            <w:proofErr w:type="spellStart"/>
            <w:r w:rsidRPr="008A0216">
              <w:rPr>
                <w:rFonts w:eastAsia="Aptos" w:cs="Arial"/>
                <w:color w:val="000000"/>
                <w:lang w:eastAsia="en-US"/>
              </w:rPr>
              <w:t>WeeFIM</w:t>
            </w:r>
            <w:proofErr w:type="spellEnd"/>
            <w:r w:rsidRPr="008A0216">
              <w:rPr>
                <w:rFonts w:eastAsia="Aptos" w:cs="Arial"/>
                <w:color w:val="000000"/>
                <w:lang w:eastAsia="en-US"/>
              </w:rPr>
              <w:t xml:space="preserve"> have been explored in different cultural contexts including Hong Kong (children from different social classes, children with neurodevelopmental disabilities), Poland (preterm children with very low birthweight), Singapore (paediatric acute encephalitis), South Korea (Cerebral Palsy) and Turkey (Cerebral Palsy). </w:t>
            </w:r>
          </w:p>
          <w:p w14:paraId="4D4AB60C" w14:textId="77777777" w:rsidR="009B6C21" w:rsidRPr="008A0216" w:rsidRDefault="009B6C21">
            <w:pPr>
              <w:spacing w:after="100" w:line="276" w:lineRule="auto"/>
              <w:ind w:left="57" w:right="57"/>
              <w:rPr>
                <w:rFonts w:eastAsia="Aptos" w:cs="Arial"/>
                <w:color w:val="000000"/>
                <w:lang w:eastAsia="en-US"/>
              </w:rPr>
            </w:pPr>
            <w:r w:rsidRPr="008A0216">
              <w:rPr>
                <w:rFonts w:eastAsia="Aptos" w:cs="Arial"/>
                <w:color w:val="000000"/>
                <w:lang w:eastAsia="en-US"/>
              </w:rPr>
              <w:t xml:space="preserve">The </w:t>
            </w:r>
            <w:proofErr w:type="spellStart"/>
            <w:r w:rsidRPr="008A0216">
              <w:rPr>
                <w:rFonts w:eastAsia="Aptos" w:cs="Arial"/>
                <w:color w:val="000000"/>
                <w:lang w:eastAsia="en-US"/>
              </w:rPr>
              <w:t>WeeFIM</w:t>
            </w:r>
            <w:proofErr w:type="spellEnd"/>
            <w:r w:rsidRPr="008A0216">
              <w:rPr>
                <w:rFonts w:eastAsia="Aptos" w:cs="Arial"/>
                <w:color w:val="000000"/>
                <w:lang w:eastAsia="en-US"/>
              </w:rPr>
              <w:t xml:space="preserve"> has been translated to Urdu and validated for preterm children (Pakistan, 2023). </w:t>
            </w:r>
          </w:p>
          <w:p w14:paraId="4636BCA1" w14:textId="77777777" w:rsidR="009B6C21" w:rsidRPr="008A0216" w:rsidRDefault="009B6C21">
            <w:pPr>
              <w:spacing w:after="100" w:line="276" w:lineRule="auto"/>
              <w:ind w:left="57" w:right="57"/>
              <w:rPr>
                <w:rFonts w:eastAsia="Aptos" w:cs="Arial"/>
                <w:color w:val="000000"/>
                <w:lang w:eastAsia="en-US"/>
              </w:rPr>
            </w:pPr>
            <w:r w:rsidRPr="008A0216">
              <w:rPr>
                <w:rFonts w:eastAsia="Aptos" w:cs="Arial"/>
                <w:color w:val="000000"/>
                <w:lang w:eastAsia="en-US"/>
              </w:rPr>
              <w:t>Normative data have been collected in Turkey (2007), Thailand (2006), Hong Kong (2002) and Japan (1998).</w:t>
            </w:r>
          </w:p>
        </w:tc>
      </w:tr>
      <w:tr w:rsidR="009B6C21" w:rsidRPr="008A0216" w14:paraId="46660911" w14:textId="77777777" w:rsidTr="00D7154C">
        <w:trPr>
          <w:trHeight w:val="300"/>
        </w:trPr>
        <w:tc>
          <w:tcPr>
            <w:tcW w:w="1979" w:type="dxa"/>
            <w:tcBorders>
              <w:top w:val="single" w:sz="6" w:space="0" w:color="auto"/>
              <w:left w:val="single" w:sz="6" w:space="0" w:color="auto"/>
              <w:bottom w:val="single" w:sz="6" w:space="0" w:color="auto"/>
              <w:right w:val="single" w:sz="6" w:space="0" w:color="auto"/>
            </w:tcBorders>
          </w:tcPr>
          <w:p w14:paraId="44F378F6" w14:textId="77777777" w:rsidR="009B6C21" w:rsidRPr="008A0216" w:rsidRDefault="009B6C21">
            <w:pPr>
              <w:spacing w:after="100" w:line="276" w:lineRule="auto"/>
              <w:ind w:left="57" w:right="57"/>
              <w:rPr>
                <w:rFonts w:eastAsia="Aptos" w:cs="Arial"/>
                <w:b/>
                <w:bCs/>
                <w:lang w:eastAsia="en-US"/>
              </w:rPr>
            </w:pPr>
            <w:r>
              <w:rPr>
                <w:rFonts w:eastAsia="Aptos" w:cs="Arial"/>
                <w:b/>
                <w:bCs/>
                <w:lang w:eastAsia="en-US"/>
              </w:rPr>
              <w:t>Outcome</w:t>
            </w:r>
            <w:r w:rsidRPr="008A0216">
              <w:rPr>
                <w:rFonts w:eastAsia="Aptos" w:cs="Arial"/>
                <w:b/>
                <w:bCs/>
                <w:lang w:eastAsia="en-US"/>
              </w:rPr>
              <w:t xml:space="preserve"> studies in the ECI practice setting</w:t>
            </w:r>
          </w:p>
        </w:tc>
        <w:tc>
          <w:tcPr>
            <w:tcW w:w="7075" w:type="dxa"/>
            <w:tcBorders>
              <w:top w:val="single" w:sz="6" w:space="0" w:color="auto"/>
              <w:left w:val="single" w:sz="6" w:space="0" w:color="auto"/>
              <w:bottom w:val="single" w:sz="6" w:space="0" w:color="auto"/>
              <w:right w:val="single" w:sz="6" w:space="0" w:color="auto"/>
            </w:tcBorders>
          </w:tcPr>
          <w:p w14:paraId="4B74441E" w14:textId="77777777" w:rsidR="009B6C21" w:rsidRPr="008A0216" w:rsidRDefault="009B6C21">
            <w:pPr>
              <w:spacing w:after="100" w:line="276" w:lineRule="auto"/>
              <w:ind w:left="57" w:right="57"/>
              <w:rPr>
                <w:rFonts w:eastAsia="Aptos" w:cs="Arial"/>
                <w:color w:val="000000"/>
                <w:lang w:eastAsia="en-US"/>
              </w:rPr>
            </w:pPr>
            <w:r w:rsidRPr="008A0216">
              <w:rPr>
                <w:rFonts w:eastAsia="Aptos" w:cs="Arial"/>
                <w:i/>
                <w:iCs/>
                <w:color w:val="000000"/>
                <w:lang w:eastAsia="en-US"/>
              </w:rPr>
              <w:t>No references identified</w:t>
            </w:r>
          </w:p>
        </w:tc>
      </w:tr>
    </w:tbl>
    <w:p w14:paraId="3625DF6B" w14:textId="77777777" w:rsidR="00994072" w:rsidRPr="0083134E" w:rsidRDefault="00994072" w:rsidP="00EF68C9">
      <w:r w:rsidRPr="0083134E">
        <w:t xml:space="preserve">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w:t>
      </w:r>
      <w:hyperlink w:history="1">
        <w:r w:rsidRPr="003647C4">
          <w:t>Methods Explainer</w:t>
        </w:r>
      </w:hyperlink>
      <w:r w:rsidRPr="0083134E">
        <w:t>.</w:t>
      </w:r>
    </w:p>
    <w:p w14:paraId="2A4AC95C" w14:textId="6261AE95" w:rsidR="00DE56C8" w:rsidRDefault="00DE56C8">
      <w:pPr>
        <w:spacing w:before="0" w:after="160"/>
        <w:rPr>
          <w:rFonts w:eastAsia="Aptos" w:cs="Arial"/>
          <w:sz w:val="22"/>
          <w:szCs w:val="22"/>
          <w:lang w:eastAsia="en-US"/>
        </w:rPr>
      </w:pPr>
      <w:r>
        <w:rPr>
          <w:rFonts w:eastAsia="Aptos" w:cs="Arial"/>
          <w:sz w:val="22"/>
          <w:szCs w:val="22"/>
          <w:lang w:eastAsia="en-US"/>
        </w:rPr>
        <w:br w:type="page"/>
      </w:r>
    </w:p>
    <w:p w14:paraId="215C0F23" w14:textId="77777777" w:rsidR="009B6C21" w:rsidRPr="00F63E30" w:rsidRDefault="009B6C21" w:rsidP="00EF68C9">
      <w:pPr>
        <w:pStyle w:val="Heading1"/>
        <w:rPr>
          <w:lang w:eastAsia="en-US"/>
        </w:rPr>
      </w:pPr>
      <w:bookmarkStart w:id="36" w:name="_WeeFIM_Reference_List"/>
      <w:bookmarkEnd w:id="36"/>
      <w:proofErr w:type="spellStart"/>
      <w:r w:rsidRPr="00F63E30">
        <w:rPr>
          <w:lang w:eastAsia="en-US"/>
        </w:rPr>
        <w:lastRenderedPageBreak/>
        <w:t>WeeFIM</w:t>
      </w:r>
      <w:proofErr w:type="spellEnd"/>
      <w:r w:rsidRPr="00F63E30">
        <w:rPr>
          <w:lang w:eastAsia="en-US"/>
        </w:rPr>
        <w:t xml:space="preserve"> Reference List</w:t>
      </w:r>
    </w:p>
    <w:p w14:paraId="63BD72AD" w14:textId="114435CD" w:rsidR="009B6C21" w:rsidRPr="00EC0623" w:rsidRDefault="00EC0623">
      <w:pPr>
        <w:rPr>
          <w:rStyle w:val="Hyperlink"/>
          <w:rFonts w:eastAsia="Aptos" w:cs="Arial"/>
          <w:i/>
          <w:iCs/>
          <w:lang w:eastAsia="en-US"/>
        </w:rPr>
      </w:pPr>
      <w:r>
        <w:rPr>
          <w:rFonts w:eastAsia="Aptos" w:cs="Arial"/>
          <w:i/>
          <w:iCs/>
          <w:lang w:eastAsia="en-US"/>
        </w:rPr>
        <w:fldChar w:fldCharType="begin"/>
      </w:r>
      <w:r>
        <w:rPr>
          <w:rFonts w:eastAsia="Aptos" w:cs="Arial"/>
          <w:i/>
          <w:iCs/>
          <w:lang w:eastAsia="en-US"/>
        </w:rPr>
        <w:instrText>HYPERLINK  \l "_WeeFIM_Evidence_Summary_1"</w:instrText>
      </w:r>
      <w:r>
        <w:rPr>
          <w:rFonts w:eastAsia="Aptos" w:cs="Arial"/>
          <w:i/>
          <w:iCs/>
          <w:lang w:eastAsia="en-US"/>
        </w:rPr>
      </w:r>
      <w:r>
        <w:rPr>
          <w:rFonts w:eastAsia="Aptos" w:cs="Arial"/>
          <w:i/>
          <w:iCs/>
          <w:lang w:eastAsia="en-US"/>
        </w:rPr>
        <w:fldChar w:fldCharType="separate"/>
      </w:r>
      <w:r w:rsidR="009B6C21" w:rsidRPr="00EC0623">
        <w:rPr>
          <w:rStyle w:val="Hyperlink"/>
          <w:rFonts w:eastAsia="Aptos" w:cs="Arial"/>
          <w:i/>
          <w:iCs/>
          <w:lang w:eastAsia="en-US"/>
        </w:rPr>
        <w:t xml:space="preserve">Link to </w:t>
      </w:r>
      <w:proofErr w:type="spellStart"/>
      <w:r w:rsidR="009B6C21" w:rsidRPr="00EC0623">
        <w:rPr>
          <w:rStyle w:val="Hyperlink"/>
          <w:rFonts w:eastAsia="Aptos" w:cs="Arial"/>
          <w:i/>
          <w:iCs/>
          <w:lang w:eastAsia="en-US"/>
        </w:rPr>
        <w:t>WeeFIM</w:t>
      </w:r>
      <w:proofErr w:type="spellEnd"/>
      <w:r w:rsidR="009B6C21" w:rsidRPr="00EC0623">
        <w:rPr>
          <w:rStyle w:val="Hyperlink"/>
          <w:rFonts w:eastAsia="Aptos" w:cs="Arial"/>
          <w:i/>
          <w:iCs/>
          <w:lang w:eastAsia="en-US"/>
        </w:rPr>
        <w:t xml:space="preserve"> Evidence Summary</w:t>
      </w:r>
    </w:p>
    <w:p w14:paraId="75E54331" w14:textId="437AB591" w:rsidR="009B6C21" w:rsidRPr="00F63E30" w:rsidRDefault="00EC0623" w:rsidP="00EF68C9">
      <w:pPr>
        <w:pStyle w:val="Heading2"/>
        <w:rPr>
          <w:lang w:eastAsia="en-US"/>
        </w:rPr>
      </w:pPr>
      <w:r>
        <w:rPr>
          <w:rFonts w:eastAsia="Aptos"/>
          <w:b/>
          <w:i/>
          <w:iCs/>
          <w:color w:val="auto"/>
          <w:lang w:eastAsia="en-US"/>
        </w:rPr>
        <w:fldChar w:fldCharType="end"/>
      </w:r>
      <w:r w:rsidR="009B6C21" w:rsidRPr="00F63E30">
        <w:rPr>
          <w:lang w:eastAsia="en-US"/>
        </w:rPr>
        <w:t>Reviews</w:t>
      </w:r>
    </w:p>
    <w:p w14:paraId="774FA1AA" w14:textId="47DFB6B8"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Ponsford JL, Hicks AJ, Bagg MK, </w:t>
      </w:r>
      <w:proofErr w:type="spellStart"/>
      <w:r w:rsidRPr="00F63E30">
        <w:rPr>
          <w:rFonts w:eastAsia="Arial" w:cs="Arial"/>
          <w:color w:val="000000"/>
          <w:lang w:eastAsia="en-US"/>
        </w:rPr>
        <w:t>Phyland</w:t>
      </w:r>
      <w:proofErr w:type="spellEnd"/>
      <w:r w:rsidRPr="00F63E30">
        <w:rPr>
          <w:rFonts w:eastAsia="Arial" w:cs="Arial"/>
          <w:color w:val="000000"/>
          <w:lang w:eastAsia="en-US"/>
        </w:rPr>
        <w:t xml:space="preserve"> R, Carrier S, James AC, Lannin NA, Rushworth N, O'Brien TJ, Cameron PA, Cooper DJ, Hill R, </w:t>
      </w:r>
      <w:proofErr w:type="spellStart"/>
      <w:r w:rsidRPr="00F63E30">
        <w:rPr>
          <w:rFonts w:eastAsia="Arial" w:cs="Arial"/>
          <w:color w:val="000000"/>
          <w:lang w:eastAsia="en-US"/>
        </w:rPr>
        <w:t>Gabbe</w:t>
      </w:r>
      <w:proofErr w:type="spellEnd"/>
      <w:r w:rsidRPr="00F63E30">
        <w:rPr>
          <w:rFonts w:eastAsia="Arial" w:cs="Arial"/>
          <w:color w:val="000000"/>
          <w:lang w:eastAsia="en-US"/>
        </w:rPr>
        <w:t xml:space="preserve"> BJ, Fitzgerald M. (2024). The Australian Traumatic Brain Injury Initiative: Review and </w:t>
      </w:r>
      <w:r w:rsidR="00341BBE">
        <w:rPr>
          <w:rFonts w:eastAsia="Arial" w:cs="Arial"/>
          <w:color w:val="000000"/>
          <w:lang w:eastAsia="en-US"/>
        </w:rPr>
        <w:t>r</w:t>
      </w:r>
      <w:r w:rsidRPr="00F63E30">
        <w:rPr>
          <w:rFonts w:eastAsia="Arial" w:cs="Arial"/>
          <w:color w:val="000000"/>
          <w:lang w:eastAsia="en-US"/>
        </w:rPr>
        <w:t xml:space="preserve">ecommendations for </w:t>
      </w:r>
      <w:r w:rsidR="00341BBE">
        <w:rPr>
          <w:rFonts w:eastAsia="Arial" w:cs="Arial"/>
          <w:color w:val="000000"/>
          <w:lang w:eastAsia="en-US"/>
        </w:rPr>
        <w:t>o</w:t>
      </w:r>
      <w:r w:rsidRPr="00F63E30">
        <w:rPr>
          <w:rFonts w:eastAsia="Arial" w:cs="Arial"/>
          <w:color w:val="000000"/>
          <w:lang w:eastAsia="en-US"/>
        </w:rPr>
        <w:t xml:space="preserve">utcome </w:t>
      </w:r>
      <w:r w:rsidR="00341BBE">
        <w:rPr>
          <w:rFonts w:eastAsia="Arial" w:cs="Arial"/>
          <w:color w:val="000000"/>
          <w:lang w:eastAsia="en-US"/>
        </w:rPr>
        <w:t>m</w:t>
      </w:r>
      <w:r w:rsidRPr="00F63E30">
        <w:rPr>
          <w:rFonts w:eastAsia="Arial" w:cs="Arial"/>
          <w:color w:val="000000"/>
          <w:lang w:eastAsia="en-US"/>
        </w:rPr>
        <w:t xml:space="preserve">easures for </w:t>
      </w:r>
      <w:r w:rsidR="00341BBE">
        <w:rPr>
          <w:rFonts w:eastAsia="Arial" w:cs="Arial"/>
          <w:color w:val="000000"/>
          <w:lang w:eastAsia="en-US"/>
        </w:rPr>
        <w:t>u</w:t>
      </w:r>
      <w:r w:rsidRPr="00F63E30">
        <w:rPr>
          <w:rFonts w:eastAsia="Arial" w:cs="Arial"/>
          <w:color w:val="000000"/>
          <w:lang w:eastAsia="en-US"/>
        </w:rPr>
        <w:t xml:space="preserve">se </w:t>
      </w:r>
      <w:r w:rsidR="00341BBE">
        <w:rPr>
          <w:rFonts w:eastAsia="Arial" w:cs="Arial"/>
          <w:color w:val="000000"/>
          <w:lang w:eastAsia="en-US"/>
        </w:rPr>
        <w:t>w</w:t>
      </w:r>
      <w:r w:rsidRPr="00F63E30">
        <w:rPr>
          <w:rFonts w:eastAsia="Arial" w:cs="Arial"/>
          <w:color w:val="000000"/>
          <w:lang w:eastAsia="en-US"/>
        </w:rPr>
        <w:t xml:space="preserve">ith </w:t>
      </w:r>
      <w:r w:rsidR="00341BBE">
        <w:rPr>
          <w:rFonts w:eastAsia="Arial" w:cs="Arial"/>
          <w:color w:val="000000"/>
          <w:lang w:eastAsia="en-US"/>
        </w:rPr>
        <w:t>a</w:t>
      </w:r>
      <w:r w:rsidRPr="00F63E30">
        <w:rPr>
          <w:rFonts w:eastAsia="Arial" w:cs="Arial"/>
          <w:color w:val="000000"/>
          <w:lang w:eastAsia="en-US"/>
        </w:rPr>
        <w:t xml:space="preserve">dults and </w:t>
      </w:r>
      <w:r w:rsidR="00341BBE">
        <w:rPr>
          <w:rFonts w:eastAsia="Arial" w:cs="Arial"/>
          <w:color w:val="000000"/>
          <w:lang w:eastAsia="en-US"/>
        </w:rPr>
        <w:t>c</w:t>
      </w:r>
      <w:r w:rsidRPr="00F63E30">
        <w:rPr>
          <w:rFonts w:eastAsia="Arial" w:cs="Arial"/>
          <w:color w:val="000000"/>
          <w:lang w:eastAsia="en-US"/>
        </w:rPr>
        <w:t xml:space="preserve">hildren </w:t>
      </w:r>
      <w:r w:rsidR="00341BBE">
        <w:rPr>
          <w:rFonts w:eastAsia="Arial" w:cs="Arial"/>
          <w:color w:val="000000"/>
          <w:lang w:eastAsia="en-US"/>
        </w:rPr>
        <w:t>a</w:t>
      </w:r>
      <w:r w:rsidRPr="00F63E30">
        <w:rPr>
          <w:rFonts w:eastAsia="Arial" w:cs="Arial"/>
          <w:color w:val="000000"/>
          <w:lang w:eastAsia="en-US"/>
        </w:rPr>
        <w:t xml:space="preserve">fter </w:t>
      </w:r>
      <w:r w:rsidR="00341BBE">
        <w:rPr>
          <w:rFonts w:eastAsia="Arial" w:cs="Arial"/>
          <w:color w:val="000000"/>
          <w:lang w:eastAsia="en-US"/>
        </w:rPr>
        <w:t>m</w:t>
      </w:r>
      <w:r w:rsidRPr="00F63E30">
        <w:rPr>
          <w:rFonts w:eastAsia="Arial" w:cs="Arial"/>
          <w:color w:val="000000"/>
          <w:lang w:eastAsia="en-US"/>
        </w:rPr>
        <w:t>oderate-to-</w:t>
      </w:r>
      <w:r w:rsidR="00341BBE">
        <w:rPr>
          <w:rFonts w:eastAsia="Arial" w:cs="Arial"/>
          <w:color w:val="000000"/>
          <w:lang w:eastAsia="en-US"/>
        </w:rPr>
        <w:t>s</w:t>
      </w:r>
      <w:r w:rsidRPr="00F63E30">
        <w:rPr>
          <w:rFonts w:eastAsia="Arial" w:cs="Arial"/>
          <w:color w:val="000000"/>
          <w:lang w:eastAsia="en-US"/>
        </w:rPr>
        <w:t xml:space="preserve">evere </w:t>
      </w:r>
      <w:r w:rsidR="00341BBE">
        <w:rPr>
          <w:rFonts w:eastAsia="Arial" w:cs="Arial"/>
          <w:color w:val="000000"/>
          <w:lang w:eastAsia="en-US"/>
        </w:rPr>
        <w:t>t</w:t>
      </w:r>
      <w:r w:rsidRPr="00F63E30">
        <w:rPr>
          <w:rFonts w:eastAsia="Arial" w:cs="Arial"/>
          <w:color w:val="000000"/>
          <w:lang w:eastAsia="en-US"/>
        </w:rPr>
        <w:t xml:space="preserve">raumatic </w:t>
      </w:r>
      <w:r w:rsidR="00341BBE">
        <w:rPr>
          <w:rFonts w:eastAsia="Arial" w:cs="Arial"/>
          <w:color w:val="000000"/>
          <w:lang w:eastAsia="en-US"/>
        </w:rPr>
        <w:t>b</w:t>
      </w:r>
      <w:r w:rsidRPr="00F63E30">
        <w:rPr>
          <w:rFonts w:eastAsia="Arial" w:cs="Arial"/>
          <w:color w:val="000000"/>
          <w:lang w:eastAsia="en-US"/>
        </w:rPr>
        <w:t xml:space="preserve">rain </w:t>
      </w:r>
      <w:r w:rsidR="00341BBE">
        <w:rPr>
          <w:rFonts w:eastAsia="Arial" w:cs="Arial"/>
          <w:color w:val="000000"/>
          <w:lang w:eastAsia="en-US"/>
        </w:rPr>
        <w:t>i</w:t>
      </w:r>
      <w:r w:rsidRPr="00F63E30">
        <w:rPr>
          <w:rFonts w:eastAsia="Arial" w:cs="Arial"/>
          <w:color w:val="000000"/>
          <w:lang w:eastAsia="en-US"/>
        </w:rPr>
        <w:t xml:space="preserve">njury. </w:t>
      </w:r>
      <w:r w:rsidRPr="00F63E30">
        <w:rPr>
          <w:rFonts w:eastAsia="Arial" w:cs="Arial"/>
          <w:i/>
          <w:color w:val="000000"/>
          <w:lang w:eastAsia="en-US"/>
        </w:rPr>
        <w:t>Neurotrauma Rep</w:t>
      </w:r>
      <w:r w:rsidRPr="00F63E30">
        <w:rPr>
          <w:rFonts w:eastAsia="Arial" w:cs="Arial"/>
          <w:color w:val="000000"/>
          <w:lang w:eastAsia="en-US"/>
        </w:rPr>
        <w:t>, 5(1):387-408.</w:t>
      </w:r>
      <w:r w:rsidRPr="00F63E30">
        <w:rPr>
          <w:rFonts w:eastAsia="Arial" w:cs="Arial"/>
          <w:color w:val="0000FF"/>
          <w:u w:val="single"/>
          <w:lang w:eastAsia="en-US"/>
        </w:rPr>
        <w:t xml:space="preserve"> https://doi.org/10.1089/neur.2023.0127</w:t>
      </w:r>
    </w:p>
    <w:p w14:paraId="44F9E221" w14:textId="0FE7B34A"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Ferre-Fernández M, Murcia-González MA, </w:t>
      </w:r>
      <w:proofErr w:type="spellStart"/>
      <w:r w:rsidRPr="00F63E30">
        <w:rPr>
          <w:rFonts w:eastAsia="Arial" w:cs="Arial"/>
          <w:color w:val="000000"/>
          <w:lang w:eastAsia="en-US"/>
        </w:rPr>
        <w:t>Barnuevo</w:t>
      </w:r>
      <w:proofErr w:type="spellEnd"/>
      <w:r w:rsidRPr="00F63E30">
        <w:rPr>
          <w:rFonts w:eastAsia="Arial" w:cs="Arial"/>
          <w:color w:val="000000"/>
          <w:lang w:eastAsia="en-US"/>
        </w:rPr>
        <w:t xml:space="preserve"> Espinosa MD, Ríos-Díaz J. (2020). Measures of </w:t>
      </w:r>
      <w:r w:rsidR="00CE28AE">
        <w:rPr>
          <w:rFonts w:eastAsia="Arial" w:cs="Arial"/>
          <w:color w:val="000000"/>
          <w:lang w:eastAsia="en-US"/>
        </w:rPr>
        <w:t>m</w:t>
      </w:r>
      <w:r w:rsidRPr="00F63E30">
        <w:rPr>
          <w:rFonts w:eastAsia="Arial" w:cs="Arial"/>
          <w:color w:val="000000"/>
          <w:lang w:eastAsia="en-US"/>
        </w:rPr>
        <w:t xml:space="preserve">otor and </w:t>
      </w:r>
      <w:r w:rsidR="00CE28AE">
        <w:rPr>
          <w:rFonts w:eastAsia="Arial" w:cs="Arial"/>
          <w:color w:val="000000"/>
          <w:lang w:eastAsia="en-US"/>
        </w:rPr>
        <w:t>f</w:t>
      </w:r>
      <w:r w:rsidRPr="00F63E30">
        <w:rPr>
          <w:rFonts w:eastAsia="Arial" w:cs="Arial"/>
          <w:color w:val="000000"/>
          <w:lang w:eastAsia="en-US"/>
        </w:rPr>
        <w:t xml:space="preserve">unctional </w:t>
      </w:r>
      <w:r w:rsidR="00CE28AE">
        <w:rPr>
          <w:rFonts w:eastAsia="Arial" w:cs="Arial"/>
          <w:color w:val="000000"/>
          <w:lang w:eastAsia="en-US"/>
        </w:rPr>
        <w:t>s</w:t>
      </w:r>
      <w:r w:rsidRPr="00F63E30">
        <w:rPr>
          <w:rFonts w:eastAsia="Arial" w:cs="Arial"/>
          <w:color w:val="000000"/>
          <w:lang w:eastAsia="en-US"/>
        </w:rPr>
        <w:t xml:space="preserve">kills for </w:t>
      </w:r>
      <w:r w:rsidR="00CE28AE">
        <w:rPr>
          <w:rFonts w:eastAsia="Arial" w:cs="Arial"/>
          <w:color w:val="000000"/>
          <w:lang w:eastAsia="en-US"/>
        </w:rPr>
        <w:t>c</w:t>
      </w:r>
      <w:r w:rsidRPr="00F63E30">
        <w:rPr>
          <w:rFonts w:eastAsia="Arial" w:cs="Arial"/>
          <w:color w:val="000000"/>
          <w:lang w:eastAsia="en-US"/>
        </w:rPr>
        <w:t xml:space="preserve">hildren </w:t>
      </w:r>
      <w:r w:rsidR="006F5AC2">
        <w:rPr>
          <w:rFonts w:eastAsia="Arial" w:cs="Arial"/>
          <w:color w:val="000000"/>
          <w:lang w:eastAsia="en-US"/>
        </w:rPr>
        <w:t>w</w:t>
      </w:r>
      <w:r w:rsidRPr="00F63E30">
        <w:rPr>
          <w:rFonts w:eastAsia="Arial" w:cs="Arial"/>
          <w:color w:val="000000"/>
          <w:lang w:eastAsia="en-US"/>
        </w:rPr>
        <w:t xml:space="preserve">ith </w:t>
      </w:r>
      <w:r w:rsidR="006F5AC2">
        <w:rPr>
          <w:rFonts w:eastAsia="Arial" w:cs="Arial"/>
          <w:color w:val="000000"/>
          <w:lang w:eastAsia="en-US"/>
        </w:rPr>
        <w:t>c</w:t>
      </w:r>
      <w:r w:rsidRPr="00F63E30">
        <w:rPr>
          <w:rFonts w:eastAsia="Arial" w:cs="Arial"/>
          <w:color w:val="000000"/>
          <w:lang w:eastAsia="en-US"/>
        </w:rPr>
        <w:t xml:space="preserve">erebral </w:t>
      </w:r>
      <w:r w:rsidR="006F5AC2">
        <w:rPr>
          <w:rFonts w:eastAsia="Arial" w:cs="Arial"/>
          <w:color w:val="000000"/>
          <w:lang w:eastAsia="en-US"/>
        </w:rPr>
        <w:t>p</w:t>
      </w:r>
      <w:r w:rsidRPr="00F63E30">
        <w:rPr>
          <w:rFonts w:eastAsia="Arial" w:cs="Arial"/>
          <w:color w:val="000000"/>
          <w:lang w:eastAsia="en-US"/>
        </w:rPr>
        <w:t xml:space="preserve">alsy: A </w:t>
      </w:r>
      <w:r w:rsidR="006F5AC2">
        <w:rPr>
          <w:rFonts w:eastAsia="Arial" w:cs="Arial"/>
          <w:color w:val="000000"/>
          <w:lang w:eastAsia="en-US"/>
        </w:rPr>
        <w:t>s</w:t>
      </w:r>
      <w:r w:rsidRPr="00F63E30">
        <w:rPr>
          <w:rFonts w:eastAsia="Arial" w:cs="Arial"/>
          <w:color w:val="000000"/>
          <w:lang w:eastAsia="en-US"/>
        </w:rPr>
        <w:t xml:space="preserve">ystematic </w:t>
      </w:r>
      <w:r w:rsidR="006F5AC2">
        <w:rPr>
          <w:rFonts w:eastAsia="Arial" w:cs="Arial"/>
          <w:color w:val="000000"/>
          <w:lang w:eastAsia="en-US"/>
        </w:rPr>
        <w:t>r</w:t>
      </w:r>
      <w:r w:rsidRPr="00F63E30">
        <w:rPr>
          <w:rFonts w:eastAsia="Arial" w:cs="Arial"/>
          <w:color w:val="000000"/>
          <w:lang w:eastAsia="en-US"/>
        </w:rPr>
        <w:t xml:space="preserve">eview. </w:t>
      </w:r>
      <w:proofErr w:type="spellStart"/>
      <w:r w:rsidRPr="00F63E30">
        <w:rPr>
          <w:rFonts w:eastAsia="Arial" w:cs="Arial"/>
          <w:i/>
          <w:color w:val="000000"/>
          <w:lang w:eastAsia="en-US"/>
        </w:rPr>
        <w:t>Pediatr</w:t>
      </w:r>
      <w:proofErr w:type="spellEnd"/>
      <w:r w:rsidRPr="00F63E30">
        <w:rPr>
          <w:rFonts w:eastAsia="Arial" w:cs="Arial"/>
          <w:i/>
          <w:color w:val="000000"/>
          <w:lang w:eastAsia="en-US"/>
        </w:rPr>
        <w:t xml:space="preserve"> Phys Ther</w:t>
      </w:r>
      <w:r w:rsidRPr="00F63E30">
        <w:rPr>
          <w:rFonts w:eastAsia="Arial" w:cs="Arial"/>
          <w:color w:val="000000"/>
          <w:lang w:eastAsia="en-US"/>
        </w:rPr>
        <w:t>, 32(1):12-25.</w:t>
      </w:r>
      <w:r w:rsidRPr="00F63E30">
        <w:rPr>
          <w:rFonts w:eastAsia="Arial" w:cs="Arial"/>
          <w:color w:val="0000FF"/>
          <w:u w:val="single"/>
          <w:lang w:eastAsia="en-US"/>
        </w:rPr>
        <w:t xml:space="preserve"> https://doi.org/10.1097/PEP.0000000000000661</w:t>
      </w:r>
    </w:p>
    <w:p w14:paraId="4164F111"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Williams KS, Young DK, Burke GAA, Fountain DM. (2017). Comparing the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and PEDI in neurorehabilitation for children with acquired brain injury: A systematic review. </w:t>
      </w:r>
      <w:r w:rsidRPr="00F63E30">
        <w:rPr>
          <w:rFonts w:eastAsia="Arial" w:cs="Arial"/>
          <w:i/>
          <w:color w:val="000000"/>
          <w:lang w:eastAsia="en-US"/>
        </w:rPr>
        <w:t xml:space="preserve">Dev </w:t>
      </w:r>
      <w:proofErr w:type="spellStart"/>
      <w:r w:rsidRPr="00F63E30">
        <w:rPr>
          <w:rFonts w:eastAsia="Arial" w:cs="Arial"/>
          <w:i/>
          <w:color w:val="000000"/>
          <w:lang w:eastAsia="en-US"/>
        </w:rPr>
        <w:t>Neurorehabil</w:t>
      </w:r>
      <w:proofErr w:type="spellEnd"/>
      <w:r w:rsidRPr="00F63E30">
        <w:rPr>
          <w:rFonts w:eastAsia="Arial" w:cs="Arial"/>
          <w:color w:val="000000"/>
          <w:lang w:eastAsia="en-US"/>
        </w:rPr>
        <w:t>, 20(7):443-451.</w:t>
      </w:r>
      <w:r w:rsidRPr="00F63E30">
        <w:rPr>
          <w:rFonts w:eastAsia="Arial" w:cs="Arial"/>
          <w:color w:val="0000FF"/>
          <w:u w:val="single"/>
          <w:lang w:eastAsia="en-US"/>
        </w:rPr>
        <w:t xml:space="preserve"> https://doi.org/10.1080/17518423.2017.1289419</w:t>
      </w:r>
    </w:p>
    <w:p w14:paraId="5880F44A" w14:textId="2B8184D8"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Mensch SM, Rameckers EA, </w:t>
      </w:r>
      <w:proofErr w:type="spellStart"/>
      <w:r w:rsidRPr="00F63E30">
        <w:rPr>
          <w:rFonts w:eastAsia="Arial" w:cs="Arial"/>
          <w:color w:val="000000"/>
          <w:lang w:eastAsia="en-US"/>
        </w:rPr>
        <w:t>Echteld</w:t>
      </w:r>
      <w:proofErr w:type="spellEnd"/>
      <w:r w:rsidRPr="00F63E30">
        <w:rPr>
          <w:rFonts w:eastAsia="Arial" w:cs="Arial"/>
          <w:color w:val="000000"/>
          <w:lang w:eastAsia="en-US"/>
        </w:rPr>
        <w:t xml:space="preserve"> MA, </w:t>
      </w:r>
      <w:proofErr w:type="spellStart"/>
      <w:r w:rsidRPr="00F63E30">
        <w:rPr>
          <w:rFonts w:eastAsia="Arial" w:cs="Arial"/>
          <w:color w:val="000000"/>
          <w:lang w:eastAsia="en-US"/>
        </w:rPr>
        <w:t>Evenhuis</w:t>
      </w:r>
      <w:proofErr w:type="spellEnd"/>
      <w:r w:rsidRPr="00F63E30">
        <w:rPr>
          <w:rFonts w:eastAsia="Arial" w:cs="Arial"/>
          <w:color w:val="000000"/>
          <w:lang w:eastAsia="en-US"/>
        </w:rPr>
        <w:t xml:space="preserve"> HM. (2015). Instruments for the evaluation of motor abilities for children with severe multiple disabilities: A systematic review of the literature. </w:t>
      </w:r>
      <w:r w:rsidRPr="00F63E30">
        <w:rPr>
          <w:rFonts w:eastAsia="Arial" w:cs="Arial"/>
          <w:i/>
          <w:color w:val="000000"/>
          <w:lang w:eastAsia="en-US"/>
        </w:rPr>
        <w:t xml:space="preserve">Res Dev </w:t>
      </w:r>
      <w:proofErr w:type="spellStart"/>
      <w:r w:rsidRPr="00F63E30">
        <w:rPr>
          <w:rFonts w:eastAsia="Arial" w:cs="Arial"/>
          <w:i/>
          <w:color w:val="000000"/>
          <w:lang w:eastAsia="en-US"/>
        </w:rPr>
        <w:t>Disabil</w:t>
      </w:r>
      <w:proofErr w:type="spellEnd"/>
      <w:r w:rsidRPr="00F63E30">
        <w:rPr>
          <w:rFonts w:eastAsia="Arial" w:cs="Arial"/>
          <w:color w:val="000000"/>
          <w:lang w:eastAsia="en-US"/>
        </w:rPr>
        <w:t xml:space="preserve">, </w:t>
      </w:r>
      <w:r w:rsidR="00613083">
        <w:rPr>
          <w:rFonts w:eastAsia="Arial" w:cs="Arial"/>
          <w:color w:val="000000"/>
          <w:lang w:eastAsia="en-US"/>
        </w:rPr>
        <w:t>47:185-198</w:t>
      </w:r>
      <w:r w:rsidRPr="00F63E30">
        <w:rPr>
          <w:rFonts w:eastAsia="Arial" w:cs="Arial"/>
          <w:color w:val="000000"/>
          <w:lang w:eastAsia="en-US"/>
        </w:rPr>
        <w:t>.</w:t>
      </w:r>
      <w:r w:rsidRPr="00F63E30">
        <w:rPr>
          <w:rFonts w:eastAsia="Arial" w:cs="Arial"/>
          <w:color w:val="0000FF"/>
          <w:u w:val="single"/>
          <w:lang w:eastAsia="en-US"/>
        </w:rPr>
        <w:t xml:space="preserve"> https://doi.org/10.1016/j.ridd.2015.09.002</w:t>
      </w:r>
    </w:p>
    <w:p w14:paraId="66288FED"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van der Linde BW, van Netten JJ, Otten E, Postema K, </w:t>
      </w:r>
      <w:proofErr w:type="spellStart"/>
      <w:r w:rsidRPr="00F63E30">
        <w:rPr>
          <w:rFonts w:eastAsia="Arial" w:cs="Arial"/>
          <w:color w:val="000000"/>
          <w:lang w:eastAsia="en-US"/>
        </w:rPr>
        <w:t>Geuze</w:t>
      </w:r>
      <w:proofErr w:type="spellEnd"/>
      <w:r w:rsidRPr="00F63E30">
        <w:rPr>
          <w:rFonts w:eastAsia="Arial" w:cs="Arial"/>
          <w:color w:val="000000"/>
          <w:lang w:eastAsia="en-US"/>
        </w:rPr>
        <w:t xml:space="preserve"> RH, Schoemaker MM. (2015). A systematic review of instruments for assessment of capacity in activities of daily living in children with developmental co-ordination disorder. </w:t>
      </w:r>
      <w:r w:rsidRPr="00F63E30">
        <w:rPr>
          <w:rFonts w:eastAsia="Arial" w:cs="Arial"/>
          <w:i/>
          <w:color w:val="000000"/>
          <w:lang w:eastAsia="en-US"/>
        </w:rPr>
        <w:t>Child Care Health Dev</w:t>
      </w:r>
      <w:r w:rsidRPr="00F63E30">
        <w:rPr>
          <w:rFonts w:eastAsia="Arial" w:cs="Arial"/>
          <w:color w:val="000000"/>
          <w:lang w:eastAsia="en-US"/>
        </w:rPr>
        <w:t>, 41(1):23-34.</w:t>
      </w:r>
      <w:r w:rsidRPr="00F63E30">
        <w:rPr>
          <w:rFonts w:eastAsia="Arial" w:cs="Arial"/>
          <w:color w:val="0000FF"/>
          <w:u w:val="single"/>
          <w:lang w:eastAsia="en-US"/>
        </w:rPr>
        <w:t xml:space="preserve"> https://doi.org/10.1111/cch.12124</w:t>
      </w:r>
    </w:p>
    <w:p w14:paraId="3D265728" w14:textId="77777777" w:rsidR="009B6C21" w:rsidRPr="00F63E30" w:rsidRDefault="009B6C21" w:rsidP="00EF68C9">
      <w:pPr>
        <w:pStyle w:val="Heading2"/>
        <w:rPr>
          <w:lang w:eastAsia="en-US"/>
        </w:rPr>
      </w:pPr>
      <w:r w:rsidRPr="00F63E30">
        <w:rPr>
          <w:lang w:eastAsia="en-US"/>
        </w:rPr>
        <w:t>Measurement Properties</w:t>
      </w:r>
    </w:p>
    <w:p w14:paraId="02EA6E21"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Sanders JO, McConnell SL, King R, Lanford A, Montpetit K, Gates P, Rich MM, Shepherd K, Cupp T, Haynes R, Bush P, Tahir F, Santiago J, Lighter DE, Smrcina C, Niederpruem ML, McDonald C, Curry DB. (2006). A prospective evaluation of the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in patients with cerebral palsy undergoing orthopaedic surgery. </w:t>
      </w:r>
      <w:r w:rsidRPr="00F63E30">
        <w:rPr>
          <w:rFonts w:eastAsia="Arial" w:cs="Arial"/>
          <w:i/>
          <w:color w:val="000000"/>
          <w:lang w:eastAsia="en-US"/>
        </w:rPr>
        <w:t xml:space="preserve">J Pediatr </w:t>
      </w:r>
      <w:proofErr w:type="spellStart"/>
      <w:r w:rsidRPr="00F63E30">
        <w:rPr>
          <w:rFonts w:eastAsia="Arial" w:cs="Arial"/>
          <w:i/>
          <w:color w:val="000000"/>
          <w:lang w:eastAsia="en-US"/>
        </w:rPr>
        <w:t>Orthop</w:t>
      </w:r>
      <w:proofErr w:type="spellEnd"/>
      <w:r w:rsidRPr="00F63E30">
        <w:rPr>
          <w:rFonts w:eastAsia="Arial" w:cs="Arial"/>
          <w:color w:val="000000"/>
          <w:lang w:eastAsia="en-US"/>
        </w:rPr>
        <w:t>, 26(4):542-6.</w:t>
      </w:r>
      <w:r w:rsidRPr="00F63E30">
        <w:rPr>
          <w:rFonts w:eastAsia="Arial" w:cs="Arial"/>
          <w:color w:val="0000FF"/>
          <w:u w:val="single"/>
          <w:lang w:eastAsia="en-US"/>
        </w:rPr>
        <w:t xml:space="preserve"> https://doi.org/10.1097/01.bpo.0000226272.78330.bb</w:t>
      </w:r>
    </w:p>
    <w:p w14:paraId="768F9E3C" w14:textId="16292CF0"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Chen CC, Bode RK, Granger CV, Heinemann AW. (2005). Psychometric properties and developmental differences in children's ADL item hierarchy: </w:t>
      </w:r>
      <w:r w:rsidR="006F5AC2">
        <w:rPr>
          <w:rFonts w:eastAsia="Arial" w:cs="Arial"/>
          <w:color w:val="000000"/>
          <w:lang w:eastAsia="en-US"/>
        </w:rPr>
        <w:t>A</w:t>
      </w:r>
      <w:r w:rsidRPr="00F63E30">
        <w:rPr>
          <w:rFonts w:eastAsia="Arial" w:cs="Arial"/>
          <w:color w:val="000000"/>
          <w:lang w:eastAsia="en-US"/>
        </w:rPr>
        <w:t xml:space="preserve"> study of the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instrument. </w:t>
      </w:r>
      <w:r w:rsidRPr="00F63E30">
        <w:rPr>
          <w:rFonts w:eastAsia="Arial" w:cs="Arial"/>
          <w:i/>
          <w:color w:val="000000"/>
          <w:lang w:eastAsia="en-US"/>
        </w:rPr>
        <w:t>Am J Phys Med Rehabil</w:t>
      </w:r>
      <w:r w:rsidRPr="00F63E30">
        <w:rPr>
          <w:rFonts w:eastAsia="Arial" w:cs="Arial"/>
          <w:color w:val="000000"/>
          <w:lang w:eastAsia="en-US"/>
        </w:rPr>
        <w:t>, 84(9):671-9.</w:t>
      </w:r>
      <w:r w:rsidRPr="00F63E30">
        <w:rPr>
          <w:rFonts w:eastAsia="Arial" w:cs="Arial"/>
          <w:color w:val="0000FF"/>
          <w:u w:val="single"/>
          <w:lang w:eastAsia="en-US"/>
        </w:rPr>
        <w:t xml:space="preserve"> https://doi.org/10.1097/01.phm.0000176439.32318.36</w:t>
      </w:r>
    </w:p>
    <w:p w14:paraId="7EB6511E" w14:textId="479822A9"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Ziviani J, Ottenbacher KJ, Shephard K, Foreman S, Astbury W, Ireland P. (2001). Concurrent validity of the Functional Independence Measure for Children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w:t>
      </w:r>
      <w:r w:rsidRPr="00F63E30">
        <w:rPr>
          <w:rFonts w:eastAsia="Arial" w:cs="Arial"/>
          <w:color w:val="000000"/>
          <w:lang w:eastAsia="en-US"/>
        </w:rPr>
        <w:lastRenderedPageBreak/>
        <w:t xml:space="preserve">and the </w:t>
      </w:r>
      <w:proofErr w:type="spellStart"/>
      <w:r w:rsidRPr="00F63E30">
        <w:rPr>
          <w:rFonts w:eastAsia="Arial" w:cs="Arial"/>
          <w:color w:val="000000"/>
          <w:lang w:eastAsia="en-US"/>
        </w:rPr>
        <w:t>Pediatric</w:t>
      </w:r>
      <w:proofErr w:type="spellEnd"/>
      <w:r w:rsidRPr="00F63E30">
        <w:rPr>
          <w:rFonts w:eastAsia="Arial" w:cs="Arial"/>
          <w:color w:val="000000"/>
          <w:lang w:eastAsia="en-US"/>
        </w:rPr>
        <w:t xml:space="preserve"> Evaluation of Disabilities Inventory in children with developmental disabilities and acquired brain injuries. </w:t>
      </w:r>
      <w:r w:rsidRPr="00F63E30">
        <w:rPr>
          <w:rFonts w:eastAsia="Arial" w:cs="Arial"/>
          <w:i/>
          <w:color w:val="000000"/>
          <w:lang w:eastAsia="en-US"/>
        </w:rPr>
        <w:t xml:space="preserve">Phys </w:t>
      </w:r>
      <w:proofErr w:type="spellStart"/>
      <w:r w:rsidRPr="00F63E30">
        <w:rPr>
          <w:rFonts w:eastAsia="Arial" w:cs="Arial"/>
          <w:i/>
          <w:color w:val="000000"/>
          <w:lang w:eastAsia="en-US"/>
        </w:rPr>
        <w:t>Occup</w:t>
      </w:r>
      <w:proofErr w:type="spellEnd"/>
      <w:r w:rsidRPr="00F63E30">
        <w:rPr>
          <w:rFonts w:eastAsia="Arial" w:cs="Arial"/>
          <w:i/>
          <w:color w:val="000000"/>
          <w:lang w:eastAsia="en-US"/>
        </w:rPr>
        <w:t xml:space="preserve"> Ther </w:t>
      </w:r>
      <w:proofErr w:type="spellStart"/>
      <w:r w:rsidRPr="00F63E30">
        <w:rPr>
          <w:rFonts w:eastAsia="Arial" w:cs="Arial"/>
          <w:i/>
          <w:color w:val="000000"/>
          <w:lang w:eastAsia="en-US"/>
        </w:rPr>
        <w:t>Pediatr</w:t>
      </w:r>
      <w:proofErr w:type="spellEnd"/>
      <w:r w:rsidRPr="00F63E30">
        <w:rPr>
          <w:rFonts w:eastAsia="Arial" w:cs="Arial"/>
          <w:color w:val="000000"/>
          <w:lang w:eastAsia="en-US"/>
        </w:rPr>
        <w:t xml:space="preserve">, </w:t>
      </w:r>
      <w:r w:rsidR="001C4162">
        <w:rPr>
          <w:rFonts w:eastAsia="Arial" w:cs="Arial"/>
          <w:color w:val="000000"/>
          <w:lang w:eastAsia="en-US"/>
        </w:rPr>
        <w:t>21(2-3):91-101</w:t>
      </w:r>
      <w:r w:rsidRPr="00F63E30">
        <w:rPr>
          <w:rFonts w:eastAsia="Arial" w:cs="Arial"/>
          <w:color w:val="000000"/>
          <w:lang w:eastAsia="en-US"/>
        </w:rPr>
        <w:t>.</w:t>
      </w:r>
      <w:r w:rsidRPr="00F63E30">
        <w:rPr>
          <w:rFonts w:eastAsia="Arial" w:cs="Arial"/>
          <w:color w:val="0000FF"/>
          <w:u w:val="single"/>
          <w:lang w:eastAsia="en-US"/>
        </w:rPr>
        <w:t xml:space="preserve"> https://doi.org/10.1080/J006v21n02_08</w:t>
      </w:r>
    </w:p>
    <w:p w14:paraId="3352DD44"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Ottenbacher KJ, </w:t>
      </w:r>
      <w:proofErr w:type="spellStart"/>
      <w:r w:rsidRPr="00F63E30">
        <w:rPr>
          <w:rFonts w:eastAsia="Arial" w:cs="Arial"/>
          <w:color w:val="000000"/>
          <w:lang w:eastAsia="en-US"/>
        </w:rPr>
        <w:t>Msall</w:t>
      </w:r>
      <w:proofErr w:type="spellEnd"/>
      <w:r w:rsidRPr="00F63E30">
        <w:rPr>
          <w:rFonts w:eastAsia="Arial" w:cs="Arial"/>
          <w:color w:val="000000"/>
          <w:lang w:eastAsia="en-US"/>
        </w:rPr>
        <w:t xml:space="preserve"> ME, Lyon N, Duffy LC, Ziviani J, Granger CV, Braun S, Feidler RC. (2000). The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instrument: its utility in detecting change in children with developmental disabilities. </w:t>
      </w:r>
      <w:r w:rsidRPr="00F63E30">
        <w:rPr>
          <w:rFonts w:eastAsia="Arial" w:cs="Arial"/>
          <w:i/>
          <w:color w:val="000000"/>
          <w:lang w:eastAsia="en-US"/>
        </w:rPr>
        <w:t>Arch Phys Med Rehabil</w:t>
      </w:r>
      <w:r w:rsidRPr="00F63E30">
        <w:rPr>
          <w:rFonts w:eastAsia="Arial" w:cs="Arial"/>
          <w:color w:val="000000"/>
          <w:lang w:eastAsia="en-US"/>
        </w:rPr>
        <w:t>, 81(10):1317-26.</w:t>
      </w:r>
      <w:r w:rsidRPr="00F63E30">
        <w:rPr>
          <w:rFonts w:eastAsia="Arial" w:cs="Arial"/>
          <w:color w:val="0000FF"/>
          <w:u w:val="single"/>
          <w:lang w:eastAsia="en-US"/>
        </w:rPr>
        <w:t xml:space="preserve"> https://doi.org/10.1053/apmr.2000.9387</w:t>
      </w:r>
    </w:p>
    <w:p w14:paraId="0CFF4CCD"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Ottenbacher KJ, </w:t>
      </w:r>
      <w:proofErr w:type="spellStart"/>
      <w:r w:rsidRPr="00F63E30">
        <w:rPr>
          <w:rFonts w:eastAsia="Arial" w:cs="Arial"/>
          <w:color w:val="000000"/>
          <w:lang w:eastAsia="en-US"/>
        </w:rPr>
        <w:t>Msall</w:t>
      </w:r>
      <w:proofErr w:type="spellEnd"/>
      <w:r w:rsidRPr="00F63E30">
        <w:rPr>
          <w:rFonts w:eastAsia="Arial" w:cs="Arial"/>
          <w:color w:val="000000"/>
          <w:lang w:eastAsia="en-US"/>
        </w:rPr>
        <w:t xml:space="preserve"> ME, Lyon N, Duffy LC, Ziviani J, Granger CV, Braun S. (2000). Functional assessment and care of children with neurodevelopmental disabilities. </w:t>
      </w:r>
      <w:r w:rsidRPr="00F63E30">
        <w:rPr>
          <w:rFonts w:eastAsia="Arial" w:cs="Arial"/>
          <w:i/>
          <w:color w:val="000000"/>
          <w:lang w:eastAsia="en-US"/>
        </w:rPr>
        <w:t>Am J Phys Med Rehabil</w:t>
      </w:r>
      <w:r w:rsidRPr="00F63E30">
        <w:rPr>
          <w:rFonts w:eastAsia="Arial" w:cs="Arial"/>
          <w:color w:val="000000"/>
          <w:lang w:eastAsia="en-US"/>
        </w:rPr>
        <w:t>, 79(2):114-23.</w:t>
      </w:r>
      <w:r w:rsidRPr="00F63E30">
        <w:rPr>
          <w:rFonts w:eastAsia="Arial" w:cs="Arial"/>
          <w:color w:val="0000FF"/>
          <w:u w:val="single"/>
          <w:lang w:eastAsia="en-US"/>
        </w:rPr>
        <w:t xml:space="preserve"> https://doi.org/10.1097/00002060-200003000-00002</w:t>
      </w:r>
    </w:p>
    <w:p w14:paraId="393218CF"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Ottenbacher KJ, </w:t>
      </w:r>
      <w:proofErr w:type="spellStart"/>
      <w:r w:rsidRPr="00F63E30">
        <w:rPr>
          <w:rFonts w:eastAsia="Arial" w:cs="Arial"/>
          <w:color w:val="000000"/>
          <w:lang w:eastAsia="en-US"/>
        </w:rPr>
        <w:t>Msall</w:t>
      </w:r>
      <w:proofErr w:type="spellEnd"/>
      <w:r w:rsidRPr="00F63E30">
        <w:rPr>
          <w:rFonts w:eastAsia="Arial" w:cs="Arial"/>
          <w:color w:val="000000"/>
          <w:lang w:eastAsia="en-US"/>
        </w:rPr>
        <w:t xml:space="preserve"> ME, Lyon NR, Duffy LC, Granger CV, Braun S. (1997). Interrater agreement and stability of the Functional Independence Measure for Children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use in children with developmental disabilities. </w:t>
      </w:r>
      <w:r w:rsidRPr="00F63E30">
        <w:rPr>
          <w:rFonts w:eastAsia="Arial" w:cs="Arial"/>
          <w:i/>
          <w:color w:val="000000"/>
          <w:lang w:eastAsia="en-US"/>
        </w:rPr>
        <w:t>Arch Phys Med Rehabil</w:t>
      </w:r>
      <w:r w:rsidRPr="00F63E30">
        <w:rPr>
          <w:rFonts w:eastAsia="Arial" w:cs="Arial"/>
          <w:color w:val="000000"/>
          <w:lang w:eastAsia="en-US"/>
        </w:rPr>
        <w:t>, 78(12):1309-15.</w:t>
      </w:r>
      <w:r w:rsidRPr="00F63E30">
        <w:rPr>
          <w:rFonts w:eastAsia="Arial" w:cs="Arial"/>
          <w:color w:val="0000FF"/>
          <w:u w:val="single"/>
          <w:lang w:eastAsia="en-US"/>
        </w:rPr>
        <w:t xml:space="preserve"> https://doi.org/10.1016/s0003-9993(97)90302-6</w:t>
      </w:r>
    </w:p>
    <w:p w14:paraId="51EE89DA"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Sperle PA, Ottenbacher KJ, Braun SL, Lane SJ, </w:t>
      </w:r>
      <w:proofErr w:type="spellStart"/>
      <w:r w:rsidRPr="00F63E30">
        <w:rPr>
          <w:rFonts w:eastAsia="Arial" w:cs="Arial"/>
          <w:color w:val="000000"/>
          <w:lang w:eastAsia="en-US"/>
        </w:rPr>
        <w:t>Nochajski</w:t>
      </w:r>
      <w:proofErr w:type="spellEnd"/>
      <w:r w:rsidRPr="00F63E30">
        <w:rPr>
          <w:rFonts w:eastAsia="Arial" w:cs="Arial"/>
          <w:color w:val="000000"/>
          <w:lang w:eastAsia="en-US"/>
        </w:rPr>
        <w:t xml:space="preserve"> S. (1997). Equivalence reliability of the functional independence measure for children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administration methods. </w:t>
      </w:r>
      <w:r w:rsidRPr="00F63E30">
        <w:rPr>
          <w:rFonts w:eastAsia="Arial" w:cs="Arial"/>
          <w:i/>
          <w:color w:val="000000"/>
          <w:lang w:eastAsia="en-US"/>
        </w:rPr>
        <w:t xml:space="preserve">Am J </w:t>
      </w:r>
      <w:proofErr w:type="spellStart"/>
      <w:r w:rsidRPr="00F63E30">
        <w:rPr>
          <w:rFonts w:eastAsia="Arial" w:cs="Arial"/>
          <w:i/>
          <w:color w:val="000000"/>
          <w:lang w:eastAsia="en-US"/>
        </w:rPr>
        <w:t>Occup</w:t>
      </w:r>
      <w:proofErr w:type="spellEnd"/>
      <w:r w:rsidRPr="00F63E30">
        <w:rPr>
          <w:rFonts w:eastAsia="Arial" w:cs="Arial"/>
          <w:i/>
          <w:color w:val="000000"/>
          <w:lang w:eastAsia="en-US"/>
        </w:rPr>
        <w:t xml:space="preserve"> Ther</w:t>
      </w:r>
      <w:r w:rsidRPr="00F63E30">
        <w:rPr>
          <w:rFonts w:eastAsia="Arial" w:cs="Arial"/>
          <w:color w:val="000000"/>
          <w:lang w:eastAsia="en-US"/>
        </w:rPr>
        <w:t>, 51(1):35-41.</w:t>
      </w:r>
      <w:r w:rsidRPr="00F63E30">
        <w:rPr>
          <w:rFonts w:eastAsia="Arial" w:cs="Arial"/>
          <w:color w:val="0000FF"/>
          <w:u w:val="single"/>
          <w:lang w:eastAsia="en-US"/>
        </w:rPr>
        <w:t xml:space="preserve"> https://doi.org/10.5014/ajot.51.1.35</w:t>
      </w:r>
    </w:p>
    <w:p w14:paraId="472B4311"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Ottenbacher KJ, Taylor ET, </w:t>
      </w:r>
      <w:proofErr w:type="spellStart"/>
      <w:r w:rsidRPr="00F63E30">
        <w:rPr>
          <w:rFonts w:eastAsia="Arial" w:cs="Arial"/>
          <w:color w:val="000000"/>
          <w:lang w:eastAsia="en-US"/>
        </w:rPr>
        <w:t>Msall</w:t>
      </w:r>
      <w:proofErr w:type="spellEnd"/>
      <w:r w:rsidRPr="00F63E30">
        <w:rPr>
          <w:rFonts w:eastAsia="Arial" w:cs="Arial"/>
          <w:color w:val="000000"/>
          <w:lang w:eastAsia="en-US"/>
        </w:rPr>
        <w:t xml:space="preserve"> ME, Braun S, Lane SJ, Granger CV, Lyons N, Duffy LC. (1996). The stability and equivalence reliability of the functional independence measure for children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w:t>
      </w:r>
      <w:r w:rsidRPr="00F63E30">
        <w:rPr>
          <w:rFonts w:eastAsia="Arial" w:cs="Arial"/>
          <w:i/>
          <w:color w:val="000000"/>
          <w:lang w:eastAsia="en-US"/>
        </w:rPr>
        <w:t>Dev Med Child Neurol</w:t>
      </w:r>
      <w:r w:rsidRPr="00F63E30">
        <w:rPr>
          <w:rFonts w:eastAsia="Arial" w:cs="Arial"/>
          <w:color w:val="000000"/>
          <w:lang w:eastAsia="en-US"/>
        </w:rPr>
        <w:t>, 38(10):907-16.</w:t>
      </w:r>
      <w:r w:rsidRPr="00F63E30">
        <w:rPr>
          <w:rFonts w:eastAsia="Arial" w:cs="Arial"/>
          <w:color w:val="0000FF"/>
          <w:u w:val="single"/>
          <w:lang w:eastAsia="en-US"/>
        </w:rPr>
        <w:t xml:space="preserve"> https://doi.org/10.1111/j.1469-8749.1996.tb15047.x</w:t>
      </w:r>
    </w:p>
    <w:p w14:paraId="61B8B8F8"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proofErr w:type="spellStart"/>
      <w:r w:rsidRPr="00F63E30">
        <w:rPr>
          <w:rFonts w:eastAsia="Arial" w:cs="Arial"/>
          <w:color w:val="000000"/>
          <w:lang w:eastAsia="en-US"/>
        </w:rPr>
        <w:t>Msall</w:t>
      </w:r>
      <w:proofErr w:type="spellEnd"/>
      <w:r w:rsidRPr="00F63E30">
        <w:rPr>
          <w:rFonts w:eastAsia="Arial" w:cs="Arial"/>
          <w:color w:val="000000"/>
          <w:lang w:eastAsia="en-US"/>
        </w:rPr>
        <w:t xml:space="preserve"> ME, DiGaudio K, Rogers BT, LaForest S, Catanzaro NL, Campbell J, </w:t>
      </w:r>
      <w:proofErr w:type="spellStart"/>
      <w:r w:rsidRPr="00F63E30">
        <w:rPr>
          <w:rFonts w:eastAsia="Arial" w:cs="Arial"/>
          <w:color w:val="000000"/>
          <w:lang w:eastAsia="en-US"/>
        </w:rPr>
        <w:t>Wilczenski</w:t>
      </w:r>
      <w:proofErr w:type="spellEnd"/>
      <w:r w:rsidRPr="00F63E30">
        <w:rPr>
          <w:rFonts w:eastAsia="Arial" w:cs="Arial"/>
          <w:color w:val="000000"/>
          <w:lang w:eastAsia="en-US"/>
        </w:rPr>
        <w:t xml:space="preserve"> F, Duffy LC. (1994). The Functional Independence Measure for Children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Conceptual basis and pilot use in children with developmental disabilities. </w:t>
      </w:r>
      <w:r w:rsidRPr="00F63E30">
        <w:rPr>
          <w:rFonts w:eastAsia="Arial" w:cs="Arial"/>
          <w:i/>
          <w:color w:val="000000"/>
          <w:lang w:eastAsia="en-US"/>
        </w:rPr>
        <w:t xml:space="preserve">Clin </w:t>
      </w:r>
      <w:proofErr w:type="spellStart"/>
      <w:r w:rsidRPr="00F63E30">
        <w:rPr>
          <w:rFonts w:eastAsia="Arial" w:cs="Arial"/>
          <w:i/>
          <w:color w:val="000000"/>
          <w:lang w:eastAsia="en-US"/>
        </w:rPr>
        <w:t>Pediatr</w:t>
      </w:r>
      <w:proofErr w:type="spellEnd"/>
      <w:r w:rsidRPr="00F63E30">
        <w:rPr>
          <w:rFonts w:eastAsia="Arial" w:cs="Arial"/>
          <w:i/>
          <w:color w:val="000000"/>
          <w:lang w:eastAsia="en-US"/>
        </w:rPr>
        <w:t xml:space="preserve"> (Phila)</w:t>
      </w:r>
      <w:r w:rsidRPr="00F63E30">
        <w:rPr>
          <w:rFonts w:eastAsia="Arial" w:cs="Arial"/>
          <w:color w:val="000000"/>
          <w:lang w:eastAsia="en-US"/>
        </w:rPr>
        <w:t>, 33(7):421-30.</w:t>
      </w:r>
      <w:r w:rsidRPr="00F63E30">
        <w:rPr>
          <w:rFonts w:eastAsia="Arial" w:cs="Arial"/>
          <w:color w:val="0000FF"/>
          <w:u w:val="single"/>
          <w:lang w:eastAsia="en-US"/>
        </w:rPr>
        <w:t xml:space="preserve"> https://doi.org/10.1177/000992289403300708</w:t>
      </w:r>
    </w:p>
    <w:p w14:paraId="069CDB1D" w14:textId="77777777" w:rsidR="009B6C21" w:rsidRPr="00F63E30" w:rsidRDefault="009B6C21" w:rsidP="00EF68C9">
      <w:pPr>
        <w:pStyle w:val="Heading2"/>
        <w:rPr>
          <w:lang w:eastAsia="en-US"/>
        </w:rPr>
      </w:pPr>
      <w:r w:rsidRPr="00F63E30">
        <w:rPr>
          <w:lang w:eastAsia="en-US"/>
        </w:rPr>
        <w:t>Cultural Adaptations</w:t>
      </w:r>
    </w:p>
    <w:p w14:paraId="4A8E92EB" w14:textId="57C6F14D"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Qurat-Ul-Ain Sherazi, Shoaib Waqas, Muhammad Tariq, Hafiz Muhammad Asim, Asifa Javaid, Imran Ghafoor (2023). Translation and </w:t>
      </w:r>
      <w:r w:rsidR="00177F70">
        <w:rPr>
          <w:rFonts w:eastAsia="Arial" w:cs="Arial"/>
          <w:color w:val="000000"/>
          <w:lang w:eastAsia="en-US"/>
        </w:rPr>
        <w:t>v</w:t>
      </w:r>
      <w:r w:rsidRPr="00F63E30">
        <w:rPr>
          <w:rFonts w:eastAsia="Arial" w:cs="Arial"/>
          <w:color w:val="000000"/>
          <w:lang w:eastAsia="en-US"/>
        </w:rPr>
        <w:t xml:space="preserve">alidation of </w:t>
      </w:r>
      <w:proofErr w:type="spellStart"/>
      <w:r w:rsidRPr="00F63E30">
        <w:rPr>
          <w:rFonts w:eastAsia="Arial" w:cs="Arial"/>
          <w:color w:val="000000"/>
          <w:lang w:eastAsia="en-US"/>
        </w:rPr>
        <w:t>Pediatric</w:t>
      </w:r>
      <w:proofErr w:type="spellEnd"/>
      <w:r w:rsidRPr="00F63E30">
        <w:rPr>
          <w:rFonts w:eastAsia="Arial" w:cs="Arial"/>
          <w:color w:val="000000"/>
          <w:lang w:eastAsia="en-US"/>
        </w:rPr>
        <w:t xml:space="preserve"> Functional Independence Measure Scale in Urdu </w:t>
      </w:r>
      <w:r w:rsidR="00177F70">
        <w:rPr>
          <w:rFonts w:eastAsia="Arial" w:cs="Arial"/>
          <w:color w:val="000000"/>
          <w:lang w:eastAsia="en-US"/>
        </w:rPr>
        <w:t>l</w:t>
      </w:r>
      <w:r w:rsidRPr="00F63E30">
        <w:rPr>
          <w:rFonts w:eastAsia="Arial" w:cs="Arial"/>
          <w:color w:val="000000"/>
          <w:lang w:eastAsia="en-US"/>
        </w:rPr>
        <w:t xml:space="preserve">anguage among </w:t>
      </w:r>
      <w:r w:rsidR="00177F70">
        <w:rPr>
          <w:rFonts w:eastAsia="Arial" w:cs="Arial"/>
          <w:color w:val="000000"/>
          <w:lang w:eastAsia="en-US"/>
        </w:rPr>
        <w:t>p</w:t>
      </w:r>
      <w:r w:rsidRPr="00F63E30">
        <w:rPr>
          <w:rFonts w:eastAsia="Arial" w:cs="Arial"/>
          <w:color w:val="000000"/>
          <w:lang w:eastAsia="en-US"/>
        </w:rPr>
        <w:t xml:space="preserve">reterm </w:t>
      </w:r>
      <w:r w:rsidR="00177F70">
        <w:rPr>
          <w:rFonts w:eastAsia="Arial" w:cs="Arial"/>
          <w:color w:val="000000"/>
          <w:lang w:eastAsia="en-US"/>
        </w:rPr>
        <w:t>c</w:t>
      </w:r>
      <w:r w:rsidRPr="00F63E30">
        <w:rPr>
          <w:rFonts w:eastAsia="Arial" w:cs="Arial"/>
          <w:color w:val="000000"/>
          <w:lang w:eastAsia="en-US"/>
        </w:rPr>
        <w:t xml:space="preserve">hildren. </w:t>
      </w:r>
      <w:r w:rsidRPr="00F63E30">
        <w:rPr>
          <w:rFonts w:eastAsia="Arial" w:cs="Arial"/>
          <w:i/>
          <w:color w:val="000000"/>
          <w:lang w:eastAsia="en-US"/>
        </w:rPr>
        <w:t>Pakistan Journal of Medical and Health Sciences</w:t>
      </w:r>
      <w:r w:rsidRPr="00F63E30">
        <w:rPr>
          <w:rFonts w:eastAsia="Arial" w:cs="Arial"/>
          <w:color w:val="000000"/>
          <w:lang w:eastAsia="en-US"/>
        </w:rPr>
        <w:t>, 17(05):22-24.</w:t>
      </w:r>
      <w:r w:rsidRPr="00F63E30">
        <w:rPr>
          <w:rFonts w:eastAsia="Arial" w:cs="Arial"/>
          <w:color w:val="0000FF"/>
          <w:u w:val="single"/>
          <w:lang w:eastAsia="en-US"/>
        </w:rPr>
        <w:t xml:space="preserve"> https://doi.org/10.53350/pjmhs202317522</w:t>
      </w:r>
    </w:p>
    <w:p w14:paraId="5AA721BA" w14:textId="1A62DD85"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Kim GW, Kim H, Jeon JY, Jang JS. (2022). Validity and </w:t>
      </w:r>
      <w:r w:rsidR="00177F70">
        <w:rPr>
          <w:rFonts w:eastAsia="Arial" w:cs="Arial"/>
          <w:color w:val="000000"/>
          <w:lang w:eastAsia="en-US"/>
        </w:rPr>
        <w:t>r</w:t>
      </w:r>
      <w:r w:rsidRPr="00F63E30">
        <w:rPr>
          <w:rFonts w:eastAsia="Arial" w:cs="Arial"/>
          <w:color w:val="000000"/>
          <w:lang w:eastAsia="en-US"/>
        </w:rPr>
        <w:t>eliability of Functional Independence Measure for Children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for </w:t>
      </w:r>
      <w:r w:rsidR="00177F70">
        <w:rPr>
          <w:rFonts w:eastAsia="Arial" w:cs="Arial"/>
          <w:color w:val="000000"/>
          <w:lang w:eastAsia="en-US"/>
        </w:rPr>
        <w:t>c</w:t>
      </w:r>
      <w:r w:rsidRPr="00F63E30">
        <w:rPr>
          <w:rFonts w:eastAsia="Arial" w:cs="Arial"/>
          <w:color w:val="000000"/>
          <w:lang w:eastAsia="en-US"/>
        </w:rPr>
        <w:t xml:space="preserve">hildren </w:t>
      </w:r>
      <w:r w:rsidR="00177F70">
        <w:rPr>
          <w:rFonts w:eastAsia="Arial" w:cs="Arial"/>
          <w:color w:val="000000"/>
          <w:lang w:eastAsia="en-US"/>
        </w:rPr>
        <w:t>w</w:t>
      </w:r>
      <w:r w:rsidRPr="00F63E30">
        <w:rPr>
          <w:rFonts w:eastAsia="Arial" w:cs="Arial"/>
          <w:color w:val="000000"/>
          <w:lang w:eastAsia="en-US"/>
        </w:rPr>
        <w:t xml:space="preserve">ith </w:t>
      </w:r>
      <w:r w:rsidR="00177F70">
        <w:rPr>
          <w:rFonts w:eastAsia="Arial" w:cs="Arial"/>
          <w:color w:val="000000"/>
          <w:lang w:eastAsia="en-US"/>
        </w:rPr>
        <w:t>c</w:t>
      </w:r>
      <w:r w:rsidRPr="00F63E30">
        <w:rPr>
          <w:rFonts w:eastAsia="Arial" w:cs="Arial"/>
          <w:color w:val="000000"/>
          <w:lang w:eastAsia="en-US"/>
        </w:rPr>
        <w:t xml:space="preserve">erebral </w:t>
      </w:r>
      <w:r w:rsidR="00177F70">
        <w:rPr>
          <w:rFonts w:eastAsia="Arial" w:cs="Arial"/>
          <w:color w:val="000000"/>
          <w:lang w:eastAsia="en-US"/>
        </w:rPr>
        <w:t>p</w:t>
      </w:r>
      <w:r w:rsidRPr="00F63E30">
        <w:rPr>
          <w:rFonts w:eastAsia="Arial" w:cs="Arial"/>
          <w:color w:val="000000"/>
          <w:lang w:eastAsia="en-US"/>
        </w:rPr>
        <w:t xml:space="preserve">alsy. </w:t>
      </w:r>
      <w:r w:rsidRPr="00F63E30">
        <w:rPr>
          <w:rFonts w:eastAsia="Arial" w:cs="Arial"/>
          <w:i/>
          <w:color w:val="000000"/>
          <w:lang w:eastAsia="en-US"/>
        </w:rPr>
        <w:t>Inquiry</w:t>
      </w:r>
      <w:r w:rsidRPr="00F63E30">
        <w:rPr>
          <w:rFonts w:eastAsia="Arial" w:cs="Arial"/>
          <w:color w:val="000000"/>
          <w:lang w:eastAsia="en-US"/>
        </w:rPr>
        <w:t xml:space="preserve">, </w:t>
      </w:r>
      <w:r w:rsidR="002C06F9">
        <w:rPr>
          <w:rFonts w:eastAsia="Arial" w:cs="Arial"/>
          <w:color w:val="000000"/>
          <w:lang w:eastAsia="en-US"/>
        </w:rPr>
        <w:t>59</w:t>
      </w:r>
      <w:r w:rsidRPr="00F63E30">
        <w:rPr>
          <w:rFonts w:eastAsia="Arial" w:cs="Arial"/>
          <w:color w:val="000000"/>
          <w:lang w:eastAsia="en-US"/>
        </w:rPr>
        <w:t>.</w:t>
      </w:r>
      <w:r w:rsidRPr="00F63E30">
        <w:rPr>
          <w:rFonts w:eastAsia="Arial" w:cs="Arial"/>
          <w:color w:val="0000FF"/>
          <w:u w:val="single"/>
          <w:lang w:eastAsia="en-US"/>
        </w:rPr>
        <w:t xml:space="preserve"> https://doi.org/10.1177/00469580211072454</w:t>
      </w:r>
    </w:p>
    <w:p w14:paraId="58C5CD09"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Teo JH, </w:t>
      </w:r>
      <w:proofErr w:type="spellStart"/>
      <w:r w:rsidRPr="00F63E30">
        <w:rPr>
          <w:rFonts w:eastAsia="Arial" w:cs="Arial"/>
          <w:color w:val="000000"/>
          <w:lang w:eastAsia="en-US"/>
        </w:rPr>
        <w:t>Shabhani</w:t>
      </w:r>
      <w:proofErr w:type="spellEnd"/>
      <w:r w:rsidRPr="00F63E30">
        <w:rPr>
          <w:rFonts w:eastAsia="Arial" w:cs="Arial"/>
          <w:color w:val="000000"/>
          <w:lang w:eastAsia="en-US"/>
        </w:rPr>
        <w:t xml:space="preserve"> S, Qiao F, Ng ZM, Chan DW. (2022). Comparison of functional outcome scales in paediatric acute encephalitis: Responsiveness and outcome </w:t>
      </w:r>
      <w:r w:rsidRPr="00F63E30">
        <w:rPr>
          <w:rFonts w:eastAsia="Arial" w:cs="Arial"/>
          <w:color w:val="000000"/>
          <w:lang w:eastAsia="en-US"/>
        </w:rPr>
        <w:lastRenderedPageBreak/>
        <w:t xml:space="preserve">predictors. </w:t>
      </w:r>
      <w:r w:rsidRPr="00F63E30">
        <w:rPr>
          <w:rFonts w:eastAsia="Arial" w:cs="Arial"/>
          <w:i/>
          <w:color w:val="000000"/>
          <w:lang w:eastAsia="en-US"/>
        </w:rPr>
        <w:t xml:space="preserve">J Pediatr </w:t>
      </w:r>
      <w:proofErr w:type="spellStart"/>
      <w:r w:rsidRPr="00F63E30">
        <w:rPr>
          <w:rFonts w:eastAsia="Arial" w:cs="Arial"/>
          <w:i/>
          <w:color w:val="000000"/>
          <w:lang w:eastAsia="en-US"/>
        </w:rPr>
        <w:t>Rehabil</w:t>
      </w:r>
      <w:proofErr w:type="spellEnd"/>
      <w:r w:rsidRPr="00F63E30">
        <w:rPr>
          <w:rFonts w:eastAsia="Arial" w:cs="Arial"/>
          <w:i/>
          <w:color w:val="000000"/>
          <w:lang w:eastAsia="en-US"/>
        </w:rPr>
        <w:t xml:space="preserve"> Med</w:t>
      </w:r>
      <w:r w:rsidRPr="00F63E30">
        <w:rPr>
          <w:rFonts w:eastAsia="Arial" w:cs="Arial"/>
          <w:color w:val="000000"/>
          <w:lang w:eastAsia="en-US"/>
        </w:rPr>
        <w:t>, 15(2):289-298.</w:t>
      </w:r>
      <w:r w:rsidRPr="00F63E30">
        <w:rPr>
          <w:rFonts w:eastAsia="Arial" w:cs="Arial"/>
          <w:color w:val="0000FF"/>
          <w:u w:val="single"/>
          <w:lang w:eastAsia="en-US"/>
        </w:rPr>
        <w:t xml:space="preserve"> https://doi.org/10.3233/PRM-200706</w:t>
      </w:r>
    </w:p>
    <w:p w14:paraId="3757C4C3"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proofErr w:type="spellStart"/>
      <w:r w:rsidRPr="00F63E30">
        <w:rPr>
          <w:rFonts w:eastAsia="Arial" w:cs="Arial"/>
          <w:color w:val="000000"/>
          <w:lang w:eastAsia="en-US"/>
        </w:rPr>
        <w:t>Gilarska</w:t>
      </w:r>
      <w:proofErr w:type="spellEnd"/>
      <w:r w:rsidRPr="00F63E30">
        <w:rPr>
          <w:rFonts w:eastAsia="Arial" w:cs="Arial"/>
          <w:color w:val="000000"/>
          <w:lang w:eastAsia="en-US"/>
        </w:rPr>
        <w:t xml:space="preserve"> M, Klimek M, </w:t>
      </w:r>
      <w:proofErr w:type="spellStart"/>
      <w:r w:rsidRPr="00F63E30">
        <w:rPr>
          <w:rFonts w:eastAsia="Arial" w:cs="Arial"/>
          <w:color w:val="000000"/>
          <w:lang w:eastAsia="en-US"/>
        </w:rPr>
        <w:t>Nitecka</w:t>
      </w:r>
      <w:proofErr w:type="spellEnd"/>
      <w:r w:rsidRPr="00F63E30">
        <w:rPr>
          <w:rFonts w:eastAsia="Arial" w:cs="Arial"/>
          <w:color w:val="000000"/>
          <w:lang w:eastAsia="en-US"/>
        </w:rPr>
        <w:t xml:space="preserve"> M, </w:t>
      </w:r>
      <w:proofErr w:type="spellStart"/>
      <w:r w:rsidRPr="00F63E30">
        <w:rPr>
          <w:rFonts w:eastAsia="Arial" w:cs="Arial"/>
          <w:color w:val="000000"/>
          <w:lang w:eastAsia="en-US"/>
        </w:rPr>
        <w:t>Dutkowska</w:t>
      </w:r>
      <w:proofErr w:type="spellEnd"/>
      <w:r w:rsidRPr="00F63E30">
        <w:rPr>
          <w:rFonts w:eastAsia="Arial" w:cs="Arial"/>
          <w:color w:val="000000"/>
          <w:lang w:eastAsia="en-US"/>
        </w:rPr>
        <w:t xml:space="preserve"> G, </w:t>
      </w:r>
      <w:proofErr w:type="spellStart"/>
      <w:r w:rsidRPr="00F63E30">
        <w:rPr>
          <w:rFonts w:eastAsia="Arial" w:cs="Arial"/>
          <w:color w:val="000000"/>
          <w:lang w:eastAsia="en-US"/>
        </w:rPr>
        <w:t>Gasińska</w:t>
      </w:r>
      <w:proofErr w:type="spellEnd"/>
      <w:r w:rsidRPr="00F63E30">
        <w:rPr>
          <w:rFonts w:eastAsia="Arial" w:cs="Arial"/>
          <w:color w:val="000000"/>
          <w:lang w:eastAsia="en-US"/>
        </w:rPr>
        <w:t xml:space="preserve"> M, Kwinta P. (2019). Usefulness of the most popular neurodevelopmental tests in preschool assessment of children born with very low birth weight. </w:t>
      </w:r>
      <w:r w:rsidRPr="00F63E30">
        <w:rPr>
          <w:rFonts w:eastAsia="Arial" w:cs="Arial"/>
          <w:i/>
          <w:color w:val="000000"/>
          <w:lang w:eastAsia="en-US"/>
        </w:rPr>
        <w:t>Minerva Pediatr</w:t>
      </w:r>
      <w:r w:rsidRPr="00F63E30">
        <w:rPr>
          <w:rFonts w:eastAsia="Arial" w:cs="Arial"/>
          <w:color w:val="000000"/>
          <w:lang w:eastAsia="en-US"/>
        </w:rPr>
        <w:t>, 71(4):333-342.</w:t>
      </w:r>
      <w:r w:rsidRPr="00F63E30">
        <w:rPr>
          <w:rFonts w:eastAsia="Arial" w:cs="Arial"/>
          <w:color w:val="0000FF"/>
          <w:u w:val="single"/>
          <w:lang w:eastAsia="en-US"/>
        </w:rPr>
        <w:t xml:space="preserve"> https://doi.org/10.23736/S0026-4946.16.04513-8</w:t>
      </w:r>
    </w:p>
    <w:p w14:paraId="3D24354C"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Park EY, Kim WH, Choi YI. (2013). Factor analysis of the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in children with spastic cerebral palsy. </w:t>
      </w:r>
      <w:proofErr w:type="spellStart"/>
      <w:r w:rsidRPr="00F63E30">
        <w:rPr>
          <w:rFonts w:eastAsia="Arial" w:cs="Arial"/>
          <w:i/>
          <w:color w:val="000000"/>
          <w:lang w:eastAsia="en-US"/>
        </w:rPr>
        <w:t>Disabil</w:t>
      </w:r>
      <w:proofErr w:type="spellEnd"/>
      <w:r w:rsidRPr="00F63E30">
        <w:rPr>
          <w:rFonts w:eastAsia="Arial" w:cs="Arial"/>
          <w:i/>
          <w:color w:val="000000"/>
          <w:lang w:eastAsia="en-US"/>
        </w:rPr>
        <w:t xml:space="preserve"> </w:t>
      </w:r>
      <w:proofErr w:type="spellStart"/>
      <w:r w:rsidRPr="00F63E30">
        <w:rPr>
          <w:rFonts w:eastAsia="Arial" w:cs="Arial"/>
          <w:i/>
          <w:color w:val="000000"/>
          <w:lang w:eastAsia="en-US"/>
        </w:rPr>
        <w:t>Rehabil</w:t>
      </w:r>
      <w:proofErr w:type="spellEnd"/>
      <w:r w:rsidRPr="00F63E30">
        <w:rPr>
          <w:rFonts w:eastAsia="Arial" w:cs="Arial"/>
          <w:color w:val="000000"/>
          <w:lang w:eastAsia="en-US"/>
        </w:rPr>
        <w:t>, 35(17):1466-71.</w:t>
      </w:r>
      <w:r w:rsidRPr="00F63E30">
        <w:rPr>
          <w:rFonts w:eastAsia="Arial" w:cs="Arial"/>
          <w:color w:val="0000FF"/>
          <w:u w:val="single"/>
          <w:lang w:eastAsia="en-US"/>
        </w:rPr>
        <w:t xml:space="preserve"> https://doi.org/10.3109/09638288.2012.737082</w:t>
      </w:r>
    </w:p>
    <w:p w14:paraId="311D70E3"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Gunel MK, Mutlu A, </w:t>
      </w:r>
      <w:proofErr w:type="spellStart"/>
      <w:r w:rsidRPr="00F63E30">
        <w:rPr>
          <w:rFonts w:eastAsia="Arial" w:cs="Arial"/>
          <w:color w:val="000000"/>
          <w:lang w:eastAsia="en-US"/>
        </w:rPr>
        <w:t>Tarsuslu</w:t>
      </w:r>
      <w:proofErr w:type="spellEnd"/>
      <w:r w:rsidRPr="00F63E30">
        <w:rPr>
          <w:rFonts w:eastAsia="Arial" w:cs="Arial"/>
          <w:color w:val="000000"/>
          <w:lang w:eastAsia="en-US"/>
        </w:rPr>
        <w:t xml:space="preserve"> T, </w:t>
      </w:r>
      <w:proofErr w:type="spellStart"/>
      <w:r w:rsidRPr="00F63E30">
        <w:rPr>
          <w:rFonts w:eastAsia="Arial" w:cs="Arial"/>
          <w:color w:val="000000"/>
          <w:lang w:eastAsia="en-US"/>
        </w:rPr>
        <w:t>Livanelioglu</w:t>
      </w:r>
      <w:proofErr w:type="spellEnd"/>
      <w:r w:rsidRPr="00F63E30">
        <w:rPr>
          <w:rFonts w:eastAsia="Arial" w:cs="Arial"/>
          <w:color w:val="000000"/>
          <w:lang w:eastAsia="en-US"/>
        </w:rPr>
        <w:t xml:space="preserve"> A. (2009). Relationship among the Manual Ability Classification System (MACS), the Gross Motor Function Classification System (GMFCS), and the functional status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in children with spastic cerebral palsy. </w:t>
      </w:r>
      <w:proofErr w:type="spellStart"/>
      <w:r w:rsidRPr="00F63E30">
        <w:rPr>
          <w:rFonts w:eastAsia="Arial" w:cs="Arial"/>
          <w:i/>
          <w:color w:val="000000"/>
          <w:lang w:eastAsia="en-US"/>
        </w:rPr>
        <w:t>Eur</w:t>
      </w:r>
      <w:proofErr w:type="spellEnd"/>
      <w:r w:rsidRPr="00F63E30">
        <w:rPr>
          <w:rFonts w:eastAsia="Arial" w:cs="Arial"/>
          <w:i/>
          <w:color w:val="000000"/>
          <w:lang w:eastAsia="en-US"/>
        </w:rPr>
        <w:t xml:space="preserve"> J Pediatr</w:t>
      </w:r>
      <w:r w:rsidRPr="00F63E30">
        <w:rPr>
          <w:rFonts w:eastAsia="Arial" w:cs="Arial"/>
          <w:color w:val="000000"/>
          <w:lang w:eastAsia="en-US"/>
        </w:rPr>
        <w:t>, 168(4):477-85.</w:t>
      </w:r>
      <w:r w:rsidRPr="00F63E30">
        <w:rPr>
          <w:rFonts w:eastAsia="Arial" w:cs="Arial"/>
          <w:color w:val="0000FF"/>
          <w:u w:val="single"/>
          <w:lang w:eastAsia="en-US"/>
        </w:rPr>
        <w:t xml:space="preserve"> https://doi.org/10.1007/s00431-008-0775-1</w:t>
      </w:r>
    </w:p>
    <w:p w14:paraId="51808ADB"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Tur BS, </w:t>
      </w:r>
      <w:proofErr w:type="spellStart"/>
      <w:r w:rsidRPr="00F63E30">
        <w:rPr>
          <w:rFonts w:eastAsia="Arial" w:cs="Arial"/>
          <w:color w:val="000000"/>
          <w:lang w:eastAsia="en-US"/>
        </w:rPr>
        <w:t>Küçükdeveci</w:t>
      </w:r>
      <w:proofErr w:type="spellEnd"/>
      <w:r w:rsidRPr="00F63E30">
        <w:rPr>
          <w:rFonts w:eastAsia="Arial" w:cs="Arial"/>
          <w:color w:val="000000"/>
          <w:lang w:eastAsia="en-US"/>
        </w:rPr>
        <w:t xml:space="preserve"> AA, Kutlay S, </w:t>
      </w:r>
      <w:proofErr w:type="spellStart"/>
      <w:r w:rsidRPr="00F63E30">
        <w:rPr>
          <w:rFonts w:eastAsia="Arial" w:cs="Arial"/>
          <w:color w:val="000000"/>
          <w:lang w:eastAsia="en-US"/>
        </w:rPr>
        <w:t>Yavuzer</w:t>
      </w:r>
      <w:proofErr w:type="spellEnd"/>
      <w:r w:rsidRPr="00F63E30">
        <w:rPr>
          <w:rFonts w:eastAsia="Arial" w:cs="Arial"/>
          <w:color w:val="000000"/>
          <w:lang w:eastAsia="en-US"/>
        </w:rPr>
        <w:t xml:space="preserve"> G, Elhan AH, Tennant A. (2009). Psychometric properties of the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in children with cerebral palsy in Turkey. </w:t>
      </w:r>
      <w:r w:rsidRPr="00F63E30">
        <w:rPr>
          <w:rFonts w:eastAsia="Arial" w:cs="Arial"/>
          <w:i/>
          <w:color w:val="000000"/>
          <w:lang w:eastAsia="en-US"/>
        </w:rPr>
        <w:t>Dev Med Child Neurol</w:t>
      </w:r>
      <w:r w:rsidRPr="00F63E30">
        <w:rPr>
          <w:rFonts w:eastAsia="Arial" w:cs="Arial"/>
          <w:color w:val="000000"/>
          <w:lang w:eastAsia="en-US"/>
        </w:rPr>
        <w:t>, 51(9):732-8.</w:t>
      </w:r>
      <w:r w:rsidRPr="00F63E30">
        <w:rPr>
          <w:rFonts w:eastAsia="Arial" w:cs="Arial"/>
          <w:color w:val="0000FF"/>
          <w:u w:val="single"/>
          <w:lang w:eastAsia="en-US"/>
        </w:rPr>
        <w:t xml:space="preserve"> https://doi.org/10.1111/j.1469-8749.2008.03255.x</w:t>
      </w:r>
    </w:p>
    <w:p w14:paraId="4B5BDDF5"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proofErr w:type="spellStart"/>
      <w:r w:rsidRPr="00F63E30">
        <w:rPr>
          <w:rFonts w:eastAsia="Arial" w:cs="Arial"/>
          <w:color w:val="000000"/>
          <w:lang w:eastAsia="en-US"/>
        </w:rPr>
        <w:t>Aybay</w:t>
      </w:r>
      <w:proofErr w:type="spellEnd"/>
      <w:r w:rsidRPr="00F63E30">
        <w:rPr>
          <w:rFonts w:eastAsia="Arial" w:cs="Arial"/>
          <w:color w:val="000000"/>
          <w:lang w:eastAsia="en-US"/>
        </w:rPr>
        <w:t xml:space="preserve"> C, Erkin G, Elhan AH, </w:t>
      </w:r>
      <w:proofErr w:type="spellStart"/>
      <w:r w:rsidRPr="00F63E30">
        <w:rPr>
          <w:rFonts w:eastAsia="Arial" w:cs="Arial"/>
          <w:color w:val="000000"/>
          <w:lang w:eastAsia="en-US"/>
        </w:rPr>
        <w:t>Sirzai</w:t>
      </w:r>
      <w:proofErr w:type="spellEnd"/>
      <w:r w:rsidRPr="00F63E30">
        <w:rPr>
          <w:rFonts w:eastAsia="Arial" w:cs="Arial"/>
          <w:color w:val="000000"/>
          <w:lang w:eastAsia="en-US"/>
        </w:rPr>
        <w:t xml:space="preserve"> H, Ozel S. (2007). ADL assessment of nondisabled Turkish children with the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instrument. </w:t>
      </w:r>
      <w:r w:rsidRPr="00F63E30">
        <w:rPr>
          <w:rFonts w:eastAsia="Arial" w:cs="Arial"/>
          <w:i/>
          <w:color w:val="000000"/>
          <w:lang w:eastAsia="en-US"/>
        </w:rPr>
        <w:t>Am J Phys Med Rehabil</w:t>
      </w:r>
      <w:r w:rsidRPr="00F63E30">
        <w:rPr>
          <w:rFonts w:eastAsia="Arial" w:cs="Arial"/>
          <w:color w:val="000000"/>
          <w:lang w:eastAsia="en-US"/>
        </w:rPr>
        <w:t>, 86(3):176-82.</w:t>
      </w:r>
      <w:r w:rsidRPr="00F63E30">
        <w:rPr>
          <w:rFonts w:eastAsia="Arial" w:cs="Arial"/>
          <w:color w:val="0000FF"/>
          <w:u w:val="single"/>
          <w:lang w:eastAsia="en-US"/>
        </w:rPr>
        <w:t xml:space="preserve"> https://doi.org/10.1097/PHM.0b013e31802b8f8d</w:t>
      </w:r>
    </w:p>
    <w:p w14:paraId="1E5ED726"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Wong SS, Wong VC. (2007). Functional Independence Measure for Children: a comparison of Chinese and Japanese children. </w:t>
      </w:r>
      <w:proofErr w:type="spellStart"/>
      <w:r w:rsidRPr="00F63E30">
        <w:rPr>
          <w:rFonts w:eastAsia="Arial" w:cs="Arial"/>
          <w:i/>
          <w:color w:val="000000"/>
          <w:lang w:eastAsia="en-US"/>
        </w:rPr>
        <w:t>Neurorehabil</w:t>
      </w:r>
      <w:proofErr w:type="spellEnd"/>
      <w:r w:rsidRPr="00F63E30">
        <w:rPr>
          <w:rFonts w:eastAsia="Arial" w:cs="Arial"/>
          <w:i/>
          <w:color w:val="000000"/>
          <w:lang w:eastAsia="en-US"/>
        </w:rPr>
        <w:t xml:space="preserve"> Neural Repair</w:t>
      </w:r>
      <w:r w:rsidRPr="00F63E30">
        <w:rPr>
          <w:rFonts w:eastAsia="Arial" w:cs="Arial"/>
          <w:color w:val="000000"/>
          <w:lang w:eastAsia="en-US"/>
        </w:rPr>
        <w:t>, 21(1):91-6.</w:t>
      </w:r>
      <w:r w:rsidRPr="00F63E30">
        <w:rPr>
          <w:rFonts w:eastAsia="Arial" w:cs="Arial"/>
          <w:color w:val="0000FF"/>
          <w:u w:val="single"/>
          <w:lang w:eastAsia="en-US"/>
        </w:rPr>
        <w:t xml:space="preserve"> https://doi.org/10.1177/1545968306290225</w:t>
      </w:r>
    </w:p>
    <w:p w14:paraId="377089CC"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proofErr w:type="spellStart"/>
      <w:r w:rsidRPr="00F63E30">
        <w:rPr>
          <w:rFonts w:eastAsia="Arial" w:cs="Arial"/>
          <w:color w:val="000000"/>
          <w:lang w:eastAsia="en-US"/>
        </w:rPr>
        <w:t>Jongjit</w:t>
      </w:r>
      <w:proofErr w:type="spellEnd"/>
      <w:r w:rsidRPr="00F63E30">
        <w:rPr>
          <w:rFonts w:eastAsia="Arial" w:cs="Arial"/>
          <w:color w:val="000000"/>
          <w:lang w:eastAsia="en-US"/>
        </w:rPr>
        <w:t xml:space="preserve"> J, </w:t>
      </w:r>
      <w:proofErr w:type="spellStart"/>
      <w:r w:rsidRPr="00F63E30">
        <w:rPr>
          <w:rFonts w:eastAsia="Arial" w:cs="Arial"/>
          <w:color w:val="000000"/>
          <w:lang w:eastAsia="en-US"/>
        </w:rPr>
        <w:t>Komsopapong</w:t>
      </w:r>
      <w:proofErr w:type="spellEnd"/>
      <w:r w:rsidRPr="00F63E30">
        <w:rPr>
          <w:rFonts w:eastAsia="Arial" w:cs="Arial"/>
          <w:color w:val="000000"/>
          <w:lang w:eastAsia="en-US"/>
        </w:rPr>
        <w:t xml:space="preserve"> L, Saikaew T, </w:t>
      </w:r>
      <w:proofErr w:type="spellStart"/>
      <w:r w:rsidRPr="00F63E30">
        <w:rPr>
          <w:rFonts w:eastAsia="Arial" w:cs="Arial"/>
          <w:color w:val="000000"/>
          <w:lang w:eastAsia="en-US"/>
        </w:rPr>
        <w:t>Wanich</w:t>
      </w:r>
      <w:proofErr w:type="spellEnd"/>
      <w:r w:rsidRPr="00F63E30">
        <w:rPr>
          <w:rFonts w:eastAsia="Arial" w:cs="Arial"/>
          <w:color w:val="000000"/>
          <w:lang w:eastAsia="en-US"/>
        </w:rPr>
        <w:t xml:space="preserve"> U, </w:t>
      </w:r>
      <w:proofErr w:type="spellStart"/>
      <w:r w:rsidRPr="00F63E30">
        <w:rPr>
          <w:rFonts w:eastAsia="Arial" w:cs="Arial"/>
          <w:color w:val="000000"/>
          <w:lang w:eastAsia="en-US"/>
        </w:rPr>
        <w:t>Chewapanich</w:t>
      </w:r>
      <w:proofErr w:type="spellEnd"/>
      <w:r w:rsidRPr="00F63E30">
        <w:rPr>
          <w:rFonts w:eastAsia="Arial" w:cs="Arial"/>
          <w:color w:val="000000"/>
          <w:lang w:eastAsia="en-US"/>
        </w:rPr>
        <w:t xml:space="preserve"> S, </w:t>
      </w:r>
      <w:proofErr w:type="spellStart"/>
      <w:r w:rsidRPr="00F63E30">
        <w:rPr>
          <w:rFonts w:eastAsia="Arial" w:cs="Arial"/>
          <w:color w:val="000000"/>
          <w:lang w:eastAsia="en-US"/>
        </w:rPr>
        <w:t>Udomsubpayakul</w:t>
      </w:r>
      <w:proofErr w:type="spellEnd"/>
      <w:r w:rsidRPr="00F63E30">
        <w:rPr>
          <w:rFonts w:eastAsia="Arial" w:cs="Arial"/>
          <w:color w:val="000000"/>
          <w:lang w:eastAsia="en-US"/>
        </w:rPr>
        <w:t xml:space="preserve"> U, </w:t>
      </w:r>
      <w:proofErr w:type="spellStart"/>
      <w:r w:rsidRPr="00F63E30">
        <w:rPr>
          <w:rFonts w:eastAsia="Arial" w:cs="Arial"/>
          <w:color w:val="000000"/>
          <w:lang w:eastAsia="en-US"/>
        </w:rPr>
        <w:t>Ruangdaraganon</w:t>
      </w:r>
      <w:proofErr w:type="spellEnd"/>
      <w:r w:rsidRPr="00F63E30">
        <w:rPr>
          <w:rFonts w:eastAsia="Arial" w:cs="Arial"/>
          <w:color w:val="000000"/>
          <w:lang w:eastAsia="en-US"/>
        </w:rPr>
        <w:t xml:space="preserve"> N. (2006). Reliability of the functional independence measure for children in normal Thai children. </w:t>
      </w:r>
      <w:proofErr w:type="spellStart"/>
      <w:r w:rsidRPr="00F63E30">
        <w:rPr>
          <w:rFonts w:eastAsia="Arial" w:cs="Arial"/>
          <w:i/>
          <w:color w:val="000000"/>
          <w:lang w:eastAsia="en-US"/>
        </w:rPr>
        <w:t>Pediatr</w:t>
      </w:r>
      <w:proofErr w:type="spellEnd"/>
      <w:r w:rsidRPr="00F63E30">
        <w:rPr>
          <w:rFonts w:eastAsia="Arial" w:cs="Arial"/>
          <w:i/>
          <w:color w:val="000000"/>
          <w:lang w:eastAsia="en-US"/>
        </w:rPr>
        <w:t xml:space="preserve"> Int</w:t>
      </w:r>
      <w:r w:rsidRPr="00F63E30">
        <w:rPr>
          <w:rFonts w:eastAsia="Arial" w:cs="Arial"/>
          <w:color w:val="000000"/>
          <w:lang w:eastAsia="en-US"/>
        </w:rPr>
        <w:t>, 48(2):132-7.</w:t>
      </w:r>
      <w:r w:rsidRPr="00F63E30">
        <w:rPr>
          <w:rFonts w:eastAsia="Arial" w:cs="Arial"/>
          <w:color w:val="0000FF"/>
          <w:u w:val="single"/>
          <w:lang w:eastAsia="en-US"/>
        </w:rPr>
        <w:t xml:space="preserve"> https://doi.org/10.1111/j.1442-200X.2006.02183.x</w:t>
      </w:r>
    </w:p>
    <w:p w14:paraId="73632B67"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 xml:space="preserve">Erkin G, </w:t>
      </w:r>
      <w:proofErr w:type="spellStart"/>
      <w:r w:rsidRPr="00F63E30">
        <w:rPr>
          <w:rFonts w:eastAsia="Arial" w:cs="Arial"/>
          <w:color w:val="000000"/>
          <w:lang w:eastAsia="en-US"/>
        </w:rPr>
        <w:t>Aybay</w:t>
      </w:r>
      <w:proofErr w:type="spellEnd"/>
      <w:r w:rsidRPr="00F63E30">
        <w:rPr>
          <w:rFonts w:eastAsia="Arial" w:cs="Arial"/>
          <w:color w:val="000000"/>
          <w:lang w:eastAsia="en-US"/>
        </w:rPr>
        <w:t xml:space="preserve"> C, Kurt M, Keles I, </w:t>
      </w:r>
      <w:proofErr w:type="spellStart"/>
      <w:r w:rsidRPr="00F63E30">
        <w:rPr>
          <w:rFonts w:eastAsia="Arial" w:cs="Arial"/>
          <w:color w:val="000000"/>
          <w:lang w:eastAsia="en-US"/>
        </w:rPr>
        <w:t>Cakci</w:t>
      </w:r>
      <w:proofErr w:type="spellEnd"/>
      <w:r w:rsidRPr="00F63E30">
        <w:rPr>
          <w:rFonts w:eastAsia="Arial" w:cs="Arial"/>
          <w:color w:val="000000"/>
          <w:lang w:eastAsia="en-US"/>
        </w:rPr>
        <w:t xml:space="preserve"> A, Ozel S. (2005). The assessment of functional status in Turkish children with cerebral palsy (a preliminary study). </w:t>
      </w:r>
      <w:r w:rsidRPr="00F63E30">
        <w:rPr>
          <w:rFonts w:eastAsia="Arial" w:cs="Arial"/>
          <w:i/>
          <w:color w:val="000000"/>
          <w:lang w:eastAsia="en-US"/>
        </w:rPr>
        <w:t>Child Care Health Dev</w:t>
      </w:r>
      <w:r w:rsidRPr="00F63E30">
        <w:rPr>
          <w:rFonts w:eastAsia="Arial" w:cs="Arial"/>
          <w:color w:val="000000"/>
          <w:lang w:eastAsia="en-US"/>
        </w:rPr>
        <w:t>, 31(6):719-25.</w:t>
      </w:r>
      <w:r w:rsidRPr="00F63E30">
        <w:rPr>
          <w:rFonts w:eastAsia="Arial" w:cs="Arial"/>
          <w:color w:val="0000FF"/>
          <w:u w:val="single"/>
          <w:lang w:eastAsia="en-US"/>
        </w:rPr>
        <w:t xml:space="preserve"> https://doi.org/10.1111/j.1365-2214.2005.00565.x</w:t>
      </w:r>
    </w:p>
    <w:p w14:paraId="3E84F585"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Wong V, Wong S, Chan K, Wong W. (2002). Functional Independence Measure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for Chinese children: Hong Kong Cohort. </w:t>
      </w:r>
      <w:proofErr w:type="spellStart"/>
      <w:r w:rsidRPr="00F63E30">
        <w:rPr>
          <w:rFonts w:eastAsia="Arial" w:cs="Arial"/>
          <w:i/>
          <w:color w:val="000000"/>
          <w:lang w:eastAsia="en-US"/>
        </w:rPr>
        <w:t>Pediatrics</w:t>
      </w:r>
      <w:proofErr w:type="spellEnd"/>
      <w:r w:rsidRPr="00F63E30">
        <w:rPr>
          <w:rFonts w:eastAsia="Arial" w:cs="Arial"/>
          <w:color w:val="000000"/>
          <w:lang w:eastAsia="en-US"/>
        </w:rPr>
        <w:t>, 109(2</w:t>
      </w:r>
      <w:proofErr w:type="gramStart"/>
      <w:r w:rsidRPr="00F63E30">
        <w:rPr>
          <w:rFonts w:eastAsia="Arial" w:cs="Arial"/>
          <w:color w:val="000000"/>
          <w:lang w:eastAsia="en-US"/>
        </w:rPr>
        <w:t>):E</w:t>
      </w:r>
      <w:proofErr w:type="gramEnd"/>
      <w:r w:rsidRPr="00F63E30">
        <w:rPr>
          <w:rFonts w:eastAsia="Arial" w:cs="Arial"/>
          <w:color w:val="000000"/>
          <w:lang w:eastAsia="en-US"/>
        </w:rPr>
        <w:t>36.</w:t>
      </w:r>
      <w:r w:rsidRPr="00F63E30">
        <w:rPr>
          <w:rFonts w:eastAsia="Arial" w:cs="Arial"/>
          <w:color w:val="0000FF"/>
          <w:u w:val="single"/>
          <w:lang w:eastAsia="en-US"/>
        </w:rPr>
        <w:t xml:space="preserve"> https://doi.org/10.1542/peds.109.2.e36</w:t>
      </w:r>
    </w:p>
    <w:p w14:paraId="0DCBC6C3" w14:textId="77777777" w:rsidR="009B6C21" w:rsidRPr="00F63E30" w:rsidRDefault="009B6C21">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F63E30">
        <w:rPr>
          <w:rFonts w:eastAsia="Arial" w:cs="Arial"/>
          <w:color w:val="000000"/>
          <w:lang w:eastAsia="en-US"/>
        </w:rPr>
        <w:t>Yung A, Wong V, Yeung R, Yeun SM, Ng SL, Tse SF, Wong E, Chan A. (1999). Outcome measure for paediatric rehabilitation: use of the Functional Independence Measure for children (</w:t>
      </w:r>
      <w:proofErr w:type="spellStart"/>
      <w:r w:rsidRPr="00F63E30">
        <w:rPr>
          <w:rFonts w:eastAsia="Arial" w:cs="Arial"/>
          <w:color w:val="000000"/>
          <w:lang w:eastAsia="en-US"/>
        </w:rPr>
        <w:t>WeeFIM</w:t>
      </w:r>
      <w:proofErr w:type="spellEnd"/>
      <w:r w:rsidRPr="00F63E30">
        <w:rPr>
          <w:rFonts w:eastAsia="Arial" w:cs="Arial"/>
          <w:color w:val="000000"/>
          <w:lang w:eastAsia="en-US"/>
        </w:rPr>
        <w:t xml:space="preserve">). A pilot study in Chinese children with neurodevelopmental disabilities. </w:t>
      </w:r>
      <w:proofErr w:type="spellStart"/>
      <w:r w:rsidRPr="00F63E30">
        <w:rPr>
          <w:rFonts w:eastAsia="Arial" w:cs="Arial"/>
          <w:i/>
          <w:color w:val="000000"/>
          <w:lang w:eastAsia="en-US"/>
        </w:rPr>
        <w:t>Pediatr</w:t>
      </w:r>
      <w:proofErr w:type="spellEnd"/>
      <w:r w:rsidRPr="00F63E30">
        <w:rPr>
          <w:rFonts w:eastAsia="Arial" w:cs="Arial"/>
          <w:i/>
          <w:color w:val="000000"/>
          <w:lang w:eastAsia="en-US"/>
        </w:rPr>
        <w:t xml:space="preserve"> Rehabil</w:t>
      </w:r>
      <w:r w:rsidRPr="00F63E30">
        <w:rPr>
          <w:rFonts w:eastAsia="Arial" w:cs="Arial"/>
          <w:color w:val="000000"/>
          <w:lang w:eastAsia="en-US"/>
        </w:rPr>
        <w:t>, 3(1):21-8.</w:t>
      </w:r>
      <w:r w:rsidRPr="00F63E30">
        <w:rPr>
          <w:rFonts w:eastAsia="Arial" w:cs="Arial"/>
          <w:color w:val="0000FF"/>
          <w:u w:val="single"/>
          <w:lang w:eastAsia="en-US"/>
        </w:rPr>
        <w:t xml:space="preserve"> https://doi.org/10.1080/136384999289649</w:t>
      </w:r>
    </w:p>
    <w:p w14:paraId="5D94D957" w14:textId="77777777" w:rsidR="009B6C21" w:rsidRPr="00F63E30" w:rsidRDefault="009B6C21" w:rsidP="00EF68C9">
      <w:pPr>
        <w:pStyle w:val="Heading2"/>
        <w:rPr>
          <w:lang w:eastAsia="en-US"/>
        </w:rPr>
      </w:pPr>
      <w:r w:rsidRPr="00F63E30">
        <w:rPr>
          <w:lang w:eastAsia="en-US"/>
        </w:rPr>
        <w:lastRenderedPageBreak/>
        <w:t>Outcome Studies</w:t>
      </w:r>
    </w:p>
    <w:p w14:paraId="3262C8C8" w14:textId="77777777" w:rsidR="009B6C21" w:rsidRPr="00F63E30" w:rsidRDefault="009B6C21">
      <w:pPr>
        <w:rPr>
          <w:rFonts w:eastAsia="Aptos" w:cs="Arial"/>
          <w:i/>
          <w:iCs/>
          <w:color w:val="000000"/>
          <w:lang w:eastAsia="en-US"/>
        </w:rPr>
      </w:pPr>
      <w:r w:rsidRPr="00F63E30">
        <w:rPr>
          <w:rFonts w:eastAsia="Aptos" w:cs="Arial"/>
          <w:i/>
          <w:iCs/>
          <w:color w:val="000000"/>
          <w:lang w:eastAsia="en-US"/>
        </w:rPr>
        <w:t>No references identified</w:t>
      </w:r>
    </w:p>
    <w:p w14:paraId="7475FD7C" w14:textId="77777777" w:rsidR="00825682" w:rsidRDefault="00D86468">
      <w:pPr>
        <w:rPr>
          <w:rFonts w:eastAsia="Aptos" w:cs="Arial"/>
          <w:color w:val="000000"/>
          <w:lang w:eastAsia="en-US"/>
        </w:rPr>
        <w:sectPr w:rsidR="00825682" w:rsidSect="00D86468">
          <w:footerReference w:type="default" r:id="rId34"/>
          <w:pgSz w:w="11910" w:h="16845"/>
          <w:pgMar w:top="1440" w:right="1440" w:bottom="1440" w:left="1440" w:header="720" w:footer="720" w:gutter="0"/>
          <w:cols w:space="720"/>
          <w:docGrid w:linePitch="326"/>
        </w:sectPr>
      </w:pPr>
      <w:r>
        <w:rPr>
          <w:rFonts w:eastAsia="Aptos" w:cs="Arial"/>
          <w:color w:val="000000"/>
          <w:lang w:eastAsia="en-US"/>
        </w:rPr>
        <w:br w:type="page"/>
      </w:r>
    </w:p>
    <w:p w14:paraId="12BD62E5" w14:textId="2E8540E0" w:rsidR="00D86468" w:rsidRDefault="00D86468">
      <w:pPr>
        <w:rPr>
          <w:rFonts w:eastAsia="Aptos" w:cs="Arial"/>
          <w:color w:val="000000"/>
          <w:lang w:eastAsia="en-US"/>
        </w:rPr>
      </w:pPr>
    </w:p>
    <w:p w14:paraId="4EFDB351" w14:textId="77777777" w:rsidR="00D86468" w:rsidRDefault="00D86468">
      <w:pPr>
        <w:jc w:val="center"/>
      </w:pPr>
      <w:r>
        <w:rPr>
          <w:noProof/>
        </w:rPr>
        <w:drawing>
          <wp:anchor distT="0" distB="0" distL="114300" distR="114300" simplePos="0" relativeHeight="251658277" behindDoc="0" locked="1" layoutInCell="1" allowOverlap="1" wp14:anchorId="1B10CFBA" wp14:editId="6EFDC67E">
            <wp:simplePos x="0" y="0"/>
            <wp:positionH relativeFrom="page">
              <wp:posOffset>0</wp:posOffset>
            </wp:positionH>
            <wp:positionV relativeFrom="page">
              <wp:posOffset>2559685</wp:posOffset>
            </wp:positionV>
            <wp:extent cx="7563485" cy="935990"/>
            <wp:effectExtent l="0" t="0" r="5715" b="3810"/>
            <wp:wrapNone/>
            <wp:docPr id="500973684"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8" behindDoc="1" locked="1" layoutInCell="1" allowOverlap="1" wp14:anchorId="18B4CB42" wp14:editId="6AE663A3">
            <wp:simplePos x="0" y="0"/>
            <wp:positionH relativeFrom="page">
              <wp:posOffset>0</wp:posOffset>
            </wp:positionH>
            <wp:positionV relativeFrom="page">
              <wp:posOffset>0</wp:posOffset>
            </wp:positionV>
            <wp:extent cx="7563485" cy="2267585"/>
            <wp:effectExtent l="0" t="0" r="5715" b="5715"/>
            <wp:wrapNone/>
            <wp:docPr id="128865904"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75D50B15" w14:textId="77777777" w:rsidR="00D86468" w:rsidRDefault="00D86468">
      <w:pPr>
        <w:jc w:val="center"/>
      </w:pPr>
    </w:p>
    <w:p w14:paraId="09170A9C" w14:textId="6D8A678B" w:rsidR="00D86468" w:rsidRDefault="00D86468">
      <w:pPr>
        <w:tabs>
          <w:tab w:val="left" w:pos="5465"/>
        </w:tabs>
        <w:spacing w:line="300" w:lineRule="auto"/>
      </w:pPr>
      <w:r>
        <w:rPr>
          <w:rFonts w:ascii="Arial Bold" w:eastAsia="Arial Bold" w:hAnsi="Arial Bold" w:cs="Arial Bold"/>
          <w:b/>
          <w:bCs/>
          <w:color w:val="000F46"/>
          <w:sz w:val="40"/>
          <w:szCs w:val="40"/>
        </w:rPr>
        <w:tab/>
      </w:r>
    </w:p>
    <w:p w14:paraId="6EDAD340" w14:textId="77777777" w:rsidR="00D86468" w:rsidRDefault="00D86468">
      <w:pPr>
        <w:spacing w:line="300" w:lineRule="auto"/>
        <w:rPr>
          <w:rFonts w:eastAsia="Canva Sans" w:cs="Arial"/>
          <w:b/>
          <w:bCs/>
          <w:color w:val="000000"/>
          <w:sz w:val="36"/>
          <w:szCs w:val="36"/>
        </w:rPr>
      </w:pPr>
    </w:p>
    <w:p w14:paraId="5BE71EAE" w14:textId="77777777" w:rsidR="00D86468" w:rsidRDefault="00D86468">
      <w:pPr>
        <w:spacing w:line="300" w:lineRule="auto"/>
        <w:rPr>
          <w:rFonts w:eastAsia="Canva Sans" w:cs="Arial"/>
          <w:b/>
          <w:bCs/>
          <w:color w:val="000000"/>
          <w:sz w:val="36"/>
          <w:szCs w:val="36"/>
        </w:rPr>
      </w:pPr>
      <w:r>
        <w:rPr>
          <w:noProof/>
        </w:rPr>
        <mc:AlternateContent>
          <mc:Choice Requires="wps">
            <w:drawing>
              <wp:anchor distT="0" distB="0" distL="114300" distR="114300" simplePos="0" relativeHeight="251658279" behindDoc="0" locked="0" layoutInCell="1" allowOverlap="1" wp14:anchorId="23895B0E" wp14:editId="40BE5545">
                <wp:simplePos x="0" y="0"/>
                <wp:positionH relativeFrom="column">
                  <wp:posOffset>67945</wp:posOffset>
                </wp:positionH>
                <wp:positionV relativeFrom="paragraph">
                  <wp:posOffset>136212</wp:posOffset>
                </wp:positionV>
                <wp:extent cx="6470650" cy="764275"/>
                <wp:effectExtent l="0" t="0" r="0" b="0"/>
                <wp:wrapNone/>
                <wp:docPr id="739747708" name="Text Box 1"/>
                <wp:cNvGraphicFramePr/>
                <a:graphic xmlns:a="http://schemas.openxmlformats.org/drawingml/2006/main">
                  <a:graphicData uri="http://schemas.microsoft.com/office/word/2010/wordprocessingShape">
                    <wps:wsp>
                      <wps:cNvSpPr txBox="1"/>
                      <wps:spPr>
                        <a:xfrm>
                          <a:off x="0" y="0"/>
                          <a:ext cx="6470650" cy="764275"/>
                        </a:xfrm>
                        <a:prstGeom prst="rect">
                          <a:avLst/>
                        </a:prstGeom>
                        <a:noFill/>
                        <a:ln w="6350">
                          <a:noFill/>
                        </a:ln>
                      </wps:spPr>
                      <wps:txbx>
                        <w:txbxContent>
                          <w:p w14:paraId="03322B7F" w14:textId="77777777" w:rsidR="00D86468" w:rsidRPr="00B73670" w:rsidRDefault="00D86468">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36BB5871" w14:textId="77777777" w:rsidR="00D86468" w:rsidRPr="00DA3237" w:rsidRDefault="00D86468">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5B0E" id="_x0000_s1034" type="#_x0000_t202" style="position:absolute;margin-left:5.35pt;margin-top:10.75pt;width:509.5pt;height:60.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imGQIAADM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" filled="f" stroked="f" strokeweight=".5pt">
                <v:textbox>
                  <w:txbxContent>
                    <w:p w14:paraId="03322B7F" w14:textId="77777777" w:rsidR="00D86468" w:rsidRPr="00B73670" w:rsidRDefault="00D86468">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36BB5871" w14:textId="77777777" w:rsidR="00D86468" w:rsidRPr="00DA3237" w:rsidRDefault="00D86468">
                      <w:pPr>
                        <w:rPr>
                          <w:rFonts w:cs="Arial"/>
                        </w:rPr>
                      </w:pPr>
                    </w:p>
                  </w:txbxContent>
                </v:textbox>
              </v:shape>
            </w:pict>
          </mc:Fallback>
        </mc:AlternateContent>
      </w:r>
    </w:p>
    <w:p w14:paraId="4C90F0B9" w14:textId="77777777" w:rsidR="00D86468" w:rsidRDefault="00D86468">
      <w:pPr>
        <w:spacing w:line="300" w:lineRule="auto"/>
        <w:rPr>
          <w:rFonts w:eastAsia="Canva Sans" w:cs="Arial"/>
          <w:b/>
          <w:bCs/>
          <w:color w:val="000000"/>
          <w:sz w:val="36"/>
          <w:szCs w:val="36"/>
        </w:rPr>
      </w:pPr>
    </w:p>
    <w:p w14:paraId="6F6FB82E" w14:textId="77777777" w:rsidR="00D86468" w:rsidRDefault="00D86468" w:rsidP="00D74A98"/>
    <w:p w14:paraId="70FFBC09" w14:textId="77777777" w:rsidR="00125E37" w:rsidRPr="00125E37" w:rsidRDefault="00125E37" w:rsidP="00C97946">
      <w:pPr>
        <w:pStyle w:val="Heading1"/>
      </w:pPr>
      <w:bookmarkStart w:id="37" w:name="_Goal_Attainment_Scaling"/>
      <w:bookmarkEnd w:id="37"/>
      <w:r w:rsidRPr="00125E37">
        <w:t>Goal Attainment Scale (GAS)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6750"/>
      </w:tblGrid>
      <w:tr w:rsidR="00125E37" w:rsidRPr="00125E37" w14:paraId="250728D2" w14:textId="77777777">
        <w:trPr>
          <w:trHeight w:val="300"/>
        </w:trPr>
        <w:tc>
          <w:tcPr>
            <w:tcW w:w="2260" w:type="dxa"/>
            <w:tcBorders>
              <w:top w:val="single" w:sz="6" w:space="0" w:color="auto"/>
              <w:left w:val="single" w:sz="6" w:space="0" w:color="auto"/>
              <w:bottom w:val="single" w:sz="6" w:space="0" w:color="auto"/>
              <w:right w:val="single" w:sz="6" w:space="0" w:color="auto"/>
            </w:tcBorders>
            <w:hideMark/>
          </w:tcPr>
          <w:p w14:paraId="1DDDA4F3" w14:textId="77777777" w:rsidR="00125E37" w:rsidRPr="00125E37" w:rsidRDefault="00125E37" w:rsidP="00125E37">
            <w:pPr>
              <w:spacing w:after="100"/>
              <w:ind w:left="57" w:right="57"/>
              <w:rPr>
                <w:rFonts w:cs="Arial"/>
                <w:b/>
                <w:bCs/>
              </w:rPr>
            </w:pPr>
            <w:r w:rsidRPr="00125E37">
              <w:rPr>
                <w:rFonts w:cs="Arial"/>
                <w:b/>
                <w:bCs/>
              </w:rPr>
              <w:t>Framework Outcomes Statement(s) </w:t>
            </w:r>
          </w:p>
        </w:tc>
        <w:tc>
          <w:tcPr>
            <w:tcW w:w="6750" w:type="dxa"/>
            <w:tcBorders>
              <w:top w:val="single" w:sz="6" w:space="0" w:color="auto"/>
              <w:left w:val="single" w:sz="6" w:space="0" w:color="auto"/>
              <w:bottom w:val="single" w:sz="6" w:space="0" w:color="auto"/>
              <w:right w:val="single" w:sz="6" w:space="0" w:color="auto"/>
            </w:tcBorders>
            <w:hideMark/>
          </w:tcPr>
          <w:p w14:paraId="5B0DC588" w14:textId="77777777" w:rsidR="00125E37" w:rsidRPr="00125E37" w:rsidRDefault="00125E37" w:rsidP="009F7C6D">
            <w:pPr>
              <w:spacing w:after="100"/>
              <w:ind w:left="57" w:right="57"/>
              <w:contextualSpacing/>
              <w:rPr>
                <w:rFonts w:cs="Arial"/>
              </w:rPr>
            </w:pPr>
            <w:r w:rsidRPr="00125E37">
              <w:rPr>
                <w:rFonts w:cs="Arial"/>
                <w:b/>
                <w:bCs/>
              </w:rPr>
              <w:t>Children</w:t>
            </w:r>
            <w:r w:rsidRPr="00125E37">
              <w:rPr>
                <w:rFonts w:cs="Arial"/>
              </w:rPr>
              <w:t>:</w:t>
            </w:r>
          </w:p>
          <w:p w14:paraId="3A5FE8A5" w14:textId="77777777" w:rsidR="00125E37" w:rsidRPr="00125E37" w:rsidRDefault="00125E37" w:rsidP="009F7C6D">
            <w:pPr>
              <w:numPr>
                <w:ilvl w:val="0"/>
                <w:numId w:val="14"/>
              </w:numPr>
              <w:spacing w:after="100"/>
              <w:ind w:right="57"/>
              <w:contextualSpacing/>
              <w:rPr>
                <w:rFonts w:cs="Arial"/>
              </w:rPr>
            </w:pPr>
            <w:r w:rsidRPr="00125E37">
              <w:rPr>
                <w:rFonts w:cs="Arial"/>
              </w:rPr>
              <w:t>develop their sense of agency and have a voice in matters that affect them</w:t>
            </w:r>
          </w:p>
          <w:p w14:paraId="0C6CCD8C" w14:textId="77777777" w:rsidR="00125E37" w:rsidRPr="00125E37" w:rsidRDefault="00125E37" w:rsidP="009F7C6D">
            <w:pPr>
              <w:numPr>
                <w:ilvl w:val="0"/>
                <w:numId w:val="14"/>
              </w:numPr>
              <w:spacing w:after="100"/>
              <w:ind w:right="57" w:hanging="357"/>
              <w:rPr>
                <w:rFonts w:cs="Arial"/>
              </w:rPr>
            </w:pPr>
            <w:r w:rsidRPr="00125E37">
              <w:rPr>
                <w:rFonts w:cs="Arial"/>
              </w:rPr>
              <w:t>acquire, develop and generalise new knowledge and skills</w:t>
            </w:r>
          </w:p>
          <w:p w14:paraId="451631E6" w14:textId="77777777" w:rsidR="00125E37" w:rsidRPr="00125E37" w:rsidRDefault="00125E37" w:rsidP="009F7C6D">
            <w:pPr>
              <w:spacing w:after="100"/>
              <w:ind w:left="57" w:right="57"/>
              <w:contextualSpacing/>
              <w:rPr>
                <w:rFonts w:cs="Arial"/>
              </w:rPr>
            </w:pPr>
            <w:r w:rsidRPr="00125E37">
              <w:rPr>
                <w:rFonts w:cs="Arial"/>
              </w:rPr>
              <w:t>Depending on the goal chosen, c</w:t>
            </w:r>
            <w:r w:rsidRPr="00125E37">
              <w:rPr>
                <w:rFonts w:asciiTheme="minorHAnsi" w:hAnsiTheme="minorHAnsi"/>
              </w:rPr>
              <w:t xml:space="preserve">an </w:t>
            </w:r>
            <w:r w:rsidRPr="00125E37">
              <w:rPr>
                <w:rFonts w:cs="Arial"/>
              </w:rPr>
              <w:t>provide information about:</w:t>
            </w:r>
          </w:p>
          <w:p w14:paraId="7F852DAD" w14:textId="77777777" w:rsidR="00125E37" w:rsidRPr="00125E37" w:rsidRDefault="00125E37" w:rsidP="009F7C6D">
            <w:pPr>
              <w:numPr>
                <w:ilvl w:val="0"/>
                <w:numId w:val="14"/>
              </w:numPr>
              <w:spacing w:after="100"/>
              <w:ind w:right="57"/>
              <w:contextualSpacing/>
              <w:rPr>
                <w:rFonts w:cs="Arial"/>
              </w:rPr>
            </w:pPr>
            <w:r w:rsidRPr="00125E37">
              <w:rPr>
                <w:rFonts w:cs="Arial"/>
              </w:rPr>
              <w:t>interact with family members, other children, and people in the community to build relational skills and connections</w:t>
            </w:r>
          </w:p>
          <w:p w14:paraId="33363FFB" w14:textId="77777777" w:rsidR="00125E37" w:rsidRPr="00125E37" w:rsidRDefault="00125E37" w:rsidP="009F7C6D">
            <w:pPr>
              <w:numPr>
                <w:ilvl w:val="0"/>
                <w:numId w:val="14"/>
              </w:numPr>
              <w:spacing w:after="100"/>
              <w:ind w:right="57"/>
              <w:contextualSpacing/>
              <w:rPr>
                <w:rFonts w:cs="Arial"/>
              </w:rPr>
            </w:pPr>
            <w:r w:rsidRPr="00125E37">
              <w:rPr>
                <w:rFonts w:cs="Arial"/>
              </w:rPr>
              <w:t>have a positive sense of belonging to their family and community</w:t>
            </w:r>
          </w:p>
          <w:p w14:paraId="43415D05" w14:textId="77777777" w:rsidR="00125E37" w:rsidRPr="00125E37" w:rsidRDefault="00125E37" w:rsidP="009F7C6D">
            <w:pPr>
              <w:numPr>
                <w:ilvl w:val="0"/>
                <w:numId w:val="14"/>
              </w:numPr>
              <w:spacing w:after="100"/>
              <w:ind w:right="57"/>
              <w:contextualSpacing/>
              <w:rPr>
                <w:rFonts w:cs="Arial"/>
              </w:rPr>
            </w:pPr>
            <w:r w:rsidRPr="00125E37">
              <w:rPr>
                <w:rFonts w:cs="Arial"/>
              </w:rPr>
              <w:t>build strong identities and connections to their culture and community</w:t>
            </w:r>
          </w:p>
          <w:p w14:paraId="3D9A64AE" w14:textId="77777777" w:rsidR="00125E37" w:rsidRPr="00125E37" w:rsidRDefault="00125E37" w:rsidP="009F7C6D">
            <w:pPr>
              <w:numPr>
                <w:ilvl w:val="0"/>
                <w:numId w:val="14"/>
              </w:numPr>
              <w:spacing w:after="100"/>
              <w:ind w:right="57"/>
              <w:contextualSpacing/>
              <w:rPr>
                <w:rFonts w:eastAsia="Arial" w:cs="Arial"/>
              </w:rPr>
            </w:pPr>
            <w:r w:rsidRPr="00125E37">
              <w:rPr>
                <w:rFonts w:eastAsia="Arial" w:cs="Arial"/>
              </w:rPr>
              <w:t>participate and feel they belong in everyday home, community, ECEC and school environments</w:t>
            </w:r>
          </w:p>
          <w:p w14:paraId="67153536" w14:textId="77777777" w:rsidR="00125E37" w:rsidRPr="00125E37" w:rsidRDefault="00125E37" w:rsidP="009F7C6D">
            <w:pPr>
              <w:numPr>
                <w:ilvl w:val="0"/>
                <w:numId w:val="14"/>
              </w:numPr>
              <w:spacing w:after="100"/>
              <w:ind w:right="57"/>
              <w:contextualSpacing/>
              <w:rPr>
                <w:rFonts w:eastAsia="Arial" w:cs="Arial"/>
              </w:rPr>
            </w:pPr>
            <w:r w:rsidRPr="00125E37">
              <w:rPr>
                <w:rFonts w:eastAsia="Arial" w:cs="Arial"/>
              </w:rPr>
              <w:t>follow their interests and enjoy play opportunities</w:t>
            </w:r>
          </w:p>
          <w:p w14:paraId="33A735D4" w14:textId="77777777" w:rsidR="00125E37" w:rsidRPr="00125E37" w:rsidRDefault="00125E37" w:rsidP="009F7C6D">
            <w:pPr>
              <w:numPr>
                <w:ilvl w:val="0"/>
                <w:numId w:val="14"/>
              </w:numPr>
              <w:spacing w:after="100"/>
              <w:ind w:right="57"/>
              <w:contextualSpacing/>
              <w:rPr>
                <w:rFonts w:eastAsia="Arial" w:cs="Arial"/>
              </w:rPr>
            </w:pPr>
            <w:r w:rsidRPr="00125E37">
              <w:rPr>
                <w:rFonts w:eastAsia="Arial" w:cs="Arial"/>
              </w:rPr>
              <w:t>develop positive health habits over time</w:t>
            </w:r>
          </w:p>
          <w:p w14:paraId="30C8DE5B" w14:textId="77777777" w:rsidR="00125E37" w:rsidRPr="00125E37" w:rsidRDefault="00125E37" w:rsidP="009F7C6D">
            <w:pPr>
              <w:numPr>
                <w:ilvl w:val="0"/>
                <w:numId w:val="14"/>
              </w:numPr>
              <w:spacing w:after="100"/>
              <w:ind w:right="57" w:hanging="357"/>
              <w:rPr>
                <w:rFonts w:cs="Arial"/>
              </w:rPr>
            </w:pPr>
            <w:r w:rsidRPr="00125E37">
              <w:rPr>
                <w:rFonts w:cs="Arial"/>
              </w:rPr>
              <w:t>build capacity to regulate their behaviour</w:t>
            </w:r>
          </w:p>
        </w:tc>
      </w:tr>
    </w:tbl>
    <w:p w14:paraId="6C8A2681" w14:textId="77777777" w:rsidR="002C1C67" w:rsidRPr="002C1C67" w:rsidRDefault="002C1C67" w:rsidP="00C97946">
      <w:pPr>
        <w:pStyle w:val="Heading1"/>
      </w:pPr>
      <w:r w:rsidRPr="002C1C67">
        <w:t>GAS Overview</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6750"/>
      </w:tblGrid>
      <w:tr w:rsidR="002C1C67" w:rsidRPr="002C1C67" w14:paraId="02930B40" w14:textId="77777777">
        <w:trPr>
          <w:trHeight w:val="300"/>
        </w:trPr>
        <w:tc>
          <w:tcPr>
            <w:tcW w:w="2260" w:type="dxa"/>
            <w:tcBorders>
              <w:top w:val="single" w:sz="6" w:space="0" w:color="auto"/>
              <w:left w:val="single" w:sz="6" w:space="0" w:color="auto"/>
              <w:bottom w:val="single" w:sz="6" w:space="0" w:color="auto"/>
              <w:right w:val="single" w:sz="6" w:space="0" w:color="auto"/>
            </w:tcBorders>
            <w:hideMark/>
          </w:tcPr>
          <w:p w14:paraId="0AF42624" w14:textId="77777777" w:rsidR="002C1C67" w:rsidRPr="002C1C67" w:rsidRDefault="002C1C67" w:rsidP="002C1C67">
            <w:pPr>
              <w:spacing w:after="100"/>
              <w:ind w:left="57" w:right="57"/>
              <w:rPr>
                <w:rFonts w:cs="Arial"/>
              </w:rPr>
            </w:pPr>
            <w:r w:rsidRPr="002C1C67">
              <w:rPr>
                <w:rFonts w:cs="Arial"/>
                <w:b/>
                <w:bCs/>
              </w:rPr>
              <w:t>General description</w:t>
            </w:r>
            <w:r w:rsidRPr="002C1C67">
              <w:rPr>
                <w:rFonts w:cs="Arial"/>
              </w:rPr>
              <w:t>  </w:t>
            </w:r>
          </w:p>
          <w:p w14:paraId="5367EF8B" w14:textId="77777777" w:rsidR="002C1C67" w:rsidRPr="002C1C67" w:rsidRDefault="002C1C67" w:rsidP="002C1C67">
            <w:pPr>
              <w:spacing w:after="100" w:line="276" w:lineRule="auto"/>
              <w:ind w:left="57" w:right="57"/>
              <w:rPr>
                <w:rFonts w:cs="Arial"/>
              </w:rPr>
            </w:pPr>
          </w:p>
        </w:tc>
        <w:tc>
          <w:tcPr>
            <w:tcW w:w="6750" w:type="dxa"/>
            <w:tcBorders>
              <w:top w:val="single" w:sz="6" w:space="0" w:color="auto"/>
              <w:left w:val="single" w:sz="6" w:space="0" w:color="auto"/>
              <w:bottom w:val="single" w:sz="6" w:space="0" w:color="auto"/>
              <w:right w:val="single" w:sz="6" w:space="0" w:color="auto"/>
            </w:tcBorders>
            <w:hideMark/>
          </w:tcPr>
          <w:p w14:paraId="555D97BD" w14:textId="77777777" w:rsidR="002C1C67" w:rsidRPr="002C1C67" w:rsidRDefault="002C1C67" w:rsidP="002C1C67">
            <w:pPr>
              <w:spacing w:after="100"/>
              <w:ind w:left="57" w:right="57"/>
              <w:rPr>
                <w:rFonts w:cs="Arial"/>
              </w:rPr>
            </w:pPr>
            <w:r w:rsidRPr="002C1C67">
              <w:rPr>
                <w:rFonts w:cs="Arial"/>
              </w:rPr>
              <w:t>The Goal Attainment Scaling (GAS) is a method used to measure the achievement of personalised goals including in early childhood intervention settings. It provides a structured way to set personalised goals and objectively evaluate the degree to which these goals are achieved.</w:t>
            </w:r>
          </w:p>
        </w:tc>
      </w:tr>
      <w:tr w:rsidR="002C1C67" w:rsidRPr="002C1C67" w14:paraId="1450223F" w14:textId="77777777">
        <w:trPr>
          <w:trHeight w:val="300"/>
        </w:trPr>
        <w:tc>
          <w:tcPr>
            <w:tcW w:w="2260" w:type="dxa"/>
            <w:tcBorders>
              <w:top w:val="single" w:sz="6" w:space="0" w:color="auto"/>
              <w:left w:val="single" w:sz="6" w:space="0" w:color="auto"/>
              <w:bottom w:val="single" w:sz="6" w:space="0" w:color="auto"/>
              <w:right w:val="single" w:sz="6" w:space="0" w:color="auto"/>
            </w:tcBorders>
          </w:tcPr>
          <w:p w14:paraId="5E2344B4" w14:textId="77777777" w:rsidR="002C1C67" w:rsidRPr="002C1C67" w:rsidRDefault="002C1C67" w:rsidP="002C1C67">
            <w:pPr>
              <w:spacing w:after="100"/>
              <w:ind w:left="57" w:right="57"/>
              <w:rPr>
                <w:rFonts w:cs="Arial"/>
                <w:b/>
                <w:bCs/>
              </w:rPr>
            </w:pPr>
            <w:r w:rsidRPr="002C1C67">
              <w:rPr>
                <w:rFonts w:cs="Arial"/>
                <w:b/>
                <w:bCs/>
              </w:rPr>
              <w:lastRenderedPageBreak/>
              <w:t>Ages</w:t>
            </w:r>
          </w:p>
        </w:tc>
        <w:tc>
          <w:tcPr>
            <w:tcW w:w="6750" w:type="dxa"/>
            <w:tcBorders>
              <w:top w:val="single" w:sz="6" w:space="0" w:color="auto"/>
              <w:left w:val="single" w:sz="6" w:space="0" w:color="auto"/>
              <w:bottom w:val="single" w:sz="6" w:space="0" w:color="auto"/>
              <w:right w:val="single" w:sz="6" w:space="0" w:color="auto"/>
            </w:tcBorders>
          </w:tcPr>
          <w:p w14:paraId="0A0F9EEA" w14:textId="77777777" w:rsidR="002C1C67" w:rsidRPr="002C1C67" w:rsidRDefault="002C1C67" w:rsidP="002C1C67">
            <w:pPr>
              <w:spacing w:after="100"/>
              <w:ind w:left="57" w:right="57"/>
              <w:rPr>
                <w:rFonts w:cs="Arial"/>
              </w:rPr>
            </w:pPr>
            <w:r w:rsidRPr="002C1C67">
              <w:rPr>
                <w:rFonts w:cs="Arial"/>
              </w:rPr>
              <w:t xml:space="preserve">No specific age restrictions. The GAS may be used to set individualised personally relevant goals throughout the course of life and range of abilities. </w:t>
            </w:r>
          </w:p>
        </w:tc>
      </w:tr>
      <w:tr w:rsidR="002C1C67" w:rsidRPr="002C1C67" w14:paraId="465879B8" w14:textId="77777777">
        <w:trPr>
          <w:trHeight w:val="300"/>
        </w:trPr>
        <w:tc>
          <w:tcPr>
            <w:tcW w:w="2260" w:type="dxa"/>
            <w:tcBorders>
              <w:top w:val="single" w:sz="6" w:space="0" w:color="auto"/>
              <w:left w:val="single" w:sz="6" w:space="0" w:color="auto"/>
              <w:bottom w:val="single" w:sz="6" w:space="0" w:color="auto"/>
              <w:right w:val="single" w:sz="6" w:space="0" w:color="auto"/>
            </w:tcBorders>
          </w:tcPr>
          <w:p w14:paraId="613E76F1" w14:textId="77777777" w:rsidR="002C1C67" w:rsidRPr="002C1C67" w:rsidRDefault="002C1C67" w:rsidP="002C1C67">
            <w:pPr>
              <w:spacing w:after="100"/>
              <w:ind w:left="57" w:right="57"/>
              <w:rPr>
                <w:rFonts w:cs="Arial"/>
              </w:rPr>
            </w:pPr>
            <w:r w:rsidRPr="002C1C67">
              <w:rPr>
                <w:rFonts w:cs="Arial"/>
                <w:b/>
                <w:bCs/>
              </w:rPr>
              <w:t>Domains / subscales </w:t>
            </w:r>
            <w:r w:rsidRPr="002C1C67">
              <w:rPr>
                <w:rFonts w:cs="Arial"/>
              </w:rPr>
              <w:t> </w:t>
            </w:r>
          </w:p>
        </w:tc>
        <w:tc>
          <w:tcPr>
            <w:tcW w:w="6750" w:type="dxa"/>
            <w:tcBorders>
              <w:top w:val="single" w:sz="6" w:space="0" w:color="auto"/>
              <w:left w:val="single" w:sz="6" w:space="0" w:color="auto"/>
              <w:bottom w:val="single" w:sz="6" w:space="0" w:color="auto"/>
              <w:right w:val="single" w:sz="6" w:space="0" w:color="auto"/>
            </w:tcBorders>
          </w:tcPr>
          <w:p w14:paraId="3465F443" w14:textId="77777777" w:rsidR="002C1C67" w:rsidRPr="002C1C67" w:rsidRDefault="002C1C67" w:rsidP="002C1C67">
            <w:pPr>
              <w:spacing w:after="100"/>
              <w:ind w:left="57" w:right="57"/>
              <w:rPr>
                <w:rFonts w:cs="Arial"/>
              </w:rPr>
            </w:pPr>
            <w:r w:rsidRPr="002C1C67">
              <w:rPr>
                <w:rFonts w:cs="Arial"/>
              </w:rPr>
              <w:t>The GAS provides a standardised way to measure and compare progress across different goals and children, even when the specific goals vary widely.</w:t>
            </w:r>
          </w:p>
        </w:tc>
      </w:tr>
      <w:tr w:rsidR="002C1C67" w:rsidRPr="002C1C67" w14:paraId="1AE3A00A" w14:textId="77777777">
        <w:trPr>
          <w:trHeight w:val="300"/>
        </w:trPr>
        <w:tc>
          <w:tcPr>
            <w:tcW w:w="2260" w:type="dxa"/>
            <w:tcBorders>
              <w:top w:val="single" w:sz="6" w:space="0" w:color="auto"/>
              <w:left w:val="single" w:sz="6" w:space="0" w:color="auto"/>
              <w:bottom w:val="single" w:sz="6" w:space="0" w:color="auto"/>
              <w:right w:val="single" w:sz="6" w:space="0" w:color="auto"/>
            </w:tcBorders>
            <w:hideMark/>
          </w:tcPr>
          <w:p w14:paraId="4B425758" w14:textId="77777777" w:rsidR="002C1C67" w:rsidRPr="002C1C67" w:rsidRDefault="002C1C67" w:rsidP="002C1C67">
            <w:pPr>
              <w:spacing w:after="100"/>
              <w:ind w:left="57" w:right="57"/>
              <w:rPr>
                <w:rFonts w:cs="Arial"/>
                <w:b/>
                <w:bCs/>
              </w:rPr>
            </w:pPr>
            <w:r w:rsidRPr="002C1C67">
              <w:rPr>
                <w:rFonts w:cs="Arial"/>
                <w:b/>
                <w:bCs/>
              </w:rPr>
              <w:t>Special considerations</w:t>
            </w:r>
          </w:p>
        </w:tc>
        <w:tc>
          <w:tcPr>
            <w:tcW w:w="6750" w:type="dxa"/>
            <w:tcBorders>
              <w:top w:val="single" w:sz="6" w:space="0" w:color="auto"/>
              <w:left w:val="single" w:sz="6" w:space="0" w:color="auto"/>
              <w:bottom w:val="single" w:sz="6" w:space="0" w:color="auto"/>
              <w:right w:val="single" w:sz="6" w:space="0" w:color="auto"/>
            </w:tcBorders>
            <w:hideMark/>
          </w:tcPr>
          <w:p w14:paraId="4B1D9A18" w14:textId="77777777" w:rsidR="002C1C67" w:rsidRPr="002C1C67" w:rsidRDefault="002C1C67" w:rsidP="002C1C67">
            <w:pPr>
              <w:spacing w:after="100"/>
              <w:ind w:left="57" w:right="57"/>
              <w:rPr>
                <w:rFonts w:cs="Arial"/>
              </w:rPr>
            </w:pPr>
            <w:r w:rsidRPr="002C1C67">
              <w:rPr>
                <w:rFonts w:cs="Arial"/>
              </w:rPr>
              <w:t xml:space="preserve">The GAS has potential limitations including sources of bias in the setting and evaluation of goal achievement. For this reason, it is important to consider appropriate training of staff using it, including quality appraisal criteria. </w:t>
            </w:r>
          </w:p>
          <w:p w14:paraId="49AD5D5D" w14:textId="77777777" w:rsidR="002C1C67" w:rsidRPr="002C1C67" w:rsidRDefault="002C1C67" w:rsidP="002C1C67">
            <w:pPr>
              <w:spacing w:after="100"/>
              <w:ind w:left="57" w:right="57"/>
              <w:rPr>
                <w:rFonts w:cs="Arial"/>
              </w:rPr>
            </w:pPr>
            <w:r w:rsidRPr="002C1C67">
              <w:rPr>
                <w:rFonts w:cs="Arial"/>
              </w:rPr>
              <w:t xml:space="preserve">Related to this, and because the GAS is an ‘empty’ scale, goals from a range of outcome areas can be set. To be consistent with the goal area chosen, however, requires clear identification of the outcome desired, and careful writing of the scales that will be used to measure change. </w:t>
            </w:r>
          </w:p>
        </w:tc>
      </w:tr>
      <w:tr w:rsidR="002C1C67" w:rsidRPr="002C1C67" w14:paraId="49F8FB62" w14:textId="77777777">
        <w:trPr>
          <w:trHeight w:val="300"/>
        </w:trPr>
        <w:tc>
          <w:tcPr>
            <w:tcW w:w="2260" w:type="dxa"/>
            <w:tcBorders>
              <w:top w:val="single" w:sz="6" w:space="0" w:color="auto"/>
              <w:left w:val="single" w:sz="6" w:space="0" w:color="auto"/>
              <w:bottom w:val="single" w:sz="6" w:space="0" w:color="auto"/>
              <w:right w:val="single" w:sz="6" w:space="0" w:color="auto"/>
            </w:tcBorders>
            <w:hideMark/>
          </w:tcPr>
          <w:p w14:paraId="297F5EA6" w14:textId="77777777" w:rsidR="002C1C67" w:rsidRPr="002C1C67" w:rsidRDefault="002C1C67" w:rsidP="002C1C67">
            <w:pPr>
              <w:spacing w:after="100"/>
              <w:ind w:left="57" w:right="57"/>
              <w:rPr>
                <w:rFonts w:cs="Arial"/>
              </w:rPr>
            </w:pPr>
            <w:r w:rsidRPr="002C1C67">
              <w:rPr>
                <w:rFonts w:cs="Arial"/>
                <w:b/>
                <w:bCs/>
              </w:rPr>
              <w:t>Cultural adaptation </w:t>
            </w:r>
            <w:r w:rsidRPr="002C1C67">
              <w:rPr>
                <w:rFonts w:cs="Arial"/>
              </w:rPr>
              <w:t> </w:t>
            </w:r>
          </w:p>
          <w:p w14:paraId="165ED6EE" w14:textId="77777777" w:rsidR="002C1C67" w:rsidRPr="002C1C67" w:rsidRDefault="002C1C67" w:rsidP="002C1C67">
            <w:pPr>
              <w:spacing w:after="100"/>
              <w:ind w:left="57" w:right="57"/>
              <w:rPr>
                <w:rFonts w:cs="Arial"/>
              </w:rPr>
            </w:pPr>
          </w:p>
        </w:tc>
        <w:tc>
          <w:tcPr>
            <w:tcW w:w="6750" w:type="dxa"/>
            <w:tcBorders>
              <w:top w:val="single" w:sz="6" w:space="0" w:color="auto"/>
              <w:left w:val="single" w:sz="6" w:space="0" w:color="auto"/>
              <w:bottom w:val="single" w:sz="6" w:space="0" w:color="auto"/>
              <w:right w:val="single" w:sz="6" w:space="0" w:color="auto"/>
            </w:tcBorders>
            <w:hideMark/>
          </w:tcPr>
          <w:p w14:paraId="4F682D05" w14:textId="77777777" w:rsidR="002C1C67" w:rsidRPr="002C1C67" w:rsidRDefault="002C1C67" w:rsidP="002C1C67">
            <w:pPr>
              <w:spacing w:after="100"/>
              <w:ind w:left="57" w:right="57"/>
              <w:rPr>
                <w:rFonts w:cs="Arial"/>
              </w:rPr>
            </w:pPr>
            <w:r w:rsidRPr="002C1C67">
              <w:rPr>
                <w:rFonts w:cs="Arial"/>
              </w:rPr>
              <w:t xml:space="preserve">The GAS as a method has been used to assess individualised goals in therapy settings in multiple countries including Australia, Belgium, Canada, Finland, France, Israel, Korea, the Netherlands, Sweden, Taiwan, UK and USA. </w:t>
            </w:r>
          </w:p>
          <w:p w14:paraId="6A93FA5F" w14:textId="77777777" w:rsidR="002C1C67" w:rsidRPr="002C1C67" w:rsidRDefault="002C1C67" w:rsidP="002C1C67">
            <w:pPr>
              <w:spacing w:after="100"/>
              <w:ind w:left="57" w:right="57"/>
              <w:rPr>
                <w:rFonts w:cs="Arial"/>
              </w:rPr>
            </w:pPr>
            <w:r w:rsidRPr="002C1C67">
              <w:rPr>
                <w:rFonts w:cs="Arial"/>
              </w:rPr>
              <w:t>The GAS can be used with Aboriginal and Torres Strait Islander peoples. There have been efforts to adapt and apply the approach to goal setting in culturally appropriate ways, such as the Australian Therapy Outcome Measure for Indigenous Clients (ATOMIC), which is a purpose-designed tool based on the GAS principles for measuring therapy outcomes for Aboriginal and Torres Strait Islander peoples.</w:t>
            </w:r>
          </w:p>
        </w:tc>
      </w:tr>
      <w:tr w:rsidR="002C1C67" w:rsidRPr="002C1C67" w14:paraId="2E55F474" w14:textId="77777777">
        <w:trPr>
          <w:trHeight w:val="300"/>
        </w:trPr>
        <w:tc>
          <w:tcPr>
            <w:tcW w:w="2260" w:type="dxa"/>
            <w:tcBorders>
              <w:top w:val="single" w:sz="6" w:space="0" w:color="auto"/>
              <w:left w:val="single" w:sz="6" w:space="0" w:color="auto"/>
              <w:bottom w:val="single" w:sz="6" w:space="0" w:color="auto"/>
              <w:right w:val="single" w:sz="6" w:space="0" w:color="auto"/>
            </w:tcBorders>
            <w:hideMark/>
          </w:tcPr>
          <w:p w14:paraId="6FD0B584" w14:textId="77777777" w:rsidR="002C1C67" w:rsidRPr="002C1C67" w:rsidRDefault="002C1C67" w:rsidP="002C1C67">
            <w:pPr>
              <w:spacing w:after="100"/>
              <w:ind w:left="57" w:right="57"/>
              <w:rPr>
                <w:rFonts w:cs="Arial"/>
              </w:rPr>
            </w:pPr>
            <w:r w:rsidRPr="002C1C67">
              <w:rPr>
                <w:rFonts w:cs="Arial"/>
                <w:b/>
                <w:bCs/>
              </w:rPr>
              <w:t>Administration</w:t>
            </w:r>
            <w:r w:rsidRPr="002C1C67">
              <w:rPr>
                <w:rFonts w:cs="Arial"/>
              </w:rPr>
              <w:t>  </w:t>
            </w:r>
          </w:p>
          <w:p w14:paraId="34D07DC4" w14:textId="77777777" w:rsidR="002C1C67" w:rsidRPr="002C1C67" w:rsidRDefault="002C1C67" w:rsidP="002C1C67">
            <w:pPr>
              <w:spacing w:after="100"/>
              <w:ind w:left="57" w:right="57"/>
              <w:rPr>
                <w:rFonts w:cs="Arial"/>
              </w:rPr>
            </w:pPr>
          </w:p>
        </w:tc>
        <w:tc>
          <w:tcPr>
            <w:tcW w:w="6750" w:type="dxa"/>
            <w:tcBorders>
              <w:top w:val="single" w:sz="6" w:space="0" w:color="auto"/>
              <w:left w:val="single" w:sz="6" w:space="0" w:color="auto"/>
              <w:bottom w:val="single" w:sz="6" w:space="0" w:color="auto"/>
              <w:right w:val="single" w:sz="6" w:space="0" w:color="auto"/>
            </w:tcBorders>
            <w:hideMark/>
          </w:tcPr>
          <w:p w14:paraId="3D75A8F0" w14:textId="77777777" w:rsidR="002C1C67" w:rsidRPr="002C1C67" w:rsidRDefault="002C1C67" w:rsidP="002C1C67">
            <w:pPr>
              <w:spacing w:after="100"/>
              <w:ind w:left="57" w:right="57"/>
              <w:rPr>
                <w:rFonts w:cs="Arial"/>
              </w:rPr>
            </w:pPr>
            <w:r w:rsidRPr="002C1C67">
              <w:rPr>
                <w:rFonts w:cs="Arial"/>
              </w:rPr>
              <w:t xml:space="preserve">The GAS is a person-centred and collaborative approach, between the recipient of an intervention and their professionals. The GAS is typically used at multiple points during an intervention process: at the beginning of an intervention to set personalised goals, at regular reviews, and at the conclusion of treatment to evaluate overall goal attainment. The healthcare or intervention professional collaborates with the recipient of the intervention to set goals, using the SMART criteria (Specific, Measurable, Achievable, Relevant, and Time-bound). </w:t>
            </w:r>
          </w:p>
          <w:p w14:paraId="65DEC5C5" w14:textId="77777777" w:rsidR="002C1C67" w:rsidRPr="002C1C67" w:rsidRDefault="002C1C67" w:rsidP="002C1C67">
            <w:pPr>
              <w:spacing w:after="100"/>
              <w:ind w:left="57" w:right="57"/>
              <w:rPr>
                <w:rFonts w:cs="Arial"/>
              </w:rPr>
            </w:pPr>
            <w:r w:rsidRPr="002C1C67">
              <w:rPr>
                <w:rFonts w:cs="Arial"/>
              </w:rPr>
              <w:lastRenderedPageBreak/>
              <w:t>The process, which involves filling out the GAS form with the practitioner and child and/or family, usually takes 20 to 40 minutes. </w:t>
            </w:r>
          </w:p>
        </w:tc>
      </w:tr>
      <w:tr w:rsidR="002C1C67" w:rsidRPr="002C1C67" w14:paraId="41F48ABE" w14:textId="77777777">
        <w:trPr>
          <w:trHeight w:val="300"/>
        </w:trPr>
        <w:tc>
          <w:tcPr>
            <w:tcW w:w="2260" w:type="dxa"/>
            <w:tcBorders>
              <w:top w:val="single" w:sz="6" w:space="0" w:color="auto"/>
              <w:left w:val="single" w:sz="6" w:space="0" w:color="auto"/>
              <w:bottom w:val="single" w:sz="6" w:space="0" w:color="auto"/>
              <w:right w:val="single" w:sz="6" w:space="0" w:color="auto"/>
            </w:tcBorders>
            <w:hideMark/>
          </w:tcPr>
          <w:p w14:paraId="328FD078" w14:textId="77777777" w:rsidR="002C1C67" w:rsidRPr="002C1C67" w:rsidRDefault="002C1C67" w:rsidP="002C1C67">
            <w:pPr>
              <w:spacing w:after="100"/>
              <w:ind w:left="57" w:right="57"/>
              <w:rPr>
                <w:rFonts w:cs="Arial"/>
              </w:rPr>
            </w:pPr>
            <w:r w:rsidRPr="002C1C67">
              <w:rPr>
                <w:rFonts w:cs="Arial"/>
                <w:b/>
                <w:bCs/>
              </w:rPr>
              <w:lastRenderedPageBreak/>
              <w:t>Training requirements</w:t>
            </w:r>
            <w:r w:rsidRPr="002C1C67">
              <w:rPr>
                <w:rFonts w:cs="Arial"/>
              </w:rPr>
              <w:t>  </w:t>
            </w:r>
          </w:p>
          <w:p w14:paraId="523D6CA0" w14:textId="77777777" w:rsidR="002C1C67" w:rsidRPr="002C1C67" w:rsidRDefault="002C1C67" w:rsidP="002C1C67">
            <w:pPr>
              <w:spacing w:after="100"/>
              <w:ind w:left="57" w:right="57"/>
              <w:rPr>
                <w:rFonts w:cs="Arial"/>
              </w:rPr>
            </w:pPr>
          </w:p>
        </w:tc>
        <w:tc>
          <w:tcPr>
            <w:tcW w:w="6750" w:type="dxa"/>
            <w:tcBorders>
              <w:top w:val="single" w:sz="6" w:space="0" w:color="auto"/>
              <w:left w:val="single" w:sz="6" w:space="0" w:color="auto"/>
              <w:bottom w:val="single" w:sz="6" w:space="0" w:color="auto"/>
              <w:right w:val="single" w:sz="6" w:space="0" w:color="auto"/>
            </w:tcBorders>
            <w:vAlign w:val="center"/>
            <w:hideMark/>
          </w:tcPr>
          <w:p w14:paraId="197D1895" w14:textId="77777777" w:rsidR="002C1C67" w:rsidRPr="002C1C67" w:rsidRDefault="002C1C67" w:rsidP="002C1C67">
            <w:pPr>
              <w:spacing w:after="100"/>
              <w:ind w:left="57" w:right="57"/>
              <w:rPr>
                <w:rFonts w:cs="Arial"/>
              </w:rPr>
            </w:pPr>
            <w:r w:rsidRPr="002C1C67">
              <w:rPr>
                <w:rFonts w:cs="Arial"/>
              </w:rPr>
              <w:t xml:space="preserve">The GAS can be administered by various healthcare professionals, </w:t>
            </w:r>
            <w:proofErr w:type="gramStart"/>
            <w:r w:rsidRPr="002C1C67">
              <w:rPr>
                <w:rFonts w:cs="Arial"/>
              </w:rPr>
              <w:t>including:</w:t>
            </w:r>
            <w:proofErr w:type="gramEnd"/>
            <w:r w:rsidRPr="002C1C67">
              <w:rPr>
                <w:rFonts w:cs="Arial"/>
              </w:rPr>
              <w:t xml:space="preserve"> nurses, physiotherapists, occupational therapists, speech therapists, rehabilitation specialists, and other healthcare providers involved in patient care and goal setting.</w:t>
            </w:r>
          </w:p>
          <w:p w14:paraId="6F24D987" w14:textId="77777777" w:rsidR="002C1C67" w:rsidRPr="002C1C67" w:rsidRDefault="002C1C67" w:rsidP="002C1C67">
            <w:pPr>
              <w:spacing w:after="100"/>
              <w:ind w:left="57" w:right="57"/>
              <w:rPr>
                <w:rFonts w:cs="Arial"/>
              </w:rPr>
            </w:pPr>
            <w:r w:rsidRPr="002C1C67">
              <w:rPr>
                <w:rFonts w:cs="Arial"/>
              </w:rPr>
              <w:t>Training is crucial for effective administration of GAS, and it should cover the process of collaborating with children and their parents, carers and families in goal setting using the SMART approach, goal scaling and scoring. Ideally, those new to GAS should have their goal setting reviewed by peers to ensure reliability and validity.</w:t>
            </w:r>
          </w:p>
          <w:p w14:paraId="73BA023B" w14:textId="77777777" w:rsidR="002C1C67" w:rsidRPr="002C1C67" w:rsidRDefault="002C1C67" w:rsidP="002C1C67">
            <w:pPr>
              <w:spacing w:after="100"/>
              <w:ind w:left="57" w:right="57"/>
              <w:rPr>
                <w:rFonts w:cs="Arial"/>
              </w:rPr>
            </w:pPr>
            <w:r w:rsidRPr="002C1C67">
              <w:rPr>
                <w:rFonts w:cs="Arial"/>
              </w:rPr>
              <w:t>While the tool itself is free, healthcare professionals may need education, support, and practice to effectively implement GAS. Some organisations may choose to invest in training for their staff to ensure proper use of the tool.</w:t>
            </w:r>
          </w:p>
        </w:tc>
      </w:tr>
      <w:tr w:rsidR="002C1C67" w:rsidRPr="002C1C67" w14:paraId="4EF6B407" w14:textId="77777777">
        <w:trPr>
          <w:trHeight w:val="300"/>
        </w:trPr>
        <w:tc>
          <w:tcPr>
            <w:tcW w:w="2260" w:type="dxa"/>
            <w:tcBorders>
              <w:top w:val="single" w:sz="6" w:space="0" w:color="auto"/>
              <w:left w:val="single" w:sz="6" w:space="0" w:color="auto"/>
              <w:bottom w:val="single" w:sz="6" w:space="0" w:color="auto"/>
              <w:right w:val="single" w:sz="6" w:space="0" w:color="auto"/>
            </w:tcBorders>
            <w:hideMark/>
          </w:tcPr>
          <w:p w14:paraId="64B20EC8" w14:textId="4E17ECBF" w:rsidR="002C1C67" w:rsidRPr="00310AA2" w:rsidRDefault="002C1C67" w:rsidP="00310AA2">
            <w:pPr>
              <w:spacing w:after="100"/>
              <w:ind w:left="57" w:right="57"/>
              <w:rPr>
                <w:rFonts w:cs="Arial"/>
                <w:b/>
                <w:bCs/>
              </w:rPr>
            </w:pPr>
            <w:r w:rsidRPr="002C1C67">
              <w:rPr>
                <w:rFonts w:cs="Arial"/>
                <w:b/>
                <w:bCs/>
              </w:rPr>
              <w:t>How to access</w:t>
            </w:r>
          </w:p>
        </w:tc>
        <w:tc>
          <w:tcPr>
            <w:tcW w:w="6750" w:type="dxa"/>
            <w:tcBorders>
              <w:top w:val="single" w:sz="6" w:space="0" w:color="auto"/>
              <w:left w:val="single" w:sz="6" w:space="0" w:color="auto"/>
              <w:bottom w:val="single" w:sz="6" w:space="0" w:color="auto"/>
              <w:right w:val="single" w:sz="6" w:space="0" w:color="auto"/>
            </w:tcBorders>
            <w:vAlign w:val="center"/>
            <w:hideMark/>
          </w:tcPr>
          <w:p w14:paraId="1DEE0306" w14:textId="77777777" w:rsidR="002C1C67" w:rsidRPr="002C1C67" w:rsidRDefault="002C1C67" w:rsidP="00310AA2">
            <w:pPr>
              <w:spacing w:after="100"/>
              <w:ind w:left="57" w:right="57"/>
              <w:contextualSpacing/>
              <w:rPr>
                <w:rFonts w:cs="Arial"/>
              </w:rPr>
            </w:pPr>
            <w:r w:rsidRPr="002C1C67">
              <w:rPr>
                <w:rFonts w:cs="Arial"/>
              </w:rPr>
              <w:t>The GAS is freely available from multiple sources.</w:t>
            </w:r>
          </w:p>
        </w:tc>
      </w:tr>
    </w:tbl>
    <w:p w14:paraId="39097AB9" w14:textId="69A5E382" w:rsidR="00C97946" w:rsidRDefault="00C97946">
      <w:pPr>
        <w:rPr>
          <w:rFonts w:cs="Arial"/>
        </w:rPr>
      </w:pPr>
    </w:p>
    <w:p w14:paraId="1C15D177" w14:textId="77777777" w:rsidR="00C97946" w:rsidRDefault="00C97946">
      <w:pPr>
        <w:spacing w:before="0" w:after="160"/>
        <w:rPr>
          <w:rFonts w:cs="Arial"/>
        </w:rPr>
      </w:pPr>
      <w:r>
        <w:rPr>
          <w:rFonts w:cs="Arial"/>
        </w:rPr>
        <w:br w:type="page"/>
      </w:r>
    </w:p>
    <w:p w14:paraId="3E98ECD6" w14:textId="77777777" w:rsidR="005B2AE0" w:rsidRPr="005B2AE0" w:rsidRDefault="005B2AE0" w:rsidP="00E00047">
      <w:pPr>
        <w:pStyle w:val="Heading1"/>
      </w:pPr>
      <w:bookmarkStart w:id="38" w:name="_Goal_Attainment_Scaling_1"/>
      <w:bookmarkStart w:id="39" w:name="_GAS_Evidence_Summary"/>
      <w:bookmarkEnd w:id="38"/>
      <w:bookmarkEnd w:id="39"/>
      <w:r w:rsidRPr="005B2AE0">
        <w:lastRenderedPageBreak/>
        <w:t>GAS Evidence Summary</w:t>
      </w:r>
    </w:p>
    <w:p w14:paraId="0BC2A0C4" w14:textId="3730C103" w:rsidR="005B2AE0" w:rsidRPr="005B2AE0" w:rsidRDefault="005B2AE0" w:rsidP="005B2AE0">
      <w:pPr>
        <w:rPr>
          <w:rFonts w:cs="Arial"/>
          <w:i/>
          <w:iCs/>
        </w:rPr>
      </w:pPr>
      <w:hyperlink w:anchor="_GAS_Reference_List" w:history="1">
        <w:r w:rsidRPr="000F0A19">
          <w:rPr>
            <w:rStyle w:val="Hyperlink"/>
            <w:rFonts w:cs="Arial"/>
            <w:i/>
            <w:iCs/>
          </w:rPr>
          <w:t>Link to GAS Reference List</w:t>
        </w:r>
      </w:hyperlink>
    </w:p>
    <w:tbl>
      <w:tblPr>
        <w:tblW w:w="502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1"/>
        <w:gridCol w:w="6936"/>
      </w:tblGrid>
      <w:tr w:rsidR="005B2AE0" w:rsidRPr="005B2AE0" w14:paraId="659F83C3" w14:textId="77777777">
        <w:trPr>
          <w:trHeight w:val="300"/>
        </w:trPr>
        <w:tc>
          <w:tcPr>
            <w:tcW w:w="1171" w:type="pct"/>
            <w:tcBorders>
              <w:top w:val="single" w:sz="6" w:space="0" w:color="auto"/>
              <w:left w:val="single" w:sz="6" w:space="0" w:color="auto"/>
              <w:bottom w:val="single" w:sz="6" w:space="0" w:color="auto"/>
              <w:right w:val="single" w:sz="6" w:space="0" w:color="auto"/>
            </w:tcBorders>
          </w:tcPr>
          <w:p w14:paraId="449E3C92" w14:textId="77777777" w:rsidR="005B2AE0" w:rsidRPr="005B2AE0" w:rsidRDefault="005B2AE0" w:rsidP="005B2AE0">
            <w:pPr>
              <w:spacing w:line="276" w:lineRule="auto"/>
              <w:rPr>
                <w:rFonts w:eastAsia="Aptos" w:cs="Arial"/>
                <w:b/>
                <w:bCs/>
              </w:rPr>
            </w:pPr>
            <w:r w:rsidRPr="005B2AE0">
              <w:rPr>
                <w:rFonts w:eastAsia="Aptos" w:cs="Arial"/>
                <w:b/>
                <w:bCs/>
              </w:rPr>
              <w:t>Overview</w:t>
            </w:r>
          </w:p>
          <w:p w14:paraId="05867DD1" w14:textId="77777777" w:rsidR="005B2AE0" w:rsidRPr="005B2AE0" w:rsidRDefault="005B2AE0" w:rsidP="005B2AE0">
            <w:pPr>
              <w:spacing w:line="276" w:lineRule="auto"/>
              <w:rPr>
                <w:rFonts w:eastAsia="Aptos" w:cs="Arial"/>
                <w:i/>
                <w:iCs/>
              </w:rPr>
            </w:pPr>
          </w:p>
        </w:tc>
        <w:tc>
          <w:tcPr>
            <w:tcW w:w="3829" w:type="pct"/>
            <w:tcBorders>
              <w:top w:val="single" w:sz="6" w:space="0" w:color="auto"/>
              <w:left w:val="single" w:sz="6" w:space="0" w:color="auto"/>
              <w:bottom w:val="single" w:sz="6" w:space="0" w:color="auto"/>
              <w:right w:val="single" w:sz="6" w:space="0" w:color="auto"/>
            </w:tcBorders>
          </w:tcPr>
          <w:p w14:paraId="13956710" w14:textId="77777777" w:rsidR="005B2AE0" w:rsidRPr="005B2AE0" w:rsidRDefault="005B2AE0" w:rsidP="005B2AE0">
            <w:pPr>
              <w:spacing w:after="100" w:line="276" w:lineRule="auto"/>
              <w:ind w:left="57" w:right="57"/>
              <w:rPr>
                <w:rFonts w:eastAsia="Aptos" w:cs="Arial"/>
                <w:color w:val="000000" w:themeColor="text1"/>
              </w:rPr>
            </w:pPr>
            <w:r w:rsidRPr="005B2AE0">
              <w:rPr>
                <w:rFonts w:eastAsia="Aptos" w:cs="Arial"/>
                <w:color w:val="000000" w:themeColor="text1"/>
              </w:rPr>
              <w:t xml:space="preserve">42 papers were identified that </w:t>
            </w:r>
            <w:r w:rsidRPr="005B2AE0">
              <w:rPr>
                <w:rFonts w:eastAsia="Aptos" w:cs="Arial"/>
                <w:color w:val="000000"/>
              </w:rPr>
              <w:t>report on the measurement properties of GAS or its use as an outcome measure in the ECI practice setting (1992-2025).</w:t>
            </w:r>
          </w:p>
        </w:tc>
      </w:tr>
      <w:tr w:rsidR="005B2AE0" w:rsidRPr="005B2AE0" w14:paraId="50AFF12B" w14:textId="77777777">
        <w:trPr>
          <w:trHeight w:val="300"/>
        </w:trPr>
        <w:tc>
          <w:tcPr>
            <w:tcW w:w="1171" w:type="pct"/>
            <w:tcBorders>
              <w:top w:val="single" w:sz="6" w:space="0" w:color="auto"/>
              <w:left w:val="single" w:sz="6" w:space="0" w:color="auto"/>
              <w:bottom w:val="single" w:sz="6" w:space="0" w:color="auto"/>
              <w:right w:val="single" w:sz="6" w:space="0" w:color="auto"/>
            </w:tcBorders>
          </w:tcPr>
          <w:p w14:paraId="338EBD76" w14:textId="77777777" w:rsidR="005B2AE0" w:rsidRPr="005B2AE0" w:rsidRDefault="005B2AE0" w:rsidP="005B2AE0">
            <w:pPr>
              <w:spacing w:line="276" w:lineRule="auto"/>
              <w:rPr>
                <w:rFonts w:eastAsia="Aptos" w:cs="Arial"/>
                <w:b/>
                <w:bCs/>
              </w:rPr>
            </w:pPr>
            <w:r w:rsidRPr="005B2AE0">
              <w:rPr>
                <w:rFonts w:eastAsia="Aptos" w:cs="Arial"/>
                <w:b/>
                <w:bCs/>
              </w:rPr>
              <w:t>Review papers</w:t>
            </w:r>
          </w:p>
        </w:tc>
        <w:tc>
          <w:tcPr>
            <w:tcW w:w="3829" w:type="pct"/>
            <w:tcBorders>
              <w:top w:val="single" w:sz="6" w:space="0" w:color="auto"/>
              <w:left w:val="single" w:sz="6" w:space="0" w:color="auto"/>
              <w:bottom w:val="single" w:sz="6" w:space="0" w:color="auto"/>
              <w:right w:val="single" w:sz="6" w:space="0" w:color="auto"/>
            </w:tcBorders>
          </w:tcPr>
          <w:p w14:paraId="060727BF" w14:textId="77777777" w:rsidR="005B2AE0" w:rsidRPr="005B2AE0" w:rsidRDefault="005B2AE0" w:rsidP="005B2AE0">
            <w:pPr>
              <w:spacing w:after="100"/>
              <w:ind w:left="57" w:right="57"/>
              <w:rPr>
                <w:rFonts w:eastAsia="Aptos" w:cs="Arial"/>
              </w:rPr>
            </w:pPr>
            <w:r w:rsidRPr="005B2AE0">
              <w:rPr>
                <w:rFonts w:eastAsia="Aptos" w:cs="Arial"/>
              </w:rPr>
              <w:t>Several reviews have specifically examined GAS in populations relevant to early childhood intervention. A systematic review identified GAS as a well-established multidisciplinary outcome measure for children with developmental disability, alongside other measures (Australia, 2018). Two systematic reviews of measurement properties for children with cerebral palsy found GAS responsive for individual goal setting and treatment evaluation (Australia, 2007; Netherlands, 2007). A narrative review identified GAS as a client-centred technique with unique attributes for measuring individualised change in communication disorders (USA, 2004).</w:t>
            </w:r>
          </w:p>
          <w:p w14:paraId="5B8C6FA0" w14:textId="77777777" w:rsidR="005B2AE0" w:rsidRPr="005B2AE0" w:rsidRDefault="005B2AE0" w:rsidP="005B2AE0">
            <w:pPr>
              <w:spacing w:after="100"/>
              <w:ind w:left="57" w:right="57"/>
              <w:rPr>
                <w:rFonts w:eastAsia="Aptos" w:cs="Arial"/>
              </w:rPr>
            </w:pPr>
            <w:r w:rsidRPr="005B2AE0">
              <w:rPr>
                <w:rFonts w:eastAsia="Aptos" w:cs="Arial"/>
              </w:rPr>
              <w:t xml:space="preserve">However, recent systematic reviews of GAS implementation highlighted significant variability in application across healthcare settings, with several recommending standardisation through practical guides or catalogues (Canada, 2024; Australia, 2022). Multiple reviews identified gaps in GAS validation evidence and methodological rigour, recommending improved standardisation in administration and reporting (Canada, 2020; USA, 2019; Netherlands, 2016). </w:t>
            </w:r>
          </w:p>
          <w:p w14:paraId="35A33188" w14:textId="77777777" w:rsidR="005B2AE0" w:rsidRPr="005B2AE0" w:rsidRDefault="005B2AE0" w:rsidP="005B2AE0">
            <w:pPr>
              <w:spacing w:after="100"/>
              <w:ind w:left="57" w:right="57"/>
              <w:rPr>
                <w:rFonts w:eastAsia="Aptos" w:cs="Arial"/>
              </w:rPr>
            </w:pPr>
            <w:r w:rsidRPr="005B2AE0">
              <w:rPr>
                <w:rFonts w:eastAsia="Aptos" w:cs="Arial"/>
              </w:rPr>
              <w:t>Guidance for GAS implementation has evolved over time, with a foundational narrative review establishing GAS as meeting criteria for a standardised, client-centred tool with promising properties for assessing progress across disciplines (Canada, 2002). A literature-based update later presented specific implementation best practices, such as setting initial status at -2 and describing all five levels in detail (France, 2013). Most recently, a comprehensive educational review provided detailed guidance for implementing GAS in rehabilitation, addressing practical concerns in clinical and research settings (France, 2023).</w:t>
            </w:r>
          </w:p>
        </w:tc>
      </w:tr>
      <w:tr w:rsidR="005B2AE0" w:rsidRPr="005B2AE0" w14:paraId="552B5C25" w14:textId="77777777">
        <w:trPr>
          <w:trHeight w:val="300"/>
        </w:trPr>
        <w:tc>
          <w:tcPr>
            <w:tcW w:w="1171" w:type="pct"/>
            <w:tcBorders>
              <w:top w:val="single" w:sz="6" w:space="0" w:color="auto"/>
              <w:left w:val="single" w:sz="6" w:space="0" w:color="auto"/>
              <w:bottom w:val="single" w:sz="6" w:space="0" w:color="auto"/>
              <w:right w:val="single" w:sz="6" w:space="0" w:color="auto"/>
            </w:tcBorders>
          </w:tcPr>
          <w:p w14:paraId="08C3D265" w14:textId="77777777" w:rsidR="005B2AE0" w:rsidRPr="005B2AE0" w:rsidRDefault="005B2AE0" w:rsidP="005B2AE0">
            <w:pPr>
              <w:spacing w:line="276" w:lineRule="auto"/>
              <w:rPr>
                <w:rFonts w:eastAsia="Aptos" w:cs="Arial"/>
                <w:b/>
                <w:bCs/>
              </w:rPr>
            </w:pPr>
            <w:r w:rsidRPr="005B2AE0">
              <w:rPr>
                <w:rFonts w:eastAsia="Aptos" w:cs="Arial"/>
                <w:b/>
                <w:bCs/>
              </w:rPr>
              <w:t>Measurement properties</w:t>
            </w:r>
          </w:p>
        </w:tc>
        <w:tc>
          <w:tcPr>
            <w:tcW w:w="3829" w:type="pct"/>
            <w:tcBorders>
              <w:top w:val="single" w:sz="6" w:space="0" w:color="auto"/>
              <w:left w:val="single" w:sz="6" w:space="0" w:color="auto"/>
              <w:bottom w:val="single" w:sz="6" w:space="0" w:color="auto"/>
              <w:right w:val="single" w:sz="6" w:space="0" w:color="auto"/>
            </w:tcBorders>
          </w:tcPr>
          <w:p w14:paraId="5B6B2303" w14:textId="77777777" w:rsidR="005B2AE0" w:rsidRPr="005B2AE0" w:rsidRDefault="005B2AE0" w:rsidP="005B2AE0">
            <w:pPr>
              <w:spacing w:after="100" w:line="276" w:lineRule="auto"/>
              <w:ind w:left="57" w:right="57"/>
              <w:rPr>
                <w:rFonts w:eastAsia="Aptos" w:cs="Arial"/>
                <w:color w:val="000000" w:themeColor="text1"/>
              </w:rPr>
            </w:pPr>
            <w:r w:rsidRPr="005B2AE0">
              <w:rPr>
                <w:rFonts w:eastAsia="Aptos" w:cs="Arial"/>
                <w:color w:val="000000" w:themeColor="text1"/>
              </w:rPr>
              <w:t xml:space="preserve">The sensitivity and convergent validity of GAS has been examined against the Canadian Occupational Performance Measure for children with cerebral palsy (Australia, 2006). Validity, responsiveness, and potential sources of bias in GAS </w:t>
            </w:r>
            <w:r w:rsidRPr="005B2AE0">
              <w:rPr>
                <w:rFonts w:eastAsia="Aptos" w:cs="Arial"/>
                <w:color w:val="000000" w:themeColor="text1"/>
              </w:rPr>
              <w:lastRenderedPageBreak/>
              <w:t>as a measure of motor change have been investigated in infants with developmental delays aged 3 to 30 months (USA, 1992, 1993).</w:t>
            </w:r>
          </w:p>
          <w:p w14:paraId="382B1E61" w14:textId="77777777" w:rsidR="005B2AE0" w:rsidRPr="005B2AE0" w:rsidRDefault="005B2AE0" w:rsidP="005B2AE0">
            <w:pPr>
              <w:spacing w:after="100" w:line="276" w:lineRule="auto"/>
              <w:ind w:left="57" w:right="57"/>
              <w:rPr>
                <w:rFonts w:eastAsia="Aptos" w:cs="Arial"/>
                <w:color w:val="000000" w:themeColor="text1"/>
              </w:rPr>
            </w:pPr>
            <w:r w:rsidRPr="005B2AE0">
              <w:rPr>
                <w:rFonts w:eastAsia="Aptos" w:cs="Arial"/>
                <w:color w:val="000000" w:themeColor="text1"/>
              </w:rPr>
              <w:t>Methodological assumptions of GAS, including scaling level and inter-rater reliability across different behavioural observation methods, have been assessed when used as an outcome measure in autism interventions (USA, 2012). Therapist goal writing and scoring consistency has been evaluated in an inter-rater reliability study with children with sensory processing disorder (2012).</w:t>
            </w:r>
          </w:p>
          <w:p w14:paraId="6939457B" w14:textId="77777777" w:rsidR="005B2AE0" w:rsidRPr="005B2AE0" w:rsidRDefault="005B2AE0" w:rsidP="005B2AE0">
            <w:pPr>
              <w:spacing w:after="100" w:line="276" w:lineRule="auto"/>
              <w:ind w:left="57" w:right="57"/>
              <w:rPr>
                <w:rFonts w:eastAsia="Aptos" w:cs="Arial"/>
                <w:color w:val="000000" w:themeColor="text1"/>
              </w:rPr>
            </w:pPr>
            <w:r w:rsidRPr="005B2AE0">
              <w:rPr>
                <w:rFonts w:eastAsia="Aptos" w:cs="Arial"/>
                <w:color w:val="000000" w:themeColor="text1"/>
              </w:rPr>
              <w:t>The validity, sensitivity, and clinical utility of a simplified "GAS-light" method has been compared against standard GAS for adults undergoing upper limb rehabilitation (2019).</w:t>
            </w:r>
          </w:p>
        </w:tc>
      </w:tr>
      <w:tr w:rsidR="005B2AE0" w:rsidRPr="005B2AE0" w14:paraId="543FEBBD" w14:textId="77777777">
        <w:trPr>
          <w:trHeight w:val="300"/>
        </w:trPr>
        <w:tc>
          <w:tcPr>
            <w:tcW w:w="1171" w:type="pct"/>
            <w:tcBorders>
              <w:top w:val="single" w:sz="6" w:space="0" w:color="auto"/>
              <w:left w:val="single" w:sz="6" w:space="0" w:color="auto"/>
              <w:bottom w:val="single" w:sz="6" w:space="0" w:color="auto"/>
              <w:right w:val="single" w:sz="6" w:space="0" w:color="auto"/>
            </w:tcBorders>
          </w:tcPr>
          <w:p w14:paraId="7B7AD6D2" w14:textId="77777777" w:rsidR="005B2AE0" w:rsidRPr="005B2AE0" w:rsidRDefault="005B2AE0" w:rsidP="005B2AE0">
            <w:pPr>
              <w:spacing w:line="276" w:lineRule="auto"/>
              <w:rPr>
                <w:rFonts w:eastAsia="Aptos" w:cs="Arial"/>
                <w:b/>
                <w:bCs/>
              </w:rPr>
            </w:pPr>
            <w:r w:rsidRPr="005B2AE0">
              <w:rPr>
                <w:rFonts w:eastAsia="Aptos" w:cs="Arial"/>
                <w:b/>
                <w:bCs/>
              </w:rPr>
              <w:lastRenderedPageBreak/>
              <w:t>Cultural adaptation papers</w:t>
            </w:r>
          </w:p>
        </w:tc>
        <w:tc>
          <w:tcPr>
            <w:tcW w:w="3829" w:type="pct"/>
            <w:tcBorders>
              <w:top w:val="single" w:sz="6" w:space="0" w:color="auto"/>
              <w:left w:val="single" w:sz="6" w:space="0" w:color="auto"/>
              <w:bottom w:val="single" w:sz="6" w:space="0" w:color="auto"/>
              <w:right w:val="single" w:sz="6" w:space="0" w:color="auto"/>
            </w:tcBorders>
          </w:tcPr>
          <w:p w14:paraId="32903F42" w14:textId="77777777" w:rsidR="005B2AE0" w:rsidRPr="005B2AE0" w:rsidRDefault="005B2AE0" w:rsidP="005B2AE0">
            <w:pPr>
              <w:spacing w:after="100" w:line="276" w:lineRule="auto"/>
              <w:ind w:left="57" w:right="57"/>
              <w:rPr>
                <w:rFonts w:eastAsia="Aptos" w:cs="Arial"/>
                <w:color w:val="000000" w:themeColor="text1"/>
              </w:rPr>
            </w:pPr>
            <w:r w:rsidRPr="005B2AE0">
              <w:rPr>
                <w:rFonts w:eastAsia="Aptos" w:cs="Arial"/>
                <w:color w:val="000000" w:themeColor="text1"/>
              </w:rPr>
              <w:t>The measurement properties of GAS have been explored in several European countries across different populations. Responsiveness and concurrent validity have been examined by comparing GAS with standardised instruments for children with cerebral palsy (Netherlands, 2011). Interrater reliability has been assessed in interdisciplinary rehabilitation for children with cerebral palsy, demonstrating good reliability particularly when scales were constructed by children's own therapists (Netherlands, 2010).</w:t>
            </w:r>
          </w:p>
          <w:p w14:paraId="62D7A250" w14:textId="77777777" w:rsidR="005B2AE0" w:rsidRPr="005B2AE0" w:rsidRDefault="005B2AE0" w:rsidP="005B2AE0">
            <w:pPr>
              <w:spacing w:after="100" w:line="276" w:lineRule="auto"/>
              <w:ind w:left="57" w:right="57"/>
              <w:rPr>
                <w:rFonts w:eastAsia="Aptos" w:cs="Arial"/>
                <w:color w:val="000000" w:themeColor="text1"/>
              </w:rPr>
            </w:pPr>
            <w:r w:rsidRPr="005B2AE0">
              <w:rPr>
                <w:rFonts w:eastAsia="Aptos" w:cs="Arial"/>
                <w:color w:val="000000" w:themeColor="text1"/>
              </w:rPr>
              <w:t>Implementation feasibility and content validity were evaluated through a training programme with predetermined quality criteria for professionals from five disciplines, identifying common challenges in scale development (Netherlands, 2008). A modified "3-milestones" GAS method was tested for clinical feasibility and score distribution validity in a paediatric spasticity clinic (France, 2017).</w:t>
            </w:r>
          </w:p>
          <w:p w14:paraId="057AC104" w14:textId="77777777" w:rsidR="005B2AE0" w:rsidRPr="005B2AE0" w:rsidRDefault="005B2AE0" w:rsidP="005B2AE0">
            <w:pPr>
              <w:spacing w:after="100" w:line="276" w:lineRule="auto"/>
              <w:ind w:left="57" w:right="57"/>
              <w:rPr>
                <w:rFonts w:eastAsia="Aptos" w:cs="Arial"/>
                <w:color w:val="000000" w:themeColor="text1"/>
              </w:rPr>
            </w:pPr>
            <w:r w:rsidRPr="005B2AE0">
              <w:rPr>
                <w:rFonts w:eastAsia="Aptos" w:cs="Arial"/>
                <w:color w:val="000000" w:themeColor="text1"/>
              </w:rPr>
              <w:t>Construct validity and responsiveness were investigated in neuropsychological rehabilitation for adults with multiple sclerosis, examining whether GAS could detect changes not captured by standardised measures (Finland, 2015). Comparative validity of different goal-setting approaches (child versus parent identified goals) was assessed in a randomised trial of children with disabilities, measuring goal attainment outcomes and stability over time (Sweden, 2016).</w:t>
            </w:r>
          </w:p>
          <w:p w14:paraId="514B63C9" w14:textId="77777777" w:rsidR="005B2AE0" w:rsidRPr="005B2AE0" w:rsidRDefault="005B2AE0" w:rsidP="005B2AE0">
            <w:pPr>
              <w:spacing w:after="100" w:line="276" w:lineRule="auto"/>
              <w:ind w:left="57" w:right="57"/>
              <w:rPr>
                <w:rFonts w:eastAsia="Aptos" w:cs="Arial"/>
                <w:color w:val="000000" w:themeColor="text1"/>
              </w:rPr>
            </w:pPr>
            <w:r w:rsidRPr="005B2AE0">
              <w:rPr>
                <w:rFonts w:eastAsia="Aptos" w:cs="Arial"/>
                <w:color w:val="000000" w:themeColor="text1"/>
              </w:rPr>
              <w:t xml:space="preserve">Six studies were identified that use GAS as an outcome measure in the ECI practice setting in different cultural contexts. GAS has been used as an outcome measure in a randomised trial comparing individualised versus general physical therapy </w:t>
            </w:r>
            <w:r w:rsidRPr="005B2AE0">
              <w:rPr>
                <w:rFonts w:eastAsia="Aptos" w:cs="Arial"/>
                <w:color w:val="000000" w:themeColor="text1"/>
              </w:rPr>
              <w:lastRenderedPageBreak/>
              <w:t>programs for children with bilateral spastic cerebral palsy (Belgium, 2014), in a study examining the effects of different physiotherapeutic programs in a post-botulinum toxin regime for children with cerebral palsy (Belgium, 2012), and in a comparative study of goal-directed functional therapy versus activity-focused therapy for preschool children with cerebral palsy (Sweden, 2009). It has also been used to evaluate the effectiveness of routines-based early intervention compared to traditional home visiting for children with or at risk for developmental delay (Taiwan, 2013), to assess a tablet computer-based cognitive training program for young children with cognitive impairment (Korea, 2020), to evaluate an environment-based intervention on participation outcomes for autistic children (Taiwan, 2024), and to measure functional improvement after a cognitive-functional occupational therapy intervention for preschoolers with attention deficit hyperactivity disorder (Israel, 2015).</w:t>
            </w:r>
          </w:p>
        </w:tc>
      </w:tr>
      <w:tr w:rsidR="005B2AE0" w:rsidRPr="005B2AE0" w14:paraId="3EFA6003" w14:textId="77777777">
        <w:trPr>
          <w:trHeight w:val="300"/>
        </w:trPr>
        <w:tc>
          <w:tcPr>
            <w:tcW w:w="1171" w:type="pct"/>
            <w:tcBorders>
              <w:top w:val="single" w:sz="6" w:space="0" w:color="auto"/>
              <w:left w:val="single" w:sz="6" w:space="0" w:color="auto"/>
              <w:bottom w:val="single" w:sz="6" w:space="0" w:color="auto"/>
              <w:right w:val="single" w:sz="6" w:space="0" w:color="auto"/>
            </w:tcBorders>
          </w:tcPr>
          <w:p w14:paraId="334383B5" w14:textId="77777777" w:rsidR="005B2AE0" w:rsidRPr="005B2AE0" w:rsidRDefault="005B2AE0" w:rsidP="005B2AE0">
            <w:pPr>
              <w:spacing w:line="276" w:lineRule="auto"/>
              <w:rPr>
                <w:rFonts w:eastAsia="Aptos" w:cs="Arial"/>
                <w:b/>
                <w:bCs/>
              </w:rPr>
            </w:pPr>
            <w:r w:rsidRPr="005B2AE0">
              <w:rPr>
                <w:rFonts w:eastAsia="Aptos" w:cs="Arial"/>
                <w:b/>
                <w:bCs/>
              </w:rPr>
              <w:lastRenderedPageBreak/>
              <w:t>Outcome studies in ECI settings</w:t>
            </w:r>
          </w:p>
        </w:tc>
        <w:tc>
          <w:tcPr>
            <w:tcW w:w="3829" w:type="pct"/>
            <w:tcBorders>
              <w:top w:val="single" w:sz="6" w:space="0" w:color="auto"/>
              <w:left w:val="single" w:sz="6" w:space="0" w:color="auto"/>
              <w:bottom w:val="single" w:sz="6" w:space="0" w:color="auto"/>
              <w:right w:val="single" w:sz="6" w:space="0" w:color="auto"/>
            </w:tcBorders>
          </w:tcPr>
          <w:p w14:paraId="40208C9F" w14:textId="77777777" w:rsidR="005B2AE0" w:rsidRPr="005B2AE0" w:rsidRDefault="005B2AE0" w:rsidP="005B2AE0">
            <w:pPr>
              <w:spacing w:after="100" w:line="276" w:lineRule="auto"/>
              <w:ind w:left="57" w:right="57"/>
              <w:rPr>
                <w:rFonts w:eastAsia="Aptos" w:cs="Arial"/>
                <w:color w:val="000000" w:themeColor="text1"/>
              </w:rPr>
            </w:pPr>
            <w:r w:rsidRPr="005B2AE0">
              <w:rPr>
                <w:rFonts w:eastAsia="Aptos" w:cs="Arial"/>
                <w:color w:val="000000" w:themeColor="text1"/>
              </w:rPr>
              <w:t xml:space="preserve">GAS has been used as an outcome measure in several Australian ECI studies, including: a randomised controlled trial evaluating multi-modal neuro-developmental treatment versus standard care for children with cerebral palsy, demonstrating significant differences in goal attainment between intervention and control groups with a large effect size (2023); a feasibility study of an intensive interdisciplinary programme (Kindy Moves) for preschool-aged children with </w:t>
            </w:r>
            <w:proofErr w:type="spellStart"/>
            <w:r w:rsidRPr="005B2AE0">
              <w:rPr>
                <w:rFonts w:eastAsia="Aptos" w:cs="Arial"/>
                <w:color w:val="000000" w:themeColor="text1"/>
              </w:rPr>
              <w:t>neurodisabilities</w:t>
            </w:r>
            <w:proofErr w:type="spellEnd"/>
            <w:r w:rsidRPr="005B2AE0">
              <w:rPr>
                <w:rFonts w:eastAsia="Aptos" w:cs="Arial"/>
                <w:color w:val="000000" w:themeColor="text1"/>
              </w:rPr>
              <w:t xml:space="preserve"> requiring daily equipment and physical assistance, showing improvements in goal attainment that were maintained at follow-up (2023); a randomised trial compared modified constraint-induced therapy with intensive occupational therapy for children with hemiplegic cerebral palsy, using GAS alongside other measures to assess treatment outcomes (2011); a comparison study of two constraint-based upper limb interventions (modified constraint-induced movement therapy versus bimanual occupational therapy) following botulinum toxin A injection in young children with unilateral cerebral palsy (2013); and to evaluate family-centred early intervention programmes for young children with vision impairment, demonstrating sufficient clinical sensitivity to detect small changes in individuals and small groups over several weeks of intervention (2011).</w:t>
            </w:r>
          </w:p>
          <w:p w14:paraId="3BBF8FBF" w14:textId="77777777" w:rsidR="005B2AE0" w:rsidRPr="005B2AE0" w:rsidRDefault="005B2AE0" w:rsidP="005B2AE0">
            <w:pPr>
              <w:spacing w:after="100" w:line="276" w:lineRule="auto"/>
              <w:ind w:left="57" w:right="57"/>
              <w:rPr>
                <w:rFonts w:eastAsia="Aptos" w:cs="Arial"/>
                <w:color w:val="000000" w:themeColor="text1"/>
              </w:rPr>
            </w:pPr>
            <w:r w:rsidRPr="005B2AE0">
              <w:rPr>
                <w:rFonts w:eastAsia="Aptos" w:cs="Arial"/>
                <w:color w:val="000000" w:themeColor="text1"/>
              </w:rPr>
              <w:t xml:space="preserve">GAS has also been used as an outcome measure in several USA ECI studies, including: a comparison of consultative model versus direct-indirect intervention for preschoolers with mild </w:t>
            </w:r>
            <w:r w:rsidRPr="005B2AE0">
              <w:rPr>
                <w:rFonts w:eastAsia="Aptos" w:cs="Arial"/>
                <w:color w:val="000000" w:themeColor="text1"/>
              </w:rPr>
              <w:lastRenderedPageBreak/>
              <w:t>motor delays (2003); a randomised trial comparing bimanual training and constraint-induced movement therapy in children with hemiplegic cerebral palsy (2011); a comparison of high-intensity periodic therapy versus weekly therapy for children with cerebral palsy (2021); an evaluation of sensorimotor groups combined with individual intervention versus solely individual intervention for young children with Down syndrome (2009); and a comparison of play versus non-play interventions within a specialist school setting for children aged 5-8 years (2011).</w:t>
            </w:r>
          </w:p>
        </w:tc>
      </w:tr>
    </w:tbl>
    <w:p w14:paraId="54CAEC3C" w14:textId="77777777" w:rsidR="005B2AE0" w:rsidRPr="005B2AE0" w:rsidRDefault="005B2AE0" w:rsidP="00E00047">
      <w:pPr>
        <w:rPr>
          <w:rFonts w:asciiTheme="minorHAnsi" w:hAnsiTheme="minorHAnsi"/>
        </w:rPr>
      </w:pPr>
      <w:r w:rsidRPr="005B2AE0">
        <w:lastRenderedPageBreak/>
        <w:t xml:space="preserve">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w:t>
      </w:r>
      <w:r w:rsidRPr="003647C4">
        <w:t>Methods Explainer</w:t>
      </w:r>
      <w:r w:rsidRPr="005B2AE0">
        <w:t>.</w:t>
      </w:r>
    </w:p>
    <w:p w14:paraId="397F326B" w14:textId="612C8FF4" w:rsidR="00E00047" w:rsidRDefault="00E00047">
      <w:pPr>
        <w:spacing w:before="0" w:after="160"/>
      </w:pPr>
      <w:r>
        <w:br w:type="page"/>
      </w:r>
    </w:p>
    <w:p w14:paraId="0D389A37" w14:textId="77777777" w:rsidR="0012795C" w:rsidRPr="0012795C" w:rsidRDefault="0012795C" w:rsidP="00C75AE3">
      <w:pPr>
        <w:pStyle w:val="Heading1"/>
      </w:pPr>
      <w:bookmarkStart w:id="40" w:name="_Goal_Attainment_Scaling_2"/>
      <w:bookmarkStart w:id="41" w:name="_GAS_Reference_List"/>
      <w:bookmarkEnd w:id="40"/>
      <w:bookmarkEnd w:id="41"/>
      <w:r w:rsidRPr="0012795C">
        <w:lastRenderedPageBreak/>
        <w:t>GAS Reference List</w:t>
      </w:r>
    </w:p>
    <w:p w14:paraId="4F80F4FD" w14:textId="232D7A21" w:rsidR="0012795C" w:rsidRPr="0012795C" w:rsidRDefault="0012795C" w:rsidP="0012795C">
      <w:pPr>
        <w:rPr>
          <w:rFonts w:eastAsia="Aptos" w:cs="Arial"/>
          <w:i/>
          <w:iCs/>
          <w:color w:val="000000" w:themeColor="text1"/>
        </w:rPr>
      </w:pPr>
      <w:hyperlink w:anchor="_GAS_Evidence_Summary" w:history="1">
        <w:r w:rsidRPr="000F0A19">
          <w:rPr>
            <w:rStyle w:val="Hyperlink"/>
            <w:rFonts w:eastAsia="Aptos" w:cs="Arial"/>
            <w:i/>
            <w:iCs/>
          </w:rPr>
          <w:t>Link to GAS Evidence Summary</w:t>
        </w:r>
      </w:hyperlink>
    </w:p>
    <w:p w14:paraId="214372EA" w14:textId="77777777" w:rsidR="0012795C" w:rsidRPr="0012795C" w:rsidRDefault="0012795C" w:rsidP="00C75AE3">
      <w:pPr>
        <w:pStyle w:val="Heading2"/>
      </w:pPr>
      <w:r w:rsidRPr="0012795C">
        <w:t>Reviews</w:t>
      </w:r>
    </w:p>
    <w:p w14:paraId="339C4F27"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Cheema K, Dunn T, Chapman C, Rockwood K, Howlett SE, Sevinc G. (2024). A systematic review of goal attainment scaling implementation practices by caregivers in randomized controlled trials. </w:t>
      </w:r>
      <w:r w:rsidRPr="0012795C">
        <w:rPr>
          <w:rFonts w:eastAsia="Arial" w:cs="Arial"/>
          <w:i/>
          <w:color w:val="000000"/>
        </w:rPr>
        <w:t>J Patient Rep Outcomes</w:t>
      </w:r>
      <w:r w:rsidRPr="0012795C">
        <w:rPr>
          <w:rFonts w:eastAsia="Arial" w:cs="Arial"/>
          <w:color w:val="000000"/>
        </w:rPr>
        <w:t>, 8(1):37.</w:t>
      </w:r>
      <w:r w:rsidRPr="0012795C">
        <w:rPr>
          <w:rFonts w:eastAsia="Arial" w:cs="Arial"/>
          <w:color w:val="0000FF"/>
          <w:u w:val="single"/>
        </w:rPr>
        <w:t xml:space="preserve"> https://doi.org/10.1186/s41687-024-00716-w</w:t>
      </w:r>
    </w:p>
    <w:p w14:paraId="0E956456"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Bard-</w:t>
      </w:r>
      <w:proofErr w:type="spellStart"/>
      <w:r w:rsidRPr="0012795C">
        <w:rPr>
          <w:rFonts w:eastAsia="Arial" w:cs="Arial"/>
          <w:color w:val="000000"/>
        </w:rPr>
        <w:t>Pondarré</w:t>
      </w:r>
      <w:proofErr w:type="spellEnd"/>
      <w:r w:rsidRPr="0012795C">
        <w:rPr>
          <w:rFonts w:eastAsia="Arial" w:cs="Arial"/>
          <w:color w:val="000000"/>
        </w:rPr>
        <w:t xml:space="preserve"> R, </w:t>
      </w:r>
      <w:proofErr w:type="spellStart"/>
      <w:r w:rsidRPr="0012795C">
        <w:rPr>
          <w:rFonts w:eastAsia="Arial" w:cs="Arial"/>
          <w:color w:val="000000"/>
        </w:rPr>
        <w:t>Villepinte</w:t>
      </w:r>
      <w:proofErr w:type="spellEnd"/>
      <w:r w:rsidRPr="0012795C">
        <w:rPr>
          <w:rFonts w:eastAsia="Arial" w:cs="Arial"/>
          <w:color w:val="000000"/>
        </w:rPr>
        <w:t xml:space="preserve"> C, </w:t>
      </w:r>
      <w:proofErr w:type="spellStart"/>
      <w:r w:rsidRPr="0012795C">
        <w:rPr>
          <w:rFonts w:eastAsia="Arial" w:cs="Arial"/>
          <w:color w:val="000000"/>
        </w:rPr>
        <w:t>Roumenoff</w:t>
      </w:r>
      <w:proofErr w:type="spellEnd"/>
      <w:r w:rsidRPr="0012795C">
        <w:rPr>
          <w:rFonts w:eastAsia="Arial" w:cs="Arial"/>
          <w:color w:val="000000"/>
        </w:rPr>
        <w:t xml:space="preserve"> F, </w:t>
      </w:r>
      <w:proofErr w:type="spellStart"/>
      <w:r w:rsidRPr="0012795C">
        <w:rPr>
          <w:rFonts w:eastAsia="Arial" w:cs="Arial"/>
          <w:color w:val="000000"/>
        </w:rPr>
        <w:t>Lebrault</w:t>
      </w:r>
      <w:proofErr w:type="spellEnd"/>
      <w:r w:rsidRPr="0012795C">
        <w:rPr>
          <w:rFonts w:eastAsia="Arial" w:cs="Arial"/>
          <w:color w:val="000000"/>
        </w:rPr>
        <w:t xml:space="preserve"> H, </w:t>
      </w:r>
      <w:proofErr w:type="spellStart"/>
      <w:r w:rsidRPr="0012795C">
        <w:rPr>
          <w:rFonts w:eastAsia="Arial" w:cs="Arial"/>
          <w:color w:val="000000"/>
        </w:rPr>
        <w:t>Bonnyaud</w:t>
      </w:r>
      <w:proofErr w:type="spellEnd"/>
      <w:r w:rsidRPr="0012795C">
        <w:rPr>
          <w:rFonts w:eastAsia="Arial" w:cs="Arial"/>
          <w:color w:val="000000"/>
        </w:rPr>
        <w:t xml:space="preserve"> C, </w:t>
      </w:r>
      <w:proofErr w:type="spellStart"/>
      <w:r w:rsidRPr="0012795C">
        <w:rPr>
          <w:rFonts w:eastAsia="Arial" w:cs="Arial"/>
          <w:color w:val="000000"/>
        </w:rPr>
        <w:t>Pradeau</w:t>
      </w:r>
      <w:proofErr w:type="spellEnd"/>
      <w:r w:rsidRPr="0012795C">
        <w:rPr>
          <w:rFonts w:eastAsia="Arial" w:cs="Arial"/>
          <w:color w:val="000000"/>
        </w:rPr>
        <w:t xml:space="preserve"> C, </w:t>
      </w:r>
      <w:proofErr w:type="spellStart"/>
      <w:r w:rsidRPr="0012795C">
        <w:rPr>
          <w:rFonts w:eastAsia="Arial" w:cs="Arial"/>
          <w:color w:val="000000"/>
        </w:rPr>
        <w:t>Bensmail</w:t>
      </w:r>
      <w:proofErr w:type="spellEnd"/>
      <w:r w:rsidRPr="0012795C">
        <w:rPr>
          <w:rFonts w:eastAsia="Arial" w:cs="Arial"/>
          <w:color w:val="000000"/>
        </w:rPr>
        <w:t xml:space="preserve"> D, Isner-</w:t>
      </w:r>
      <w:proofErr w:type="spellStart"/>
      <w:r w:rsidRPr="0012795C">
        <w:rPr>
          <w:rFonts w:eastAsia="Arial" w:cs="Arial"/>
          <w:color w:val="000000"/>
        </w:rPr>
        <w:t>Horobeti</w:t>
      </w:r>
      <w:proofErr w:type="spellEnd"/>
      <w:r w:rsidRPr="0012795C">
        <w:rPr>
          <w:rFonts w:eastAsia="Arial" w:cs="Arial"/>
          <w:color w:val="000000"/>
        </w:rPr>
        <w:t xml:space="preserve"> ME, Krasny-Pacini A. (2023). Goal Attainment Scaling in rehabilitation: An educational review providing a comprehensive didactical </w:t>
      </w:r>
      <w:proofErr w:type="gramStart"/>
      <w:r w:rsidRPr="0012795C">
        <w:rPr>
          <w:rFonts w:eastAsia="Arial" w:cs="Arial"/>
          <w:color w:val="000000"/>
        </w:rPr>
        <w:t>tool box</w:t>
      </w:r>
      <w:proofErr w:type="gramEnd"/>
      <w:r w:rsidRPr="0012795C">
        <w:rPr>
          <w:rFonts w:eastAsia="Arial" w:cs="Arial"/>
          <w:color w:val="000000"/>
        </w:rPr>
        <w:t xml:space="preserve"> for implementing Goal Attainment Scaling. </w:t>
      </w:r>
      <w:r w:rsidRPr="0012795C">
        <w:rPr>
          <w:rFonts w:eastAsia="Arial" w:cs="Arial"/>
          <w:i/>
          <w:color w:val="000000"/>
        </w:rPr>
        <w:t xml:space="preserve">J </w:t>
      </w:r>
      <w:proofErr w:type="spellStart"/>
      <w:r w:rsidRPr="0012795C">
        <w:rPr>
          <w:rFonts w:eastAsia="Arial" w:cs="Arial"/>
          <w:i/>
          <w:color w:val="000000"/>
        </w:rPr>
        <w:t>Rehabil</w:t>
      </w:r>
      <w:proofErr w:type="spellEnd"/>
      <w:r w:rsidRPr="0012795C">
        <w:rPr>
          <w:rFonts w:eastAsia="Arial" w:cs="Arial"/>
          <w:i/>
          <w:color w:val="000000"/>
        </w:rPr>
        <w:t xml:space="preserve"> Med</w:t>
      </w:r>
      <w:r w:rsidRPr="0012795C">
        <w:rPr>
          <w:rFonts w:eastAsia="Arial" w:cs="Arial"/>
          <w:color w:val="000000"/>
        </w:rPr>
        <w:t xml:space="preserve">, </w:t>
      </w:r>
      <w:proofErr w:type="gramStart"/>
      <w:r w:rsidRPr="0012795C">
        <w:rPr>
          <w:rFonts w:eastAsia="Arial" w:cs="Arial"/>
          <w:color w:val="000000"/>
        </w:rPr>
        <w:t>55:jrm</w:t>
      </w:r>
      <w:proofErr w:type="gramEnd"/>
      <w:r w:rsidRPr="0012795C">
        <w:rPr>
          <w:rFonts w:eastAsia="Arial" w:cs="Arial"/>
          <w:color w:val="000000"/>
        </w:rPr>
        <w:t>6498.</w:t>
      </w:r>
      <w:r w:rsidRPr="0012795C">
        <w:rPr>
          <w:rFonts w:eastAsia="Arial" w:cs="Arial"/>
          <w:color w:val="0000FF"/>
          <w:u w:val="single"/>
        </w:rPr>
        <w:t xml:space="preserve"> https://doi.org/10.2340/jrm.v55.6498</w:t>
      </w:r>
    </w:p>
    <w:p w14:paraId="1436F091"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Logan B, Jegatheesan D, </w:t>
      </w:r>
      <w:proofErr w:type="spellStart"/>
      <w:r w:rsidRPr="0012795C">
        <w:rPr>
          <w:rFonts w:eastAsia="Arial" w:cs="Arial"/>
          <w:color w:val="000000"/>
        </w:rPr>
        <w:t>Viecelli</w:t>
      </w:r>
      <w:proofErr w:type="spellEnd"/>
      <w:r w:rsidRPr="0012795C">
        <w:rPr>
          <w:rFonts w:eastAsia="Arial" w:cs="Arial"/>
          <w:color w:val="000000"/>
        </w:rPr>
        <w:t xml:space="preserve"> A, Pascoe E, Hubbard R. (2022). Goal attainment scaling as an outcome measure for randomised controlled trials: a scoping review. </w:t>
      </w:r>
      <w:r w:rsidRPr="0012795C">
        <w:rPr>
          <w:rFonts w:eastAsia="Arial" w:cs="Arial"/>
          <w:i/>
          <w:color w:val="000000"/>
        </w:rPr>
        <w:t>BMJ Open</w:t>
      </w:r>
      <w:r w:rsidRPr="0012795C">
        <w:rPr>
          <w:rFonts w:eastAsia="Arial" w:cs="Arial"/>
          <w:color w:val="000000"/>
        </w:rPr>
        <w:t>, 12(7</w:t>
      </w:r>
      <w:proofErr w:type="gramStart"/>
      <w:r w:rsidRPr="0012795C">
        <w:rPr>
          <w:rFonts w:eastAsia="Arial" w:cs="Arial"/>
          <w:color w:val="000000"/>
        </w:rPr>
        <w:t>):e</w:t>
      </w:r>
      <w:proofErr w:type="gramEnd"/>
      <w:r w:rsidRPr="0012795C">
        <w:rPr>
          <w:rFonts w:eastAsia="Arial" w:cs="Arial"/>
          <w:color w:val="000000"/>
        </w:rPr>
        <w:t>063061.</w:t>
      </w:r>
      <w:r w:rsidRPr="0012795C">
        <w:rPr>
          <w:rFonts w:eastAsia="Arial" w:cs="Arial"/>
          <w:color w:val="0000FF"/>
          <w:u w:val="single"/>
        </w:rPr>
        <w:t xml:space="preserve"> https://doi.org/10.1136/bmjopen-2022-063061</w:t>
      </w:r>
    </w:p>
    <w:p w14:paraId="1AB79C6E"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Shankar, S., Marshall, S., &amp; Zumbo, B. (2020). A Systematic Review of Validation Practices for the Goal Attainment Scaling </w:t>
      </w:r>
      <w:proofErr w:type="gramStart"/>
      <w:r w:rsidRPr="0012795C">
        <w:rPr>
          <w:rFonts w:eastAsia="Arial" w:cs="Arial"/>
          <w:color w:val="000000"/>
        </w:rPr>
        <w:t>Measure..</w:t>
      </w:r>
      <w:proofErr w:type="gramEnd"/>
      <w:r w:rsidRPr="0012795C">
        <w:rPr>
          <w:rFonts w:eastAsia="Arial" w:cs="Arial"/>
          <w:color w:val="000000"/>
        </w:rPr>
        <w:t xml:space="preserve"> </w:t>
      </w:r>
      <w:r w:rsidRPr="0012795C">
        <w:rPr>
          <w:rFonts w:eastAsia="Arial" w:cs="Arial"/>
          <w:i/>
          <w:color w:val="000000"/>
        </w:rPr>
        <w:t>Journal of Psychoeducational Assessment</w:t>
      </w:r>
      <w:r w:rsidRPr="0012795C">
        <w:rPr>
          <w:rFonts w:eastAsia="Arial" w:cs="Arial"/>
          <w:color w:val="000000"/>
        </w:rPr>
        <w:t>, 38(2), 236-255.</w:t>
      </w:r>
      <w:r w:rsidRPr="0012795C">
        <w:rPr>
          <w:rFonts w:eastAsia="Arial" w:cs="Arial"/>
          <w:color w:val="0000FF"/>
          <w:u w:val="single"/>
        </w:rPr>
        <w:t xml:space="preserve"> https://doi.org/10.1177/0734282919840948</w:t>
      </w:r>
    </w:p>
    <w:p w14:paraId="10F8F2D1"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Harpster K, Sheehan A, Foster EA, Leffler E, Schwab SM, Angeli JM. (2019). The methodological application of goal attainment scaling in </w:t>
      </w:r>
      <w:proofErr w:type="spellStart"/>
      <w:r w:rsidRPr="0012795C">
        <w:rPr>
          <w:rFonts w:eastAsia="Arial" w:cs="Arial"/>
          <w:color w:val="000000"/>
        </w:rPr>
        <w:t>pediatric</w:t>
      </w:r>
      <w:proofErr w:type="spellEnd"/>
      <w:r w:rsidRPr="0012795C">
        <w:rPr>
          <w:rFonts w:eastAsia="Arial" w:cs="Arial"/>
          <w:color w:val="000000"/>
        </w:rPr>
        <w:t xml:space="preserve"> rehabilitation research: a systematic review. </w:t>
      </w:r>
      <w:proofErr w:type="spellStart"/>
      <w:r w:rsidRPr="0012795C">
        <w:rPr>
          <w:rFonts w:eastAsia="Arial" w:cs="Arial"/>
          <w:i/>
          <w:color w:val="000000"/>
        </w:rPr>
        <w:t>Disabil</w:t>
      </w:r>
      <w:proofErr w:type="spellEnd"/>
      <w:r w:rsidRPr="0012795C">
        <w:rPr>
          <w:rFonts w:eastAsia="Arial" w:cs="Arial"/>
          <w:i/>
          <w:color w:val="000000"/>
        </w:rPr>
        <w:t xml:space="preserve"> </w:t>
      </w:r>
      <w:proofErr w:type="spellStart"/>
      <w:r w:rsidRPr="0012795C">
        <w:rPr>
          <w:rFonts w:eastAsia="Arial" w:cs="Arial"/>
          <w:i/>
          <w:color w:val="000000"/>
        </w:rPr>
        <w:t>Rehabil</w:t>
      </w:r>
      <w:proofErr w:type="spellEnd"/>
      <w:r w:rsidRPr="0012795C">
        <w:rPr>
          <w:rFonts w:eastAsia="Arial" w:cs="Arial"/>
          <w:color w:val="000000"/>
        </w:rPr>
        <w:t>, 41(24):2855-2864.</w:t>
      </w:r>
      <w:r w:rsidRPr="0012795C">
        <w:rPr>
          <w:rFonts w:eastAsia="Arial" w:cs="Arial"/>
          <w:color w:val="0000FF"/>
          <w:u w:val="single"/>
        </w:rPr>
        <w:t xml:space="preserve"> https://doi.org/10.1080/09638288.2018.1474952</w:t>
      </w:r>
    </w:p>
    <w:p w14:paraId="39880103"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Calder S, Ward R, Jones M, Johnston J, Claessen M. (2018). The uses of outcome measures within multidisciplinary early childhood intervention services: a systematic review. </w:t>
      </w:r>
      <w:proofErr w:type="spellStart"/>
      <w:r w:rsidRPr="0012795C">
        <w:rPr>
          <w:rFonts w:eastAsia="Arial" w:cs="Arial"/>
          <w:i/>
          <w:color w:val="000000"/>
        </w:rPr>
        <w:t>Disabil</w:t>
      </w:r>
      <w:proofErr w:type="spellEnd"/>
      <w:r w:rsidRPr="0012795C">
        <w:rPr>
          <w:rFonts w:eastAsia="Arial" w:cs="Arial"/>
          <w:i/>
          <w:color w:val="000000"/>
        </w:rPr>
        <w:t xml:space="preserve"> </w:t>
      </w:r>
      <w:proofErr w:type="spellStart"/>
      <w:r w:rsidRPr="0012795C">
        <w:rPr>
          <w:rFonts w:eastAsia="Arial" w:cs="Arial"/>
          <w:i/>
          <w:color w:val="000000"/>
        </w:rPr>
        <w:t>Rehabil</w:t>
      </w:r>
      <w:proofErr w:type="spellEnd"/>
      <w:r w:rsidRPr="0012795C">
        <w:rPr>
          <w:rFonts w:eastAsia="Arial" w:cs="Arial"/>
          <w:color w:val="000000"/>
        </w:rPr>
        <w:t>, 40(22):2599-2622.</w:t>
      </w:r>
      <w:r w:rsidRPr="0012795C">
        <w:rPr>
          <w:rFonts w:eastAsia="Arial" w:cs="Arial"/>
          <w:color w:val="0000FF"/>
          <w:u w:val="single"/>
        </w:rPr>
        <w:t xml:space="preserve"> https://doi.org/10.1080/09638288.2017.1353144</w:t>
      </w:r>
    </w:p>
    <w:p w14:paraId="319B95B3"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Gaasterland CM, Jansen-van der Weide MC, Weinreich SS, van der Lee JH. (2016). A systematic review to investigate the measurement properties of goal attainment scaling, towards use in drug trials. </w:t>
      </w:r>
      <w:r w:rsidRPr="0012795C">
        <w:rPr>
          <w:rFonts w:eastAsia="Arial" w:cs="Arial"/>
          <w:i/>
          <w:color w:val="000000"/>
        </w:rPr>
        <w:t xml:space="preserve">BMC Med Res </w:t>
      </w:r>
      <w:proofErr w:type="spellStart"/>
      <w:r w:rsidRPr="0012795C">
        <w:rPr>
          <w:rFonts w:eastAsia="Arial" w:cs="Arial"/>
          <w:i/>
          <w:color w:val="000000"/>
        </w:rPr>
        <w:t>Methodol</w:t>
      </w:r>
      <w:proofErr w:type="spellEnd"/>
      <w:r w:rsidRPr="0012795C">
        <w:rPr>
          <w:rFonts w:eastAsia="Arial" w:cs="Arial"/>
          <w:color w:val="000000"/>
        </w:rPr>
        <w:t>, 16:99.</w:t>
      </w:r>
      <w:r w:rsidRPr="0012795C">
        <w:rPr>
          <w:rFonts w:eastAsia="Arial" w:cs="Arial"/>
          <w:color w:val="0000FF"/>
          <w:u w:val="single"/>
        </w:rPr>
        <w:t xml:space="preserve"> https://doi.org/10.1186/s12874-016-0205-4</w:t>
      </w:r>
    </w:p>
    <w:p w14:paraId="38CAC40D"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Krasny-Pacini A, Hiebel J, Pauly F, Godon S, </w:t>
      </w:r>
      <w:proofErr w:type="spellStart"/>
      <w:r w:rsidRPr="0012795C">
        <w:rPr>
          <w:rFonts w:eastAsia="Arial" w:cs="Arial"/>
          <w:color w:val="000000"/>
        </w:rPr>
        <w:t>Chevignard</w:t>
      </w:r>
      <w:proofErr w:type="spellEnd"/>
      <w:r w:rsidRPr="0012795C">
        <w:rPr>
          <w:rFonts w:eastAsia="Arial" w:cs="Arial"/>
          <w:color w:val="000000"/>
        </w:rPr>
        <w:t xml:space="preserve"> M. (2013). Goal attainment scaling in rehabilitation: a literature-based update. </w:t>
      </w:r>
      <w:r w:rsidRPr="0012795C">
        <w:rPr>
          <w:rFonts w:eastAsia="Arial" w:cs="Arial"/>
          <w:i/>
          <w:color w:val="000000"/>
        </w:rPr>
        <w:t>Ann Phys Rehabil Med</w:t>
      </w:r>
      <w:r w:rsidRPr="0012795C">
        <w:rPr>
          <w:rFonts w:eastAsia="Arial" w:cs="Arial"/>
          <w:color w:val="000000"/>
        </w:rPr>
        <w:t>, 56(3):212-30.</w:t>
      </w:r>
      <w:r w:rsidRPr="0012795C">
        <w:rPr>
          <w:rFonts w:eastAsia="Arial" w:cs="Arial"/>
          <w:color w:val="0000FF"/>
          <w:u w:val="single"/>
        </w:rPr>
        <w:t xml:space="preserve"> https://doi.org/10.1016/j.rehab.2013.02.002</w:t>
      </w:r>
    </w:p>
    <w:p w14:paraId="55D00043"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12795C">
        <w:rPr>
          <w:rFonts w:eastAsia="Arial" w:cs="Arial"/>
          <w:color w:val="000000"/>
        </w:rPr>
        <w:t>Sakzewski</w:t>
      </w:r>
      <w:proofErr w:type="spellEnd"/>
      <w:r w:rsidRPr="0012795C">
        <w:rPr>
          <w:rFonts w:eastAsia="Arial" w:cs="Arial"/>
          <w:color w:val="000000"/>
        </w:rPr>
        <w:t xml:space="preserve"> L, Boyd R, Ziviani J. (2007). </w:t>
      </w:r>
      <w:proofErr w:type="spellStart"/>
      <w:r w:rsidRPr="0012795C">
        <w:rPr>
          <w:rFonts w:eastAsia="Arial" w:cs="Arial"/>
          <w:color w:val="000000"/>
        </w:rPr>
        <w:t>Clinimetric</w:t>
      </w:r>
      <w:proofErr w:type="spellEnd"/>
      <w:r w:rsidRPr="0012795C">
        <w:rPr>
          <w:rFonts w:eastAsia="Arial" w:cs="Arial"/>
          <w:color w:val="000000"/>
        </w:rPr>
        <w:t xml:space="preserve"> properties of participation measures for 5- to 13-year-old children with cerebral palsy: a systematic review. </w:t>
      </w:r>
      <w:r w:rsidRPr="0012795C">
        <w:rPr>
          <w:rFonts w:eastAsia="Arial" w:cs="Arial"/>
          <w:i/>
          <w:color w:val="000000"/>
        </w:rPr>
        <w:t>Dev Med Child Neurol</w:t>
      </w:r>
      <w:r w:rsidRPr="0012795C">
        <w:rPr>
          <w:rFonts w:eastAsia="Arial" w:cs="Arial"/>
          <w:color w:val="000000"/>
        </w:rPr>
        <w:t>, 49(3):232-40.</w:t>
      </w:r>
      <w:r w:rsidRPr="0012795C">
        <w:rPr>
          <w:rFonts w:eastAsia="Arial" w:cs="Arial"/>
          <w:color w:val="0000FF"/>
          <w:u w:val="single"/>
        </w:rPr>
        <w:t xml:space="preserve"> https://doi.org/10.1111/j.1469-8749.2007.00232.x</w:t>
      </w:r>
    </w:p>
    <w:p w14:paraId="27A6E681"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12795C">
        <w:rPr>
          <w:rFonts w:eastAsia="Arial" w:cs="Arial"/>
          <w:color w:val="000000"/>
        </w:rPr>
        <w:lastRenderedPageBreak/>
        <w:t>Steenbeek</w:t>
      </w:r>
      <w:proofErr w:type="spellEnd"/>
      <w:r w:rsidRPr="0012795C">
        <w:rPr>
          <w:rFonts w:eastAsia="Arial" w:cs="Arial"/>
          <w:color w:val="000000"/>
        </w:rPr>
        <w:t xml:space="preserve"> D, Ketelaar M, Galama K, Gorter JW. (2007). Goal attainment scaling in paediatric rehabilitation: a critical review of the literature. </w:t>
      </w:r>
      <w:r w:rsidRPr="0012795C">
        <w:rPr>
          <w:rFonts w:eastAsia="Arial" w:cs="Arial"/>
          <w:i/>
          <w:color w:val="000000"/>
        </w:rPr>
        <w:t>Dev Med Child Neurol</w:t>
      </w:r>
      <w:r w:rsidRPr="0012795C">
        <w:rPr>
          <w:rFonts w:eastAsia="Arial" w:cs="Arial"/>
          <w:color w:val="000000"/>
        </w:rPr>
        <w:t>, 49(7):550-6.</w:t>
      </w:r>
      <w:r w:rsidRPr="0012795C">
        <w:rPr>
          <w:rFonts w:eastAsia="Arial" w:cs="Arial"/>
          <w:color w:val="0000FF"/>
          <w:u w:val="single"/>
        </w:rPr>
        <w:t xml:space="preserve"> https://doi.org/10.1111/j.1469-8749.2007.00550.x</w:t>
      </w:r>
    </w:p>
    <w:p w14:paraId="48E5A660"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Schlosser RW. (2004). Goal attainment scaling as a clinical measurement technique in communication disorders: a critical review. </w:t>
      </w:r>
      <w:r w:rsidRPr="0012795C">
        <w:rPr>
          <w:rFonts w:eastAsia="Arial" w:cs="Arial"/>
          <w:i/>
          <w:color w:val="000000"/>
        </w:rPr>
        <w:t>J Commun Disord</w:t>
      </w:r>
      <w:r w:rsidRPr="0012795C">
        <w:rPr>
          <w:rFonts w:eastAsia="Arial" w:cs="Arial"/>
          <w:color w:val="000000"/>
        </w:rPr>
        <w:t>, 37(3):217-39.</w:t>
      </w:r>
      <w:r w:rsidRPr="0012795C">
        <w:rPr>
          <w:rFonts w:eastAsia="Arial" w:cs="Arial"/>
          <w:color w:val="0000FF"/>
          <w:u w:val="single"/>
        </w:rPr>
        <w:t xml:space="preserve"> https://doi.org/10.1016/j.jcomdis.2003.09.003</w:t>
      </w:r>
    </w:p>
    <w:p w14:paraId="2D2C7D9A"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Donnelly C, Carswell A. (2002). Individualized outcome measures: a review of the literature. </w:t>
      </w:r>
      <w:r w:rsidRPr="0012795C">
        <w:rPr>
          <w:rFonts w:eastAsia="Arial" w:cs="Arial"/>
          <w:i/>
          <w:color w:val="000000"/>
        </w:rPr>
        <w:t xml:space="preserve">Can J </w:t>
      </w:r>
      <w:proofErr w:type="spellStart"/>
      <w:r w:rsidRPr="0012795C">
        <w:rPr>
          <w:rFonts w:eastAsia="Arial" w:cs="Arial"/>
          <w:i/>
          <w:color w:val="000000"/>
        </w:rPr>
        <w:t>Occup</w:t>
      </w:r>
      <w:proofErr w:type="spellEnd"/>
      <w:r w:rsidRPr="0012795C">
        <w:rPr>
          <w:rFonts w:eastAsia="Arial" w:cs="Arial"/>
          <w:i/>
          <w:color w:val="000000"/>
        </w:rPr>
        <w:t xml:space="preserve"> Ther</w:t>
      </w:r>
      <w:r w:rsidRPr="0012795C">
        <w:rPr>
          <w:rFonts w:eastAsia="Arial" w:cs="Arial"/>
          <w:color w:val="000000"/>
        </w:rPr>
        <w:t>, 69(2):84-94.</w:t>
      </w:r>
      <w:r w:rsidRPr="0012795C">
        <w:rPr>
          <w:rFonts w:eastAsia="Arial" w:cs="Arial"/>
          <w:color w:val="0000FF"/>
          <w:u w:val="single"/>
        </w:rPr>
        <w:t xml:space="preserve"> https://doi.org/10.1177/000841740206900204</w:t>
      </w:r>
    </w:p>
    <w:p w14:paraId="1EDB56C9" w14:textId="77777777" w:rsidR="0012795C" w:rsidRPr="0012795C" w:rsidRDefault="0012795C" w:rsidP="00C75AE3">
      <w:pPr>
        <w:pStyle w:val="Heading2"/>
      </w:pPr>
      <w:r w:rsidRPr="0012795C">
        <w:t>Measurement Properties</w:t>
      </w:r>
    </w:p>
    <w:p w14:paraId="5F9D2EB1"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12795C">
        <w:rPr>
          <w:rFonts w:eastAsia="Arial" w:cs="Arial"/>
          <w:color w:val="000000"/>
        </w:rPr>
        <w:t>Pradeau</w:t>
      </w:r>
      <w:proofErr w:type="spellEnd"/>
      <w:r w:rsidRPr="0012795C">
        <w:rPr>
          <w:rFonts w:eastAsia="Arial" w:cs="Arial"/>
          <w:color w:val="000000"/>
        </w:rPr>
        <w:t xml:space="preserve"> C, </w:t>
      </w:r>
      <w:proofErr w:type="spellStart"/>
      <w:r w:rsidRPr="0012795C">
        <w:rPr>
          <w:rFonts w:eastAsia="Arial" w:cs="Arial"/>
          <w:color w:val="000000"/>
        </w:rPr>
        <w:t>Estival</w:t>
      </w:r>
      <w:proofErr w:type="spellEnd"/>
      <w:r w:rsidRPr="0012795C">
        <w:rPr>
          <w:rFonts w:eastAsia="Arial" w:cs="Arial"/>
          <w:color w:val="000000"/>
        </w:rPr>
        <w:t xml:space="preserve"> S, Postal V, Laurier V, </w:t>
      </w:r>
      <w:proofErr w:type="spellStart"/>
      <w:r w:rsidRPr="0012795C">
        <w:rPr>
          <w:rFonts w:eastAsia="Arial" w:cs="Arial"/>
          <w:color w:val="000000"/>
        </w:rPr>
        <w:t>Maugard</w:t>
      </w:r>
      <w:proofErr w:type="spellEnd"/>
      <w:r w:rsidRPr="0012795C">
        <w:rPr>
          <w:rFonts w:eastAsia="Arial" w:cs="Arial"/>
          <w:color w:val="000000"/>
        </w:rPr>
        <w:t xml:space="preserve"> C, Isner-</w:t>
      </w:r>
      <w:proofErr w:type="spellStart"/>
      <w:r w:rsidRPr="0012795C">
        <w:rPr>
          <w:rFonts w:eastAsia="Arial" w:cs="Arial"/>
          <w:color w:val="000000"/>
        </w:rPr>
        <w:t>Horobeti</w:t>
      </w:r>
      <w:proofErr w:type="spellEnd"/>
      <w:r w:rsidRPr="0012795C">
        <w:rPr>
          <w:rFonts w:eastAsia="Arial" w:cs="Arial"/>
          <w:color w:val="000000"/>
        </w:rPr>
        <w:t xml:space="preserve"> ME, Mourre F, Krasny-Pacini A. (2025). A pilot rating system to evaluate the quality of goal attainment scales used as outcome measures in rehabilitation. </w:t>
      </w:r>
      <w:proofErr w:type="spellStart"/>
      <w:r w:rsidRPr="0012795C">
        <w:rPr>
          <w:rFonts w:eastAsia="Arial" w:cs="Arial"/>
          <w:i/>
          <w:color w:val="000000"/>
        </w:rPr>
        <w:t>Neuropsychol</w:t>
      </w:r>
      <w:proofErr w:type="spellEnd"/>
      <w:r w:rsidRPr="0012795C">
        <w:rPr>
          <w:rFonts w:eastAsia="Arial" w:cs="Arial"/>
          <w:i/>
          <w:color w:val="000000"/>
        </w:rPr>
        <w:t xml:space="preserve"> </w:t>
      </w:r>
      <w:proofErr w:type="spellStart"/>
      <w:r w:rsidRPr="0012795C">
        <w:rPr>
          <w:rFonts w:eastAsia="Arial" w:cs="Arial"/>
          <w:i/>
          <w:color w:val="000000"/>
        </w:rPr>
        <w:t>Rehabil</w:t>
      </w:r>
      <w:proofErr w:type="spellEnd"/>
      <w:r w:rsidRPr="0012795C">
        <w:rPr>
          <w:rFonts w:eastAsia="Arial" w:cs="Arial"/>
          <w:color w:val="000000"/>
        </w:rPr>
        <w:t>, 35(3):441-472.</w:t>
      </w:r>
      <w:r w:rsidRPr="0012795C">
        <w:rPr>
          <w:rFonts w:eastAsia="Arial" w:cs="Arial"/>
          <w:color w:val="0000FF"/>
          <w:u w:val="single"/>
        </w:rPr>
        <w:t xml:space="preserve"> https://doi.org/10.1080/09602011.2024.2343150</w:t>
      </w:r>
    </w:p>
    <w:p w14:paraId="2C1515B1"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Pike, S., Cusick, A., Turner-Stokes, L., </w:t>
      </w:r>
      <w:proofErr w:type="spellStart"/>
      <w:r w:rsidRPr="0012795C">
        <w:rPr>
          <w:rFonts w:eastAsia="Arial" w:cs="Arial"/>
          <w:color w:val="000000"/>
        </w:rPr>
        <w:t>Giummarra</w:t>
      </w:r>
      <w:proofErr w:type="spellEnd"/>
      <w:r w:rsidRPr="0012795C">
        <w:rPr>
          <w:rFonts w:eastAsia="Arial" w:cs="Arial"/>
          <w:color w:val="000000"/>
        </w:rPr>
        <w:t xml:space="preserve">, M., Chen, Z., Buckley, D., Han, M., &amp; Lannin, N. (2024). Comparison of standard goal attainment scaling (GAS) and the GAS-light method for evaluation of goal attainment during neurorehabilitation of the upper </w:t>
      </w:r>
      <w:proofErr w:type="gramStart"/>
      <w:r w:rsidRPr="0012795C">
        <w:rPr>
          <w:rFonts w:eastAsia="Arial" w:cs="Arial"/>
          <w:color w:val="000000"/>
        </w:rPr>
        <w:t>limb..</w:t>
      </w:r>
      <w:proofErr w:type="gramEnd"/>
      <w:r w:rsidRPr="0012795C">
        <w:rPr>
          <w:rFonts w:eastAsia="Arial" w:cs="Arial"/>
          <w:color w:val="000000"/>
        </w:rPr>
        <w:t xml:space="preserve"> </w:t>
      </w:r>
      <w:r w:rsidRPr="0012795C">
        <w:rPr>
          <w:rFonts w:eastAsia="Arial" w:cs="Arial"/>
          <w:i/>
          <w:color w:val="000000"/>
        </w:rPr>
        <w:t>The Journal of the International Society of Physical and Rehabilitation Medicine.</w:t>
      </w:r>
      <w:r w:rsidRPr="0012795C">
        <w:rPr>
          <w:rFonts w:eastAsia="Arial" w:cs="Arial"/>
          <w:color w:val="000000"/>
        </w:rPr>
        <w:t>, 7(1):15-23.</w:t>
      </w:r>
      <w:r w:rsidRPr="0012795C">
        <w:rPr>
          <w:rFonts w:eastAsia="Arial" w:cs="Arial"/>
          <w:color w:val="0000FF"/>
          <w:u w:val="single"/>
        </w:rPr>
        <w:t xml:space="preserve"> https://doi.org/10.1097/ph9.0000000000000028</w:t>
      </w:r>
    </w:p>
    <w:p w14:paraId="3FEDF587"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May-Benson, T., Schoen, S., Teasdale, A., &amp; </w:t>
      </w:r>
      <w:proofErr w:type="spellStart"/>
      <w:r w:rsidRPr="0012795C">
        <w:rPr>
          <w:rFonts w:eastAsia="Arial" w:cs="Arial"/>
          <w:color w:val="000000"/>
        </w:rPr>
        <w:t>Koomar</w:t>
      </w:r>
      <w:proofErr w:type="spellEnd"/>
      <w:r w:rsidRPr="0012795C">
        <w:rPr>
          <w:rFonts w:eastAsia="Arial" w:cs="Arial"/>
          <w:color w:val="000000"/>
        </w:rPr>
        <w:t xml:space="preserve">, J. (2021). Inter-Rater Reliability of Goal Attainment Scaling with Children with Sensory Processing </w:t>
      </w:r>
      <w:proofErr w:type="gramStart"/>
      <w:r w:rsidRPr="0012795C">
        <w:rPr>
          <w:rFonts w:eastAsia="Arial" w:cs="Arial"/>
          <w:color w:val="000000"/>
        </w:rPr>
        <w:t>Disorder..</w:t>
      </w:r>
      <w:proofErr w:type="gramEnd"/>
      <w:r w:rsidRPr="0012795C">
        <w:rPr>
          <w:rFonts w:eastAsia="Arial" w:cs="Arial"/>
          <w:color w:val="000000"/>
        </w:rPr>
        <w:t xml:space="preserve"> </w:t>
      </w:r>
      <w:r w:rsidRPr="0012795C">
        <w:rPr>
          <w:rFonts w:eastAsia="Arial" w:cs="Arial"/>
          <w:i/>
          <w:color w:val="000000"/>
        </w:rPr>
        <w:t>The Open Journal of Occupational Therapy.</w:t>
      </w:r>
      <w:r w:rsidRPr="0012795C">
        <w:rPr>
          <w:rFonts w:eastAsia="Arial" w:cs="Arial"/>
          <w:color w:val="000000"/>
        </w:rPr>
        <w:t xml:space="preserve">, </w:t>
      </w:r>
      <w:r w:rsidRPr="0012795C">
        <w:rPr>
          <w:rFonts w:eastAsia="Arial" w:cs="Arial"/>
          <w:i/>
          <w:iCs/>
          <w:color w:val="000000"/>
        </w:rPr>
        <w:t>9</w:t>
      </w:r>
      <w:r w:rsidRPr="0012795C">
        <w:rPr>
          <w:rFonts w:eastAsia="Arial" w:cs="Arial"/>
          <w:color w:val="000000"/>
        </w:rPr>
        <w:t>(1):1-13.</w:t>
      </w:r>
      <w:r w:rsidRPr="0012795C">
        <w:rPr>
          <w:rFonts w:eastAsia="Arial" w:cs="Arial"/>
          <w:color w:val="0000FF"/>
          <w:u w:val="single"/>
        </w:rPr>
        <w:t xml:space="preserve"> https://doi.org/10.15453/2168-6408.1693</w:t>
      </w:r>
    </w:p>
    <w:p w14:paraId="26F107CC"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Ruble L, McGrew JH, Toland MD. (2012). Goal attainment scaling as an outcome measure in randomized controlled trials of psychosocial interventions in autism. </w:t>
      </w:r>
      <w:r w:rsidRPr="0012795C">
        <w:rPr>
          <w:rFonts w:eastAsia="Arial" w:cs="Arial"/>
          <w:i/>
          <w:color w:val="000000"/>
        </w:rPr>
        <w:t xml:space="preserve">J Autism Dev </w:t>
      </w:r>
      <w:proofErr w:type="spellStart"/>
      <w:r w:rsidRPr="0012795C">
        <w:rPr>
          <w:rFonts w:eastAsia="Arial" w:cs="Arial"/>
          <w:i/>
          <w:color w:val="000000"/>
        </w:rPr>
        <w:t>Disord</w:t>
      </w:r>
      <w:proofErr w:type="spellEnd"/>
      <w:r w:rsidRPr="0012795C">
        <w:rPr>
          <w:rFonts w:eastAsia="Arial" w:cs="Arial"/>
          <w:color w:val="000000"/>
        </w:rPr>
        <w:t>, 42(9):1974-83.</w:t>
      </w:r>
      <w:r w:rsidRPr="0012795C">
        <w:rPr>
          <w:rFonts w:eastAsia="Arial" w:cs="Arial"/>
          <w:color w:val="0000FF"/>
          <w:u w:val="single"/>
        </w:rPr>
        <w:t xml:space="preserve"> https://doi.org/10.1007/s10803-012-1446-7</w:t>
      </w:r>
    </w:p>
    <w:p w14:paraId="07C4E917"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Cusick A, McIntyre S, Novak I, Lannin N, Lowe K. (2006). A comparison of goal attainment scaling and the Canadian Occupational Performance Measure for paediatric rehabilitation research. </w:t>
      </w:r>
      <w:proofErr w:type="spellStart"/>
      <w:r w:rsidRPr="0012795C">
        <w:rPr>
          <w:rFonts w:eastAsia="Arial" w:cs="Arial"/>
          <w:i/>
          <w:color w:val="000000"/>
        </w:rPr>
        <w:t>Pediatr</w:t>
      </w:r>
      <w:proofErr w:type="spellEnd"/>
      <w:r w:rsidRPr="0012795C">
        <w:rPr>
          <w:rFonts w:eastAsia="Arial" w:cs="Arial"/>
          <w:i/>
          <w:color w:val="000000"/>
        </w:rPr>
        <w:t xml:space="preserve"> Rehabil</w:t>
      </w:r>
      <w:r w:rsidRPr="0012795C">
        <w:rPr>
          <w:rFonts w:eastAsia="Arial" w:cs="Arial"/>
          <w:color w:val="000000"/>
        </w:rPr>
        <w:t>, 9(2):149-57.</w:t>
      </w:r>
      <w:r w:rsidRPr="0012795C">
        <w:rPr>
          <w:rFonts w:eastAsia="Arial" w:cs="Arial"/>
          <w:color w:val="0000FF"/>
          <w:u w:val="single"/>
        </w:rPr>
        <w:t xml:space="preserve"> https://doi.org/10.1080/13638490500235581</w:t>
      </w:r>
    </w:p>
    <w:p w14:paraId="282ED1E0"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Palisano RJ. (1993). Validity of goal attainment scaling in infants with motor delays. </w:t>
      </w:r>
      <w:r w:rsidRPr="0012795C">
        <w:rPr>
          <w:rFonts w:eastAsia="Arial" w:cs="Arial"/>
          <w:i/>
          <w:color w:val="000000"/>
        </w:rPr>
        <w:t>Phys Ther</w:t>
      </w:r>
      <w:r w:rsidRPr="0012795C">
        <w:rPr>
          <w:rFonts w:eastAsia="Arial" w:cs="Arial"/>
          <w:color w:val="000000"/>
        </w:rPr>
        <w:t>, 73(10):651-</w:t>
      </w:r>
      <w:proofErr w:type="gramStart"/>
      <w:r w:rsidRPr="0012795C">
        <w:rPr>
          <w:rFonts w:eastAsia="Arial" w:cs="Arial"/>
          <w:color w:val="000000"/>
        </w:rPr>
        <w:t>8;.</w:t>
      </w:r>
      <w:proofErr w:type="gramEnd"/>
      <w:r w:rsidRPr="0012795C">
        <w:rPr>
          <w:rFonts w:eastAsia="Arial" w:cs="Arial"/>
          <w:color w:val="0000FF"/>
          <w:u w:val="single"/>
        </w:rPr>
        <w:t xml:space="preserve"> https://doi.org/10.1093/ptj/73.10.651</w:t>
      </w:r>
    </w:p>
    <w:p w14:paraId="273652E5"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Palisano RJ, Haley SM, Brown DA. (1992). Goal attainment scaling as a measure of change in infants with motor delays. </w:t>
      </w:r>
      <w:r w:rsidRPr="0012795C">
        <w:rPr>
          <w:rFonts w:eastAsia="Arial" w:cs="Arial"/>
          <w:i/>
          <w:color w:val="000000"/>
        </w:rPr>
        <w:t>Phys Ther</w:t>
      </w:r>
      <w:r w:rsidRPr="0012795C">
        <w:rPr>
          <w:rFonts w:eastAsia="Arial" w:cs="Arial"/>
          <w:color w:val="000000"/>
        </w:rPr>
        <w:t>, 72(6):432-7.</w:t>
      </w:r>
      <w:r w:rsidRPr="0012795C">
        <w:rPr>
          <w:rFonts w:eastAsia="Arial" w:cs="Arial"/>
          <w:color w:val="0000FF"/>
          <w:u w:val="single"/>
        </w:rPr>
        <w:t xml:space="preserve"> https://doi.org/10.1093/ptj/72.6.432</w:t>
      </w:r>
    </w:p>
    <w:p w14:paraId="6A16F0D5" w14:textId="77777777" w:rsidR="0012795C" w:rsidRPr="0012795C" w:rsidRDefault="0012795C" w:rsidP="00C75AE3">
      <w:pPr>
        <w:pStyle w:val="Heading2"/>
      </w:pPr>
      <w:r w:rsidRPr="0012795C">
        <w:lastRenderedPageBreak/>
        <w:t>Cultural Adaptations</w:t>
      </w:r>
    </w:p>
    <w:p w14:paraId="6E52AE47"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Kang LJ, Huang HH, Wu YT, Chen CL. (2024). Initial evaluation of an environment-based intervention for participation of autistic children: a randomized controlled trial. </w:t>
      </w:r>
      <w:proofErr w:type="spellStart"/>
      <w:r w:rsidRPr="0012795C">
        <w:rPr>
          <w:rFonts w:eastAsia="Arial" w:cs="Arial"/>
          <w:i/>
          <w:color w:val="000000"/>
        </w:rPr>
        <w:t>Disabil</w:t>
      </w:r>
      <w:proofErr w:type="spellEnd"/>
      <w:r w:rsidRPr="0012795C">
        <w:rPr>
          <w:rFonts w:eastAsia="Arial" w:cs="Arial"/>
          <w:i/>
          <w:color w:val="000000"/>
        </w:rPr>
        <w:t xml:space="preserve"> </w:t>
      </w:r>
      <w:proofErr w:type="spellStart"/>
      <w:r w:rsidRPr="0012795C">
        <w:rPr>
          <w:rFonts w:eastAsia="Arial" w:cs="Arial"/>
          <w:i/>
          <w:color w:val="000000"/>
        </w:rPr>
        <w:t>Rehabil</w:t>
      </w:r>
      <w:proofErr w:type="spellEnd"/>
      <w:r w:rsidRPr="0012795C">
        <w:rPr>
          <w:rFonts w:eastAsia="Arial" w:cs="Arial"/>
          <w:color w:val="000000"/>
        </w:rPr>
        <w:t>, 46(9):1851-1861.</w:t>
      </w:r>
      <w:r w:rsidRPr="0012795C">
        <w:rPr>
          <w:rFonts w:eastAsia="Arial" w:cs="Arial"/>
          <w:color w:val="0000FF"/>
          <w:u w:val="single"/>
        </w:rPr>
        <w:t xml:space="preserve"> https://doi.org/10.1080/09638288.2023.2209743</w:t>
      </w:r>
    </w:p>
    <w:p w14:paraId="74F4B966"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Ko EJ, Sung IY, Yuk JS, Jang DH, Yun G. (2020). A tablet computer-based cognitive training program for young children with cognitive impairment: A randomized controlled trial. </w:t>
      </w:r>
      <w:r w:rsidRPr="0012795C">
        <w:rPr>
          <w:rFonts w:eastAsia="Arial" w:cs="Arial"/>
          <w:i/>
          <w:color w:val="000000"/>
        </w:rPr>
        <w:t>Medicine (Baltimore)</w:t>
      </w:r>
      <w:r w:rsidRPr="0012795C">
        <w:rPr>
          <w:rFonts w:eastAsia="Arial" w:cs="Arial"/>
          <w:color w:val="000000"/>
        </w:rPr>
        <w:t>, 99(12</w:t>
      </w:r>
      <w:proofErr w:type="gramStart"/>
      <w:r w:rsidRPr="0012795C">
        <w:rPr>
          <w:rFonts w:eastAsia="Arial" w:cs="Arial"/>
          <w:color w:val="000000"/>
        </w:rPr>
        <w:t>):e</w:t>
      </w:r>
      <w:proofErr w:type="gramEnd"/>
      <w:r w:rsidRPr="0012795C">
        <w:rPr>
          <w:rFonts w:eastAsia="Arial" w:cs="Arial"/>
          <w:color w:val="000000"/>
        </w:rPr>
        <w:t>19549.</w:t>
      </w:r>
      <w:r w:rsidRPr="0012795C">
        <w:rPr>
          <w:rFonts w:eastAsia="Arial" w:cs="Arial"/>
          <w:color w:val="0000FF"/>
          <w:u w:val="single"/>
        </w:rPr>
        <w:t xml:space="preserve"> https://doi.org/10.1097/MD.0000000000019549</w:t>
      </w:r>
    </w:p>
    <w:p w14:paraId="6B797590"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Krasny-Pacini A, Pauly F, Hiebel J, Godon S, Isner-</w:t>
      </w:r>
      <w:proofErr w:type="spellStart"/>
      <w:r w:rsidRPr="0012795C">
        <w:rPr>
          <w:rFonts w:eastAsia="Arial" w:cs="Arial"/>
          <w:color w:val="000000"/>
        </w:rPr>
        <w:t>Horobeti</w:t>
      </w:r>
      <w:proofErr w:type="spellEnd"/>
      <w:r w:rsidRPr="0012795C">
        <w:rPr>
          <w:rFonts w:eastAsia="Arial" w:cs="Arial"/>
          <w:color w:val="000000"/>
        </w:rPr>
        <w:t xml:space="preserve"> ME, </w:t>
      </w:r>
      <w:proofErr w:type="spellStart"/>
      <w:r w:rsidRPr="0012795C">
        <w:rPr>
          <w:rFonts w:eastAsia="Arial" w:cs="Arial"/>
          <w:color w:val="000000"/>
        </w:rPr>
        <w:t>Chevignard</w:t>
      </w:r>
      <w:proofErr w:type="spellEnd"/>
      <w:r w:rsidRPr="0012795C">
        <w:rPr>
          <w:rFonts w:eastAsia="Arial" w:cs="Arial"/>
          <w:color w:val="000000"/>
        </w:rPr>
        <w:t xml:space="preserve"> M. (2017). Feasibility of a shorter Goal Attainment Scaling method for a </w:t>
      </w:r>
      <w:proofErr w:type="spellStart"/>
      <w:r w:rsidRPr="0012795C">
        <w:rPr>
          <w:rFonts w:eastAsia="Arial" w:cs="Arial"/>
          <w:color w:val="000000"/>
        </w:rPr>
        <w:t>pediatric</w:t>
      </w:r>
      <w:proofErr w:type="spellEnd"/>
      <w:r w:rsidRPr="0012795C">
        <w:rPr>
          <w:rFonts w:eastAsia="Arial" w:cs="Arial"/>
          <w:color w:val="000000"/>
        </w:rPr>
        <w:t xml:space="preserve"> spasticity clinic - The 3-milestones GAS. </w:t>
      </w:r>
      <w:r w:rsidRPr="0012795C">
        <w:rPr>
          <w:rFonts w:eastAsia="Arial" w:cs="Arial"/>
          <w:i/>
          <w:color w:val="000000"/>
        </w:rPr>
        <w:t>Ann Phys Rehabil Med</w:t>
      </w:r>
      <w:r w:rsidRPr="0012795C">
        <w:rPr>
          <w:rFonts w:eastAsia="Arial" w:cs="Arial"/>
          <w:color w:val="000000"/>
        </w:rPr>
        <w:t>, 60(4):249-257.</w:t>
      </w:r>
      <w:r w:rsidRPr="0012795C">
        <w:rPr>
          <w:rFonts w:eastAsia="Arial" w:cs="Arial"/>
          <w:color w:val="0000FF"/>
          <w:u w:val="single"/>
        </w:rPr>
        <w:t xml:space="preserve"> https://doi.org/10.1016/j.rehab.2017.01.005</w:t>
      </w:r>
    </w:p>
    <w:p w14:paraId="2DA00ABA"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12795C">
        <w:rPr>
          <w:rFonts w:eastAsia="Arial" w:cs="Arial"/>
          <w:color w:val="000000"/>
        </w:rPr>
        <w:t>Vroland</w:t>
      </w:r>
      <w:proofErr w:type="spellEnd"/>
      <w:r w:rsidRPr="0012795C">
        <w:rPr>
          <w:rFonts w:eastAsia="Arial" w:cs="Arial"/>
          <w:color w:val="000000"/>
        </w:rPr>
        <w:t xml:space="preserve">-Nordstrand K, Eliasson AC, Jacobsson H, Johansson U, Krumlinde-Sundholm L. (2016). Can children identify and achieve goals for intervention? A randomized trial comparing two goal-setting approaches. </w:t>
      </w:r>
      <w:r w:rsidRPr="0012795C">
        <w:rPr>
          <w:rFonts w:eastAsia="Arial" w:cs="Arial"/>
          <w:i/>
          <w:color w:val="000000"/>
        </w:rPr>
        <w:t>Dev Med Child Neurol</w:t>
      </w:r>
      <w:r w:rsidRPr="0012795C">
        <w:rPr>
          <w:rFonts w:eastAsia="Arial" w:cs="Arial"/>
          <w:color w:val="000000"/>
        </w:rPr>
        <w:t>, 58(6):589-96.</w:t>
      </w:r>
      <w:r w:rsidRPr="0012795C">
        <w:rPr>
          <w:rFonts w:eastAsia="Arial" w:cs="Arial"/>
          <w:color w:val="0000FF"/>
          <w:u w:val="single"/>
        </w:rPr>
        <w:t xml:space="preserve"> https://doi.org/10.1111/dmcn.12925</w:t>
      </w:r>
    </w:p>
    <w:p w14:paraId="6FC84D52"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12795C">
        <w:rPr>
          <w:rFonts w:eastAsia="Arial" w:cs="Arial"/>
          <w:color w:val="000000"/>
        </w:rPr>
        <w:t>Rannisto</w:t>
      </w:r>
      <w:proofErr w:type="spellEnd"/>
      <w:r w:rsidRPr="0012795C">
        <w:rPr>
          <w:rFonts w:eastAsia="Arial" w:cs="Arial"/>
          <w:color w:val="000000"/>
        </w:rPr>
        <w:t xml:space="preserve"> M, Rosti-</w:t>
      </w:r>
      <w:proofErr w:type="spellStart"/>
      <w:r w:rsidRPr="0012795C">
        <w:rPr>
          <w:rFonts w:eastAsia="Arial" w:cs="Arial"/>
          <w:color w:val="000000"/>
        </w:rPr>
        <w:t>Otajärvi</w:t>
      </w:r>
      <w:proofErr w:type="spellEnd"/>
      <w:r w:rsidRPr="0012795C">
        <w:rPr>
          <w:rFonts w:eastAsia="Arial" w:cs="Arial"/>
          <w:color w:val="000000"/>
        </w:rPr>
        <w:t xml:space="preserve"> E, Mäntynen A, Koivisto K, Huhtala H, Hämäläinen P. (2015). The use of goal attainment scaling in neuropsychological rehabilitation in multiple sclerosis. </w:t>
      </w:r>
      <w:proofErr w:type="spellStart"/>
      <w:r w:rsidRPr="0012795C">
        <w:rPr>
          <w:rFonts w:eastAsia="Arial" w:cs="Arial"/>
          <w:i/>
          <w:color w:val="000000"/>
        </w:rPr>
        <w:t>Disabil</w:t>
      </w:r>
      <w:proofErr w:type="spellEnd"/>
      <w:r w:rsidRPr="0012795C">
        <w:rPr>
          <w:rFonts w:eastAsia="Arial" w:cs="Arial"/>
          <w:i/>
          <w:color w:val="000000"/>
        </w:rPr>
        <w:t xml:space="preserve"> </w:t>
      </w:r>
      <w:proofErr w:type="spellStart"/>
      <w:r w:rsidRPr="0012795C">
        <w:rPr>
          <w:rFonts w:eastAsia="Arial" w:cs="Arial"/>
          <w:i/>
          <w:color w:val="000000"/>
        </w:rPr>
        <w:t>Rehabil</w:t>
      </w:r>
      <w:proofErr w:type="spellEnd"/>
      <w:r w:rsidRPr="0012795C">
        <w:rPr>
          <w:rFonts w:eastAsia="Arial" w:cs="Arial"/>
          <w:color w:val="000000"/>
        </w:rPr>
        <w:t>, 37(21):1984-91.</w:t>
      </w:r>
      <w:r w:rsidRPr="0012795C">
        <w:rPr>
          <w:rFonts w:eastAsia="Arial" w:cs="Arial"/>
          <w:color w:val="0000FF"/>
          <w:u w:val="single"/>
        </w:rPr>
        <w:t xml:space="preserve"> https://doi.org/10.3109/09638288.2014.991452</w:t>
      </w:r>
    </w:p>
    <w:p w14:paraId="724B3520"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Rosenberg L, Maeir A, </w:t>
      </w:r>
      <w:proofErr w:type="spellStart"/>
      <w:r w:rsidRPr="0012795C">
        <w:rPr>
          <w:rFonts w:eastAsia="Arial" w:cs="Arial"/>
          <w:color w:val="000000"/>
        </w:rPr>
        <w:t>Yochman</w:t>
      </w:r>
      <w:proofErr w:type="spellEnd"/>
      <w:r w:rsidRPr="0012795C">
        <w:rPr>
          <w:rFonts w:eastAsia="Arial" w:cs="Arial"/>
          <w:color w:val="000000"/>
        </w:rPr>
        <w:t xml:space="preserve"> A, Dahan I, Hirsch I. (2015). Effectiveness of a cognitive-functional group intervention among preschoolers with attention deficit hyperactivity disorder: a pilot study. </w:t>
      </w:r>
      <w:r w:rsidRPr="0012795C">
        <w:rPr>
          <w:rFonts w:eastAsia="Arial" w:cs="Arial"/>
          <w:i/>
          <w:color w:val="000000"/>
        </w:rPr>
        <w:t xml:space="preserve">Am J </w:t>
      </w:r>
      <w:proofErr w:type="spellStart"/>
      <w:r w:rsidRPr="0012795C">
        <w:rPr>
          <w:rFonts w:eastAsia="Arial" w:cs="Arial"/>
          <w:i/>
          <w:color w:val="000000"/>
        </w:rPr>
        <w:t>Occup</w:t>
      </w:r>
      <w:proofErr w:type="spellEnd"/>
      <w:r w:rsidRPr="0012795C">
        <w:rPr>
          <w:rFonts w:eastAsia="Arial" w:cs="Arial"/>
          <w:i/>
          <w:color w:val="000000"/>
        </w:rPr>
        <w:t xml:space="preserve"> Ther</w:t>
      </w:r>
      <w:r w:rsidRPr="0012795C">
        <w:rPr>
          <w:rFonts w:eastAsia="Arial" w:cs="Arial"/>
          <w:color w:val="000000"/>
        </w:rPr>
        <w:t>, 69(3):6903220040p1-8.</w:t>
      </w:r>
      <w:r w:rsidRPr="0012795C">
        <w:rPr>
          <w:rFonts w:eastAsia="Arial" w:cs="Arial"/>
          <w:color w:val="0000FF"/>
          <w:u w:val="single"/>
        </w:rPr>
        <w:t xml:space="preserve"> https://doi.org/10.5014/ajot.2015.014795</w:t>
      </w:r>
    </w:p>
    <w:p w14:paraId="4A421405"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Franki I, Van den Broeck C, De Cat J, </w:t>
      </w:r>
      <w:proofErr w:type="spellStart"/>
      <w:r w:rsidRPr="0012795C">
        <w:rPr>
          <w:rFonts w:eastAsia="Arial" w:cs="Arial"/>
          <w:color w:val="000000"/>
        </w:rPr>
        <w:t>Tijhuis</w:t>
      </w:r>
      <w:proofErr w:type="spellEnd"/>
      <w:r w:rsidRPr="0012795C">
        <w:rPr>
          <w:rFonts w:eastAsia="Arial" w:cs="Arial"/>
          <w:color w:val="000000"/>
        </w:rPr>
        <w:t xml:space="preserve"> W, </w:t>
      </w:r>
      <w:proofErr w:type="spellStart"/>
      <w:r w:rsidRPr="0012795C">
        <w:rPr>
          <w:rFonts w:eastAsia="Arial" w:cs="Arial"/>
          <w:color w:val="000000"/>
        </w:rPr>
        <w:t>Molenaers</w:t>
      </w:r>
      <w:proofErr w:type="spellEnd"/>
      <w:r w:rsidRPr="0012795C">
        <w:rPr>
          <w:rFonts w:eastAsia="Arial" w:cs="Arial"/>
          <w:color w:val="000000"/>
        </w:rPr>
        <w:t xml:space="preserve"> G, </w:t>
      </w:r>
      <w:proofErr w:type="spellStart"/>
      <w:r w:rsidRPr="0012795C">
        <w:rPr>
          <w:rFonts w:eastAsia="Arial" w:cs="Arial"/>
          <w:color w:val="000000"/>
        </w:rPr>
        <w:t>Vanderstraeten</w:t>
      </w:r>
      <w:proofErr w:type="spellEnd"/>
      <w:r w:rsidRPr="0012795C">
        <w:rPr>
          <w:rFonts w:eastAsia="Arial" w:cs="Arial"/>
          <w:color w:val="000000"/>
        </w:rPr>
        <w:t xml:space="preserve"> G, </w:t>
      </w:r>
      <w:proofErr w:type="spellStart"/>
      <w:r w:rsidRPr="0012795C">
        <w:rPr>
          <w:rFonts w:eastAsia="Arial" w:cs="Arial"/>
          <w:color w:val="000000"/>
        </w:rPr>
        <w:t>Desloovere</w:t>
      </w:r>
      <w:proofErr w:type="spellEnd"/>
      <w:r w:rsidRPr="0012795C">
        <w:rPr>
          <w:rFonts w:eastAsia="Arial" w:cs="Arial"/>
          <w:color w:val="000000"/>
        </w:rPr>
        <w:t xml:space="preserve"> K. (2014). A randomized, single-blind cross-over design evaluating the effectiveness of an individually defined, targeted physical therapy approach in treatment of children with cerebral palsy. </w:t>
      </w:r>
      <w:r w:rsidRPr="0012795C">
        <w:rPr>
          <w:rFonts w:eastAsia="Arial" w:cs="Arial"/>
          <w:i/>
          <w:color w:val="000000"/>
        </w:rPr>
        <w:t>Clin Rehabil</w:t>
      </w:r>
      <w:r w:rsidRPr="0012795C">
        <w:rPr>
          <w:rFonts w:eastAsia="Arial" w:cs="Arial"/>
          <w:color w:val="000000"/>
        </w:rPr>
        <w:t>, 28(10):1039-52.</w:t>
      </w:r>
      <w:r w:rsidRPr="0012795C">
        <w:rPr>
          <w:rFonts w:eastAsia="Arial" w:cs="Arial"/>
          <w:color w:val="0000FF"/>
          <w:u w:val="single"/>
        </w:rPr>
        <w:t xml:space="preserve"> https://doi.org/10.1177/0269215514544984</w:t>
      </w:r>
    </w:p>
    <w:p w14:paraId="6406E658"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Hwang AW, Chao MY, Liu SW. (2013). A randomized controlled trial of routines-based early intervention for children with or at risk for developmental delay. </w:t>
      </w:r>
      <w:r w:rsidRPr="0012795C">
        <w:rPr>
          <w:rFonts w:eastAsia="Arial" w:cs="Arial"/>
          <w:i/>
          <w:color w:val="000000"/>
        </w:rPr>
        <w:t xml:space="preserve">Res Dev </w:t>
      </w:r>
      <w:proofErr w:type="spellStart"/>
      <w:r w:rsidRPr="0012795C">
        <w:rPr>
          <w:rFonts w:eastAsia="Arial" w:cs="Arial"/>
          <w:i/>
          <w:color w:val="000000"/>
        </w:rPr>
        <w:t>Disabil</w:t>
      </w:r>
      <w:proofErr w:type="spellEnd"/>
      <w:r w:rsidRPr="0012795C">
        <w:rPr>
          <w:rFonts w:eastAsia="Arial" w:cs="Arial"/>
          <w:color w:val="000000"/>
        </w:rPr>
        <w:t>, 34(10):3112-23.</w:t>
      </w:r>
      <w:r w:rsidRPr="0012795C">
        <w:rPr>
          <w:rFonts w:eastAsia="Arial" w:cs="Arial"/>
          <w:color w:val="0000FF"/>
          <w:u w:val="single"/>
        </w:rPr>
        <w:t xml:space="preserve"> https://doi.org/10.1016/j.ridd.2013.06.037</w:t>
      </w:r>
    </w:p>
    <w:p w14:paraId="77BFB8B3"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12795C">
        <w:rPr>
          <w:rFonts w:eastAsia="Arial" w:cs="Arial"/>
          <w:color w:val="000000"/>
        </w:rPr>
        <w:t>Desloovere</w:t>
      </w:r>
      <w:proofErr w:type="spellEnd"/>
      <w:r w:rsidRPr="0012795C">
        <w:rPr>
          <w:rFonts w:eastAsia="Arial" w:cs="Arial"/>
          <w:color w:val="000000"/>
        </w:rPr>
        <w:t xml:space="preserve"> K, De Cat J, </w:t>
      </w:r>
      <w:proofErr w:type="spellStart"/>
      <w:r w:rsidRPr="0012795C">
        <w:rPr>
          <w:rFonts w:eastAsia="Arial" w:cs="Arial"/>
          <w:color w:val="000000"/>
        </w:rPr>
        <w:t>Molenaers</w:t>
      </w:r>
      <w:proofErr w:type="spellEnd"/>
      <w:r w:rsidRPr="0012795C">
        <w:rPr>
          <w:rFonts w:eastAsia="Arial" w:cs="Arial"/>
          <w:color w:val="000000"/>
        </w:rPr>
        <w:t xml:space="preserve"> G, Franki I, </w:t>
      </w:r>
      <w:proofErr w:type="spellStart"/>
      <w:r w:rsidRPr="0012795C">
        <w:rPr>
          <w:rFonts w:eastAsia="Arial" w:cs="Arial"/>
          <w:color w:val="000000"/>
        </w:rPr>
        <w:t>Himpens</w:t>
      </w:r>
      <w:proofErr w:type="spellEnd"/>
      <w:r w:rsidRPr="0012795C">
        <w:rPr>
          <w:rFonts w:eastAsia="Arial" w:cs="Arial"/>
          <w:color w:val="000000"/>
        </w:rPr>
        <w:t xml:space="preserve"> E, Van </w:t>
      </w:r>
      <w:proofErr w:type="spellStart"/>
      <w:r w:rsidRPr="0012795C">
        <w:rPr>
          <w:rFonts w:eastAsia="Arial" w:cs="Arial"/>
          <w:color w:val="000000"/>
        </w:rPr>
        <w:t>Waelvelde</w:t>
      </w:r>
      <w:proofErr w:type="spellEnd"/>
      <w:r w:rsidRPr="0012795C">
        <w:rPr>
          <w:rFonts w:eastAsia="Arial" w:cs="Arial"/>
          <w:color w:val="000000"/>
        </w:rPr>
        <w:t xml:space="preserve"> H, </w:t>
      </w:r>
      <w:proofErr w:type="spellStart"/>
      <w:r w:rsidRPr="0012795C">
        <w:rPr>
          <w:rFonts w:eastAsia="Arial" w:cs="Arial"/>
          <w:color w:val="000000"/>
        </w:rPr>
        <w:t>Fagard</w:t>
      </w:r>
      <w:proofErr w:type="spellEnd"/>
      <w:r w:rsidRPr="0012795C">
        <w:rPr>
          <w:rFonts w:eastAsia="Arial" w:cs="Arial"/>
          <w:color w:val="000000"/>
        </w:rPr>
        <w:t xml:space="preserve"> K, Van den Broeck C. (2012). The effect of different physiotherapy interventions in post-BTX-A treatment of children with cerebral palsy. </w:t>
      </w:r>
      <w:proofErr w:type="spellStart"/>
      <w:r w:rsidRPr="0012795C">
        <w:rPr>
          <w:rFonts w:eastAsia="Arial" w:cs="Arial"/>
          <w:i/>
          <w:color w:val="000000"/>
        </w:rPr>
        <w:t>Eur</w:t>
      </w:r>
      <w:proofErr w:type="spellEnd"/>
      <w:r w:rsidRPr="0012795C">
        <w:rPr>
          <w:rFonts w:eastAsia="Arial" w:cs="Arial"/>
          <w:i/>
          <w:color w:val="000000"/>
        </w:rPr>
        <w:t xml:space="preserve"> J </w:t>
      </w:r>
      <w:proofErr w:type="spellStart"/>
      <w:r w:rsidRPr="0012795C">
        <w:rPr>
          <w:rFonts w:eastAsia="Arial" w:cs="Arial"/>
          <w:i/>
          <w:color w:val="000000"/>
        </w:rPr>
        <w:t>Paediatr</w:t>
      </w:r>
      <w:proofErr w:type="spellEnd"/>
      <w:r w:rsidRPr="0012795C">
        <w:rPr>
          <w:rFonts w:eastAsia="Arial" w:cs="Arial"/>
          <w:i/>
          <w:color w:val="000000"/>
        </w:rPr>
        <w:t xml:space="preserve"> Neurol</w:t>
      </w:r>
      <w:r w:rsidRPr="0012795C">
        <w:rPr>
          <w:rFonts w:eastAsia="Arial" w:cs="Arial"/>
          <w:color w:val="000000"/>
        </w:rPr>
        <w:t>, 16(1):20-8.</w:t>
      </w:r>
      <w:r w:rsidRPr="0012795C">
        <w:rPr>
          <w:rFonts w:eastAsia="Arial" w:cs="Arial"/>
          <w:color w:val="0000FF"/>
          <w:u w:val="single"/>
        </w:rPr>
        <w:t xml:space="preserve"> https://doi.org/10.1016/j.ejpn.2011.08.009</w:t>
      </w:r>
    </w:p>
    <w:p w14:paraId="111D991A"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12795C">
        <w:rPr>
          <w:rFonts w:eastAsia="Arial" w:cs="Arial"/>
          <w:color w:val="000000"/>
        </w:rPr>
        <w:t>Steenbeek</w:t>
      </w:r>
      <w:proofErr w:type="spellEnd"/>
      <w:r w:rsidRPr="0012795C">
        <w:rPr>
          <w:rFonts w:eastAsia="Arial" w:cs="Arial"/>
          <w:color w:val="000000"/>
        </w:rPr>
        <w:t xml:space="preserve"> D, Gorter JW, Ketelaar M, Galama K, Lindeman E. (2011). Responsiveness of Goal Attainment Scaling in comparison to two standardized </w:t>
      </w:r>
      <w:r w:rsidRPr="0012795C">
        <w:rPr>
          <w:rFonts w:eastAsia="Arial" w:cs="Arial"/>
          <w:color w:val="000000"/>
        </w:rPr>
        <w:lastRenderedPageBreak/>
        <w:t xml:space="preserve">measures in outcome evaluation of children with cerebral palsy. </w:t>
      </w:r>
      <w:r w:rsidRPr="0012795C">
        <w:rPr>
          <w:rFonts w:eastAsia="Arial" w:cs="Arial"/>
          <w:i/>
          <w:color w:val="000000"/>
        </w:rPr>
        <w:t>Clin Rehabil</w:t>
      </w:r>
      <w:r w:rsidRPr="0012795C">
        <w:rPr>
          <w:rFonts w:eastAsia="Arial" w:cs="Arial"/>
          <w:color w:val="000000"/>
        </w:rPr>
        <w:t>, 25(12):1128-39.</w:t>
      </w:r>
      <w:r w:rsidRPr="0012795C">
        <w:rPr>
          <w:rFonts w:eastAsia="Arial" w:cs="Arial"/>
          <w:color w:val="0000FF"/>
          <w:u w:val="single"/>
        </w:rPr>
        <w:t xml:space="preserve"> https://doi.org/10.1177/0269215511407220</w:t>
      </w:r>
    </w:p>
    <w:p w14:paraId="3787277A"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12795C">
        <w:rPr>
          <w:rFonts w:eastAsia="Arial" w:cs="Arial"/>
          <w:color w:val="000000"/>
        </w:rPr>
        <w:t>Steenbeek</w:t>
      </w:r>
      <w:proofErr w:type="spellEnd"/>
      <w:r w:rsidRPr="0012795C">
        <w:rPr>
          <w:rFonts w:eastAsia="Arial" w:cs="Arial"/>
          <w:color w:val="000000"/>
        </w:rPr>
        <w:t xml:space="preserve"> D, Ketelaar M, Lindeman E, Galama K, Gorter JW. (2010). Interrater reliability of goal attainment scaling in rehabilitation of children with cerebral palsy. </w:t>
      </w:r>
      <w:r w:rsidRPr="0012795C">
        <w:rPr>
          <w:rFonts w:eastAsia="Arial" w:cs="Arial"/>
          <w:i/>
          <w:color w:val="000000"/>
        </w:rPr>
        <w:t>Arch Phys Med Rehabil</w:t>
      </w:r>
      <w:r w:rsidRPr="0012795C">
        <w:rPr>
          <w:rFonts w:eastAsia="Arial" w:cs="Arial"/>
          <w:color w:val="000000"/>
        </w:rPr>
        <w:t>, 91(3):429-35.</w:t>
      </w:r>
      <w:r w:rsidRPr="0012795C">
        <w:rPr>
          <w:rFonts w:eastAsia="Arial" w:cs="Arial"/>
          <w:color w:val="0000FF"/>
          <w:u w:val="single"/>
        </w:rPr>
        <w:t xml:space="preserve"> https://doi.org/10.1016/j.apmr.2009.10.013</w:t>
      </w:r>
    </w:p>
    <w:p w14:paraId="57025387"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12795C">
        <w:rPr>
          <w:rFonts w:eastAsia="Arial" w:cs="Arial"/>
          <w:color w:val="000000"/>
        </w:rPr>
        <w:t>Löwing</w:t>
      </w:r>
      <w:proofErr w:type="spellEnd"/>
      <w:r w:rsidRPr="0012795C">
        <w:rPr>
          <w:rFonts w:eastAsia="Arial" w:cs="Arial"/>
          <w:color w:val="000000"/>
        </w:rPr>
        <w:t xml:space="preserve"> K, </w:t>
      </w:r>
      <w:proofErr w:type="spellStart"/>
      <w:r w:rsidRPr="0012795C">
        <w:rPr>
          <w:rFonts w:eastAsia="Arial" w:cs="Arial"/>
          <w:color w:val="000000"/>
        </w:rPr>
        <w:t>Bexelius</w:t>
      </w:r>
      <w:proofErr w:type="spellEnd"/>
      <w:r w:rsidRPr="0012795C">
        <w:rPr>
          <w:rFonts w:eastAsia="Arial" w:cs="Arial"/>
          <w:color w:val="000000"/>
        </w:rPr>
        <w:t xml:space="preserve"> A, Brogren Carlberg E. (2009). Activity focused and goal directed therapy for children with cerebral palsy--do goals make a </w:t>
      </w:r>
      <w:proofErr w:type="gramStart"/>
      <w:r w:rsidRPr="0012795C">
        <w:rPr>
          <w:rFonts w:eastAsia="Arial" w:cs="Arial"/>
          <w:color w:val="000000"/>
        </w:rPr>
        <w:t>difference?.</w:t>
      </w:r>
      <w:proofErr w:type="gramEnd"/>
      <w:r w:rsidRPr="0012795C">
        <w:rPr>
          <w:rFonts w:eastAsia="Arial" w:cs="Arial"/>
          <w:color w:val="000000"/>
        </w:rPr>
        <w:t xml:space="preserve"> </w:t>
      </w:r>
      <w:proofErr w:type="spellStart"/>
      <w:r w:rsidRPr="0012795C">
        <w:rPr>
          <w:rFonts w:eastAsia="Arial" w:cs="Arial"/>
          <w:i/>
          <w:color w:val="000000"/>
        </w:rPr>
        <w:t>Disabil</w:t>
      </w:r>
      <w:proofErr w:type="spellEnd"/>
      <w:r w:rsidRPr="0012795C">
        <w:rPr>
          <w:rFonts w:eastAsia="Arial" w:cs="Arial"/>
          <w:i/>
          <w:color w:val="000000"/>
        </w:rPr>
        <w:t xml:space="preserve"> </w:t>
      </w:r>
      <w:proofErr w:type="spellStart"/>
      <w:r w:rsidRPr="0012795C">
        <w:rPr>
          <w:rFonts w:eastAsia="Arial" w:cs="Arial"/>
          <w:i/>
          <w:color w:val="000000"/>
        </w:rPr>
        <w:t>Rehabil</w:t>
      </w:r>
      <w:proofErr w:type="spellEnd"/>
      <w:r w:rsidRPr="0012795C">
        <w:rPr>
          <w:rFonts w:eastAsia="Arial" w:cs="Arial"/>
          <w:color w:val="000000"/>
        </w:rPr>
        <w:t>, 31(22):1808-16.</w:t>
      </w:r>
      <w:r w:rsidRPr="0012795C">
        <w:rPr>
          <w:rFonts w:eastAsia="Arial" w:cs="Arial"/>
          <w:color w:val="0000FF"/>
          <w:u w:val="single"/>
        </w:rPr>
        <w:t xml:space="preserve"> https://doi.org/10.1080/09638280902822278</w:t>
      </w:r>
    </w:p>
    <w:p w14:paraId="0F4B4494"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12795C">
        <w:rPr>
          <w:rFonts w:eastAsia="Arial" w:cs="Arial"/>
          <w:color w:val="000000"/>
        </w:rPr>
        <w:t>Steenbeek</w:t>
      </w:r>
      <w:proofErr w:type="spellEnd"/>
      <w:r w:rsidRPr="0012795C">
        <w:rPr>
          <w:rFonts w:eastAsia="Arial" w:cs="Arial"/>
          <w:color w:val="000000"/>
        </w:rPr>
        <w:t xml:space="preserve"> D, Ketelaar M, Galama K, Gorter JW. (2008). Goal Attainment Scaling in paediatric rehabilitation: a report on the clinical training of an interdisciplinary team. </w:t>
      </w:r>
      <w:r w:rsidRPr="0012795C">
        <w:rPr>
          <w:rFonts w:eastAsia="Arial" w:cs="Arial"/>
          <w:i/>
          <w:color w:val="000000"/>
        </w:rPr>
        <w:t>Child Care Health Dev</w:t>
      </w:r>
      <w:r w:rsidRPr="0012795C">
        <w:rPr>
          <w:rFonts w:eastAsia="Arial" w:cs="Arial"/>
          <w:color w:val="000000"/>
        </w:rPr>
        <w:t>, 34(4):521-9.</w:t>
      </w:r>
      <w:r w:rsidRPr="0012795C">
        <w:rPr>
          <w:rFonts w:eastAsia="Arial" w:cs="Arial"/>
          <w:color w:val="0000FF"/>
          <w:u w:val="single"/>
        </w:rPr>
        <w:t xml:space="preserve"> https://doi.org/10.1111/j.1365-2214.2008.00841.x</w:t>
      </w:r>
    </w:p>
    <w:p w14:paraId="55928FC5" w14:textId="77777777" w:rsidR="0012795C" w:rsidRPr="0012795C" w:rsidRDefault="0012795C" w:rsidP="00C75AE3">
      <w:pPr>
        <w:pStyle w:val="Heading2"/>
      </w:pPr>
      <w:r w:rsidRPr="0012795C">
        <w:t>Outcome Studies</w:t>
      </w:r>
    </w:p>
    <w:p w14:paraId="72A266A2"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Bain K, </w:t>
      </w:r>
      <w:proofErr w:type="spellStart"/>
      <w:r w:rsidRPr="0012795C">
        <w:rPr>
          <w:rFonts w:eastAsia="Arial" w:cs="Arial"/>
          <w:color w:val="000000"/>
        </w:rPr>
        <w:t>Bombria</w:t>
      </w:r>
      <w:proofErr w:type="spellEnd"/>
      <w:r w:rsidRPr="0012795C">
        <w:rPr>
          <w:rFonts w:eastAsia="Arial" w:cs="Arial"/>
          <w:color w:val="000000"/>
        </w:rPr>
        <w:t xml:space="preserve"> SD, Chapparo CJ, Donelly M, Heard R, Treacy S. (2023). Goal attainment of children with cerebral palsy participating in multi-modal intervention. </w:t>
      </w:r>
      <w:r w:rsidRPr="0012795C">
        <w:rPr>
          <w:rFonts w:eastAsia="Arial" w:cs="Arial"/>
          <w:i/>
          <w:color w:val="000000"/>
        </w:rPr>
        <w:t>Child Care Health Dev</w:t>
      </w:r>
      <w:r w:rsidRPr="0012795C">
        <w:rPr>
          <w:rFonts w:eastAsia="Arial" w:cs="Arial"/>
          <w:color w:val="000000"/>
        </w:rPr>
        <w:t>, 49(6):1066-1075.</w:t>
      </w:r>
      <w:r w:rsidRPr="0012795C">
        <w:rPr>
          <w:rFonts w:eastAsia="Arial" w:cs="Arial"/>
          <w:color w:val="0000FF"/>
          <w:u w:val="single"/>
        </w:rPr>
        <w:t xml:space="preserve"> https://doi.org/10.1111/cch.13117</w:t>
      </w:r>
    </w:p>
    <w:p w14:paraId="5B484E89"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Haddon M, West L, Elliott C, Walmsley C, Valentine J, Bear N, Pool D; Healthy Strides Research Advisory Council. (2023). Kindy Moves: the feasibility of an intensive interdisciplinary programme on goal and motor outcomes for preschool-aged children with </w:t>
      </w:r>
      <w:proofErr w:type="spellStart"/>
      <w:r w:rsidRPr="0012795C">
        <w:rPr>
          <w:rFonts w:eastAsia="Arial" w:cs="Arial"/>
          <w:color w:val="000000"/>
        </w:rPr>
        <w:t>neurodisabilities</w:t>
      </w:r>
      <w:proofErr w:type="spellEnd"/>
      <w:r w:rsidRPr="0012795C">
        <w:rPr>
          <w:rFonts w:eastAsia="Arial" w:cs="Arial"/>
          <w:color w:val="000000"/>
        </w:rPr>
        <w:t xml:space="preserve"> requiring daily equipment and physical assistance. </w:t>
      </w:r>
      <w:r w:rsidRPr="0012795C">
        <w:rPr>
          <w:rFonts w:eastAsia="Arial" w:cs="Arial"/>
          <w:i/>
          <w:color w:val="000000"/>
        </w:rPr>
        <w:t>BMJ Open</w:t>
      </w:r>
      <w:r w:rsidRPr="0012795C">
        <w:rPr>
          <w:rFonts w:eastAsia="Arial" w:cs="Arial"/>
          <w:color w:val="000000"/>
        </w:rPr>
        <w:t>, 13(5</w:t>
      </w:r>
      <w:proofErr w:type="gramStart"/>
      <w:r w:rsidRPr="0012795C">
        <w:rPr>
          <w:rFonts w:eastAsia="Arial" w:cs="Arial"/>
          <w:color w:val="000000"/>
        </w:rPr>
        <w:t>):e</w:t>
      </w:r>
      <w:proofErr w:type="gramEnd"/>
      <w:r w:rsidRPr="0012795C">
        <w:rPr>
          <w:rFonts w:eastAsia="Arial" w:cs="Arial"/>
          <w:color w:val="000000"/>
        </w:rPr>
        <w:t>068816.</w:t>
      </w:r>
      <w:r w:rsidRPr="0012795C">
        <w:rPr>
          <w:rFonts w:eastAsia="Arial" w:cs="Arial"/>
          <w:color w:val="0000FF"/>
          <w:u w:val="single"/>
        </w:rPr>
        <w:t xml:space="preserve"> https://doi.org/10.1136/bmjopen-2022-068816</w:t>
      </w:r>
    </w:p>
    <w:p w14:paraId="7FF9B701"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Heathcock JC, Pan X, Ferrante R, Sternberg P, Tanner K. (2021). Comparing Two Physical Therapy Schedules for Children with Cerebral Palsy—The ACHIEVE Study. </w:t>
      </w:r>
      <w:r w:rsidRPr="0012795C">
        <w:rPr>
          <w:rFonts w:eastAsia="Arial" w:cs="Arial"/>
          <w:i/>
          <w:color w:val="000000"/>
        </w:rPr>
        <w:t>Comparing Two Physical Therapy Schedules for Children with Cerebral Palsy—The ACHIEVE Study</w:t>
      </w:r>
      <w:r w:rsidRPr="0012795C">
        <w:rPr>
          <w:rFonts w:eastAsia="Arial" w:cs="Arial"/>
          <w:color w:val="000000"/>
        </w:rPr>
        <w:t>.</w:t>
      </w:r>
      <w:r w:rsidRPr="0012795C">
        <w:rPr>
          <w:rFonts w:eastAsia="Arial" w:cs="Arial"/>
          <w:color w:val="0000FF"/>
          <w:u w:val="single"/>
        </w:rPr>
        <w:t xml:space="preserve"> https://doi.org/10.25302/05.2021.CER.150731899</w:t>
      </w:r>
    </w:p>
    <w:p w14:paraId="29EEAE61"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Hoare B, </w:t>
      </w:r>
      <w:proofErr w:type="spellStart"/>
      <w:r w:rsidRPr="0012795C">
        <w:rPr>
          <w:rFonts w:eastAsia="Arial" w:cs="Arial"/>
          <w:color w:val="000000"/>
        </w:rPr>
        <w:t>Imms</w:t>
      </w:r>
      <w:proofErr w:type="spellEnd"/>
      <w:r w:rsidRPr="0012795C">
        <w:rPr>
          <w:rFonts w:eastAsia="Arial" w:cs="Arial"/>
          <w:color w:val="000000"/>
        </w:rPr>
        <w:t xml:space="preserve"> C, Villanueva E, Rawicki HB, Matyas T, Carey L. (2013). Intensive therapy following upper limb botulinum toxin A injection in young children with unilateral cerebral palsy: a randomized trial. </w:t>
      </w:r>
      <w:r w:rsidRPr="0012795C">
        <w:rPr>
          <w:rFonts w:eastAsia="Arial" w:cs="Arial"/>
          <w:i/>
          <w:color w:val="000000"/>
        </w:rPr>
        <w:t>Dev Med Child Neurol</w:t>
      </w:r>
      <w:r w:rsidRPr="0012795C">
        <w:rPr>
          <w:rFonts w:eastAsia="Arial" w:cs="Arial"/>
          <w:color w:val="000000"/>
        </w:rPr>
        <w:t>, 55(3):238-47.</w:t>
      </w:r>
      <w:r w:rsidRPr="0012795C">
        <w:rPr>
          <w:rFonts w:eastAsia="Arial" w:cs="Arial"/>
          <w:color w:val="0000FF"/>
          <w:u w:val="single"/>
        </w:rPr>
        <w:t xml:space="preserve"> https://doi.org/10.1111/dmcn.12054</w:t>
      </w:r>
    </w:p>
    <w:p w14:paraId="44A49362"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Gordon AM, Hung YC, Brandao M, Ferre CL, Kuo HC, Friel K, Petra E, </w:t>
      </w:r>
      <w:proofErr w:type="spellStart"/>
      <w:r w:rsidRPr="0012795C">
        <w:rPr>
          <w:rFonts w:eastAsia="Arial" w:cs="Arial"/>
          <w:color w:val="000000"/>
        </w:rPr>
        <w:t>Chinnan</w:t>
      </w:r>
      <w:proofErr w:type="spellEnd"/>
      <w:r w:rsidRPr="0012795C">
        <w:rPr>
          <w:rFonts w:eastAsia="Arial" w:cs="Arial"/>
          <w:color w:val="000000"/>
        </w:rPr>
        <w:t xml:space="preserve"> A, Charles JR. (2011). Bimanual training and constraint-induced movement therapy in children with hemiplegic cerebral palsy: a randomized trial. </w:t>
      </w:r>
      <w:proofErr w:type="spellStart"/>
      <w:r w:rsidRPr="0012795C">
        <w:rPr>
          <w:rFonts w:eastAsia="Arial" w:cs="Arial"/>
          <w:i/>
          <w:color w:val="000000"/>
        </w:rPr>
        <w:t>Neurorehabil</w:t>
      </w:r>
      <w:proofErr w:type="spellEnd"/>
      <w:r w:rsidRPr="0012795C">
        <w:rPr>
          <w:rFonts w:eastAsia="Arial" w:cs="Arial"/>
          <w:i/>
          <w:color w:val="000000"/>
        </w:rPr>
        <w:t xml:space="preserve"> Neural Repair</w:t>
      </w:r>
      <w:r w:rsidRPr="0012795C">
        <w:rPr>
          <w:rFonts w:eastAsia="Arial" w:cs="Arial"/>
          <w:color w:val="000000"/>
        </w:rPr>
        <w:t>, 25(8):692-702.</w:t>
      </w:r>
      <w:r w:rsidRPr="0012795C">
        <w:rPr>
          <w:rFonts w:eastAsia="Arial" w:cs="Arial"/>
          <w:color w:val="0000FF"/>
          <w:u w:val="single"/>
        </w:rPr>
        <w:t xml:space="preserve"> https://doi.org/10.1177/1545968311402508</w:t>
      </w:r>
    </w:p>
    <w:p w14:paraId="78B6EFC3"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O'Connor C, </w:t>
      </w:r>
      <w:proofErr w:type="spellStart"/>
      <w:r w:rsidRPr="0012795C">
        <w:rPr>
          <w:rFonts w:eastAsia="Arial" w:cs="Arial"/>
          <w:color w:val="000000"/>
        </w:rPr>
        <w:t>Stagnitti</w:t>
      </w:r>
      <w:proofErr w:type="spellEnd"/>
      <w:r w:rsidRPr="0012795C">
        <w:rPr>
          <w:rFonts w:eastAsia="Arial" w:cs="Arial"/>
          <w:color w:val="000000"/>
        </w:rPr>
        <w:t xml:space="preserve"> K. (2011). Play, behaviour, language and social skills: the comparison of a play and a non-play intervention within a specialist school setting. </w:t>
      </w:r>
      <w:r w:rsidRPr="0012795C">
        <w:rPr>
          <w:rFonts w:eastAsia="Arial" w:cs="Arial"/>
          <w:i/>
          <w:color w:val="000000"/>
        </w:rPr>
        <w:t xml:space="preserve">Res Dev </w:t>
      </w:r>
      <w:proofErr w:type="spellStart"/>
      <w:r w:rsidRPr="0012795C">
        <w:rPr>
          <w:rFonts w:eastAsia="Arial" w:cs="Arial"/>
          <w:i/>
          <w:color w:val="000000"/>
        </w:rPr>
        <w:t>Disabil</w:t>
      </w:r>
      <w:proofErr w:type="spellEnd"/>
      <w:r w:rsidRPr="0012795C">
        <w:rPr>
          <w:rFonts w:eastAsia="Arial" w:cs="Arial"/>
          <w:color w:val="000000"/>
        </w:rPr>
        <w:t>, 32(3):1205-11.</w:t>
      </w:r>
      <w:r w:rsidRPr="0012795C">
        <w:rPr>
          <w:rFonts w:eastAsia="Arial" w:cs="Arial"/>
          <w:color w:val="0000FF"/>
          <w:u w:val="single"/>
        </w:rPr>
        <w:t xml:space="preserve"> https://doi.org/10.1016/j.ridd.2010.12.037</w:t>
      </w:r>
    </w:p>
    <w:p w14:paraId="1D1911E4"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lastRenderedPageBreak/>
        <w:t xml:space="preserve">Sharp, C., &amp; Read, P. (2011). Goal Attainment Scaling in Early Childhood Intervention. </w:t>
      </w:r>
      <w:r w:rsidRPr="0012795C">
        <w:rPr>
          <w:rFonts w:eastAsia="Arial" w:cs="Arial"/>
          <w:i/>
          <w:color w:val="000000"/>
        </w:rPr>
        <w:t>Evaluation Journal of Australasia</w:t>
      </w:r>
      <w:r w:rsidRPr="0012795C">
        <w:rPr>
          <w:rFonts w:eastAsia="Arial" w:cs="Arial"/>
          <w:color w:val="000000"/>
        </w:rPr>
        <w:t>, 11(2), 31-41.</w:t>
      </w:r>
      <w:r w:rsidRPr="0012795C">
        <w:rPr>
          <w:rFonts w:eastAsia="Arial" w:cs="Arial"/>
          <w:color w:val="0000FF"/>
          <w:u w:val="single"/>
        </w:rPr>
        <w:t xml:space="preserve"> https://doi.org/10.1177/1035719X1101100205</w:t>
      </w:r>
    </w:p>
    <w:p w14:paraId="65D009A7"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Wallen M, Ziviani J, Naylor O, Evans R, Novak I, Herbert RD. (2011). Modified constraint-induced therapy for children with hemiplegic cerebral palsy: a randomized trial. </w:t>
      </w:r>
      <w:r w:rsidRPr="0012795C">
        <w:rPr>
          <w:rFonts w:eastAsia="Arial" w:cs="Arial"/>
          <w:i/>
          <w:color w:val="000000"/>
        </w:rPr>
        <w:t>Dev Med Child Neurol</w:t>
      </w:r>
      <w:r w:rsidRPr="0012795C">
        <w:rPr>
          <w:rFonts w:eastAsia="Arial" w:cs="Arial"/>
          <w:color w:val="000000"/>
        </w:rPr>
        <w:t>, 53(12):1091-9.</w:t>
      </w:r>
      <w:r w:rsidRPr="0012795C">
        <w:rPr>
          <w:rFonts w:eastAsia="Arial" w:cs="Arial"/>
          <w:color w:val="0000FF"/>
          <w:u w:val="single"/>
        </w:rPr>
        <w:t xml:space="preserve"> https://doi.org/10.1111/j.1469-8749.2011.04086.x</w:t>
      </w:r>
    </w:p>
    <w:p w14:paraId="790F43DA"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LaForme Fiss AC, </w:t>
      </w:r>
      <w:proofErr w:type="spellStart"/>
      <w:r w:rsidRPr="0012795C">
        <w:rPr>
          <w:rFonts w:eastAsia="Arial" w:cs="Arial"/>
          <w:color w:val="000000"/>
        </w:rPr>
        <w:t>Effgen</w:t>
      </w:r>
      <w:proofErr w:type="spellEnd"/>
      <w:r w:rsidRPr="0012795C">
        <w:rPr>
          <w:rFonts w:eastAsia="Arial" w:cs="Arial"/>
          <w:color w:val="000000"/>
        </w:rPr>
        <w:t xml:space="preserve"> SK, Page J, </w:t>
      </w:r>
      <w:proofErr w:type="spellStart"/>
      <w:r w:rsidRPr="0012795C">
        <w:rPr>
          <w:rFonts w:eastAsia="Arial" w:cs="Arial"/>
          <w:color w:val="000000"/>
        </w:rPr>
        <w:t>Shasby</w:t>
      </w:r>
      <w:proofErr w:type="spellEnd"/>
      <w:r w:rsidRPr="0012795C">
        <w:rPr>
          <w:rFonts w:eastAsia="Arial" w:cs="Arial"/>
          <w:color w:val="000000"/>
        </w:rPr>
        <w:t xml:space="preserve"> S. (2009). Effect of sensorimotor groups on gross motor acquisition for young children with Down syndrome. </w:t>
      </w:r>
      <w:proofErr w:type="spellStart"/>
      <w:r w:rsidRPr="0012795C">
        <w:rPr>
          <w:rFonts w:eastAsia="Arial" w:cs="Arial"/>
          <w:i/>
          <w:color w:val="000000"/>
        </w:rPr>
        <w:t>Pediatr</w:t>
      </w:r>
      <w:proofErr w:type="spellEnd"/>
      <w:r w:rsidRPr="0012795C">
        <w:rPr>
          <w:rFonts w:eastAsia="Arial" w:cs="Arial"/>
          <w:i/>
          <w:color w:val="000000"/>
        </w:rPr>
        <w:t xml:space="preserve"> Phys Ther</w:t>
      </w:r>
      <w:r w:rsidRPr="0012795C">
        <w:rPr>
          <w:rFonts w:eastAsia="Arial" w:cs="Arial"/>
          <w:color w:val="000000"/>
        </w:rPr>
        <w:t>, 21(2):158-66.</w:t>
      </w:r>
      <w:r w:rsidRPr="0012795C">
        <w:rPr>
          <w:rFonts w:eastAsia="Arial" w:cs="Arial"/>
          <w:color w:val="0000FF"/>
          <w:u w:val="single"/>
        </w:rPr>
        <w:t xml:space="preserve"> https://doi.org/10.1097/PEP.0b013e3181a3dec7</w:t>
      </w:r>
    </w:p>
    <w:p w14:paraId="59AAE985" w14:textId="77777777" w:rsidR="0012795C" w:rsidRPr="0012795C" w:rsidRDefault="0012795C" w:rsidP="0012795C">
      <w:pPr>
        <w:pBdr>
          <w:top w:val="none" w:sz="0" w:space="0" w:color="000000"/>
          <w:left w:val="none" w:sz="0" w:space="0" w:color="000000"/>
          <w:bottom w:val="none" w:sz="0" w:space="0" w:color="000000"/>
          <w:right w:val="none" w:sz="0" w:space="0" w:color="000000"/>
        </w:pBdr>
        <w:rPr>
          <w:rFonts w:asciiTheme="minorHAnsi" w:hAnsiTheme="minorHAnsi"/>
        </w:rPr>
      </w:pPr>
      <w:r w:rsidRPr="0012795C">
        <w:rPr>
          <w:rFonts w:eastAsia="Arial" w:cs="Arial"/>
          <w:color w:val="000000"/>
        </w:rPr>
        <w:t xml:space="preserve">Dreiling DS, Bundy AC. (2003). A comparison of consultative model and direct-indirect intervention with preschoolers. </w:t>
      </w:r>
      <w:r w:rsidRPr="0012795C">
        <w:rPr>
          <w:rFonts w:eastAsia="Arial" w:cs="Arial"/>
          <w:i/>
          <w:color w:val="000000"/>
        </w:rPr>
        <w:t xml:space="preserve">Am J </w:t>
      </w:r>
      <w:proofErr w:type="spellStart"/>
      <w:r w:rsidRPr="0012795C">
        <w:rPr>
          <w:rFonts w:eastAsia="Arial" w:cs="Arial"/>
          <w:i/>
          <w:color w:val="000000"/>
        </w:rPr>
        <w:t>Occup</w:t>
      </w:r>
      <w:proofErr w:type="spellEnd"/>
      <w:r w:rsidRPr="0012795C">
        <w:rPr>
          <w:rFonts w:eastAsia="Arial" w:cs="Arial"/>
          <w:i/>
          <w:color w:val="000000"/>
        </w:rPr>
        <w:t xml:space="preserve"> Ther</w:t>
      </w:r>
      <w:r w:rsidRPr="0012795C">
        <w:rPr>
          <w:rFonts w:eastAsia="Arial" w:cs="Arial"/>
          <w:color w:val="000000"/>
        </w:rPr>
        <w:t>, 57(5):566-9.</w:t>
      </w:r>
      <w:r w:rsidRPr="0012795C">
        <w:rPr>
          <w:rFonts w:eastAsia="Arial" w:cs="Arial"/>
          <w:color w:val="0000FF"/>
          <w:u w:val="single"/>
        </w:rPr>
        <w:t xml:space="preserve"> https://doi.org/10.5014/ajot.57.5.566</w:t>
      </w:r>
    </w:p>
    <w:p w14:paraId="49169A81" w14:textId="77777777" w:rsidR="009B6C21" w:rsidRDefault="009B6C21">
      <w:pPr>
        <w:rPr>
          <w:rFonts w:eastAsia="Aptos" w:cs="Arial"/>
          <w:color w:val="000000"/>
          <w:lang w:eastAsia="en-US"/>
        </w:rPr>
      </w:pPr>
    </w:p>
    <w:p w14:paraId="06E2372D" w14:textId="77777777" w:rsidR="00310AA2" w:rsidRDefault="009B6C21">
      <w:pPr>
        <w:rPr>
          <w:rFonts w:ascii="Aptos" w:eastAsia="Aptos" w:hAnsi="Aptos" w:cs="Arial"/>
          <w:lang w:eastAsia="en-US"/>
        </w:rPr>
        <w:sectPr w:rsidR="00310AA2" w:rsidSect="00A05A51">
          <w:headerReference w:type="default" r:id="rId35"/>
          <w:pgSz w:w="11910" w:h="16845"/>
          <w:pgMar w:top="1440" w:right="1440" w:bottom="1440" w:left="1440" w:header="720" w:footer="720" w:gutter="0"/>
          <w:cols w:space="720"/>
          <w:docGrid w:linePitch="326"/>
        </w:sectPr>
      </w:pPr>
      <w:r>
        <w:rPr>
          <w:rFonts w:ascii="Aptos" w:eastAsia="Aptos" w:hAnsi="Aptos" w:cs="Arial"/>
          <w:lang w:eastAsia="en-US"/>
        </w:rPr>
        <w:br w:type="page"/>
      </w:r>
    </w:p>
    <w:p w14:paraId="6DBD5F7D" w14:textId="344E0450" w:rsidR="009B6C21" w:rsidRDefault="009B6C21">
      <w:pPr>
        <w:rPr>
          <w:rFonts w:ascii="Aptos" w:eastAsia="Aptos" w:hAnsi="Aptos" w:cs="Arial"/>
          <w:lang w:eastAsia="en-US"/>
        </w:rPr>
      </w:pPr>
    </w:p>
    <w:p w14:paraId="4CAC5981" w14:textId="77777777" w:rsidR="009B6C21" w:rsidRDefault="009B6C21">
      <w:pPr>
        <w:rPr>
          <w:rFonts w:ascii="Aptos" w:eastAsia="Aptos" w:hAnsi="Aptos" w:cs="Arial"/>
          <w:lang w:eastAsia="en-US"/>
        </w:rPr>
      </w:pPr>
    </w:p>
    <w:p w14:paraId="7C11C202" w14:textId="77777777" w:rsidR="00A05A51" w:rsidRDefault="00A05A51">
      <w:pPr>
        <w:jc w:val="center"/>
      </w:pPr>
      <w:r>
        <w:rPr>
          <w:noProof/>
        </w:rPr>
        <w:drawing>
          <wp:anchor distT="0" distB="0" distL="114300" distR="114300" simplePos="0" relativeHeight="251658259" behindDoc="0" locked="1" layoutInCell="1" allowOverlap="1" wp14:anchorId="06D9544B" wp14:editId="5A836A61">
            <wp:simplePos x="0" y="0"/>
            <wp:positionH relativeFrom="page">
              <wp:posOffset>0</wp:posOffset>
            </wp:positionH>
            <wp:positionV relativeFrom="page">
              <wp:posOffset>2559685</wp:posOffset>
            </wp:positionV>
            <wp:extent cx="7563485" cy="935990"/>
            <wp:effectExtent l="0" t="0" r="5715" b="3810"/>
            <wp:wrapNone/>
            <wp:docPr id="793493217"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1" behindDoc="1" locked="1" layoutInCell="1" allowOverlap="1" wp14:anchorId="7E9500B9" wp14:editId="3549B238">
            <wp:simplePos x="0" y="0"/>
            <wp:positionH relativeFrom="page">
              <wp:posOffset>0</wp:posOffset>
            </wp:positionH>
            <wp:positionV relativeFrom="page">
              <wp:posOffset>0</wp:posOffset>
            </wp:positionV>
            <wp:extent cx="7563485" cy="2267585"/>
            <wp:effectExtent l="0" t="0" r="5715" b="5715"/>
            <wp:wrapNone/>
            <wp:docPr id="942006752"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504CD34B" w14:textId="77777777" w:rsidR="00A05A51" w:rsidRDefault="00A05A51">
      <w:pPr>
        <w:jc w:val="center"/>
      </w:pPr>
    </w:p>
    <w:p w14:paraId="08127C53" w14:textId="77777777" w:rsidR="00C75AE3" w:rsidRDefault="00C75AE3">
      <w:pPr>
        <w:jc w:val="center"/>
      </w:pPr>
    </w:p>
    <w:p w14:paraId="35EEB3B4" w14:textId="6D38CE03" w:rsidR="00A05A51" w:rsidRDefault="003170DC">
      <w:pPr>
        <w:spacing w:line="300" w:lineRule="auto"/>
      </w:pPr>
      <w:r>
        <w:rPr>
          <w:noProof/>
        </w:rPr>
        <mc:AlternateContent>
          <mc:Choice Requires="wps">
            <w:drawing>
              <wp:anchor distT="0" distB="0" distL="114300" distR="114300" simplePos="0" relativeHeight="251658260" behindDoc="0" locked="0" layoutInCell="1" allowOverlap="1" wp14:anchorId="6746CF4E" wp14:editId="45A7CE04">
                <wp:simplePos x="0" y="0"/>
                <wp:positionH relativeFrom="column">
                  <wp:posOffset>81280</wp:posOffset>
                </wp:positionH>
                <wp:positionV relativeFrom="paragraph">
                  <wp:posOffset>265117</wp:posOffset>
                </wp:positionV>
                <wp:extent cx="6470650" cy="799465"/>
                <wp:effectExtent l="0" t="0" r="0" b="635"/>
                <wp:wrapNone/>
                <wp:docPr id="1073212107" name="Text Box 1"/>
                <wp:cNvGraphicFramePr/>
                <a:graphic xmlns:a="http://schemas.openxmlformats.org/drawingml/2006/main">
                  <a:graphicData uri="http://schemas.microsoft.com/office/word/2010/wordprocessingShape">
                    <wps:wsp>
                      <wps:cNvSpPr txBox="1"/>
                      <wps:spPr>
                        <a:xfrm>
                          <a:off x="0" y="0"/>
                          <a:ext cx="6470650" cy="799465"/>
                        </a:xfrm>
                        <a:prstGeom prst="rect">
                          <a:avLst/>
                        </a:prstGeom>
                        <a:noFill/>
                        <a:ln w="6350">
                          <a:noFill/>
                        </a:ln>
                      </wps:spPr>
                      <wps:txbx>
                        <w:txbxContent>
                          <w:p w14:paraId="719F02A6" w14:textId="77777777" w:rsidR="00A05A51" w:rsidRPr="00B73670" w:rsidRDefault="00A05A51">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7C35811A" w14:textId="77777777" w:rsidR="00A05A51" w:rsidRPr="00DA3237" w:rsidRDefault="00A05A51">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CF4E" id="_x0000_s1035" type="#_x0000_t202" style="position:absolute;margin-left:6.4pt;margin-top:20.9pt;width:509.5pt;height:62.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" filled="f" stroked="f" strokeweight=".5pt">
                <v:textbox>
                  <w:txbxContent>
                    <w:p w14:paraId="719F02A6" w14:textId="77777777" w:rsidR="00A05A51" w:rsidRPr="00B73670" w:rsidRDefault="00A05A51">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7C35811A" w14:textId="77777777" w:rsidR="00A05A51" w:rsidRPr="00DA3237" w:rsidRDefault="00A05A51">
                      <w:pPr>
                        <w:rPr>
                          <w:rFonts w:cs="Arial"/>
                        </w:rPr>
                      </w:pPr>
                    </w:p>
                  </w:txbxContent>
                </v:textbox>
              </v:shape>
            </w:pict>
          </mc:Fallback>
        </mc:AlternateContent>
      </w:r>
    </w:p>
    <w:p w14:paraId="2170BFB5" w14:textId="2F19009A" w:rsidR="00A05A51" w:rsidRDefault="00A05A51">
      <w:pPr>
        <w:spacing w:line="300" w:lineRule="auto"/>
        <w:rPr>
          <w:rFonts w:eastAsia="Canva Sans" w:cs="Arial"/>
          <w:b/>
          <w:bCs/>
          <w:color w:val="000000"/>
          <w:sz w:val="36"/>
          <w:szCs w:val="36"/>
        </w:rPr>
      </w:pPr>
    </w:p>
    <w:p w14:paraId="5EDA543B" w14:textId="77777777" w:rsidR="002945A5" w:rsidRDefault="002945A5" w:rsidP="00C75AE3">
      <w:pPr>
        <w:pStyle w:val="Heading1"/>
      </w:pPr>
      <w:bookmarkStart w:id="42" w:name="_Infant_Toddler_Social_1"/>
      <w:bookmarkEnd w:id="42"/>
    </w:p>
    <w:p w14:paraId="17BD451D" w14:textId="2BF7DCB2" w:rsidR="00A05A51" w:rsidRPr="00DE4ED7" w:rsidRDefault="00A05A51" w:rsidP="00C75AE3">
      <w:pPr>
        <w:pStyle w:val="Heading1"/>
      </w:pPr>
      <w:r w:rsidRPr="00DE4ED7">
        <w:t xml:space="preserve">Infant Toddler Social Emotional Assessment (ITSEA) </w:t>
      </w:r>
    </w:p>
    <w:tbl>
      <w:tblPr>
        <w:tblW w:w="90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75"/>
      </w:tblGrid>
      <w:tr w:rsidR="00A05A51" w:rsidRPr="00C040BF" w14:paraId="18B8EB59" w14:textId="77777777" w:rsidTr="00D7154C">
        <w:trPr>
          <w:trHeight w:val="300"/>
        </w:trPr>
        <w:tc>
          <w:tcPr>
            <w:tcW w:w="1977" w:type="dxa"/>
            <w:tcBorders>
              <w:top w:val="single" w:sz="6" w:space="0" w:color="auto"/>
              <w:left w:val="single" w:sz="6" w:space="0" w:color="auto"/>
              <w:bottom w:val="single" w:sz="6" w:space="0" w:color="auto"/>
              <w:right w:val="single" w:sz="6" w:space="0" w:color="auto"/>
            </w:tcBorders>
            <w:hideMark/>
          </w:tcPr>
          <w:p w14:paraId="531136A3" w14:textId="77777777" w:rsidR="00A05A51" w:rsidRPr="00C040BF" w:rsidRDefault="00A05A51">
            <w:pPr>
              <w:spacing w:after="100"/>
              <w:ind w:left="57" w:right="57"/>
              <w:rPr>
                <w:rFonts w:cs="Arial"/>
                <w:b/>
                <w:bCs/>
              </w:rPr>
            </w:pPr>
            <w:r w:rsidRPr="00C040BF">
              <w:rPr>
                <w:rFonts w:cs="Arial"/>
                <w:b/>
                <w:bC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5669E188" w14:textId="77777777" w:rsidR="00A05A51" w:rsidRPr="00EA52D8" w:rsidRDefault="00A05A51">
            <w:pPr>
              <w:spacing w:after="100"/>
              <w:ind w:left="57" w:right="57"/>
              <w:rPr>
                <w:rFonts w:cs="Arial"/>
                <w:b/>
                <w:bCs/>
              </w:rPr>
            </w:pPr>
            <w:r w:rsidRPr="00EA52D8">
              <w:rPr>
                <w:rFonts w:cs="Arial"/>
                <w:b/>
                <w:bCs/>
              </w:rPr>
              <w:t>Children:</w:t>
            </w:r>
          </w:p>
          <w:p w14:paraId="36FE01D6" w14:textId="342BB4C5" w:rsidR="00A05A51" w:rsidRDefault="00F03AA2" w:rsidP="004E3AF4">
            <w:pPr>
              <w:pStyle w:val="ListParagraph"/>
              <w:numPr>
                <w:ilvl w:val="0"/>
                <w:numId w:val="8"/>
              </w:numPr>
            </w:pPr>
            <w:r w:rsidRPr="00F03AA2">
              <w:t>have secure, stable and safe relationships with parents, carers, siblings, family members and significant others</w:t>
            </w:r>
          </w:p>
          <w:p w14:paraId="49994A01" w14:textId="77777777" w:rsidR="00A05A51" w:rsidRPr="00EA52D8" w:rsidRDefault="00A05A51" w:rsidP="004E3AF4">
            <w:pPr>
              <w:pStyle w:val="ListParagraph"/>
              <w:numPr>
                <w:ilvl w:val="0"/>
                <w:numId w:val="8"/>
              </w:numPr>
            </w:pPr>
            <w:r w:rsidRPr="00873EE0">
              <w:t>build capacity to regulate their behaviour</w:t>
            </w:r>
          </w:p>
        </w:tc>
      </w:tr>
    </w:tbl>
    <w:p w14:paraId="092966CA" w14:textId="529EE9A8" w:rsidR="00A05A51" w:rsidRPr="00504C42" w:rsidRDefault="00A05A51" w:rsidP="006E4A8A">
      <w:pPr>
        <w:pStyle w:val="Heading1"/>
      </w:pPr>
      <w:r w:rsidRPr="00504C42">
        <w:t>ITSEA Overview</w:t>
      </w:r>
    </w:p>
    <w:tbl>
      <w:tblPr>
        <w:tblW w:w="90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75"/>
      </w:tblGrid>
      <w:tr w:rsidR="00A05A51" w:rsidRPr="00C040BF" w14:paraId="2261305E" w14:textId="77777777" w:rsidTr="00D7154C">
        <w:trPr>
          <w:trHeight w:val="1935"/>
        </w:trPr>
        <w:tc>
          <w:tcPr>
            <w:tcW w:w="1977" w:type="dxa"/>
            <w:tcBorders>
              <w:top w:val="single" w:sz="6" w:space="0" w:color="auto"/>
              <w:left w:val="single" w:sz="6" w:space="0" w:color="auto"/>
              <w:bottom w:val="single" w:sz="6" w:space="0" w:color="auto"/>
              <w:right w:val="single" w:sz="6" w:space="0" w:color="auto"/>
            </w:tcBorders>
            <w:hideMark/>
          </w:tcPr>
          <w:p w14:paraId="1459025E" w14:textId="77777777" w:rsidR="00A05A51" w:rsidRPr="00C040BF" w:rsidRDefault="00A05A51">
            <w:pPr>
              <w:spacing w:after="100"/>
              <w:ind w:left="57" w:right="57"/>
              <w:rPr>
                <w:rFonts w:cs="Arial"/>
              </w:rPr>
            </w:pPr>
            <w:r w:rsidRPr="00C040BF">
              <w:rPr>
                <w:rFonts w:cs="Arial"/>
                <w:b/>
                <w:bCs/>
              </w:rPr>
              <w:t>General description</w:t>
            </w:r>
            <w:r w:rsidRPr="00C040BF">
              <w:rPr>
                <w:rFonts w:cs="Arial"/>
              </w:rPr>
              <w:t>  </w:t>
            </w:r>
          </w:p>
          <w:p w14:paraId="35BC7F5B" w14:textId="77777777" w:rsidR="00A05A51" w:rsidRPr="00C040BF" w:rsidRDefault="00A05A51">
            <w:pPr>
              <w:spacing w:after="100" w:line="276" w:lineRule="auto"/>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2BC63B93" w14:textId="7FD46F7C" w:rsidR="00A05A51" w:rsidRDefault="00A05A51">
            <w:pPr>
              <w:spacing w:after="100" w:line="240" w:lineRule="auto"/>
              <w:ind w:left="57" w:right="57"/>
              <w:rPr>
                <w:rFonts w:eastAsia="Arial" w:cs="Arial"/>
                <w:color w:val="000000" w:themeColor="text1"/>
              </w:rPr>
            </w:pPr>
            <w:r w:rsidRPr="0682ED78">
              <w:rPr>
                <w:rFonts w:eastAsia="Arial" w:cs="Arial"/>
                <w:color w:val="000000" w:themeColor="text1"/>
              </w:rPr>
              <w:t xml:space="preserve">The Infant-Toddler Social Emotional Assessment (ITSEA) is designed to measure social-emotional problems and competencies in infants and toddlers. The ITSEA is used for early identification of social-emotional and behavioural concerns, profiling of strengths and weaknesses, and intervention planning. </w:t>
            </w:r>
          </w:p>
          <w:p w14:paraId="6A92F22A" w14:textId="77777777" w:rsidR="00A05A51" w:rsidRDefault="00A05A51">
            <w:pPr>
              <w:spacing w:after="100" w:line="240" w:lineRule="auto"/>
              <w:ind w:left="57" w:right="57"/>
              <w:rPr>
                <w:rFonts w:eastAsia="Arial" w:cs="Arial"/>
                <w:color w:val="000000" w:themeColor="text1"/>
              </w:rPr>
            </w:pPr>
            <w:r w:rsidRPr="0682ED78">
              <w:rPr>
                <w:rFonts w:eastAsia="Arial" w:cs="Arial"/>
                <w:color w:val="000000" w:themeColor="text1"/>
              </w:rPr>
              <w:t>It is available in a brief version (</w:t>
            </w:r>
            <w:r w:rsidRPr="00EA52D8">
              <w:rPr>
                <w:rFonts w:eastAsia="Arial" w:cs="Arial"/>
                <w:b/>
                <w:bCs/>
                <w:color w:val="000000" w:themeColor="text1"/>
              </w:rPr>
              <w:t>BITSEA</w:t>
            </w:r>
            <w:r w:rsidRPr="0682ED78">
              <w:rPr>
                <w:rFonts w:eastAsia="Arial" w:cs="Arial"/>
                <w:color w:val="000000" w:themeColor="text1"/>
              </w:rPr>
              <w:t xml:space="preserve">) as a </w:t>
            </w:r>
            <w:r w:rsidRPr="00EA52D8">
              <w:rPr>
                <w:rFonts w:eastAsia="Arial" w:cs="Arial"/>
                <w:b/>
                <w:bCs/>
              </w:rPr>
              <w:t>screening tool.</w:t>
            </w:r>
          </w:p>
        </w:tc>
      </w:tr>
      <w:tr w:rsidR="00A05A51" w:rsidRPr="00C040BF" w14:paraId="2BD4291E" w14:textId="77777777" w:rsidTr="00D7154C">
        <w:trPr>
          <w:trHeight w:val="300"/>
        </w:trPr>
        <w:tc>
          <w:tcPr>
            <w:tcW w:w="1977" w:type="dxa"/>
            <w:tcBorders>
              <w:top w:val="single" w:sz="6" w:space="0" w:color="auto"/>
              <w:left w:val="single" w:sz="6" w:space="0" w:color="auto"/>
              <w:bottom w:val="single" w:sz="6" w:space="0" w:color="auto"/>
              <w:right w:val="single" w:sz="6" w:space="0" w:color="auto"/>
            </w:tcBorders>
          </w:tcPr>
          <w:p w14:paraId="05894A56" w14:textId="77777777" w:rsidR="00A05A51" w:rsidRPr="00C040BF" w:rsidRDefault="00A05A51">
            <w:pPr>
              <w:spacing w:after="100"/>
              <w:ind w:left="57" w:right="57"/>
              <w:rPr>
                <w:rFonts w:cs="Arial"/>
                <w:b/>
                <w:bCs/>
              </w:rPr>
            </w:pPr>
            <w:r w:rsidRPr="00C040BF">
              <w:rPr>
                <w:rFonts w:cs="Arial"/>
                <w:b/>
                <w:bCs/>
              </w:rPr>
              <w:t>Ages</w:t>
            </w:r>
          </w:p>
        </w:tc>
        <w:tc>
          <w:tcPr>
            <w:tcW w:w="7075" w:type="dxa"/>
            <w:tcBorders>
              <w:top w:val="single" w:sz="6" w:space="0" w:color="auto"/>
              <w:left w:val="single" w:sz="6" w:space="0" w:color="auto"/>
              <w:bottom w:val="single" w:sz="6" w:space="0" w:color="auto"/>
              <w:right w:val="single" w:sz="6" w:space="0" w:color="auto"/>
            </w:tcBorders>
          </w:tcPr>
          <w:p w14:paraId="7EF583F4" w14:textId="77777777" w:rsidR="00A05A51" w:rsidRDefault="00A05A51">
            <w:pPr>
              <w:spacing w:after="100" w:line="240" w:lineRule="auto"/>
              <w:ind w:left="57" w:right="57"/>
              <w:rPr>
                <w:rFonts w:eastAsia="Arial" w:cs="Arial"/>
                <w:color w:val="000000" w:themeColor="text1"/>
              </w:rPr>
            </w:pPr>
            <w:r w:rsidRPr="40ACC29C">
              <w:rPr>
                <w:rFonts w:eastAsia="Arial" w:cs="Arial"/>
                <w:color w:val="000000" w:themeColor="text1"/>
              </w:rPr>
              <w:t>12-36 months</w:t>
            </w:r>
          </w:p>
        </w:tc>
      </w:tr>
      <w:tr w:rsidR="00A05A51" w:rsidRPr="00C040BF" w14:paraId="5C3F0B50" w14:textId="77777777" w:rsidTr="00D7154C">
        <w:trPr>
          <w:trHeight w:val="915"/>
        </w:trPr>
        <w:tc>
          <w:tcPr>
            <w:tcW w:w="1977" w:type="dxa"/>
            <w:tcBorders>
              <w:top w:val="single" w:sz="6" w:space="0" w:color="auto"/>
              <w:left w:val="single" w:sz="6" w:space="0" w:color="auto"/>
              <w:bottom w:val="single" w:sz="6" w:space="0" w:color="auto"/>
              <w:right w:val="single" w:sz="6" w:space="0" w:color="auto"/>
            </w:tcBorders>
          </w:tcPr>
          <w:p w14:paraId="053A38F2" w14:textId="77777777" w:rsidR="00A05A51" w:rsidRPr="00C040BF" w:rsidRDefault="00A05A51">
            <w:pPr>
              <w:spacing w:after="100"/>
              <w:ind w:left="57" w:right="57"/>
              <w:rPr>
                <w:rFonts w:cs="Arial"/>
              </w:rPr>
            </w:pPr>
            <w:r w:rsidRPr="00C040BF">
              <w:rPr>
                <w:rFonts w:cs="Arial"/>
                <w:b/>
                <w:bCs/>
              </w:rPr>
              <w:t>Domains</w:t>
            </w:r>
            <w:r>
              <w:rPr>
                <w:rFonts w:cs="Arial"/>
                <w:b/>
                <w:bCs/>
              </w:rPr>
              <w:t xml:space="preserve"> </w:t>
            </w:r>
            <w:r w:rsidRPr="00C040BF">
              <w:rPr>
                <w:rFonts w:cs="Arial"/>
                <w:b/>
                <w:bCs/>
              </w:rPr>
              <w:t>/</w:t>
            </w:r>
            <w:r>
              <w:rPr>
                <w:rFonts w:cs="Arial"/>
                <w:b/>
                <w:bCs/>
              </w:rPr>
              <w:t xml:space="preserve"> </w:t>
            </w:r>
            <w:r w:rsidRPr="00C040BF">
              <w:rPr>
                <w:rFonts w:cs="Arial"/>
                <w:b/>
                <w:bCs/>
              </w:rPr>
              <w:t>subscales </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tcPr>
          <w:p w14:paraId="25A7559C" w14:textId="77777777" w:rsidR="00A05A51" w:rsidRDefault="00A05A51">
            <w:pPr>
              <w:spacing w:after="100" w:line="240" w:lineRule="auto"/>
              <w:ind w:left="57" w:right="57"/>
              <w:rPr>
                <w:rFonts w:eastAsia="Arial" w:cs="Arial"/>
                <w:color w:val="000000" w:themeColor="text1"/>
              </w:rPr>
            </w:pPr>
            <w:r w:rsidRPr="00382FAE">
              <w:rPr>
                <w:rFonts w:eastAsia="Arial" w:cs="Arial"/>
                <w:color w:val="000000" w:themeColor="text1"/>
              </w:rPr>
              <w:t xml:space="preserve">The ITSEA evaluates four </w:t>
            </w:r>
            <w:r>
              <w:rPr>
                <w:rFonts w:eastAsia="Arial" w:cs="Arial"/>
                <w:color w:val="000000" w:themeColor="text1"/>
              </w:rPr>
              <w:t xml:space="preserve">psychological </w:t>
            </w:r>
            <w:r w:rsidRPr="00382FAE">
              <w:rPr>
                <w:rFonts w:eastAsia="Arial" w:cs="Arial"/>
                <w:color w:val="000000" w:themeColor="text1"/>
              </w:rPr>
              <w:t>domains: Externalizing, Internalizing, Dysregulation, and Competence. It also provides scores on three indices: Maladaptive, Social Relatedness, and Atypical. These indices draw from items across domains to flag specific areas of concern.</w:t>
            </w:r>
          </w:p>
          <w:p w14:paraId="1F8C1645" w14:textId="77777777" w:rsidR="00A05A51" w:rsidRDefault="00A05A51">
            <w:pPr>
              <w:spacing w:after="100" w:line="240" w:lineRule="auto"/>
              <w:ind w:left="57" w:right="57"/>
              <w:rPr>
                <w:rFonts w:eastAsia="Arial" w:cs="Arial"/>
                <w:color w:val="000000" w:themeColor="text1"/>
              </w:rPr>
            </w:pPr>
            <w:r w:rsidRPr="40ACC29C">
              <w:rPr>
                <w:rFonts w:eastAsia="Arial" w:cs="Arial"/>
                <w:color w:val="000000" w:themeColor="text1"/>
              </w:rPr>
              <w:t xml:space="preserve">The BITSEA </w:t>
            </w:r>
            <w:r>
              <w:rPr>
                <w:rFonts w:eastAsia="Arial" w:cs="Arial"/>
                <w:color w:val="000000" w:themeColor="text1"/>
              </w:rPr>
              <w:t>reports just two scores: a Problem Total Score and a C</w:t>
            </w:r>
            <w:r w:rsidRPr="40ACC29C">
              <w:rPr>
                <w:rFonts w:eastAsia="Arial" w:cs="Arial"/>
                <w:color w:val="000000" w:themeColor="text1"/>
              </w:rPr>
              <w:t xml:space="preserve">ompetence </w:t>
            </w:r>
            <w:r>
              <w:rPr>
                <w:rFonts w:eastAsia="Arial" w:cs="Arial"/>
                <w:color w:val="000000" w:themeColor="text1"/>
              </w:rPr>
              <w:t>T</w:t>
            </w:r>
            <w:r w:rsidRPr="40ACC29C">
              <w:rPr>
                <w:rFonts w:eastAsia="Arial" w:cs="Arial"/>
                <w:color w:val="000000" w:themeColor="text1"/>
              </w:rPr>
              <w:t xml:space="preserve">otal </w:t>
            </w:r>
            <w:r>
              <w:rPr>
                <w:rFonts w:eastAsia="Arial" w:cs="Arial"/>
                <w:color w:val="000000" w:themeColor="text1"/>
              </w:rPr>
              <w:t>S</w:t>
            </w:r>
            <w:r w:rsidRPr="40ACC29C">
              <w:rPr>
                <w:rFonts w:eastAsia="Arial" w:cs="Arial"/>
                <w:color w:val="000000" w:themeColor="text1"/>
              </w:rPr>
              <w:t>core.</w:t>
            </w:r>
          </w:p>
        </w:tc>
      </w:tr>
      <w:tr w:rsidR="00A05A51" w:rsidRPr="008B07C9" w14:paraId="6AAD95F7" w14:textId="77777777" w:rsidTr="00B01C41">
        <w:trPr>
          <w:trHeight w:val="552"/>
        </w:trPr>
        <w:tc>
          <w:tcPr>
            <w:tcW w:w="1977" w:type="dxa"/>
            <w:tcBorders>
              <w:top w:val="single" w:sz="6" w:space="0" w:color="auto"/>
              <w:left w:val="single" w:sz="6" w:space="0" w:color="auto"/>
              <w:bottom w:val="single" w:sz="6" w:space="0" w:color="auto"/>
              <w:right w:val="single" w:sz="6" w:space="0" w:color="auto"/>
            </w:tcBorders>
          </w:tcPr>
          <w:p w14:paraId="79A1E961" w14:textId="77777777" w:rsidR="00A05A51" w:rsidRPr="008B07C9" w:rsidRDefault="00A05A51">
            <w:pPr>
              <w:spacing w:after="100"/>
              <w:ind w:left="57" w:right="57"/>
              <w:rPr>
                <w:rFonts w:cs="Arial"/>
                <w:b/>
                <w:bCs/>
              </w:rPr>
            </w:pPr>
            <w:r w:rsidRPr="008B07C9">
              <w:rPr>
                <w:rFonts w:cs="Arial"/>
                <w:b/>
                <w:bCs/>
              </w:rPr>
              <w:t>Special considerations </w:t>
            </w:r>
          </w:p>
        </w:tc>
        <w:tc>
          <w:tcPr>
            <w:tcW w:w="7075" w:type="dxa"/>
            <w:tcBorders>
              <w:top w:val="single" w:sz="6" w:space="0" w:color="auto"/>
              <w:left w:val="single" w:sz="6" w:space="0" w:color="auto"/>
              <w:bottom w:val="single" w:sz="6" w:space="0" w:color="auto"/>
              <w:right w:val="single" w:sz="6" w:space="0" w:color="auto"/>
            </w:tcBorders>
          </w:tcPr>
          <w:p w14:paraId="24CE7B4A" w14:textId="77777777" w:rsidR="00B01C41" w:rsidRDefault="00A05A51" w:rsidP="00B01C41">
            <w:pPr>
              <w:spacing w:after="100" w:line="240" w:lineRule="auto"/>
              <w:ind w:left="57" w:right="57"/>
              <w:rPr>
                <w:rFonts w:eastAsia="Arial" w:cs="Arial"/>
                <w:color w:val="000000" w:themeColor="text1"/>
              </w:rPr>
            </w:pPr>
            <w:r w:rsidRPr="008B07C9">
              <w:rPr>
                <w:rFonts w:eastAsia="Arial" w:cs="Arial"/>
                <w:color w:val="000000" w:themeColor="text1"/>
              </w:rPr>
              <w:t>Screening is a brief evaluation intended to identify those children with potential difficulties who require a more in-depth assessment. Screening tools are not designed to be used as outcome measures. </w:t>
            </w:r>
          </w:p>
          <w:p w14:paraId="53832EF7" w14:textId="788516F4" w:rsidR="00A05A51" w:rsidRPr="008B07C9" w:rsidRDefault="00A05A51">
            <w:pPr>
              <w:spacing w:after="100" w:line="240" w:lineRule="auto"/>
              <w:ind w:left="57" w:right="57"/>
              <w:rPr>
                <w:rFonts w:eastAsia="Arial" w:cs="Arial"/>
                <w:color w:val="000000" w:themeColor="text1"/>
              </w:rPr>
            </w:pPr>
            <w:r w:rsidRPr="008B07C9">
              <w:rPr>
                <w:rFonts w:eastAsia="Arial" w:cs="Arial"/>
                <w:color w:val="000000" w:themeColor="text1"/>
              </w:rPr>
              <w:lastRenderedPageBreak/>
              <w:t xml:space="preserve">However, in the absence of an appropriate outcome measure, using </w:t>
            </w:r>
            <w:r>
              <w:rPr>
                <w:rFonts w:eastAsia="Arial" w:cs="Arial"/>
                <w:color w:val="000000" w:themeColor="text1"/>
              </w:rPr>
              <w:t xml:space="preserve">the BITSEA </w:t>
            </w:r>
            <w:r w:rsidRPr="008B07C9">
              <w:rPr>
                <w:rFonts w:eastAsia="Arial" w:cs="Arial"/>
                <w:color w:val="000000" w:themeColor="text1"/>
              </w:rPr>
              <w:t xml:space="preserve">to measure outcomes </w:t>
            </w:r>
            <w:r>
              <w:rPr>
                <w:rFonts w:eastAsia="Arial" w:cs="Arial"/>
                <w:color w:val="000000" w:themeColor="text1"/>
              </w:rPr>
              <w:t>may be</w:t>
            </w:r>
            <w:r w:rsidRPr="008B07C9">
              <w:rPr>
                <w:rFonts w:eastAsia="Arial" w:cs="Arial"/>
                <w:color w:val="000000" w:themeColor="text1"/>
              </w:rPr>
              <w:t xml:space="preserve"> better than using nothing at all. Please refer to the Measurement Overview document for a more detailed explanation of the limitations of using a screening tool as an outcome measure. </w:t>
            </w:r>
          </w:p>
        </w:tc>
      </w:tr>
      <w:tr w:rsidR="00A05A51" w:rsidRPr="00C040BF" w14:paraId="69BB33F0" w14:textId="77777777" w:rsidTr="00D7154C">
        <w:trPr>
          <w:trHeight w:val="300"/>
        </w:trPr>
        <w:tc>
          <w:tcPr>
            <w:tcW w:w="1977" w:type="dxa"/>
            <w:tcBorders>
              <w:top w:val="single" w:sz="6" w:space="0" w:color="auto"/>
              <w:left w:val="single" w:sz="6" w:space="0" w:color="auto"/>
              <w:bottom w:val="single" w:sz="6" w:space="0" w:color="auto"/>
              <w:right w:val="single" w:sz="6" w:space="0" w:color="auto"/>
            </w:tcBorders>
            <w:hideMark/>
          </w:tcPr>
          <w:p w14:paraId="205F1593" w14:textId="77777777" w:rsidR="00A05A51" w:rsidRPr="00C040BF" w:rsidRDefault="00A05A51">
            <w:pPr>
              <w:spacing w:after="100"/>
              <w:ind w:left="57" w:right="57"/>
              <w:rPr>
                <w:rFonts w:cs="Arial"/>
              </w:rPr>
            </w:pPr>
            <w:r w:rsidRPr="00C040BF">
              <w:rPr>
                <w:rFonts w:cs="Arial"/>
                <w:b/>
                <w:bCs/>
              </w:rPr>
              <w:lastRenderedPageBreak/>
              <w:t>Cultural adaptation </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hideMark/>
          </w:tcPr>
          <w:p w14:paraId="7ACB7101" w14:textId="77777777" w:rsidR="00A05A51" w:rsidRPr="00C040BF" w:rsidRDefault="00A05A51">
            <w:pPr>
              <w:spacing w:after="100"/>
              <w:ind w:left="57" w:right="57"/>
              <w:rPr>
                <w:rFonts w:ascii="Times New Roman" w:eastAsia="Times New Roman" w:hAnsi="Times New Roman" w:cs="Times New Roman"/>
                <w:color w:val="000000" w:themeColor="text1"/>
              </w:rPr>
            </w:pPr>
            <w:r w:rsidRPr="40ACC29C">
              <w:rPr>
                <w:rFonts w:eastAsia="Arial" w:cs="Arial"/>
                <w:color w:val="000000" w:themeColor="text1"/>
              </w:rPr>
              <w:t xml:space="preserve">Adaptations include Korean (K-ITSEA), Turkish, Dutch, Japanese (J-ITSEA), French, and Chinese versions. </w:t>
            </w:r>
          </w:p>
        </w:tc>
      </w:tr>
      <w:tr w:rsidR="00A05A51" w:rsidRPr="00C040BF" w14:paraId="01167CC7" w14:textId="77777777" w:rsidTr="00D7154C">
        <w:trPr>
          <w:trHeight w:val="300"/>
        </w:trPr>
        <w:tc>
          <w:tcPr>
            <w:tcW w:w="1977" w:type="dxa"/>
            <w:tcBorders>
              <w:top w:val="single" w:sz="6" w:space="0" w:color="auto"/>
              <w:left w:val="single" w:sz="6" w:space="0" w:color="auto"/>
              <w:bottom w:val="single" w:sz="6" w:space="0" w:color="auto"/>
              <w:right w:val="single" w:sz="6" w:space="0" w:color="auto"/>
            </w:tcBorders>
            <w:hideMark/>
          </w:tcPr>
          <w:p w14:paraId="4DC472B3" w14:textId="77777777" w:rsidR="00A05A51" w:rsidRPr="00C040BF" w:rsidRDefault="00A05A51">
            <w:pPr>
              <w:spacing w:after="100"/>
              <w:ind w:left="57" w:right="57"/>
              <w:rPr>
                <w:rFonts w:cs="Arial"/>
              </w:rPr>
            </w:pPr>
            <w:r w:rsidRPr="00C040BF">
              <w:rPr>
                <w:rFonts w:cs="Arial"/>
                <w:b/>
                <w:bCs/>
              </w:rPr>
              <w:t>Administration</w:t>
            </w:r>
            <w:r w:rsidRPr="00C040BF">
              <w:rPr>
                <w:rFonts w:cs="Arial"/>
              </w:rPr>
              <w:t>  </w:t>
            </w:r>
          </w:p>
          <w:p w14:paraId="0471282E" w14:textId="77777777" w:rsidR="00A05A51" w:rsidRPr="00C040BF" w:rsidRDefault="00A05A51">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041F1673" w14:textId="77777777" w:rsidR="00A05A51" w:rsidRPr="00C040BF" w:rsidRDefault="00A05A51">
            <w:pPr>
              <w:spacing w:after="100"/>
              <w:ind w:left="57" w:right="57"/>
              <w:rPr>
                <w:rFonts w:eastAsia="Arial" w:cs="Arial"/>
              </w:rPr>
            </w:pPr>
            <w:r w:rsidRPr="40ACC29C">
              <w:rPr>
                <w:rFonts w:eastAsia="Arial" w:cs="Arial"/>
              </w:rPr>
              <w:t xml:space="preserve">The ITSEA and the BITSEA have parent/carer and childcare provider forms. Approximate administration time </w:t>
            </w:r>
            <w:r w:rsidRPr="00136FAE">
              <w:rPr>
                <w:rFonts w:eastAsia="Arial" w:cs="Arial"/>
              </w:rPr>
              <w:t>is 20-30 minutes</w:t>
            </w:r>
            <w:r w:rsidRPr="40ACC29C">
              <w:rPr>
                <w:rFonts w:eastAsia="Arial" w:cs="Arial"/>
              </w:rPr>
              <w:t xml:space="preserve"> for the ITSEA and 5-10 minutes for the BITSEA. </w:t>
            </w:r>
          </w:p>
          <w:p w14:paraId="37ACF3EC" w14:textId="77777777" w:rsidR="00A05A51" w:rsidRPr="00C040BF" w:rsidRDefault="00A05A51">
            <w:pPr>
              <w:spacing w:after="100"/>
              <w:ind w:left="57" w:right="57"/>
              <w:rPr>
                <w:rFonts w:eastAsia="Arial" w:cs="Arial"/>
              </w:rPr>
            </w:pPr>
            <w:r w:rsidRPr="40ACC29C">
              <w:rPr>
                <w:rFonts w:eastAsia="Arial" w:cs="Arial"/>
              </w:rPr>
              <w:t xml:space="preserve">The forms are scored and interpreted by qualified service providers (e.g., </w:t>
            </w:r>
            <w:r w:rsidRPr="40ACC29C">
              <w:rPr>
                <w:rFonts w:eastAsia="Arial" w:cs="Arial"/>
                <w:color w:val="000000" w:themeColor="text1"/>
              </w:rPr>
              <w:t>psychologists, psychiatrists, mental health care providers, early interventionists, social workers, paediatricians).</w:t>
            </w:r>
          </w:p>
        </w:tc>
      </w:tr>
      <w:tr w:rsidR="00A05A51" w:rsidRPr="00C040BF" w14:paraId="56821311" w14:textId="77777777" w:rsidTr="00D7154C">
        <w:trPr>
          <w:trHeight w:val="300"/>
        </w:trPr>
        <w:tc>
          <w:tcPr>
            <w:tcW w:w="1977" w:type="dxa"/>
            <w:tcBorders>
              <w:top w:val="single" w:sz="6" w:space="0" w:color="auto"/>
              <w:left w:val="single" w:sz="6" w:space="0" w:color="auto"/>
              <w:bottom w:val="single" w:sz="6" w:space="0" w:color="auto"/>
              <w:right w:val="single" w:sz="6" w:space="0" w:color="auto"/>
            </w:tcBorders>
            <w:hideMark/>
          </w:tcPr>
          <w:p w14:paraId="56BDA22D" w14:textId="77777777" w:rsidR="00A05A51" w:rsidRPr="00C040BF" w:rsidRDefault="00A05A51">
            <w:pPr>
              <w:spacing w:after="100"/>
              <w:ind w:left="57" w:right="57"/>
              <w:rPr>
                <w:rFonts w:cs="Arial"/>
              </w:rPr>
            </w:pPr>
            <w:r w:rsidRPr="00C040BF">
              <w:rPr>
                <w:rFonts w:cs="Arial"/>
                <w:b/>
                <w:bCs/>
              </w:rPr>
              <w:t>Training requirements</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hideMark/>
          </w:tcPr>
          <w:p w14:paraId="440387EB" w14:textId="77777777" w:rsidR="00A05A51" w:rsidRPr="00C040BF" w:rsidRDefault="00A05A51">
            <w:pPr>
              <w:spacing w:after="100"/>
              <w:ind w:left="57" w:right="57"/>
              <w:rPr>
                <w:rFonts w:cs="Arial"/>
              </w:rPr>
            </w:pPr>
            <w:r w:rsidRPr="40ACC29C">
              <w:rPr>
                <w:rFonts w:eastAsia="Arial" w:cs="Arial"/>
                <w:color w:val="000000" w:themeColor="text1"/>
              </w:rPr>
              <w:t xml:space="preserve">The ITSEA requires users to have a degree in psychology, education, or a relevant field. </w:t>
            </w:r>
          </w:p>
        </w:tc>
      </w:tr>
      <w:tr w:rsidR="00A05A51" w:rsidRPr="00C040BF" w14:paraId="5D9E16AC" w14:textId="77777777" w:rsidTr="00D7154C">
        <w:trPr>
          <w:trHeight w:val="300"/>
        </w:trPr>
        <w:tc>
          <w:tcPr>
            <w:tcW w:w="1977" w:type="dxa"/>
            <w:tcBorders>
              <w:top w:val="single" w:sz="6" w:space="0" w:color="auto"/>
              <w:left w:val="single" w:sz="6" w:space="0" w:color="auto"/>
              <w:bottom w:val="single" w:sz="6" w:space="0" w:color="auto"/>
              <w:right w:val="single" w:sz="6" w:space="0" w:color="auto"/>
            </w:tcBorders>
            <w:hideMark/>
          </w:tcPr>
          <w:p w14:paraId="57226511" w14:textId="77777777" w:rsidR="00A05A51" w:rsidRPr="00C040BF" w:rsidRDefault="00A05A51">
            <w:pPr>
              <w:spacing w:after="100"/>
              <w:ind w:left="57" w:right="57"/>
              <w:rPr>
                <w:rFonts w:cs="Arial"/>
                <w:b/>
                <w:bCs/>
              </w:rPr>
            </w:pPr>
            <w:r>
              <w:rPr>
                <w:rFonts w:cs="Arial"/>
                <w:b/>
                <w:bCs/>
              </w:rPr>
              <w:t>How to access</w:t>
            </w:r>
          </w:p>
          <w:p w14:paraId="5D8C1A9C" w14:textId="77777777" w:rsidR="00A05A51" w:rsidRPr="00C040BF" w:rsidRDefault="00A05A51">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62E5BFEA" w14:textId="77777777" w:rsidR="00A05A51" w:rsidRPr="00C040BF" w:rsidRDefault="00A05A51">
            <w:pPr>
              <w:spacing w:after="100"/>
              <w:ind w:left="57" w:right="57"/>
              <w:rPr>
                <w:rFonts w:cs="Arial"/>
              </w:rPr>
            </w:pPr>
            <w:r w:rsidRPr="40ACC29C">
              <w:rPr>
                <w:rFonts w:cs="Arial"/>
              </w:rPr>
              <w:t xml:space="preserve">The ITSEA and BITSEA can be accessed from the </w:t>
            </w:r>
            <w:proofErr w:type="spellStart"/>
            <w:r w:rsidRPr="40ACC29C">
              <w:rPr>
                <w:rFonts w:cs="Arial"/>
              </w:rPr>
              <w:t>Mapi</w:t>
            </w:r>
            <w:proofErr w:type="spellEnd"/>
            <w:r w:rsidRPr="40ACC29C">
              <w:rPr>
                <w:rFonts w:cs="Arial"/>
              </w:rPr>
              <w:t xml:space="preserve"> Research Trust.</w:t>
            </w:r>
          </w:p>
          <w:p w14:paraId="23006DC5" w14:textId="77777777" w:rsidR="00A05A51" w:rsidRPr="00C040BF" w:rsidRDefault="00A05A51">
            <w:pPr>
              <w:spacing w:after="100"/>
              <w:ind w:left="57" w:right="57"/>
              <w:rPr>
                <w:rFonts w:cs="Arial"/>
              </w:rPr>
            </w:pPr>
            <w:hyperlink r:id="rId36">
              <w:r w:rsidRPr="40ACC29C">
                <w:rPr>
                  <w:rStyle w:val="Hyperlink"/>
                  <w:rFonts w:cs="Arial"/>
                </w:rPr>
                <w:t>https://eprovide.mapi-trust.org/instruments/brief-infant-toddler-social-emotional-assessment</w:t>
              </w:r>
            </w:hyperlink>
            <w:r w:rsidRPr="40ACC29C">
              <w:rPr>
                <w:rFonts w:cs="Arial"/>
              </w:rPr>
              <w:t xml:space="preserve"> </w:t>
            </w:r>
          </w:p>
          <w:p w14:paraId="627FD869" w14:textId="77777777" w:rsidR="00A05A51" w:rsidRPr="00C040BF" w:rsidRDefault="00A05A51">
            <w:pPr>
              <w:spacing w:after="100"/>
              <w:ind w:left="57" w:right="57"/>
              <w:rPr>
                <w:rFonts w:cs="Arial"/>
              </w:rPr>
            </w:pPr>
            <w:hyperlink r:id="rId37">
              <w:r w:rsidRPr="40ACC29C">
                <w:rPr>
                  <w:rStyle w:val="Hyperlink"/>
                  <w:rFonts w:cs="Arial"/>
                </w:rPr>
                <w:t>https://eprovide.mapi-trust.org/instruments/infant-toddler-social-emotional-assessment</w:t>
              </w:r>
            </w:hyperlink>
            <w:r w:rsidRPr="40ACC29C">
              <w:rPr>
                <w:rFonts w:cs="Arial"/>
              </w:rPr>
              <w:t xml:space="preserve"> </w:t>
            </w:r>
          </w:p>
        </w:tc>
      </w:tr>
    </w:tbl>
    <w:p w14:paraId="14D8BF38" w14:textId="77777777" w:rsidR="00A05A51" w:rsidRDefault="00A05A51"/>
    <w:p w14:paraId="7C0D1E26" w14:textId="77777777" w:rsidR="00383EE0" w:rsidRDefault="00383EE0">
      <w:pPr>
        <w:rPr>
          <w:rFonts w:eastAsiaTheme="majorEastAsia" w:cs="Arial"/>
          <w:b/>
          <w:bCs/>
          <w:color w:val="3F779D"/>
          <w:sz w:val="32"/>
          <w:szCs w:val="32"/>
        </w:rPr>
      </w:pPr>
      <w:bookmarkStart w:id="43" w:name="_ITSEA_Evidence_Summary"/>
      <w:bookmarkEnd w:id="43"/>
      <w:r>
        <w:br w:type="page"/>
      </w:r>
    </w:p>
    <w:p w14:paraId="045FB43D" w14:textId="00B0071A" w:rsidR="00A05A51" w:rsidRDefault="00A05A51" w:rsidP="006E4A8A">
      <w:pPr>
        <w:pStyle w:val="Heading1"/>
      </w:pPr>
      <w:bookmarkStart w:id="44" w:name="_ITSEA_Evidence_Summary_1"/>
      <w:bookmarkEnd w:id="44"/>
      <w:r>
        <w:lastRenderedPageBreak/>
        <w:t>ITSEA Evidence Summary</w:t>
      </w:r>
    </w:p>
    <w:p w14:paraId="66924886" w14:textId="038F712A" w:rsidR="00A05A51" w:rsidRDefault="00A05A51">
      <w:pPr>
        <w:rPr>
          <w:rFonts w:eastAsia="Aptos" w:cs="Arial"/>
          <w:i/>
          <w:iCs/>
          <w:color w:val="000000" w:themeColor="text1"/>
        </w:rPr>
      </w:pPr>
      <w:hyperlink w:anchor="_ITSEA_Reference_List" w:history="1">
        <w:r w:rsidRPr="00383EE0">
          <w:rPr>
            <w:rStyle w:val="Hyperlink"/>
            <w:rFonts w:eastAsia="Aptos" w:cs="Arial"/>
            <w:i/>
            <w:iCs/>
          </w:rPr>
          <w:t>Link to ITSEA Reference List</w:t>
        </w:r>
      </w:hyperlink>
      <w:r>
        <w:rPr>
          <w:rFonts w:eastAsia="Aptos" w:cs="Arial"/>
          <w:i/>
          <w:iCs/>
          <w:color w:val="000000" w:themeColor="text1"/>
        </w:rPr>
        <w:t xml:space="preserve"> </w:t>
      </w:r>
    </w:p>
    <w:p w14:paraId="1A7C9424" w14:textId="2398C224" w:rsidR="00B90342" w:rsidRDefault="00D218FE">
      <w:pPr>
        <w:rPr>
          <w:rFonts w:eastAsia="Aptos" w:cs="Arial"/>
          <w:i/>
          <w:iCs/>
          <w:color w:val="000000" w:themeColor="text1"/>
        </w:rPr>
      </w:pPr>
      <w:hyperlink w:anchor="_BITSEA_Reference_List_1" w:history="1">
        <w:r w:rsidRPr="00D218FE">
          <w:rPr>
            <w:rStyle w:val="Hyperlink"/>
            <w:rFonts w:eastAsia="Aptos" w:cs="Arial"/>
            <w:i/>
            <w:iCs/>
          </w:rPr>
          <w:t>Link to BITSEA 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A05A51" w:rsidRPr="00DA4CC0" w14:paraId="35A6473E"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14F517A5" w14:textId="77777777" w:rsidR="00A05A51" w:rsidRDefault="00A05A51">
            <w:pPr>
              <w:spacing w:after="100" w:line="276" w:lineRule="auto"/>
              <w:ind w:left="57" w:right="57"/>
              <w:rPr>
                <w:rFonts w:eastAsia="Aptos" w:cs="Arial"/>
                <w:b/>
                <w:bCs/>
              </w:rPr>
            </w:pPr>
            <w:r w:rsidRPr="00DA4CC0">
              <w:rPr>
                <w:rFonts w:eastAsia="Aptos" w:cs="Arial"/>
                <w:b/>
                <w:bCs/>
              </w:rPr>
              <w:t>Overview</w:t>
            </w:r>
          </w:p>
          <w:p w14:paraId="1998DC0D" w14:textId="77777777" w:rsidR="00A05A51" w:rsidRPr="00350F1C" w:rsidRDefault="00A05A51">
            <w:pPr>
              <w:spacing w:after="100" w:line="276" w:lineRule="auto"/>
              <w:ind w:left="57" w:right="57"/>
              <w:rPr>
                <w:rFonts w:eastAsia="Aptos" w:cs="Arial"/>
                <w:i/>
                <w:iCs/>
              </w:rPr>
            </w:pPr>
          </w:p>
        </w:tc>
        <w:tc>
          <w:tcPr>
            <w:tcW w:w="7075" w:type="dxa"/>
            <w:tcBorders>
              <w:top w:val="single" w:sz="6" w:space="0" w:color="auto"/>
              <w:left w:val="single" w:sz="6" w:space="0" w:color="auto"/>
              <w:bottom w:val="single" w:sz="6" w:space="0" w:color="auto"/>
              <w:right w:val="single" w:sz="6" w:space="0" w:color="auto"/>
            </w:tcBorders>
          </w:tcPr>
          <w:p w14:paraId="183EA0AA" w14:textId="77777777" w:rsidR="00A05A51" w:rsidRPr="00DA4CC0" w:rsidRDefault="00A05A51">
            <w:pPr>
              <w:spacing w:after="100" w:line="276" w:lineRule="auto"/>
              <w:ind w:left="57" w:right="57"/>
              <w:rPr>
                <w:rFonts w:eastAsia="Aptos" w:cs="Arial"/>
                <w:color w:val="000000" w:themeColor="text1"/>
              </w:rPr>
            </w:pPr>
            <w:r>
              <w:rPr>
                <w:rFonts w:eastAsia="Aptos" w:cs="Arial"/>
                <w:color w:val="000000" w:themeColor="text1"/>
              </w:rPr>
              <w:t xml:space="preserve">31 studies were identified that report on the psychometric properties of the ITSEA or </w:t>
            </w:r>
            <w:proofErr w:type="gramStart"/>
            <w:r>
              <w:rPr>
                <w:rFonts w:eastAsia="Aptos" w:cs="Arial"/>
                <w:color w:val="000000" w:themeColor="text1"/>
              </w:rPr>
              <w:t>BITSEA, or</w:t>
            </w:r>
            <w:proofErr w:type="gramEnd"/>
            <w:r>
              <w:rPr>
                <w:rFonts w:eastAsia="Aptos" w:cs="Arial"/>
                <w:color w:val="000000" w:themeColor="text1"/>
              </w:rPr>
              <w:t xml:space="preserve"> use these tools as an outcome measure in the ECI setting (2003-2024).</w:t>
            </w:r>
          </w:p>
        </w:tc>
      </w:tr>
      <w:tr w:rsidR="00A05A51" w:rsidRPr="00DA4CC0" w14:paraId="2969332A"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4707D2D1" w14:textId="77777777" w:rsidR="00A05A51" w:rsidRPr="00DA4CC0" w:rsidRDefault="00A05A51">
            <w:pPr>
              <w:spacing w:after="100" w:line="276" w:lineRule="auto"/>
              <w:ind w:left="57" w:right="57"/>
              <w:rPr>
                <w:rFonts w:eastAsia="Aptos" w:cs="Arial"/>
                <w:b/>
                <w:bCs/>
              </w:rPr>
            </w:pPr>
            <w:r w:rsidRPr="00DA4CC0">
              <w:rPr>
                <w:rFonts w:eastAsia="Aptos" w:cs="Arial"/>
                <w:b/>
                <w:bCs/>
              </w:rPr>
              <w:t>Review papers</w:t>
            </w:r>
          </w:p>
        </w:tc>
        <w:tc>
          <w:tcPr>
            <w:tcW w:w="7075" w:type="dxa"/>
            <w:tcBorders>
              <w:top w:val="single" w:sz="6" w:space="0" w:color="auto"/>
              <w:left w:val="single" w:sz="6" w:space="0" w:color="auto"/>
              <w:bottom w:val="single" w:sz="6" w:space="0" w:color="auto"/>
              <w:right w:val="single" w:sz="6" w:space="0" w:color="auto"/>
            </w:tcBorders>
          </w:tcPr>
          <w:p w14:paraId="122F65BC" w14:textId="77777777" w:rsidR="00A05A51" w:rsidRDefault="00A05A51">
            <w:pPr>
              <w:spacing w:after="100" w:line="276" w:lineRule="auto"/>
              <w:ind w:left="57" w:right="57"/>
              <w:rPr>
                <w:rFonts w:eastAsia="Aptos" w:cs="Arial"/>
                <w:color w:val="000000" w:themeColor="text1"/>
              </w:rPr>
            </w:pPr>
            <w:r>
              <w:rPr>
                <w:rFonts w:eastAsia="Aptos" w:cs="Arial"/>
                <w:color w:val="000000" w:themeColor="text1"/>
              </w:rPr>
              <w:t xml:space="preserve">No reviews were identified describing the ITSEA. </w:t>
            </w:r>
          </w:p>
          <w:p w14:paraId="3F5E8D8D" w14:textId="77777777" w:rsidR="00A05A51" w:rsidRPr="00DA4CC0" w:rsidRDefault="00A05A51">
            <w:pPr>
              <w:spacing w:after="100" w:line="276" w:lineRule="auto"/>
              <w:ind w:left="57" w:right="57"/>
              <w:rPr>
                <w:rFonts w:eastAsia="Aptos" w:cs="Arial"/>
                <w:color w:val="000000" w:themeColor="text1"/>
              </w:rPr>
            </w:pPr>
            <w:r w:rsidRPr="006E4392">
              <w:rPr>
                <w:rFonts w:eastAsia="Aptos" w:cs="Arial"/>
                <w:color w:val="000000" w:themeColor="text1"/>
              </w:rPr>
              <w:t xml:space="preserve">A systematic review (USA, 2016) found that few studies have examined the BITSEA as a screening tool </w:t>
            </w:r>
            <w:r>
              <w:rPr>
                <w:rFonts w:eastAsia="Aptos" w:cs="Arial"/>
                <w:color w:val="000000" w:themeColor="text1"/>
              </w:rPr>
              <w:t xml:space="preserve">for identifying overall psychopathology </w:t>
            </w:r>
            <w:r w:rsidRPr="006E4392">
              <w:rPr>
                <w:rFonts w:eastAsia="Aptos" w:cs="Arial"/>
                <w:color w:val="000000" w:themeColor="text1"/>
              </w:rPr>
              <w:t>in p</w:t>
            </w:r>
            <w:r>
              <w:rPr>
                <w:rFonts w:eastAsia="Aptos" w:cs="Arial"/>
                <w:color w:val="000000" w:themeColor="text1"/>
              </w:rPr>
              <w:t>a</w:t>
            </w:r>
            <w:r w:rsidRPr="006E4392">
              <w:rPr>
                <w:rFonts w:eastAsia="Aptos" w:cs="Arial"/>
                <w:color w:val="000000" w:themeColor="text1"/>
              </w:rPr>
              <w:t>ediatric primary care, limiting evidence of its effectiveness</w:t>
            </w:r>
            <w:r>
              <w:rPr>
                <w:rFonts w:eastAsia="Aptos" w:cs="Arial"/>
                <w:color w:val="000000" w:themeColor="text1"/>
              </w:rPr>
              <w:t xml:space="preserve"> in this specific context</w:t>
            </w:r>
            <w:r w:rsidRPr="006E4392">
              <w:rPr>
                <w:rFonts w:eastAsia="Aptos" w:cs="Arial"/>
                <w:color w:val="000000" w:themeColor="text1"/>
              </w:rPr>
              <w:t>.</w:t>
            </w:r>
          </w:p>
        </w:tc>
      </w:tr>
      <w:tr w:rsidR="00A05A51" w:rsidRPr="00DA4CC0" w14:paraId="7DA02755"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43DC9D09" w14:textId="77777777" w:rsidR="00A05A51" w:rsidRPr="00DA4CC0" w:rsidRDefault="00A05A51">
            <w:pPr>
              <w:spacing w:after="100" w:line="276" w:lineRule="auto"/>
              <w:ind w:left="57" w:right="57"/>
              <w:rPr>
                <w:rFonts w:eastAsia="Aptos" w:cs="Arial"/>
                <w:b/>
                <w:bCs/>
              </w:rPr>
            </w:pPr>
            <w:r w:rsidRPr="00DA4CC0">
              <w:rPr>
                <w:rFonts w:eastAsia="Aptos" w:cs="Arial"/>
                <w:b/>
                <w:bC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018146C1" w14:textId="77777777" w:rsidR="00A05A51" w:rsidRDefault="00A05A51">
            <w:pPr>
              <w:spacing w:after="100" w:line="276" w:lineRule="auto"/>
              <w:ind w:left="57" w:right="57"/>
              <w:rPr>
                <w:rFonts w:eastAsia="Aptos" w:cs="Arial"/>
                <w:color w:val="000000" w:themeColor="text1"/>
              </w:rPr>
            </w:pPr>
            <w:r w:rsidRPr="0004060E">
              <w:rPr>
                <w:rFonts w:eastAsia="Aptos" w:cs="Arial"/>
                <w:color w:val="000000" w:themeColor="text1"/>
              </w:rPr>
              <w:t xml:space="preserve">The ITSEA and BITSEA have established reliability (internal consistency with Cronbach's alpha &gt;0.7, excellent test-retest reliability, good interrater reliability between parents and between parents and childcare providers) and validity (concurrent, predictive and discriminate validity) in early intervention settings, though some subscales may show floor or ceiling effects in very young children. </w:t>
            </w:r>
            <w:r>
              <w:rPr>
                <w:rFonts w:eastAsia="Aptos" w:cs="Arial"/>
                <w:color w:val="000000" w:themeColor="text1"/>
              </w:rPr>
              <w:t xml:space="preserve">This evidence spans </w:t>
            </w:r>
            <w:r w:rsidRPr="0004060E">
              <w:rPr>
                <w:rFonts w:eastAsia="Aptos" w:cs="Arial"/>
                <w:color w:val="000000" w:themeColor="text1"/>
              </w:rPr>
              <w:t>observational</w:t>
            </w:r>
            <w:r>
              <w:rPr>
                <w:rFonts w:eastAsia="Aptos" w:cs="Arial"/>
                <w:color w:val="000000" w:themeColor="text1"/>
              </w:rPr>
              <w:t xml:space="preserve"> studies</w:t>
            </w:r>
            <w:r w:rsidRPr="0004060E">
              <w:rPr>
                <w:rFonts w:eastAsia="Aptos" w:cs="Arial"/>
                <w:color w:val="000000" w:themeColor="text1"/>
              </w:rPr>
              <w:t>, children referred for early intervention, children referred for psychiatric evaluation</w:t>
            </w:r>
            <w:r>
              <w:rPr>
                <w:rFonts w:eastAsia="Aptos" w:cs="Arial"/>
                <w:color w:val="000000" w:themeColor="text1"/>
              </w:rPr>
              <w:t xml:space="preserve">, </w:t>
            </w:r>
            <w:r w:rsidRPr="0068590D">
              <w:rPr>
                <w:rFonts w:eastAsia="Aptos" w:cs="Arial"/>
                <w:color w:val="000000" w:themeColor="text1"/>
              </w:rPr>
              <w:t>and low-income and Hispanic/Spanish-speaking families</w:t>
            </w:r>
            <w:r w:rsidRPr="0004060E">
              <w:rPr>
                <w:rFonts w:eastAsia="Aptos" w:cs="Arial"/>
                <w:color w:val="000000" w:themeColor="text1"/>
              </w:rPr>
              <w:t xml:space="preserve"> (USA, Netherlands, and Norway, 2003 – 2016).   </w:t>
            </w:r>
          </w:p>
          <w:p w14:paraId="5783FD7A" w14:textId="77777777" w:rsidR="00A05A51" w:rsidRPr="00DA4CC0" w:rsidRDefault="00A05A51">
            <w:pPr>
              <w:spacing w:after="100" w:line="276" w:lineRule="auto"/>
              <w:ind w:left="57" w:right="57"/>
              <w:rPr>
                <w:rFonts w:eastAsia="Aptos" w:cs="Arial"/>
                <w:color w:val="000000" w:themeColor="text1"/>
              </w:rPr>
            </w:pPr>
            <w:r w:rsidRPr="0682ED78">
              <w:rPr>
                <w:rFonts w:eastAsia="Aptos" w:cs="Arial"/>
                <w:color w:val="000000" w:themeColor="text1"/>
              </w:rPr>
              <w:t>The BITSEA demonstrates moderate to high discriminative power for autism spectrum disorder and for general social-emotional/behavioural problems across different populations.</w:t>
            </w:r>
          </w:p>
        </w:tc>
      </w:tr>
      <w:tr w:rsidR="00A05A51" w:rsidRPr="00DA4CC0" w14:paraId="31FE70C9"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0411D068" w14:textId="77777777" w:rsidR="00A05A51" w:rsidRPr="00DA4CC0" w:rsidRDefault="00A05A51">
            <w:pPr>
              <w:spacing w:after="100" w:line="276" w:lineRule="auto"/>
              <w:ind w:left="57" w:right="57"/>
              <w:rPr>
                <w:rFonts w:eastAsia="Aptos" w:cs="Arial"/>
                <w:b/>
                <w:bCs/>
              </w:rPr>
            </w:pPr>
            <w:r w:rsidRPr="00DA4CC0">
              <w:rPr>
                <w:rFonts w:eastAsia="Aptos" w:cs="Arial"/>
                <w:b/>
                <w:bCs/>
              </w:rPr>
              <w:t xml:space="preserve">Cultural </w:t>
            </w:r>
            <w:r>
              <w:rPr>
                <w:rFonts w:eastAsia="Aptos" w:cs="Arial"/>
                <w:b/>
                <w:bCs/>
              </w:rPr>
              <w:t xml:space="preserve">adaptation </w:t>
            </w:r>
            <w:r w:rsidRPr="00DA4CC0">
              <w:rPr>
                <w:rFonts w:eastAsia="Aptos" w:cs="Arial"/>
                <w:b/>
                <w:bCs/>
              </w:rPr>
              <w:t>papers</w:t>
            </w:r>
          </w:p>
        </w:tc>
        <w:tc>
          <w:tcPr>
            <w:tcW w:w="7075" w:type="dxa"/>
            <w:tcBorders>
              <w:top w:val="single" w:sz="6" w:space="0" w:color="auto"/>
              <w:left w:val="single" w:sz="6" w:space="0" w:color="auto"/>
              <w:bottom w:val="single" w:sz="6" w:space="0" w:color="auto"/>
              <w:right w:val="single" w:sz="6" w:space="0" w:color="auto"/>
            </w:tcBorders>
          </w:tcPr>
          <w:p w14:paraId="3A74E83E" w14:textId="77777777" w:rsidR="00A05A51" w:rsidRPr="00DA4CC0" w:rsidRDefault="00A05A51">
            <w:pPr>
              <w:spacing w:after="100" w:line="276" w:lineRule="auto"/>
              <w:ind w:left="57" w:right="57"/>
              <w:rPr>
                <w:rFonts w:eastAsia="Aptos" w:cs="Arial"/>
                <w:color w:val="000000" w:themeColor="text1"/>
              </w:rPr>
            </w:pPr>
            <w:r>
              <w:rPr>
                <w:rFonts w:eastAsia="Aptos" w:cs="Arial"/>
                <w:color w:val="000000" w:themeColor="text1"/>
              </w:rPr>
              <w:t>The psychometric properties of the ITSEA have been explored for low-risk infants using the Korean version (2018), Japanese version (2015) and Chinese version (2009). The psychometric properties of the BITSEA have been explored for low-risk infants using the French version (2014), the Dutch version (2012) and the Turkish version (2009).</w:t>
            </w:r>
          </w:p>
        </w:tc>
      </w:tr>
      <w:tr w:rsidR="00A05A51" w:rsidRPr="00DA4CC0" w14:paraId="040B7D62"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093995D5" w14:textId="77777777" w:rsidR="00A05A51" w:rsidRPr="00DA4CC0" w:rsidRDefault="00A05A51">
            <w:pPr>
              <w:spacing w:after="100" w:line="276" w:lineRule="auto"/>
              <w:ind w:left="57" w:right="57"/>
              <w:rPr>
                <w:rFonts w:eastAsia="Aptos" w:cs="Arial"/>
                <w:b/>
                <w:bCs/>
              </w:rPr>
            </w:pPr>
            <w:r w:rsidRPr="00DA4CC0">
              <w:rPr>
                <w:rFonts w:eastAsia="Aptos" w:cs="Arial"/>
                <w:b/>
                <w:bCs/>
              </w:rPr>
              <w:t>Outcome studies in ECI settings</w:t>
            </w:r>
          </w:p>
        </w:tc>
        <w:tc>
          <w:tcPr>
            <w:tcW w:w="7075" w:type="dxa"/>
            <w:tcBorders>
              <w:top w:val="single" w:sz="6" w:space="0" w:color="auto"/>
              <w:left w:val="single" w:sz="6" w:space="0" w:color="auto"/>
              <w:bottom w:val="single" w:sz="6" w:space="0" w:color="auto"/>
              <w:right w:val="single" w:sz="6" w:space="0" w:color="auto"/>
            </w:tcBorders>
          </w:tcPr>
          <w:p w14:paraId="0135B272" w14:textId="77777777" w:rsidR="00A05A51" w:rsidRPr="008D3630" w:rsidRDefault="00A05A51">
            <w:pPr>
              <w:spacing w:after="100" w:line="276" w:lineRule="auto"/>
              <w:ind w:left="57" w:right="57"/>
              <w:rPr>
                <w:rFonts w:eastAsia="Aptos" w:cs="Arial"/>
                <w:color w:val="000000" w:themeColor="text1"/>
              </w:rPr>
            </w:pPr>
            <w:r w:rsidRPr="008D3630">
              <w:rPr>
                <w:rFonts w:eastAsia="Aptos" w:cs="Arial"/>
                <w:color w:val="000000" w:themeColor="text1"/>
              </w:rPr>
              <w:t>No studies were identified that used the ITSEA as an outcome measure in the ECI practice setting</w:t>
            </w:r>
          </w:p>
        </w:tc>
      </w:tr>
    </w:tbl>
    <w:p w14:paraId="367AECD1" w14:textId="77777777" w:rsidR="00994072" w:rsidRPr="00B95552" w:rsidRDefault="00994072" w:rsidP="00A136FE">
      <w:pPr>
        <w:spacing w:after="0" w:line="240" w:lineRule="auto"/>
        <w:rPr>
          <w:rFonts w:cs="Arial"/>
          <w:sz w:val="23"/>
          <w:szCs w:val="23"/>
        </w:rPr>
      </w:pPr>
      <w:r w:rsidRPr="00B95552">
        <w:rPr>
          <w:sz w:val="23"/>
          <w:szCs w:val="23"/>
        </w:rPr>
        <w:t xml:space="preserve">This Evidence Summary was developed with rapid synthesis methods, combining a comprehensive PubMed search, augmented literature identification, and dual reviewer screening. It represents a living resource that maps key evidence on measurement </w:t>
      </w:r>
      <w:r w:rsidRPr="00B95552">
        <w:rPr>
          <w:sz w:val="23"/>
          <w:szCs w:val="23"/>
        </w:rPr>
        <w:lastRenderedPageBreak/>
        <w:t xml:space="preserve">properties, cultural adaptations, and relevant applications in the ECI practice setting for each outcome measure. For complete methodology, see our </w:t>
      </w:r>
      <w:hyperlink w:history="1">
        <w:r w:rsidR="00A05A51" w:rsidRPr="00B95552">
          <w:rPr>
            <w:sz w:val="23"/>
            <w:szCs w:val="23"/>
          </w:rPr>
          <w:t>Methods Explainer</w:t>
        </w:r>
      </w:hyperlink>
      <w:r w:rsidRPr="00B95552">
        <w:rPr>
          <w:rFonts w:cs="Arial"/>
          <w:sz w:val="23"/>
          <w:szCs w:val="23"/>
        </w:rPr>
        <w:t>.</w:t>
      </w:r>
    </w:p>
    <w:p w14:paraId="5F230748" w14:textId="77777777" w:rsidR="007E4A9A" w:rsidRDefault="007E4A9A">
      <w:pPr>
        <w:spacing w:before="0" w:after="160"/>
        <w:rPr>
          <w:rFonts w:ascii="Poppins" w:eastAsiaTheme="majorEastAsia" w:hAnsi="Poppins" w:cstheme="majorBidi"/>
          <w:b/>
          <w:color w:val="064265"/>
          <w:sz w:val="32"/>
          <w:szCs w:val="32"/>
        </w:rPr>
      </w:pPr>
      <w:bookmarkStart w:id="45" w:name="_ITSEA_Reference_List"/>
      <w:bookmarkEnd w:id="45"/>
      <w:r>
        <w:br w:type="page"/>
      </w:r>
    </w:p>
    <w:p w14:paraId="0D8984A0" w14:textId="46D471EA" w:rsidR="00A05A51" w:rsidRPr="00E42813" w:rsidRDefault="00A05A51" w:rsidP="006E4A8A">
      <w:pPr>
        <w:pStyle w:val="Heading1"/>
      </w:pPr>
      <w:r>
        <w:lastRenderedPageBreak/>
        <w:t>ITSEA</w:t>
      </w:r>
      <w:r w:rsidRPr="002046A7">
        <w:t xml:space="preserve"> Reference List</w:t>
      </w:r>
    </w:p>
    <w:p w14:paraId="6FB19C34" w14:textId="4D93BAF7" w:rsidR="00A05A51" w:rsidRPr="00602F32" w:rsidRDefault="00602F32">
      <w:pPr>
        <w:rPr>
          <w:rStyle w:val="Hyperlink"/>
          <w:rFonts w:eastAsia="Aptos" w:cs="Arial"/>
          <w:i/>
          <w:iCs/>
        </w:rPr>
      </w:pPr>
      <w:r>
        <w:rPr>
          <w:rFonts w:eastAsia="Aptos" w:cs="Arial"/>
          <w:i/>
          <w:iCs/>
        </w:rPr>
        <w:fldChar w:fldCharType="begin"/>
      </w:r>
      <w:r>
        <w:rPr>
          <w:rFonts w:eastAsia="Aptos" w:cs="Arial"/>
          <w:i/>
          <w:iCs/>
        </w:rPr>
        <w:instrText>HYPERLINK  \l "_ITSEA_Evidence_Summary_1"</w:instrText>
      </w:r>
      <w:r>
        <w:rPr>
          <w:rFonts w:eastAsia="Aptos" w:cs="Arial"/>
          <w:i/>
          <w:iCs/>
        </w:rPr>
      </w:r>
      <w:r>
        <w:rPr>
          <w:rFonts w:eastAsia="Aptos" w:cs="Arial"/>
          <w:i/>
          <w:iCs/>
        </w:rPr>
        <w:fldChar w:fldCharType="separate"/>
      </w:r>
      <w:r w:rsidR="00A05A51" w:rsidRPr="00602F32">
        <w:rPr>
          <w:rStyle w:val="Hyperlink"/>
          <w:rFonts w:eastAsia="Aptos" w:cs="Arial"/>
          <w:i/>
          <w:iCs/>
        </w:rPr>
        <w:t>Link to ITSEA / BITSEA Evidence Summary</w:t>
      </w:r>
    </w:p>
    <w:p w14:paraId="0BC26BEF" w14:textId="47E75699" w:rsidR="00A05A51" w:rsidRPr="00602F32" w:rsidRDefault="00602F32">
      <w:pPr>
        <w:rPr>
          <w:rStyle w:val="Hyperlink"/>
          <w:rFonts w:eastAsia="Aptos" w:cs="Arial"/>
          <w:i/>
          <w:iCs/>
        </w:rPr>
      </w:pPr>
      <w:r>
        <w:rPr>
          <w:rFonts w:eastAsia="Aptos" w:cs="Arial"/>
          <w:i/>
          <w:iCs/>
        </w:rPr>
        <w:fldChar w:fldCharType="end"/>
      </w:r>
      <w:r>
        <w:rPr>
          <w:rFonts w:eastAsia="Aptos" w:cs="Arial"/>
          <w:i/>
          <w:iCs/>
        </w:rPr>
        <w:fldChar w:fldCharType="begin"/>
      </w:r>
      <w:r>
        <w:rPr>
          <w:rFonts w:eastAsia="Aptos" w:cs="Arial"/>
          <w:i/>
          <w:iCs/>
        </w:rPr>
        <w:instrText>HYPERLINK  \l "_BITSEA_Reference_List_1"</w:instrText>
      </w:r>
      <w:r>
        <w:rPr>
          <w:rFonts w:eastAsia="Aptos" w:cs="Arial"/>
          <w:i/>
          <w:iCs/>
        </w:rPr>
      </w:r>
      <w:r>
        <w:rPr>
          <w:rFonts w:eastAsia="Aptos" w:cs="Arial"/>
          <w:i/>
          <w:iCs/>
        </w:rPr>
        <w:fldChar w:fldCharType="separate"/>
      </w:r>
      <w:r w:rsidR="00A05A51" w:rsidRPr="00602F32">
        <w:rPr>
          <w:rStyle w:val="Hyperlink"/>
          <w:rFonts w:eastAsia="Aptos" w:cs="Arial"/>
          <w:i/>
          <w:iCs/>
        </w:rPr>
        <w:t>Link to BITSEA Ref</w:t>
      </w:r>
      <w:bookmarkStart w:id="46" w:name="_Hlt198897155"/>
      <w:r w:rsidR="00A05A51" w:rsidRPr="00602F32">
        <w:rPr>
          <w:rStyle w:val="Hyperlink"/>
          <w:rFonts w:eastAsia="Aptos" w:cs="Arial"/>
          <w:i/>
          <w:iCs/>
        </w:rPr>
        <w:t>e</w:t>
      </w:r>
      <w:bookmarkEnd w:id="46"/>
      <w:r w:rsidR="00A05A51" w:rsidRPr="00602F32">
        <w:rPr>
          <w:rStyle w:val="Hyperlink"/>
          <w:rFonts w:eastAsia="Aptos" w:cs="Arial"/>
          <w:i/>
          <w:iCs/>
        </w:rPr>
        <w:t>rence List</w:t>
      </w:r>
    </w:p>
    <w:p w14:paraId="3CB358CF" w14:textId="125752E0" w:rsidR="00A05A51" w:rsidRDefault="00602F32" w:rsidP="003660D4">
      <w:pPr>
        <w:pStyle w:val="Heading2"/>
      </w:pPr>
      <w:r>
        <w:rPr>
          <w:rFonts w:eastAsia="Aptos"/>
          <w:b/>
          <w:i/>
          <w:iCs/>
          <w:color w:val="auto"/>
        </w:rPr>
        <w:fldChar w:fldCharType="end"/>
      </w:r>
      <w:r w:rsidR="00A05A51">
        <w:t>Reviews</w:t>
      </w:r>
    </w:p>
    <w:p w14:paraId="4762E4C0" w14:textId="77777777" w:rsidR="00A05A51" w:rsidRDefault="00A05A51">
      <w:pPr>
        <w:pBdr>
          <w:top w:val="none" w:sz="0" w:space="0" w:color="000000"/>
          <w:left w:val="none" w:sz="0" w:space="0" w:color="000000"/>
          <w:bottom w:val="none" w:sz="0" w:space="0" w:color="000000"/>
          <w:right w:val="none" w:sz="0" w:space="0" w:color="000000"/>
        </w:pBdr>
      </w:pPr>
      <w:r>
        <w:rPr>
          <w:rFonts w:eastAsia="Arial" w:cs="Arial"/>
          <w:i/>
          <w:color w:val="000000"/>
        </w:rPr>
        <w:t>No references identified</w:t>
      </w:r>
    </w:p>
    <w:p w14:paraId="37EE74A4" w14:textId="77777777" w:rsidR="00A05A51" w:rsidRDefault="00A05A51" w:rsidP="003660D4">
      <w:pPr>
        <w:pStyle w:val="Heading2"/>
      </w:pPr>
      <w:r>
        <w:t>Measurement Properties</w:t>
      </w:r>
    </w:p>
    <w:p w14:paraId="51FD77B7" w14:textId="0045DE1B"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 xml:space="preserve">Sanner N, Smith L, Wentzel-Larsen T, Moe V. (2016). Early identification of social-emotional problems: Applicability of the Infant-Toddler Social Emotional Assessment (ITSEA) at its lower age limit. </w:t>
      </w:r>
      <w:r>
        <w:rPr>
          <w:rFonts w:eastAsia="Arial" w:cs="Arial"/>
          <w:i/>
          <w:color w:val="000000"/>
        </w:rPr>
        <w:t xml:space="preserve">Infant </w:t>
      </w:r>
      <w:proofErr w:type="spellStart"/>
      <w:r>
        <w:rPr>
          <w:rFonts w:eastAsia="Arial" w:cs="Arial"/>
          <w:i/>
          <w:color w:val="000000"/>
        </w:rPr>
        <w:t>Behav</w:t>
      </w:r>
      <w:proofErr w:type="spellEnd"/>
      <w:r>
        <w:rPr>
          <w:rFonts w:eastAsia="Arial" w:cs="Arial"/>
          <w:i/>
          <w:color w:val="000000"/>
        </w:rPr>
        <w:t xml:space="preserve"> Dev</w:t>
      </w:r>
      <w:r>
        <w:rPr>
          <w:rFonts w:eastAsia="Arial" w:cs="Arial"/>
          <w:color w:val="000000"/>
        </w:rPr>
        <w:t xml:space="preserve">, </w:t>
      </w:r>
      <w:r w:rsidR="006D2CB6">
        <w:rPr>
          <w:rFonts w:eastAsia="Arial" w:cs="Arial"/>
          <w:color w:val="000000"/>
        </w:rPr>
        <w:t>42:69-85</w:t>
      </w:r>
      <w:r>
        <w:rPr>
          <w:rFonts w:eastAsia="Arial" w:cs="Arial"/>
          <w:color w:val="000000"/>
        </w:rPr>
        <w:t>.</w:t>
      </w:r>
      <w:r>
        <w:rPr>
          <w:rFonts w:eastAsia="Arial" w:cs="Arial"/>
          <w:color w:val="0000FF"/>
          <w:u w:val="single"/>
        </w:rPr>
        <w:t xml:space="preserve"> https://doi.org/10.1016/j.infbeh.2015.11.001</w:t>
      </w:r>
    </w:p>
    <w:p w14:paraId="03E693E8" w14:textId="77777777"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Ben-Sasson A, Amit-Ben-</w:t>
      </w:r>
      <w:proofErr w:type="spellStart"/>
      <w:r>
        <w:rPr>
          <w:rFonts w:eastAsia="Arial" w:cs="Arial"/>
          <w:color w:val="000000"/>
        </w:rPr>
        <w:t>Simhon</w:t>
      </w:r>
      <w:proofErr w:type="spellEnd"/>
      <w:r>
        <w:rPr>
          <w:rFonts w:eastAsia="Arial" w:cs="Arial"/>
          <w:color w:val="000000"/>
        </w:rPr>
        <w:t xml:space="preserve"> H, Meyer S. (2015). Cross-parent reliability in rating ASD markers in infants. </w:t>
      </w:r>
      <w:r>
        <w:rPr>
          <w:rFonts w:eastAsia="Arial" w:cs="Arial"/>
          <w:i/>
          <w:color w:val="000000"/>
        </w:rPr>
        <w:t xml:space="preserve">Dev </w:t>
      </w:r>
      <w:proofErr w:type="spellStart"/>
      <w:r>
        <w:rPr>
          <w:rFonts w:eastAsia="Arial" w:cs="Arial"/>
          <w:i/>
          <w:color w:val="000000"/>
        </w:rPr>
        <w:t>Neurorehabil</w:t>
      </w:r>
      <w:proofErr w:type="spellEnd"/>
      <w:r>
        <w:rPr>
          <w:rFonts w:eastAsia="Arial" w:cs="Arial"/>
          <w:color w:val="000000"/>
        </w:rPr>
        <w:t>, 18(3):155-61.</w:t>
      </w:r>
      <w:r>
        <w:rPr>
          <w:rFonts w:eastAsia="Arial" w:cs="Arial"/>
          <w:color w:val="0000FF"/>
          <w:u w:val="single"/>
        </w:rPr>
        <w:t xml:space="preserve"> https://doi.org/10.3109/17518423.2013.800164</w:t>
      </w:r>
    </w:p>
    <w:p w14:paraId="3FC4D863" w14:textId="77777777"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 xml:space="preserve">Visser JC, </w:t>
      </w:r>
      <w:proofErr w:type="spellStart"/>
      <w:r>
        <w:rPr>
          <w:rFonts w:eastAsia="Arial" w:cs="Arial"/>
          <w:color w:val="000000"/>
        </w:rPr>
        <w:t>Smeekens</w:t>
      </w:r>
      <w:proofErr w:type="spellEnd"/>
      <w:r>
        <w:rPr>
          <w:rFonts w:eastAsia="Arial" w:cs="Arial"/>
          <w:color w:val="000000"/>
        </w:rPr>
        <w:t xml:space="preserve"> S, </w:t>
      </w:r>
      <w:proofErr w:type="spellStart"/>
      <w:r>
        <w:rPr>
          <w:rFonts w:eastAsia="Arial" w:cs="Arial"/>
          <w:color w:val="000000"/>
        </w:rPr>
        <w:t>Rommelse</w:t>
      </w:r>
      <w:proofErr w:type="spellEnd"/>
      <w:r>
        <w:rPr>
          <w:rFonts w:eastAsia="Arial" w:cs="Arial"/>
          <w:color w:val="000000"/>
        </w:rPr>
        <w:t xml:space="preserve"> N, </w:t>
      </w:r>
      <w:proofErr w:type="spellStart"/>
      <w:r>
        <w:rPr>
          <w:rFonts w:eastAsia="Arial" w:cs="Arial"/>
          <w:color w:val="000000"/>
        </w:rPr>
        <w:t>Verkes</w:t>
      </w:r>
      <w:proofErr w:type="spellEnd"/>
      <w:r>
        <w:rPr>
          <w:rFonts w:eastAsia="Arial" w:cs="Arial"/>
          <w:color w:val="000000"/>
        </w:rPr>
        <w:t xml:space="preserve"> RJ, van der Gaag RJ, </w:t>
      </w:r>
      <w:proofErr w:type="spellStart"/>
      <w:r>
        <w:rPr>
          <w:rFonts w:eastAsia="Arial" w:cs="Arial"/>
          <w:color w:val="000000"/>
        </w:rPr>
        <w:t>Buitelaar</w:t>
      </w:r>
      <w:proofErr w:type="spellEnd"/>
      <w:r>
        <w:rPr>
          <w:rFonts w:eastAsia="Arial" w:cs="Arial"/>
          <w:color w:val="000000"/>
        </w:rPr>
        <w:t xml:space="preserve"> JK. (2010). Assessment of psychopathology in 2- to 5-year-olds: Applying the Infant-Toddler Social Emotional Assessment. </w:t>
      </w:r>
      <w:r>
        <w:rPr>
          <w:rFonts w:eastAsia="Arial" w:cs="Arial"/>
          <w:i/>
          <w:color w:val="000000"/>
        </w:rPr>
        <w:t>Infant Ment Health J</w:t>
      </w:r>
      <w:r>
        <w:rPr>
          <w:rFonts w:eastAsia="Arial" w:cs="Arial"/>
          <w:color w:val="000000"/>
        </w:rPr>
        <w:t>, 31(6):611-629.</w:t>
      </w:r>
      <w:r>
        <w:rPr>
          <w:rFonts w:eastAsia="Arial" w:cs="Arial"/>
          <w:color w:val="0000FF"/>
          <w:u w:val="single"/>
        </w:rPr>
        <w:t xml:space="preserve"> https://doi.org/10.1002/imhj.20273</w:t>
      </w:r>
    </w:p>
    <w:p w14:paraId="7DAE3523" w14:textId="77777777"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 xml:space="preserve">Briggs-Gowan MJ, Carter AS. (2007). Applying the Infant-Toddler Social &amp; Emotional Assessment (ITSEA) and Brief-ITSEA in early intervention. </w:t>
      </w:r>
      <w:r>
        <w:rPr>
          <w:rFonts w:eastAsia="Arial" w:cs="Arial"/>
          <w:i/>
          <w:color w:val="000000"/>
        </w:rPr>
        <w:t>Infant Ment Health J</w:t>
      </w:r>
      <w:r>
        <w:rPr>
          <w:rFonts w:eastAsia="Arial" w:cs="Arial"/>
          <w:color w:val="000000"/>
        </w:rPr>
        <w:t>, 28(6):564-583.</w:t>
      </w:r>
      <w:r>
        <w:rPr>
          <w:rFonts w:eastAsia="Arial" w:cs="Arial"/>
          <w:color w:val="0000FF"/>
          <w:u w:val="single"/>
        </w:rPr>
        <w:t xml:space="preserve"> https://doi.org/10.1002/imhj.20154</w:t>
      </w:r>
    </w:p>
    <w:p w14:paraId="1F39847D" w14:textId="3B10F8C1"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 xml:space="preserve">Carter AS, Briggs-Gowan MJ, Jones SM, Little TD. (2003). The Infant-Toddler Social and Emotional Assessment (ITSEA): </w:t>
      </w:r>
      <w:r w:rsidR="0037404C">
        <w:rPr>
          <w:rFonts w:eastAsia="Arial" w:cs="Arial"/>
          <w:color w:val="000000"/>
        </w:rPr>
        <w:t>F</w:t>
      </w:r>
      <w:r>
        <w:rPr>
          <w:rFonts w:eastAsia="Arial" w:cs="Arial"/>
          <w:color w:val="000000"/>
        </w:rPr>
        <w:t xml:space="preserve">actor structure, reliability, and validity. </w:t>
      </w:r>
      <w:r>
        <w:rPr>
          <w:rFonts w:eastAsia="Arial" w:cs="Arial"/>
          <w:i/>
          <w:color w:val="000000"/>
        </w:rPr>
        <w:t xml:space="preserve">J </w:t>
      </w:r>
      <w:proofErr w:type="spellStart"/>
      <w:r>
        <w:rPr>
          <w:rFonts w:eastAsia="Arial" w:cs="Arial"/>
          <w:i/>
          <w:color w:val="000000"/>
        </w:rPr>
        <w:t>Abnorm</w:t>
      </w:r>
      <w:proofErr w:type="spellEnd"/>
      <w:r>
        <w:rPr>
          <w:rFonts w:eastAsia="Arial" w:cs="Arial"/>
          <w:i/>
          <w:color w:val="000000"/>
        </w:rPr>
        <w:t xml:space="preserve"> Child Psychol</w:t>
      </w:r>
      <w:r>
        <w:rPr>
          <w:rFonts w:eastAsia="Arial" w:cs="Arial"/>
          <w:color w:val="000000"/>
        </w:rPr>
        <w:t>, 31(5):495-514.</w:t>
      </w:r>
      <w:r>
        <w:rPr>
          <w:rFonts w:eastAsia="Arial" w:cs="Arial"/>
          <w:color w:val="0000FF"/>
          <w:u w:val="single"/>
        </w:rPr>
        <w:t xml:space="preserve"> https://doi.org/10.1023/a:1025449031360</w:t>
      </w:r>
    </w:p>
    <w:p w14:paraId="7C9C8427" w14:textId="77777777" w:rsidR="00A05A51" w:rsidRDefault="00A05A51" w:rsidP="00A136FE">
      <w:pPr>
        <w:pStyle w:val="Heading2"/>
      </w:pPr>
      <w:r>
        <w:t>Cultural Adaptations</w:t>
      </w:r>
    </w:p>
    <w:p w14:paraId="1B86B6B8" w14:textId="77777777"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 xml:space="preserve">Lee KS, Park J, Bahn GH, Cho YI, Shin YJ. (2018). Reliability and Validity of the Korean Version of the Infant-Toddler Social and Emotional Assessment. </w:t>
      </w:r>
      <w:r>
        <w:rPr>
          <w:rFonts w:eastAsia="Arial" w:cs="Arial"/>
          <w:i/>
          <w:color w:val="000000"/>
        </w:rPr>
        <w:t xml:space="preserve">Psychiatry </w:t>
      </w:r>
      <w:proofErr w:type="spellStart"/>
      <w:r>
        <w:rPr>
          <w:rFonts w:eastAsia="Arial" w:cs="Arial"/>
          <w:i/>
          <w:color w:val="000000"/>
        </w:rPr>
        <w:t>Investig</w:t>
      </w:r>
      <w:proofErr w:type="spellEnd"/>
      <w:r>
        <w:rPr>
          <w:rFonts w:eastAsia="Arial" w:cs="Arial"/>
          <w:color w:val="000000"/>
        </w:rPr>
        <w:t>, 15(5):460-469.</w:t>
      </w:r>
      <w:r>
        <w:rPr>
          <w:rFonts w:eastAsia="Arial" w:cs="Arial"/>
          <w:color w:val="0000FF"/>
          <w:u w:val="single"/>
        </w:rPr>
        <w:t xml:space="preserve"> https://doi.org/10.30773/pi.2018.02.25</w:t>
      </w:r>
    </w:p>
    <w:p w14:paraId="1A1C6FB6" w14:textId="77777777"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 xml:space="preserve">Yago S, Hirose T, Kawamura A, Omori T, </w:t>
      </w:r>
      <w:proofErr w:type="spellStart"/>
      <w:r>
        <w:rPr>
          <w:rFonts w:eastAsia="Arial" w:cs="Arial"/>
          <w:color w:val="000000"/>
        </w:rPr>
        <w:t>Okamitsu</w:t>
      </w:r>
      <w:proofErr w:type="spellEnd"/>
      <w:r>
        <w:rPr>
          <w:rFonts w:eastAsia="Arial" w:cs="Arial"/>
          <w:color w:val="000000"/>
        </w:rPr>
        <w:t xml:space="preserve"> M. (2015). Gender, age, and cultural differences in the Japanese version of the Infant-Toddler Social and Emotional Assessment. </w:t>
      </w:r>
      <w:r>
        <w:rPr>
          <w:rFonts w:eastAsia="Arial" w:cs="Arial"/>
          <w:i/>
          <w:color w:val="000000"/>
        </w:rPr>
        <w:t>J Med Dent Sci</w:t>
      </w:r>
      <w:r>
        <w:rPr>
          <w:rFonts w:eastAsia="Arial" w:cs="Arial"/>
          <w:color w:val="000000"/>
        </w:rPr>
        <w:t>, 62(4):91-101.</w:t>
      </w:r>
      <w:r>
        <w:rPr>
          <w:rFonts w:eastAsia="Arial" w:cs="Arial"/>
          <w:color w:val="0000FF"/>
          <w:u w:val="single"/>
        </w:rPr>
        <w:t xml:space="preserve"> https://doi.org/10.11480/jmds.620402</w:t>
      </w:r>
    </w:p>
    <w:p w14:paraId="4FF65BCD" w14:textId="77777777" w:rsidR="00A05A51" w:rsidRDefault="00A05A51">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Jianduan</w:t>
      </w:r>
      <w:proofErr w:type="spellEnd"/>
      <w:r>
        <w:rPr>
          <w:rFonts w:eastAsia="Arial" w:cs="Arial"/>
          <w:color w:val="000000"/>
        </w:rPr>
        <w:t xml:space="preserve"> Z, </w:t>
      </w:r>
      <w:proofErr w:type="spellStart"/>
      <w:r>
        <w:rPr>
          <w:rFonts w:eastAsia="Arial" w:cs="Arial"/>
          <w:color w:val="000000"/>
        </w:rPr>
        <w:t>Huishan</w:t>
      </w:r>
      <w:proofErr w:type="spellEnd"/>
      <w:r>
        <w:rPr>
          <w:rFonts w:eastAsia="Arial" w:cs="Arial"/>
          <w:color w:val="000000"/>
        </w:rPr>
        <w:t xml:space="preserve"> W, Shuhua S, </w:t>
      </w:r>
      <w:proofErr w:type="spellStart"/>
      <w:r>
        <w:rPr>
          <w:rFonts w:eastAsia="Arial" w:cs="Arial"/>
          <w:color w:val="000000"/>
        </w:rPr>
        <w:t>Xiaonan</w:t>
      </w:r>
      <w:proofErr w:type="spellEnd"/>
      <w:r>
        <w:rPr>
          <w:rFonts w:eastAsia="Arial" w:cs="Arial"/>
          <w:color w:val="000000"/>
        </w:rPr>
        <w:t xml:space="preserve"> H, </w:t>
      </w:r>
      <w:proofErr w:type="spellStart"/>
      <w:r>
        <w:rPr>
          <w:rFonts w:eastAsia="Arial" w:cs="Arial"/>
          <w:color w:val="000000"/>
        </w:rPr>
        <w:t>Guoyan</w:t>
      </w:r>
      <w:proofErr w:type="spellEnd"/>
      <w:r>
        <w:rPr>
          <w:rFonts w:eastAsia="Arial" w:cs="Arial"/>
          <w:color w:val="000000"/>
        </w:rPr>
        <w:t xml:space="preserve"> L, Guangli L, </w:t>
      </w:r>
      <w:proofErr w:type="spellStart"/>
      <w:r>
        <w:rPr>
          <w:rFonts w:eastAsia="Arial" w:cs="Arial"/>
          <w:color w:val="000000"/>
        </w:rPr>
        <w:t>Junxin</w:t>
      </w:r>
      <w:proofErr w:type="spellEnd"/>
      <w:r>
        <w:rPr>
          <w:rFonts w:eastAsia="Arial" w:cs="Arial"/>
          <w:color w:val="000000"/>
        </w:rPr>
        <w:t xml:space="preserve"> S. (2009). Reliability and validity of standardized Chinese version of Urban Infant-</w:t>
      </w:r>
      <w:r>
        <w:rPr>
          <w:rFonts w:eastAsia="Arial" w:cs="Arial"/>
          <w:color w:val="000000"/>
        </w:rPr>
        <w:lastRenderedPageBreak/>
        <w:t xml:space="preserve">Toddler Social and Emotional Assessment. </w:t>
      </w:r>
      <w:r>
        <w:rPr>
          <w:rFonts w:eastAsia="Arial" w:cs="Arial"/>
          <w:i/>
          <w:color w:val="000000"/>
        </w:rPr>
        <w:t>Early Hum Dev</w:t>
      </w:r>
      <w:r>
        <w:rPr>
          <w:rFonts w:eastAsia="Arial" w:cs="Arial"/>
          <w:color w:val="000000"/>
        </w:rPr>
        <w:t>, 85(5):331-6.</w:t>
      </w:r>
      <w:r>
        <w:rPr>
          <w:rFonts w:eastAsia="Arial" w:cs="Arial"/>
          <w:color w:val="0000FF"/>
          <w:u w:val="single"/>
        </w:rPr>
        <w:t xml:space="preserve"> https://doi.org/10.1016/j.earlhumdev.2008.12.012</w:t>
      </w:r>
    </w:p>
    <w:p w14:paraId="0400E007" w14:textId="77777777" w:rsidR="00A05A51" w:rsidRDefault="00A05A51" w:rsidP="003660D4">
      <w:pPr>
        <w:pStyle w:val="Heading2"/>
      </w:pPr>
      <w:r>
        <w:t>Outcome Studies</w:t>
      </w:r>
    </w:p>
    <w:p w14:paraId="309F13BB" w14:textId="77777777" w:rsidR="00A05A51" w:rsidRDefault="00A05A51">
      <w:pPr>
        <w:pBdr>
          <w:top w:val="none" w:sz="0" w:space="0" w:color="000000"/>
          <w:left w:val="none" w:sz="0" w:space="0" w:color="000000"/>
          <w:bottom w:val="none" w:sz="0" w:space="0" w:color="000000"/>
          <w:right w:val="none" w:sz="0" w:space="0" w:color="000000"/>
        </w:pBdr>
      </w:pPr>
      <w:r>
        <w:rPr>
          <w:rFonts w:eastAsia="Arial" w:cs="Arial"/>
          <w:i/>
          <w:color w:val="000000"/>
        </w:rPr>
        <w:t>No references identified</w:t>
      </w:r>
    </w:p>
    <w:p w14:paraId="10271866" w14:textId="77777777" w:rsidR="00CD5750" w:rsidRDefault="00CD5750">
      <w:pPr>
        <w:rPr>
          <w:rFonts w:eastAsiaTheme="majorEastAsia" w:cs="Arial"/>
          <w:b/>
          <w:bCs/>
          <w:color w:val="3F779D"/>
          <w:sz w:val="32"/>
          <w:szCs w:val="32"/>
        </w:rPr>
      </w:pPr>
      <w:bookmarkStart w:id="47" w:name="_BITSEA_Reference_List"/>
      <w:bookmarkEnd w:id="47"/>
      <w:r>
        <w:br w:type="page"/>
      </w:r>
    </w:p>
    <w:p w14:paraId="61C4C6B2" w14:textId="2852EBA6" w:rsidR="00A05A51" w:rsidRPr="00E42813" w:rsidRDefault="00A05A51" w:rsidP="00B95552">
      <w:pPr>
        <w:pStyle w:val="Heading1"/>
      </w:pPr>
      <w:bookmarkStart w:id="48" w:name="_BITSEA_Reference_List_1"/>
      <w:bookmarkEnd w:id="48"/>
      <w:r>
        <w:lastRenderedPageBreak/>
        <w:t>BITSEA</w:t>
      </w:r>
      <w:r w:rsidRPr="002046A7">
        <w:t xml:space="preserve"> Reference List</w:t>
      </w:r>
    </w:p>
    <w:p w14:paraId="55078BBB" w14:textId="6928F348" w:rsidR="00A05A51" w:rsidRPr="00D218FE" w:rsidRDefault="00D218FE">
      <w:pPr>
        <w:rPr>
          <w:rStyle w:val="Hyperlink"/>
          <w:rFonts w:eastAsia="Aptos" w:cs="Arial"/>
          <w:i/>
          <w:iCs/>
        </w:rPr>
      </w:pPr>
      <w:r>
        <w:rPr>
          <w:rFonts w:eastAsia="Aptos" w:cs="Arial"/>
          <w:i/>
          <w:iCs/>
        </w:rPr>
        <w:fldChar w:fldCharType="begin"/>
      </w:r>
      <w:r>
        <w:rPr>
          <w:rFonts w:eastAsia="Aptos" w:cs="Arial"/>
          <w:i/>
          <w:iCs/>
        </w:rPr>
        <w:instrText>HYPERLINK  \l "_ITSEA_Evidence_Summary_1"</w:instrText>
      </w:r>
      <w:r>
        <w:rPr>
          <w:rFonts w:eastAsia="Aptos" w:cs="Arial"/>
          <w:i/>
          <w:iCs/>
        </w:rPr>
      </w:r>
      <w:r>
        <w:rPr>
          <w:rFonts w:eastAsia="Aptos" w:cs="Arial"/>
          <w:i/>
          <w:iCs/>
        </w:rPr>
        <w:fldChar w:fldCharType="separate"/>
      </w:r>
      <w:r w:rsidR="00A05A51" w:rsidRPr="00D218FE">
        <w:rPr>
          <w:rStyle w:val="Hyperlink"/>
          <w:rFonts w:eastAsia="Aptos" w:cs="Arial"/>
          <w:i/>
          <w:iCs/>
        </w:rPr>
        <w:t>Link to ITSEA / BITSEA Evidence Summary</w:t>
      </w:r>
    </w:p>
    <w:p w14:paraId="1D886272" w14:textId="511B5482" w:rsidR="00A05A51" w:rsidRDefault="00D218FE" w:rsidP="00B95552">
      <w:pPr>
        <w:pStyle w:val="Heading2"/>
      </w:pPr>
      <w:r>
        <w:rPr>
          <w:rFonts w:ascii="Arial" w:eastAsia="Aptos" w:hAnsi="Arial"/>
          <w:bCs w:val="0"/>
          <w:i/>
          <w:iCs/>
          <w:color w:val="auto"/>
          <w:sz w:val="24"/>
          <w:szCs w:val="24"/>
        </w:rPr>
        <w:fldChar w:fldCharType="end"/>
      </w:r>
      <w:r w:rsidR="00A05A51">
        <w:t>Reviews</w:t>
      </w:r>
    </w:p>
    <w:p w14:paraId="14357D44" w14:textId="4D8E4562"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 xml:space="preserve">Lavigne JV, Meyers KM, Feldman M. (2016). Systematic Review: Classification </w:t>
      </w:r>
      <w:r w:rsidR="006C687D">
        <w:rPr>
          <w:rFonts w:eastAsia="Arial" w:cs="Arial"/>
          <w:color w:val="000000"/>
        </w:rPr>
        <w:t>a</w:t>
      </w:r>
      <w:r>
        <w:rPr>
          <w:rFonts w:eastAsia="Arial" w:cs="Arial"/>
          <w:color w:val="000000"/>
        </w:rPr>
        <w:t xml:space="preserve">ccuracy of </w:t>
      </w:r>
      <w:proofErr w:type="spellStart"/>
      <w:r w:rsidR="006C687D">
        <w:rPr>
          <w:rFonts w:eastAsia="Arial" w:cs="Arial"/>
          <w:color w:val="000000"/>
        </w:rPr>
        <w:t>b</w:t>
      </w:r>
      <w:r>
        <w:rPr>
          <w:rFonts w:eastAsia="Arial" w:cs="Arial"/>
          <w:color w:val="000000"/>
        </w:rPr>
        <w:t>ehavioral</w:t>
      </w:r>
      <w:proofErr w:type="spellEnd"/>
      <w:r>
        <w:rPr>
          <w:rFonts w:eastAsia="Arial" w:cs="Arial"/>
          <w:color w:val="000000"/>
        </w:rPr>
        <w:t xml:space="preserve"> </w:t>
      </w:r>
      <w:r w:rsidR="006C687D">
        <w:rPr>
          <w:rFonts w:eastAsia="Arial" w:cs="Arial"/>
          <w:color w:val="000000"/>
        </w:rPr>
        <w:t>s</w:t>
      </w:r>
      <w:r>
        <w:rPr>
          <w:rFonts w:eastAsia="Arial" w:cs="Arial"/>
          <w:color w:val="000000"/>
        </w:rPr>
        <w:t xml:space="preserve">creening </w:t>
      </w:r>
      <w:r w:rsidR="006C687D">
        <w:rPr>
          <w:rFonts w:eastAsia="Arial" w:cs="Arial"/>
          <w:color w:val="000000"/>
        </w:rPr>
        <w:t>m</w:t>
      </w:r>
      <w:r>
        <w:rPr>
          <w:rFonts w:eastAsia="Arial" w:cs="Arial"/>
          <w:color w:val="000000"/>
        </w:rPr>
        <w:t xml:space="preserve">easures for </w:t>
      </w:r>
      <w:r w:rsidR="006C687D">
        <w:rPr>
          <w:rFonts w:eastAsia="Arial" w:cs="Arial"/>
          <w:color w:val="000000"/>
        </w:rPr>
        <w:t>u</w:t>
      </w:r>
      <w:r>
        <w:rPr>
          <w:rFonts w:eastAsia="Arial" w:cs="Arial"/>
          <w:color w:val="000000"/>
        </w:rPr>
        <w:t xml:space="preserve">se in </w:t>
      </w:r>
      <w:r w:rsidR="006C687D">
        <w:rPr>
          <w:rFonts w:eastAsia="Arial" w:cs="Arial"/>
          <w:color w:val="000000"/>
        </w:rPr>
        <w:t>i</w:t>
      </w:r>
      <w:r>
        <w:rPr>
          <w:rFonts w:eastAsia="Arial" w:cs="Arial"/>
          <w:color w:val="000000"/>
        </w:rPr>
        <w:t xml:space="preserve">ntegrated </w:t>
      </w:r>
      <w:r w:rsidR="006C687D">
        <w:rPr>
          <w:rFonts w:eastAsia="Arial" w:cs="Arial"/>
          <w:color w:val="000000"/>
        </w:rPr>
        <w:t>p</w:t>
      </w:r>
      <w:r>
        <w:rPr>
          <w:rFonts w:eastAsia="Arial" w:cs="Arial"/>
          <w:color w:val="000000"/>
        </w:rPr>
        <w:t xml:space="preserve">rimary </w:t>
      </w:r>
      <w:r w:rsidR="006C687D">
        <w:rPr>
          <w:rFonts w:eastAsia="Arial" w:cs="Arial"/>
          <w:color w:val="000000"/>
        </w:rPr>
        <w:t>c</w:t>
      </w:r>
      <w:r>
        <w:rPr>
          <w:rFonts w:eastAsia="Arial" w:cs="Arial"/>
          <w:color w:val="000000"/>
        </w:rPr>
        <w:t xml:space="preserve">are </w:t>
      </w:r>
      <w:r w:rsidR="006C687D">
        <w:rPr>
          <w:rFonts w:eastAsia="Arial" w:cs="Arial"/>
          <w:color w:val="000000"/>
        </w:rPr>
        <w:t>s</w:t>
      </w:r>
      <w:r>
        <w:rPr>
          <w:rFonts w:eastAsia="Arial" w:cs="Arial"/>
          <w:color w:val="000000"/>
        </w:rPr>
        <w:t xml:space="preserve">ettings. </w:t>
      </w:r>
      <w:r>
        <w:rPr>
          <w:rFonts w:eastAsia="Arial" w:cs="Arial"/>
          <w:i/>
          <w:color w:val="000000"/>
        </w:rPr>
        <w:t>J Pediatr Psychol</w:t>
      </w:r>
      <w:r>
        <w:rPr>
          <w:rFonts w:eastAsia="Arial" w:cs="Arial"/>
          <w:color w:val="000000"/>
        </w:rPr>
        <w:t>, 41(10):1091-1109.</w:t>
      </w:r>
      <w:r>
        <w:rPr>
          <w:rFonts w:eastAsia="Arial" w:cs="Arial"/>
          <w:color w:val="0000FF"/>
          <w:u w:val="single"/>
        </w:rPr>
        <w:t xml:space="preserve"> https://doi.org/10.1093/jpepsy/jsw049</w:t>
      </w:r>
    </w:p>
    <w:p w14:paraId="631368FA" w14:textId="77777777" w:rsidR="00A05A51" w:rsidRDefault="00A05A51" w:rsidP="00B95552">
      <w:pPr>
        <w:pStyle w:val="Heading2"/>
      </w:pPr>
      <w:r>
        <w:t>Measurement Properties</w:t>
      </w:r>
    </w:p>
    <w:p w14:paraId="7AAF1F66" w14:textId="1ACA2809"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 xml:space="preserve">Boone KM, Brown AK, Keim SA. (2018). Screening </w:t>
      </w:r>
      <w:r w:rsidR="00D12846">
        <w:rPr>
          <w:rFonts w:eastAsia="Arial" w:cs="Arial"/>
          <w:color w:val="000000"/>
        </w:rPr>
        <w:t>a</w:t>
      </w:r>
      <w:r>
        <w:rPr>
          <w:rFonts w:eastAsia="Arial" w:cs="Arial"/>
          <w:color w:val="000000"/>
        </w:rPr>
        <w:t xml:space="preserve">ccuracy of the Brief Infant Toddler Social-Emotional Assessment to </w:t>
      </w:r>
      <w:r w:rsidR="00D12846">
        <w:rPr>
          <w:rFonts w:eastAsia="Arial" w:cs="Arial"/>
          <w:color w:val="000000"/>
        </w:rPr>
        <w:t>i</w:t>
      </w:r>
      <w:r>
        <w:rPr>
          <w:rFonts w:eastAsia="Arial" w:cs="Arial"/>
          <w:color w:val="000000"/>
        </w:rPr>
        <w:t xml:space="preserve">dentify </w:t>
      </w:r>
      <w:r w:rsidR="00D12846">
        <w:rPr>
          <w:rFonts w:eastAsia="Arial" w:cs="Arial"/>
          <w:color w:val="000000"/>
        </w:rPr>
        <w:t>a</w:t>
      </w:r>
      <w:r>
        <w:rPr>
          <w:rFonts w:eastAsia="Arial" w:cs="Arial"/>
          <w:color w:val="000000"/>
        </w:rPr>
        <w:t xml:space="preserve">utism </w:t>
      </w:r>
      <w:r w:rsidR="00D12846">
        <w:rPr>
          <w:rFonts w:eastAsia="Arial" w:cs="Arial"/>
          <w:color w:val="000000"/>
        </w:rPr>
        <w:t>s</w:t>
      </w:r>
      <w:r>
        <w:rPr>
          <w:rFonts w:eastAsia="Arial" w:cs="Arial"/>
          <w:color w:val="000000"/>
        </w:rPr>
        <w:t xml:space="preserve">pectrum </w:t>
      </w:r>
      <w:r w:rsidR="00D12846">
        <w:rPr>
          <w:rFonts w:eastAsia="Arial" w:cs="Arial"/>
          <w:color w:val="000000"/>
        </w:rPr>
        <w:t>d</w:t>
      </w:r>
      <w:r>
        <w:rPr>
          <w:rFonts w:eastAsia="Arial" w:cs="Arial"/>
          <w:color w:val="000000"/>
        </w:rPr>
        <w:t xml:space="preserve">isorder in </w:t>
      </w:r>
      <w:r w:rsidR="00D12846">
        <w:rPr>
          <w:rFonts w:eastAsia="Arial" w:cs="Arial"/>
          <w:color w:val="000000"/>
        </w:rPr>
        <w:t>t</w:t>
      </w:r>
      <w:r>
        <w:rPr>
          <w:rFonts w:eastAsia="Arial" w:cs="Arial"/>
          <w:color w:val="000000"/>
        </w:rPr>
        <w:t xml:space="preserve">oddlers </w:t>
      </w:r>
      <w:r w:rsidR="00D12846">
        <w:rPr>
          <w:rFonts w:eastAsia="Arial" w:cs="Arial"/>
          <w:color w:val="000000"/>
        </w:rPr>
        <w:t>b</w:t>
      </w:r>
      <w:r>
        <w:rPr>
          <w:rFonts w:eastAsia="Arial" w:cs="Arial"/>
          <w:color w:val="000000"/>
        </w:rPr>
        <w:t xml:space="preserve">orn at </w:t>
      </w:r>
      <w:r w:rsidR="00D12846">
        <w:rPr>
          <w:rFonts w:eastAsia="Arial" w:cs="Arial"/>
          <w:color w:val="000000"/>
        </w:rPr>
        <w:t>l</w:t>
      </w:r>
      <w:r>
        <w:rPr>
          <w:rFonts w:eastAsia="Arial" w:cs="Arial"/>
          <w:color w:val="000000"/>
        </w:rPr>
        <w:t xml:space="preserve">ess </w:t>
      </w:r>
      <w:r w:rsidR="00D12846">
        <w:rPr>
          <w:rFonts w:eastAsia="Arial" w:cs="Arial"/>
          <w:color w:val="000000"/>
        </w:rPr>
        <w:t>t</w:t>
      </w:r>
      <w:r>
        <w:rPr>
          <w:rFonts w:eastAsia="Arial" w:cs="Arial"/>
          <w:color w:val="000000"/>
        </w:rPr>
        <w:t>han 30 </w:t>
      </w:r>
      <w:r w:rsidR="00D12846">
        <w:rPr>
          <w:rFonts w:eastAsia="Arial" w:cs="Arial"/>
          <w:color w:val="000000"/>
        </w:rPr>
        <w:t>w</w:t>
      </w:r>
      <w:r>
        <w:rPr>
          <w:rFonts w:eastAsia="Arial" w:cs="Arial"/>
          <w:color w:val="000000"/>
        </w:rPr>
        <w:t xml:space="preserve">eeks' </w:t>
      </w:r>
      <w:r w:rsidR="00D12846">
        <w:rPr>
          <w:rFonts w:eastAsia="Arial" w:cs="Arial"/>
          <w:color w:val="000000"/>
        </w:rPr>
        <w:t>g</w:t>
      </w:r>
      <w:r>
        <w:rPr>
          <w:rFonts w:eastAsia="Arial" w:cs="Arial"/>
          <w:color w:val="000000"/>
        </w:rPr>
        <w:t xml:space="preserve">estation. </w:t>
      </w:r>
      <w:r>
        <w:rPr>
          <w:rFonts w:eastAsia="Arial" w:cs="Arial"/>
          <w:i/>
          <w:color w:val="000000"/>
        </w:rPr>
        <w:t>Child Psychiatry Hum Dev</w:t>
      </w:r>
      <w:r>
        <w:rPr>
          <w:rFonts w:eastAsia="Arial" w:cs="Arial"/>
          <w:color w:val="000000"/>
        </w:rPr>
        <w:t>, 49(4):493-504.</w:t>
      </w:r>
      <w:r>
        <w:rPr>
          <w:rFonts w:eastAsia="Arial" w:cs="Arial"/>
          <w:color w:val="0000FF"/>
          <w:u w:val="single"/>
        </w:rPr>
        <w:t xml:space="preserve"> https://doi.org/10.1007/s10578-017-0768-2</w:t>
      </w:r>
    </w:p>
    <w:p w14:paraId="2B54916E" w14:textId="6EDFB2E6" w:rsidR="00A05A51" w:rsidRDefault="00A05A51">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Giserman</w:t>
      </w:r>
      <w:proofErr w:type="spellEnd"/>
      <w:r>
        <w:rPr>
          <w:rFonts w:eastAsia="Arial" w:cs="Arial"/>
          <w:color w:val="000000"/>
        </w:rPr>
        <w:t xml:space="preserve"> Kiss I, Feldman MS, Sheldrick RC, Carter AS. (2017). Developing </w:t>
      </w:r>
      <w:r w:rsidR="00D12846">
        <w:rPr>
          <w:rFonts w:eastAsia="Arial" w:cs="Arial"/>
          <w:color w:val="000000"/>
        </w:rPr>
        <w:t>a</w:t>
      </w:r>
      <w:r>
        <w:rPr>
          <w:rFonts w:eastAsia="Arial" w:cs="Arial"/>
          <w:color w:val="000000"/>
        </w:rPr>
        <w:t xml:space="preserve">utism </w:t>
      </w:r>
      <w:r w:rsidR="00D12846">
        <w:rPr>
          <w:rFonts w:eastAsia="Arial" w:cs="Arial"/>
          <w:color w:val="000000"/>
        </w:rPr>
        <w:t>s</w:t>
      </w:r>
      <w:r>
        <w:rPr>
          <w:rFonts w:eastAsia="Arial" w:cs="Arial"/>
          <w:color w:val="000000"/>
        </w:rPr>
        <w:t xml:space="preserve">creening </w:t>
      </w:r>
      <w:r w:rsidR="00D12846">
        <w:rPr>
          <w:rFonts w:eastAsia="Arial" w:cs="Arial"/>
          <w:color w:val="000000"/>
        </w:rPr>
        <w:t>c</w:t>
      </w:r>
      <w:r>
        <w:rPr>
          <w:rFonts w:eastAsia="Arial" w:cs="Arial"/>
          <w:color w:val="000000"/>
        </w:rPr>
        <w:t xml:space="preserve">riteria for the Brief Infant Toddler Social Emotional Assessment (BITSEA). </w:t>
      </w:r>
      <w:r>
        <w:rPr>
          <w:rFonts w:eastAsia="Arial" w:cs="Arial"/>
          <w:i/>
          <w:color w:val="000000"/>
        </w:rPr>
        <w:t xml:space="preserve">J Autism Dev </w:t>
      </w:r>
      <w:proofErr w:type="spellStart"/>
      <w:r>
        <w:rPr>
          <w:rFonts w:eastAsia="Arial" w:cs="Arial"/>
          <w:i/>
          <w:color w:val="000000"/>
        </w:rPr>
        <w:t>Disord</w:t>
      </w:r>
      <w:proofErr w:type="spellEnd"/>
      <w:r>
        <w:rPr>
          <w:rFonts w:eastAsia="Arial" w:cs="Arial"/>
          <w:color w:val="000000"/>
        </w:rPr>
        <w:t>, 47(5):1269-1277.</w:t>
      </w:r>
      <w:r>
        <w:rPr>
          <w:rFonts w:eastAsia="Arial" w:cs="Arial"/>
          <w:color w:val="0000FF"/>
          <w:u w:val="single"/>
        </w:rPr>
        <w:t xml:space="preserve"> https://doi.org/10.1007/s10803-017-3044-1</w:t>
      </w:r>
    </w:p>
    <w:p w14:paraId="665BE8B9" w14:textId="44DB5CD6"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 xml:space="preserve">Hungerford GM, Garcia D, Bagner DM. (2015). Psychometric </w:t>
      </w:r>
      <w:r w:rsidR="00D12846">
        <w:rPr>
          <w:rFonts w:eastAsia="Arial" w:cs="Arial"/>
          <w:color w:val="000000"/>
        </w:rPr>
        <w:t>e</w:t>
      </w:r>
      <w:r>
        <w:rPr>
          <w:rFonts w:eastAsia="Arial" w:cs="Arial"/>
          <w:color w:val="000000"/>
        </w:rPr>
        <w:t xml:space="preserve">valuation of the Brief Infant-Toddler Social and Emotional Assessment (BITSEA) in a </w:t>
      </w:r>
      <w:r w:rsidR="00D12846">
        <w:rPr>
          <w:rFonts w:eastAsia="Arial" w:cs="Arial"/>
          <w:color w:val="000000"/>
        </w:rPr>
        <w:t>p</w:t>
      </w:r>
      <w:r>
        <w:rPr>
          <w:rFonts w:eastAsia="Arial" w:cs="Arial"/>
          <w:color w:val="000000"/>
        </w:rPr>
        <w:t xml:space="preserve">redominately Hispanic, </w:t>
      </w:r>
      <w:r w:rsidR="00D12846">
        <w:rPr>
          <w:rFonts w:eastAsia="Arial" w:cs="Arial"/>
          <w:color w:val="000000"/>
        </w:rPr>
        <w:t>l</w:t>
      </w:r>
      <w:r>
        <w:rPr>
          <w:rFonts w:eastAsia="Arial" w:cs="Arial"/>
          <w:color w:val="000000"/>
        </w:rPr>
        <w:t>ow-</w:t>
      </w:r>
      <w:r w:rsidR="00D12846">
        <w:rPr>
          <w:rFonts w:eastAsia="Arial" w:cs="Arial"/>
          <w:color w:val="000000"/>
        </w:rPr>
        <w:t>i</w:t>
      </w:r>
      <w:r>
        <w:rPr>
          <w:rFonts w:eastAsia="Arial" w:cs="Arial"/>
          <w:color w:val="000000"/>
        </w:rPr>
        <w:t xml:space="preserve">ncome </w:t>
      </w:r>
      <w:r w:rsidR="00D12846">
        <w:rPr>
          <w:rFonts w:eastAsia="Arial" w:cs="Arial"/>
          <w:color w:val="000000"/>
        </w:rPr>
        <w:t>s</w:t>
      </w:r>
      <w:r>
        <w:rPr>
          <w:rFonts w:eastAsia="Arial" w:cs="Arial"/>
          <w:color w:val="000000"/>
        </w:rPr>
        <w:t xml:space="preserve">ample. </w:t>
      </w:r>
      <w:r>
        <w:rPr>
          <w:rFonts w:eastAsia="Arial" w:cs="Arial"/>
          <w:i/>
          <w:color w:val="000000"/>
        </w:rPr>
        <w:t xml:space="preserve">J </w:t>
      </w:r>
      <w:proofErr w:type="spellStart"/>
      <w:r>
        <w:rPr>
          <w:rFonts w:eastAsia="Arial" w:cs="Arial"/>
          <w:i/>
          <w:color w:val="000000"/>
        </w:rPr>
        <w:t>Psychopathol</w:t>
      </w:r>
      <w:proofErr w:type="spellEnd"/>
      <w:r>
        <w:rPr>
          <w:rFonts w:eastAsia="Arial" w:cs="Arial"/>
          <w:i/>
          <w:color w:val="000000"/>
        </w:rPr>
        <w:t xml:space="preserve"> </w:t>
      </w:r>
      <w:proofErr w:type="spellStart"/>
      <w:r>
        <w:rPr>
          <w:rFonts w:eastAsia="Arial" w:cs="Arial"/>
          <w:i/>
          <w:color w:val="000000"/>
        </w:rPr>
        <w:t>Behav</w:t>
      </w:r>
      <w:proofErr w:type="spellEnd"/>
      <w:r>
        <w:rPr>
          <w:rFonts w:eastAsia="Arial" w:cs="Arial"/>
          <w:i/>
          <w:color w:val="000000"/>
        </w:rPr>
        <w:t xml:space="preserve"> Assess</w:t>
      </w:r>
      <w:r>
        <w:rPr>
          <w:rFonts w:eastAsia="Arial" w:cs="Arial"/>
          <w:color w:val="000000"/>
        </w:rPr>
        <w:t>, 37(3):493-503.</w:t>
      </w:r>
      <w:r>
        <w:rPr>
          <w:rFonts w:eastAsia="Arial" w:cs="Arial"/>
          <w:color w:val="0000FF"/>
          <w:u w:val="single"/>
        </w:rPr>
        <w:t xml:space="preserve"> https://doi.org/10.1007/s10862-015-9478-x</w:t>
      </w:r>
    </w:p>
    <w:p w14:paraId="6EFBF126" w14:textId="77777777"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Briggs-Gowan MJ, Carter AS, McCarthy K, Augustyn M, Caronna E, Clark R. (2013). Clinical validity of a brief measure of early childhood social-emotional/</w:t>
      </w:r>
      <w:proofErr w:type="spellStart"/>
      <w:r>
        <w:rPr>
          <w:rFonts w:eastAsia="Arial" w:cs="Arial"/>
          <w:color w:val="000000"/>
        </w:rPr>
        <w:t>behavioral</w:t>
      </w:r>
      <w:proofErr w:type="spellEnd"/>
      <w:r>
        <w:rPr>
          <w:rFonts w:eastAsia="Arial" w:cs="Arial"/>
          <w:color w:val="000000"/>
        </w:rPr>
        <w:t xml:space="preserve"> problems. </w:t>
      </w:r>
      <w:r>
        <w:rPr>
          <w:rFonts w:eastAsia="Arial" w:cs="Arial"/>
          <w:i/>
          <w:color w:val="000000"/>
        </w:rPr>
        <w:t>J Pediatr Psychol</w:t>
      </w:r>
      <w:r>
        <w:rPr>
          <w:rFonts w:eastAsia="Arial" w:cs="Arial"/>
          <w:color w:val="000000"/>
        </w:rPr>
        <w:t>, 38(5):577-87.</w:t>
      </w:r>
      <w:r>
        <w:rPr>
          <w:rFonts w:eastAsia="Arial" w:cs="Arial"/>
          <w:color w:val="0000FF"/>
          <w:u w:val="single"/>
        </w:rPr>
        <w:t xml:space="preserve"> https://doi.org/10.1093/jpepsy/jst014</w:t>
      </w:r>
    </w:p>
    <w:p w14:paraId="525F26E1" w14:textId="77777777" w:rsidR="00A05A51" w:rsidRDefault="00A05A51">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Karabekiroglu</w:t>
      </w:r>
      <w:proofErr w:type="spellEnd"/>
      <w:r>
        <w:rPr>
          <w:rFonts w:eastAsia="Arial" w:cs="Arial"/>
          <w:color w:val="000000"/>
        </w:rPr>
        <w:t xml:space="preserve"> K, Briggs-Gowan MJ, Carter AS, </w:t>
      </w:r>
      <w:proofErr w:type="spellStart"/>
      <w:r>
        <w:rPr>
          <w:rFonts w:eastAsia="Arial" w:cs="Arial"/>
          <w:color w:val="000000"/>
        </w:rPr>
        <w:t>Rodopman</w:t>
      </w:r>
      <w:proofErr w:type="spellEnd"/>
      <w:r>
        <w:rPr>
          <w:rFonts w:eastAsia="Arial" w:cs="Arial"/>
          <w:color w:val="000000"/>
        </w:rPr>
        <w:t xml:space="preserve">-Arman A, Akbas S. (2010). The clinical validity and reliability of the Brief Infant-Toddler Social and Emotional Assessment (BITSEA). </w:t>
      </w:r>
      <w:r>
        <w:rPr>
          <w:rFonts w:eastAsia="Arial" w:cs="Arial"/>
          <w:i/>
          <w:color w:val="000000"/>
        </w:rPr>
        <w:t xml:space="preserve">Infant </w:t>
      </w:r>
      <w:proofErr w:type="spellStart"/>
      <w:r>
        <w:rPr>
          <w:rFonts w:eastAsia="Arial" w:cs="Arial"/>
          <w:i/>
          <w:color w:val="000000"/>
        </w:rPr>
        <w:t>Behav</w:t>
      </w:r>
      <w:proofErr w:type="spellEnd"/>
      <w:r>
        <w:rPr>
          <w:rFonts w:eastAsia="Arial" w:cs="Arial"/>
          <w:i/>
          <w:color w:val="000000"/>
        </w:rPr>
        <w:t xml:space="preserve"> Dev</w:t>
      </w:r>
      <w:r>
        <w:rPr>
          <w:rFonts w:eastAsia="Arial" w:cs="Arial"/>
          <w:color w:val="000000"/>
        </w:rPr>
        <w:t>, 33(4):503-9.</w:t>
      </w:r>
      <w:r>
        <w:rPr>
          <w:rFonts w:eastAsia="Arial" w:cs="Arial"/>
          <w:color w:val="0000FF"/>
          <w:u w:val="single"/>
        </w:rPr>
        <w:t xml:space="preserve"> https://doi.org/10.1016/j.infbeh.2010.07.001</w:t>
      </w:r>
    </w:p>
    <w:p w14:paraId="27636B1E" w14:textId="77777777"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 xml:space="preserve">Briggs-Gowan MJ, Carter AS. (2007). Applying the Infant-Toddler Social &amp; Emotional Assessment (ITSEA) and Brief-ITSEA in early intervention. </w:t>
      </w:r>
      <w:r>
        <w:rPr>
          <w:rFonts w:eastAsia="Arial" w:cs="Arial"/>
          <w:i/>
          <w:color w:val="000000"/>
        </w:rPr>
        <w:t>Infant Ment Health J</w:t>
      </w:r>
      <w:r>
        <w:rPr>
          <w:rFonts w:eastAsia="Arial" w:cs="Arial"/>
          <w:color w:val="000000"/>
        </w:rPr>
        <w:t>, 28(6):564-583.</w:t>
      </w:r>
      <w:r>
        <w:rPr>
          <w:rFonts w:eastAsia="Arial" w:cs="Arial"/>
          <w:color w:val="0000FF"/>
          <w:u w:val="single"/>
        </w:rPr>
        <w:t xml:space="preserve"> https://doi.org/10.1002/imhj.20154</w:t>
      </w:r>
    </w:p>
    <w:p w14:paraId="2C112E86" w14:textId="1144C18D" w:rsidR="00A05A51" w:rsidRDefault="00A05A51">
      <w:pPr>
        <w:pBdr>
          <w:top w:val="none" w:sz="0" w:space="0" w:color="000000"/>
          <w:left w:val="none" w:sz="0" w:space="0" w:color="000000"/>
          <w:bottom w:val="none" w:sz="0" w:space="0" w:color="000000"/>
          <w:right w:val="none" w:sz="0" w:space="0" w:color="000000"/>
        </w:pBdr>
        <w:rPr>
          <w:rFonts w:eastAsia="Arial" w:cs="Arial"/>
          <w:color w:val="0000FF"/>
          <w:u w:val="single"/>
        </w:rPr>
      </w:pPr>
      <w:r>
        <w:rPr>
          <w:rFonts w:eastAsia="Arial" w:cs="Arial"/>
          <w:color w:val="000000"/>
        </w:rPr>
        <w:t xml:space="preserve">Briggs-Gowan MJ, Carter AS, Irwin JR, Wachtel K, Cicchetti DV. (2004). The Brief Infant-Toddler Social and Emotional Assessment: screening for social-emotional problems and delays in competence. </w:t>
      </w:r>
      <w:r>
        <w:rPr>
          <w:rFonts w:eastAsia="Arial" w:cs="Arial"/>
          <w:i/>
          <w:color w:val="000000"/>
        </w:rPr>
        <w:t>J Pediatr Psychol</w:t>
      </w:r>
      <w:r>
        <w:rPr>
          <w:rFonts w:eastAsia="Arial" w:cs="Arial"/>
          <w:color w:val="000000"/>
        </w:rPr>
        <w:t>, 29(2):143-55.</w:t>
      </w:r>
      <w:r>
        <w:rPr>
          <w:rFonts w:eastAsia="Arial" w:cs="Arial"/>
          <w:color w:val="0000FF"/>
          <w:u w:val="single"/>
        </w:rPr>
        <w:t xml:space="preserve"> </w:t>
      </w:r>
      <w:hyperlink r:id="rId38" w:history="1">
        <w:r w:rsidR="00414673" w:rsidRPr="00110700">
          <w:rPr>
            <w:rStyle w:val="Hyperlink"/>
            <w:rFonts w:eastAsia="Arial" w:cs="Arial"/>
          </w:rPr>
          <w:t>https://doi.org/10.1093/jpepsy/jsh017</w:t>
        </w:r>
      </w:hyperlink>
    </w:p>
    <w:p w14:paraId="2A328F3E" w14:textId="77777777" w:rsidR="00A05A51" w:rsidRDefault="00A05A51" w:rsidP="004E52AA">
      <w:pPr>
        <w:pStyle w:val="Heading2"/>
      </w:pPr>
      <w:r>
        <w:t>Cultural Adaptations</w:t>
      </w:r>
    </w:p>
    <w:p w14:paraId="70ADF8B7" w14:textId="77777777" w:rsidR="00A05A51" w:rsidRDefault="00A05A51">
      <w:pPr>
        <w:pBdr>
          <w:top w:val="none" w:sz="0" w:space="0" w:color="000000"/>
          <w:left w:val="none" w:sz="0" w:space="0" w:color="000000"/>
          <w:bottom w:val="none" w:sz="0" w:space="0" w:color="000000"/>
          <w:right w:val="none" w:sz="0" w:space="0" w:color="000000"/>
        </w:pBdr>
      </w:pPr>
      <w:r>
        <w:rPr>
          <w:rFonts w:eastAsia="Arial" w:cs="Arial"/>
          <w:color w:val="000000"/>
        </w:rPr>
        <w:t xml:space="preserve">Wendland J, Danet M, </w:t>
      </w:r>
      <w:proofErr w:type="spellStart"/>
      <w:r>
        <w:rPr>
          <w:rFonts w:eastAsia="Arial" w:cs="Arial"/>
          <w:color w:val="000000"/>
        </w:rPr>
        <w:t>Gacoin</w:t>
      </w:r>
      <w:proofErr w:type="spellEnd"/>
      <w:r>
        <w:rPr>
          <w:rFonts w:eastAsia="Arial" w:cs="Arial"/>
          <w:color w:val="000000"/>
        </w:rPr>
        <w:t xml:space="preserve"> E, </w:t>
      </w:r>
      <w:proofErr w:type="spellStart"/>
      <w:r>
        <w:rPr>
          <w:rFonts w:eastAsia="Arial" w:cs="Arial"/>
          <w:color w:val="000000"/>
        </w:rPr>
        <w:t>Didane</w:t>
      </w:r>
      <w:proofErr w:type="spellEnd"/>
      <w:r>
        <w:rPr>
          <w:rFonts w:eastAsia="Arial" w:cs="Arial"/>
          <w:color w:val="000000"/>
        </w:rPr>
        <w:t xml:space="preserve"> N, Bodeau N, </w:t>
      </w:r>
      <w:proofErr w:type="spellStart"/>
      <w:r>
        <w:rPr>
          <w:rFonts w:eastAsia="Arial" w:cs="Arial"/>
          <w:color w:val="000000"/>
        </w:rPr>
        <w:t>Saïas</w:t>
      </w:r>
      <w:proofErr w:type="spellEnd"/>
      <w:r>
        <w:rPr>
          <w:rFonts w:eastAsia="Arial" w:cs="Arial"/>
          <w:color w:val="000000"/>
        </w:rPr>
        <w:t xml:space="preserve"> T, Le Bail M, Cazenave MT, Molina T, Puccinelli O, Chirac O, Medeiros M, </w:t>
      </w:r>
      <w:proofErr w:type="spellStart"/>
      <w:r>
        <w:rPr>
          <w:rFonts w:eastAsia="Arial" w:cs="Arial"/>
          <w:color w:val="000000"/>
        </w:rPr>
        <w:t>Gérardin</w:t>
      </w:r>
      <w:proofErr w:type="spellEnd"/>
      <w:r>
        <w:rPr>
          <w:rFonts w:eastAsia="Arial" w:cs="Arial"/>
          <w:color w:val="000000"/>
        </w:rPr>
        <w:t xml:space="preserve"> P, Cohen D, </w:t>
      </w:r>
      <w:proofErr w:type="spellStart"/>
      <w:r>
        <w:rPr>
          <w:rFonts w:eastAsia="Arial" w:cs="Arial"/>
          <w:color w:val="000000"/>
        </w:rPr>
        <w:lastRenderedPageBreak/>
        <w:t>Guédeney</w:t>
      </w:r>
      <w:proofErr w:type="spellEnd"/>
      <w:r>
        <w:rPr>
          <w:rFonts w:eastAsia="Arial" w:cs="Arial"/>
          <w:color w:val="000000"/>
        </w:rPr>
        <w:t xml:space="preserve"> A. (2014). French version of the Brief Infant-Toddler Social and Emotional Assessment questionnaire-BITSEA. </w:t>
      </w:r>
      <w:r>
        <w:rPr>
          <w:rFonts w:eastAsia="Arial" w:cs="Arial"/>
          <w:i/>
          <w:color w:val="000000"/>
        </w:rPr>
        <w:t>J Pediatr Psychol</w:t>
      </w:r>
      <w:r>
        <w:rPr>
          <w:rFonts w:eastAsia="Arial" w:cs="Arial"/>
          <w:color w:val="000000"/>
        </w:rPr>
        <w:t>, 39(5):562-75.</w:t>
      </w:r>
      <w:r>
        <w:rPr>
          <w:rFonts w:eastAsia="Arial" w:cs="Arial"/>
          <w:color w:val="0000FF"/>
          <w:u w:val="single"/>
        </w:rPr>
        <w:t xml:space="preserve"> https://doi.org/10.1093/jpepsy/jsu016</w:t>
      </w:r>
    </w:p>
    <w:p w14:paraId="5D2B715A" w14:textId="77777777" w:rsidR="00A05A51" w:rsidRDefault="00A05A51">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Kruizinga</w:t>
      </w:r>
      <w:proofErr w:type="spellEnd"/>
      <w:r>
        <w:rPr>
          <w:rFonts w:eastAsia="Arial" w:cs="Arial"/>
          <w:color w:val="000000"/>
        </w:rPr>
        <w:t xml:space="preserve"> I, Jansen W, de Haan CL, van der Ende J, Carter AS, Raat H. (2012). Reliability and validity of the Dutch version of the Brief Infant-Toddler Social and Emotional Assessment (BITSEA). </w:t>
      </w:r>
      <w:proofErr w:type="spellStart"/>
      <w:r>
        <w:rPr>
          <w:rFonts w:eastAsia="Arial" w:cs="Arial"/>
          <w:i/>
          <w:color w:val="000000"/>
        </w:rPr>
        <w:t>PLoS</w:t>
      </w:r>
      <w:proofErr w:type="spellEnd"/>
      <w:r>
        <w:rPr>
          <w:rFonts w:eastAsia="Arial" w:cs="Arial"/>
          <w:i/>
          <w:color w:val="000000"/>
        </w:rPr>
        <w:t xml:space="preserve"> One</w:t>
      </w:r>
      <w:r>
        <w:rPr>
          <w:rFonts w:eastAsia="Arial" w:cs="Arial"/>
          <w:color w:val="000000"/>
        </w:rPr>
        <w:t>, 7(6</w:t>
      </w:r>
      <w:proofErr w:type="gramStart"/>
      <w:r>
        <w:rPr>
          <w:rFonts w:eastAsia="Arial" w:cs="Arial"/>
          <w:color w:val="000000"/>
        </w:rPr>
        <w:t>):e</w:t>
      </w:r>
      <w:proofErr w:type="gramEnd"/>
      <w:r>
        <w:rPr>
          <w:rFonts w:eastAsia="Arial" w:cs="Arial"/>
          <w:color w:val="000000"/>
        </w:rPr>
        <w:t>38762.</w:t>
      </w:r>
      <w:r>
        <w:rPr>
          <w:rFonts w:eastAsia="Arial" w:cs="Arial"/>
          <w:color w:val="0000FF"/>
          <w:u w:val="single"/>
        </w:rPr>
        <w:t xml:space="preserve"> https://doi.org/10.1371/journal.pone.0038762</w:t>
      </w:r>
    </w:p>
    <w:p w14:paraId="66A860AF" w14:textId="77777777" w:rsidR="00A05A51" w:rsidRDefault="00A05A51">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Karabekiroglu</w:t>
      </w:r>
      <w:proofErr w:type="spellEnd"/>
      <w:r>
        <w:rPr>
          <w:rFonts w:eastAsia="Arial" w:cs="Arial"/>
          <w:color w:val="000000"/>
        </w:rPr>
        <w:t xml:space="preserve"> K, Rodopman-Arman A, Ay P, </w:t>
      </w:r>
      <w:proofErr w:type="spellStart"/>
      <w:r>
        <w:rPr>
          <w:rFonts w:eastAsia="Arial" w:cs="Arial"/>
          <w:color w:val="000000"/>
        </w:rPr>
        <w:t>Ozkesen</w:t>
      </w:r>
      <w:proofErr w:type="spellEnd"/>
      <w:r>
        <w:rPr>
          <w:rFonts w:eastAsia="Arial" w:cs="Arial"/>
          <w:color w:val="000000"/>
        </w:rPr>
        <w:t xml:space="preserve"> M, Akbas S, </w:t>
      </w:r>
      <w:proofErr w:type="spellStart"/>
      <w:r>
        <w:rPr>
          <w:rFonts w:eastAsia="Arial" w:cs="Arial"/>
          <w:color w:val="000000"/>
        </w:rPr>
        <w:t>Tasdemir</w:t>
      </w:r>
      <w:proofErr w:type="spellEnd"/>
      <w:r>
        <w:rPr>
          <w:rFonts w:eastAsia="Arial" w:cs="Arial"/>
          <w:color w:val="000000"/>
        </w:rPr>
        <w:t xml:space="preserve"> GN, Boke O, </w:t>
      </w:r>
      <w:proofErr w:type="spellStart"/>
      <w:r>
        <w:rPr>
          <w:rFonts w:eastAsia="Arial" w:cs="Arial"/>
          <w:color w:val="000000"/>
        </w:rPr>
        <w:t>Peksen</w:t>
      </w:r>
      <w:proofErr w:type="spellEnd"/>
      <w:r>
        <w:rPr>
          <w:rFonts w:eastAsia="Arial" w:cs="Arial"/>
          <w:color w:val="000000"/>
        </w:rPr>
        <w:t xml:space="preserve"> Y. (2009). The reliability and validity of the Turkish version of the brief infant-toddler social emotional assessment (BITSEA). </w:t>
      </w:r>
      <w:r>
        <w:rPr>
          <w:rFonts w:eastAsia="Arial" w:cs="Arial"/>
          <w:i/>
          <w:color w:val="000000"/>
        </w:rPr>
        <w:t xml:space="preserve">Infant </w:t>
      </w:r>
      <w:proofErr w:type="spellStart"/>
      <w:r>
        <w:rPr>
          <w:rFonts w:eastAsia="Arial" w:cs="Arial"/>
          <w:i/>
          <w:color w:val="000000"/>
        </w:rPr>
        <w:t>Behav</w:t>
      </w:r>
      <w:proofErr w:type="spellEnd"/>
      <w:r>
        <w:rPr>
          <w:rFonts w:eastAsia="Arial" w:cs="Arial"/>
          <w:i/>
          <w:color w:val="000000"/>
        </w:rPr>
        <w:t xml:space="preserve"> Dev</w:t>
      </w:r>
      <w:r>
        <w:rPr>
          <w:rFonts w:eastAsia="Arial" w:cs="Arial"/>
          <w:color w:val="000000"/>
        </w:rPr>
        <w:t>, 32(3):291-7.</w:t>
      </w:r>
      <w:r>
        <w:rPr>
          <w:rFonts w:eastAsia="Arial" w:cs="Arial"/>
          <w:color w:val="0000FF"/>
          <w:u w:val="single"/>
        </w:rPr>
        <w:t xml:space="preserve"> https://doi.org/10.1016/j.infbeh.2009.03.003</w:t>
      </w:r>
    </w:p>
    <w:p w14:paraId="6492155B" w14:textId="77777777" w:rsidR="00A05A51" w:rsidRDefault="00A05A51" w:rsidP="004E52AA">
      <w:pPr>
        <w:pStyle w:val="Heading2"/>
      </w:pPr>
      <w:r>
        <w:t>Outcome Studies</w:t>
      </w:r>
    </w:p>
    <w:p w14:paraId="534A2098" w14:textId="77777777" w:rsidR="00A05A51" w:rsidRDefault="00A05A51">
      <w:pPr>
        <w:pBdr>
          <w:top w:val="none" w:sz="0" w:space="0" w:color="000000"/>
          <w:left w:val="none" w:sz="0" w:space="0" w:color="000000"/>
          <w:bottom w:val="none" w:sz="0" w:space="0" w:color="000000"/>
          <w:right w:val="none" w:sz="0" w:space="0" w:color="000000"/>
        </w:pBdr>
        <w:rPr>
          <w:rFonts w:eastAsia="Arial" w:cs="Arial"/>
          <w:i/>
          <w:color w:val="000000"/>
        </w:rPr>
      </w:pPr>
      <w:r>
        <w:rPr>
          <w:rFonts w:eastAsia="Arial" w:cs="Arial"/>
          <w:i/>
          <w:color w:val="000000"/>
        </w:rPr>
        <w:t>No references identified</w:t>
      </w:r>
    </w:p>
    <w:p w14:paraId="1A9323AC" w14:textId="77777777" w:rsidR="00515D5E" w:rsidRDefault="00737353">
      <w:pPr>
        <w:rPr>
          <w:rFonts w:eastAsia="Arial" w:cs="Arial"/>
          <w:i/>
          <w:color w:val="000000"/>
        </w:rPr>
        <w:sectPr w:rsidR="00515D5E" w:rsidSect="00737353">
          <w:headerReference w:type="default" r:id="rId39"/>
          <w:footerReference w:type="default" r:id="rId40"/>
          <w:pgSz w:w="11910" w:h="16845"/>
          <w:pgMar w:top="1440" w:right="1440" w:bottom="1440" w:left="1440" w:header="720" w:footer="720" w:gutter="0"/>
          <w:cols w:space="720"/>
          <w:docGrid w:linePitch="326"/>
        </w:sectPr>
      </w:pPr>
      <w:r>
        <w:rPr>
          <w:rFonts w:eastAsia="Arial" w:cs="Arial"/>
          <w:i/>
          <w:color w:val="000000"/>
        </w:rPr>
        <w:br w:type="page"/>
      </w:r>
    </w:p>
    <w:p w14:paraId="49A91EB9" w14:textId="77777777" w:rsidR="00737353" w:rsidRDefault="00737353">
      <w:pPr>
        <w:jc w:val="center"/>
      </w:pPr>
      <w:r>
        <w:rPr>
          <w:noProof/>
        </w:rPr>
        <w:lastRenderedPageBreak/>
        <w:drawing>
          <wp:anchor distT="0" distB="0" distL="114300" distR="114300" simplePos="0" relativeHeight="251658262" behindDoc="0" locked="1" layoutInCell="1" allowOverlap="1" wp14:anchorId="1F680636" wp14:editId="74C30D05">
            <wp:simplePos x="0" y="0"/>
            <wp:positionH relativeFrom="page">
              <wp:posOffset>0</wp:posOffset>
            </wp:positionH>
            <wp:positionV relativeFrom="page">
              <wp:posOffset>2559685</wp:posOffset>
            </wp:positionV>
            <wp:extent cx="7563485" cy="935990"/>
            <wp:effectExtent l="0" t="0" r="5715" b="3810"/>
            <wp:wrapNone/>
            <wp:docPr id="489717759"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3" behindDoc="1" locked="1" layoutInCell="1" allowOverlap="1" wp14:anchorId="79D77CFD" wp14:editId="5AE2DFA2">
            <wp:simplePos x="0" y="0"/>
            <wp:positionH relativeFrom="page">
              <wp:posOffset>0</wp:posOffset>
            </wp:positionH>
            <wp:positionV relativeFrom="page">
              <wp:posOffset>0</wp:posOffset>
            </wp:positionV>
            <wp:extent cx="7563485" cy="2267585"/>
            <wp:effectExtent l="0" t="0" r="5715" b="5715"/>
            <wp:wrapNone/>
            <wp:docPr id="378759812"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780C7B84" w14:textId="77777777" w:rsidR="00737353" w:rsidRDefault="00737353">
      <w:pPr>
        <w:jc w:val="center"/>
      </w:pPr>
    </w:p>
    <w:p w14:paraId="11EB6EC4" w14:textId="77777777" w:rsidR="00737353" w:rsidRDefault="00737353">
      <w:pPr>
        <w:tabs>
          <w:tab w:val="left" w:pos="5465"/>
        </w:tabs>
        <w:spacing w:line="300" w:lineRule="auto"/>
      </w:pPr>
      <w:r>
        <w:rPr>
          <w:rFonts w:ascii="Arial Bold" w:eastAsia="Arial Bold" w:hAnsi="Arial Bold" w:cs="Arial Bold"/>
          <w:b/>
          <w:bCs/>
          <w:color w:val="000F46"/>
          <w:sz w:val="40"/>
          <w:szCs w:val="40"/>
        </w:rPr>
        <w:t xml:space="preserve"> </w:t>
      </w:r>
      <w:r>
        <w:rPr>
          <w:rFonts w:ascii="Arial Bold" w:eastAsia="Arial Bold" w:hAnsi="Arial Bold" w:cs="Arial Bold"/>
          <w:b/>
          <w:bCs/>
          <w:color w:val="000F46"/>
          <w:sz w:val="40"/>
          <w:szCs w:val="40"/>
        </w:rPr>
        <w:tab/>
      </w:r>
    </w:p>
    <w:p w14:paraId="100519C4" w14:textId="77777777" w:rsidR="00737353" w:rsidRDefault="00737353">
      <w:pPr>
        <w:spacing w:line="300" w:lineRule="auto"/>
      </w:pPr>
      <w:r>
        <w:rPr>
          <w:rFonts w:ascii="Canva Sans" w:eastAsia="Canva Sans" w:hAnsi="Canva Sans" w:cs="Canva Sans"/>
          <w:color w:val="000000"/>
        </w:rPr>
        <w:t xml:space="preserve"> </w:t>
      </w:r>
    </w:p>
    <w:p w14:paraId="2EBA2F66" w14:textId="77777777" w:rsidR="00737353" w:rsidRDefault="00737353">
      <w:pPr>
        <w:spacing w:line="300" w:lineRule="auto"/>
        <w:rPr>
          <w:rFonts w:eastAsia="Canva Sans" w:cs="Arial"/>
          <w:b/>
          <w:bCs/>
          <w:color w:val="000000"/>
          <w:sz w:val="36"/>
          <w:szCs w:val="36"/>
        </w:rPr>
      </w:pPr>
    </w:p>
    <w:p w14:paraId="37B92290" w14:textId="77777777" w:rsidR="00737353" w:rsidRDefault="00737353">
      <w:pPr>
        <w:spacing w:line="300" w:lineRule="auto"/>
        <w:rPr>
          <w:rFonts w:eastAsia="Canva Sans" w:cs="Arial"/>
          <w:b/>
          <w:bCs/>
          <w:color w:val="000000"/>
          <w:sz w:val="36"/>
          <w:szCs w:val="36"/>
        </w:rPr>
      </w:pPr>
      <w:r>
        <w:rPr>
          <w:noProof/>
        </w:rPr>
        <mc:AlternateContent>
          <mc:Choice Requires="wps">
            <w:drawing>
              <wp:anchor distT="0" distB="0" distL="114300" distR="114300" simplePos="0" relativeHeight="251658264" behindDoc="0" locked="0" layoutInCell="1" allowOverlap="1" wp14:anchorId="4CAA2F14" wp14:editId="0909A9E8">
                <wp:simplePos x="0" y="0"/>
                <wp:positionH relativeFrom="column">
                  <wp:posOffset>40640</wp:posOffset>
                </wp:positionH>
                <wp:positionV relativeFrom="paragraph">
                  <wp:posOffset>165422</wp:posOffset>
                </wp:positionV>
                <wp:extent cx="6470650" cy="764274"/>
                <wp:effectExtent l="0" t="0" r="0" b="0"/>
                <wp:wrapNone/>
                <wp:docPr id="1588326588" name="Text Box 1"/>
                <wp:cNvGraphicFramePr/>
                <a:graphic xmlns:a="http://schemas.openxmlformats.org/drawingml/2006/main">
                  <a:graphicData uri="http://schemas.microsoft.com/office/word/2010/wordprocessingShape">
                    <wps:wsp>
                      <wps:cNvSpPr txBox="1"/>
                      <wps:spPr>
                        <a:xfrm>
                          <a:off x="0" y="0"/>
                          <a:ext cx="6470650" cy="764274"/>
                        </a:xfrm>
                        <a:prstGeom prst="rect">
                          <a:avLst/>
                        </a:prstGeom>
                        <a:noFill/>
                        <a:ln w="6350">
                          <a:noFill/>
                        </a:ln>
                      </wps:spPr>
                      <wps:txbx>
                        <w:txbxContent>
                          <w:p w14:paraId="5989FF45" w14:textId="77777777" w:rsidR="00737353" w:rsidRPr="00B73670" w:rsidRDefault="00737353">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1E12DE66" w14:textId="77777777" w:rsidR="00737353" w:rsidRPr="00DA3237" w:rsidRDefault="00737353">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2F14" id="_x0000_s1036" type="#_x0000_t202" style="position:absolute;margin-left:3.2pt;margin-top:13.05pt;width:509.5pt;height:60.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" filled="f" stroked="f" strokeweight=".5pt">
                <v:textbox>
                  <w:txbxContent>
                    <w:p w14:paraId="5989FF45" w14:textId="77777777" w:rsidR="00737353" w:rsidRPr="00B73670" w:rsidRDefault="00737353">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1E12DE66" w14:textId="77777777" w:rsidR="00737353" w:rsidRPr="00DA3237" w:rsidRDefault="00737353">
                      <w:pPr>
                        <w:rPr>
                          <w:rFonts w:cs="Arial"/>
                        </w:rPr>
                      </w:pPr>
                    </w:p>
                  </w:txbxContent>
                </v:textbox>
              </v:shape>
            </w:pict>
          </mc:Fallback>
        </mc:AlternateContent>
      </w:r>
    </w:p>
    <w:p w14:paraId="546FC53A" w14:textId="77777777" w:rsidR="00737353" w:rsidRDefault="00737353">
      <w:pPr>
        <w:spacing w:line="300" w:lineRule="auto"/>
        <w:rPr>
          <w:rFonts w:eastAsia="Canva Sans" w:cs="Arial"/>
          <w:b/>
          <w:bCs/>
          <w:color w:val="000000"/>
          <w:sz w:val="36"/>
          <w:szCs w:val="36"/>
        </w:rPr>
      </w:pPr>
    </w:p>
    <w:p w14:paraId="5EEE36E2" w14:textId="77777777" w:rsidR="00737353" w:rsidRDefault="00737353" w:rsidP="00D74A98"/>
    <w:p w14:paraId="73BC5CC2" w14:textId="77777777" w:rsidR="00737353" w:rsidRDefault="00737353" w:rsidP="004E52AA">
      <w:pPr>
        <w:pStyle w:val="Heading1"/>
      </w:pPr>
      <w:bookmarkStart w:id="49" w:name="_KINDL"/>
      <w:bookmarkEnd w:id="49"/>
      <w:r>
        <w:t>KINDL</w:t>
      </w:r>
    </w:p>
    <w:tbl>
      <w:tblPr>
        <w:tblW w:w="9054"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9"/>
        <w:gridCol w:w="7075"/>
      </w:tblGrid>
      <w:tr w:rsidR="00737353" w:rsidRPr="00C040BF" w14:paraId="64061FC2"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46FD9839" w14:textId="77777777" w:rsidR="00737353" w:rsidRPr="00C040BF" w:rsidRDefault="00737353">
            <w:pPr>
              <w:spacing w:after="100"/>
              <w:ind w:left="57" w:right="57"/>
              <w:rPr>
                <w:rFonts w:cs="Arial"/>
                <w:b/>
                <w:bCs/>
              </w:rPr>
            </w:pPr>
            <w:r w:rsidRPr="6E7C5994">
              <w:rPr>
                <w:rFonts w:cs="Arial"/>
                <w:b/>
                <w:bC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09C593A2" w14:textId="77777777" w:rsidR="00737353" w:rsidRPr="00C040BF" w:rsidRDefault="00737353">
            <w:pPr>
              <w:spacing w:after="100"/>
              <w:ind w:left="57" w:right="57"/>
              <w:rPr>
                <w:rFonts w:cs="Arial"/>
              </w:rPr>
            </w:pPr>
            <w:r>
              <w:rPr>
                <w:rFonts w:cs="Arial"/>
                <w:b/>
                <w:bCs/>
              </w:rPr>
              <w:t>Children</w:t>
            </w:r>
            <w:r w:rsidRPr="3FB7AF22">
              <w:rPr>
                <w:rFonts w:cs="Arial"/>
              </w:rPr>
              <w:t>:</w:t>
            </w:r>
          </w:p>
          <w:p w14:paraId="7BBD67EB" w14:textId="77777777" w:rsidR="00737353" w:rsidRPr="002F0114" w:rsidRDefault="00737353" w:rsidP="004E3AF4">
            <w:pPr>
              <w:pStyle w:val="ListParagraph"/>
              <w:numPr>
                <w:ilvl w:val="0"/>
                <w:numId w:val="11"/>
              </w:numPr>
            </w:pPr>
            <w:r>
              <w:t>follow their interests and enjoy play opportunities</w:t>
            </w:r>
          </w:p>
          <w:p w14:paraId="2C4899CF" w14:textId="77777777" w:rsidR="00737353" w:rsidRPr="005C53CD" w:rsidRDefault="00737353">
            <w:pPr>
              <w:spacing w:after="100"/>
              <w:ind w:left="57" w:right="57"/>
              <w:rPr>
                <w:rFonts w:cs="Arial"/>
              </w:rPr>
            </w:pPr>
            <w:r w:rsidRPr="005C53CD">
              <w:rPr>
                <w:rFonts w:cs="Arial"/>
              </w:rPr>
              <w:t>Provides some information about:</w:t>
            </w:r>
          </w:p>
          <w:p w14:paraId="7841625A" w14:textId="77777777" w:rsidR="00737353" w:rsidRPr="00226E23" w:rsidRDefault="00737353" w:rsidP="004E3AF4">
            <w:pPr>
              <w:pStyle w:val="ListParagraph"/>
              <w:numPr>
                <w:ilvl w:val="0"/>
                <w:numId w:val="11"/>
              </w:numPr>
              <w:rPr>
                <w:rStyle w:val="Strong"/>
                <w:rFonts w:cs="Arial"/>
                <w:b w:val="0"/>
                <w:bCs w:val="0"/>
              </w:rPr>
            </w:pPr>
            <w:r w:rsidRPr="00226E23">
              <w:rPr>
                <w:rStyle w:val="Strong"/>
                <w:rFonts w:cs="Arial"/>
                <w:b w:val="0"/>
                <w:bCs w:val="0"/>
                <w:color w:val="000000"/>
                <w:shd w:val="clear" w:color="auto" w:fill="FFFFFF"/>
              </w:rPr>
              <w:t>have secure, stable and safe relationships with parents, carers, siblings, family members and significant others</w:t>
            </w:r>
          </w:p>
          <w:p w14:paraId="7F6713D2" w14:textId="77777777" w:rsidR="00737353" w:rsidRPr="00226E23" w:rsidRDefault="00737353" w:rsidP="004E3AF4">
            <w:pPr>
              <w:pStyle w:val="ListParagraph"/>
              <w:numPr>
                <w:ilvl w:val="0"/>
                <w:numId w:val="11"/>
              </w:numPr>
              <w:rPr>
                <w:rStyle w:val="Strong"/>
                <w:rFonts w:cs="Arial"/>
                <w:b w:val="0"/>
                <w:bCs w:val="0"/>
              </w:rPr>
            </w:pPr>
            <w:r w:rsidRPr="00226E23">
              <w:rPr>
                <w:rStyle w:val="Strong"/>
                <w:rFonts w:cs="Arial"/>
                <w:b w:val="0"/>
                <w:bCs w:val="0"/>
                <w:color w:val="000000"/>
                <w:shd w:val="clear" w:color="auto" w:fill="FFFFFF"/>
              </w:rPr>
              <w:t>interact with family members, other children, and people in the community to build relational skills and connections</w:t>
            </w:r>
          </w:p>
          <w:p w14:paraId="30706CAE" w14:textId="77777777" w:rsidR="00737353" w:rsidRPr="00F94180" w:rsidRDefault="00737353" w:rsidP="004E3AF4">
            <w:pPr>
              <w:pStyle w:val="ListParagraph"/>
              <w:numPr>
                <w:ilvl w:val="0"/>
                <w:numId w:val="11"/>
              </w:numPr>
            </w:pPr>
            <w:r w:rsidRPr="005C53CD">
              <w:rPr>
                <w:shd w:val="clear" w:color="auto" w:fill="FFFFFF"/>
              </w:rPr>
              <w:t>have a positive sense of belonging to their family and community</w:t>
            </w:r>
          </w:p>
        </w:tc>
      </w:tr>
    </w:tbl>
    <w:p w14:paraId="629116A3" w14:textId="77777777" w:rsidR="00737353" w:rsidRDefault="00737353" w:rsidP="004E52AA">
      <w:pPr>
        <w:pStyle w:val="Heading1"/>
      </w:pPr>
      <w:r>
        <w:t>KINDL Overview</w:t>
      </w:r>
    </w:p>
    <w:tbl>
      <w:tblPr>
        <w:tblW w:w="9054"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98"/>
        <w:gridCol w:w="7056"/>
      </w:tblGrid>
      <w:tr w:rsidR="00737353" w:rsidRPr="00C040BF" w14:paraId="234E15C5" w14:textId="77777777" w:rsidTr="00CD125D">
        <w:trPr>
          <w:trHeight w:val="300"/>
        </w:trPr>
        <w:tc>
          <w:tcPr>
            <w:tcW w:w="1998" w:type="dxa"/>
            <w:tcBorders>
              <w:top w:val="single" w:sz="6" w:space="0" w:color="auto"/>
              <w:left w:val="single" w:sz="6" w:space="0" w:color="auto"/>
              <w:bottom w:val="single" w:sz="6" w:space="0" w:color="auto"/>
              <w:right w:val="single" w:sz="6" w:space="0" w:color="auto"/>
            </w:tcBorders>
            <w:hideMark/>
          </w:tcPr>
          <w:p w14:paraId="6E17BB8E" w14:textId="77777777" w:rsidR="00737353" w:rsidRPr="00C040BF" w:rsidRDefault="00737353">
            <w:pPr>
              <w:spacing w:after="100"/>
              <w:ind w:left="57" w:right="57"/>
              <w:rPr>
                <w:rFonts w:cs="Arial"/>
              </w:rPr>
            </w:pPr>
            <w:r w:rsidRPr="00C040BF">
              <w:rPr>
                <w:rFonts w:cs="Arial"/>
                <w:b/>
                <w:bCs/>
              </w:rPr>
              <w:t>General description</w:t>
            </w:r>
            <w:r w:rsidRPr="00C040BF">
              <w:rPr>
                <w:rFonts w:cs="Arial"/>
              </w:rPr>
              <w:t>  </w:t>
            </w:r>
          </w:p>
          <w:p w14:paraId="1F8319B8" w14:textId="77777777" w:rsidR="00737353" w:rsidRPr="00A03204" w:rsidRDefault="00737353">
            <w:pPr>
              <w:spacing w:after="100"/>
              <w:ind w:left="57" w:right="57"/>
              <w:rPr>
                <w:rFonts w:cs="Arial"/>
                <w:i/>
                <w:iCs/>
              </w:rPr>
            </w:pPr>
          </w:p>
        </w:tc>
        <w:tc>
          <w:tcPr>
            <w:tcW w:w="7056" w:type="dxa"/>
            <w:tcBorders>
              <w:top w:val="single" w:sz="6" w:space="0" w:color="auto"/>
              <w:left w:val="single" w:sz="6" w:space="0" w:color="auto"/>
              <w:bottom w:val="single" w:sz="6" w:space="0" w:color="auto"/>
              <w:right w:val="single" w:sz="6" w:space="0" w:color="auto"/>
            </w:tcBorders>
            <w:hideMark/>
          </w:tcPr>
          <w:p w14:paraId="037E6750" w14:textId="77777777" w:rsidR="00737353" w:rsidRPr="00C040BF" w:rsidRDefault="00737353">
            <w:pPr>
              <w:spacing w:after="100"/>
              <w:ind w:right="57"/>
              <w:rPr>
                <w:rFonts w:cs="Arial"/>
              </w:rPr>
            </w:pPr>
            <w:r w:rsidRPr="7EBAA759">
              <w:rPr>
                <w:rFonts w:eastAsia="Arial" w:cs="Arial"/>
                <w:color w:val="000000" w:themeColor="text1"/>
              </w:rPr>
              <w:t xml:space="preserve">The KINDL </w:t>
            </w:r>
            <w:r>
              <w:rPr>
                <w:rFonts w:eastAsia="Arial" w:cs="Arial"/>
                <w:color w:val="000000" w:themeColor="text1"/>
              </w:rPr>
              <w:t xml:space="preserve">(derived from the German word “kinder” meaning “children”), first published in 1994, </w:t>
            </w:r>
            <w:r w:rsidRPr="7EBAA759">
              <w:rPr>
                <w:rFonts w:eastAsia="Arial" w:cs="Arial"/>
                <w:color w:val="000000" w:themeColor="text1"/>
              </w:rPr>
              <w:t>assesses Health-Related Quality of Life (</w:t>
            </w:r>
            <w:proofErr w:type="spellStart"/>
            <w:r w:rsidRPr="7EBAA759">
              <w:rPr>
                <w:rFonts w:eastAsia="Arial" w:cs="Arial"/>
                <w:color w:val="000000" w:themeColor="text1"/>
              </w:rPr>
              <w:t>HRQoL</w:t>
            </w:r>
            <w:proofErr w:type="spellEnd"/>
            <w:r w:rsidRPr="7EBAA759">
              <w:rPr>
                <w:rFonts w:eastAsia="Arial" w:cs="Arial"/>
                <w:color w:val="000000" w:themeColor="text1"/>
              </w:rPr>
              <w:t>) in children and adolescents. There are different versions for specific age groups</w:t>
            </w:r>
            <w:r>
              <w:rPr>
                <w:rFonts w:eastAsia="Arial" w:cs="Arial"/>
                <w:color w:val="000000" w:themeColor="text1"/>
              </w:rPr>
              <w:t xml:space="preserve">, including the </w:t>
            </w:r>
            <w:r w:rsidRPr="7EBAA759">
              <w:rPr>
                <w:rFonts w:eastAsia="Arial" w:cs="Arial"/>
                <w:color w:val="000000" w:themeColor="text1"/>
              </w:rPr>
              <w:t>Kiddy-KINDL, Kid-KINDL and Kiddo-KINDL.</w:t>
            </w:r>
            <w:r>
              <w:rPr>
                <w:rFonts w:eastAsia="Arial" w:cs="Arial"/>
                <w:color w:val="000000" w:themeColor="text1"/>
              </w:rPr>
              <w:t xml:space="preserve"> A revised version (KINDL-R) was published in 1998.</w:t>
            </w:r>
          </w:p>
        </w:tc>
      </w:tr>
      <w:tr w:rsidR="00737353" w:rsidRPr="00C040BF" w14:paraId="56480CD4" w14:textId="77777777" w:rsidTr="00CD125D">
        <w:trPr>
          <w:trHeight w:val="300"/>
        </w:trPr>
        <w:tc>
          <w:tcPr>
            <w:tcW w:w="1998" w:type="dxa"/>
            <w:tcBorders>
              <w:top w:val="single" w:sz="6" w:space="0" w:color="auto"/>
              <w:left w:val="single" w:sz="6" w:space="0" w:color="auto"/>
              <w:bottom w:val="single" w:sz="6" w:space="0" w:color="auto"/>
              <w:right w:val="single" w:sz="6" w:space="0" w:color="auto"/>
            </w:tcBorders>
          </w:tcPr>
          <w:p w14:paraId="05A5F8C4" w14:textId="77777777" w:rsidR="00737353" w:rsidRPr="00C040BF" w:rsidRDefault="00737353">
            <w:pPr>
              <w:spacing w:after="100"/>
              <w:ind w:left="57" w:right="57"/>
              <w:rPr>
                <w:rFonts w:cs="Arial"/>
                <w:b/>
                <w:bCs/>
              </w:rPr>
            </w:pPr>
            <w:r w:rsidRPr="6E7C5994">
              <w:rPr>
                <w:rFonts w:cs="Arial"/>
                <w:b/>
                <w:bCs/>
              </w:rPr>
              <w:t xml:space="preserve">Ages </w:t>
            </w:r>
          </w:p>
        </w:tc>
        <w:tc>
          <w:tcPr>
            <w:tcW w:w="7056" w:type="dxa"/>
            <w:tcBorders>
              <w:top w:val="single" w:sz="6" w:space="0" w:color="auto"/>
              <w:left w:val="single" w:sz="6" w:space="0" w:color="auto"/>
              <w:bottom w:val="single" w:sz="6" w:space="0" w:color="auto"/>
              <w:right w:val="single" w:sz="6" w:space="0" w:color="auto"/>
            </w:tcBorders>
          </w:tcPr>
          <w:p w14:paraId="4B4534A5" w14:textId="77777777" w:rsidR="00737353" w:rsidRDefault="00737353">
            <w:pPr>
              <w:spacing w:after="100"/>
              <w:ind w:right="57"/>
              <w:rPr>
                <w:rFonts w:eastAsia="Arial" w:cs="Arial"/>
                <w:color w:val="000000" w:themeColor="text1"/>
              </w:rPr>
            </w:pPr>
            <w:r>
              <w:rPr>
                <w:rFonts w:eastAsia="Arial" w:cs="Arial"/>
                <w:color w:val="000000" w:themeColor="text1"/>
              </w:rPr>
              <w:t xml:space="preserve">The </w:t>
            </w:r>
            <w:r w:rsidRPr="7EBAA759">
              <w:rPr>
                <w:rFonts w:eastAsia="Arial" w:cs="Arial"/>
                <w:color w:val="000000" w:themeColor="text1"/>
              </w:rPr>
              <w:t xml:space="preserve">Kiddy-KINDL </w:t>
            </w:r>
            <w:r>
              <w:rPr>
                <w:rFonts w:eastAsia="Arial" w:cs="Arial"/>
                <w:color w:val="000000" w:themeColor="text1"/>
              </w:rPr>
              <w:t xml:space="preserve">is designed for children aged </w:t>
            </w:r>
            <w:r w:rsidRPr="7EBAA759">
              <w:rPr>
                <w:rFonts w:eastAsia="Arial" w:cs="Arial"/>
                <w:color w:val="000000" w:themeColor="text1"/>
              </w:rPr>
              <w:t>3</w:t>
            </w:r>
            <w:r>
              <w:rPr>
                <w:rFonts w:eastAsia="Arial" w:cs="Arial"/>
                <w:color w:val="000000" w:themeColor="text1"/>
              </w:rPr>
              <w:t xml:space="preserve"> to </w:t>
            </w:r>
            <w:r w:rsidRPr="7EBAA759">
              <w:rPr>
                <w:rFonts w:eastAsia="Arial" w:cs="Arial"/>
                <w:color w:val="000000" w:themeColor="text1"/>
              </w:rPr>
              <w:t>6 years</w:t>
            </w:r>
            <w:r>
              <w:rPr>
                <w:rFonts w:eastAsia="Arial" w:cs="Arial"/>
                <w:color w:val="000000" w:themeColor="text1"/>
              </w:rPr>
              <w:t xml:space="preserve"> (parent-proxy report) and 4 to 6 years (child interview version).</w:t>
            </w:r>
          </w:p>
          <w:p w14:paraId="390175AF" w14:textId="3CB5C6D3" w:rsidR="00737353" w:rsidRDefault="00737353">
            <w:pPr>
              <w:spacing w:after="100"/>
              <w:ind w:right="57"/>
              <w:rPr>
                <w:rFonts w:eastAsia="Arial" w:cs="Arial"/>
                <w:color w:val="000000" w:themeColor="text1"/>
              </w:rPr>
            </w:pPr>
            <w:r>
              <w:rPr>
                <w:rFonts w:eastAsia="Arial" w:cs="Arial"/>
                <w:color w:val="000000" w:themeColor="text1"/>
              </w:rPr>
              <w:t xml:space="preserve">The Kid-KINDL is designed for children aged 7 to </w:t>
            </w:r>
            <w:r w:rsidRPr="7EBAA759">
              <w:rPr>
                <w:rFonts w:eastAsia="Arial" w:cs="Arial"/>
                <w:color w:val="000000" w:themeColor="text1"/>
              </w:rPr>
              <w:t>13 years</w:t>
            </w:r>
            <w:r>
              <w:rPr>
                <w:rFonts w:eastAsia="Arial" w:cs="Arial"/>
                <w:color w:val="000000" w:themeColor="text1"/>
              </w:rPr>
              <w:t xml:space="preserve"> (self</w:t>
            </w:r>
            <w:r w:rsidR="00C305FF">
              <w:rPr>
                <w:rFonts w:eastAsia="Arial" w:cs="Arial"/>
                <w:color w:val="000000" w:themeColor="text1"/>
              </w:rPr>
              <w:t>-</w:t>
            </w:r>
            <w:r>
              <w:rPr>
                <w:rFonts w:eastAsia="Arial" w:cs="Arial"/>
                <w:color w:val="000000" w:themeColor="text1"/>
              </w:rPr>
              <w:t>report).</w:t>
            </w:r>
          </w:p>
          <w:p w14:paraId="080C88F4" w14:textId="2DD80C1C" w:rsidR="00737353" w:rsidRDefault="00737353">
            <w:pPr>
              <w:spacing w:after="100"/>
              <w:ind w:right="57"/>
              <w:rPr>
                <w:rFonts w:eastAsia="Arial" w:cs="Arial"/>
                <w:color w:val="000000" w:themeColor="text1"/>
              </w:rPr>
            </w:pPr>
            <w:r>
              <w:rPr>
                <w:rFonts w:eastAsia="Arial" w:cs="Arial"/>
                <w:color w:val="000000" w:themeColor="text1"/>
              </w:rPr>
              <w:t>The K</w:t>
            </w:r>
            <w:r w:rsidRPr="7EBAA759">
              <w:rPr>
                <w:rFonts w:eastAsia="Arial" w:cs="Arial"/>
                <w:color w:val="000000" w:themeColor="text1"/>
              </w:rPr>
              <w:t xml:space="preserve">iddo-KINDL </w:t>
            </w:r>
            <w:r>
              <w:rPr>
                <w:rFonts w:eastAsia="Arial" w:cs="Arial"/>
                <w:color w:val="000000" w:themeColor="text1"/>
              </w:rPr>
              <w:t xml:space="preserve">is designed for adolescents aged </w:t>
            </w:r>
            <w:r w:rsidRPr="7EBAA759">
              <w:rPr>
                <w:rFonts w:eastAsia="Arial" w:cs="Arial"/>
                <w:color w:val="000000" w:themeColor="text1"/>
              </w:rPr>
              <w:t>14</w:t>
            </w:r>
            <w:r>
              <w:rPr>
                <w:rFonts w:eastAsia="Arial" w:cs="Arial"/>
                <w:color w:val="000000" w:themeColor="text1"/>
              </w:rPr>
              <w:t xml:space="preserve"> to </w:t>
            </w:r>
            <w:r w:rsidRPr="7EBAA759">
              <w:rPr>
                <w:rFonts w:eastAsia="Arial" w:cs="Arial"/>
                <w:color w:val="000000" w:themeColor="text1"/>
              </w:rPr>
              <w:t>17 years</w:t>
            </w:r>
            <w:r>
              <w:rPr>
                <w:rFonts w:eastAsia="Arial" w:cs="Arial"/>
                <w:color w:val="000000" w:themeColor="text1"/>
              </w:rPr>
              <w:t xml:space="preserve"> (self</w:t>
            </w:r>
            <w:r w:rsidR="00C305FF">
              <w:rPr>
                <w:rFonts w:eastAsia="Arial" w:cs="Arial"/>
                <w:color w:val="000000" w:themeColor="text1"/>
              </w:rPr>
              <w:t>-</w:t>
            </w:r>
            <w:r>
              <w:rPr>
                <w:rFonts w:eastAsia="Arial" w:cs="Arial"/>
                <w:color w:val="000000" w:themeColor="text1"/>
              </w:rPr>
              <w:t>report)</w:t>
            </w:r>
            <w:r w:rsidRPr="7EBAA759">
              <w:rPr>
                <w:rFonts w:eastAsia="Arial" w:cs="Arial"/>
                <w:color w:val="000000" w:themeColor="text1"/>
              </w:rPr>
              <w:t>.</w:t>
            </w:r>
          </w:p>
          <w:p w14:paraId="63EEABF7" w14:textId="77777777" w:rsidR="00737353" w:rsidRPr="00223728" w:rsidRDefault="00737353">
            <w:pPr>
              <w:spacing w:after="100"/>
              <w:ind w:right="57"/>
              <w:rPr>
                <w:rFonts w:cs="Arial"/>
              </w:rPr>
            </w:pPr>
            <w:r>
              <w:rPr>
                <w:rFonts w:cs="Arial"/>
              </w:rPr>
              <w:lastRenderedPageBreak/>
              <w:t xml:space="preserve">The parent-proxy for the Kid/Kiddo KINDL-R is for 7 to 17 years. </w:t>
            </w:r>
          </w:p>
        </w:tc>
      </w:tr>
      <w:tr w:rsidR="00737353" w:rsidRPr="00C040BF" w14:paraId="12ED3675" w14:textId="77777777" w:rsidTr="00CD125D">
        <w:trPr>
          <w:trHeight w:val="300"/>
        </w:trPr>
        <w:tc>
          <w:tcPr>
            <w:tcW w:w="1998" w:type="dxa"/>
            <w:tcBorders>
              <w:top w:val="single" w:sz="6" w:space="0" w:color="auto"/>
              <w:left w:val="single" w:sz="6" w:space="0" w:color="auto"/>
              <w:bottom w:val="single" w:sz="6" w:space="0" w:color="auto"/>
              <w:right w:val="single" w:sz="6" w:space="0" w:color="auto"/>
            </w:tcBorders>
          </w:tcPr>
          <w:p w14:paraId="252102A6" w14:textId="77777777" w:rsidR="00737353" w:rsidRPr="00C040BF" w:rsidRDefault="00737353">
            <w:pPr>
              <w:spacing w:after="100"/>
              <w:ind w:left="57" w:right="57"/>
              <w:rPr>
                <w:rFonts w:cs="Arial"/>
              </w:rPr>
            </w:pPr>
            <w:r w:rsidRPr="00C040BF">
              <w:rPr>
                <w:rFonts w:cs="Arial"/>
                <w:b/>
                <w:bCs/>
              </w:rPr>
              <w:lastRenderedPageBreak/>
              <w:t>Domains</w:t>
            </w:r>
            <w:r w:rsidRPr="64920801">
              <w:rPr>
                <w:rFonts w:cs="Arial"/>
                <w:b/>
                <w:bCs/>
              </w:rPr>
              <w:t xml:space="preserve"> / </w:t>
            </w:r>
            <w:r w:rsidRPr="00C040BF">
              <w:rPr>
                <w:rFonts w:cs="Arial"/>
                <w:b/>
                <w:bCs/>
              </w:rPr>
              <w:t>subscales </w:t>
            </w:r>
            <w:r w:rsidRPr="00C040BF">
              <w:rPr>
                <w:rFonts w:cs="Arial"/>
              </w:rPr>
              <w:t> </w:t>
            </w:r>
          </w:p>
        </w:tc>
        <w:tc>
          <w:tcPr>
            <w:tcW w:w="7056" w:type="dxa"/>
            <w:tcBorders>
              <w:top w:val="single" w:sz="6" w:space="0" w:color="auto"/>
              <w:left w:val="single" w:sz="6" w:space="0" w:color="auto"/>
              <w:bottom w:val="single" w:sz="6" w:space="0" w:color="auto"/>
              <w:right w:val="single" w:sz="6" w:space="0" w:color="auto"/>
            </w:tcBorders>
          </w:tcPr>
          <w:p w14:paraId="7E6F67C7" w14:textId="77777777" w:rsidR="00737353" w:rsidRPr="00C040BF" w:rsidRDefault="00737353">
            <w:pPr>
              <w:spacing w:after="100"/>
              <w:ind w:right="57"/>
              <w:rPr>
                <w:rFonts w:cs="Arial"/>
              </w:rPr>
            </w:pPr>
            <w:r w:rsidRPr="7EBAA759">
              <w:rPr>
                <w:rFonts w:eastAsia="Arial" w:cs="Arial"/>
              </w:rPr>
              <w:t>The KINDL has 6 subscales:</w:t>
            </w:r>
            <w:r w:rsidRPr="7EBAA759">
              <w:rPr>
                <w:rFonts w:eastAsia="Arial" w:cs="Arial"/>
                <w:color w:val="000000" w:themeColor="text1"/>
              </w:rPr>
              <w:t xml:space="preserve"> </w:t>
            </w:r>
            <w:r>
              <w:rPr>
                <w:rFonts w:eastAsia="Arial" w:cs="Arial"/>
                <w:color w:val="000000" w:themeColor="text1"/>
              </w:rPr>
              <w:t>P</w:t>
            </w:r>
            <w:r w:rsidRPr="7EBAA759">
              <w:rPr>
                <w:rFonts w:eastAsia="Arial" w:cs="Arial"/>
                <w:color w:val="000000" w:themeColor="text1"/>
              </w:rPr>
              <w:t xml:space="preserve">hysical </w:t>
            </w:r>
            <w:r>
              <w:rPr>
                <w:rFonts w:eastAsia="Arial" w:cs="Arial"/>
                <w:color w:val="000000" w:themeColor="text1"/>
              </w:rPr>
              <w:t>W</w:t>
            </w:r>
            <w:r w:rsidRPr="7EBAA759">
              <w:rPr>
                <w:rFonts w:eastAsia="Arial" w:cs="Arial"/>
                <w:color w:val="000000" w:themeColor="text1"/>
              </w:rPr>
              <w:t xml:space="preserve">ell-being, </w:t>
            </w:r>
            <w:r>
              <w:rPr>
                <w:rFonts w:eastAsia="Arial" w:cs="Arial"/>
                <w:color w:val="000000" w:themeColor="text1"/>
              </w:rPr>
              <w:t>E</w:t>
            </w:r>
            <w:r w:rsidRPr="7EBAA759">
              <w:rPr>
                <w:rFonts w:eastAsia="Arial" w:cs="Arial"/>
                <w:color w:val="000000" w:themeColor="text1"/>
              </w:rPr>
              <w:t xml:space="preserve">motional </w:t>
            </w:r>
            <w:r>
              <w:rPr>
                <w:rFonts w:eastAsia="Arial" w:cs="Arial"/>
                <w:color w:val="000000" w:themeColor="text1"/>
              </w:rPr>
              <w:t>W</w:t>
            </w:r>
            <w:r w:rsidRPr="7EBAA759">
              <w:rPr>
                <w:rFonts w:eastAsia="Arial" w:cs="Arial"/>
                <w:color w:val="000000" w:themeColor="text1"/>
              </w:rPr>
              <w:t xml:space="preserve">ell-being, </w:t>
            </w:r>
            <w:r>
              <w:rPr>
                <w:rFonts w:eastAsia="Arial" w:cs="Arial"/>
                <w:color w:val="000000" w:themeColor="text1"/>
              </w:rPr>
              <w:t>S</w:t>
            </w:r>
            <w:r w:rsidRPr="7EBAA759">
              <w:rPr>
                <w:rFonts w:eastAsia="Arial" w:cs="Arial"/>
                <w:color w:val="000000" w:themeColor="text1"/>
              </w:rPr>
              <w:t xml:space="preserve">elf-esteem, </w:t>
            </w:r>
            <w:r>
              <w:rPr>
                <w:rFonts w:eastAsia="Arial" w:cs="Arial"/>
                <w:color w:val="000000" w:themeColor="text1"/>
              </w:rPr>
              <w:t>F</w:t>
            </w:r>
            <w:r w:rsidRPr="7EBAA759">
              <w:rPr>
                <w:rFonts w:eastAsia="Arial" w:cs="Arial"/>
                <w:color w:val="000000" w:themeColor="text1"/>
              </w:rPr>
              <w:t xml:space="preserve">amily, </w:t>
            </w:r>
            <w:r>
              <w:rPr>
                <w:rFonts w:eastAsia="Arial" w:cs="Arial"/>
                <w:color w:val="000000" w:themeColor="text1"/>
              </w:rPr>
              <w:t>F</w:t>
            </w:r>
            <w:r w:rsidRPr="7EBAA759">
              <w:rPr>
                <w:rFonts w:eastAsia="Arial" w:cs="Arial"/>
                <w:color w:val="000000" w:themeColor="text1"/>
              </w:rPr>
              <w:t xml:space="preserve">riends, and </w:t>
            </w:r>
            <w:r>
              <w:rPr>
                <w:rFonts w:eastAsia="Arial" w:cs="Arial"/>
                <w:color w:val="000000" w:themeColor="text1"/>
              </w:rPr>
              <w:t>E</w:t>
            </w:r>
            <w:r w:rsidRPr="7EBAA759">
              <w:rPr>
                <w:rFonts w:eastAsia="Arial" w:cs="Arial"/>
                <w:color w:val="000000" w:themeColor="text1"/>
              </w:rPr>
              <w:t xml:space="preserve">veryday </w:t>
            </w:r>
            <w:r>
              <w:rPr>
                <w:rFonts w:eastAsia="Arial" w:cs="Arial"/>
                <w:color w:val="000000" w:themeColor="text1"/>
              </w:rPr>
              <w:t>F</w:t>
            </w:r>
            <w:r w:rsidRPr="7EBAA759">
              <w:rPr>
                <w:rFonts w:eastAsia="Arial" w:cs="Arial"/>
                <w:color w:val="000000" w:themeColor="text1"/>
              </w:rPr>
              <w:t>unctioning.</w:t>
            </w:r>
          </w:p>
        </w:tc>
      </w:tr>
      <w:tr w:rsidR="00737353" w:rsidRPr="00C040BF" w14:paraId="735ED7E5" w14:textId="77777777" w:rsidTr="00CD125D">
        <w:trPr>
          <w:trHeight w:val="300"/>
        </w:trPr>
        <w:tc>
          <w:tcPr>
            <w:tcW w:w="1998" w:type="dxa"/>
            <w:tcBorders>
              <w:top w:val="single" w:sz="6" w:space="0" w:color="auto"/>
              <w:left w:val="single" w:sz="6" w:space="0" w:color="auto"/>
              <w:bottom w:val="single" w:sz="6" w:space="0" w:color="auto"/>
              <w:right w:val="single" w:sz="6" w:space="0" w:color="auto"/>
            </w:tcBorders>
            <w:hideMark/>
          </w:tcPr>
          <w:p w14:paraId="314ECF0B" w14:textId="77777777" w:rsidR="00737353" w:rsidRPr="00C040BF" w:rsidRDefault="00737353">
            <w:pPr>
              <w:spacing w:after="100"/>
              <w:ind w:left="57" w:right="57"/>
              <w:rPr>
                <w:rFonts w:cs="Arial"/>
              </w:rPr>
            </w:pPr>
            <w:r w:rsidRPr="00C040BF">
              <w:rPr>
                <w:rFonts w:cs="Arial"/>
                <w:b/>
                <w:bCs/>
              </w:rPr>
              <w:t>Cultural adaptation </w:t>
            </w:r>
            <w:r w:rsidRPr="00C040BF">
              <w:rPr>
                <w:rFonts w:cs="Arial"/>
              </w:rPr>
              <w:t> </w:t>
            </w:r>
          </w:p>
          <w:p w14:paraId="376996BD" w14:textId="77777777" w:rsidR="00737353" w:rsidRPr="00C040BF" w:rsidRDefault="00737353">
            <w:pPr>
              <w:spacing w:after="100"/>
              <w:ind w:left="57" w:right="57"/>
              <w:rPr>
                <w:rFonts w:cs="Arial"/>
              </w:rPr>
            </w:pPr>
          </w:p>
        </w:tc>
        <w:tc>
          <w:tcPr>
            <w:tcW w:w="7056" w:type="dxa"/>
            <w:tcBorders>
              <w:top w:val="single" w:sz="6" w:space="0" w:color="auto"/>
              <w:left w:val="single" w:sz="6" w:space="0" w:color="auto"/>
              <w:bottom w:val="single" w:sz="6" w:space="0" w:color="auto"/>
              <w:right w:val="single" w:sz="6" w:space="0" w:color="auto"/>
            </w:tcBorders>
            <w:hideMark/>
          </w:tcPr>
          <w:p w14:paraId="68C89DE9" w14:textId="77777777" w:rsidR="00737353" w:rsidRPr="00C040BF" w:rsidRDefault="00737353">
            <w:pPr>
              <w:spacing w:after="100"/>
              <w:ind w:right="57"/>
              <w:rPr>
                <w:rFonts w:eastAsia="Arial" w:cs="Arial"/>
              </w:rPr>
            </w:pPr>
            <w:r w:rsidRPr="466880A3">
              <w:rPr>
                <w:rFonts w:eastAsia="Arial" w:cs="Arial"/>
              </w:rPr>
              <w:t xml:space="preserve">The </w:t>
            </w:r>
            <w:r w:rsidRPr="466880A3">
              <w:rPr>
                <w:rFonts w:eastAsia="Arial" w:cs="Arial"/>
                <w:color w:val="000000" w:themeColor="text1"/>
              </w:rPr>
              <w:t xml:space="preserve">KINDL has been adapted for various cultures and languages, including Filipino, Persian, Serbian, Spanish, Brazilian Portuguese, and Arabic versions. A complete list of language translations is available on the KINDL website </w:t>
            </w:r>
            <w:hyperlink r:id="rId41">
              <w:r w:rsidRPr="466880A3">
                <w:rPr>
                  <w:rStyle w:val="Hyperlink"/>
                  <w:rFonts w:eastAsia="Arial" w:cs="Arial"/>
                </w:rPr>
                <w:t>Language versions - kindl.org</w:t>
              </w:r>
            </w:hyperlink>
          </w:p>
        </w:tc>
      </w:tr>
      <w:tr w:rsidR="00737353" w:rsidRPr="00C040BF" w14:paraId="360973CC" w14:textId="77777777" w:rsidTr="00CD125D">
        <w:trPr>
          <w:trHeight w:val="300"/>
        </w:trPr>
        <w:tc>
          <w:tcPr>
            <w:tcW w:w="1998" w:type="dxa"/>
            <w:tcBorders>
              <w:top w:val="single" w:sz="6" w:space="0" w:color="auto"/>
              <w:left w:val="single" w:sz="6" w:space="0" w:color="auto"/>
              <w:bottom w:val="single" w:sz="6" w:space="0" w:color="auto"/>
              <w:right w:val="single" w:sz="6" w:space="0" w:color="auto"/>
            </w:tcBorders>
            <w:hideMark/>
          </w:tcPr>
          <w:p w14:paraId="188D6DBF" w14:textId="77777777" w:rsidR="00737353" w:rsidRPr="00C040BF" w:rsidRDefault="00737353">
            <w:pPr>
              <w:spacing w:after="100"/>
              <w:ind w:left="57" w:right="57"/>
              <w:rPr>
                <w:rFonts w:cs="Arial"/>
              </w:rPr>
            </w:pPr>
            <w:r w:rsidRPr="00C040BF">
              <w:rPr>
                <w:rFonts w:cs="Arial"/>
                <w:b/>
                <w:bCs/>
              </w:rPr>
              <w:t>Administration</w:t>
            </w:r>
            <w:r w:rsidRPr="00C040BF">
              <w:rPr>
                <w:rFonts w:cs="Arial"/>
              </w:rPr>
              <w:t>  </w:t>
            </w:r>
          </w:p>
          <w:p w14:paraId="04B7EE1D" w14:textId="77777777" w:rsidR="00737353" w:rsidRPr="00C040BF" w:rsidRDefault="00737353">
            <w:pPr>
              <w:spacing w:after="100"/>
              <w:ind w:left="57" w:right="57"/>
              <w:rPr>
                <w:rFonts w:cs="Arial"/>
              </w:rPr>
            </w:pPr>
          </w:p>
          <w:p w14:paraId="1F368B14" w14:textId="77777777" w:rsidR="00737353" w:rsidRPr="00C040BF" w:rsidRDefault="00737353">
            <w:pPr>
              <w:spacing w:after="100"/>
              <w:ind w:left="57" w:right="57"/>
              <w:rPr>
                <w:rFonts w:cs="Arial"/>
                <w:i/>
                <w:iCs/>
              </w:rPr>
            </w:pPr>
          </w:p>
        </w:tc>
        <w:tc>
          <w:tcPr>
            <w:tcW w:w="7056" w:type="dxa"/>
            <w:tcBorders>
              <w:top w:val="single" w:sz="6" w:space="0" w:color="auto"/>
              <w:left w:val="single" w:sz="6" w:space="0" w:color="auto"/>
              <w:bottom w:val="single" w:sz="6" w:space="0" w:color="auto"/>
              <w:right w:val="single" w:sz="6" w:space="0" w:color="auto"/>
            </w:tcBorders>
            <w:hideMark/>
          </w:tcPr>
          <w:p w14:paraId="0A824F1E" w14:textId="77777777" w:rsidR="00737353" w:rsidRPr="00C040BF" w:rsidRDefault="00737353">
            <w:pPr>
              <w:rPr>
                <w:rFonts w:eastAsia="Arial" w:cs="Arial"/>
              </w:rPr>
            </w:pPr>
            <w:r w:rsidRPr="7EBAA759">
              <w:rPr>
                <w:rFonts w:eastAsia="Arial" w:cs="Arial"/>
              </w:rPr>
              <w:t>The KINDL</w:t>
            </w:r>
            <w:r w:rsidRPr="7EBAA759">
              <w:rPr>
                <w:rFonts w:eastAsia="Arial" w:cs="Arial"/>
                <w:color w:val="000000" w:themeColor="text1"/>
              </w:rPr>
              <w:t xml:space="preserve"> can be administered as </w:t>
            </w:r>
            <w:r>
              <w:rPr>
                <w:rFonts w:eastAsia="Arial" w:cs="Arial"/>
                <w:color w:val="000000" w:themeColor="text1"/>
              </w:rPr>
              <w:t xml:space="preserve">a </w:t>
            </w:r>
            <w:r w:rsidRPr="7EBAA759">
              <w:rPr>
                <w:rFonts w:eastAsia="Arial" w:cs="Arial"/>
                <w:color w:val="000000" w:themeColor="text1"/>
              </w:rPr>
              <w:t>paper-</w:t>
            </w:r>
            <w:r>
              <w:rPr>
                <w:rFonts w:eastAsia="Arial" w:cs="Arial"/>
                <w:color w:val="000000" w:themeColor="text1"/>
              </w:rPr>
              <w:t>based</w:t>
            </w:r>
            <w:r w:rsidRPr="7EBAA759">
              <w:rPr>
                <w:rFonts w:eastAsia="Arial" w:cs="Arial"/>
                <w:color w:val="000000" w:themeColor="text1"/>
              </w:rPr>
              <w:t xml:space="preserve"> questionnaire, interview, or electronic survey.</w:t>
            </w:r>
          </w:p>
          <w:p w14:paraId="4421E500" w14:textId="77777777" w:rsidR="00737353" w:rsidRPr="00C040BF" w:rsidRDefault="00737353">
            <w:pPr>
              <w:rPr>
                <w:rFonts w:eastAsia="Arial" w:cs="Arial"/>
              </w:rPr>
            </w:pPr>
            <w:r w:rsidRPr="7EBAA759">
              <w:rPr>
                <w:rFonts w:eastAsia="Arial" w:cs="Arial"/>
                <w:color w:val="000000" w:themeColor="text1"/>
              </w:rPr>
              <w:t>The KINDL can be completed by children themselves (self-report), parents (proxy-report), researchers, clinicians, and healthcare professionals. For children with limited reading skills, it can be administered as an interview.</w:t>
            </w:r>
          </w:p>
          <w:p w14:paraId="635B0631" w14:textId="77777777" w:rsidR="00737353" w:rsidRPr="00C040BF" w:rsidRDefault="00737353">
            <w:pPr>
              <w:spacing w:after="100"/>
              <w:ind w:right="57"/>
              <w:rPr>
                <w:rFonts w:eastAsia="Arial" w:cs="Arial"/>
                <w:color w:val="D13438"/>
                <w:u w:val="single"/>
              </w:rPr>
            </w:pPr>
            <w:r w:rsidRPr="7EBAA759">
              <w:rPr>
                <w:rFonts w:eastAsia="Arial" w:cs="Arial"/>
                <w:color w:val="000000" w:themeColor="text1"/>
              </w:rPr>
              <w:t>The average completion time is about 10 minutes (younger children may require more time).</w:t>
            </w:r>
          </w:p>
        </w:tc>
      </w:tr>
      <w:tr w:rsidR="00737353" w:rsidRPr="00C040BF" w14:paraId="20F8ADDA" w14:textId="77777777" w:rsidTr="00CD125D">
        <w:trPr>
          <w:trHeight w:val="300"/>
        </w:trPr>
        <w:tc>
          <w:tcPr>
            <w:tcW w:w="1998" w:type="dxa"/>
            <w:tcBorders>
              <w:top w:val="single" w:sz="6" w:space="0" w:color="auto"/>
              <w:left w:val="single" w:sz="6" w:space="0" w:color="auto"/>
              <w:bottom w:val="single" w:sz="6" w:space="0" w:color="auto"/>
              <w:right w:val="single" w:sz="6" w:space="0" w:color="auto"/>
            </w:tcBorders>
            <w:hideMark/>
          </w:tcPr>
          <w:p w14:paraId="23AC2577" w14:textId="77777777" w:rsidR="00737353" w:rsidRPr="00C040BF" w:rsidRDefault="00737353">
            <w:pPr>
              <w:spacing w:after="100"/>
              <w:ind w:left="57" w:right="57"/>
              <w:rPr>
                <w:rFonts w:cs="Arial"/>
              </w:rPr>
            </w:pPr>
            <w:r w:rsidRPr="00C040BF">
              <w:rPr>
                <w:rFonts w:cs="Arial"/>
                <w:b/>
                <w:bCs/>
              </w:rPr>
              <w:t>Training requirements</w:t>
            </w:r>
            <w:r w:rsidRPr="00C040BF">
              <w:rPr>
                <w:rFonts w:cs="Arial"/>
              </w:rPr>
              <w:t>  </w:t>
            </w:r>
          </w:p>
          <w:p w14:paraId="1E25FD3B" w14:textId="77777777" w:rsidR="00737353" w:rsidRPr="00C040BF" w:rsidRDefault="00737353">
            <w:pPr>
              <w:spacing w:after="100"/>
              <w:ind w:left="57" w:right="57"/>
              <w:rPr>
                <w:rFonts w:cs="Arial"/>
              </w:rPr>
            </w:pPr>
          </w:p>
        </w:tc>
        <w:tc>
          <w:tcPr>
            <w:tcW w:w="7056" w:type="dxa"/>
            <w:tcBorders>
              <w:top w:val="single" w:sz="6" w:space="0" w:color="auto"/>
              <w:left w:val="single" w:sz="6" w:space="0" w:color="auto"/>
              <w:bottom w:val="single" w:sz="6" w:space="0" w:color="auto"/>
              <w:right w:val="single" w:sz="6" w:space="0" w:color="auto"/>
            </w:tcBorders>
            <w:hideMark/>
          </w:tcPr>
          <w:p w14:paraId="32708059" w14:textId="77777777" w:rsidR="00737353" w:rsidRPr="00C040BF" w:rsidRDefault="00737353">
            <w:pPr>
              <w:spacing w:after="100"/>
              <w:ind w:right="57"/>
              <w:rPr>
                <w:rFonts w:eastAsia="Arial" w:cs="Arial"/>
                <w:color w:val="000000" w:themeColor="text1"/>
              </w:rPr>
            </w:pPr>
            <w:r w:rsidRPr="7EBAA759">
              <w:rPr>
                <w:rFonts w:eastAsia="Arial" w:cs="Arial"/>
                <w:color w:val="000000" w:themeColor="text1"/>
              </w:rPr>
              <w:t xml:space="preserve">No specific training is required to administer or score the KINDL. A guide to using the KINDL is available online </w:t>
            </w:r>
            <w:hyperlink r:id="rId42">
              <w:r w:rsidRPr="7EBAA759">
                <w:rPr>
                  <w:rStyle w:val="Hyperlink"/>
                  <w:rFonts w:eastAsia="Arial" w:cs="Arial"/>
                </w:rPr>
                <w:t>www.kindl.org</w:t>
              </w:r>
            </w:hyperlink>
          </w:p>
        </w:tc>
      </w:tr>
      <w:tr w:rsidR="00737353" w:rsidRPr="00C040BF" w14:paraId="084981ED" w14:textId="77777777" w:rsidTr="00CD125D">
        <w:trPr>
          <w:trHeight w:val="300"/>
        </w:trPr>
        <w:tc>
          <w:tcPr>
            <w:tcW w:w="1998" w:type="dxa"/>
            <w:tcBorders>
              <w:top w:val="single" w:sz="6" w:space="0" w:color="auto"/>
              <w:left w:val="single" w:sz="6" w:space="0" w:color="auto"/>
              <w:bottom w:val="single" w:sz="6" w:space="0" w:color="auto"/>
              <w:right w:val="single" w:sz="6" w:space="0" w:color="auto"/>
            </w:tcBorders>
            <w:hideMark/>
          </w:tcPr>
          <w:p w14:paraId="7F323DA9" w14:textId="77777777" w:rsidR="00737353" w:rsidRPr="00C040BF" w:rsidRDefault="00737353">
            <w:pPr>
              <w:spacing w:after="100"/>
              <w:ind w:left="57" w:right="57"/>
              <w:rPr>
                <w:rFonts w:cs="Arial"/>
                <w:b/>
                <w:bCs/>
              </w:rPr>
            </w:pPr>
            <w:r>
              <w:rPr>
                <w:rFonts w:cs="Arial"/>
                <w:b/>
                <w:bCs/>
              </w:rPr>
              <w:t>How to access</w:t>
            </w:r>
          </w:p>
          <w:p w14:paraId="457488CF" w14:textId="77777777" w:rsidR="00737353" w:rsidRPr="00C040BF" w:rsidRDefault="00737353">
            <w:pPr>
              <w:spacing w:after="100"/>
              <w:ind w:left="57" w:right="57"/>
              <w:rPr>
                <w:rFonts w:cs="Arial"/>
              </w:rPr>
            </w:pPr>
          </w:p>
        </w:tc>
        <w:tc>
          <w:tcPr>
            <w:tcW w:w="7056" w:type="dxa"/>
            <w:tcBorders>
              <w:top w:val="single" w:sz="6" w:space="0" w:color="auto"/>
              <w:left w:val="single" w:sz="6" w:space="0" w:color="auto"/>
              <w:bottom w:val="single" w:sz="6" w:space="0" w:color="auto"/>
              <w:right w:val="single" w:sz="6" w:space="0" w:color="auto"/>
            </w:tcBorders>
            <w:hideMark/>
          </w:tcPr>
          <w:p w14:paraId="22B15653" w14:textId="77777777" w:rsidR="00737353" w:rsidRPr="00C040BF" w:rsidRDefault="00737353">
            <w:pPr>
              <w:spacing w:after="100"/>
              <w:ind w:right="57"/>
              <w:rPr>
                <w:rFonts w:cs="Arial"/>
              </w:rPr>
            </w:pPr>
            <w:r w:rsidRPr="7EBAA759">
              <w:rPr>
                <w:rFonts w:eastAsia="Arial" w:cs="Arial"/>
              </w:rPr>
              <w:t>T</w:t>
            </w:r>
            <w:r w:rsidRPr="7EBAA759">
              <w:rPr>
                <w:rFonts w:eastAsia="Arial" w:cs="Arial"/>
                <w:color w:val="000000" w:themeColor="text1"/>
              </w:rPr>
              <w:t>he tool can be downloaded from the official KINDL website (</w:t>
            </w:r>
            <w:hyperlink r:id="rId43">
              <w:r w:rsidRPr="7EBAA759">
                <w:rPr>
                  <w:rStyle w:val="Hyperlink"/>
                  <w:rFonts w:eastAsia="Arial" w:cs="Arial"/>
                </w:rPr>
                <w:t>www.kindl.org</w:t>
              </w:r>
            </w:hyperlink>
            <w:r w:rsidRPr="7EBAA759">
              <w:rPr>
                <w:rFonts w:eastAsia="Arial" w:cs="Arial"/>
                <w:color w:val="000000" w:themeColor="text1"/>
              </w:rPr>
              <w:t>).</w:t>
            </w:r>
          </w:p>
        </w:tc>
      </w:tr>
    </w:tbl>
    <w:p w14:paraId="070A176D" w14:textId="77777777" w:rsidR="00737353" w:rsidRDefault="00737353"/>
    <w:p w14:paraId="29315829" w14:textId="77777777" w:rsidR="00737353" w:rsidRDefault="00737353"/>
    <w:p w14:paraId="650FF323" w14:textId="77777777" w:rsidR="00737353" w:rsidRPr="00097990" w:rsidRDefault="00737353"/>
    <w:p w14:paraId="2FEF622D" w14:textId="77777777" w:rsidR="00737353" w:rsidRDefault="00737353"/>
    <w:p w14:paraId="3A7C0253" w14:textId="77777777" w:rsidR="00682CB7" w:rsidRDefault="00682CB7">
      <w:pPr>
        <w:rPr>
          <w:rFonts w:eastAsiaTheme="majorEastAsia" w:cs="Arial"/>
          <w:b/>
          <w:bCs/>
          <w:color w:val="3F779D"/>
          <w:sz w:val="32"/>
          <w:szCs w:val="32"/>
        </w:rPr>
      </w:pPr>
      <w:bookmarkStart w:id="50" w:name="_KINDL_Evidence_Summary"/>
      <w:bookmarkEnd w:id="50"/>
      <w:r>
        <w:br w:type="page"/>
      </w:r>
    </w:p>
    <w:p w14:paraId="25FA0079" w14:textId="2608CBB7" w:rsidR="00737353" w:rsidRPr="00531564" w:rsidRDefault="00737353" w:rsidP="004E52AA">
      <w:pPr>
        <w:pStyle w:val="Heading1"/>
      </w:pPr>
      <w:bookmarkStart w:id="51" w:name="_KINDL_Evidence_Summary_1"/>
      <w:bookmarkEnd w:id="51"/>
      <w:r>
        <w:lastRenderedPageBreak/>
        <w:t>KINDL Evidence Summary</w:t>
      </w:r>
    </w:p>
    <w:p w14:paraId="02F0E58C" w14:textId="2B85AB97" w:rsidR="00737353" w:rsidRPr="00A44C36" w:rsidRDefault="00737353">
      <w:pPr>
        <w:rPr>
          <w:rFonts w:eastAsia="Aptos" w:cs="Arial"/>
          <w:i/>
          <w:iCs/>
          <w:color w:val="000000" w:themeColor="text1"/>
        </w:rPr>
      </w:pPr>
      <w:hyperlink w:anchor="_KINDL_Reference_List" w:history="1">
        <w:r w:rsidRPr="00EC53FA">
          <w:rPr>
            <w:rStyle w:val="Hyperlink"/>
            <w:rFonts w:eastAsia="Aptos" w:cs="Arial"/>
            <w:i/>
            <w:iCs/>
          </w:rPr>
          <w:t>Link to KINDL Reference List</w:t>
        </w:r>
      </w:hyperlink>
    </w:p>
    <w:tbl>
      <w:tblPr>
        <w:tblW w:w="9054"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9"/>
        <w:gridCol w:w="7075"/>
      </w:tblGrid>
      <w:tr w:rsidR="00737353" w:rsidRPr="00DA4CC0" w14:paraId="6F349170"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6EA2D930" w14:textId="77777777" w:rsidR="00737353" w:rsidRPr="002F363D" w:rsidRDefault="00737353">
            <w:pPr>
              <w:spacing w:after="100" w:line="276" w:lineRule="auto"/>
              <w:ind w:left="57" w:right="57"/>
              <w:rPr>
                <w:rFonts w:eastAsia="Aptos" w:cs="Arial"/>
                <w:b/>
                <w:bCs/>
              </w:rPr>
            </w:pPr>
            <w:r w:rsidRPr="00DA4CC0">
              <w:rPr>
                <w:rFonts w:eastAsia="Aptos" w:cs="Arial"/>
                <w:b/>
                <w:bCs/>
              </w:rPr>
              <w:t>Overview</w:t>
            </w:r>
          </w:p>
        </w:tc>
        <w:tc>
          <w:tcPr>
            <w:tcW w:w="7075" w:type="dxa"/>
            <w:tcBorders>
              <w:top w:val="single" w:sz="6" w:space="0" w:color="auto"/>
              <w:left w:val="single" w:sz="6" w:space="0" w:color="auto"/>
              <w:bottom w:val="single" w:sz="6" w:space="0" w:color="auto"/>
              <w:right w:val="single" w:sz="6" w:space="0" w:color="auto"/>
            </w:tcBorders>
          </w:tcPr>
          <w:p w14:paraId="78730285" w14:textId="77777777" w:rsidR="00737353" w:rsidRPr="00DA4CC0" w:rsidRDefault="00737353">
            <w:pPr>
              <w:spacing w:after="100" w:line="276" w:lineRule="auto"/>
              <w:ind w:right="57"/>
              <w:rPr>
                <w:rFonts w:eastAsia="Aptos" w:cs="Arial"/>
                <w:color w:val="000000" w:themeColor="text1"/>
              </w:rPr>
            </w:pPr>
            <w:r>
              <w:rPr>
                <w:rFonts w:eastAsia="Aptos" w:cs="Arial"/>
                <w:color w:val="000000" w:themeColor="text1"/>
              </w:rPr>
              <w:t xml:space="preserve">23 papers were identified that report on the measurement properties of the KINDL (1998-2024). </w:t>
            </w:r>
          </w:p>
        </w:tc>
      </w:tr>
      <w:tr w:rsidR="00737353" w:rsidRPr="00DA4CC0" w14:paraId="5D4F02B9"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4EBC6FE5" w14:textId="77777777" w:rsidR="00737353" w:rsidRPr="00DA4CC0" w:rsidRDefault="00737353">
            <w:pPr>
              <w:spacing w:after="100" w:line="276" w:lineRule="auto"/>
              <w:ind w:left="57" w:right="57"/>
              <w:rPr>
                <w:rFonts w:eastAsia="Aptos" w:cs="Arial"/>
                <w:b/>
                <w:bCs/>
              </w:rPr>
            </w:pPr>
            <w:r w:rsidRPr="00DA4CC0">
              <w:rPr>
                <w:rFonts w:eastAsia="Aptos" w:cs="Arial"/>
                <w:b/>
                <w:bCs/>
              </w:rPr>
              <w:t>Review papers</w:t>
            </w:r>
          </w:p>
        </w:tc>
        <w:tc>
          <w:tcPr>
            <w:tcW w:w="7075" w:type="dxa"/>
            <w:tcBorders>
              <w:top w:val="single" w:sz="6" w:space="0" w:color="auto"/>
              <w:left w:val="single" w:sz="6" w:space="0" w:color="auto"/>
              <w:bottom w:val="single" w:sz="6" w:space="0" w:color="auto"/>
              <w:right w:val="single" w:sz="6" w:space="0" w:color="auto"/>
            </w:tcBorders>
          </w:tcPr>
          <w:p w14:paraId="2E1D87EC" w14:textId="77777777" w:rsidR="00737353" w:rsidRDefault="00737353">
            <w:pPr>
              <w:spacing w:after="100" w:line="276" w:lineRule="auto"/>
              <w:ind w:right="57"/>
              <w:rPr>
                <w:rFonts w:eastAsia="Aptos" w:cs="Arial"/>
                <w:color w:val="000000" w:themeColor="text1"/>
              </w:rPr>
            </w:pPr>
            <w:r>
              <w:rPr>
                <w:rFonts w:eastAsia="Aptos" w:cs="Arial"/>
                <w:color w:val="000000" w:themeColor="text1"/>
              </w:rPr>
              <w:t xml:space="preserve">In an umbrella review (a review of systematic reviews), the KINDL was one of only two generic </w:t>
            </w:r>
            <w:proofErr w:type="spellStart"/>
            <w:r>
              <w:rPr>
                <w:rFonts w:eastAsia="Aptos" w:cs="Arial"/>
                <w:color w:val="000000" w:themeColor="text1"/>
              </w:rPr>
              <w:t>HRQoL</w:t>
            </w:r>
            <w:proofErr w:type="spellEnd"/>
            <w:r>
              <w:rPr>
                <w:rFonts w:eastAsia="Aptos" w:cs="Arial"/>
                <w:color w:val="000000" w:themeColor="text1"/>
              </w:rPr>
              <w:t xml:space="preserve"> instruments (of 20 identified) for children and adolescents that was recommended for service providers to measure the </w:t>
            </w:r>
            <w:proofErr w:type="spellStart"/>
            <w:r>
              <w:rPr>
                <w:rFonts w:eastAsia="Aptos" w:cs="Arial"/>
                <w:color w:val="000000" w:themeColor="text1"/>
              </w:rPr>
              <w:t>HRQoL</w:t>
            </w:r>
            <w:proofErr w:type="spellEnd"/>
            <w:r>
              <w:rPr>
                <w:rFonts w:eastAsia="Aptos" w:cs="Arial"/>
                <w:color w:val="000000" w:themeColor="text1"/>
              </w:rPr>
              <w:t xml:space="preserve"> of children with a disability, given its alignment with the Convention on the Rights of Persons with a Disability (2018, Australia). </w:t>
            </w:r>
          </w:p>
          <w:p w14:paraId="3DF43982" w14:textId="77777777" w:rsidR="00737353" w:rsidRPr="00DA4CC0" w:rsidRDefault="00737353">
            <w:pPr>
              <w:spacing w:after="100" w:line="276" w:lineRule="auto"/>
              <w:ind w:right="57"/>
              <w:rPr>
                <w:rFonts w:eastAsia="Aptos" w:cs="Arial"/>
                <w:color w:val="000000" w:themeColor="text1"/>
              </w:rPr>
            </w:pPr>
            <w:r w:rsidRPr="0024232B">
              <w:rPr>
                <w:rFonts w:eastAsia="Aptos" w:cs="Arial"/>
                <w:color w:val="000000" w:themeColor="text1"/>
              </w:rPr>
              <w:t xml:space="preserve">The KINDL </w:t>
            </w:r>
            <w:r>
              <w:rPr>
                <w:rFonts w:eastAsia="Aptos" w:cs="Arial"/>
                <w:color w:val="000000" w:themeColor="text1"/>
              </w:rPr>
              <w:t xml:space="preserve">has been </w:t>
            </w:r>
            <w:r w:rsidRPr="0024232B">
              <w:rPr>
                <w:rFonts w:eastAsia="Aptos" w:cs="Arial"/>
                <w:color w:val="000000" w:themeColor="text1"/>
              </w:rPr>
              <w:t xml:space="preserve">included in a systematic review comparing </w:t>
            </w:r>
            <w:r>
              <w:rPr>
                <w:rFonts w:eastAsia="Aptos" w:cs="Arial"/>
                <w:color w:val="000000" w:themeColor="text1"/>
              </w:rPr>
              <w:t xml:space="preserve">the measurement properties of </w:t>
            </w:r>
            <w:r w:rsidRPr="0024232B">
              <w:rPr>
                <w:rFonts w:eastAsia="Aptos" w:cs="Arial"/>
                <w:color w:val="000000" w:themeColor="text1"/>
              </w:rPr>
              <w:t xml:space="preserve">six widely used generic patient-reported outcome measures for children's health-related quality of life </w:t>
            </w:r>
            <w:r>
              <w:rPr>
                <w:rFonts w:eastAsia="Aptos" w:cs="Arial"/>
                <w:color w:val="000000" w:themeColor="text1"/>
              </w:rPr>
              <w:t xml:space="preserve">(2021) and is discussed in a mixed-methods review of patient-reported outcomes measures for children and young people with </w:t>
            </w:r>
            <w:proofErr w:type="spellStart"/>
            <w:r>
              <w:rPr>
                <w:rFonts w:eastAsia="Aptos" w:cs="Arial"/>
                <w:color w:val="000000" w:themeColor="text1"/>
              </w:rPr>
              <w:t>neurodisability</w:t>
            </w:r>
            <w:proofErr w:type="spellEnd"/>
            <w:r>
              <w:rPr>
                <w:rFonts w:eastAsia="Aptos" w:cs="Arial"/>
                <w:color w:val="000000" w:themeColor="text1"/>
              </w:rPr>
              <w:t xml:space="preserve"> to inform the NHS Outcomes Framework (UK, 2014).</w:t>
            </w:r>
          </w:p>
        </w:tc>
      </w:tr>
      <w:tr w:rsidR="00737353" w:rsidRPr="00DA4CC0" w14:paraId="3D620210"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3B284C86" w14:textId="77777777" w:rsidR="00737353" w:rsidRPr="00DA4CC0" w:rsidRDefault="00737353">
            <w:pPr>
              <w:spacing w:after="100" w:line="276" w:lineRule="auto"/>
              <w:ind w:left="57" w:right="57"/>
              <w:rPr>
                <w:rFonts w:eastAsia="Aptos" w:cs="Arial"/>
                <w:b/>
                <w:bCs/>
              </w:rPr>
            </w:pPr>
            <w:r w:rsidRPr="00DA4CC0">
              <w:rPr>
                <w:rFonts w:eastAsia="Aptos" w:cs="Arial"/>
                <w:b/>
                <w:bC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140C77F1" w14:textId="77777777" w:rsidR="00737353" w:rsidRPr="00DA4CC0" w:rsidRDefault="00737353">
            <w:pPr>
              <w:spacing w:after="100" w:line="276" w:lineRule="auto"/>
              <w:ind w:right="57"/>
              <w:rPr>
                <w:rFonts w:eastAsia="Aptos" w:cs="Arial"/>
                <w:color w:val="000000" w:themeColor="text1"/>
              </w:rPr>
            </w:pPr>
            <w:r>
              <w:rPr>
                <w:rFonts w:eastAsia="Aptos" w:cs="Arial"/>
                <w:color w:val="000000" w:themeColor="text1"/>
              </w:rPr>
              <w:t xml:space="preserve">The measurement properties of the KINDL have been explored for children (ages 2-19) enrolled in a medical assistance program providing access to health care for low-income families and individuals (USA, 2014).  </w:t>
            </w:r>
          </w:p>
        </w:tc>
      </w:tr>
      <w:tr w:rsidR="00737353" w:rsidRPr="00DA4CC0" w14:paraId="6B070D55"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73F5EB6A" w14:textId="77777777" w:rsidR="00737353" w:rsidRPr="00DA4CC0" w:rsidRDefault="00737353">
            <w:pPr>
              <w:spacing w:after="100" w:line="276" w:lineRule="auto"/>
              <w:ind w:left="57" w:right="57"/>
              <w:rPr>
                <w:rFonts w:eastAsia="Aptos" w:cs="Arial"/>
                <w:b/>
                <w:bCs/>
              </w:rPr>
            </w:pPr>
            <w:r w:rsidRPr="6E7C5994">
              <w:rPr>
                <w:rFonts w:eastAsia="Aptos" w:cs="Arial"/>
                <w:b/>
                <w:bCs/>
              </w:rPr>
              <w:t xml:space="preserve">Cultural </w:t>
            </w:r>
            <w:r w:rsidRPr="64920801">
              <w:rPr>
                <w:rFonts w:eastAsia="Aptos" w:cs="Arial"/>
                <w:b/>
                <w:bCs/>
              </w:rPr>
              <w:t>adaptation</w:t>
            </w:r>
            <w:r w:rsidRPr="6E7C5994">
              <w:rPr>
                <w:rFonts w:eastAsia="Aptos" w:cs="Arial"/>
                <w:b/>
                <w:bCs/>
              </w:rPr>
              <w:t xml:space="preserve"> papers</w:t>
            </w:r>
          </w:p>
        </w:tc>
        <w:tc>
          <w:tcPr>
            <w:tcW w:w="7075" w:type="dxa"/>
            <w:tcBorders>
              <w:top w:val="single" w:sz="6" w:space="0" w:color="auto"/>
              <w:left w:val="single" w:sz="6" w:space="0" w:color="auto"/>
              <w:bottom w:val="single" w:sz="6" w:space="0" w:color="auto"/>
              <w:right w:val="single" w:sz="6" w:space="0" w:color="auto"/>
            </w:tcBorders>
          </w:tcPr>
          <w:p w14:paraId="3C5525EA" w14:textId="77777777" w:rsidR="00737353" w:rsidRPr="006E6B0E" w:rsidRDefault="00737353">
            <w:pPr>
              <w:spacing w:after="100" w:line="276" w:lineRule="auto"/>
              <w:ind w:right="57"/>
              <w:rPr>
                <w:rFonts w:eastAsia="Arial" w:cs="Arial"/>
                <w:color w:val="000000"/>
              </w:rPr>
            </w:pPr>
            <w:r w:rsidRPr="006E6B0E">
              <w:rPr>
                <w:rFonts w:eastAsia="Arial" w:cs="Arial"/>
                <w:color w:val="000000"/>
              </w:rPr>
              <w:t>The measurement properties of the Kiddy-KINDL have been explored in several cultural settings including Germany (kindergarten children, 2015), Iran (healthy and ill 4</w:t>
            </w:r>
            <w:r>
              <w:rPr>
                <w:rFonts w:eastAsia="Arial" w:cs="Arial"/>
                <w:color w:val="000000"/>
              </w:rPr>
              <w:t>-</w:t>
            </w:r>
            <w:r w:rsidRPr="006E6B0E">
              <w:rPr>
                <w:rFonts w:eastAsia="Arial" w:cs="Arial"/>
                <w:color w:val="000000"/>
              </w:rPr>
              <w:t xml:space="preserve"> to </w:t>
            </w:r>
            <w:proofErr w:type="gramStart"/>
            <w:r w:rsidRPr="006E6B0E">
              <w:rPr>
                <w:rFonts w:eastAsia="Arial" w:cs="Arial"/>
                <w:color w:val="000000"/>
              </w:rPr>
              <w:t>7-year old</w:t>
            </w:r>
            <w:proofErr w:type="gramEnd"/>
            <w:r w:rsidRPr="006E6B0E">
              <w:rPr>
                <w:rFonts w:eastAsia="Arial" w:cs="Arial"/>
                <w:color w:val="000000"/>
              </w:rPr>
              <w:t xml:space="preserve"> children, 2016), the Philippines (young children, 2023), South Africa (parents of children aged 5-10, 2024), and Spain (preschool children, 2019).</w:t>
            </w:r>
          </w:p>
          <w:p w14:paraId="299C44C5" w14:textId="77777777" w:rsidR="00737353" w:rsidRPr="00DA4CC0" w:rsidRDefault="00737353">
            <w:pPr>
              <w:spacing w:after="100" w:line="276" w:lineRule="auto"/>
              <w:ind w:right="57"/>
              <w:rPr>
                <w:rFonts w:eastAsia="Aptos" w:cs="Arial"/>
                <w:color w:val="000000" w:themeColor="text1"/>
              </w:rPr>
            </w:pPr>
            <w:r w:rsidRPr="006E6B0E">
              <w:rPr>
                <w:rFonts w:eastAsia="Arial" w:cs="Arial"/>
                <w:color w:val="000000"/>
              </w:rPr>
              <w:t>The measurement properties of the Kid-KINDL and</w:t>
            </w:r>
            <w:r>
              <w:rPr>
                <w:rFonts w:eastAsia="Arial" w:cs="Arial"/>
                <w:color w:val="000000"/>
              </w:rPr>
              <w:t>/or</w:t>
            </w:r>
            <w:r w:rsidRPr="006E6B0E">
              <w:rPr>
                <w:rFonts w:eastAsia="Arial" w:cs="Arial"/>
                <w:color w:val="000000"/>
              </w:rPr>
              <w:t xml:space="preserve"> Kiddo-KINDL have been explored across a wide range of countries and cultural settings including Chile (hospitalised children, 2018), China (8- to 12-year-old students, 2014), Germany (children with chronic illness, 1998; adolescents, 2009; and children and adolescents, 2008), Hong Kong (children in grades 3 to 6, 2017), Iran (children with attention-deficit hyperactivity disorder, 2021; children and parents, 2014), Iran &amp; Serbia (children and adolescents, 2016), Nepal (adolescents, 2010), Norway (adolescents, 2005), Taiwan (8- to 12-year-old children, 2016; </w:t>
            </w:r>
            <w:r w:rsidRPr="006E6B0E">
              <w:rPr>
                <w:rFonts w:eastAsia="Arial" w:cs="Arial"/>
                <w:color w:val="000000"/>
              </w:rPr>
              <w:lastRenderedPageBreak/>
              <w:t>adolescents, 2008) and Tunisia (children with type 1 diabetes, 2019).</w:t>
            </w:r>
          </w:p>
        </w:tc>
      </w:tr>
      <w:tr w:rsidR="00737353" w:rsidRPr="00DA4CC0" w14:paraId="480F5C14"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089778EF" w14:textId="77777777" w:rsidR="00737353" w:rsidRPr="00DA4CC0" w:rsidRDefault="00737353">
            <w:pPr>
              <w:spacing w:after="100" w:line="276" w:lineRule="auto"/>
              <w:ind w:left="57" w:right="57"/>
              <w:rPr>
                <w:rFonts w:eastAsia="Aptos" w:cs="Arial"/>
                <w:b/>
                <w:bCs/>
              </w:rPr>
            </w:pPr>
            <w:r w:rsidRPr="00DA4CC0">
              <w:rPr>
                <w:rFonts w:eastAsia="Aptos" w:cs="Arial"/>
                <w:b/>
                <w:bCs/>
              </w:rPr>
              <w:lastRenderedPageBreak/>
              <w:t>Outcome studies in ECI settings</w:t>
            </w:r>
          </w:p>
        </w:tc>
        <w:tc>
          <w:tcPr>
            <w:tcW w:w="7075" w:type="dxa"/>
            <w:tcBorders>
              <w:top w:val="single" w:sz="6" w:space="0" w:color="auto"/>
              <w:left w:val="single" w:sz="6" w:space="0" w:color="auto"/>
              <w:bottom w:val="single" w:sz="6" w:space="0" w:color="auto"/>
              <w:right w:val="single" w:sz="6" w:space="0" w:color="auto"/>
            </w:tcBorders>
          </w:tcPr>
          <w:p w14:paraId="36071076" w14:textId="77777777" w:rsidR="00737353" w:rsidRPr="0015554B" w:rsidRDefault="00737353">
            <w:pPr>
              <w:spacing w:after="100" w:line="276" w:lineRule="auto"/>
              <w:ind w:left="57" w:right="57"/>
              <w:rPr>
                <w:rFonts w:eastAsia="Aptos" w:cs="Arial"/>
                <w:i/>
                <w:iCs/>
                <w:color w:val="000000" w:themeColor="text1"/>
              </w:rPr>
            </w:pPr>
            <w:r>
              <w:rPr>
                <w:rFonts w:eastAsia="Aptos" w:cs="Arial"/>
                <w:i/>
                <w:iCs/>
                <w:color w:val="000000" w:themeColor="text1"/>
              </w:rPr>
              <w:t>No references identified</w:t>
            </w:r>
          </w:p>
        </w:tc>
      </w:tr>
    </w:tbl>
    <w:p w14:paraId="2CADAB0E" w14:textId="77777777" w:rsidR="00536C9F" w:rsidRDefault="00536C9F" w:rsidP="004E52AA">
      <w:r w:rsidRPr="0083134E">
        <w:t xml:space="preserve">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w:t>
      </w:r>
      <w:hyperlink w:history="1">
        <w:r w:rsidRPr="003647C4">
          <w:t>Methods Explainer</w:t>
        </w:r>
      </w:hyperlink>
      <w:r w:rsidRPr="0083134E">
        <w:t>.</w:t>
      </w:r>
    </w:p>
    <w:p w14:paraId="307C6B54" w14:textId="77777777" w:rsidR="00EC53FA" w:rsidRDefault="00EC53FA">
      <w:pPr>
        <w:rPr>
          <w:rFonts w:eastAsiaTheme="majorEastAsia" w:cs="Arial"/>
          <w:b/>
          <w:bCs/>
          <w:color w:val="3F779D"/>
          <w:sz w:val="32"/>
          <w:szCs w:val="32"/>
        </w:rPr>
      </w:pPr>
      <w:r>
        <w:br w:type="page"/>
      </w:r>
    </w:p>
    <w:p w14:paraId="34F26913" w14:textId="1A0E4511" w:rsidR="00737353" w:rsidRPr="00E42813" w:rsidRDefault="00737353" w:rsidP="004E52AA">
      <w:pPr>
        <w:pStyle w:val="Heading1"/>
      </w:pPr>
      <w:bookmarkStart w:id="52" w:name="_KINDL_Reference_List"/>
      <w:bookmarkEnd w:id="52"/>
      <w:r>
        <w:lastRenderedPageBreak/>
        <w:t>KINDL Reference List</w:t>
      </w:r>
    </w:p>
    <w:p w14:paraId="52B5C35C" w14:textId="6C007F74" w:rsidR="00737353" w:rsidRPr="00EC53FA" w:rsidRDefault="00EC53FA">
      <w:pPr>
        <w:rPr>
          <w:rStyle w:val="Hyperlink"/>
          <w:rFonts w:eastAsia="Aptos" w:cs="Arial"/>
          <w:i/>
          <w:iCs/>
        </w:rPr>
      </w:pPr>
      <w:r>
        <w:rPr>
          <w:rFonts w:eastAsia="Aptos" w:cs="Arial"/>
          <w:i/>
          <w:iCs/>
        </w:rPr>
        <w:fldChar w:fldCharType="begin"/>
      </w:r>
      <w:r>
        <w:rPr>
          <w:rFonts w:eastAsia="Aptos" w:cs="Arial"/>
          <w:i/>
          <w:iCs/>
        </w:rPr>
        <w:instrText>HYPERLINK  \l "_KINDL_Evidence_Summary_1"</w:instrText>
      </w:r>
      <w:r>
        <w:rPr>
          <w:rFonts w:eastAsia="Aptos" w:cs="Arial"/>
          <w:i/>
          <w:iCs/>
        </w:rPr>
      </w:r>
      <w:r>
        <w:rPr>
          <w:rFonts w:eastAsia="Aptos" w:cs="Arial"/>
          <w:i/>
          <w:iCs/>
        </w:rPr>
        <w:fldChar w:fldCharType="separate"/>
      </w:r>
      <w:r w:rsidR="00737353" w:rsidRPr="00EC53FA">
        <w:rPr>
          <w:rStyle w:val="Hyperlink"/>
          <w:rFonts w:eastAsia="Aptos" w:cs="Arial"/>
          <w:i/>
          <w:iCs/>
        </w:rPr>
        <w:t>Link to KINDL Evidence Summary</w:t>
      </w:r>
    </w:p>
    <w:p w14:paraId="221488E0" w14:textId="0089BF8E" w:rsidR="00737353" w:rsidRPr="00572CBC" w:rsidRDefault="00EC53FA" w:rsidP="004E52AA">
      <w:pPr>
        <w:pStyle w:val="Heading2"/>
      </w:pPr>
      <w:r>
        <w:rPr>
          <w:rFonts w:eastAsia="Aptos"/>
          <w:b/>
          <w:i/>
          <w:iCs/>
          <w:color w:val="auto"/>
        </w:rPr>
        <w:fldChar w:fldCharType="end"/>
      </w:r>
      <w:r w:rsidR="00737353" w:rsidRPr="00572CBC">
        <w:t>Reviews</w:t>
      </w:r>
    </w:p>
    <w:p w14:paraId="08D3B4CC" w14:textId="10CF2D79" w:rsidR="00737353" w:rsidRDefault="00737353">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Arsiwala</w:t>
      </w:r>
      <w:proofErr w:type="spellEnd"/>
      <w:r>
        <w:rPr>
          <w:rFonts w:eastAsia="Arial" w:cs="Arial"/>
          <w:color w:val="000000"/>
        </w:rPr>
        <w:t xml:space="preserve"> T, Afroz N, </w:t>
      </w:r>
      <w:proofErr w:type="spellStart"/>
      <w:r>
        <w:rPr>
          <w:rFonts w:eastAsia="Arial" w:cs="Arial"/>
          <w:color w:val="000000"/>
        </w:rPr>
        <w:t>Kordy</w:t>
      </w:r>
      <w:proofErr w:type="spellEnd"/>
      <w:r>
        <w:rPr>
          <w:rFonts w:eastAsia="Arial" w:cs="Arial"/>
          <w:color w:val="000000"/>
        </w:rPr>
        <w:t xml:space="preserve"> K, Naujoks C, Patalano F. (2021). Measuring </w:t>
      </w:r>
      <w:r w:rsidR="00971F61">
        <w:rPr>
          <w:rFonts w:eastAsia="Arial" w:cs="Arial"/>
          <w:color w:val="000000"/>
        </w:rPr>
        <w:t>w</w:t>
      </w:r>
      <w:r>
        <w:rPr>
          <w:rFonts w:eastAsia="Arial" w:cs="Arial"/>
          <w:color w:val="000000"/>
        </w:rPr>
        <w:t xml:space="preserve">hat </w:t>
      </w:r>
      <w:r w:rsidR="00971F61">
        <w:rPr>
          <w:rFonts w:eastAsia="Arial" w:cs="Arial"/>
          <w:color w:val="000000"/>
        </w:rPr>
        <w:t>m</w:t>
      </w:r>
      <w:r>
        <w:rPr>
          <w:rFonts w:eastAsia="Arial" w:cs="Arial"/>
          <w:color w:val="000000"/>
        </w:rPr>
        <w:t xml:space="preserve">atters for </w:t>
      </w:r>
      <w:r w:rsidR="00971F61">
        <w:rPr>
          <w:rFonts w:eastAsia="Arial" w:cs="Arial"/>
          <w:color w:val="000000"/>
        </w:rPr>
        <w:t>c</w:t>
      </w:r>
      <w:r>
        <w:rPr>
          <w:rFonts w:eastAsia="Arial" w:cs="Arial"/>
          <w:color w:val="000000"/>
        </w:rPr>
        <w:t xml:space="preserve">hildren: A </w:t>
      </w:r>
      <w:r w:rsidR="00971F61">
        <w:rPr>
          <w:rFonts w:eastAsia="Arial" w:cs="Arial"/>
          <w:color w:val="000000"/>
        </w:rPr>
        <w:t>s</w:t>
      </w:r>
      <w:r>
        <w:rPr>
          <w:rFonts w:eastAsia="Arial" w:cs="Arial"/>
          <w:color w:val="000000"/>
        </w:rPr>
        <w:t xml:space="preserve">ystematic </w:t>
      </w:r>
      <w:r w:rsidR="00971F61">
        <w:rPr>
          <w:rFonts w:eastAsia="Arial" w:cs="Arial"/>
          <w:color w:val="000000"/>
        </w:rPr>
        <w:t>r</w:t>
      </w:r>
      <w:r>
        <w:rPr>
          <w:rFonts w:eastAsia="Arial" w:cs="Arial"/>
          <w:color w:val="000000"/>
        </w:rPr>
        <w:t xml:space="preserve">eview of </w:t>
      </w:r>
      <w:r w:rsidR="00971F61">
        <w:rPr>
          <w:rFonts w:eastAsia="Arial" w:cs="Arial"/>
          <w:color w:val="000000"/>
        </w:rPr>
        <w:t>f</w:t>
      </w:r>
      <w:r>
        <w:rPr>
          <w:rFonts w:eastAsia="Arial" w:cs="Arial"/>
          <w:color w:val="000000"/>
        </w:rPr>
        <w:t xml:space="preserve">requently </w:t>
      </w:r>
      <w:r w:rsidR="00971F61">
        <w:rPr>
          <w:rFonts w:eastAsia="Arial" w:cs="Arial"/>
          <w:color w:val="000000"/>
        </w:rPr>
        <w:t>u</w:t>
      </w:r>
      <w:r>
        <w:rPr>
          <w:rFonts w:eastAsia="Arial" w:cs="Arial"/>
          <w:color w:val="000000"/>
        </w:rPr>
        <w:t xml:space="preserve">sed </w:t>
      </w:r>
      <w:proofErr w:type="spellStart"/>
      <w:r w:rsidR="00D3065D">
        <w:rPr>
          <w:rFonts w:eastAsia="Arial" w:cs="Arial"/>
          <w:color w:val="000000"/>
        </w:rPr>
        <w:t>p</w:t>
      </w:r>
      <w:r>
        <w:rPr>
          <w:rFonts w:eastAsia="Arial" w:cs="Arial"/>
          <w:color w:val="000000"/>
        </w:rPr>
        <w:t>ediatric</w:t>
      </w:r>
      <w:proofErr w:type="spellEnd"/>
      <w:r>
        <w:rPr>
          <w:rFonts w:eastAsia="Arial" w:cs="Arial"/>
          <w:color w:val="000000"/>
        </w:rPr>
        <w:t xml:space="preserve"> </w:t>
      </w:r>
      <w:r w:rsidR="00D3065D">
        <w:rPr>
          <w:rFonts w:eastAsia="Arial" w:cs="Arial"/>
          <w:color w:val="000000"/>
        </w:rPr>
        <w:t>g</w:t>
      </w:r>
      <w:r>
        <w:rPr>
          <w:rFonts w:eastAsia="Arial" w:cs="Arial"/>
          <w:color w:val="000000"/>
        </w:rPr>
        <w:t xml:space="preserve">eneric PRO Instruments. </w:t>
      </w:r>
      <w:r>
        <w:rPr>
          <w:rFonts w:eastAsia="Arial" w:cs="Arial"/>
          <w:i/>
          <w:color w:val="000000"/>
        </w:rPr>
        <w:t xml:space="preserve">Ther </w:t>
      </w:r>
      <w:proofErr w:type="spellStart"/>
      <w:r>
        <w:rPr>
          <w:rFonts w:eastAsia="Arial" w:cs="Arial"/>
          <w:i/>
          <w:color w:val="000000"/>
        </w:rPr>
        <w:t>Innov</w:t>
      </w:r>
      <w:proofErr w:type="spellEnd"/>
      <w:r>
        <w:rPr>
          <w:rFonts w:eastAsia="Arial" w:cs="Arial"/>
          <w:i/>
          <w:color w:val="000000"/>
        </w:rPr>
        <w:t xml:space="preserve"> </w:t>
      </w:r>
      <w:proofErr w:type="spellStart"/>
      <w:r>
        <w:rPr>
          <w:rFonts w:eastAsia="Arial" w:cs="Arial"/>
          <w:i/>
          <w:color w:val="000000"/>
        </w:rPr>
        <w:t>Regul</w:t>
      </w:r>
      <w:proofErr w:type="spellEnd"/>
      <w:r>
        <w:rPr>
          <w:rFonts w:eastAsia="Arial" w:cs="Arial"/>
          <w:i/>
          <w:color w:val="000000"/>
        </w:rPr>
        <w:t xml:space="preserve"> Sci</w:t>
      </w:r>
      <w:r>
        <w:rPr>
          <w:rFonts w:eastAsia="Arial" w:cs="Arial"/>
          <w:color w:val="000000"/>
        </w:rPr>
        <w:t>, 55(5):1082-1095.</w:t>
      </w:r>
      <w:r>
        <w:rPr>
          <w:rFonts w:eastAsia="Arial" w:cs="Arial"/>
          <w:color w:val="0000FF"/>
          <w:u w:val="single"/>
        </w:rPr>
        <w:t xml:space="preserve"> https://doi.org/10.1007/s43441-021-00311-x</w:t>
      </w:r>
    </w:p>
    <w:p w14:paraId="3CCBAB29" w14:textId="6E78C929"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Davis E, Young D, Gilson KM, Swift E, Chan J, Gibbs L, </w:t>
      </w:r>
      <w:proofErr w:type="spellStart"/>
      <w:r>
        <w:rPr>
          <w:rFonts w:eastAsia="Arial" w:cs="Arial"/>
          <w:color w:val="000000"/>
        </w:rPr>
        <w:t>Tonmukayakul</w:t>
      </w:r>
      <w:proofErr w:type="spellEnd"/>
      <w:r>
        <w:rPr>
          <w:rFonts w:eastAsia="Arial" w:cs="Arial"/>
          <w:color w:val="000000"/>
        </w:rPr>
        <w:t xml:space="preserve"> U, </w:t>
      </w:r>
      <w:proofErr w:type="spellStart"/>
      <w:r>
        <w:rPr>
          <w:rFonts w:eastAsia="Arial" w:cs="Arial"/>
          <w:color w:val="000000"/>
        </w:rPr>
        <w:t>Reddihough</w:t>
      </w:r>
      <w:proofErr w:type="spellEnd"/>
      <w:r>
        <w:rPr>
          <w:rFonts w:eastAsia="Arial" w:cs="Arial"/>
          <w:color w:val="000000"/>
        </w:rPr>
        <w:t xml:space="preserve"> D, Williams K. (2018). A </w:t>
      </w:r>
      <w:r w:rsidR="00D3065D">
        <w:rPr>
          <w:rFonts w:eastAsia="Arial" w:cs="Arial"/>
          <w:color w:val="000000"/>
        </w:rPr>
        <w:t>r</w:t>
      </w:r>
      <w:r>
        <w:rPr>
          <w:rFonts w:eastAsia="Arial" w:cs="Arial"/>
          <w:color w:val="000000"/>
        </w:rPr>
        <w:t>ights-</w:t>
      </w:r>
      <w:r w:rsidR="00D3065D">
        <w:rPr>
          <w:rFonts w:eastAsia="Arial" w:cs="Arial"/>
          <w:color w:val="000000"/>
        </w:rPr>
        <w:t>b</w:t>
      </w:r>
      <w:r>
        <w:rPr>
          <w:rFonts w:eastAsia="Arial" w:cs="Arial"/>
          <w:color w:val="000000"/>
        </w:rPr>
        <w:t xml:space="preserve">ased </w:t>
      </w:r>
      <w:r w:rsidR="00D3065D">
        <w:rPr>
          <w:rFonts w:eastAsia="Arial" w:cs="Arial"/>
          <w:color w:val="000000"/>
        </w:rPr>
        <w:t>a</w:t>
      </w:r>
      <w:r>
        <w:rPr>
          <w:rFonts w:eastAsia="Arial" w:cs="Arial"/>
          <w:color w:val="000000"/>
        </w:rPr>
        <w:t xml:space="preserve">pproach for </w:t>
      </w:r>
      <w:r w:rsidR="00D3065D">
        <w:rPr>
          <w:rFonts w:eastAsia="Arial" w:cs="Arial"/>
          <w:color w:val="000000"/>
        </w:rPr>
        <w:t>s</w:t>
      </w:r>
      <w:r>
        <w:rPr>
          <w:rFonts w:eastAsia="Arial" w:cs="Arial"/>
          <w:color w:val="000000"/>
        </w:rPr>
        <w:t xml:space="preserve">ervice </w:t>
      </w:r>
      <w:r w:rsidR="00D3065D">
        <w:rPr>
          <w:rFonts w:eastAsia="Arial" w:cs="Arial"/>
          <w:color w:val="000000"/>
        </w:rPr>
        <w:t>p</w:t>
      </w:r>
      <w:r>
        <w:rPr>
          <w:rFonts w:eastAsia="Arial" w:cs="Arial"/>
          <w:color w:val="000000"/>
        </w:rPr>
        <w:t xml:space="preserve">roviders to </w:t>
      </w:r>
      <w:r w:rsidR="00D3065D">
        <w:rPr>
          <w:rFonts w:eastAsia="Arial" w:cs="Arial"/>
          <w:color w:val="000000"/>
        </w:rPr>
        <w:t>m</w:t>
      </w:r>
      <w:r>
        <w:rPr>
          <w:rFonts w:eastAsia="Arial" w:cs="Arial"/>
          <w:color w:val="000000"/>
        </w:rPr>
        <w:t xml:space="preserve">easure the </w:t>
      </w:r>
      <w:r w:rsidR="00D3065D">
        <w:rPr>
          <w:rFonts w:eastAsia="Arial" w:cs="Arial"/>
          <w:color w:val="000000"/>
        </w:rPr>
        <w:t>q</w:t>
      </w:r>
      <w:r>
        <w:rPr>
          <w:rFonts w:eastAsia="Arial" w:cs="Arial"/>
          <w:color w:val="000000"/>
        </w:rPr>
        <w:t xml:space="preserve">uality of </w:t>
      </w:r>
      <w:r w:rsidR="00D3065D">
        <w:rPr>
          <w:rFonts w:eastAsia="Arial" w:cs="Arial"/>
          <w:color w:val="000000"/>
        </w:rPr>
        <w:t>l</w:t>
      </w:r>
      <w:r>
        <w:rPr>
          <w:rFonts w:eastAsia="Arial" w:cs="Arial"/>
          <w:color w:val="000000"/>
        </w:rPr>
        <w:t xml:space="preserve">ife of </w:t>
      </w:r>
      <w:r w:rsidR="00D3065D">
        <w:rPr>
          <w:rFonts w:eastAsia="Arial" w:cs="Arial"/>
          <w:color w:val="000000"/>
        </w:rPr>
        <w:t>c</w:t>
      </w:r>
      <w:r>
        <w:rPr>
          <w:rFonts w:eastAsia="Arial" w:cs="Arial"/>
          <w:color w:val="000000"/>
        </w:rPr>
        <w:t xml:space="preserve">hildren with a </w:t>
      </w:r>
      <w:r w:rsidR="00D3065D">
        <w:rPr>
          <w:rFonts w:eastAsia="Arial" w:cs="Arial"/>
          <w:color w:val="000000"/>
        </w:rPr>
        <w:t>d</w:t>
      </w:r>
      <w:r>
        <w:rPr>
          <w:rFonts w:eastAsia="Arial" w:cs="Arial"/>
          <w:color w:val="000000"/>
        </w:rPr>
        <w:t xml:space="preserve">isability. </w:t>
      </w:r>
      <w:r>
        <w:rPr>
          <w:rFonts w:eastAsia="Arial" w:cs="Arial"/>
          <w:i/>
          <w:color w:val="000000"/>
        </w:rPr>
        <w:t>Value Health</w:t>
      </w:r>
      <w:r>
        <w:rPr>
          <w:rFonts w:eastAsia="Arial" w:cs="Arial"/>
          <w:color w:val="000000"/>
        </w:rPr>
        <w:t>, 21(12):1419-1427.</w:t>
      </w:r>
      <w:r>
        <w:rPr>
          <w:rFonts w:eastAsia="Arial" w:cs="Arial"/>
          <w:color w:val="0000FF"/>
          <w:u w:val="single"/>
        </w:rPr>
        <w:t xml:space="preserve"> https://doi.org/10.1016/j.jval.2018.05.009</w:t>
      </w:r>
    </w:p>
    <w:p w14:paraId="6C720E72" w14:textId="269E8EA4"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Morris C, Janssens A, Allard A, Thompson Coon J, Shilling V, Tomlinson R, Williams J, Fellowes A, Rogers M, Allen K, Beresford B, Green C, Jenkinson C, Tennant A, Logan S. (2014). Informing the NHS Outcomes Framework: </w:t>
      </w:r>
      <w:r w:rsidR="00D3065D">
        <w:rPr>
          <w:rFonts w:eastAsia="Arial" w:cs="Arial"/>
          <w:color w:val="000000"/>
        </w:rPr>
        <w:t>E</w:t>
      </w:r>
      <w:r>
        <w:rPr>
          <w:rFonts w:eastAsia="Arial" w:cs="Arial"/>
          <w:color w:val="000000"/>
        </w:rPr>
        <w:t xml:space="preserve">valuating meaningful health outcomes for children with </w:t>
      </w:r>
      <w:proofErr w:type="spellStart"/>
      <w:r>
        <w:rPr>
          <w:rFonts w:eastAsia="Arial" w:cs="Arial"/>
          <w:color w:val="000000"/>
        </w:rPr>
        <w:t>neurodisability</w:t>
      </w:r>
      <w:proofErr w:type="spellEnd"/>
      <w:r>
        <w:rPr>
          <w:rFonts w:eastAsia="Arial" w:cs="Arial"/>
          <w:color w:val="000000"/>
        </w:rPr>
        <w:t xml:space="preserve"> using multiple methods including systematic review, qualitative research, Delphi survey and consensus meeting. </w:t>
      </w:r>
      <w:r>
        <w:rPr>
          <w:rFonts w:eastAsia="Arial" w:cs="Arial"/>
          <w:i/>
          <w:color w:val="000000"/>
        </w:rPr>
        <w:t xml:space="preserve">Informing the NHS Outcomes Framework: evaluating meaningful health outcomes for children with </w:t>
      </w:r>
      <w:proofErr w:type="spellStart"/>
      <w:r>
        <w:rPr>
          <w:rFonts w:eastAsia="Arial" w:cs="Arial"/>
          <w:i/>
          <w:color w:val="000000"/>
        </w:rPr>
        <w:t>neurodisability</w:t>
      </w:r>
      <w:proofErr w:type="spellEnd"/>
      <w:r>
        <w:rPr>
          <w:rFonts w:eastAsia="Arial" w:cs="Arial"/>
          <w:i/>
          <w:color w:val="000000"/>
        </w:rPr>
        <w:t xml:space="preserve"> using multiple methods including systematic review, qualitative research, Delphi survey and consensus meeting</w:t>
      </w:r>
      <w:r>
        <w:rPr>
          <w:rFonts w:eastAsia="Arial" w:cs="Arial"/>
          <w:color w:val="000000"/>
        </w:rPr>
        <w:t xml:space="preserve">, </w:t>
      </w:r>
      <w:r w:rsidR="00480240">
        <w:rPr>
          <w:rFonts w:eastAsia="Arial" w:cs="Arial"/>
          <w:color w:val="000000"/>
        </w:rPr>
        <w:t>2(15)</w:t>
      </w:r>
      <w:r>
        <w:rPr>
          <w:rFonts w:eastAsia="Arial" w:cs="Arial"/>
          <w:color w:val="000000"/>
        </w:rPr>
        <w:t>.</w:t>
      </w:r>
      <w:r>
        <w:rPr>
          <w:rFonts w:eastAsia="Arial" w:cs="Arial"/>
          <w:color w:val="0000FF"/>
          <w:u w:val="single"/>
        </w:rPr>
        <w:t xml:space="preserve"> https://doi.org/10.3310/hsdr02150</w:t>
      </w:r>
    </w:p>
    <w:p w14:paraId="6EA12159" w14:textId="77777777" w:rsidR="00737353" w:rsidRDefault="00737353" w:rsidP="004E52AA">
      <w:pPr>
        <w:pStyle w:val="Heading2"/>
      </w:pPr>
      <w:r>
        <w:t>Measurement Properties</w:t>
      </w:r>
    </w:p>
    <w:p w14:paraId="36894FF0" w14:textId="2F0386BD" w:rsidR="00737353" w:rsidRDefault="00737353">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Kenzik</w:t>
      </w:r>
      <w:proofErr w:type="spellEnd"/>
      <w:r>
        <w:rPr>
          <w:rFonts w:eastAsia="Arial" w:cs="Arial"/>
          <w:color w:val="000000"/>
        </w:rPr>
        <w:t xml:space="preserve"> KM, Tuli SY, </w:t>
      </w:r>
      <w:proofErr w:type="spellStart"/>
      <w:r>
        <w:rPr>
          <w:rFonts w:eastAsia="Arial" w:cs="Arial"/>
          <w:color w:val="000000"/>
        </w:rPr>
        <w:t>Revicki</w:t>
      </w:r>
      <w:proofErr w:type="spellEnd"/>
      <w:r>
        <w:rPr>
          <w:rFonts w:eastAsia="Arial" w:cs="Arial"/>
          <w:color w:val="000000"/>
        </w:rPr>
        <w:t xml:space="preserve"> DA, Shenkman EA, Huang IC. (2014). Comparison of 4 </w:t>
      </w:r>
      <w:proofErr w:type="spellStart"/>
      <w:r w:rsidR="006C5FE3">
        <w:rPr>
          <w:rFonts w:eastAsia="Arial" w:cs="Arial"/>
          <w:color w:val="000000"/>
        </w:rPr>
        <w:t>p</w:t>
      </w:r>
      <w:r>
        <w:rPr>
          <w:rFonts w:eastAsia="Arial" w:cs="Arial"/>
          <w:color w:val="000000"/>
        </w:rPr>
        <w:t>ediatric</w:t>
      </w:r>
      <w:proofErr w:type="spellEnd"/>
      <w:r>
        <w:rPr>
          <w:rFonts w:eastAsia="Arial" w:cs="Arial"/>
          <w:color w:val="000000"/>
        </w:rPr>
        <w:t xml:space="preserve"> </w:t>
      </w:r>
      <w:r w:rsidR="006C5FE3">
        <w:rPr>
          <w:rFonts w:eastAsia="Arial" w:cs="Arial"/>
          <w:color w:val="000000"/>
        </w:rPr>
        <w:t>h</w:t>
      </w:r>
      <w:r>
        <w:rPr>
          <w:rFonts w:eastAsia="Arial" w:cs="Arial"/>
          <w:color w:val="000000"/>
        </w:rPr>
        <w:t>ealth-</w:t>
      </w:r>
      <w:r w:rsidR="006C5FE3">
        <w:rPr>
          <w:rFonts w:eastAsia="Arial" w:cs="Arial"/>
          <w:color w:val="000000"/>
        </w:rPr>
        <w:t>r</w:t>
      </w:r>
      <w:r>
        <w:rPr>
          <w:rFonts w:eastAsia="Arial" w:cs="Arial"/>
          <w:color w:val="000000"/>
        </w:rPr>
        <w:t xml:space="preserve">elated </w:t>
      </w:r>
      <w:r w:rsidR="006C5FE3">
        <w:rPr>
          <w:rFonts w:eastAsia="Arial" w:cs="Arial"/>
          <w:color w:val="000000"/>
        </w:rPr>
        <w:t>q</w:t>
      </w:r>
      <w:r>
        <w:rPr>
          <w:rFonts w:eastAsia="Arial" w:cs="Arial"/>
          <w:color w:val="000000"/>
        </w:rPr>
        <w:t>uality-of-</w:t>
      </w:r>
      <w:r w:rsidR="006C5FE3">
        <w:rPr>
          <w:rFonts w:eastAsia="Arial" w:cs="Arial"/>
          <w:color w:val="000000"/>
        </w:rPr>
        <w:t>l</w:t>
      </w:r>
      <w:r>
        <w:rPr>
          <w:rFonts w:eastAsia="Arial" w:cs="Arial"/>
          <w:color w:val="000000"/>
        </w:rPr>
        <w:t xml:space="preserve">ife </w:t>
      </w:r>
      <w:r w:rsidR="006C5FE3">
        <w:rPr>
          <w:rFonts w:eastAsia="Arial" w:cs="Arial"/>
          <w:color w:val="000000"/>
        </w:rPr>
        <w:t>i</w:t>
      </w:r>
      <w:r>
        <w:rPr>
          <w:rFonts w:eastAsia="Arial" w:cs="Arial"/>
          <w:color w:val="000000"/>
        </w:rPr>
        <w:t xml:space="preserve">nstruments: A </w:t>
      </w:r>
      <w:r w:rsidR="00193D74">
        <w:rPr>
          <w:rFonts w:eastAsia="Arial" w:cs="Arial"/>
          <w:color w:val="000000"/>
        </w:rPr>
        <w:t>s</w:t>
      </w:r>
      <w:r>
        <w:rPr>
          <w:rFonts w:eastAsia="Arial" w:cs="Arial"/>
          <w:color w:val="000000"/>
        </w:rPr>
        <w:t xml:space="preserve">tudy on a Medicaid </w:t>
      </w:r>
      <w:r w:rsidR="00193D74">
        <w:rPr>
          <w:rFonts w:eastAsia="Arial" w:cs="Arial"/>
          <w:color w:val="000000"/>
        </w:rPr>
        <w:t>p</w:t>
      </w:r>
      <w:r>
        <w:rPr>
          <w:rFonts w:eastAsia="Arial" w:cs="Arial"/>
          <w:color w:val="000000"/>
        </w:rPr>
        <w:t xml:space="preserve">opulation. </w:t>
      </w:r>
      <w:r>
        <w:rPr>
          <w:rFonts w:eastAsia="Arial" w:cs="Arial"/>
          <w:i/>
          <w:color w:val="000000"/>
        </w:rPr>
        <w:t xml:space="preserve">Med </w:t>
      </w:r>
      <w:proofErr w:type="spellStart"/>
      <w:r>
        <w:rPr>
          <w:rFonts w:eastAsia="Arial" w:cs="Arial"/>
          <w:i/>
          <w:color w:val="000000"/>
        </w:rPr>
        <w:t>Decis</w:t>
      </w:r>
      <w:proofErr w:type="spellEnd"/>
      <w:r>
        <w:rPr>
          <w:rFonts w:eastAsia="Arial" w:cs="Arial"/>
          <w:i/>
          <w:color w:val="000000"/>
        </w:rPr>
        <w:t xml:space="preserve"> Making</w:t>
      </w:r>
      <w:r>
        <w:rPr>
          <w:rFonts w:eastAsia="Arial" w:cs="Arial"/>
          <w:color w:val="000000"/>
        </w:rPr>
        <w:t>, 34(5):590-602.</w:t>
      </w:r>
      <w:r>
        <w:rPr>
          <w:rFonts w:eastAsia="Arial" w:cs="Arial"/>
          <w:color w:val="0000FF"/>
          <w:u w:val="single"/>
        </w:rPr>
        <w:t xml:space="preserve"> https://doi.org/10.1177/0272989X14529846</w:t>
      </w:r>
    </w:p>
    <w:p w14:paraId="4CCC86B9" w14:textId="77777777" w:rsidR="00737353" w:rsidRDefault="00737353" w:rsidP="004E52AA">
      <w:pPr>
        <w:pStyle w:val="Heading2"/>
      </w:pPr>
      <w:r>
        <w:t>Cultural Adaptations</w:t>
      </w:r>
    </w:p>
    <w:p w14:paraId="5D594D8F" w14:textId="77777777"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Deacon E, Jansen van Vuren E, Bothma E, </w:t>
      </w:r>
      <w:proofErr w:type="spellStart"/>
      <w:r>
        <w:rPr>
          <w:rFonts w:eastAsia="Arial" w:cs="Arial"/>
          <w:color w:val="000000"/>
        </w:rPr>
        <w:t>Volschenk</w:t>
      </w:r>
      <w:proofErr w:type="spellEnd"/>
      <w:r>
        <w:rPr>
          <w:rFonts w:eastAsia="Arial" w:cs="Arial"/>
          <w:color w:val="000000"/>
        </w:rPr>
        <w:t xml:space="preserve"> C, Kruger R. (2024). Validation of the parents' version of the KINDL(R) and Kiddy Parents questionnaire in a South African context. </w:t>
      </w:r>
      <w:r>
        <w:rPr>
          <w:rFonts w:eastAsia="Arial" w:cs="Arial"/>
          <w:i/>
          <w:color w:val="000000"/>
        </w:rPr>
        <w:t>Health Qual Life Outcomes</w:t>
      </w:r>
      <w:r>
        <w:rPr>
          <w:rFonts w:eastAsia="Arial" w:cs="Arial"/>
          <w:color w:val="000000"/>
        </w:rPr>
        <w:t>, 22(1):77.</w:t>
      </w:r>
      <w:r>
        <w:rPr>
          <w:rFonts w:eastAsia="Arial" w:cs="Arial"/>
          <w:color w:val="0000FF"/>
          <w:u w:val="single"/>
        </w:rPr>
        <w:t xml:space="preserve"> https://doi.org/10.1186/s12955-024-02292-5</w:t>
      </w:r>
    </w:p>
    <w:p w14:paraId="4601456F" w14:textId="77777777"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Maya A, </w:t>
      </w:r>
      <w:proofErr w:type="spellStart"/>
      <w:r>
        <w:rPr>
          <w:rFonts w:eastAsia="Arial" w:cs="Arial"/>
          <w:color w:val="000000"/>
        </w:rPr>
        <w:t>Mamuric</w:t>
      </w:r>
      <w:proofErr w:type="spellEnd"/>
      <w:r>
        <w:rPr>
          <w:rFonts w:eastAsia="Arial" w:cs="Arial"/>
          <w:color w:val="000000"/>
        </w:rPr>
        <w:t xml:space="preserve"> B, Pascua J, </w:t>
      </w:r>
      <w:proofErr w:type="spellStart"/>
      <w:r>
        <w:rPr>
          <w:rFonts w:eastAsia="Arial" w:cs="Arial"/>
          <w:color w:val="000000"/>
        </w:rPr>
        <w:t>Tigas</w:t>
      </w:r>
      <w:proofErr w:type="spellEnd"/>
      <w:r>
        <w:rPr>
          <w:rFonts w:eastAsia="Arial" w:cs="Arial"/>
          <w:color w:val="000000"/>
        </w:rPr>
        <w:t xml:space="preserve"> N, Baylan C, </w:t>
      </w:r>
      <w:proofErr w:type="spellStart"/>
      <w:r>
        <w:rPr>
          <w:rFonts w:eastAsia="Arial" w:cs="Arial"/>
          <w:color w:val="000000"/>
        </w:rPr>
        <w:t>Casaclang</w:t>
      </w:r>
      <w:proofErr w:type="spellEnd"/>
      <w:r>
        <w:rPr>
          <w:rFonts w:eastAsia="Arial" w:cs="Arial"/>
          <w:color w:val="000000"/>
        </w:rPr>
        <w:t xml:space="preserve"> M, De Venecia I, Gonzales L, Jacob G, Lee S, Lua G, Nieva K, Pangilinan S, Pascual V, Paule A, Rodriguez M, Sioson C, </w:t>
      </w:r>
      <w:proofErr w:type="spellStart"/>
      <w:r>
        <w:rPr>
          <w:rFonts w:eastAsia="Arial" w:cs="Arial"/>
          <w:color w:val="000000"/>
        </w:rPr>
        <w:t>Tating</w:t>
      </w:r>
      <w:proofErr w:type="spellEnd"/>
      <w:r>
        <w:rPr>
          <w:rFonts w:eastAsia="Arial" w:cs="Arial"/>
          <w:color w:val="000000"/>
        </w:rPr>
        <w:t xml:space="preserve"> K, </w:t>
      </w:r>
      <w:proofErr w:type="spellStart"/>
      <w:r>
        <w:rPr>
          <w:rFonts w:eastAsia="Arial" w:cs="Arial"/>
          <w:color w:val="000000"/>
        </w:rPr>
        <w:t>Tigas</w:t>
      </w:r>
      <w:proofErr w:type="spellEnd"/>
      <w:r>
        <w:rPr>
          <w:rFonts w:eastAsia="Arial" w:cs="Arial"/>
          <w:color w:val="000000"/>
        </w:rPr>
        <w:t xml:space="preserve"> N, Tolentino E. (2023). Translation and cross-cultural adaptation of English version of Kiddy-KINDL to Filipino language in assessing the children's health-related quality of life (</w:t>
      </w:r>
      <w:proofErr w:type="spellStart"/>
      <w:r>
        <w:rPr>
          <w:rFonts w:eastAsia="Arial" w:cs="Arial"/>
          <w:color w:val="000000"/>
        </w:rPr>
        <w:t>CHRQoL</w:t>
      </w:r>
      <w:proofErr w:type="spellEnd"/>
      <w:r>
        <w:rPr>
          <w:rFonts w:eastAsia="Arial" w:cs="Arial"/>
          <w:color w:val="000000"/>
        </w:rPr>
        <w:t xml:space="preserve">). </w:t>
      </w:r>
      <w:r>
        <w:rPr>
          <w:rFonts w:eastAsia="Arial" w:cs="Arial"/>
          <w:i/>
          <w:color w:val="000000"/>
        </w:rPr>
        <w:t>The Internet Journal of Allied Health Sciences and Practice</w:t>
      </w:r>
      <w:r>
        <w:rPr>
          <w:rFonts w:eastAsia="Arial" w:cs="Arial"/>
          <w:color w:val="000000"/>
        </w:rPr>
        <w:t>, 21(3</w:t>
      </w:r>
      <w:proofErr w:type="gramStart"/>
      <w:r>
        <w:rPr>
          <w:rFonts w:eastAsia="Arial" w:cs="Arial"/>
          <w:color w:val="000000"/>
        </w:rPr>
        <w:t>):Article</w:t>
      </w:r>
      <w:proofErr w:type="gramEnd"/>
      <w:r>
        <w:rPr>
          <w:rFonts w:eastAsia="Arial" w:cs="Arial"/>
          <w:color w:val="000000"/>
        </w:rPr>
        <w:t>.</w:t>
      </w:r>
      <w:r>
        <w:rPr>
          <w:rFonts w:eastAsia="Arial" w:cs="Arial"/>
          <w:color w:val="0000FF"/>
          <w:u w:val="single"/>
        </w:rPr>
        <w:t xml:space="preserve"> https://doi.org/10.46743/1540-580x/2023.2367</w:t>
      </w:r>
    </w:p>
    <w:p w14:paraId="39D18F0A" w14:textId="77777777" w:rsidR="00737353" w:rsidRDefault="00737353">
      <w:pPr>
        <w:pBdr>
          <w:top w:val="none" w:sz="0" w:space="0" w:color="000000"/>
          <w:left w:val="none" w:sz="0" w:space="0" w:color="000000"/>
          <w:bottom w:val="none" w:sz="0" w:space="0" w:color="000000"/>
          <w:right w:val="none" w:sz="0" w:space="0" w:color="000000"/>
        </w:pBdr>
      </w:pPr>
      <w:proofErr w:type="spellStart"/>
      <w:r>
        <w:rPr>
          <w:rFonts w:eastAsia="Arial" w:cs="Arial"/>
          <w:color w:val="000000"/>
        </w:rPr>
        <w:lastRenderedPageBreak/>
        <w:t>Alamolhoda</w:t>
      </w:r>
      <w:proofErr w:type="spellEnd"/>
      <w:r>
        <w:rPr>
          <w:rFonts w:eastAsia="Arial" w:cs="Arial"/>
          <w:color w:val="000000"/>
        </w:rPr>
        <w:t xml:space="preserve"> M, </w:t>
      </w:r>
      <w:proofErr w:type="spellStart"/>
      <w:r>
        <w:rPr>
          <w:rFonts w:eastAsia="Arial" w:cs="Arial"/>
          <w:color w:val="000000"/>
        </w:rPr>
        <w:t>Farjami</w:t>
      </w:r>
      <w:proofErr w:type="spellEnd"/>
      <w:r>
        <w:rPr>
          <w:rFonts w:eastAsia="Arial" w:cs="Arial"/>
          <w:color w:val="000000"/>
        </w:rPr>
        <w:t xml:space="preserve"> M, Bagheri Z, </w:t>
      </w:r>
      <w:proofErr w:type="spellStart"/>
      <w:r>
        <w:rPr>
          <w:rFonts w:eastAsia="Arial" w:cs="Arial"/>
          <w:color w:val="000000"/>
        </w:rPr>
        <w:t>Ghanizadeh</w:t>
      </w:r>
      <w:proofErr w:type="spellEnd"/>
      <w:r>
        <w:rPr>
          <w:rFonts w:eastAsia="Arial" w:cs="Arial"/>
          <w:color w:val="000000"/>
        </w:rPr>
        <w:t xml:space="preserve"> A, Jafari P. (2021). Assessing whether child and parent reports of the KINDL questionnaire measure the same constructs of quality of life in children with attention-deficit hyperactivity disorder. </w:t>
      </w:r>
      <w:r>
        <w:rPr>
          <w:rFonts w:eastAsia="Arial" w:cs="Arial"/>
          <w:i/>
          <w:color w:val="000000"/>
        </w:rPr>
        <w:t>Health Qual Life Outcomes</w:t>
      </w:r>
      <w:r>
        <w:rPr>
          <w:rFonts w:eastAsia="Arial" w:cs="Arial"/>
          <w:color w:val="000000"/>
        </w:rPr>
        <w:t>, 19(1):19.</w:t>
      </w:r>
      <w:r>
        <w:rPr>
          <w:rFonts w:eastAsia="Arial" w:cs="Arial"/>
          <w:color w:val="0000FF"/>
          <w:u w:val="single"/>
        </w:rPr>
        <w:t xml:space="preserve"> https://doi.org/10.1186/s12955-020-01649-w</w:t>
      </w:r>
    </w:p>
    <w:p w14:paraId="376932B3" w14:textId="77777777" w:rsidR="00737353" w:rsidRDefault="00737353">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Essaddam</w:t>
      </w:r>
      <w:proofErr w:type="spellEnd"/>
      <w:r>
        <w:rPr>
          <w:rFonts w:eastAsia="Arial" w:cs="Arial"/>
          <w:color w:val="000000"/>
        </w:rPr>
        <w:t xml:space="preserve"> L, Ben Mansour A, Ben Amor A, Ravens-</w:t>
      </w:r>
      <w:proofErr w:type="spellStart"/>
      <w:r>
        <w:rPr>
          <w:rFonts w:eastAsia="Arial" w:cs="Arial"/>
          <w:color w:val="000000"/>
        </w:rPr>
        <w:t>Sieberer</w:t>
      </w:r>
      <w:proofErr w:type="spellEnd"/>
      <w:r>
        <w:rPr>
          <w:rFonts w:eastAsia="Arial" w:cs="Arial"/>
          <w:color w:val="000000"/>
        </w:rPr>
        <w:t xml:space="preserve"> U, Klein TM, Ben Becher S. (2019). Validation of the Arabic and Tunisian Arabic version of the KINDL questionnaires for children with diabetes type 1. </w:t>
      </w:r>
      <w:r>
        <w:rPr>
          <w:rFonts w:eastAsia="Arial" w:cs="Arial"/>
          <w:i/>
          <w:color w:val="000000"/>
        </w:rPr>
        <w:t>Libyan J Med</w:t>
      </w:r>
      <w:r>
        <w:rPr>
          <w:rFonts w:eastAsia="Arial" w:cs="Arial"/>
          <w:color w:val="000000"/>
        </w:rPr>
        <w:t>, 14(1):1537457.</w:t>
      </w:r>
      <w:r>
        <w:rPr>
          <w:rFonts w:eastAsia="Arial" w:cs="Arial"/>
          <w:color w:val="0000FF"/>
          <w:u w:val="single"/>
        </w:rPr>
        <w:t xml:space="preserve"> https://doi.org/10.1080/19932820.2018.1537457</w:t>
      </w:r>
    </w:p>
    <w:p w14:paraId="59CABC1E" w14:textId="77777777" w:rsidR="00737353" w:rsidRDefault="00737353">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Orgilés</w:t>
      </w:r>
      <w:proofErr w:type="spellEnd"/>
      <w:r>
        <w:rPr>
          <w:rFonts w:eastAsia="Arial" w:cs="Arial"/>
          <w:color w:val="000000"/>
        </w:rPr>
        <w:t xml:space="preserve"> M, Melero S, </w:t>
      </w:r>
      <w:proofErr w:type="spellStart"/>
      <w:r>
        <w:rPr>
          <w:rFonts w:eastAsia="Arial" w:cs="Arial"/>
          <w:color w:val="000000"/>
        </w:rPr>
        <w:t>Penosa</w:t>
      </w:r>
      <w:proofErr w:type="spellEnd"/>
      <w:r>
        <w:rPr>
          <w:rFonts w:eastAsia="Arial" w:cs="Arial"/>
          <w:color w:val="000000"/>
        </w:rPr>
        <w:t xml:space="preserve"> P, Espada JP, Morales A. (2019). [Parent-reported Health-Related Quality of Life in Spanish pre-schoolers: Psychometric properties of the Kiddy-KINDL-R]. </w:t>
      </w:r>
      <w:r>
        <w:rPr>
          <w:rFonts w:eastAsia="Arial" w:cs="Arial"/>
          <w:i/>
          <w:color w:val="000000"/>
        </w:rPr>
        <w:t xml:space="preserve">An </w:t>
      </w:r>
      <w:proofErr w:type="spellStart"/>
      <w:r>
        <w:rPr>
          <w:rFonts w:eastAsia="Arial" w:cs="Arial"/>
          <w:i/>
          <w:color w:val="000000"/>
        </w:rPr>
        <w:t>Pediatr</w:t>
      </w:r>
      <w:proofErr w:type="spellEnd"/>
      <w:r>
        <w:rPr>
          <w:rFonts w:eastAsia="Arial" w:cs="Arial"/>
          <w:i/>
          <w:color w:val="000000"/>
        </w:rPr>
        <w:t xml:space="preserve"> (Engl Ed)</w:t>
      </w:r>
      <w:r>
        <w:rPr>
          <w:rFonts w:eastAsia="Arial" w:cs="Arial"/>
          <w:color w:val="000000"/>
        </w:rPr>
        <w:t>, 90(5):263-271.</w:t>
      </w:r>
      <w:r>
        <w:rPr>
          <w:rFonts w:eastAsia="Arial" w:cs="Arial"/>
          <w:color w:val="0000FF"/>
          <w:u w:val="single"/>
        </w:rPr>
        <w:t xml:space="preserve"> https://doi.org/10.1016/j.anpedi.2018.04.019</w:t>
      </w:r>
    </w:p>
    <w:p w14:paraId="519FA27D" w14:textId="3C4975FE"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Viotti F, Badia M, Orgaz MB, </w:t>
      </w:r>
      <w:proofErr w:type="spellStart"/>
      <w:r>
        <w:rPr>
          <w:rFonts w:eastAsia="Arial" w:cs="Arial"/>
          <w:color w:val="000000"/>
        </w:rPr>
        <w:t>Ullán</w:t>
      </w:r>
      <w:proofErr w:type="spellEnd"/>
      <w:r>
        <w:rPr>
          <w:rFonts w:eastAsia="Arial" w:cs="Arial"/>
          <w:color w:val="000000"/>
        </w:rPr>
        <w:t xml:space="preserve"> AM, </w:t>
      </w:r>
      <w:proofErr w:type="spellStart"/>
      <w:r>
        <w:rPr>
          <w:rFonts w:eastAsia="Arial" w:cs="Arial"/>
          <w:color w:val="000000"/>
        </w:rPr>
        <w:t>Urzúa</w:t>
      </w:r>
      <w:proofErr w:type="spellEnd"/>
      <w:r>
        <w:rPr>
          <w:rFonts w:eastAsia="Arial" w:cs="Arial"/>
          <w:color w:val="000000"/>
        </w:rPr>
        <w:t xml:space="preserve"> JS. (2018). The </w:t>
      </w:r>
      <w:r w:rsidR="00193D74">
        <w:rPr>
          <w:rFonts w:eastAsia="Arial" w:cs="Arial"/>
          <w:color w:val="000000"/>
        </w:rPr>
        <w:t>a</w:t>
      </w:r>
      <w:r>
        <w:rPr>
          <w:rFonts w:eastAsia="Arial" w:cs="Arial"/>
          <w:color w:val="000000"/>
        </w:rPr>
        <w:t xml:space="preserve">daptation and </w:t>
      </w:r>
      <w:r w:rsidR="00193D74">
        <w:rPr>
          <w:rFonts w:eastAsia="Arial" w:cs="Arial"/>
          <w:color w:val="000000"/>
        </w:rPr>
        <w:t>p</w:t>
      </w:r>
      <w:r>
        <w:rPr>
          <w:rFonts w:eastAsia="Arial" w:cs="Arial"/>
          <w:color w:val="000000"/>
        </w:rPr>
        <w:t xml:space="preserve">sychometric </w:t>
      </w:r>
      <w:r w:rsidR="00193D74">
        <w:rPr>
          <w:rFonts w:eastAsia="Arial" w:cs="Arial"/>
          <w:color w:val="000000"/>
        </w:rPr>
        <w:t>p</w:t>
      </w:r>
      <w:r>
        <w:rPr>
          <w:rFonts w:eastAsia="Arial" w:cs="Arial"/>
          <w:color w:val="000000"/>
        </w:rPr>
        <w:t xml:space="preserve">roperties of the Kid-KINDL(R) for </w:t>
      </w:r>
      <w:r w:rsidR="00193D74">
        <w:rPr>
          <w:rFonts w:eastAsia="Arial" w:cs="Arial"/>
          <w:color w:val="000000"/>
        </w:rPr>
        <w:t>h</w:t>
      </w:r>
      <w:r>
        <w:rPr>
          <w:rFonts w:eastAsia="Arial" w:cs="Arial"/>
          <w:color w:val="000000"/>
        </w:rPr>
        <w:t xml:space="preserve">ospitalized </w:t>
      </w:r>
      <w:r w:rsidR="00193D74">
        <w:rPr>
          <w:rFonts w:eastAsia="Arial" w:cs="Arial"/>
          <w:color w:val="000000"/>
        </w:rPr>
        <w:t>c</w:t>
      </w:r>
      <w:r>
        <w:rPr>
          <w:rFonts w:eastAsia="Arial" w:cs="Arial"/>
          <w:color w:val="000000"/>
        </w:rPr>
        <w:t xml:space="preserve">hildren in Chile. </w:t>
      </w:r>
      <w:r>
        <w:rPr>
          <w:rFonts w:eastAsia="Arial" w:cs="Arial"/>
          <w:i/>
          <w:color w:val="000000"/>
        </w:rPr>
        <w:t xml:space="preserve">J Pediatr </w:t>
      </w:r>
      <w:proofErr w:type="spellStart"/>
      <w:r>
        <w:rPr>
          <w:rFonts w:eastAsia="Arial" w:cs="Arial"/>
          <w:i/>
          <w:color w:val="000000"/>
        </w:rPr>
        <w:t>Nurs</w:t>
      </w:r>
      <w:proofErr w:type="spellEnd"/>
      <w:r>
        <w:rPr>
          <w:rFonts w:eastAsia="Arial" w:cs="Arial"/>
          <w:color w:val="000000"/>
        </w:rPr>
        <w:t xml:space="preserve">, </w:t>
      </w:r>
      <w:proofErr w:type="gramStart"/>
      <w:r w:rsidR="00AD0D91">
        <w:rPr>
          <w:rFonts w:eastAsia="Arial" w:cs="Arial"/>
          <w:color w:val="000000"/>
        </w:rPr>
        <w:t>41:e</w:t>
      </w:r>
      <w:proofErr w:type="gramEnd"/>
      <w:r w:rsidR="00AD0D91">
        <w:rPr>
          <w:rFonts w:eastAsia="Arial" w:cs="Arial"/>
          <w:color w:val="000000"/>
        </w:rPr>
        <w:t>8-e15</w:t>
      </w:r>
      <w:r>
        <w:rPr>
          <w:rFonts w:eastAsia="Arial" w:cs="Arial"/>
          <w:color w:val="000000"/>
        </w:rPr>
        <w:t>.</w:t>
      </w:r>
      <w:r>
        <w:rPr>
          <w:rFonts w:eastAsia="Arial" w:cs="Arial"/>
          <w:color w:val="0000FF"/>
          <w:u w:val="single"/>
        </w:rPr>
        <w:t xml:space="preserve"> https://doi.org/10.1016/j.pedn.2018.02.007</w:t>
      </w:r>
    </w:p>
    <w:p w14:paraId="74297C35" w14:textId="36743867"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Lin CY, Strong C, Tsai MC, Lee CT. (2017). Raters </w:t>
      </w:r>
      <w:r w:rsidR="00193D74">
        <w:rPr>
          <w:rFonts w:eastAsia="Arial" w:cs="Arial"/>
          <w:color w:val="000000"/>
        </w:rPr>
        <w:t>i</w:t>
      </w:r>
      <w:r>
        <w:rPr>
          <w:rFonts w:eastAsia="Arial" w:cs="Arial"/>
          <w:color w:val="000000"/>
        </w:rPr>
        <w:t xml:space="preserve">nterpret </w:t>
      </w:r>
      <w:r w:rsidR="00193D74">
        <w:rPr>
          <w:rFonts w:eastAsia="Arial" w:cs="Arial"/>
          <w:color w:val="000000"/>
        </w:rPr>
        <w:t>p</w:t>
      </w:r>
      <w:r>
        <w:rPr>
          <w:rFonts w:eastAsia="Arial" w:cs="Arial"/>
          <w:color w:val="000000"/>
        </w:rPr>
        <w:t xml:space="preserve">ositively and </w:t>
      </w:r>
      <w:r w:rsidR="00193D74">
        <w:rPr>
          <w:rFonts w:eastAsia="Arial" w:cs="Arial"/>
          <w:color w:val="000000"/>
        </w:rPr>
        <w:t>n</w:t>
      </w:r>
      <w:r>
        <w:rPr>
          <w:rFonts w:eastAsia="Arial" w:cs="Arial"/>
          <w:color w:val="000000"/>
        </w:rPr>
        <w:t xml:space="preserve">egatively </w:t>
      </w:r>
      <w:r w:rsidR="00193D74">
        <w:rPr>
          <w:rFonts w:eastAsia="Arial" w:cs="Arial"/>
          <w:color w:val="000000"/>
        </w:rPr>
        <w:t>w</w:t>
      </w:r>
      <w:r>
        <w:rPr>
          <w:rFonts w:eastAsia="Arial" w:cs="Arial"/>
          <w:color w:val="000000"/>
        </w:rPr>
        <w:t xml:space="preserve">orded </w:t>
      </w:r>
      <w:r w:rsidR="00193D74">
        <w:rPr>
          <w:rFonts w:eastAsia="Arial" w:cs="Arial"/>
          <w:color w:val="000000"/>
        </w:rPr>
        <w:t>i</w:t>
      </w:r>
      <w:r>
        <w:rPr>
          <w:rFonts w:eastAsia="Arial" w:cs="Arial"/>
          <w:color w:val="000000"/>
        </w:rPr>
        <w:t xml:space="preserve">tems </w:t>
      </w:r>
      <w:r w:rsidR="00193D74">
        <w:rPr>
          <w:rFonts w:eastAsia="Arial" w:cs="Arial"/>
          <w:color w:val="000000"/>
        </w:rPr>
        <w:t>s</w:t>
      </w:r>
      <w:r>
        <w:rPr>
          <w:rFonts w:eastAsia="Arial" w:cs="Arial"/>
          <w:color w:val="000000"/>
        </w:rPr>
        <w:t xml:space="preserve">imilarly in a </w:t>
      </w:r>
      <w:proofErr w:type="gramStart"/>
      <w:r w:rsidR="00193D74">
        <w:rPr>
          <w:rFonts w:eastAsia="Arial" w:cs="Arial"/>
          <w:color w:val="000000"/>
        </w:rPr>
        <w:t>q</w:t>
      </w:r>
      <w:r>
        <w:rPr>
          <w:rFonts w:eastAsia="Arial" w:cs="Arial"/>
          <w:color w:val="000000"/>
        </w:rPr>
        <w:t xml:space="preserve">uality of </w:t>
      </w:r>
      <w:r w:rsidR="00193D74">
        <w:rPr>
          <w:rFonts w:eastAsia="Arial" w:cs="Arial"/>
          <w:color w:val="000000"/>
        </w:rPr>
        <w:t>l</w:t>
      </w:r>
      <w:r>
        <w:rPr>
          <w:rFonts w:eastAsia="Arial" w:cs="Arial"/>
          <w:color w:val="000000"/>
        </w:rPr>
        <w:t>ife</w:t>
      </w:r>
      <w:proofErr w:type="gramEnd"/>
      <w:r>
        <w:rPr>
          <w:rFonts w:eastAsia="Arial" w:cs="Arial"/>
          <w:color w:val="000000"/>
        </w:rPr>
        <w:t xml:space="preserve"> </w:t>
      </w:r>
      <w:r w:rsidR="00193D74">
        <w:rPr>
          <w:rFonts w:eastAsia="Arial" w:cs="Arial"/>
          <w:color w:val="000000"/>
        </w:rPr>
        <w:t>i</w:t>
      </w:r>
      <w:r>
        <w:rPr>
          <w:rFonts w:eastAsia="Arial" w:cs="Arial"/>
          <w:color w:val="000000"/>
        </w:rPr>
        <w:t xml:space="preserve">nstrument for </w:t>
      </w:r>
      <w:r w:rsidR="00193D74">
        <w:rPr>
          <w:rFonts w:eastAsia="Arial" w:cs="Arial"/>
          <w:color w:val="000000"/>
        </w:rPr>
        <w:t>c</w:t>
      </w:r>
      <w:r>
        <w:rPr>
          <w:rFonts w:eastAsia="Arial" w:cs="Arial"/>
          <w:color w:val="000000"/>
        </w:rPr>
        <w:t xml:space="preserve">hildren. </w:t>
      </w:r>
      <w:r>
        <w:rPr>
          <w:rFonts w:eastAsia="Arial" w:cs="Arial"/>
          <w:i/>
          <w:color w:val="000000"/>
        </w:rPr>
        <w:t>Inquiry</w:t>
      </w:r>
      <w:r>
        <w:rPr>
          <w:rFonts w:eastAsia="Arial" w:cs="Arial"/>
          <w:color w:val="000000"/>
        </w:rPr>
        <w:t xml:space="preserve">, </w:t>
      </w:r>
      <w:r w:rsidR="00713002">
        <w:rPr>
          <w:rFonts w:eastAsia="Arial" w:cs="Arial"/>
          <w:color w:val="000000"/>
        </w:rPr>
        <w:t>54</w:t>
      </w:r>
      <w:r>
        <w:rPr>
          <w:rFonts w:eastAsia="Arial" w:cs="Arial"/>
          <w:color w:val="000000"/>
        </w:rPr>
        <w:t>.</w:t>
      </w:r>
      <w:r>
        <w:rPr>
          <w:rFonts w:eastAsia="Arial" w:cs="Arial"/>
          <w:color w:val="0000FF"/>
          <w:u w:val="single"/>
        </w:rPr>
        <w:t xml:space="preserve"> https://doi.org/10.1177/0046958017696724</w:t>
      </w:r>
    </w:p>
    <w:p w14:paraId="768F058C" w14:textId="30CA9A1A"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Jafari P, Stevanovic D, Bagheri Z. (2016). Cross-cultural </w:t>
      </w:r>
      <w:r w:rsidR="00193D74">
        <w:rPr>
          <w:rFonts w:eastAsia="Arial" w:cs="Arial"/>
          <w:color w:val="000000"/>
        </w:rPr>
        <w:t>m</w:t>
      </w:r>
      <w:r>
        <w:rPr>
          <w:rFonts w:eastAsia="Arial" w:cs="Arial"/>
          <w:color w:val="000000"/>
        </w:rPr>
        <w:t xml:space="preserve">easurement </w:t>
      </w:r>
      <w:r w:rsidR="00193D74">
        <w:rPr>
          <w:rFonts w:eastAsia="Arial" w:cs="Arial"/>
          <w:color w:val="000000"/>
        </w:rPr>
        <w:t>e</w:t>
      </w:r>
      <w:r>
        <w:rPr>
          <w:rFonts w:eastAsia="Arial" w:cs="Arial"/>
          <w:color w:val="000000"/>
        </w:rPr>
        <w:t xml:space="preserve">quivalence of the KINDL Questionnaire for </w:t>
      </w:r>
      <w:proofErr w:type="gramStart"/>
      <w:r w:rsidR="00193D74">
        <w:rPr>
          <w:rFonts w:eastAsia="Arial" w:cs="Arial"/>
          <w:color w:val="000000"/>
        </w:rPr>
        <w:t>q</w:t>
      </w:r>
      <w:r>
        <w:rPr>
          <w:rFonts w:eastAsia="Arial" w:cs="Arial"/>
          <w:color w:val="000000"/>
        </w:rPr>
        <w:t xml:space="preserve">uality of </w:t>
      </w:r>
      <w:r w:rsidR="00193D74">
        <w:rPr>
          <w:rFonts w:eastAsia="Arial" w:cs="Arial"/>
          <w:color w:val="000000"/>
        </w:rPr>
        <w:t>l</w:t>
      </w:r>
      <w:r>
        <w:rPr>
          <w:rFonts w:eastAsia="Arial" w:cs="Arial"/>
          <w:color w:val="000000"/>
        </w:rPr>
        <w:t>ife</w:t>
      </w:r>
      <w:proofErr w:type="gramEnd"/>
      <w:r>
        <w:rPr>
          <w:rFonts w:eastAsia="Arial" w:cs="Arial"/>
          <w:color w:val="000000"/>
        </w:rPr>
        <w:t xml:space="preserve"> </w:t>
      </w:r>
      <w:r w:rsidR="00193D74">
        <w:rPr>
          <w:rFonts w:eastAsia="Arial" w:cs="Arial"/>
          <w:color w:val="000000"/>
        </w:rPr>
        <w:t>a</w:t>
      </w:r>
      <w:r>
        <w:rPr>
          <w:rFonts w:eastAsia="Arial" w:cs="Arial"/>
          <w:color w:val="000000"/>
        </w:rPr>
        <w:t xml:space="preserve">ssessment in </w:t>
      </w:r>
      <w:r w:rsidR="00193D74">
        <w:rPr>
          <w:rFonts w:eastAsia="Arial" w:cs="Arial"/>
          <w:color w:val="000000"/>
        </w:rPr>
        <w:t>c</w:t>
      </w:r>
      <w:r>
        <w:rPr>
          <w:rFonts w:eastAsia="Arial" w:cs="Arial"/>
          <w:color w:val="000000"/>
        </w:rPr>
        <w:t xml:space="preserve">hildren and </w:t>
      </w:r>
      <w:r w:rsidR="00193D74">
        <w:rPr>
          <w:rFonts w:eastAsia="Arial" w:cs="Arial"/>
          <w:color w:val="000000"/>
        </w:rPr>
        <w:t>a</w:t>
      </w:r>
      <w:r>
        <w:rPr>
          <w:rFonts w:eastAsia="Arial" w:cs="Arial"/>
          <w:color w:val="000000"/>
        </w:rPr>
        <w:t xml:space="preserve">dolescents. </w:t>
      </w:r>
      <w:r>
        <w:rPr>
          <w:rFonts w:eastAsia="Arial" w:cs="Arial"/>
          <w:i/>
          <w:color w:val="000000"/>
        </w:rPr>
        <w:t>Child Psychiatry Hum Dev</w:t>
      </w:r>
      <w:r>
        <w:rPr>
          <w:rFonts w:eastAsia="Arial" w:cs="Arial"/>
          <w:color w:val="000000"/>
        </w:rPr>
        <w:t>, 47(2):291-304.</w:t>
      </w:r>
      <w:r>
        <w:rPr>
          <w:rFonts w:eastAsia="Arial" w:cs="Arial"/>
          <w:color w:val="0000FF"/>
          <w:u w:val="single"/>
        </w:rPr>
        <w:t xml:space="preserve"> https://doi.org/10.1007/s10578-015-0568-5</w:t>
      </w:r>
    </w:p>
    <w:p w14:paraId="67D4B548" w14:textId="77777777"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Lee CT, Lin CY, Tsai MC, Strong C, Lin YC. (2016). Psychometric evaluation and wording effects on the Chinese version of the parent-proxy Kid-KINDL. </w:t>
      </w:r>
      <w:r>
        <w:rPr>
          <w:rFonts w:eastAsia="Arial" w:cs="Arial"/>
          <w:i/>
          <w:color w:val="000000"/>
        </w:rPr>
        <w:t>Health Qual Life Outcomes</w:t>
      </w:r>
      <w:r>
        <w:rPr>
          <w:rFonts w:eastAsia="Arial" w:cs="Arial"/>
          <w:color w:val="000000"/>
        </w:rPr>
        <w:t>, 14(1):123.</w:t>
      </w:r>
      <w:r>
        <w:rPr>
          <w:rFonts w:eastAsia="Arial" w:cs="Arial"/>
          <w:color w:val="0000FF"/>
          <w:u w:val="single"/>
        </w:rPr>
        <w:t xml:space="preserve"> https://doi.org/10.1186/s12955-016-0526-3</w:t>
      </w:r>
    </w:p>
    <w:p w14:paraId="663B7ADF" w14:textId="24E11F57" w:rsidR="00737353" w:rsidRDefault="00737353">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Rojhani</w:t>
      </w:r>
      <w:proofErr w:type="spellEnd"/>
      <w:r>
        <w:rPr>
          <w:rFonts w:eastAsia="Arial" w:cs="Arial"/>
          <w:color w:val="000000"/>
        </w:rPr>
        <w:t xml:space="preserve"> Shirazi M, </w:t>
      </w:r>
      <w:proofErr w:type="spellStart"/>
      <w:r>
        <w:rPr>
          <w:rFonts w:eastAsia="Arial" w:cs="Arial"/>
          <w:color w:val="000000"/>
        </w:rPr>
        <w:t>Tonekaboni</w:t>
      </w:r>
      <w:proofErr w:type="spellEnd"/>
      <w:r>
        <w:rPr>
          <w:rFonts w:eastAsia="Arial" w:cs="Arial"/>
          <w:color w:val="000000"/>
        </w:rPr>
        <w:t xml:space="preserve"> SH, </w:t>
      </w:r>
      <w:proofErr w:type="spellStart"/>
      <w:r>
        <w:rPr>
          <w:rFonts w:eastAsia="Arial" w:cs="Arial"/>
          <w:color w:val="000000"/>
        </w:rPr>
        <w:t>Azargashb</w:t>
      </w:r>
      <w:proofErr w:type="spellEnd"/>
      <w:r>
        <w:rPr>
          <w:rFonts w:eastAsia="Arial" w:cs="Arial"/>
          <w:color w:val="000000"/>
        </w:rPr>
        <w:t xml:space="preserve"> E, </w:t>
      </w:r>
      <w:proofErr w:type="spellStart"/>
      <w:r>
        <w:rPr>
          <w:rFonts w:eastAsia="Arial" w:cs="Arial"/>
          <w:color w:val="000000"/>
        </w:rPr>
        <w:t>Derakhshannia</w:t>
      </w:r>
      <w:proofErr w:type="spellEnd"/>
      <w:r>
        <w:rPr>
          <w:rFonts w:eastAsia="Arial" w:cs="Arial"/>
          <w:color w:val="000000"/>
        </w:rPr>
        <w:t xml:space="preserve"> M, </w:t>
      </w:r>
      <w:proofErr w:type="spellStart"/>
      <w:r>
        <w:rPr>
          <w:rFonts w:eastAsia="Arial" w:cs="Arial"/>
          <w:color w:val="000000"/>
        </w:rPr>
        <w:t>Aghdasta</w:t>
      </w:r>
      <w:proofErr w:type="spellEnd"/>
      <w:r>
        <w:rPr>
          <w:rFonts w:eastAsia="Arial" w:cs="Arial"/>
          <w:color w:val="000000"/>
        </w:rPr>
        <w:t xml:space="preserve"> E. (2016). Exploring the </w:t>
      </w:r>
      <w:r w:rsidR="00061F91">
        <w:rPr>
          <w:rFonts w:eastAsia="Arial" w:cs="Arial"/>
          <w:color w:val="000000"/>
        </w:rPr>
        <w:t>p</w:t>
      </w:r>
      <w:r>
        <w:rPr>
          <w:rFonts w:eastAsia="Arial" w:cs="Arial"/>
          <w:color w:val="000000"/>
        </w:rPr>
        <w:t xml:space="preserve">sychometric </w:t>
      </w:r>
      <w:r w:rsidR="00061F91">
        <w:rPr>
          <w:rFonts w:eastAsia="Arial" w:cs="Arial"/>
          <w:color w:val="000000"/>
        </w:rPr>
        <w:t>p</w:t>
      </w:r>
      <w:r>
        <w:rPr>
          <w:rFonts w:eastAsia="Arial" w:cs="Arial"/>
          <w:color w:val="000000"/>
        </w:rPr>
        <w:t xml:space="preserve">roperties of the Farsi </w:t>
      </w:r>
      <w:r w:rsidR="00F00481">
        <w:rPr>
          <w:rFonts w:eastAsia="Arial" w:cs="Arial"/>
          <w:color w:val="000000"/>
        </w:rPr>
        <w:t>v</w:t>
      </w:r>
      <w:r>
        <w:rPr>
          <w:rFonts w:eastAsia="Arial" w:cs="Arial"/>
          <w:color w:val="000000"/>
        </w:rPr>
        <w:t xml:space="preserve">ersion of </w:t>
      </w:r>
      <w:proofErr w:type="gramStart"/>
      <w:r>
        <w:rPr>
          <w:rFonts w:eastAsia="Arial" w:cs="Arial"/>
          <w:color w:val="000000"/>
        </w:rPr>
        <w:t>Quality of Life</w:t>
      </w:r>
      <w:proofErr w:type="gramEnd"/>
      <w:r>
        <w:rPr>
          <w:rFonts w:eastAsia="Arial" w:cs="Arial"/>
          <w:color w:val="000000"/>
        </w:rPr>
        <w:t xml:space="preserve"> Kindl Questionnaire for </w:t>
      </w:r>
      <w:proofErr w:type="gramStart"/>
      <w:r>
        <w:rPr>
          <w:rFonts w:eastAsia="Arial" w:cs="Arial"/>
          <w:color w:val="000000"/>
        </w:rPr>
        <w:t>4-7 Year-Old</w:t>
      </w:r>
      <w:proofErr w:type="gramEnd"/>
      <w:r>
        <w:rPr>
          <w:rFonts w:eastAsia="Arial" w:cs="Arial"/>
          <w:color w:val="000000"/>
        </w:rPr>
        <w:t xml:space="preserve"> </w:t>
      </w:r>
      <w:r w:rsidR="00F00481">
        <w:rPr>
          <w:rFonts w:eastAsia="Arial" w:cs="Arial"/>
          <w:color w:val="000000"/>
        </w:rPr>
        <w:t>c</w:t>
      </w:r>
      <w:r>
        <w:rPr>
          <w:rFonts w:eastAsia="Arial" w:cs="Arial"/>
          <w:color w:val="000000"/>
        </w:rPr>
        <w:t xml:space="preserve">hildren in Iran. </w:t>
      </w:r>
      <w:r>
        <w:rPr>
          <w:rFonts w:eastAsia="Arial" w:cs="Arial"/>
          <w:i/>
          <w:color w:val="000000"/>
        </w:rPr>
        <w:t>Iran J Child Neurol</w:t>
      </w:r>
      <w:r>
        <w:rPr>
          <w:rFonts w:eastAsia="Arial" w:cs="Arial"/>
          <w:color w:val="000000"/>
        </w:rPr>
        <w:t>, 10(2):42-52.</w:t>
      </w:r>
    </w:p>
    <w:p w14:paraId="12E5B68C" w14:textId="77777777"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Villalonga-Olives E, Kiese-Himmel C, Witte C, Almansa J, </w:t>
      </w:r>
      <w:proofErr w:type="spellStart"/>
      <w:r>
        <w:rPr>
          <w:rFonts w:eastAsia="Arial" w:cs="Arial"/>
          <w:color w:val="000000"/>
        </w:rPr>
        <w:t>Dusilova</w:t>
      </w:r>
      <w:proofErr w:type="spellEnd"/>
      <w:r>
        <w:rPr>
          <w:rFonts w:eastAsia="Arial" w:cs="Arial"/>
          <w:color w:val="000000"/>
        </w:rPr>
        <w:t xml:space="preserve"> I, Hacker K, von </w:t>
      </w:r>
      <w:proofErr w:type="spellStart"/>
      <w:r>
        <w:rPr>
          <w:rFonts w:eastAsia="Arial" w:cs="Arial"/>
          <w:color w:val="000000"/>
        </w:rPr>
        <w:t>Steinbuechel</w:t>
      </w:r>
      <w:proofErr w:type="spellEnd"/>
      <w:r>
        <w:rPr>
          <w:rFonts w:eastAsia="Arial" w:cs="Arial"/>
          <w:color w:val="000000"/>
        </w:rPr>
        <w:t xml:space="preserve"> N. (2015). Self-reported health-related quality of life in kindergarten children: psychometric properties of the Kiddy-KINDL. </w:t>
      </w:r>
      <w:r>
        <w:rPr>
          <w:rFonts w:eastAsia="Arial" w:cs="Arial"/>
          <w:i/>
          <w:color w:val="000000"/>
        </w:rPr>
        <w:t>Public Health</w:t>
      </w:r>
      <w:r>
        <w:rPr>
          <w:rFonts w:eastAsia="Arial" w:cs="Arial"/>
          <w:color w:val="000000"/>
        </w:rPr>
        <w:t>, 129(7):889-95.</w:t>
      </w:r>
      <w:r>
        <w:rPr>
          <w:rFonts w:eastAsia="Arial" w:cs="Arial"/>
          <w:color w:val="0000FF"/>
          <w:u w:val="single"/>
        </w:rPr>
        <w:t xml:space="preserve"> https://doi.org/10.1016/j.puhe.2015.04.020</w:t>
      </w:r>
    </w:p>
    <w:p w14:paraId="1198E42A" w14:textId="77777777"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Jafari P, Sharafi Z, Bagheri Z, </w:t>
      </w:r>
      <w:proofErr w:type="spellStart"/>
      <w:r>
        <w:rPr>
          <w:rFonts w:eastAsia="Arial" w:cs="Arial"/>
          <w:color w:val="000000"/>
        </w:rPr>
        <w:t>Shalileh</w:t>
      </w:r>
      <w:proofErr w:type="spellEnd"/>
      <w:r>
        <w:rPr>
          <w:rFonts w:eastAsia="Arial" w:cs="Arial"/>
          <w:color w:val="000000"/>
        </w:rPr>
        <w:t xml:space="preserve"> S. (2014). Measurement equivalence of the KINDL questionnaire across child self-reports and parent proxy-reports: a comparison between item response theory and ordinal logistic regression. </w:t>
      </w:r>
      <w:r>
        <w:rPr>
          <w:rFonts w:eastAsia="Arial" w:cs="Arial"/>
          <w:i/>
          <w:color w:val="000000"/>
        </w:rPr>
        <w:t>Child Psychiatry Hum Dev</w:t>
      </w:r>
      <w:r>
        <w:rPr>
          <w:rFonts w:eastAsia="Arial" w:cs="Arial"/>
          <w:color w:val="000000"/>
        </w:rPr>
        <w:t>, 45(3):369-76.</w:t>
      </w:r>
      <w:r>
        <w:rPr>
          <w:rFonts w:eastAsia="Arial" w:cs="Arial"/>
          <w:color w:val="0000FF"/>
          <w:u w:val="single"/>
        </w:rPr>
        <w:t xml:space="preserve"> https://doi.org/10.1007/s10578-013-0407-5</w:t>
      </w:r>
    </w:p>
    <w:p w14:paraId="3175E7CA" w14:textId="77777777"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Lin C, Luh W, Cheng C, Yang A, H. (2014). Evaluating the wording effect and psychometric properties of the Kid-KINDL using the </w:t>
      </w:r>
      <w:proofErr w:type="spellStart"/>
      <w:r>
        <w:rPr>
          <w:rFonts w:eastAsia="Arial" w:cs="Arial"/>
          <w:color w:val="000000"/>
        </w:rPr>
        <w:t>multitrait</w:t>
      </w:r>
      <w:proofErr w:type="spellEnd"/>
      <w:r>
        <w:rPr>
          <w:rFonts w:eastAsia="Arial" w:cs="Arial"/>
          <w:color w:val="000000"/>
        </w:rPr>
        <w:t xml:space="preserve">-multimethod approach. </w:t>
      </w:r>
      <w:r>
        <w:rPr>
          <w:rFonts w:eastAsia="Arial" w:cs="Arial"/>
          <w:i/>
          <w:color w:val="000000"/>
        </w:rPr>
        <w:lastRenderedPageBreak/>
        <w:t>European Journal of Psychological Assessment</w:t>
      </w:r>
      <w:r>
        <w:rPr>
          <w:rFonts w:eastAsia="Arial" w:cs="Arial"/>
          <w:color w:val="000000"/>
        </w:rPr>
        <w:t>, 30(2</w:t>
      </w:r>
      <w:proofErr w:type="gramStart"/>
      <w:r>
        <w:rPr>
          <w:rFonts w:eastAsia="Arial" w:cs="Arial"/>
          <w:color w:val="000000"/>
        </w:rPr>
        <w:t>):100-109.doi</w:t>
      </w:r>
      <w:proofErr w:type="gramEnd"/>
      <w:r>
        <w:rPr>
          <w:rFonts w:eastAsia="Arial" w:cs="Arial"/>
          <w:color w:val="000000"/>
        </w:rPr>
        <w:t>:10.1027/1015-5759/A000175.</w:t>
      </w:r>
      <w:r>
        <w:rPr>
          <w:rFonts w:eastAsia="Arial" w:cs="Arial"/>
          <w:color w:val="0000FF"/>
          <w:u w:val="single"/>
        </w:rPr>
        <w:t xml:space="preserve"> https://doi.org/10.1027/1015-5759/A000175</w:t>
      </w:r>
    </w:p>
    <w:p w14:paraId="134A03A2" w14:textId="77777777"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Yamaguchi N, Poudel KC, Poudel-</w:t>
      </w:r>
      <w:proofErr w:type="spellStart"/>
      <w:r>
        <w:rPr>
          <w:rFonts w:eastAsia="Arial" w:cs="Arial"/>
          <w:color w:val="000000"/>
        </w:rPr>
        <w:t>Tandukar</w:t>
      </w:r>
      <w:proofErr w:type="spellEnd"/>
      <w:r>
        <w:rPr>
          <w:rFonts w:eastAsia="Arial" w:cs="Arial"/>
          <w:color w:val="000000"/>
        </w:rPr>
        <w:t xml:space="preserve"> K, Shakya D, Ravens-</w:t>
      </w:r>
      <w:proofErr w:type="spellStart"/>
      <w:r>
        <w:rPr>
          <w:rFonts w:eastAsia="Arial" w:cs="Arial"/>
          <w:color w:val="000000"/>
        </w:rPr>
        <w:t>Sieberer</w:t>
      </w:r>
      <w:proofErr w:type="spellEnd"/>
      <w:r>
        <w:rPr>
          <w:rFonts w:eastAsia="Arial" w:cs="Arial"/>
          <w:color w:val="000000"/>
        </w:rPr>
        <w:t xml:space="preserve"> U, </w:t>
      </w:r>
      <w:proofErr w:type="spellStart"/>
      <w:r>
        <w:rPr>
          <w:rFonts w:eastAsia="Arial" w:cs="Arial"/>
          <w:color w:val="000000"/>
        </w:rPr>
        <w:t>Jimba</w:t>
      </w:r>
      <w:proofErr w:type="spellEnd"/>
      <w:r>
        <w:rPr>
          <w:rFonts w:eastAsia="Arial" w:cs="Arial"/>
          <w:color w:val="000000"/>
        </w:rPr>
        <w:t xml:space="preserve"> M. (2010). Reliability and validity of a Nepalese version of the Kiddo-KINDL in adolescents. </w:t>
      </w:r>
      <w:proofErr w:type="spellStart"/>
      <w:r>
        <w:rPr>
          <w:rFonts w:eastAsia="Arial" w:cs="Arial"/>
          <w:i/>
          <w:color w:val="000000"/>
        </w:rPr>
        <w:t>Biosci</w:t>
      </w:r>
      <w:proofErr w:type="spellEnd"/>
      <w:r>
        <w:rPr>
          <w:rFonts w:eastAsia="Arial" w:cs="Arial"/>
          <w:i/>
          <w:color w:val="000000"/>
        </w:rPr>
        <w:t xml:space="preserve"> Trends</w:t>
      </w:r>
      <w:r>
        <w:rPr>
          <w:rFonts w:eastAsia="Arial" w:cs="Arial"/>
          <w:color w:val="000000"/>
        </w:rPr>
        <w:t>, 4(4):178-85.</w:t>
      </w:r>
    </w:p>
    <w:p w14:paraId="197A09C3" w14:textId="69274C18"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Erhart M, Ellert U, Kurth BM, Ravens-</w:t>
      </w:r>
      <w:proofErr w:type="spellStart"/>
      <w:r>
        <w:rPr>
          <w:rFonts w:eastAsia="Arial" w:cs="Arial"/>
          <w:color w:val="000000"/>
        </w:rPr>
        <w:t>Sieberer</w:t>
      </w:r>
      <w:proofErr w:type="spellEnd"/>
      <w:r>
        <w:rPr>
          <w:rFonts w:eastAsia="Arial" w:cs="Arial"/>
          <w:color w:val="000000"/>
        </w:rPr>
        <w:t xml:space="preserve"> U. (2009). Measuring adolescents' </w:t>
      </w:r>
      <w:proofErr w:type="spellStart"/>
      <w:r>
        <w:rPr>
          <w:rFonts w:eastAsia="Arial" w:cs="Arial"/>
          <w:color w:val="000000"/>
        </w:rPr>
        <w:t>HRQoL</w:t>
      </w:r>
      <w:proofErr w:type="spellEnd"/>
      <w:r>
        <w:rPr>
          <w:rFonts w:eastAsia="Arial" w:cs="Arial"/>
          <w:color w:val="000000"/>
        </w:rPr>
        <w:t xml:space="preserve"> via </w:t>
      </w:r>
      <w:proofErr w:type="spellStart"/>
      <w:r>
        <w:rPr>
          <w:rFonts w:eastAsia="Arial" w:cs="Arial"/>
          <w:color w:val="000000"/>
        </w:rPr>
        <w:t>self reports</w:t>
      </w:r>
      <w:proofErr w:type="spellEnd"/>
      <w:r>
        <w:rPr>
          <w:rFonts w:eastAsia="Arial" w:cs="Arial"/>
          <w:color w:val="000000"/>
        </w:rPr>
        <w:t xml:space="preserve"> and parent proxy reports: an evaluation of the psychometric properties of both versions of the KINDL-R instrument. </w:t>
      </w:r>
      <w:r>
        <w:rPr>
          <w:rFonts w:eastAsia="Arial" w:cs="Arial"/>
          <w:i/>
          <w:color w:val="000000"/>
        </w:rPr>
        <w:t>Health Qual Life Outcomes</w:t>
      </w:r>
      <w:r>
        <w:rPr>
          <w:rFonts w:eastAsia="Arial" w:cs="Arial"/>
          <w:color w:val="000000"/>
        </w:rPr>
        <w:t xml:space="preserve">, </w:t>
      </w:r>
      <w:r w:rsidR="004D6492">
        <w:rPr>
          <w:rFonts w:eastAsia="Arial" w:cs="Arial"/>
          <w:color w:val="000000"/>
        </w:rPr>
        <w:t>7:77</w:t>
      </w:r>
      <w:r>
        <w:rPr>
          <w:rFonts w:eastAsia="Arial" w:cs="Arial"/>
          <w:color w:val="000000"/>
        </w:rPr>
        <w:t>.</w:t>
      </w:r>
      <w:r>
        <w:rPr>
          <w:rFonts w:eastAsia="Arial" w:cs="Arial"/>
          <w:color w:val="0000FF"/>
          <w:u w:val="single"/>
        </w:rPr>
        <w:t xml:space="preserve"> https://doi.org/10.1186/1477-7525-7-77</w:t>
      </w:r>
    </w:p>
    <w:p w14:paraId="79D5423F" w14:textId="63DE83D9"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Bullinger M, </w:t>
      </w:r>
      <w:proofErr w:type="spellStart"/>
      <w:r>
        <w:rPr>
          <w:rFonts w:eastAsia="Arial" w:cs="Arial"/>
          <w:color w:val="000000"/>
        </w:rPr>
        <w:t>Brütt</w:t>
      </w:r>
      <w:proofErr w:type="spellEnd"/>
      <w:r>
        <w:rPr>
          <w:rFonts w:eastAsia="Arial" w:cs="Arial"/>
          <w:color w:val="000000"/>
        </w:rPr>
        <w:t xml:space="preserve"> AL, Erhart M, Ravens-</w:t>
      </w:r>
      <w:proofErr w:type="spellStart"/>
      <w:r>
        <w:rPr>
          <w:rFonts w:eastAsia="Arial" w:cs="Arial"/>
          <w:color w:val="000000"/>
        </w:rPr>
        <w:t>Sieberer</w:t>
      </w:r>
      <w:proofErr w:type="spellEnd"/>
      <w:r>
        <w:rPr>
          <w:rFonts w:eastAsia="Arial" w:cs="Arial"/>
          <w:color w:val="000000"/>
        </w:rPr>
        <w:t xml:space="preserve"> U; BELLA Study Group. (2008). Psychometric properties of the KINDL-R questionnaire: </w:t>
      </w:r>
      <w:r w:rsidR="00585133">
        <w:rPr>
          <w:rFonts w:eastAsia="Arial" w:cs="Arial"/>
          <w:color w:val="000000"/>
        </w:rPr>
        <w:t>R</w:t>
      </w:r>
      <w:r>
        <w:rPr>
          <w:rFonts w:eastAsia="Arial" w:cs="Arial"/>
          <w:color w:val="000000"/>
        </w:rPr>
        <w:t xml:space="preserve">esults of the BELLA study. </w:t>
      </w:r>
      <w:proofErr w:type="spellStart"/>
      <w:r>
        <w:rPr>
          <w:rFonts w:eastAsia="Arial" w:cs="Arial"/>
          <w:i/>
          <w:color w:val="000000"/>
        </w:rPr>
        <w:t>Eur</w:t>
      </w:r>
      <w:proofErr w:type="spellEnd"/>
      <w:r>
        <w:rPr>
          <w:rFonts w:eastAsia="Arial" w:cs="Arial"/>
          <w:i/>
          <w:color w:val="000000"/>
        </w:rPr>
        <w:t xml:space="preserve"> Child </w:t>
      </w:r>
      <w:proofErr w:type="spellStart"/>
      <w:r>
        <w:rPr>
          <w:rFonts w:eastAsia="Arial" w:cs="Arial"/>
          <w:i/>
          <w:color w:val="000000"/>
        </w:rPr>
        <w:t>Adolesc</w:t>
      </w:r>
      <w:proofErr w:type="spellEnd"/>
      <w:r>
        <w:rPr>
          <w:rFonts w:eastAsia="Arial" w:cs="Arial"/>
          <w:i/>
          <w:color w:val="000000"/>
        </w:rPr>
        <w:t xml:space="preserve"> Psychiatry</w:t>
      </w:r>
      <w:r>
        <w:rPr>
          <w:rFonts w:eastAsia="Arial" w:cs="Arial"/>
          <w:color w:val="000000"/>
        </w:rPr>
        <w:t xml:space="preserve">, </w:t>
      </w:r>
      <w:r w:rsidR="008B57D5">
        <w:rPr>
          <w:rFonts w:eastAsia="Arial" w:cs="Arial"/>
          <w:color w:val="000000"/>
        </w:rPr>
        <w:t>17(Suppl1):125-132</w:t>
      </w:r>
      <w:r>
        <w:rPr>
          <w:rFonts w:eastAsia="Arial" w:cs="Arial"/>
          <w:color w:val="000000"/>
        </w:rPr>
        <w:t>.</w:t>
      </w:r>
      <w:r>
        <w:rPr>
          <w:rFonts w:eastAsia="Arial" w:cs="Arial"/>
          <w:color w:val="0000FF"/>
          <w:u w:val="single"/>
        </w:rPr>
        <w:t xml:space="preserve"> https://doi.org/10.1007/s00787-008-1014-z</w:t>
      </w:r>
    </w:p>
    <w:p w14:paraId="055B64E0" w14:textId="77777777"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Lee PH, Chang LI, Ravens-</w:t>
      </w:r>
      <w:proofErr w:type="spellStart"/>
      <w:r>
        <w:rPr>
          <w:rFonts w:eastAsia="Arial" w:cs="Arial"/>
          <w:color w:val="000000"/>
        </w:rPr>
        <w:t>Sieberer</w:t>
      </w:r>
      <w:proofErr w:type="spellEnd"/>
      <w:r>
        <w:rPr>
          <w:rFonts w:eastAsia="Arial" w:cs="Arial"/>
          <w:color w:val="000000"/>
        </w:rPr>
        <w:t xml:space="preserve"> U. (2008). Psychometric evaluation of the Taiwanese version of the Kiddo-</w:t>
      </w:r>
      <w:proofErr w:type="spellStart"/>
      <w:r>
        <w:rPr>
          <w:rFonts w:eastAsia="Arial" w:cs="Arial"/>
          <w:color w:val="000000"/>
        </w:rPr>
        <w:t>kINDL</w:t>
      </w:r>
      <w:proofErr w:type="spellEnd"/>
      <w:r>
        <w:rPr>
          <w:rFonts w:eastAsia="Arial" w:cs="Arial"/>
          <w:color w:val="000000"/>
        </w:rPr>
        <w:t xml:space="preserve"> generic children's health-related quality of life instrument. </w:t>
      </w:r>
      <w:r>
        <w:rPr>
          <w:rFonts w:eastAsia="Arial" w:cs="Arial"/>
          <w:i/>
          <w:color w:val="000000"/>
        </w:rPr>
        <w:t>Qual Life Res</w:t>
      </w:r>
      <w:r>
        <w:rPr>
          <w:rFonts w:eastAsia="Arial" w:cs="Arial"/>
          <w:color w:val="000000"/>
        </w:rPr>
        <w:t>, 17(4):603-11.</w:t>
      </w:r>
      <w:r>
        <w:rPr>
          <w:rFonts w:eastAsia="Arial" w:cs="Arial"/>
          <w:color w:val="0000FF"/>
          <w:u w:val="single"/>
        </w:rPr>
        <w:t xml:space="preserve"> https://doi.org/10.1007/s11136-008-9328-3</w:t>
      </w:r>
    </w:p>
    <w:p w14:paraId="1E398DC4" w14:textId="77777777"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 xml:space="preserve">Helseth S, Lund T. (2005). Assessing health-related quality of life in adolescents: some psychometric properties of the first Norwegian version of KINDL. </w:t>
      </w:r>
      <w:r>
        <w:rPr>
          <w:rFonts w:eastAsia="Arial" w:cs="Arial"/>
          <w:i/>
          <w:color w:val="000000"/>
        </w:rPr>
        <w:t>Scand J Caring Sci</w:t>
      </w:r>
      <w:r>
        <w:rPr>
          <w:rFonts w:eastAsia="Arial" w:cs="Arial"/>
          <w:color w:val="000000"/>
        </w:rPr>
        <w:t>, 19(2):102-9.</w:t>
      </w:r>
      <w:r>
        <w:rPr>
          <w:rFonts w:eastAsia="Arial" w:cs="Arial"/>
          <w:color w:val="0000FF"/>
          <w:u w:val="single"/>
        </w:rPr>
        <w:t xml:space="preserve"> https://doi.org/10.1111/j.1471-6712.2005.00326.x</w:t>
      </w:r>
    </w:p>
    <w:p w14:paraId="21004802" w14:textId="1B2F6420" w:rsidR="00737353" w:rsidRDefault="00737353">
      <w:pPr>
        <w:pBdr>
          <w:top w:val="none" w:sz="0" w:space="0" w:color="000000"/>
          <w:left w:val="none" w:sz="0" w:space="0" w:color="000000"/>
          <w:bottom w:val="none" w:sz="0" w:space="0" w:color="000000"/>
          <w:right w:val="none" w:sz="0" w:space="0" w:color="000000"/>
        </w:pBdr>
      </w:pPr>
      <w:r>
        <w:rPr>
          <w:rFonts w:eastAsia="Arial" w:cs="Arial"/>
          <w:color w:val="000000"/>
        </w:rPr>
        <w:t>Ravens-</w:t>
      </w:r>
      <w:proofErr w:type="spellStart"/>
      <w:r>
        <w:rPr>
          <w:rFonts w:eastAsia="Arial" w:cs="Arial"/>
          <w:color w:val="000000"/>
        </w:rPr>
        <w:t>Sieberer</w:t>
      </w:r>
      <w:proofErr w:type="spellEnd"/>
      <w:r>
        <w:rPr>
          <w:rFonts w:eastAsia="Arial" w:cs="Arial"/>
          <w:color w:val="000000"/>
        </w:rPr>
        <w:t xml:space="preserve"> U, Bullinger M. (1998). Assessing health-related quality of life in chronically ill children with the German KINDL: </w:t>
      </w:r>
      <w:r w:rsidR="002D4C17">
        <w:rPr>
          <w:rFonts w:eastAsia="Arial" w:cs="Arial"/>
          <w:color w:val="000000"/>
        </w:rPr>
        <w:t>F</w:t>
      </w:r>
      <w:r>
        <w:rPr>
          <w:rFonts w:eastAsia="Arial" w:cs="Arial"/>
          <w:color w:val="000000"/>
        </w:rPr>
        <w:t xml:space="preserve">irst psychometric and content analytical results. </w:t>
      </w:r>
      <w:r>
        <w:rPr>
          <w:rFonts w:eastAsia="Arial" w:cs="Arial"/>
          <w:i/>
          <w:color w:val="000000"/>
        </w:rPr>
        <w:t>Qual Life Res</w:t>
      </w:r>
      <w:r>
        <w:rPr>
          <w:rFonts w:eastAsia="Arial" w:cs="Arial"/>
          <w:color w:val="000000"/>
        </w:rPr>
        <w:t>, 7(5):399-407.</w:t>
      </w:r>
      <w:r>
        <w:rPr>
          <w:rFonts w:eastAsia="Arial" w:cs="Arial"/>
          <w:color w:val="0000FF"/>
          <w:u w:val="single"/>
        </w:rPr>
        <w:t xml:space="preserve"> https://doi.org/10.1023/a:1008853819715</w:t>
      </w:r>
    </w:p>
    <w:p w14:paraId="22D74A39" w14:textId="77777777" w:rsidR="00737353" w:rsidRDefault="00737353" w:rsidP="004E52AA">
      <w:pPr>
        <w:pStyle w:val="Heading2"/>
      </w:pPr>
      <w:r>
        <w:t>Outcome Studies</w:t>
      </w:r>
    </w:p>
    <w:p w14:paraId="384729D9" w14:textId="77777777" w:rsidR="00737353" w:rsidRDefault="00737353">
      <w:pPr>
        <w:pBdr>
          <w:top w:val="none" w:sz="0" w:space="0" w:color="000000"/>
          <w:left w:val="none" w:sz="0" w:space="0" w:color="000000"/>
          <w:bottom w:val="none" w:sz="0" w:space="0" w:color="000000"/>
          <w:right w:val="none" w:sz="0" w:space="0" w:color="000000"/>
        </w:pBdr>
      </w:pPr>
      <w:r>
        <w:rPr>
          <w:rFonts w:eastAsia="Arial" w:cs="Arial"/>
          <w:i/>
          <w:color w:val="000000"/>
        </w:rPr>
        <w:t>No references identified</w:t>
      </w:r>
    </w:p>
    <w:p w14:paraId="1D1D4C11" w14:textId="77777777" w:rsidR="00737353" w:rsidRDefault="00737353">
      <w:pPr>
        <w:rPr>
          <w:rFonts w:eastAsia="Aptos" w:cs="Arial"/>
          <w:i/>
          <w:iCs/>
          <w:color w:val="000000" w:themeColor="text1"/>
        </w:rPr>
      </w:pPr>
    </w:p>
    <w:p w14:paraId="5B9C8A07" w14:textId="77777777" w:rsidR="00737353" w:rsidRPr="00DF6AB3" w:rsidRDefault="00737353"/>
    <w:p w14:paraId="2EAE68B2" w14:textId="77777777" w:rsidR="00E52FE9" w:rsidRDefault="00CE75EE">
      <w:pPr>
        <w:rPr>
          <w:rFonts w:eastAsia="Arial" w:cs="Arial"/>
          <w:i/>
          <w:color w:val="000000"/>
        </w:rPr>
        <w:sectPr w:rsidR="00E52FE9" w:rsidSect="00875FA4">
          <w:headerReference w:type="even" r:id="rId44"/>
          <w:headerReference w:type="default" r:id="rId45"/>
          <w:headerReference w:type="first" r:id="rId46"/>
          <w:pgSz w:w="11910" w:h="16845"/>
          <w:pgMar w:top="1440" w:right="1440" w:bottom="1440" w:left="1440" w:header="720" w:footer="720" w:gutter="0"/>
          <w:cols w:space="720"/>
          <w:docGrid w:linePitch="326"/>
        </w:sectPr>
      </w:pPr>
      <w:r>
        <w:rPr>
          <w:rFonts w:eastAsia="Arial" w:cs="Arial"/>
          <w:i/>
          <w:color w:val="000000"/>
        </w:rPr>
        <w:br w:type="page"/>
      </w:r>
    </w:p>
    <w:p w14:paraId="798ADEA5" w14:textId="7CDB4A66" w:rsidR="00CE75EE" w:rsidRDefault="00CE75EE">
      <w:pPr>
        <w:rPr>
          <w:rFonts w:eastAsia="Arial" w:cs="Arial"/>
          <w:i/>
          <w:color w:val="000000"/>
        </w:rPr>
      </w:pPr>
    </w:p>
    <w:p w14:paraId="6AFB3B48" w14:textId="24306870" w:rsidR="00875FA4" w:rsidRPr="00BE18AF" w:rsidRDefault="00B7243C" w:rsidP="00BE18AF">
      <w:pPr>
        <w:rPr>
          <w:rFonts w:cs="Arial"/>
          <w:sz w:val="36"/>
          <w:szCs w:val="36"/>
        </w:rPr>
      </w:pPr>
      <w:r>
        <w:rPr>
          <w:rFonts w:cs="Arial"/>
          <w:noProof/>
          <w:sz w:val="36"/>
          <w:szCs w:val="36"/>
        </w:rPr>
        <w:drawing>
          <wp:anchor distT="0" distB="0" distL="114300" distR="114300" simplePos="0" relativeHeight="251658247" behindDoc="0" locked="0" layoutInCell="1" allowOverlap="1" wp14:anchorId="11355D00" wp14:editId="70236641">
            <wp:simplePos x="0" y="0"/>
            <wp:positionH relativeFrom="column">
              <wp:posOffset>-914400</wp:posOffset>
            </wp:positionH>
            <wp:positionV relativeFrom="paragraph">
              <wp:posOffset>-914400</wp:posOffset>
            </wp:positionV>
            <wp:extent cx="7563485" cy="2267585"/>
            <wp:effectExtent l="0" t="0" r="0" b="0"/>
            <wp:wrapNone/>
            <wp:docPr id="534853819"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819"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anchor>
        </w:drawing>
      </w:r>
      <w:bookmarkStart w:id="53" w:name="_Infant_Toddler_Social"/>
      <w:bookmarkEnd w:id="53"/>
      <w:r w:rsidR="00875FA4">
        <w:rPr>
          <w:noProof/>
        </w:rPr>
        <w:drawing>
          <wp:anchor distT="0" distB="0" distL="114300" distR="114300" simplePos="0" relativeHeight="251658252" behindDoc="1" locked="1" layoutInCell="1" allowOverlap="1" wp14:anchorId="3E3195A4" wp14:editId="764F128C">
            <wp:simplePos x="0" y="0"/>
            <wp:positionH relativeFrom="page">
              <wp:posOffset>0</wp:posOffset>
            </wp:positionH>
            <wp:positionV relativeFrom="page">
              <wp:posOffset>0</wp:posOffset>
            </wp:positionV>
            <wp:extent cx="7563485" cy="2267585"/>
            <wp:effectExtent l="0" t="0" r="5715" b="5715"/>
            <wp:wrapNone/>
            <wp:docPr id="1685225570"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431E182A" w14:textId="77777777" w:rsidR="00875FA4" w:rsidRDefault="00875FA4">
      <w:pPr>
        <w:jc w:val="center"/>
      </w:pPr>
    </w:p>
    <w:p w14:paraId="7491E962" w14:textId="77777777" w:rsidR="00875FA4" w:rsidRDefault="00875FA4">
      <w:pPr>
        <w:tabs>
          <w:tab w:val="left" w:pos="5465"/>
        </w:tabs>
        <w:spacing w:line="300" w:lineRule="auto"/>
      </w:pPr>
      <w:r>
        <w:rPr>
          <w:rFonts w:ascii="Arial Bold" w:eastAsia="Arial Bold" w:hAnsi="Arial Bold" w:cs="Arial Bold"/>
          <w:b/>
          <w:bCs/>
          <w:color w:val="000F46"/>
          <w:sz w:val="40"/>
          <w:szCs w:val="40"/>
        </w:rPr>
        <w:t xml:space="preserve"> </w:t>
      </w:r>
      <w:r>
        <w:rPr>
          <w:rFonts w:ascii="Arial Bold" w:eastAsia="Arial Bold" w:hAnsi="Arial Bold" w:cs="Arial Bold"/>
          <w:b/>
          <w:bCs/>
          <w:color w:val="000F46"/>
          <w:sz w:val="40"/>
          <w:szCs w:val="40"/>
        </w:rPr>
        <w:tab/>
      </w:r>
    </w:p>
    <w:p w14:paraId="1CB3448C" w14:textId="77777777" w:rsidR="00875FA4" w:rsidRDefault="00875FA4">
      <w:pPr>
        <w:spacing w:line="300" w:lineRule="auto"/>
      </w:pPr>
      <w:r>
        <w:rPr>
          <w:rFonts w:ascii="Canva Sans" w:eastAsia="Canva Sans" w:hAnsi="Canva Sans" w:cs="Canva Sans"/>
          <w:color w:val="000000"/>
        </w:rPr>
        <w:t xml:space="preserve"> </w:t>
      </w:r>
    </w:p>
    <w:p w14:paraId="78BE1166" w14:textId="46874101" w:rsidR="00E52FE9" w:rsidRDefault="00A942BD">
      <w:pPr>
        <w:spacing w:line="300" w:lineRule="auto"/>
        <w:rPr>
          <w:rFonts w:eastAsia="Canva Sans" w:cs="Arial"/>
          <w:b/>
          <w:bCs/>
          <w:color w:val="000000"/>
          <w:sz w:val="36"/>
          <w:szCs w:val="36"/>
        </w:rPr>
      </w:pPr>
      <w:r>
        <w:rPr>
          <w:noProof/>
        </w:rPr>
        <mc:AlternateContent>
          <mc:Choice Requires="wps">
            <w:drawing>
              <wp:anchor distT="0" distB="0" distL="114300" distR="114300" simplePos="0" relativeHeight="251658251" behindDoc="0" locked="0" layoutInCell="1" allowOverlap="1" wp14:anchorId="1F59E17D" wp14:editId="5826F2F0">
                <wp:simplePos x="0" y="0"/>
                <wp:positionH relativeFrom="column">
                  <wp:posOffset>50800</wp:posOffset>
                </wp:positionH>
                <wp:positionV relativeFrom="paragraph">
                  <wp:posOffset>431487</wp:posOffset>
                </wp:positionV>
                <wp:extent cx="6470650" cy="882650"/>
                <wp:effectExtent l="0" t="0" r="0" b="0"/>
                <wp:wrapNone/>
                <wp:docPr id="508926403" name="Text Box 1"/>
                <wp:cNvGraphicFramePr/>
                <a:graphic xmlns:a="http://schemas.openxmlformats.org/drawingml/2006/main">
                  <a:graphicData uri="http://schemas.microsoft.com/office/word/2010/wordprocessingShape">
                    <wps:wsp>
                      <wps:cNvSpPr txBox="1"/>
                      <wps:spPr>
                        <a:xfrm>
                          <a:off x="0" y="0"/>
                          <a:ext cx="6470650" cy="882650"/>
                        </a:xfrm>
                        <a:prstGeom prst="rect">
                          <a:avLst/>
                        </a:prstGeom>
                        <a:noFill/>
                        <a:ln w="6350">
                          <a:noFill/>
                        </a:ln>
                      </wps:spPr>
                      <wps:txbx>
                        <w:txbxContent>
                          <w:p w14:paraId="3FF3F99F" w14:textId="77777777" w:rsidR="00875FA4" w:rsidRPr="00B73670" w:rsidRDefault="00875FA4">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9E17D" id="_x0000_s1037" type="#_x0000_t202" style="position:absolute;margin-left:4pt;margin-top:34pt;width:509.5pt;height:6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" filled="f" stroked="f" strokeweight=".5pt">
                <v:textbox>
                  <w:txbxContent>
                    <w:p w14:paraId="3FF3F99F" w14:textId="77777777" w:rsidR="00875FA4" w:rsidRPr="00B73670" w:rsidRDefault="00875FA4">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txbxContent>
                </v:textbox>
              </v:shape>
            </w:pict>
          </mc:Fallback>
        </mc:AlternateContent>
      </w:r>
      <w:r>
        <w:rPr>
          <w:rFonts w:cs="Arial"/>
          <w:noProof/>
          <w:sz w:val="36"/>
          <w:szCs w:val="36"/>
        </w:rPr>
        <w:drawing>
          <wp:anchor distT="0" distB="0" distL="114300" distR="114300" simplePos="0" relativeHeight="251658246" behindDoc="0" locked="0" layoutInCell="1" allowOverlap="1" wp14:anchorId="768DF818" wp14:editId="014F6805">
            <wp:simplePos x="0" y="0"/>
            <wp:positionH relativeFrom="column">
              <wp:posOffset>-914400</wp:posOffset>
            </wp:positionH>
            <wp:positionV relativeFrom="paragraph">
              <wp:posOffset>383468</wp:posOffset>
            </wp:positionV>
            <wp:extent cx="7563485" cy="935990"/>
            <wp:effectExtent l="0" t="0" r="0" b="0"/>
            <wp:wrapTopAndBottom/>
            <wp:docPr id="901530444"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30444"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anchor>
        </w:drawing>
      </w:r>
    </w:p>
    <w:p w14:paraId="423FB7C2" w14:textId="77777777" w:rsidR="00875FA4" w:rsidRPr="00602230" w:rsidRDefault="00875FA4" w:rsidP="004E52AA">
      <w:pPr>
        <w:pStyle w:val="Heading1"/>
        <w:rPr>
          <w:lang w:eastAsia="en-US"/>
        </w:rPr>
      </w:pPr>
      <w:bookmarkStart w:id="54" w:name="_Participation_and_Environment"/>
      <w:bookmarkEnd w:id="54"/>
      <w:r w:rsidRPr="00602230">
        <w:rPr>
          <w:lang w:eastAsia="en-US"/>
        </w:rPr>
        <w:t>Participation and Environment Measure for Children and Youth (PEM-CY)</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875FA4" w:rsidRPr="003F71E2" w14:paraId="1818D5E6"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217954BC" w14:textId="77777777" w:rsidR="00875FA4" w:rsidRPr="003F71E2" w:rsidRDefault="00875FA4">
            <w:pPr>
              <w:spacing w:after="100"/>
              <w:ind w:left="57" w:right="57"/>
              <w:rPr>
                <w:rFonts w:eastAsia="Aptos" w:cs="Arial"/>
                <w:b/>
                <w:bCs/>
                <w:lang w:eastAsia="en-US"/>
              </w:rPr>
            </w:pPr>
            <w:r w:rsidRPr="003F71E2">
              <w:rPr>
                <w:rFonts w:eastAsia="Aptos" w:cs="Arial"/>
                <w:b/>
                <w:bCs/>
                <w:lang w:eastAsia="en-U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46B4802C" w14:textId="77777777" w:rsidR="00875FA4" w:rsidRPr="003F71E2" w:rsidRDefault="00875FA4" w:rsidP="00EC53FA">
            <w:pPr>
              <w:spacing w:after="100"/>
              <w:ind w:left="57" w:right="57"/>
              <w:rPr>
                <w:rFonts w:eastAsia="Aptos" w:cs="Arial"/>
                <w:b/>
                <w:bCs/>
                <w:lang w:eastAsia="en-US"/>
              </w:rPr>
            </w:pPr>
            <w:r w:rsidRPr="003F71E2">
              <w:rPr>
                <w:rFonts w:eastAsia="Aptos" w:cs="Arial"/>
                <w:lang w:eastAsia="en-US"/>
              </w:rPr>
              <w:t xml:space="preserve"> </w:t>
            </w:r>
            <w:r w:rsidRPr="003F71E2">
              <w:rPr>
                <w:rFonts w:eastAsia="Aptos" w:cs="Arial"/>
                <w:b/>
                <w:bCs/>
                <w:lang w:eastAsia="en-US"/>
              </w:rPr>
              <w:t>Children:</w:t>
            </w:r>
          </w:p>
          <w:p w14:paraId="15A5E397" w14:textId="3365706D" w:rsidR="00875FA4" w:rsidRPr="003F71E2" w:rsidRDefault="00C47DDD" w:rsidP="00EC53FA">
            <w:pPr>
              <w:numPr>
                <w:ilvl w:val="0"/>
                <w:numId w:val="4"/>
              </w:numPr>
              <w:spacing w:after="100"/>
              <w:ind w:left="57" w:right="57"/>
              <w:rPr>
                <w:rFonts w:eastAsia="Aptos" w:cs="Arial"/>
                <w:lang w:eastAsia="en-US"/>
              </w:rPr>
            </w:pPr>
            <w:r>
              <w:rPr>
                <w:rFonts w:eastAsia="Aptos" w:cs="Arial"/>
                <w:lang w:eastAsia="en-US"/>
              </w:rPr>
              <w:t>- p</w:t>
            </w:r>
            <w:r w:rsidR="00875FA4" w:rsidRPr="003F71E2">
              <w:rPr>
                <w:rFonts w:eastAsia="Aptos" w:cs="Arial"/>
                <w:lang w:eastAsia="en-US"/>
              </w:rPr>
              <w:t>articipate and feel they belong in everyday home, community, ECEC and school environments</w:t>
            </w:r>
          </w:p>
        </w:tc>
      </w:tr>
    </w:tbl>
    <w:p w14:paraId="299D4633" w14:textId="77777777" w:rsidR="00875FA4" w:rsidRPr="003F71E2" w:rsidRDefault="00875FA4" w:rsidP="00C01EBC">
      <w:pPr>
        <w:pStyle w:val="Heading1"/>
        <w:rPr>
          <w:lang w:eastAsia="en-US"/>
        </w:rPr>
      </w:pPr>
      <w:r w:rsidRPr="003F71E2">
        <w:rPr>
          <w:lang w:eastAsia="en-US"/>
        </w:rPr>
        <w:t>PEM-CY Overview</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875FA4" w:rsidRPr="003F71E2" w14:paraId="550AC966"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119AC8DB" w14:textId="77777777" w:rsidR="00875FA4" w:rsidRPr="003F71E2" w:rsidRDefault="00875FA4">
            <w:pPr>
              <w:spacing w:after="100"/>
              <w:ind w:left="57" w:right="57"/>
              <w:rPr>
                <w:rFonts w:eastAsia="Aptos" w:cs="Arial"/>
                <w:lang w:eastAsia="en-US"/>
              </w:rPr>
            </w:pPr>
            <w:r w:rsidRPr="003F71E2">
              <w:rPr>
                <w:rFonts w:eastAsia="Aptos" w:cs="Arial"/>
                <w:b/>
                <w:bCs/>
                <w:lang w:eastAsia="en-US"/>
              </w:rPr>
              <w:t>General description</w:t>
            </w:r>
            <w:r w:rsidRPr="003F71E2">
              <w:rPr>
                <w:rFonts w:eastAsia="Aptos" w:cs="Arial"/>
                <w:lang w:eastAsia="en-US"/>
              </w:rPr>
              <w:t>  </w:t>
            </w:r>
          </w:p>
          <w:p w14:paraId="7A18211E" w14:textId="77777777" w:rsidR="00875FA4" w:rsidRPr="003F71E2" w:rsidRDefault="00875FA4">
            <w:pPr>
              <w:spacing w:after="100" w:line="276" w:lineRule="auto"/>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0ABB7882" w14:textId="77777777" w:rsidR="00875FA4" w:rsidRPr="003F71E2" w:rsidRDefault="00875FA4">
            <w:pPr>
              <w:spacing w:after="100"/>
              <w:ind w:left="57" w:right="57"/>
              <w:rPr>
                <w:rFonts w:eastAsia="Aptos" w:cs="Arial"/>
                <w:lang w:eastAsia="en-US"/>
              </w:rPr>
            </w:pPr>
            <w:r w:rsidRPr="003F71E2">
              <w:rPr>
                <w:rFonts w:eastAsia="Aptos" w:cs="Arial"/>
                <w:lang w:eastAsia="en-US"/>
              </w:rPr>
              <w:t>The Participation and Environment Measure for Children and Youth (PEM-CY) is a measure designed to evaluate the participation of young children in various activities and the environmental factors that influence this participation. The PEM-CY assesses participation across home, school, and community settings.</w:t>
            </w:r>
          </w:p>
        </w:tc>
      </w:tr>
      <w:tr w:rsidR="00875FA4" w:rsidRPr="003F71E2" w14:paraId="17B7046B"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19DD3469" w14:textId="77777777" w:rsidR="00875FA4" w:rsidRPr="003F71E2" w:rsidRDefault="00875FA4">
            <w:pPr>
              <w:spacing w:after="100"/>
              <w:ind w:left="57" w:right="57"/>
              <w:rPr>
                <w:rFonts w:eastAsia="Aptos" w:cs="Arial"/>
                <w:b/>
                <w:bCs/>
                <w:lang w:eastAsia="en-US"/>
              </w:rPr>
            </w:pPr>
            <w:r w:rsidRPr="003F71E2">
              <w:rPr>
                <w:rFonts w:eastAsia="Aptos" w:cs="Arial"/>
                <w:b/>
                <w:bCs/>
                <w:lang w:eastAsia="en-US"/>
              </w:rPr>
              <w:t>Ages</w:t>
            </w:r>
          </w:p>
        </w:tc>
        <w:tc>
          <w:tcPr>
            <w:tcW w:w="7075" w:type="dxa"/>
            <w:tcBorders>
              <w:top w:val="single" w:sz="6" w:space="0" w:color="auto"/>
              <w:left w:val="single" w:sz="6" w:space="0" w:color="auto"/>
              <w:bottom w:val="single" w:sz="6" w:space="0" w:color="auto"/>
              <w:right w:val="single" w:sz="6" w:space="0" w:color="auto"/>
            </w:tcBorders>
          </w:tcPr>
          <w:p w14:paraId="56305844" w14:textId="77777777" w:rsidR="00875FA4" w:rsidRPr="003F71E2" w:rsidRDefault="00875FA4">
            <w:pPr>
              <w:tabs>
                <w:tab w:val="left" w:pos="1210"/>
              </w:tabs>
              <w:spacing w:after="100"/>
              <w:ind w:left="57" w:right="57"/>
              <w:rPr>
                <w:rFonts w:eastAsia="Aptos" w:cs="Arial"/>
                <w:lang w:eastAsia="en-US"/>
              </w:rPr>
            </w:pPr>
            <w:r w:rsidRPr="003F71E2">
              <w:rPr>
                <w:rFonts w:eastAsia="Aptos" w:cs="Arial"/>
                <w:lang w:eastAsia="en-US"/>
              </w:rPr>
              <w:t>The PEM-CY is designed for children and youth aged 5 to 17 years.</w:t>
            </w:r>
          </w:p>
        </w:tc>
      </w:tr>
      <w:tr w:rsidR="00875FA4" w:rsidRPr="003F71E2" w14:paraId="4F20CC38"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63313CEF" w14:textId="77777777" w:rsidR="00875FA4" w:rsidRPr="003F71E2" w:rsidRDefault="00875FA4">
            <w:pPr>
              <w:spacing w:after="100"/>
              <w:ind w:left="57" w:right="57"/>
              <w:rPr>
                <w:rFonts w:eastAsia="Aptos" w:cs="Arial"/>
                <w:lang w:eastAsia="en-US"/>
              </w:rPr>
            </w:pPr>
            <w:r w:rsidRPr="003F71E2">
              <w:rPr>
                <w:rFonts w:eastAsia="Aptos" w:cs="Arial"/>
                <w:b/>
                <w:bCs/>
                <w:lang w:eastAsia="en-US"/>
              </w:rPr>
              <w:t>Domains / subscales </w:t>
            </w:r>
            <w:r w:rsidRPr="003F71E2">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tcPr>
          <w:p w14:paraId="72FB8246" w14:textId="77777777" w:rsidR="00875FA4" w:rsidRPr="003F71E2" w:rsidRDefault="00875FA4">
            <w:pPr>
              <w:spacing w:after="100"/>
              <w:ind w:left="57" w:right="57"/>
              <w:rPr>
                <w:rFonts w:eastAsia="Aptos" w:cs="Arial"/>
                <w:lang w:eastAsia="en-US"/>
              </w:rPr>
            </w:pPr>
            <w:r w:rsidRPr="003F71E2">
              <w:rPr>
                <w:rFonts w:eastAsia="Aptos" w:cs="Arial"/>
                <w:lang w:eastAsia="en-US"/>
              </w:rPr>
              <w:t xml:space="preserve">The PEM-CY consists of Participation Scales and an Environment Scale. </w:t>
            </w:r>
          </w:p>
          <w:p w14:paraId="35C1B563" w14:textId="77777777" w:rsidR="00875FA4" w:rsidRPr="003F71E2" w:rsidRDefault="00875FA4">
            <w:pPr>
              <w:spacing w:after="100"/>
              <w:ind w:left="57" w:right="57"/>
              <w:rPr>
                <w:rFonts w:eastAsia="Aptos" w:cs="Arial"/>
                <w:lang w:eastAsia="en-US"/>
              </w:rPr>
            </w:pPr>
            <w:r w:rsidRPr="003F71E2">
              <w:rPr>
                <w:rFonts w:eastAsia="Aptos" w:cs="Arial"/>
                <w:lang w:eastAsia="en-US"/>
              </w:rPr>
              <w:t xml:space="preserve">The PEM-CY Participation Scales have three subscales: Frequency of Participation, Level of Involvement and Desire for Change. </w:t>
            </w:r>
          </w:p>
          <w:p w14:paraId="6358577A" w14:textId="77777777" w:rsidR="00875FA4" w:rsidRPr="003F71E2" w:rsidRDefault="00875FA4">
            <w:pPr>
              <w:spacing w:after="100"/>
              <w:ind w:left="57" w:right="57"/>
              <w:rPr>
                <w:rFonts w:eastAsia="Aptos" w:cs="Arial"/>
                <w:lang w:eastAsia="en-US"/>
              </w:rPr>
            </w:pPr>
            <w:r w:rsidRPr="003F71E2">
              <w:rPr>
                <w:rFonts w:eastAsia="Aptos" w:cs="Arial"/>
                <w:lang w:eastAsia="en-US"/>
              </w:rPr>
              <w:t>The PEM-CY Environment Scale has one subscale: Environmental Support.</w:t>
            </w:r>
          </w:p>
        </w:tc>
      </w:tr>
      <w:tr w:rsidR="00875FA4" w:rsidRPr="003F71E2" w14:paraId="2C135557"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38476593" w14:textId="77777777" w:rsidR="00875FA4" w:rsidRPr="003F71E2" w:rsidRDefault="00875FA4">
            <w:pPr>
              <w:spacing w:after="100"/>
              <w:ind w:left="57" w:right="57"/>
              <w:rPr>
                <w:rFonts w:eastAsia="Aptos" w:cs="Arial"/>
                <w:lang w:eastAsia="en-US"/>
              </w:rPr>
            </w:pPr>
            <w:r w:rsidRPr="003F71E2">
              <w:rPr>
                <w:rFonts w:eastAsia="Aptos" w:cs="Arial"/>
                <w:b/>
                <w:bCs/>
                <w:lang w:eastAsia="en-US"/>
              </w:rPr>
              <w:lastRenderedPageBreak/>
              <w:t>Cultural adaptation </w:t>
            </w:r>
            <w:r w:rsidRPr="003F71E2">
              <w:rPr>
                <w:rFonts w:eastAsia="Aptos" w:cs="Arial"/>
                <w:lang w:eastAsia="en-US"/>
              </w:rPr>
              <w:t> </w:t>
            </w:r>
          </w:p>
          <w:p w14:paraId="26107B17" w14:textId="77777777" w:rsidR="00875FA4" w:rsidRPr="003F71E2" w:rsidRDefault="00875FA4">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614EEE28" w14:textId="77777777" w:rsidR="00875FA4" w:rsidRPr="003F71E2" w:rsidRDefault="00875FA4">
            <w:pPr>
              <w:spacing w:after="100"/>
              <w:ind w:left="57" w:right="57"/>
              <w:rPr>
                <w:rFonts w:eastAsia="Aptos" w:cs="Arial"/>
                <w:lang w:eastAsia="en-US"/>
              </w:rPr>
            </w:pPr>
            <w:r w:rsidRPr="003F71E2">
              <w:rPr>
                <w:rFonts w:eastAsia="Times New Roman" w:cs="Arial"/>
                <w:kern w:val="0"/>
                <w:lang w:eastAsia="en-AU"/>
                <w14:ligatures w14:val="none"/>
              </w:rPr>
              <w:t xml:space="preserve">The PEM-CY has been translated into Arabic, Brazilian Portuguese, Dutch, French, Georgian, German, Greek, Hebrew, Hindi, Icelandic, Indian, Italian, Japanese, Korean, Lithuanian, Portuguese, Serbian, Spanish, Turkish, and Vietnamese. </w:t>
            </w:r>
          </w:p>
        </w:tc>
      </w:tr>
      <w:tr w:rsidR="00875FA4" w:rsidRPr="003F71E2" w14:paraId="51E04E4B"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7CBDB827" w14:textId="77777777" w:rsidR="00875FA4" w:rsidRPr="003F71E2" w:rsidRDefault="00875FA4">
            <w:pPr>
              <w:spacing w:after="100"/>
              <w:ind w:left="57" w:right="57"/>
              <w:rPr>
                <w:rFonts w:eastAsia="Aptos" w:cs="Arial"/>
                <w:lang w:eastAsia="en-US"/>
              </w:rPr>
            </w:pPr>
            <w:r w:rsidRPr="003F71E2">
              <w:rPr>
                <w:rFonts w:eastAsia="Aptos" w:cs="Arial"/>
                <w:b/>
                <w:bCs/>
                <w:lang w:eastAsia="en-US"/>
              </w:rPr>
              <w:t>Administration</w:t>
            </w:r>
            <w:r w:rsidRPr="003F71E2">
              <w:rPr>
                <w:rFonts w:eastAsia="Aptos" w:cs="Arial"/>
                <w:lang w:eastAsia="en-US"/>
              </w:rPr>
              <w:t>  </w:t>
            </w:r>
          </w:p>
          <w:p w14:paraId="154EB04C" w14:textId="77777777" w:rsidR="00875FA4" w:rsidRPr="003F71E2" w:rsidRDefault="00875FA4">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06CE1E77" w14:textId="77777777" w:rsidR="00875FA4" w:rsidRPr="003F71E2" w:rsidRDefault="00875FA4">
            <w:pPr>
              <w:spacing w:after="100"/>
              <w:ind w:left="57" w:right="57"/>
              <w:rPr>
                <w:rFonts w:eastAsia="Aptos" w:cs="Arial"/>
                <w:lang w:eastAsia="en-US"/>
              </w:rPr>
            </w:pPr>
            <w:r w:rsidRPr="003F71E2">
              <w:rPr>
                <w:rFonts w:eastAsia="Aptos" w:cs="Arial"/>
                <w:lang w:eastAsia="en-US"/>
              </w:rPr>
              <w:t>The PEM-CY is a parent-report survey that takes approximately 25-40 minutes to complete. It can also be administered by healthcare professionals (such as occupational therapists, physical therapists), other professionals working with children and youth, and researchers.</w:t>
            </w:r>
          </w:p>
          <w:p w14:paraId="660E6908" w14:textId="51FDD96D" w:rsidR="00875FA4" w:rsidRPr="003F71E2" w:rsidRDefault="00875FA4">
            <w:pPr>
              <w:spacing w:after="100"/>
              <w:ind w:left="57" w:right="57"/>
              <w:rPr>
                <w:rFonts w:eastAsia="Aptos" w:cs="Arial"/>
                <w:lang w:eastAsia="en-US"/>
              </w:rPr>
            </w:pPr>
            <w:r w:rsidRPr="003F71E2">
              <w:rPr>
                <w:rFonts w:eastAsia="Aptos" w:cs="Arial"/>
                <w:lang w:eastAsia="en-US"/>
              </w:rPr>
              <w:t>The PEM-CY is available in multiple formats, including downloadable PDF, electronic version for personal computers, online survey (in development), and paper forms.</w:t>
            </w:r>
          </w:p>
        </w:tc>
      </w:tr>
      <w:tr w:rsidR="00875FA4" w:rsidRPr="003F71E2" w14:paraId="5D75DA2E"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25286CCA" w14:textId="77777777" w:rsidR="00875FA4" w:rsidRPr="003F71E2" w:rsidRDefault="00875FA4">
            <w:pPr>
              <w:spacing w:after="100"/>
              <w:ind w:left="57" w:right="57"/>
              <w:rPr>
                <w:rFonts w:eastAsia="Aptos" w:cs="Arial"/>
                <w:lang w:eastAsia="en-US"/>
              </w:rPr>
            </w:pPr>
            <w:r w:rsidRPr="003F71E2">
              <w:rPr>
                <w:rFonts w:eastAsia="Aptos" w:cs="Arial"/>
                <w:b/>
                <w:bCs/>
                <w:lang w:eastAsia="en-US"/>
              </w:rPr>
              <w:t>Training requirements</w:t>
            </w:r>
            <w:r w:rsidRPr="003F71E2">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hideMark/>
          </w:tcPr>
          <w:p w14:paraId="1AE2372F" w14:textId="77777777" w:rsidR="00875FA4" w:rsidRPr="003F71E2" w:rsidRDefault="00875FA4">
            <w:pPr>
              <w:spacing w:after="100"/>
              <w:ind w:left="57" w:right="57"/>
              <w:rPr>
                <w:rFonts w:eastAsia="Times New Roman" w:cs="Arial"/>
                <w:kern w:val="0"/>
                <w:lang w:eastAsia="en-AU"/>
                <w14:ligatures w14:val="none"/>
              </w:rPr>
            </w:pPr>
            <w:r w:rsidRPr="003F71E2">
              <w:rPr>
                <w:rFonts w:eastAsia="Times New Roman" w:cs="Arial"/>
                <w:kern w:val="0"/>
                <w:lang w:eastAsia="en-AU"/>
                <w14:ligatures w14:val="none"/>
              </w:rPr>
              <w:t xml:space="preserve">No specific training is required to administer the PEM-CY. </w:t>
            </w:r>
          </w:p>
          <w:p w14:paraId="736BC995" w14:textId="77777777" w:rsidR="00875FA4" w:rsidRPr="003F71E2" w:rsidRDefault="00875FA4">
            <w:pPr>
              <w:spacing w:after="100"/>
              <w:ind w:left="57" w:right="57"/>
              <w:rPr>
                <w:rFonts w:eastAsia="Aptos" w:cs="Arial"/>
                <w:lang w:eastAsia="en-US"/>
              </w:rPr>
            </w:pPr>
            <w:r w:rsidRPr="003F71E2">
              <w:rPr>
                <w:rFonts w:eastAsia="Aptos" w:cs="Arial"/>
                <w:lang w:eastAsia="en-US"/>
              </w:rPr>
              <w:t xml:space="preserve">Professional development opportunities, including information on the development of the PEM-CY, are available from </w:t>
            </w:r>
            <w:proofErr w:type="spellStart"/>
            <w:r w:rsidRPr="003F71E2">
              <w:rPr>
                <w:rFonts w:eastAsia="Aptos" w:cs="Arial"/>
                <w:lang w:eastAsia="en-US"/>
              </w:rPr>
              <w:t>CanChild</w:t>
            </w:r>
            <w:proofErr w:type="spellEnd"/>
            <w:r w:rsidRPr="003F71E2">
              <w:rPr>
                <w:rFonts w:eastAsia="Aptos" w:cs="Arial"/>
                <w:lang w:eastAsia="en-US"/>
              </w:rPr>
              <w:t xml:space="preserve">. </w:t>
            </w:r>
          </w:p>
          <w:p w14:paraId="09214C39" w14:textId="77777777" w:rsidR="00875FA4" w:rsidRPr="003F71E2" w:rsidRDefault="00875FA4">
            <w:pPr>
              <w:spacing w:after="100"/>
              <w:ind w:left="57" w:right="57"/>
              <w:rPr>
                <w:rFonts w:eastAsia="Times New Roman" w:cs="Arial"/>
                <w:kern w:val="0"/>
                <w:lang w:eastAsia="en-AU"/>
                <w14:ligatures w14:val="none"/>
              </w:rPr>
            </w:pPr>
            <w:hyperlink r:id="rId47" w:history="1">
              <w:r w:rsidRPr="003F71E2">
                <w:rPr>
                  <w:rFonts w:eastAsia="Times New Roman" w:cs="Arial"/>
                  <w:color w:val="467886"/>
                  <w:kern w:val="0"/>
                  <w:u w:val="single"/>
                  <w:lang w:eastAsia="en-AU"/>
                  <w14:ligatures w14:val="none"/>
                </w:rPr>
                <w:t>https://www.canchild.ca/en/resources/248-participation-and-environment-measure-for-children-and-youth-pem-cy</w:t>
              </w:r>
            </w:hyperlink>
          </w:p>
        </w:tc>
      </w:tr>
      <w:tr w:rsidR="00875FA4" w:rsidRPr="003F71E2" w14:paraId="5C0686D6"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0D400EC0" w14:textId="77777777" w:rsidR="00875FA4" w:rsidRPr="003F71E2" w:rsidRDefault="00875FA4">
            <w:pPr>
              <w:spacing w:after="100"/>
              <w:ind w:left="57" w:right="57"/>
              <w:rPr>
                <w:rFonts w:eastAsia="Aptos" w:cs="Arial"/>
                <w:b/>
                <w:bCs/>
                <w:lang w:eastAsia="en-US"/>
              </w:rPr>
            </w:pPr>
            <w:r w:rsidRPr="003F71E2">
              <w:rPr>
                <w:rFonts w:eastAsia="Aptos" w:cs="Arial"/>
                <w:b/>
                <w:bCs/>
                <w:lang w:eastAsia="en-US"/>
              </w:rPr>
              <w:t>How to access</w:t>
            </w:r>
          </w:p>
          <w:p w14:paraId="6D828EC6" w14:textId="77777777" w:rsidR="00875FA4" w:rsidRPr="003F71E2" w:rsidRDefault="00875FA4">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44AC3685" w14:textId="77777777" w:rsidR="00875FA4" w:rsidRPr="003F71E2" w:rsidRDefault="00875FA4">
            <w:pPr>
              <w:spacing w:after="100"/>
              <w:ind w:left="57" w:right="57"/>
              <w:rPr>
                <w:rFonts w:eastAsia="Aptos" w:cs="Arial"/>
                <w:lang w:eastAsia="en-US"/>
              </w:rPr>
            </w:pPr>
            <w:r w:rsidRPr="003F71E2">
              <w:rPr>
                <w:rFonts w:eastAsia="Aptos" w:cs="Arial"/>
                <w:lang w:eastAsia="en-US"/>
              </w:rPr>
              <w:t xml:space="preserve">The PEM-CY is available for purchase through the </w:t>
            </w:r>
            <w:proofErr w:type="spellStart"/>
            <w:r w:rsidRPr="003F71E2">
              <w:rPr>
                <w:rFonts w:eastAsia="Aptos" w:cs="Arial"/>
                <w:lang w:eastAsia="en-US"/>
              </w:rPr>
              <w:t>CanChild</w:t>
            </w:r>
            <w:proofErr w:type="spellEnd"/>
            <w:r w:rsidRPr="003F71E2">
              <w:rPr>
                <w:rFonts w:eastAsia="Aptos" w:cs="Arial"/>
                <w:lang w:eastAsia="en-US"/>
              </w:rPr>
              <w:t xml:space="preserve"> website. </w:t>
            </w:r>
          </w:p>
          <w:p w14:paraId="1DB45812" w14:textId="77777777" w:rsidR="00875FA4" w:rsidRPr="003F71E2" w:rsidRDefault="00875FA4">
            <w:pPr>
              <w:spacing w:after="100"/>
              <w:ind w:left="57" w:right="57"/>
              <w:rPr>
                <w:rFonts w:eastAsia="Aptos" w:cs="Arial"/>
                <w:lang w:eastAsia="en-US"/>
              </w:rPr>
            </w:pPr>
            <w:r w:rsidRPr="003F71E2">
              <w:rPr>
                <w:rFonts w:eastAsia="Aptos" w:cs="Arial"/>
                <w:lang w:eastAsia="en-US"/>
              </w:rPr>
              <w:t>A single license allows service providers to make unlimited copies, while educational institutions and healthcare organisations can purchase multi-user licenses.</w:t>
            </w:r>
          </w:p>
          <w:p w14:paraId="2AA37685" w14:textId="77777777" w:rsidR="00875FA4" w:rsidRPr="003F71E2" w:rsidRDefault="00875FA4">
            <w:pPr>
              <w:spacing w:after="100"/>
              <w:ind w:left="57" w:right="57"/>
              <w:rPr>
                <w:rFonts w:eastAsia="Times New Roman" w:cs="Arial"/>
                <w:kern w:val="0"/>
                <w:lang w:eastAsia="en-AU"/>
                <w14:ligatures w14:val="none"/>
              </w:rPr>
            </w:pPr>
            <w:hyperlink r:id="rId48" w:history="1">
              <w:r w:rsidRPr="003F71E2">
                <w:rPr>
                  <w:rFonts w:eastAsia="Times New Roman" w:cs="Arial"/>
                  <w:color w:val="467886"/>
                  <w:kern w:val="0"/>
                  <w:u w:val="single"/>
                  <w:lang w:eastAsia="en-AU"/>
                  <w14:ligatures w14:val="none"/>
                </w:rPr>
                <w:t>https://canchild.ca/en/shop/2-pem-cy-participation-and-environment-measure-children-and-youth</w:t>
              </w:r>
            </w:hyperlink>
            <w:r w:rsidRPr="003F71E2">
              <w:rPr>
                <w:rFonts w:eastAsia="Times New Roman" w:cs="Arial"/>
                <w:kern w:val="0"/>
                <w:lang w:eastAsia="en-AU"/>
                <w14:ligatures w14:val="none"/>
              </w:rPr>
              <w:t xml:space="preserve"> </w:t>
            </w:r>
          </w:p>
        </w:tc>
      </w:tr>
    </w:tbl>
    <w:p w14:paraId="016F9444" w14:textId="77777777" w:rsidR="00875FA4" w:rsidRPr="003F71E2" w:rsidRDefault="00875FA4">
      <w:pPr>
        <w:rPr>
          <w:rFonts w:ascii="Aptos" w:eastAsia="Aptos" w:hAnsi="Aptos" w:cs="Arial"/>
          <w:lang w:eastAsia="en-US"/>
        </w:rPr>
      </w:pPr>
    </w:p>
    <w:p w14:paraId="5FB957A7" w14:textId="77777777" w:rsidR="00EC53FA" w:rsidRDefault="00EC53FA">
      <w:pPr>
        <w:rPr>
          <w:rFonts w:eastAsia="Yu Gothic Light" w:cs="Arial"/>
          <w:b/>
          <w:bCs/>
          <w:color w:val="3F779D"/>
          <w:sz w:val="32"/>
          <w:szCs w:val="32"/>
          <w:lang w:eastAsia="en-US"/>
        </w:rPr>
      </w:pPr>
      <w:bookmarkStart w:id="55" w:name="_PEM-CY_Evidence_Summary"/>
      <w:bookmarkEnd w:id="55"/>
      <w:r>
        <w:rPr>
          <w:rFonts w:eastAsia="Yu Gothic Light"/>
          <w:lang w:eastAsia="en-US"/>
        </w:rPr>
        <w:br w:type="page"/>
      </w:r>
    </w:p>
    <w:p w14:paraId="34FC709E" w14:textId="1F88D753" w:rsidR="00875FA4" w:rsidRPr="003F71E2" w:rsidRDefault="00875FA4" w:rsidP="00C01EBC">
      <w:pPr>
        <w:pStyle w:val="Heading1"/>
        <w:rPr>
          <w:lang w:eastAsia="en-US"/>
        </w:rPr>
      </w:pPr>
      <w:bookmarkStart w:id="56" w:name="_PEM-CY_Evidence_Summary_1"/>
      <w:bookmarkEnd w:id="56"/>
      <w:r w:rsidRPr="003F71E2">
        <w:rPr>
          <w:lang w:eastAsia="en-US"/>
        </w:rPr>
        <w:lastRenderedPageBreak/>
        <w:t>PEM-CY Evidence Summary</w:t>
      </w:r>
    </w:p>
    <w:p w14:paraId="53792554" w14:textId="7C108AF3" w:rsidR="00875FA4" w:rsidRPr="003F71E2" w:rsidRDefault="00875FA4">
      <w:pPr>
        <w:rPr>
          <w:rFonts w:ascii="Aptos" w:eastAsia="Aptos" w:hAnsi="Aptos" w:cs="Arial"/>
          <w:lang w:eastAsia="en-US"/>
        </w:rPr>
      </w:pPr>
      <w:hyperlink w:anchor="_PEM-CY_Reference_List_1" w:history="1">
        <w:r w:rsidRPr="002242E8">
          <w:rPr>
            <w:rStyle w:val="Hyperlink"/>
            <w:rFonts w:eastAsia="Aptos" w:cs="Arial"/>
            <w:i/>
            <w:iCs/>
            <w:lang w:eastAsia="en-US"/>
          </w:rPr>
          <w:t>Link to PEM-CY 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875FA4" w:rsidRPr="003F71E2" w14:paraId="197AE150"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6999EFBD" w14:textId="77777777" w:rsidR="00875FA4" w:rsidRPr="003F71E2" w:rsidRDefault="00875FA4">
            <w:pPr>
              <w:spacing w:after="100" w:line="276" w:lineRule="auto"/>
              <w:ind w:left="57" w:right="57"/>
              <w:rPr>
                <w:rFonts w:eastAsia="Aptos" w:cs="Arial"/>
                <w:b/>
                <w:bCs/>
                <w:lang w:eastAsia="en-US"/>
              </w:rPr>
            </w:pPr>
            <w:r w:rsidRPr="003F71E2">
              <w:rPr>
                <w:rFonts w:eastAsia="Aptos" w:cs="Arial"/>
                <w:b/>
                <w:bCs/>
                <w:lang w:eastAsia="en-US"/>
              </w:rPr>
              <w:t>Overview</w:t>
            </w:r>
          </w:p>
          <w:p w14:paraId="518F18E6" w14:textId="77777777" w:rsidR="00875FA4" w:rsidRPr="003F71E2" w:rsidRDefault="00875FA4">
            <w:pPr>
              <w:spacing w:after="100" w:line="276" w:lineRule="auto"/>
              <w:ind w:left="57" w:right="57"/>
              <w:rPr>
                <w:rFonts w:eastAsia="Aptos" w:cs="Arial"/>
                <w:i/>
                <w:iCs/>
                <w:lang w:eastAsia="en-US"/>
              </w:rPr>
            </w:pPr>
          </w:p>
        </w:tc>
        <w:tc>
          <w:tcPr>
            <w:tcW w:w="7075" w:type="dxa"/>
            <w:tcBorders>
              <w:top w:val="single" w:sz="6" w:space="0" w:color="auto"/>
              <w:left w:val="single" w:sz="6" w:space="0" w:color="auto"/>
              <w:bottom w:val="single" w:sz="6" w:space="0" w:color="auto"/>
              <w:right w:val="single" w:sz="6" w:space="0" w:color="auto"/>
            </w:tcBorders>
          </w:tcPr>
          <w:p w14:paraId="79BB1754" w14:textId="77777777" w:rsidR="00875FA4" w:rsidRPr="003F71E2" w:rsidRDefault="00875FA4">
            <w:pPr>
              <w:spacing w:after="100" w:line="276" w:lineRule="auto"/>
              <w:ind w:left="57" w:right="57"/>
              <w:rPr>
                <w:rFonts w:eastAsia="Aptos" w:cs="Arial"/>
                <w:color w:val="000000"/>
                <w:lang w:eastAsia="en-US"/>
              </w:rPr>
            </w:pPr>
            <w:r w:rsidRPr="003F71E2">
              <w:rPr>
                <w:rFonts w:eastAsia="Aptos" w:cs="Arial"/>
                <w:color w:val="000000"/>
                <w:lang w:eastAsia="en-US"/>
              </w:rPr>
              <w:t>13 studies were identified that report on the psychometric properties of the PEM-CY (2011-2024).</w:t>
            </w:r>
          </w:p>
        </w:tc>
      </w:tr>
      <w:tr w:rsidR="00875FA4" w:rsidRPr="003F71E2" w14:paraId="0C5C701C"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1A226DD7" w14:textId="77777777" w:rsidR="00875FA4" w:rsidRPr="003F71E2" w:rsidRDefault="00875FA4">
            <w:pPr>
              <w:spacing w:after="100" w:line="276" w:lineRule="auto"/>
              <w:ind w:left="57" w:right="57"/>
              <w:rPr>
                <w:rFonts w:eastAsia="Aptos" w:cs="Arial"/>
                <w:b/>
                <w:bCs/>
                <w:lang w:eastAsia="en-US"/>
              </w:rPr>
            </w:pPr>
            <w:r w:rsidRPr="003F71E2">
              <w:rPr>
                <w:rFonts w:eastAsia="Aptos" w:cs="Arial"/>
                <w:b/>
                <w:bCs/>
                <w:lang w:eastAsia="en-US"/>
              </w:rPr>
              <w:t>Review papers</w:t>
            </w:r>
          </w:p>
        </w:tc>
        <w:tc>
          <w:tcPr>
            <w:tcW w:w="7075" w:type="dxa"/>
            <w:tcBorders>
              <w:top w:val="single" w:sz="6" w:space="0" w:color="auto"/>
              <w:left w:val="single" w:sz="6" w:space="0" w:color="auto"/>
              <w:bottom w:val="single" w:sz="6" w:space="0" w:color="auto"/>
              <w:right w:val="single" w:sz="6" w:space="0" w:color="auto"/>
            </w:tcBorders>
          </w:tcPr>
          <w:p w14:paraId="35DC984A" w14:textId="77777777" w:rsidR="00875FA4" w:rsidRPr="003F71E2" w:rsidRDefault="00875FA4">
            <w:pPr>
              <w:spacing w:after="100" w:line="276" w:lineRule="auto"/>
              <w:ind w:left="57" w:right="57"/>
              <w:rPr>
                <w:rFonts w:eastAsia="Aptos" w:cs="Arial"/>
                <w:color w:val="000000"/>
                <w:lang w:eastAsia="en-US"/>
              </w:rPr>
            </w:pPr>
            <w:r w:rsidRPr="003F71E2">
              <w:rPr>
                <w:rFonts w:eastAsia="Aptos" w:cs="Arial"/>
                <w:color w:val="000000"/>
                <w:lang w:eastAsia="en-US"/>
              </w:rPr>
              <w:t xml:space="preserve">The PEM-CY was the only tool to reach consensus for inclusion in a participation measure toolkit for children who need or use power mobility (Canada, 2016). </w:t>
            </w:r>
          </w:p>
          <w:p w14:paraId="6ACB17C9" w14:textId="77777777" w:rsidR="00875FA4" w:rsidRPr="003F71E2" w:rsidRDefault="00875FA4">
            <w:pPr>
              <w:spacing w:after="100" w:line="276" w:lineRule="auto"/>
              <w:ind w:left="57" w:right="57"/>
              <w:rPr>
                <w:rFonts w:eastAsia="Aptos" w:cs="Arial"/>
                <w:color w:val="000000"/>
                <w:lang w:eastAsia="en-US"/>
              </w:rPr>
            </w:pPr>
            <w:r w:rsidRPr="003F71E2">
              <w:rPr>
                <w:rFonts w:eastAsia="Aptos" w:cs="Arial"/>
                <w:color w:val="000000"/>
                <w:lang w:eastAsia="en-US"/>
              </w:rPr>
              <w:t xml:space="preserve">In a review of 16 identified participation measures, the PEM-CY was one of two measures to align with all Activity and Participation domains of the International Classification of Functioning, Disability and Health – Children and Youth (Australia, 2014). </w:t>
            </w:r>
          </w:p>
        </w:tc>
      </w:tr>
      <w:tr w:rsidR="00875FA4" w:rsidRPr="003F71E2" w14:paraId="7F34DB56"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51459FD6" w14:textId="77777777" w:rsidR="00875FA4" w:rsidRPr="003F71E2" w:rsidRDefault="00875FA4">
            <w:pPr>
              <w:spacing w:after="100" w:line="276" w:lineRule="auto"/>
              <w:ind w:left="57" w:right="57"/>
              <w:rPr>
                <w:rFonts w:eastAsia="Aptos" w:cs="Arial"/>
                <w:b/>
                <w:bCs/>
                <w:lang w:eastAsia="en-US"/>
              </w:rPr>
            </w:pPr>
            <w:r w:rsidRPr="003F71E2">
              <w:rPr>
                <w:rFonts w:eastAsia="Aptos" w:cs="Arial"/>
                <w:b/>
                <w:bCs/>
                <w:lang w:eastAsia="en-U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7711C163" w14:textId="77777777" w:rsidR="00875FA4" w:rsidRPr="003F71E2" w:rsidRDefault="00875FA4">
            <w:pPr>
              <w:spacing w:after="100" w:line="276" w:lineRule="auto"/>
              <w:ind w:left="57" w:right="57"/>
              <w:rPr>
                <w:rFonts w:eastAsia="Aptos" w:cs="Arial"/>
                <w:color w:val="000000"/>
                <w:lang w:eastAsia="en-US"/>
              </w:rPr>
            </w:pPr>
            <w:r w:rsidRPr="003F71E2">
              <w:rPr>
                <w:rFonts w:eastAsia="Aptos" w:cs="Arial"/>
                <w:color w:val="000000"/>
                <w:lang w:eastAsia="en-US"/>
              </w:rPr>
              <w:t>One paper describes the conceptual development of the PEM-CY (USA and Canada, 2012). The measurement properties of the PEM-CY have been explored in three studies conducted in the USA and Canada (2014, 2014, 2011). These studies report acceptable internal consistency, moderate to good test-retest reliability, and evidence of construct and concurrent validity, supporting its use with children with disabilities in North American contexts.</w:t>
            </w:r>
          </w:p>
        </w:tc>
      </w:tr>
      <w:tr w:rsidR="00875FA4" w:rsidRPr="003F71E2" w14:paraId="761E3CB8"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29CF737F" w14:textId="77777777" w:rsidR="00875FA4" w:rsidRPr="003F71E2" w:rsidRDefault="00875FA4">
            <w:pPr>
              <w:spacing w:after="100" w:line="276" w:lineRule="auto"/>
              <w:ind w:left="57" w:right="57"/>
              <w:rPr>
                <w:rFonts w:eastAsia="Aptos" w:cs="Arial"/>
                <w:b/>
                <w:bCs/>
                <w:lang w:eastAsia="en-US"/>
              </w:rPr>
            </w:pPr>
            <w:r w:rsidRPr="003F71E2">
              <w:rPr>
                <w:rFonts w:eastAsia="Aptos" w:cs="Arial"/>
                <w:b/>
                <w:bCs/>
                <w:lang w:eastAsia="en-US"/>
              </w:rPr>
              <w:t>Cultural adaptation papers</w:t>
            </w:r>
          </w:p>
        </w:tc>
        <w:tc>
          <w:tcPr>
            <w:tcW w:w="7075" w:type="dxa"/>
            <w:tcBorders>
              <w:top w:val="single" w:sz="6" w:space="0" w:color="auto"/>
              <w:left w:val="single" w:sz="6" w:space="0" w:color="auto"/>
              <w:bottom w:val="single" w:sz="6" w:space="0" w:color="auto"/>
              <w:right w:val="single" w:sz="6" w:space="0" w:color="auto"/>
            </w:tcBorders>
          </w:tcPr>
          <w:p w14:paraId="168E8F5A" w14:textId="77777777" w:rsidR="00875FA4" w:rsidRPr="003F71E2" w:rsidRDefault="00875FA4">
            <w:pPr>
              <w:spacing w:after="100" w:line="276" w:lineRule="auto"/>
              <w:ind w:left="57" w:right="57"/>
              <w:rPr>
                <w:rFonts w:eastAsia="Aptos" w:cs="Arial"/>
                <w:color w:val="000000"/>
                <w:lang w:eastAsia="en-US"/>
              </w:rPr>
            </w:pPr>
            <w:r w:rsidRPr="003F71E2">
              <w:rPr>
                <w:rFonts w:eastAsia="Aptos" w:cs="Arial"/>
                <w:color w:val="000000"/>
                <w:lang w:eastAsia="en-US"/>
              </w:rPr>
              <w:t>The PEM-CY has undergone cultural adaptation and psychometric testing for children with and without disabilities in multiple countries, including Brazil (2024), China (2020), Germany/Austria/Switzerland (2020), India (2021), Korea (2017, 2016) and Turkey (2020). These studies have examined various aspects of reliability, validity, and cultural equivalence in the adapted versions, with several demonstrating acceptable internal consistency, test-retest reliability, and construct validity, while others focus on establishing cultural relevance in preparation for further psychometric evaluation.</w:t>
            </w:r>
          </w:p>
        </w:tc>
      </w:tr>
      <w:tr w:rsidR="00875FA4" w:rsidRPr="003F71E2" w14:paraId="222C007A"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010C548F" w14:textId="77777777" w:rsidR="00875FA4" w:rsidRPr="003F71E2" w:rsidRDefault="00875FA4">
            <w:pPr>
              <w:spacing w:after="100" w:line="276" w:lineRule="auto"/>
              <w:ind w:left="57" w:right="57"/>
              <w:rPr>
                <w:rFonts w:eastAsia="Aptos" w:cs="Arial"/>
                <w:b/>
                <w:bCs/>
                <w:lang w:eastAsia="en-US"/>
              </w:rPr>
            </w:pPr>
            <w:r w:rsidRPr="003F71E2">
              <w:rPr>
                <w:rFonts w:eastAsia="Aptos" w:cs="Arial"/>
                <w:b/>
                <w:bCs/>
                <w:lang w:eastAsia="en-US"/>
              </w:rPr>
              <w:t>Outcome studies in the ECI practice setting</w:t>
            </w:r>
          </w:p>
        </w:tc>
        <w:tc>
          <w:tcPr>
            <w:tcW w:w="7075" w:type="dxa"/>
            <w:tcBorders>
              <w:top w:val="single" w:sz="6" w:space="0" w:color="auto"/>
              <w:left w:val="single" w:sz="6" w:space="0" w:color="auto"/>
              <w:bottom w:val="single" w:sz="6" w:space="0" w:color="auto"/>
              <w:right w:val="single" w:sz="6" w:space="0" w:color="auto"/>
            </w:tcBorders>
          </w:tcPr>
          <w:p w14:paraId="5114B336" w14:textId="77777777" w:rsidR="00875FA4" w:rsidRPr="003F71E2" w:rsidRDefault="00875FA4">
            <w:pPr>
              <w:spacing w:after="100" w:line="276" w:lineRule="auto"/>
              <w:ind w:left="57" w:right="57"/>
              <w:rPr>
                <w:rFonts w:eastAsia="Aptos" w:cs="Arial"/>
                <w:i/>
                <w:iCs/>
                <w:color w:val="000000"/>
                <w:lang w:eastAsia="en-US"/>
              </w:rPr>
            </w:pPr>
            <w:r w:rsidRPr="003F71E2">
              <w:rPr>
                <w:rFonts w:eastAsia="Aptos" w:cs="Arial"/>
                <w:i/>
                <w:iCs/>
                <w:color w:val="000000"/>
                <w:lang w:eastAsia="en-US"/>
              </w:rPr>
              <w:t>No references identified</w:t>
            </w:r>
          </w:p>
        </w:tc>
      </w:tr>
    </w:tbl>
    <w:p w14:paraId="11A18CEE" w14:textId="1756E0BA" w:rsidR="00384FAB" w:rsidRDefault="00536C9F">
      <w:pPr>
        <w:rPr>
          <w:rFonts w:eastAsia="Yu Gothic Light" w:cs="Arial"/>
          <w:b/>
          <w:bCs/>
          <w:color w:val="3F779D"/>
          <w:sz w:val="32"/>
          <w:szCs w:val="32"/>
          <w:lang w:eastAsia="en-US"/>
        </w:rPr>
      </w:pPr>
      <w:r w:rsidRPr="00C01EBC">
        <w:t xml:space="preserve">This Evidence Summary was developed with rapid synthesis methods, combining a comprehensive PubMed search, augmented literature identification, and dual reviewer screening. It represents a living resource that maps key evidence on </w:t>
      </w:r>
      <w:r w:rsidRPr="00C01EBC">
        <w:lastRenderedPageBreak/>
        <w:t xml:space="preserve">measurement properties, cultural adaptations, and relevant applications in the ECI practice setting for each outcome measure. For complete methodology, see our </w:t>
      </w:r>
      <w:hyperlink w:history="1">
        <w:r w:rsidRPr="00C01EBC">
          <w:t>Methods Explainer</w:t>
        </w:r>
      </w:hyperlink>
      <w:r w:rsidRPr="0083134E">
        <w:rPr>
          <w:rFonts w:cs="Arial"/>
          <w:sz w:val="22"/>
          <w:szCs w:val="22"/>
        </w:rPr>
        <w:t>.</w:t>
      </w:r>
      <w:bookmarkStart w:id="57" w:name="_PEM-CY_Reference_List"/>
      <w:bookmarkEnd w:id="57"/>
      <w:r w:rsidR="00384FAB">
        <w:rPr>
          <w:rFonts w:eastAsia="Yu Gothic Light"/>
          <w:lang w:eastAsia="en-US"/>
        </w:rPr>
        <w:br w:type="page"/>
      </w:r>
    </w:p>
    <w:p w14:paraId="36272CB9" w14:textId="1C8E13FD" w:rsidR="00875FA4" w:rsidRPr="003F71E2" w:rsidRDefault="00875FA4" w:rsidP="003C0562">
      <w:pPr>
        <w:pStyle w:val="Heading1"/>
        <w:rPr>
          <w:lang w:eastAsia="en-US"/>
        </w:rPr>
      </w:pPr>
      <w:bookmarkStart w:id="58" w:name="_PEM-CY_Reference_List_1"/>
      <w:bookmarkEnd w:id="58"/>
      <w:r w:rsidRPr="003F71E2">
        <w:rPr>
          <w:lang w:eastAsia="en-US"/>
        </w:rPr>
        <w:lastRenderedPageBreak/>
        <w:t>PEM-CY Reference List</w:t>
      </w:r>
    </w:p>
    <w:p w14:paraId="17EB93C5" w14:textId="678FF5A1" w:rsidR="00875FA4" w:rsidRPr="00023499" w:rsidRDefault="00023499">
      <w:pPr>
        <w:rPr>
          <w:rStyle w:val="Hyperlink"/>
          <w:rFonts w:eastAsia="Aptos" w:cs="Arial"/>
          <w:i/>
          <w:iCs/>
          <w:lang w:eastAsia="en-US"/>
        </w:rPr>
      </w:pPr>
      <w:r>
        <w:rPr>
          <w:rFonts w:eastAsia="Aptos" w:cs="Arial"/>
          <w:i/>
          <w:iCs/>
          <w:color w:val="467886"/>
          <w:u w:val="single"/>
          <w:lang w:eastAsia="en-US"/>
        </w:rPr>
        <w:fldChar w:fldCharType="begin"/>
      </w:r>
      <w:r>
        <w:rPr>
          <w:rFonts w:eastAsia="Aptos" w:cs="Arial"/>
          <w:i/>
          <w:iCs/>
          <w:color w:val="467886"/>
          <w:u w:val="single"/>
          <w:lang w:eastAsia="en-US"/>
        </w:rPr>
        <w:instrText>HYPERLINK  \l "_PEM-CY_Evidence_Summary_1"</w:instrText>
      </w:r>
      <w:r>
        <w:rPr>
          <w:rFonts w:eastAsia="Aptos" w:cs="Arial"/>
          <w:i/>
          <w:iCs/>
          <w:color w:val="467886"/>
          <w:u w:val="single"/>
          <w:lang w:eastAsia="en-US"/>
        </w:rPr>
      </w:r>
      <w:r>
        <w:rPr>
          <w:rFonts w:eastAsia="Aptos" w:cs="Arial"/>
          <w:i/>
          <w:iCs/>
          <w:color w:val="467886"/>
          <w:u w:val="single"/>
          <w:lang w:eastAsia="en-US"/>
        </w:rPr>
        <w:fldChar w:fldCharType="separate"/>
      </w:r>
      <w:r w:rsidR="00875FA4" w:rsidRPr="00023499">
        <w:rPr>
          <w:rStyle w:val="Hyperlink"/>
          <w:rFonts w:eastAsia="Aptos" w:cs="Arial"/>
          <w:i/>
          <w:iCs/>
          <w:lang w:eastAsia="en-US"/>
        </w:rPr>
        <w:t>Link to PEM-CY Evidence Summary</w:t>
      </w:r>
    </w:p>
    <w:p w14:paraId="4390A8E2" w14:textId="4E742D3C" w:rsidR="00875FA4" w:rsidRPr="003F71E2" w:rsidRDefault="00023499" w:rsidP="003C0562">
      <w:pPr>
        <w:pStyle w:val="Heading2"/>
        <w:rPr>
          <w:lang w:eastAsia="en-US"/>
        </w:rPr>
      </w:pPr>
      <w:r>
        <w:rPr>
          <w:rFonts w:eastAsia="Aptos"/>
          <w:b/>
          <w:i/>
          <w:iCs/>
          <w:color w:val="467886"/>
          <w:u w:val="single"/>
          <w:lang w:eastAsia="en-US"/>
        </w:rPr>
        <w:fldChar w:fldCharType="end"/>
      </w:r>
      <w:r w:rsidR="00875FA4" w:rsidRPr="003F71E2">
        <w:rPr>
          <w:lang w:eastAsia="en-US"/>
        </w:rPr>
        <w:t>Reviews</w:t>
      </w:r>
    </w:p>
    <w:p w14:paraId="1FABC869" w14:textId="77777777"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 xml:space="preserve">Field DA, Miller WC, Ryan SE, Jarus T, Roxborough L. (2016). Exploring suitable participation tools for children who need or use power mobility: A modified Delphi survey. </w:t>
      </w:r>
      <w:r w:rsidRPr="003F71E2">
        <w:rPr>
          <w:rFonts w:eastAsia="Arial" w:cs="Arial"/>
          <w:i/>
          <w:color w:val="000000"/>
          <w:lang w:eastAsia="en-US"/>
        </w:rPr>
        <w:t xml:space="preserve">Dev </w:t>
      </w:r>
      <w:proofErr w:type="spellStart"/>
      <w:r w:rsidRPr="003F71E2">
        <w:rPr>
          <w:rFonts w:eastAsia="Arial" w:cs="Arial"/>
          <w:i/>
          <w:color w:val="000000"/>
          <w:lang w:eastAsia="en-US"/>
        </w:rPr>
        <w:t>Neurorehabil</w:t>
      </w:r>
      <w:proofErr w:type="spellEnd"/>
      <w:r w:rsidRPr="003F71E2">
        <w:rPr>
          <w:rFonts w:eastAsia="Arial" w:cs="Arial"/>
          <w:color w:val="000000"/>
          <w:lang w:eastAsia="en-US"/>
        </w:rPr>
        <w:t>, 19(6):365-379.</w:t>
      </w:r>
      <w:r w:rsidRPr="003F71E2">
        <w:rPr>
          <w:rFonts w:eastAsia="Arial" w:cs="Arial"/>
          <w:color w:val="0000FF"/>
          <w:u w:val="single"/>
          <w:lang w:eastAsia="en-US"/>
        </w:rPr>
        <w:t xml:space="preserve"> https://doi.org/10.3109/17518423.2015.1004763</w:t>
      </w:r>
    </w:p>
    <w:p w14:paraId="1C34239C" w14:textId="77777777"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 xml:space="preserve">Chien CW, Rodger S, Copley J, Skorka K. (2014). Comparative content review of children's participation measures using the International Classification of Functioning, Disability and Health-Children and Youth. </w:t>
      </w:r>
      <w:r w:rsidRPr="003F71E2">
        <w:rPr>
          <w:rFonts w:eastAsia="Arial" w:cs="Arial"/>
          <w:i/>
          <w:color w:val="000000"/>
          <w:lang w:eastAsia="en-US"/>
        </w:rPr>
        <w:t>Arch Phys Med Rehabil</w:t>
      </w:r>
      <w:r w:rsidRPr="003F71E2">
        <w:rPr>
          <w:rFonts w:eastAsia="Arial" w:cs="Arial"/>
          <w:color w:val="000000"/>
          <w:lang w:eastAsia="en-US"/>
        </w:rPr>
        <w:t>, 95(1):141-52.</w:t>
      </w:r>
      <w:r w:rsidRPr="003F71E2">
        <w:rPr>
          <w:rFonts w:eastAsia="Arial" w:cs="Arial"/>
          <w:color w:val="0000FF"/>
          <w:u w:val="single"/>
          <w:lang w:eastAsia="en-US"/>
        </w:rPr>
        <w:t xml:space="preserve"> https://doi.org/10.1016/j.apmr.2013.06.027</w:t>
      </w:r>
    </w:p>
    <w:p w14:paraId="1746EBBF" w14:textId="77777777" w:rsidR="00875FA4" w:rsidRPr="003F71E2" w:rsidRDefault="00875FA4" w:rsidP="003C0562">
      <w:pPr>
        <w:pStyle w:val="Heading2"/>
        <w:rPr>
          <w:lang w:eastAsia="en-US"/>
        </w:rPr>
      </w:pPr>
      <w:r w:rsidRPr="003F71E2">
        <w:rPr>
          <w:lang w:eastAsia="en-US"/>
        </w:rPr>
        <w:t>Measurement Properties</w:t>
      </w:r>
    </w:p>
    <w:p w14:paraId="16CEAA39" w14:textId="77777777"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 xml:space="preserve">Khetani M, Marley J, Baker M, Albrecht E, Bedell G, Coster W, Anaby D, Law M. (2014). Validity of the Participation and Environment Measure for Children and Youth (PEM-CY) for Health Impact Assessment (HIA) in sustainable development projects. </w:t>
      </w:r>
      <w:proofErr w:type="spellStart"/>
      <w:r w:rsidRPr="003F71E2">
        <w:rPr>
          <w:rFonts w:eastAsia="Arial" w:cs="Arial"/>
          <w:i/>
          <w:color w:val="000000"/>
          <w:lang w:eastAsia="en-US"/>
        </w:rPr>
        <w:t>Disabil</w:t>
      </w:r>
      <w:proofErr w:type="spellEnd"/>
      <w:r w:rsidRPr="003F71E2">
        <w:rPr>
          <w:rFonts w:eastAsia="Arial" w:cs="Arial"/>
          <w:i/>
          <w:color w:val="000000"/>
          <w:lang w:eastAsia="en-US"/>
        </w:rPr>
        <w:t xml:space="preserve"> Health J</w:t>
      </w:r>
      <w:r w:rsidRPr="003F71E2">
        <w:rPr>
          <w:rFonts w:eastAsia="Arial" w:cs="Arial"/>
          <w:color w:val="000000"/>
          <w:lang w:eastAsia="en-US"/>
        </w:rPr>
        <w:t>, 7(2):226-35.</w:t>
      </w:r>
      <w:r w:rsidRPr="003F71E2">
        <w:rPr>
          <w:rFonts w:eastAsia="Arial" w:cs="Arial"/>
          <w:color w:val="0000FF"/>
          <w:u w:val="single"/>
          <w:lang w:eastAsia="en-US"/>
        </w:rPr>
        <w:t xml:space="preserve"> https://doi.org/10.1016/j.dhjo.2013.11.003</w:t>
      </w:r>
    </w:p>
    <w:p w14:paraId="11650A27" w14:textId="612606D6"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 xml:space="preserve">Khetani MA, Cliff AB, Schelly C, Daunhauer L, Anaby D. (2014). Decisional </w:t>
      </w:r>
      <w:r w:rsidR="001F2506">
        <w:rPr>
          <w:rFonts w:eastAsia="Arial" w:cs="Arial"/>
          <w:color w:val="000000"/>
          <w:lang w:eastAsia="en-US"/>
        </w:rPr>
        <w:t>s</w:t>
      </w:r>
      <w:r w:rsidRPr="003F71E2">
        <w:rPr>
          <w:rFonts w:eastAsia="Arial" w:cs="Arial"/>
          <w:color w:val="000000"/>
          <w:lang w:eastAsia="en-US"/>
        </w:rPr>
        <w:t xml:space="preserve">upport </w:t>
      </w:r>
      <w:r w:rsidR="001F2506">
        <w:rPr>
          <w:rFonts w:eastAsia="Arial" w:cs="Arial"/>
          <w:color w:val="000000"/>
          <w:lang w:eastAsia="en-US"/>
        </w:rPr>
        <w:t>a</w:t>
      </w:r>
      <w:r w:rsidRPr="003F71E2">
        <w:rPr>
          <w:rFonts w:eastAsia="Arial" w:cs="Arial"/>
          <w:color w:val="000000"/>
          <w:lang w:eastAsia="en-US"/>
        </w:rPr>
        <w:t xml:space="preserve">lgorithm for </w:t>
      </w:r>
      <w:r w:rsidR="001F2506">
        <w:rPr>
          <w:rFonts w:eastAsia="Arial" w:cs="Arial"/>
          <w:color w:val="000000"/>
          <w:lang w:eastAsia="en-US"/>
        </w:rPr>
        <w:t>c</w:t>
      </w:r>
      <w:r w:rsidRPr="003F71E2">
        <w:rPr>
          <w:rFonts w:eastAsia="Arial" w:cs="Arial"/>
          <w:color w:val="000000"/>
          <w:lang w:eastAsia="en-US"/>
        </w:rPr>
        <w:t xml:space="preserve">ollaborative </w:t>
      </w:r>
      <w:r w:rsidR="001F2506">
        <w:rPr>
          <w:rFonts w:eastAsia="Arial" w:cs="Arial"/>
          <w:color w:val="000000"/>
          <w:lang w:eastAsia="en-US"/>
        </w:rPr>
        <w:t>c</w:t>
      </w:r>
      <w:r w:rsidRPr="003F71E2">
        <w:rPr>
          <w:rFonts w:eastAsia="Arial" w:cs="Arial"/>
          <w:color w:val="000000"/>
          <w:lang w:eastAsia="en-US"/>
        </w:rPr>
        <w:t xml:space="preserve">are </w:t>
      </w:r>
      <w:r w:rsidR="001F2506">
        <w:rPr>
          <w:rFonts w:eastAsia="Arial" w:cs="Arial"/>
          <w:color w:val="000000"/>
          <w:lang w:eastAsia="en-US"/>
        </w:rPr>
        <w:t>p</w:t>
      </w:r>
      <w:r w:rsidRPr="003F71E2">
        <w:rPr>
          <w:rFonts w:eastAsia="Arial" w:cs="Arial"/>
          <w:color w:val="000000"/>
          <w:lang w:eastAsia="en-US"/>
        </w:rPr>
        <w:t xml:space="preserve">lanning using the Participation and Environment Measure for Children and Youth (PEM-CY): A Mixed Methods Study. </w:t>
      </w:r>
      <w:r w:rsidRPr="003F71E2">
        <w:rPr>
          <w:rFonts w:eastAsia="Arial" w:cs="Arial"/>
          <w:i/>
          <w:color w:val="000000"/>
          <w:lang w:eastAsia="en-US"/>
        </w:rPr>
        <w:t xml:space="preserve">Phys </w:t>
      </w:r>
      <w:proofErr w:type="spellStart"/>
      <w:r w:rsidRPr="003F71E2">
        <w:rPr>
          <w:rFonts w:eastAsia="Arial" w:cs="Arial"/>
          <w:i/>
          <w:color w:val="000000"/>
          <w:lang w:eastAsia="en-US"/>
        </w:rPr>
        <w:t>Occup</w:t>
      </w:r>
      <w:proofErr w:type="spellEnd"/>
      <w:r w:rsidRPr="003F71E2">
        <w:rPr>
          <w:rFonts w:eastAsia="Arial" w:cs="Arial"/>
          <w:i/>
          <w:color w:val="000000"/>
          <w:lang w:eastAsia="en-US"/>
        </w:rPr>
        <w:t xml:space="preserve"> Ther </w:t>
      </w:r>
      <w:proofErr w:type="spellStart"/>
      <w:r w:rsidRPr="003F71E2">
        <w:rPr>
          <w:rFonts w:eastAsia="Arial" w:cs="Arial"/>
          <w:i/>
          <w:color w:val="000000"/>
          <w:lang w:eastAsia="en-US"/>
        </w:rPr>
        <w:t>Pediatr</w:t>
      </w:r>
      <w:proofErr w:type="spellEnd"/>
      <w:r w:rsidRPr="003F71E2">
        <w:rPr>
          <w:rFonts w:eastAsia="Arial" w:cs="Arial"/>
          <w:color w:val="000000"/>
          <w:lang w:eastAsia="en-US"/>
        </w:rPr>
        <w:t xml:space="preserve">, </w:t>
      </w:r>
      <w:r w:rsidR="006D61E1">
        <w:rPr>
          <w:rFonts w:eastAsia="Arial" w:cs="Arial"/>
          <w:color w:val="000000"/>
          <w:lang w:eastAsia="en-US"/>
        </w:rPr>
        <w:t>35(3)</w:t>
      </w:r>
      <w:r w:rsidR="00845D0F">
        <w:rPr>
          <w:rFonts w:eastAsia="Arial" w:cs="Arial"/>
          <w:color w:val="000000"/>
          <w:lang w:eastAsia="en-US"/>
        </w:rPr>
        <w:t>:231-252</w:t>
      </w:r>
      <w:r w:rsidRPr="003F71E2">
        <w:rPr>
          <w:rFonts w:eastAsia="Arial" w:cs="Arial"/>
          <w:color w:val="000000"/>
          <w:lang w:eastAsia="en-US"/>
        </w:rPr>
        <w:t>.</w:t>
      </w:r>
      <w:r w:rsidRPr="003F71E2">
        <w:rPr>
          <w:rFonts w:eastAsia="Arial" w:cs="Arial"/>
          <w:color w:val="0000FF"/>
          <w:u w:val="single"/>
          <w:lang w:eastAsia="en-US"/>
        </w:rPr>
        <w:t xml:space="preserve"> https://doi.org/10.3109/01942638.2014.899288</w:t>
      </w:r>
    </w:p>
    <w:p w14:paraId="6C432B8B" w14:textId="66451832"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 xml:space="preserve">Coster W, Law M, Bedell G, Khetani M, Cousins M, </w:t>
      </w:r>
      <w:proofErr w:type="spellStart"/>
      <w:r w:rsidRPr="003F71E2">
        <w:rPr>
          <w:rFonts w:eastAsia="Arial" w:cs="Arial"/>
          <w:color w:val="000000"/>
          <w:lang w:eastAsia="en-US"/>
        </w:rPr>
        <w:t>Teplicky</w:t>
      </w:r>
      <w:proofErr w:type="spellEnd"/>
      <w:r w:rsidRPr="003F71E2">
        <w:rPr>
          <w:rFonts w:eastAsia="Arial" w:cs="Arial"/>
          <w:color w:val="000000"/>
          <w:lang w:eastAsia="en-US"/>
        </w:rPr>
        <w:t xml:space="preserve"> R. (2012). Development of the participation and environment measure for children and youth: </w:t>
      </w:r>
      <w:r w:rsidR="00EF7AB9">
        <w:rPr>
          <w:rFonts w:eastAsia="Arial" w:cs="Arial"/>
          <w:color w:val="000000"/>
          <w:lang w:eastAsia="en-US"/>
        </w:rPr>
        <w:t>C</w:t>
      </w:r>
      <w:r w:rsidRPr="003F71E2">
        <w:rPr>
          <w:rFonts w:eastAsia="Arial" w:cs="Arial"/>
          <w:color w:val="000000"/>
          <w:lang w:eastAsia="en-US"/>
        </w:rPr>
        <w:t xml:space="preserve">onceptual basis. </w:t>
      </w:r>
      <w:proofErr w:type="spellStart"/>
      <w:r w:rsidRPr="003F71E2">
        <w:rPr>
          <w:rFonts w:eastAsia="Arial" w:cs="Arial"/>
          <w:i/>
          <w:color w:val="000000"/>
          <w:lang w:eastAsia="en-US"/>
        </w:rPr>
        <w:t>Disabil</w:t>
      </w:r>
      <w:proofErr w:type="spellEnd"/>
      <w:r w:rsidRPr="003F71E2">
        <w:rPr>
          <w:rFonts w:eastAsia="Arial" w:cs="Arial"/>
          <w:i/>
          <w:color w:val="000000"/>
          <w:lang w:eastAsia="en-US"/>
        </w:rPr>
        <w:t xml:space="preserve"> </w:t>
      </w:r>
      <w:proofErr w:type="spellStart"/>
      <w:r w:rsidRPr="003F71E2">
        <w:rPr>
          <w:rFonts w:eastAsia="Arial" w:cs="Arial"/>
          <w:i/>
          <w:color w:val="000000"/>
          <w:lang w:eastAsia="en-US"/>
        </w:rPr>
        <w:t>Rehabil</w:t>
      </w:r>
      <w:proofErr w:type="spellEnd"/>
      <w:r w:rsidRPr="003F71E2">
        <w:rPr>
          <w:rFonts w:eastAsia="Arial" w:cs="Arial"/>
          <w:color w:val="000000"/>
          <w:lang w:eastAsia="en-US"/>
        </w:rPr>
        <w:t>, 34(3):238-46.</w:t>
      </w:r>
      <w:r w:rsidRPr="003F71E2">
        <w:rPr>
          <w:rFonts w:eastAsia="Arial" w:cs="Arial"/>
          <w:color w:val="0000FF"/>
          <w:u w:val="single"/>
          <w:lang w:eastAsia="en-US"/>
        </w:rPr>
        <w:t xml:space="preserve"> https://doi.org/10.3109/09638288.2011.603017</w:t>
      </w:r>
    </w:p>
    <w:p w14:paraId="67EA683B" w14:textId="77777777"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 xml:space="preserve">Coster W, Bedell G, Law M, Khetani MA, </w:t>
      </w:r>
      <w:proofErr w:type="spellStart"/>
      <w:r w:rsidRPr="003F71E2">
        <w:rPr>
          <w:rFonts w:eastAsia="Arial" w:cs="Arial"/>
          <w:color w:val="000000"/>
          <w:lang w:eastAsia="en-US"/>
        </w:rPr>
        <w:t>Teplicky</w:t>
      </w:r>
      <w:proofErr w:type="spellEnd"/>
      <w:r w:rsidRPr="003F71E2">
        <w:rPr>
          <w:rFonts w:eastAsia="Arial" w:cs="Arial"/>
          <w:color w:val="000000"/>
          <w:lang w:eastAsia="en-US"/>
        </w:rPr>
        <w:t xml:space="preserve"> R, Liljenquist K, Gleason K, Kao YC. (2011). Psychometric evaluation of the Participation and Environment Measure for Children and Youth. </w:t>
      </w:r>
      <w:r w:rsidRPr="003F71E2">
        <w:rPr>
          <w:rFonts w:eastAsia="Arial" w:cs="Arial"/>
          <w:i/>
          <w:color w:val="000000"/>
          <w:lang w:eastAsia="en-US"/>
        </w:rPr>
        <w:t>Dev Med Child Neurol</w:t>
      </w:r>
      <w:r w:rsidRPr="003F71E2">
        <w:rPr>
          <w:rFonts w:eastAsia="Arial" w:cs="Arial"/>
          <w:color w:val="000000"/>
          <w:lang w:eastAsia="en-US"/>
        </w:rPr>
        <w:t>, 53(11):1030-7.</w:t>
      </w:r>
      <w:r w:rsidRPr="003F71E2">
        <w:rPr>
          <w:rFonts w:eastAsia="Arial" w:cs="Arial"/>
          <w:color w:val="0000FF"/>
          <w:u w:val="single"/>
          <w:lang w:eastAsia="en-US"/>
        </w:rPr>
        <w:t xml:space="preserve"> https://doi.org/10.1111/j.1469-8749.2011.04094.x</w:t>
      </w:r>
    </w:p>
    <w:p w14:paraId="26AD9FA3" w14:textId="77777777" w:rsidR="00875FA4" w:rsidRPr="003F71E2" w:rsidRDefault="00875FA4" w:rsidP="003C0562">
      <w:pPr>
        <w:pStyle w:val="Heading2"/>
        <w:rPr>
          <w:lang w:eastAsia="en-US"/>
        </w:rPr>
      </w:pPr>
      <w:r w:rsidRPr="003F71E2">
        <w:rPr>
          <w:lang w:eastAsia="en-US"/>
        </w:rPr>
        <w:t>Cultural Adaptations</w:t>
      </w:r>
    </w:p>
    <w:p w14:paraId="6DD201E2" w14:textId="77777777"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proofErr w:type="spellStart"/>
      <w:r w:rsidRPr="003F71E2">
        <w:rPr>
          <w:rFonts w:eastAsia="Arial" w:cs="Arial"/>
          <w:color w:val="000000"/>
          <w:lang w:eastAsia="en-US"/>
        </w:rPr>
        <w:t>Ayupe</w:t>
      </w:r>
      <w:proofErr w:type="spellEnd"/>
      <w:r w:rsidRPr="003F71E2">
        <w:rPr>
          <w:rFonts w:eastAsia="Arial" w:cs="Arial"/>
          <w:color w:val="000000"/>
          <w:lang w:eastAsia="en-US"/>
        </w:rPr>
        <w:t xml:space="preserve"> KMA, Galvão ÉRVP, </w:t>
      </w:r>
      <w:proofErr w:type="spellStart"/>
      <w:r w:rsidRPr="003F71E2">
        <w:rPr>
          <w:rFonts w:eastAsia="Arial" w:cs="Arial"/>
          <w:color w:val="000000"/>
          <w:lang w:eastAsia="en-US"/>
        </w:rPr>
        <w:t>Cazeiro</w:t>
      </w:r>
      <w:proofErr w:type="spellEnd"/>
      <w:r w:rsidRPr="003F71E2">
        <w:rPr>
          <w:rFonts w:eastAsia="Arial" w:cs="Arial"/>
          <w:color w:val="000000"/>
          <w:lang w:eastAsia="en-US"/>
        </w:rPr>
        <w:t xml:space="preserve"> APM, Anaby D, </w:t>
      </w:r>
      <w:proofErr w:type="spellStart"/>
      <w:r w:rsidRPr="003F71E2">
        <w:rPr>
          <w:rFonts w:eastAsia="Arial" w:cs="Arial"/>
          <w:color w:val="000000"/>
          <w:lang w:eastAsia="en-US"/>
        </w:rPr>
        <w:t>Teplicky</w:t>
      </w:r>
      <w:proofErr w:type="spellEnd"/>
      <w:r w:rsidRPr="003F71E2">
        <w:rPr>
          <w:rFonts w:eastAsia="Arial" w:cs="Arial"/>
          <w:color w:val="000000"/>
          <w:lang w:eastAsia="en-US"/>
        </w:rPr>
        <w:t xml:space="preserve"> R, Lopes PB, Massetti T, de Oliveira AKC, de Campos AC, Longo E. (2024). Participation and environment measure - children and youth: PEM-CY Brazil measurements properties. </w:t>
      </w:r>
      <w:r w:rsidRPr="003F71E2">
        <w:rPr>
          <w:rFonts w:eastAsia="Arial" w:cs="Arial"/>
          <w:i/>
          <w:color w:val="000000"/>
          <w:lang w:eastAsia="en-US"/>
        </w:rPr>
        <w:t>Braz J Phys Ther</w:t>
      </w:r>
      <w:r w:rsidRPr="003F71E2">
        <w:rPr>
          <w:rFonts w:eastAsia="Arial" w:cs="Arial"/>
          <w:color w:val="000000"/>
          <w:lang w:eastAsia="en-US"/>
        </w:rPr>
        <w:t>, 28(4):101103.</w:t>
      </w:r>
      <w:r w:rsidRPr="003F71E2">
        <w:rPr>
          <w:rFonts w:eastAsia="Arial" w:cs="Arial"/>
          <w:color w:val="0000FF"/>
          <w:u w:val="single"/>
          <w:lang w:eastAsia="en-US"/>
        </w:rPr>
        <w:t xml:space="preserve"> https://doi.org/10.1016/j.bjpt.2024.101103</w:t>
      </w:r>
    </w:p>
    <w:p w14:paraId="2C9F3ADB" w14:textId="72AF95BD"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 xml:space="preserve">Srinivasan R, Kulkarni V, Smriti S, </w:t>
      </w:r>
      <w:proofErr w:type="spellStart"/>
      <w:r w:rsidRPr="003F71E2">
        <w:rPr>
          <w:rFonts w:eastAsia="Arial" w:cs="Arial"/>
          <w:color w:val="000000"/>
          <w:lang w:eastAsia="en-US"/>
        </w:rPr>
        <w:t>Teplicky</w:t>
      </w:r>
      <w:proofErr w:type="spellEnd"/>
      <w:r w:rsidRPr="003F71E2">
        <w:rPr>
          <w:rFonts w:eastAsia="Arial" w:cs="Arial"/>
          <w:color w:val="000000"/>
          <w:lang w:eastAsia="en-US"/>
        </w:rPr>
        <w:t xml:space="preserve"> R, Anaby D. (2021). Cross-</w:t>
      </w:r>
      <w:r w:rsidR="00E525CA">
        <w:rPr>
          <w:rFonts w:eastAsia="Arial" w:cs="Arial"/>
          <w:color w:val="000000"/>
          <w:lang w:eastAsia="en-US"/>
        </w:rPr>
        <w:t>c</w:t>
      </w:r>
      <w:r w:rsidRPr="003F71E2">
        <w:rPr>
          <w:rFonts w:eastAsia="Arial" w:cs="Arial"/>
          <w:color w:val="000000"/>
          <w:lang w:eastAsia="en-US"/>
        </w:rPr>
        <w:t xml:space="preserve">ultural </w:t>
      </w:r>
      <w:r w:rsidR="00E525CA">
        <w:rPr>
          <w:rFonts w:eastAsia="Arial" w:cs="Arial"/>
          <w:color w:val="000000"/>
          <w:lang w:eastAsia="en-US"/>
        </w:rPr>
        <w:t>a</w:t>
      </w:r>
      <w:r w:rsidRPr="003F71E2">
        <w:rPr>
          <w:rFonts w:eastAsia="Arial" w:cs="Arial"/>
          <w:color w:val="000000"/>
          <w:lang w:eastAsia="en-US"/>
        </w:rPr>
        <w:t xml:space="preserve">daptation and </w:t>
      </w:r>
      <w:r w:rsidR="00E525CA">
        <w:rPr>
          <w:rFonts w:eastAsia="Arial" w:cs="Arial"/>
          <w:color w:val="000000"/>
          <w:lang w:eastAsia="en-US"/>
        </w:rPr>
        <w:t>e</w:t>
      </w:r>
      <w:r w:rsidRPr="003F71E2">
        <w:rPr>
          <w:rFonts w:eastAsia="Arial" w:cs="Arial"/>
          <w:color w:val="000000"/>
          <w:lang w:eastAsia="en-US"/>
        </w:rPr>
        <w:t xml:space="preserve">valuation of the Participation and Environment Measure for Children </w:t>
      </w:r>
      <w:r w:rsidRPr="003F71E2">
        <w:rPr>
          <w:rFonts w:eastAsia="Arial" w:cs="Arial"/>
          <w:color w:val="000000"/>
          <w:lang w:eastAsia="en-US"/>
        </w:rPr>
        <w:lastRenderedPageBreak/>
        <w:t xml:space="preserve">and Youth to the Indian </w:t>
      </w:r>
      <w:r w:rsidR="00E525CA">
        <w:rPr>
          <w:rFonts w:eastAsia="Arial" w:cs="Arial"/>
          <w:color w:val="000000"/>
          <w:lang w:eastAsia="en-US"/>
        </w:rPr>
        <w:t>c</w:t>
      </w:r>
      <w:r w:rsidRPr="003F71E2">
        <w:rPr>
          <w:rFonts w:eastAsia="Arial" w:cs="Arial"/>
          <w:color w:val="000000"/>
          <w:lang w:eastAsia="en-US"/>
        </w:rPr>
        <w:t>ontext</w:t>
      </w:r>
      <w:r w:rsidR="00E525CA">
        <w:rPr>
          <w:rFonts w:eastAsia="Arial" w:cs="Arial"/>
          <w:color w:val="000000"/>
          <w:lang w:eastAsia="en-US"/>
        </w:rPr>
        <w:t xml:space="preserve"> </w:t>
      </w:r>
      <w:r w:rsidRPr="003F71E2">
        <w:rPr>
          <w:rFonts w:eastAsia="Arial" w:cs="Arial"/>
          <w:color w:val="000000"/>
          <w:lang w:eastAsia="en-US"/>
        </w:rPr>
        <w:t>-</w:t>
      </w:r>
      <w:r w:rsidR="00E525CA">
        <w:rPr>
          <w:rFonts w:eastAsia="Arial" w:cs="Arial"/>
          <w:color w:val="000000"/>
          <w:lang w:eastAsia="en-US"/>
        </w:rPr>
        <w:t xml:space="preserve"> </w:t>
      </w:r>
      <w:r w:rsidRPr="003F71E2">
        <w:rPr>
          <w:rFonts w:eastAsia="Arial" w:cs="Arial"/>
          <w:color w:val="000000"/>
          <w:lang w:eastAsia="en-US"/>
        </w:rPr>
        <w:t xml:space="preserve">A </w:t>
      </w:r>
      <w:r w:rsidR="00E525CA">
        <w:rPr>
          <w:rFonts w:eastAsia="Arial" w:cs="Arial"/>
          <w:color w:val="000000"/>
          <w:lang w:eastAsia="en-US"/>
        </w:rPr>
        <w:t>m</w:t>
      </w:r>
      <w:r w:rsidRPr="003F71E2">
        <w:rPr>
          <w:rFonts w:eastAsia="Arial" w:cs="Arial"/>
          <w:color w:val="000000"/>
          <w:lang w:eastAsia="en-US"/>
        </w:rPr>
        <w:t>ixed-</w:t>
      </w:r>
      <w:r w:rsidR="00E525CA">
        <w:rPr>
          <w:rFonts w:eastAsia="Arial" w:cs="Arial"/>
          <w:color w:val="000000"/>
          <w:lang w:eastAsia="en-US"/>
        </w:rPr>
        <w:t>m</w:t>
      </w:r>
      <w:r w:rsidRPr="003F71E2">
        <w:rPr>
          <w:rFonts w:eastAsia="Arial" w:cs="Arial"/>
          <w:color w:val="000000"/>
          <w:lang w:eastAsia="en-US"/>
        </w:rPr>
        <w:t xml:space="preserve">ethods </w:t>
      </w:r>
      <w:r w:rsidR="00E525CA">
        <w:rPr>
          <w:rFonts w:eastAsia="Arial" w:cs="Arial"/>
          <w:color w:val="000000"/>
          <w:lang w:eastAsia="en-US"/>
        </w:rPr>
        <w:t>s</w:t>
      </w:r>
      <w:r w:rsidRPr="003F71E2">
        <w:rPr>
          <w:rFonts w:eastAsia="Arial" w:cs="Arial"/>
          <w:color w:val="000000"/>
          <w:lang w:eastAsia="en-US"/>
        </w:rPr>
        <w:t xml:space="preserve">tudy. </w:t>
      </w:r>
      <w:r w:rsidRPr="003F71E2">
        <w:rPr>
          <w:rFonts w:eastAsia="Arial" w:cs="Arial"/>
          <w:i/>
          <w:color w:val="000000"/>
          <w:lang w:eastAsia="en-US"/>
        </w:rPr>
        <w:t>Int J Environ Res Public Health</w:t>
      </w:r>
      <w:r w:rsidRPr="003F71E2">
        <w:rPr>
          <w:rFonts w:eastAsia="Arial" w:cs="Arial"/>
          <w:color w:val="000000"/>
          <w:lang w:eastAsia="en-US"/>
        </w:rPr>
        <w:t>, 18(4):1514.</w:t>
      </w:r>
      <w:r w:rsidRPr="003F71E2">
        <w:rPr>
          <w:rFonts w:eastAsia="Arial" w:cs="Arial"/>
          <w:color w:val="0000FF"/>
          <w:u w:val="single"/>
          <w:lang w:eastAsia="en-US"/>
        </w:rPr>
        <w:t xml:space="preserve"> https://doi.org/10.3390/ijerph18041514</w:t>
      </w:r>
    </w:p>
    <w:p w14:paraId="73A1B1DB" w14:textId="77777777"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 xml:space="preserve">Chien CW, Li-Tsang CWP, Cheung PPP, Leung KY, Lin CY. (2020). Development and psychometric evaluation of the Chinese version of the Participation and Environment Measure for Children and Youth. </w:t>
      </w:r>
      <w:proofErr w:type="spellStart"/>
      <w:r w:rsidRPr="003F71E2">
        <w:rPr>
          <w:rFonts w:eastAsia="Arial" w:cs="Arial"/>
          <w:i/>
          <w:color w:val="000000"/>
          <w:lang w:eastAsia="en-US"/>
        </w:rPr>
        <w:t>Disabil</w:t>
      </w:r>
      <w:proofErr w:type="spellEnd"/>
      <w:r w:rsidRPr="003F71E2">
        <w:rPr>
          <w:rFonts w:eastAsia="Arial" w:cs="Arial"/>
          <w:i/>
          <w:color w:val="000000"/>
          <w:lang w:eastAsia="en-US"/>
        </w:rPr>
        <w:t xml:space="preserve"> </w:t>
      </w:r>
      <w:proofErr w:type="spellStart"/>
      <w:r w:rsidRPr="003F71E2">
        <w:rPr>
          <w:rFonts w:eastAsia="Arial" w:cs="Arial"/>
          <w:i/>
          <w:color w:val="000000"/>
          <w:lang w:eastAsia="en-US"/>
        </w:rPr>
        <w:t>Rehabil</w:t>
      </w:r>
      <w:proofErr w:type="spellEnd"/>
      <w:r w:rsidRPr="003F71E2">
        <w:rPr>
          <w:rFonts w:eastAsia="Arial" w:cs="Arial"/>
          <w:color w:val="000000"/>
          <w:lang w:eastAsia="en-US"/>
        </w:rPr>
        <w:t>, 42(15):2204-2214.</w:t>
      </w:r>
      <w:r w:rsidRPr="003F71E2">
        <w:rPr>
          <w:rFonts w:eastAsia="Arial" w:cs="Arial"/>
          <w:color w:val="0000FF"/>
          <w:u w:val="single"/>
          <w:lang w:eastAsia="en-US"/>
        </w:rPr>
        <w:t xml:space="preserve"> https://doi.org/10.1080/09638288.2018.1553210</w:t>
      </w:r>
    </w:p>
    <w:p w14:paraId="1D3117A5" w14:textId="77777777"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Kaya Kara O, Turker D, Kara K, Yardimci-</w:t>
      </w:r>
      <w:proofErr w:type="spellStart"/>
      <w:r w:rsidRPr="003F71E2">
        <w:rPr>
          <w:rFonts w:eastAsia="Arial" w:cs="Arial"/>
          <w:color w:val="000000"/>
          <w:lang w:eastAsia="en-US"/>
        </w:rPr>
        <w:t>Lokmanoglu</w:t>
      </w:r>
      <w:proofErr w:type="spellEnd"/>
      <w:r w:rsidRPr="003F71E2">
        <w:rPr>
          <w:rFonts w:eastAsia="Arial" w:cs="Arial"/>
          <w:color w:val="000000"/>
          <w:lang w:eastAsia="en-US"/>
        </w:rPr>
        <w:t xml:space="preserve"> BN. (2020). Psychometric properties of the Turkish version of Participation and Environment Measure for Children and Youth. </w:t>
      </w:r>
      <w:r w:rsidRPr="003F71E2">
        <w:rPr>
          <w:rFonts w:eastAsia="Arial" w:cs="Arial"/>
          <w:i/>
          <w:color w:val="000000"/>
          <w:lang w:eastAsia="en-US"/>
        </w:rPr>
        <w:t>Child Care Health Dev</w:t>
      </w:r>
      <w:r w:rsidRPr="003F71E2">
        <w:rPr>
          <w:rFonts w:eastAsia="Arial" w:cs="Arial"/>
          <w:color w:val="000000"/>
          <w:lang w:eastAsia="en-US"/>
        </w:rPr>
        <w:t>, 46(6):711-722.</w:t>
      </w:r>
      <w:r w:rsidRPr="003F71E2">
        <w:rPr>
          <w:rFonts w:eastAsia="Arial" w:cs="Arial"/>
          <w:color w:val="0000FF"/>
          <w:u w:val="single"/>
          <w:lang w:eastAsia="en-US"/>
        </w:rPr>
        <w:t xml:space="preserve"> https://doi.org/10.1111/cch.12801</w:t>
      </w:r>
    </w:p>
    <w:p w14:paraId="7F64DCCB" w14:textId="70CCD2F7"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 xml:space="preserve">Krieger B, Schulze C, Boyd J, Amann R, </w:t>
      </w:r>
      <w:proofErr w:type="spellStart"/>
      <w:r w:rsidRPr="003F71E2">
        <w:rPr>
          <w:rFonts w:eastAsia="Arial" w:cs="Arial"/>
          <w:color w:val="000000"/>
          <w:lang w:eastAsia="en-US"/>
        </w:rPr>
        <w:t>Piškur</w:t>
      </w:r>
      <w:proofErr w:type="spellEnd"/>
      <w:r w:rsidRPr="003F71E2">
        <w:rPr>
          <w:rFonts w:eastAsia="Arial" w:cs="Arial"/>
          <w:color w:val="000000"/>
          <w:lang w:eastAsia="en-US"/>
        </w:rPr>
        <w:t xml:space="preserve"> B, Beurskens A, </w:t>
      </w:r>
      <w:proofErr w:type="spellStart"/>
      <w:r w:rsidRPr="003F71E2">
        <w:rPr>
          <w:rFonts w:eastAsia="Arial" w:cs="Arial"/>
          <w:color w:val="000000"/>
          <w:lang w:eastAsia="en-US"/>
        </w:rPr>
        <w:t>Teplicky</w:t>
      </w:r>
      <w:proofErr w:type="spellEnd"/>
      <w:r w:rsidRPr="003F71E2">
        <w:rPr>
          <w:rFonts w:eastAsia="Arial" w:cs="Arial"/>
          <w:color w:val="000000"/>
          <w:lang w:eastAsia="en-US"/>
        </w:rPr>
        <w:t xml:space="preserve"> R, Moser A. (2020). Cross-cultural adaptation of the Participation and Environment Measure for Children and Youth (PEM-CY) into German: </w:t>
      </w:r>
      <w:r w:rsidR="00E525CA">
        <w:rPr>
          <w:rFonts w:eastAsia="Arial" w:cs="Arial"/>
          <w:color w:val="000000"/>
          <w:lang w:eastAsia="en-US"/>
        </w:rPr>
        <w:t>A</w:t>
      </w:r>
      <w:r w:rsidRPr="003F71E2">
        <w:rPr>
          <w:rFonts w:eastAsia="Arial" w:cs="Arial"/>
          <w:color w:val="000000"/>
          <w:lang w:eastAsia="en-US"/>
        </w:rPr>
        <w:t xml:space="preserve"> qualitative study in three countries. </w:t>
      </w:r>
      <w:r w:rsidRPr="003F71E2">
        <w:rPr>
          <w:rFonts w:eastAsia="Arial" w:cs="Arial"/>
          <w:i/>
          <w:color w:val="000000"/>
          <w:lang w:eastAsia="en-US"/>
        </w:rPr>
        <w:t xml:space="preserve">BMC </w:t>
      </w:r>
      <w:proofErr w:type="spellStart"/>
      <w:r w:rsidRPr="003F71E2">
        <w:rPr>
          <w:rFonts w:eastAsia="Arial" w:cs="Arial"/>
          <w:i/>
          <w:color w:val="000000"/>
          <w:lang w:eastAsia="en-US"/>
        </w:rPr>
        <w:t>Pediatr</w:t>
      </w:r>
      <w:proofErr w:type="spellEnd"/>
      <w:r w:rsidRPr="003F71E2">
        <w:rPr>
          <w:rFonts w:eastAsia="Arial" w:cs="Arial"/>
          <w:color w:val="000000"/>
          <w:lang w:eastAsia="en-US"/>
        </w:rPr>
        <w:t>, 20(1):492.</w:t>
      </w:r>
      <w:r w:rsidRPr="003F71E2">
        <w:rPr>
          <w:rFonts w:eastAsia="Arial" w:cs="Arial"/>
          <w:color w:val="0000FF"/>
          <w:u w:val="single"/>
          <w:lang w:eastAsia="en-US"/>
        </w:rPr>
        <w:t xml:space="preserve"> https://doi.org/10.1186/s12887-020-02343-y</w:t>
      </w:r>
    </w:p>
    <w:p w14:paraId="5B775F5D" w14:textId="499CF5BC"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 xml:space="preserve">Jeong Y, Law M, Stratford P, DeMatteo C, </w:t>
      </w:r>
      <w:proofErr w:type="spellStart"/>
      <w:r w:rsidRPr="003F71E2">
        <w:rPr>
          <w:rFonts w:eastAsia="Arial" w:cs="Arial"/>
          <w:color w:val="000000"/>
          <w:lang w:eastAsia="en-US"/>
        </w:rPr>
        <w:t>Missiuna</w:t>
      </w:r>
      <w:proofErr w:type="spellEnd"/>
      <w:r w:rsidRPr="003F71E2">
        <w:rPr>
          <w:rFonts w:eastAsia="Arial" w:cs="Arial"/>
          <w:color w:val="000000"/>
          <w:lang w:eastAsia="en-US"/>
        </w:rPr>
        <w:t xml:space="preserve"> C. (2017). Measuring </w:t>
      </w:r>
      <w:r w:rsidR="00C561E2">
        <w:rPr>
          <w:rFonts w:eastAsia="Arial" w:cs="Arial"/>
          <w:color w:val="000000"/>
          <w:lang w:eastAsia="en-US"/>
        </w:rPr>
        <w:t>p</w:t>
      </w:r>
      <w:r w:rsidRPr="003F71E2">
        <w:rPr>
          <w:rFonts w:eastAsia="Arial" w:cs="Arial"/>
          <w:color w:val="000000"/>
          <w:lang w:eastAsia="en-US"/>
        </w:rPr>
        <w:t xml:space="preserve">articipation of </w:t>
      </w:r>
      <w:r w:rsidR="00C561E2">
        <w:rPr>
          <w:rFonts w:eastAsia="Arial" w:cs="Arial"/>
          <w:color w:val="000000"/>
          <w:lang w:eastAsia="en-US"/>
        </w:rPr>
        <w:t>c</w:t>
      </w:r>
      <w:r w:rsidRPr="003F71E2">
        <w:rPr>
          <w:rFonts w:eastAsia="Arial" w:cs="Arial"/>
          <w:color w:val="000000"/>
          <w:lang w:eastAsia="en-US"/>
        </w:rPr>
        <w:t xml:space="preserve">hildren and </w:t>
      </w:r>
      <w:r w:rsidR="00C561E2">
        <w:rPr>
          <w:rFonts w:eastAsia="Arial" w:cs="Arial"/>
          <w:color w:val="000000"/>
          <w:lang w:eastAsia="en-US"/>
        </w:rPr>
        <w:t>e</w:t>
      </w:r>
      <w:r w:rsidRPr="003F71E2">
        <w:rPr>
          <w:rFonts w:eastAsia="Arial" w:cs="Arial"/>
          <w:color w:val="000000"/>
          <w:lang w:eastAsia="en-US"/>
        </w:rPr>
        <w:t xml:space="preserve">nvironmental </w:t>
      </w:r>
      <w:r w:rsidR="00C561E2">
        <w:rPr>
          <w:rFonts w:eastAsia="Arial" w:cs="Arial"/>
          <w:color w:val="000000"/>
          <w:lang w:eastAsia="en-US"/>
        </w:rPr>
        <w:t>f</w:t>
      </w:r>
      <w:r w:rsidRPr="003F71E2">
        <w:rPr>
          <w:rFonts w:eastAsia="Arial" w:cs="Arial"/>
          <w:color w:val="000000"/>
          <w:lang w:eastAsia="en-US"/>
        </w:rPr>
        <w:t xml:space="preserve">actors at </w:t>
      </w:r>
      <w:r w:rsidR="00C561E2">
        <w:rPr>
          <w:rFonts w:eastAsia="Arial" w:cs="Arial"/>
          <w:color w:val="000000"/>
          <w:lang w:eastAsia="en-US"/>
        </w:rPr>
        <w:t>h</w:t>
      </w:r>
      <w:r w:rsidRPr="003F71E2">
        <w:rPr>
          <w:rFonts w:eastAsia="Arial" w:cs="Arial"/>
          <w:color w:val="000000"/>
          <w:lang w:eastAsia="en-US"/>
        </w:rPr>
        <w:t xml:space="preserve">ome, </w:t>
      </w:r>
      <w:r w:rsidR="00C561E2">
        <w:rPr>
          <w:rFonts w:eastAsia="Arial" w:cs="Arial"/>
          <w:color w:val="000000"/>
          <w:lang w:eastAsia="en-US"/>
        </w:rPr>
        <w:t>s</w:t>
      </w:r>
      <w:r w:rsidRPr="003F71E2">
        <w:rPr>
          <w:rFonts w:eastAsia="Arial" w:cs="Arial"/>
          <w:color w:val="000000"/>
          <w:lang w:eastAsia="en-US"/>
        </w:rPr>
        <w:t xml:space="preserve">chool, and in </w:t>
      </w:r>
      <w:r w:rsidR="00C561E2">
        <w:rPr>
          <w:rFonts w:eastAsia="Arial" w:cs="Arial"/>
          <w:color w:val="000000"/>
          <w:lang w:eastAsia="en-US"/>
        </w:rPr>
        <w:t>c</w:t>
      </w:r>
      <w:r w:rsidRPr="003F71E2">
        <w:rPr>
          <w:rFonts w:eastAsia="Arial" w:cs="Arial"/>
          <w:color w:val="000000"/>
          <w:lang w:eastAsia="en-US"/>
        </w:rPr>
        <w:t xml:space="preserve">ommunity: Construct </w:t>
      </w:r>
      <w:r w:rsidR="00E525CA">
        <w:rPr>
          <w:rFonts w:eastAsia="Arial" w:cs="Arial"/>
          <w:color w:val="000000"/>
          <w:lang w:eastAsia="en-US"/>
        </w:rPr>
        <w:t>v</w:t>
      </w:r>
      <w:r w:rsidRPr="003F71E2">
        <w:rPr>
          <w:rFonts w:eastAsia="Arial" w:cs="Arial"/>
          <w:color w:val="000000"/>
          <w:lang w:eastAsia="en-US"/>
        </w:rPr>
        <w:t xml:space="preserve">alidation of the Korean PEM-CY. </w:t>
      </w:r>
      <w:r w:rsidRPr="003F71E2">
        <w:rPr>
          <w:rFonts w:eastAsia="Arial" w:cs="Arial"/>
          <w:i/>
          <w:color w:val="000000"/>
          <w:lang w:eastAsia="en-US"/>
        </w:rPr>
        <w:t xml:space="preserve">Phys </w:t>
      </w:r>
      <w:proofErr w:type="spellStart"/>
      <w:r w:rsidRPr="003F71E2">
        <w:rPr>
          <w:rFonts w:eastAsia="Arial" w:cs="Arial"/>
          <w:i/>
          <w:color w:val="000000"/>
          <w:lang w:eastAsia="en-US"/>
        </w:rPr>
        <w:t>Occup</w:t>
      </w:r>
      <w:proofErr w:type="spellEnd"/>
      <w:r w:rsidRPr="003F71E2">
        <w:rPr>
          <w:rFonts w:eastAsia="Arial" w:cs="Arial"/>
          <w:i/>
          <w:color w:val="000000"/>
          <w:lang w:eastAsia="en-US"/>
        </w:rPr>
        <w:t xml:space="preserve"> Ther </w:t>
      </w:r>
      <w:proofErr w:type="spellStart"/>
      <w:r w:rsidRPr="003F71E2">
        <w:rPr>
          <w:rFonts w:eastAsia="Arial" w:cs="Arial"/>
          <w:i/>
          <w:color w:val="000000"/>
          <w:lang w:eastAsia="en-US"/>
        </w:rPr>
        <w:t>Pediatr</w:t>
      </w:r>
      <w:proofErr w:type="spellEnd"/>
      <w:r w:rsidRPr="003F71E2">
        <w:rPr>
          <w:rFonts w:eastAsia="Arial" w:cs="Arial"/>
          <w:color w:val="000000"/>
          <w:lang w:eastAsia="en-US"/>
        </w:rPr>
        <w:t>, 37(5):541-554.</w:t>
      </w:r>
      <w:r w:rsidRPr="003F71E2">
        <w:rPr>
          <w:rFonts w:eastAsia="Arial" w:cs="Arial"/>
          <w:color w:val="0000FF"/>
          <w:u w:val="single"/>
          <w:lang w:eastAsia="en-US"/>
        </w:rPr>
        <w:t xml:space="preserve"> https://doi.org/10.1080/01942638.2017.1280870</w:t>
      </w:r>
    </w:p>
    <w:p w14:paraId="0D926A4D" w14:textId="77777777"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color w:val="000000"/>
          <w:lang w:eastAsia="en-US"/>
        </w:rPr>
        <w:t xml:space="preserve">Jeong Y, Law M, Stratford P, DeMatteo C, Kim H. (2016). Cross-cultural validation and psychometric evaluation of the Participation and Environment Measure for Children and Youth in Korea. </w:t>
      </w:r>
      <w:proofErr w:type="spellStart"/>
      <w:r w:rsidRPr="003F71E2">
        <w:rPr>
          <w:rFonts w:eastAsia="Arial" w:cs="Arial"/>
          <w:i/>
          <w:color w:val="000000"/>
          <w:lang w:eastAsia="en-US"/>
        </w:rPr>
        <w:t>Disabil</w:t>
      </w:r>
      <w:proofErr w:type="spellEnd"/>
      <w:r w:rsidRPr="003F71E2">
        <w:rPr>
          <w:rFonts w:eastAsia="Arial" w:cs="Arial"/>
          <w:i/>
          <w:color w:val="000000"/>
          <w:lang w:eastAsia="en-US"/>
        </w:rPr>
        <w:t xml:space="preserve"> </w:t>
      </w:r>
      <w:proofErr w:type="spellStart"/>
      <w:r w:rsidRPr="003F71E2">
        <w:rPr>
          <w:rFonts w:eastAsia="Arial" w:cs="Arial"/>
          <w:i/>
          <w:color w:val="000000"/>
          <w:lang w:eastAsia="en-US"/>
        </w:rPr>
        <w:t>Rehabil</w:t>
      </w:r>
      <w:proofErr w:type="spellEnd"/>
      <w:r w:rsidRPr="003F71E2">
        <w:rPr>
          <w:rFonts w:eastAsia="Arial" w:cs="Arial"/>
          <w:color w:val="000000"/>
          <w:lang w:eastAsia="en-US"/>
        </w:rPr>
        <w:t>, 38(22):2217-28.</w:t>
      </w:r>
      <w:r w:rsidRPr="003F71E2">
        <w:rPr>
          <w:rFonts w:eastAsia="Arial" w:cs="Arial"/>
          <w:color w:val="0000FF"/>
          <w:u w:val="single"/>
          <w:lang w:eastAsia="en-US"/>
        </w:rPr>
        <w:t xml:space="preserve"> https://doi.org/10.3109/09638288.2015.1123302</w:t>
      </w:r>
    </w:p>
    <w:p w14:paraId="4504B495" w14:textId="77777777" w:rsidR="00875FA4" w:rsidRPr="003F71E2" w:rsidRDefault="00875FA4" w:rsidP="003C0562">
      <w:pPr>
        <w:pStyle w:val="Heading2"/>
        <w:rPr>
          <w:lang w:eastAsia="en-US"/>
        </w:rPr>
      </w:pPr>
      <w:r w:rsidRPr="003F71E2">
        <w:rPr>
          <w:lang w:eastAsia="en-US"/>
        </w:rPr>
        <w:t>Outcome Studies</w:t>
      </w:r>
    </w:p>
    <w:p w14:paraId="6090A333" w14:textId="77777777" w:rsidR="00875FA4" w:rsidRPr="003F71E2" w:rsidRDefault="00875FA4">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3F71E2">
        <w:rPr>
          <w:rFonts w:eastAsia="Arial" w:cs="Arial"/>
          <w:i/>
          <w:color w:val="000000"/>
          <w:lang w:eastAsia="en-US"/>
        </w:rPr>
        <w:t>No references identified</w:t>
      </w:r>
    </w:p>
    <w:p w14:paraId="0719EC22" w14:textId="77777777" w:rsidR="00D666EB" w:rsidRDefault="00D666EB"/>
    <w:p w14:paraId="0CCEC9CE" w14:textId="77777777" w:rsidR="00023499" w:rsidRDefault="00023499">
      <w:pPr>
        <w:sectPr w:rsidR="00023499" w:rsidSect="00B46A56">
          <w:pgSz w:w="11906" w:h="16838"/>
          <w:pgMar w:top="1440" w:right="1440" w:bottom="1440" w:left="1440" w:header="708" w:footer="708" w:gutter="0"/>
          <w:cols w:space="708"/>
          <w:docGrid w:linePitch="360"/>
        </w:sectPr>
      </w:pPr>
    </w:p>
    <w:p w14:paraId="6052D690" w14:textId="7AF80074" w:rsidR="00D666EB" w:rsidRDefault="00D666EB"/>
    <w:p w14:paraId="402E900D" w14:textId="77777777" w:rsidR="00201CCA" w:rsidRDefault="00201CCA">
      <w:pPr>
        <w:jc w:val="center"/>
      </w:pPr>
      <w:r>
        <w:rPr>
          <w:noProof/>
        </w:rPr>
        <w:drawing>
          <wp:anchor distT="0" distB="0" distL="114300" distR="114300" simplePos="0" relativeHeight="251658268" behindDoc="0" locked="1" layoutInCell="1" allowOverlap="1" wp14:anchorId="6C918254" wp14:editId="2541D24B">
            <wp:simplePos x="0" y="0"/>
            <wp:positionH relativeFrom="page">
              <wp:posOffset>0</wp:posOffset>
            </wp:positionH>
            <wp:positionV relativeFrom="page">
              <wp:posOffset>2559685</wp:posOffset>
            </wp:positionV>
            <wp:extent cx="7563485" cy="935990"/>
            <wp:effectExtent l="0" t="0" r="5715" b="3810"/>
            <wp:wrapNone/>
            <wp:docPr id="38337685"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9" behindDoc="1" locked="1" layoutInCell="1" allowOverlap="1" wp14:anchorId="692D51CC" wp14:editId="0AA7F50D">
            <wp:simplePos x="0" y="0"/>
            <wp:positionH relativeFrom="page">
              <wp:posOffset>0</wp:posOffset>
            </wp:positionH>
            <wp:positionV relativeFrom="page">
              <wp:posOffset>0</wp:posOffset>
            </wp:positionV>
            <wp:extent cx="7563485" cy="2267585"/>
            <wp:effectExtent l="0" t="0" r="5715" b="5715"/>
            <wp:wrapNone/>
            <wp:docPr id="1658776804"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5559264D" w14:textId="77777777" w:rsidR="00201CCA" w:rsidRDefault="00201CCA">
      <w:pPr>
        <w:jc w:val="center"/>
      </w:pPr>
    </w:p>
    <w:p w14:paraId="581F412C" w14:textId="77777777" w:rsidR="00201CCA" w:rsidRDefault="00201CCA">
      <w:pPr>
        <w:tabs>
          <w:tab w:val="left" w:pos="5465"/>
        </w:tabs>
        <w:spacing w:line="300" w:lineRule="auto"/>
      </w:pPr>
      <w:r>
        <w:rPr>
          <w:rFonts w:ascii="Arial Bold" w:eastAsia="Arial Bold" w:hAnsi="Arial Bold" w:cs="Arial Bold"/>
          <w:b/>
          <w:bCs/>
          <w:color w:val="000F46"/>
          <w:sz w:val="40"/>
          <w:szCs w:val="40"/>
        </w:rPr>
        <w:t xml:space="preserve"> </w:t>
      </w:r>
      <w:r>
        <w:rPr>
          <w:rFonts w:ascii="Arial Bold" w:eastAsia="Arial Bold" w:hAnsi="Arial Bold" w:cs="Arial Bold"/>
          <w:b/>
          <w:bCs/>
          <w:color w:val="000F46"/>
          <w:sz w:val="40"/>
          <w:szCs w:val="40"/>
        </w:rPr>
        <w:tab/>
      </w:r>
    </w:p>
    <w:p w14:paraId="16AC04C6" w14:textId="77777777" w:rsidR="00201CCA" w:rsidRDefault="00201CCA">
      <w:pPr>
        <w:spacing w:line="300" w:lineRule="auto"/>
        <w:rPr>
          <w:rFonts w:eastAsia="Canva Sans" w:cs="Arial"/>
          <w:b/>
          <w:bCs/>
          <w:color w:val="000000"/>
          <w:sz w:val="36"/>
          <w:szCs w:val="36"/>
        </w:rPr>
      </w:pPr>
    </w:p>
    <w:p w14:paraId="603FEE3A" w14:textId="77777777" w:rsidR="00201CCA" w:rsidRDefault="00201CCA">
      <w:pPr>
        <w:spacing w:line="300" w:lineRule="auto"/>
        <w:rPr>
          <w:rFonts w:eastAsia="Canva Sans" w:cs="Arial"/>
          <w:b/>
          <w:bCs/>
          <w:color w:val="000000"/>
          <w:sz w:val="36"/>
          <w:szCs w:val="36"/>
        </w:rPr>
      </w:pPr>
      <w:r>
        <w:rPr>
          <w:noProof/>
        </w:rPr>
        <mc:AlternateContent>
          <mc:Choice Requires="wps">
            <w:drawing>
              <wp:anchor distT="0" distB="0" distL="114300" distR="114300" simplePos="0" relativeHeight="251658270" behindDoc="0" locked="0" layoutInCell="1" allowOverlap="1" wp14:anchorId="6870A373" wp14:editId="0AB433FD">
                <wp:simplePos x="0" y="0"/>
                <wp:positionH relativeFrom="column">
                  <wp:posOffset>40943</wp:posOffset>
                </wp:positionH>
                <wp:positionV relativeFrom="paragraph">
                  <wp:posOffset>195931</wp:posOffset>
                </wp:positionV>
                <wp:extent cx="6470650" cy="854103"/>
                <wp:effectExtent l="0" t="0" r="0" b="3175"/>
                <wp:wrapNone/>
                <wp:docPr id="1661300537" name="Text Box 1"/>
                <wp:cNvGraphicFramePr/>
                <a:graphic xmlns:a="http://schemas.openxmlformats.org/drawingml/2006/main">
                  <a:graphicData uri="http://schemas.microsoft.com/office/word/2010/wordprocessingShape">
                    <wps:wsp>
                      <wps:cNvSpPr txBox="1"/>
                      <wps:spPr>
                        <a:xfrm>
                          <a:off x="0" y="0"/>
                          <a:ext cx="6470650" cy="854103"/>
                        </a:xfrm>
                        <a:prstGeom prst="rect">
                          <a:avLst/>
                        </a:prstGeom>
                        <a:noFill/>
                        <a:ln w="6350">
                          <a:noFill/>
                        </a:ln>
                      </wps:spPr>
                      <wps:txbx>
                        <w:txbxContent>
                          <w:p w14:paraId="1B7BEB71" w14:textId="77777777" w:rsidR="00201CCA" w:rsidRPr="00B73670" w:rsidRDefault="00201CCA">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7C03FDDA" w14:textId="77777777" w:rsidR="00201CCA" w:rsidRPr="00DA3237" w:rsidRDefault="00201CCA">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A373" id="_x0000_s1038" type="#_x0000_t202" style="position:absolute;margin-left:3.2pt;margin-top:15.45pt;width:509.5pt;height:67.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" filled="f" stroked="f" strokeweight=".5pt">
                <v:textbox>
                  <w:txbxContent>
                    <w:p w14:paraId="1B7BEB71" w14:textId="77777777" w:rsidR="00201CCA" w:rsidRPr="00B73670" w:rsidRDefault="00201CCA">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7C03FDDA" w14:textId="77777777" w:rsidR="00201CCA" w:rsidRPr="00DA3237" w:rsidRDefault="00201CCA">
                      <w:pPr>
                        <w:rPr>
                          <w:rFonts w:cs="Arial"/>
                        </w:rPr>
                      </w:pPr>
                    </w:p>
                  </w:txbxContent>
                </v:textbox>
              </v:shape>
            </w:pict>
          </mc:Fallback>
        </mc:AlternateContent>
      </w:r>
    </w:p>
    <w:p w14:paraId="0FA32028" w14:textId="77777777" w:rsidR="00201CCA" w:rsidRDefault="00201CCA">
      <w:pPr>
        <w:spacing w:line="300" w:lineRule="auto"/>
        <w:rPr>
          <w:rFonts w:eastAsia="Canva Sans" w:cs="Arial"/>
          <w:b/>
          <w:bCs/>
          <w:color w:val="000000"/>
          <w:sz w:val="36"/>
          <w:szCs w:val="36"/>
        </w:rPr>
      </w:pPr>
    </w:p>
    <w:p w14:paraId="00156664" w14:textId="77777777" w:rsidR="00201CCA" w:rsidRDefault="00201CCA" w:rsidP="00D74A98"/>
    <w:p w14:paraId="5005C539" w14:textId="77777777" w:rsidR="00201CCA" w:rsidRDefault="00201CCA" w:rsidP="003C0562">
      <w:pPr>
        <w:pStyle w:val="Heading1"/>
      </w:pPr>
      <w:bookmarkStart w:id="59" w:name="_Pediatric_Evaluation_of"/>
      <w:bookmarkStart w:id="60" w:name="_Hlk197009943"/>
      <w:bookmarkEnd w:id="59"/>
      <w:proofErr w:type="spellStart"/>
      <w:r w:rsidRPr="008667B9">
        <w:t>Pediatric</w:t>
      </w:r>
      <w:proofErr w:type="spellEnd"/>
      <w:r w:rsidRPr="008667B9">
        <w:t xml:space="preserve"> Evaluation of Disability Inventory</w:t>
      </w:r>
      <w:r>
        <w:t xml:space="preserve"> -</w:t>
      </w:r>
      <w:r w:rsidRPr="008667B9">
        <w:t xml:space="preserve"> Computer Adaptive Test (PEDI-CAT)</w:t>
      </w:r>
    </w:p>
    <w:tbl>
      <w:tblPr>
        <w:tblW w:w="9048"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3"/>
        <w:gridCol w:w="7075"/>
      </w:tblGrid>
      <w:tr w:rsidR="00201CCA" w:rsidRPr="00C040BF" w14:paraId="75186D13" w14:textId="77777777" w:rsidTr="00B01C41">
        <w:trPr>
          <w:trHeight w:val="300"/>
        </w:trPr>
        <w:tc>
          <w:tcPr>
            <w:tcW w:w="1973" w:type="dxa"/>
            <w:tcBorders>
              <w:top w:val="single" w:sz="6" w:space="0" w:color="auto"/>
              <w:left w:val="single" w:sz="6" w:space="0" w:color="auto"/>
              <w:bottom w:val="single" w:sz="6" w:space="0" w:color="auto"/>
              <w:right w:val="single" w:sz="6" w:space="0" w:color="auto"/>
            </w:tcBorders>
            <w:hideMark/>
          </w:tcPr>
          <w:bookmarkEnd w:id="60"/>
          <w:p w14:paraId="086BECB6" w14:textId="77777777" w:rsidR="00201CCA" w:rsidRPr="00C040BF" w:rsidRDefault="00201CCA">
            <w:pPr>
              <w:spacing w:after="100"/>
              <w:ind w:left="57" w:right="57"/>
              <w:rPr>
                <w:rFonts w:cs="Arial"/>
                <w:b/>
                <w:bCs/>
              </w:rPr>
            </w:pPr>
            <w:r w:rsidRPr="6E7C5994">
              <w:rPr>
                <w:rFonts w:cs="Arial"/>
                <w:b/>
                <w:bC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2F64AA6E" w14:textId="77777777" w:rsidR="00201CCA" w:rsidRPr="00D206E9" w:rsidRDefault="00201CCA">
            <w:pPr>
              <w:spacing w:after="100"/>
              <w:ind w:left="57" w:right="57"/>
              <w:rPr>
                <w:rFonts w:cs="Arial"/>
                <w:b/>
                <w:bCs/>
              </w:rPr>
            </w:pPr>
            <w:r w:rsidRPr="00D206E9">
              <w:rPr>
                <w:rFonts w:cs="Arial"/>
                <w:b/>
                <w:bCs/>
              </w:rPr>
              <w:t>Child</w:t>
            </w:r>
            <w:r>
              <w:rPr>
                <w:rFonts w:cs="Arial"/>
                <w:b/>
                <w:bCs/>
              </w:rPr>
              <w:t>ren</w:t>
            </w:r>
            <w:r w:rsidRPr="00D206E9">
              <w:rPr>
                <w:rFonts w:cs="Arial"/>
                <w:b/>
                <w:bCs/>
              </w:rPr>
              <w:t>:</w:t>
            </w:r>
          </w:p>
          <w:p w14:paraId="43EB0D29" w14:textId="77777777" w:rsidR="00201CCA" w:rsidRDefault="00201CCA" w:rsidP="004E3AF4">
            <w:pPr>
              <w:pStyle w:val="ListParagraph"/>
              <w:numPr>
                <w:ilvl w:val="0"/>
                <w:numId w:val="10"/>
              </w:numPr>
            </w:pPr>
            <w:r w:rsidRPr="00FC5ABE">
              <w:t>acquire, develop and generalise new knowledge and skills</w:t>
            </w:r>
          </w:p>
          <w:p w14:paraId="2B64B783" w14:textId="77777777" w:rsidR="00201CCA" w:rsidRPr="00FC5ABE" w:rsidRDefault="00201CCA">
            <w:pPr>
              <w:spacing w:after="100"/>
              <w:ind w:right="57"/>
              <w:rPr>
                <w:rFonts w:cs="Arial"/>
              </w:rPr>
            </w:pPr>
            <w:r>
              <w:rPr>
                <w:rFonts w:cs="Arial"/>
              </w:rPr>
              <w:t xml:space="preserve">Provides some information about: </w:t>
            </w:r>
          </w:p>
          <w:p w14:paraId="51E0D95B" w14:textId="77777777" w:rsidR="00201CCA" w:rsidRPr="00FC5ABE" w:rsidRDefault="00201CCA" w:rsidP="004E3AF4">
            <w:pPr>
              <w:pStyle w:val="ListParagraph"/>
              <w:numPr>
                <w:ilvl w:val="0"/>
                <w:numId w:val="10"/>
              </w:numPr>
              <w:rPr>
                <w:lang w:val="en-GB"/>
              </w:rPr>
            </w:pPr>
            <w:r>
              <w:rPr>
                <w:lang w:val="en-GB"/>
              </w:rPr>
              <w:t>i</w:t>
            </w:r>
            <w:r w:rsidRPr="00FC5ABE">
              <w:rPr>
                <w:lang w:val="en-GB"/>
              </w:rPr>
              <w:t>nteract with family members, other children, and people in the community to build relational skills and connections</w:t>
            </w:r>
          </w:p>
          <w:p w14:paraId="39FF5DD0" w14:textId="77777777" w:rsidR="00201CCA" w:rsidRPr="00FC5ABE" w:rsidRDefault="00201CCA" w:rsidP="004E3AF4">
            <w:pPr>
              <w:pStyle w:val="ListParagraph"/>
              <w:numPr>
                <w:ilvl w:val="0"/>
                <w:numId w:val="10"/>
              </w:numPr>
              <w:rPr>
                <w:lang w:val="en-GB"/>
              </w:rPr>
            </w:pPr>
            <w:r w:rsidRPr="00FC5ABE">
              <w:rPr>
                <w:lang w:val="en-GB"/>
              </w:rPr>
              <w:t>develop positive health habits over time</w:t>
            </w:r>
          </w:p>
          <w:p w14:paraId="14BEC1AB" w14:textId="77777777" w:rsidR="00201CCA" w:rsidRPr="00AB1E40" w:rsidRDefault="00201CCA" w:rsidP="004E3AF4">
            <w:pPr>
              <w:pStyle w:val="ListParagraph"/>
              <w:numPr>
                <w:ilvl w:val="0"/>
                <w:numId w:val="10"/>
              </w:numPr>
              <w:rPr>
                <w:lang w:val="en-GB"/>
              </w:rPr>
            </w:pPr>
            <w:r w:rsidRPr="00FC5ABE">
              <w:rPr>
                <w:lang w:val="en-GB"/>
              </w:rPr>
              <w:t>develop their sense of agency and have a voice in matters that affect them</w:t>
            </w:r>
          </w:p>
        </w:tc>
      </w:tr>
    </w:tbl>
    <w:p w14:paraId="115F7938" w14:textId="77777777" w:rsidR="00201CCA" w:rsidRPr="00531564" w:rsidRDefault="00201CCA" w:rsidP="003C0562">
      <w:pPr>
        <w:pStyle w:val="Heading1"/>
      </w:pPr>
      <w:r>
        <w:t xml:space="preserve">PEDI-CAT </w:t>
      </w:r>
      <w:r w:rsidRPr="00531564">
        <w:t>Overview</w:t>
      </w:r>
    </w:p>
    <w:tbl>
      <w:tblPr>
        <w:tblW w:w="9073"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98"/>
        <w:gridCol w:w="7075"/>
      </w:tblGrid>
      <w:tr w:rsidR="00201CCA" w:rsidRPr="00C22199" w14:paraId="5FA23C4D" w14:textId="77777777" w:rsidTr="00B01C41">
        <w:trPr>
          <w:trHeight w:val="300"/>
        </w:trPr>
        <w:tc>
          <w:tcPr>
            <w:tcW w:w="1998" w:type="dxa"/>
            <w:tcBorders>
              <w:top w:val="single" w:sz="6" w:space="0" w:color="auto"/>
              <w:left w:val="single" w:sz="6" w:space="0" w:color="auto"/>
              <w:bottom w:val="single" w:sz="6" w:space="0" w:color="auto"/>
              <w:right w:val="single" w:sz="6" w:space="0" w:color="auto"/>
            </w:tcBorders>
            <w:hideMark/>
          </w:tcPr>
          <w:p w14:paraId="16BA1CEF" w14:textId="77777777" w:rsidR="00201CCA" w:rsidRPr="00C22199" w:rsidRDefault="00201CCA">
            <w:pPr>
              <w:spacing w:after="100"/>
              <w:ind w:left="57" w:right="57"/>
              <w:rPr>
                <w:rFonts w:cs="Arial"/>
              </w:rPr>
            </w:pPr>
            <w:r w:rsidRPr="00C22199">
              <w:rPr>
                <w:rFonts w:cs="Arial"/>
                <w:b/>
                <w:bCs/>
              </w:rPr>
              <w:t>General description</w:t>
            </w:r>
            <w:r w:rsidRPr="00C22199">
              <w:rPr>
                <w:rFonts w:cs="Arial"/>
              </w:rPr>
              <w:t>  </w:t>
            </w:r>
          </w:p>
          <w:p w14:paraId="7CF4AA27" w14:textId="77777777" w:rsidR="00201CCA" w:rsidRPr="00C22199" w:rsidRDefault="00201CCA">
            <w:pPr>
              <w:spacing w:after="100"/>
              <w:ind w:left="57" w:right="57"/>
              <w:rPr>
                <w:rFonts w:cs="Arial"/>
                <w:i/>
                <w:iCs/>
              </w:rPr>
            </w:pPr>
          </w:p>
        </w:tc>
        <w:tc>
          <w:tcPr>
            <w:tcW w:w="7075" w:type="dxa"/>
            <w:tcBorders>
              <w:top w:val="single" w:sz="6" w:space="0" w:color="auto"/>
              <w:left w:val="single" w:sz="6" w:space="0" w:color="auto"/>
              <w:bottom w:val="single" w:sz="6" w:space="0" w:color="auto"/>
              <w:right w:val="single" w:sz="6" w:space="0" w:color="auto"/>
            </w:tcBorders>
            <w:hideMark/>
          </w:tcPr>
          <w:p w14:paraId="51309640" w14:textId="77777777" w:rsidR="00201CCA" w:rsidRPr="00C22199" w:rsidRDefault="00201CCA">
            <w:pPr>
              <w:rPr>
                <w:rFonts w:cs="Arial"/>
              </w:rPr>
            </w:pPr>
            <w:r w:rsidRPr="00C22199">
              <w:rPr>
                <w:rFonts w:cs="Arial"/>
              </w:rPr>
              <w:t xml:space="preserve">The </w:t>
            </w:r>
            <w:proofErr w:type="spellStart"/>
            <w:r w:rsidRPr="00C22199">
              <w:rPr>
                <w:rFonts w:cs="Arial"/>
              </w:rPr>
              <w:t>Pediatric</w:t>
            </w:r>
            <w:proofErr w:type="spellEnd"/>
            <w:r w:rsidRPr="00C22199">
              <w:rPr>
                <w:rFonts w:cs="Arial"/>
              </w:rPr>
              <w:t xml:space="preserve"> Evaluation of Disability Inventory</w:t>
            </w:r>
            <w:r>
              <w:rPr>
                <w:rFonts w:cs="Arial"/>
              </w:rPr>
              <w:t>-</w:t>
            </w:r>
            <w:r w:rsidRPr="00C22199">
              <w:rPr>
                <w:rFonts w:cs="Arial"/>
              </w:rPr>
              <w:t>Computer Adaptive Test (PEDI-CAT) is a standardised assessment tool designed to evaluate the functional abilities and performance of children and young people. It is a computeri</w:t>
            </w:r>
            <w:r>
              <w:rPr>
                <w:rFonts w:cs="Arial"/>
              </w:rPr>
              <w:t>s</w:t>
            </w:r>
            <w:r w:rsidRPr="00C22199">
              <w:rPr>
                <w:rFonts w:cs="Arial"/>
              </w:rPr>
              <w:t xml:space="preserve">ed adaptive version of the </w:t>
            </w:r>
            <w:proofErr w:type="spellStart"/>
            <w:r w:rsidRPr="00C22199">
              <w:rPr>
                <w:rFonts w:cs="Arial"/>
              </w:rPr>
              <w:t>Pediatric</w:t>
            </w:r>
            <w:proofErr w:type="spellEnd"/>
            <w:r w:rsidRPr="00C22199">
              <w:rPr>
                <w:rFonts w:cs="Arial"/>
              </w:rPr>
              <w:t xml:space="preserve"> Evaluation of Disability Inventory (PEDI). By employing a computer adaptive testing format, it tailors the assessment to each child's ability level.</w:t>
            </w:r>
          </w:p>
          <w:p w14:paraId="5000E74C" w14:textId="77777777" w:rsidR="00201CCA" w:rsidRPr="00C22199" w:rsidRDefault="00201CCA">
            <w:pPr>
              <w:spacing w:after="100"/>
              <w:ind w:right="57"/>
              <w:rPr>
                <w:rFonts w:cs="Arial"/>
              </w:rPr>
            </w:pPr>
            <w:r w:rsidRPr="00C22199">
              <w:rPr>
                <w:rFonts w:cs="Arial"/>
              </w:rPr>
              <w:t xml:space="preserve">Two versions that differ in the average number of items administered exist: a </w:t>
            </w:r>
            <w:r>
              <w:rPr>
                <w:rFonts w:cs="Arial"/>
              </w:rPr>
              <w:t xml:space="preserve">PEDI-CAT </w:t>
            </w:r>
            <w:r w:rsidRPr="00C22199">
              <w:rPr>
                <w:rFonts w:cs="Arial"/>
              </w:rPr>
              <w:t xml:space="preserve">Speedy (less than 10 items per domain) and a </w:t>
            </w:r>
            <w:r>
              <w:rPr>
                <w:rFonts w:cs="Arial"/>
              </w:rPr>
              <w:t xml:space="preserve">PEDI-CAT </w:t>
            </w:r>
            <w:r w:rsidRPr="00C22199">
              <w:rPr>
                <w:rFonts w:cs="Arial"/>
              </w:rPr>
              <w:t xml:space="preserve">Content-Balanced (less than 30 items per domain) version. </w:t>
            </w:r>
          </w:p>
          <w:p w14:paraId="4DB6247A" w14:textId="77777777" w:rsidR="00201CCA" w:rsidRPr="00C22199" w:rsidRDefault="00201CCA">
            <w:pPr>
              <w:spacing w:after="100"/>
              <w:ind w:right="57"/>
              <w:rPr>
                <w:rFonts w:cs="Arial"/>
              </w:rPr>
            </w:pPr>
            <w:r w:rsidRPr="00C22199">
              <w:rPr>
                <w:rFonts w:cs="Arial"/>
              </w:rPr>
              <w:lastRenderedPageBreak/>
              <w:t xml:space="preserve">The PEDI-CAT (ASD) is a specific module that has been adapted and validated for </w:t>
            </w:r>
            <w:r w:rsidRPr="007E4D4E">
              <w:rPr>
                <w:rFonts w:cs="Arial"/>
              </w:rPr>
              <w:t>u</w:t>
            </w:r>
            <w:r w:rsidRPr="00FC5ABE">
              <w:rPr>
                <w:rFonts w:cs="Arial"/>
              </w:rPr>
              <w:t>se in children and adolescents with autism spectrum disorder</w:t>
            </w:r>
            <w:r w:rsidRPr="007E4D4E">
              <w:rPr>
                <w:rFonts w:cs="Arial"/>
              </w:rPr>
              <w:t>.</w:t>
            </w:r>
            <w:r w:rsidRPr="00C22199">
              <w:rPr>
                <w:rFonts w:cs="Arial"/>
              </w:rPr>
              <w:t xml:space="preserve">  </w:t>
            </w:r>
          </w:p>
        </w:tc>
      </w:tr>
      <w:tr w:rsidR="00201CCA" w:rsidRPr="00C22199" w14:paraId="0CE5031B" w14:textId="77777777" w:rsidTr="00B01C41">
        <w:trPr>
          <w:trHeight w:val="300"/>
        </w:trPr>
        <w:tc>
          <w:tcPr>
            <w:tcW w:w="1998" w:type="dxa"/>
            <w:tcBorders>
              <w:top w:val="single" w:sz="6" w:space="0" w:color="auto"/>
              <w:left w:val="single" w:sz="6" w:space="0" w:color="auto"/>
              <w:bottom w:val="single" w:sz="6" w:space="0" w:color="auto"/>
              <w:right w:val="single" w:sz="6" w:space="0" w:color="auto"/>
            </w:tcBorders>
          </w:tcPr>
          <w:p w14:paraId="6DF049F6" w14:textId="77777777" w:rsidR="00201CCA" w:rsidRPr="00C22199" w:rsidRDefault="00201CCA">
            <w:pPr>
              <w:spacing w:after="100"/>
              <w:ind w:left="57" w:right="57"/>
              <w:rPr>
                <w:rFonts w:cs="Arial"/>
                <w:b/>
                <w:bCs/>
              </w:rPr>
            </w:pPr>
            <w:r w:rsidRPr="00C22199">
              <w:rPr>
                <w:rFonts w:cs="Arial"/>
                <w:b/>
                <w:bCs/>
              </w:rPr>
              <w:lastRenderedPageBreak/>
              <w:t xml:space="preserve">Ages </w:t>
            </w:r>
          </w:p>
        </w:tc>
        <w:tc>
          <w:tcPr>
            <w:tcW w:w="7075" w:type="dxa"/>
            <w:tcBorders>
              <w:top w:val="single" w:sz="6" w:space="0" w:color="auto"/>
              <w:left w:val="single" w:sz="6" w:space="0" w:color="auto"/>
              <w:bottom w:val="single" w:sz="6" w:space="0" w:color="auto"/>
              <w:right w:val="single" w:sz="6" w:space="0" w:color="auto"/>
            </w:tcBorders>
          </w:tcPr>
          <w:p w14:paraId="3652431A" w14:textId="77777777" w:rsidR="00201CCA" w:rsidRPr="00C22199" w:rsidRDefault="00201CCA">
            <w:pPr>
              <w:spacing w:after="100"/>
              <w:ind w:right="57"/>
              <w:rPr>
                <w:rFonts w:cs="Arial"/>
              </w:rPr>
            </w:pPr>
            <w:r w:rsidRPr="00C22199">
              <w:rPr>
                <w:rFonts w:cs="Arial"/>
              </w:rPr>
              <w:t>The PEDI-CAT is designed for children and young people from birth to 20 years.</w:t>
            </w:r>
          </w:p>
        </w:tc>
      </w:tr>
      <w:tr w:rsidR="00201CCA" w:rsidRPr="00C22199" w14:paraId="60745BD2" w14:textId="77777777" w:rsidTr="00B01C41">
        <w:trPr>
          <w:trHeight w:val="300"/>
        </w:trPr>
        <w:tc>
          <w:tcPr>
            <w:tcW w:w="1998" w:type="dxa"/>
            <w:tcBorders>
              <w:top w:val="single" w:sz="6" w:space="0" w:color="auto"/>
              <w:left w:val="single" w:sz="6" w:space="0" w:color="auto"/>
              <w:bottom w:val="single" w:sz="6" w:space="0" w:color="auto"/>
              <w:right w:val="single" w:sz="6" w:space="0" w:color="auto"/>
            </w:tcBorders>
          </w:tcPr>
          <w:p w14:paraId="48B4E14C" w14:textId="77777777" w:rsidR="00201CCA" w:rsidRPr="00C22199" w:rsidRDefault="00201CCA">
            <w:pPr>
              <w:spacing w:after="100"/>
              <w:ind w:left="57" w:right="57"/>
              <w:rPr>
                <w:rFonts w:cs="Arial"/>
              </w:rPr>
            </w:pPr>
            <w:r w:rsidRPr="00C22199">
              <w:rPr>
                <w:rFonts w:cs="Arial"/>
                <w:b/>
                <w:bCs/>
              </w:rPr>
              <w:t>Domains / subscales </w:t>
            </w:r>
            <w:r w:rsidRPr="00C22199">
              <w:rPr>
                <w:rFonts w:cs="Arial"/>
              </w:rPr>
              <w:t> </w:t>
            </w:r>
          </w:p>
        </w:tc>
        <w:tc>
          <w:tcPr>
            <w:tcW w:w="7075" w:type="dxa"/>
            <w:tcBorders>
              <w:top w:val="single" w:sz="6" w:space="0" w:color="auto"/>
              <w:left w:val="single" w:sz="6" w:space="0" w:color="auto"/>
              <w:bottom w:val="single" w:sz="6" w:space="0" w:color="auto"/>
              <w:right w:val="single" w:sz="6" w:space="0" w:color="auto"/>
            </w:tcBorders>
          </w:tcPr>
          <w:p w14:paraId="5E340D2E" w14:textId="77777777" w:rsidR="00201CCA" w:rsidRPr="00C22199" w:rsidRDefault="00201CCA">
            <w:pPr>
              <w:spacing w:after="100"/>
              <w:ind w:right="57"/>
              <w:rPr>
                <w:rFonts w:cs="Arial"/>
              </w:rPr>
            </w:pPr>
            <w:r w:rsidRPr="00C22199">
              <w:rPr>
                <w:rFonts w:cs="Arial"/>
              </w:rPr>
              <w:t xml:space="preserve">The PEDI-CAT has four subscales: </w:t>
            </w:r>
          </w:p>
          <w:p w14:paraId="0DEA7F1F" w14:textId="77777777" w:rsidR="00201CCA" w:rsidRDefault="00201CCA">
            <w:pPr>
              <w:spacing w:after="100"/>
              <w:ind w:right="57"/>
              <w:rPr>
                <w:rFonts w:cs="Arial"/>
              </w:rPr>
            </w:pPr>
            <w:r w:rsidRPr="00C22199">
              <w:rPr>
                <w:rFonts w:cs="Arial"/>
              </w:rPr>
              <w:t xml:space="preserve">Daily Activities </w:t>
            </w:r>
          </w:p>
          <w:p w14:paraId="781B80D4" w14:textId="77777777" w:rsidR="00201CCA" w:rsidRPr="00C22199" w:rsidRDefault="00201CCA">
            <w:pPr>
              <w:spacing w:after="100"/>
              <w:ind w:right="57"/>
              <w:rPr>
                <w:rFonts w:cs="Arial"/>
              </w:rPr>
            </w:pPr>
            <w:r w:rsidRPr="00C22199">
              <w:rPr>
                <w:rFonts w:cs="Arial"/>
              </w:rPr>
              <w:t>Mobility</w:t>
            </w:r>
          </w:p>
          <w:p w14:paraId="522A4A89" w14:textId="77777777" w:rsidR="00201CCA" w:rsidRPr="00C22199" w:rsidRDefault="00201CCA">
            <w:pPr>
              <w:spacing w:after="100"/>
              <w:ind w:right="57"/>
              <w:rPr>
                <w:rFonts w:cs="Arial"/>
              </w:rPr>
            </w:pPr>
            <w:r w:rsidRPr="00C22199">
              <w:rPr>
                <w:rFonts w:cs="Arial"/>
              </w:rPr>
              <w:t xml:space="preserve">Social/Cognitive </w:t>
            </w:r>
          </w:p>
          <w:p w14:paraId="3B7A5DFC" w14:textId="77777777" w:rsidR="00201CCA" w:rsidRPr="00C22199" w:rsidRDefault="00201CCA">
            <w:pPr>
              <w:spacing w:after="100"/>
              <w:ind w:right="57"/>
              <w:rPr>
                <w:rFonts w:cs="Arial"/>
              </w:rPr>
            </w:pPr>
            <w:r w:rsidRPr="00C22199">
              <w:rPr>
                <w:rFonts w:cs="Arial"/>
              </w:rPr>
              <w:t xml:space="preserve">Responsibility </w:t>
            </w:r>
          </w:p>
        </w:tc>
      </w:tr>
      <w:tr w:rsidR="00201CCA" w:rsidRPr="00C22199" w14:paraId="5F0166F1" w14:textId="77777777" w:rsidTr="00B01C41">
        <w:trPr>
          <w:trHeight w:val="300"/>
        </w:trPr>
        <w:tc>
          <w:tcPr>
            <w:tcW w:w="1998" w:type="dxa"/>
            <w:tcBorders>
              <w:top w:val="single" w:sz="6" w:space="0" w:color="auto"/>
              <w:left w:val="single" w:sz="6" w:space="0" w:color="auto"/>
              <w:bottom w:val="single" w:sz="6" w:space="0" w:color="auto"/>
              <w:right w:val="single" w:sz="6" w:space="0" w:color="auto"/>
            </w:tcBorders>
            <w:hideMark/>
          </w:tcPr>
          <w:p w14:paraId="6AF367DF" w14:textId="77777777" w:rsidR="00201CCA" w:rsidRPr="00C22199" w:rsidRDefault="00201CCA">
            <w:pPr>
              <w:spacing w:after="100"/>
              <w:ind w:left="57" w:right="57"/>
              <w:rPr>
                <w:rFonts w:cs="Arial"/>
                <w:b/>
                <w:bCs/>
              </w:rPr>
            </w:pPr>
            <w:r w:rsidRPr="00C22199">
              <w:rPr>
                <w:rFonts w:cs="Arial"/>
                <w:b/>
                <w:bCs/>
              </w:rPr>
              <w:t>Special considerations</w:t>
            </w:r>
          </w:p>
        </w:tc>
        <w:tc>
          <w:tcPr>
            <w:tcW w:w="7075" w:type="dxa"/>
            <w:tcBorders>
              <w:top w:val="single" w:sz="6" w:space="0" w:color="auto"/>
              <w:left w:val="single" w:sz="6" w:space="0" w:color="auto"/>
              <w:bottom w:val="single" w:sz="6" w:space="0" w:color="auto"/>
              <w:right w:val="single" w:sz="6" w:space="0" w:color="auto"/>
            </w:tcBorders>
            <w:hideMark/>
          </w:tcPr>
          <w:p w14:paraId="16E4B506" w14:textId="77777777" w:rsidR="00201CCA" w:rsidRPr="00C22199" w:rsidRDefault="00201CCA">
            <w:pPr>
              <w:spacing w:after="100"/>
              <w:ind w:right="57"/>
              <w:rPr>
                <w:rFonts w:cs="Arial"/>
              </w:rPr>
            </w:pPr>
            <w:r w:rsidRPr="00C22199">
              <w:rPr>
                <w:rFonts w:cs="Arial"/>
              </w:rPr>
              <w:t xml:space="preserve">The NDIA endorses the PEDI-CAT as a source of evidence </w:t>
            </w:r>
            <w:r>
              <w:rPr>
                <w:rFonts w:cs="Arial"/>
              </w:rPr>
              <w:t>f</w:t>
            </w:r>
            <w:r>
              <w:t>or</w:t>
            </w:r>
            <w:r w:rsidRPr="00C22199">
              <w:rPr>
                <w:rFonts w:cs="Arial"/>
              </w:rPr>
              <w:t xml:space="preserve"> a child’s functional capacity assessment.</w:t>
            </w:r>
          </w:p>
        </w:tc>
      </w:tr>
      <w:tr w:rsidR="00201CCA" w:rsidRPr="00C22199" w14:paraId="7562A222" w14:textId="77777777" w:rsidTr="00B01C41">
        <w:trPr>
          <w:trHeight w:val="300"/>
        </w:trPr>
        <w:tc>
          <w:tcPr>
            <w:tcW w:w="1998" w:type="dxa"/>
            <w:tcBorders>
              <w:top w:val="single" w:sz="6" w:space="0" w:color="auto"/>
              <w:left w:val="single" w:sz="6" w:space="0" w:color="auto"/>
              <w:bottom w:val="single" w:sz="6" w:space="0" w:color="auto"/>
              <w:right w:val="single" w:sz="6" w:space="0" w:color="auto"/>
            </w:tcBorders>
            <w:hideMark/>
          </w:tcPr>
          <w:p w14:paraId="53D71B7E" w14:textId="77777777" w:rsidR="00201CCA" w:rsidRPr="00C22199" w:rsidRDefault="00201CCA">
            <w:pPr>
              <w:spacing w:after="100"/>
              <w:ind w:left="57" w:right="57"/>
              <w:rPr>
                <w:rFonts w:cs="Arial"/>
              </w:rPr>
            </w:pPr>
            <w:r w:rsidRPr="00C22199">
              <w:rPr>
                <w:rFonts w:cs="Arial"/>
                <w:b/>
                <w:bCs/>
              </w:rPr>
              <w:t>Cultural adaptation </w:t>
            </w:r>
            <w:r w:rsidRPr="00C22199">
              <w:rPr>
                <w:rFonts w:cs="Arial"/>
              </w:rPr>
              <w:t> </w:t>
            </w:r>
          </w:p>
        </w:tc>
        <w:tc>
          <w:tcPr>
            <w:tcW w:w="7075" w:type="dxa"/>
            <w:tcBorders>
              <w:top w:val="single" w:sz="6" w:space="0" w:color="auto"/>
              <w:left w:val="single" w:sz="6" w:space="0" w:color="auto"/>
              <w:bottom w:val="single" w:sz="6" w:space="0" w:color="auto"/>
              <w:right w:val="single" w:sz="6" w:space="0" w:color="auto"/>
            </w:tcBorders>
            <w:hideMark/>
          </w:tcPr>
          <w:p w14:paraId="7E4698D8" w14:textId="77777777" w:rsidR="00201CCA" w:rsidRPr="000D2407" w:rsidRDefault="00201CCA">
            <w:pPr>
              <w:spacing w:after="100"/>
              <w:ind w:right="57"/>
              <w:rPr>
                <w:rFonts w:eastAsia="Times New Roman" w:cs="Arial"/>
                <w:kern w:val="0"/>
                <w:lang w:eastAsia="en-AU"/>
                <w14:ligatures w14:val="none"/>
              </w:rPr>
            </w:pPr>
            <w:r w:rsidRPr="00C22199">
              <w:rPr>
                <w:rFonts w:eastAsia="Times New Roman" w:cs="Arial"/>
                <w:kern w:val="0"/>
                <w:lang w:eastAsia="en-AU"/>
                <w14:ligatures w14:val="none"/>
              </w:rPr>
              <w:t xml:space="preserve">The PEDI-CAT has been </w:t>
            </w:r>
            <w:r>
              <w:rPr>
                <w:rFonts w:eastAsia="Times New Roman" w:cs="Arial"/>
                <w:kern w:val="0"/>
                <w:lang w:eastAsia="en-AU"/>
                <w14:ligatures w14:val="none"/>
              </w:rPr>
              <w:t xml:space="preserve">translated and </w:t>
            </w:r>
            <w:r w:rsidRPr="00C22199">
              <w:rPr>
                <w:rFonts w:eastAsia="Times New Roman" w:cs="Arial"/>
                <w:kern w:val="0"/>
                <w:lang w:eastAsia="en-AU"/>
                <w14:ligatures w14:val="none"/>
              </w:rPr>
              <w:t xml:space="preserve">adapted </w:t>
            </w:r>
            <w:r>
              <w:rPr>
                <w:rFonts w:eastAsia="Times New Roman" w:cs="Arial"/>
                <w:kern w:val="0"/>
                <w:lang w:eastAsia="en-AU"/>
                <w14:ligatures w14:val="none"/>
              </w:rPr>
              <w:t>into Brazilian Por</w:t>
            </w:r>
            <w:r w:rsidRPr="00C22199">
              <w:rPr>
                <w:rFonts w:eastAsia="Times New Roman" w:cs="Arial"/>
                <w:kern w:val="0"/>
                <w:lang w:eastAsia="en-AU"/>
                <w14:ligatures w14:val="none"/>
              </w:rPr>
              <w:t xml:space="preserve">tuguese </w:t>
            </w:r>
            <w:r>
              <w:rPr>
                <w:rFonts w:eastAsia="Times New Roman" w:cs="Arial"/>
                <w:kern w:val="0"/>
                <w:lang w:eastAsia="en-AU"/>
                <w14:ligatures w14:val="none"/>
              </w:rPr>
              <w:t xml:space="preserve">and Dutch. </w:t>
            </w:r>
          </w:p>
        </w:tc>
      </w:tr>
      <w:tr w:rsidR="00201CCA" w:rsidRPr="00C22199" w14:paraId="74E2DA0F" w14:textId="77777777" w:rsidTr="00B01C41">
        <w:trPr>
          <w:trHeight w:val="300"/>
        </w:trPr>
        <w:tc>
          <w:tcPr>
            <w:tcW w:w="1998" w:type="dxa"/>
            <w:tcBorders>
              <w:top w:val="single" w:sz="6" w:space="0" w:color="auto"/>
              <w:left w:val="single" w:sz="6" w:space="0" w:color="auto"/>
              <w:bottom w:val="single" w:sz="6" w:space="0" w:color="auto"/>
              <w:right w:val="single" w:sz="6" w:space="0" w:color="auto"/>
            </w:tcBorders>
            <w:hideMark/>
          </w:tcPr>
          <w:p w14:paraId="63F2E25E" w14:textId="77777777" w:rsidR="00201CCA" w:rsidRPr="00C22199" w:rsidRDefault="00201CCA">
            <w:pPr>
              <w:spacing w:after="100"/>
              <w:ind w:left="57" w:right="57"/>
              <w:rPr>
                <w:rFonts w:cs="Arial"/>
              </w:rPr>
            </w:pPr>
            <w:r w:rsidRPr="00C22199">
              <w:rPr>
                <w:rFonts w:cs="Arial"/>
                <w:b/>
                <w:bCs/>
              </w:rPr>
              <w:t>Administration</w:t>
            </w:r>
            <w:r w:rsidRPr="00C22199">
              <w:rPr>
                <w:rFonts w:cs="Arial"/>
              </w:rPr>
              <w:t>  </w:t>
            </w:r>
          </w:p>
          <w:p w14:paraId="77E31F44" w14:textId="77777777" w:rsidR="00201CCA" w:rsidRPr="00C22199" w:rsidRDefault="00201CCA">
            <w:pPr>
              <w:spacing w:after="100"/>
              <w:ind w:left="57" w:right="57"/>
              <w:rPr>
                <w:rFonts w:cs="Arial"/>
                <w:i/>
                <w:iCs/>
              </w:rPr>
            </w:pPr>
          </w:p>
        </w:tc>
        <w:tc>
          <w:tcPr>
            <w:tcW w:w="7075" w:type="dxa"/>
            <w:tcBorders>
              <w:top w:val="single" w:sz="6" w:space="0" w:color="auto"/>
              <w:left w:val="single" w:sz="6" w:space="0" w:color="auto"/>
              <w:bottom w:val="single" w:sz="6" w:space="0" w:color="auto"/>
              <w:right w:val="single" w:sz="6" w:space="0" w:color="auto"/>
            </w:tcBorders>
            <w:hideMark/>
          </w:tcPr>
          <w:p w14:paraId="5F335BDA" w14:textId="77777777" w:rsidR="00201CCA" w:rsidRDefault="00201CCA">
            <w:pPr>
              <w:spacing w:after="100"/>
              <w:ind w:right="57"/>
              <w:rPr>
                <w:rFonts w:eastAsia="Times New Roman" w:cs="Arial"/>
                <w:kern w:val="0"/>
                <w:lang w:eastAsia="en-AU"/>
                <w14:ligatures w14:val="none"/>
              </w:rPr>
            </w:pPr>
            <w:r w:rsidRPr="00C22199">
              <w:rPr>
                <w:rFonts w:eastAsia="Times New Roman" w:cs="Arial"/>
                <w:kern w:val="0"/>
                <w:lang w:eastAsia="en-AU"/>
                <w14:ligatures w14:val="none"/>
              </w:rPr>
              <w:t xml:space="preserve">The PEDI-CAT </w:t>
            </w:r>
            <w:r>
              <w:rPr>
                <w:rFonts w:eastAsia="Times New Roman" w:cs="Arial"/>
                <w:kern w:val="0"/>
                <w:lang w:eastAsia="en-AU"/>
                <w14:ligatures w14:val="none"/>
              </w:rPr>
              <w:t>is</w:t>
            </w:r>
            <w:r w:rsidRPr="00C22199">
              <w:rPr>
                <w:rFonts w:eastAsia="Times New Roman" w:cs="Arial"/>
                <w:kern w:val="0"/>
                <w:lang w:eastAsia="en-AU"/>
                <w14:ligatures w14:val="none"/>
              </w:rPr>
              <w:t xml:space="preserve"> administered </w:t>
            </w:r>
            <w:r>
              <w:rPr>
                <w:rFonts w:eastAsia="Times New Roman" w:cs="Arial"/>
                <w:kern w:val="0"/>
                <w:lang w:eastAsia="en-AU"/>
                <w14:ligatures w14:val="none"/>
              </w:rPr>
              <w:t xml:space="preserve">by a professional </w:t>
            </w:r>
            <w:r w:rsidRPr="00C22199">
              <w:rPr>
                <w:rFonts w:eastAsia="Times New Roman" w:cs="Arial"/>
                <w:kern w:val="0"/>
                <w:lang w:eastAsia="en-AU"/>
                <w14:ligatures w14:val="none"/>
              </w:rPr>
              <w:t xml:space="preserve">through an online version via Pearson's Q-global platform (accessible on computers, tablets, and smartphones). </w:t>
            </w:r>
          </w:p>
          <w:p w14:paraId="5057A69E" w14:textId="77777777" w:rsidR="00201CCA" w:rsidRDefault="00201CCA">
            <w:pPr>
              <w:spacing w:after="100"/>
              <w:ind w:right="57"/>
              <w:rPr>
                <w:rFonts w:eastAsia="Times New Roman" w:cs="Arial"/>
                <w:kern w:val="0"/>
                <w:lang w:eastAsia="en-AU"/>
                <w14:ligatures w14:val="none"/>
              </w:rPr>
            </w:pPr>
            <w:hyperlink r:id="rId49" w:history="1">
              <w:r w:rsidRPr="00C22199">
                <w:rPr>
                  <w:rStyle w:val="Hyperlink"/>
                  <w:rFonts w:cs="Arial"/>
                </w:rPr>
                <w:t>https://qglobal.pearsonclinical.com/qg/au/login.seam</w:t>
              </w:r>
            </w:hyperlink>
          </w:p>
          <w:p w14:paraId="4D9FCEDE" w14:textId="77777777" w:rsidR="00201CCA" w:rsidRPr="00C22199" w:rsidRDefault="00201CCA">
            <w:pPr>
              <w:spacing w:after="100"/>
              <w:ind w:right="57"/>
              <w:rPr>
                <w:rFonts w:eastAsia="Times New Roman" w:cs="Arial"/>
                <w:kern w:val="0"/>
                <w:lang w:eastAsia="en-AU"/>
                <w14:ligatures w14:val="none"/>
              </w:rPr>
            </w:pPr>
            <w:r>
              <w:rPr>
                <w:rFonts w:eastAsia="Times New Roman" w:cs="Arial"/>
                <w:kern w:val="0"/>
                <w:lang w:eastAsia="en-AU"/>
                <w14:ligatures w14:val="none"/>
              </w:rPr>
              <w:t>The PED-CAT is completed by p</w:t>
            </w:r>
            <w:r w:rsidRPr="00C22199">
              <w:rPr>
                <w:rFonts w:eastAsia="Times New Roman" w:cs="Arial"/>
                <w:kern w:val="0"/>
                <w:lang w:eastAsia="en-AU"/>
                <w14:ligatures w14:val="none"/>
              </w:rPr>
              <w:t>arents, care</w:t>
            </w:r>
            <w:r>
              <w:rPr>
                <w:rFonts w:eastAsia="Times New Roman" w:cs="Arial"/>
                <w:kern w:val="0"/>
                <w:lang w:eastAsia="en-AU"/>
                <w14:ligatures w14:val="none"/>
              </w:rPr>
              <w:t>r</w:t>
            </w:r>
            <w:r w:rsidRPr="00C22199">
              <w:rPr>
                <w:rFonts w:eastAsia="Times New Roman" w:cs="Arial"/>
                <w:kern w:val="0"/>
                <w:lang w:eastAsia="en-AU"/>
                <w14:ligatures w14:val="none"/>
              </w:rPr>
              <w:t>s or any persons familiar with the child</w:t>
            </w:r>
            <w:r>
              <w:rPr>
                <w:rFonts w:eastAsia="Times New Roman" w:cs="Arial"/>
                <w:kern w:val="0"/>
                <w:lang w:eastAsia="en-AU"/>
                <w14:ligatures w14:val="none"/>
              </w:rPr>
              <w:t>’s</w:t>
            </w:r>
            <w:r w:rsidRPr="00C22199">
              <w:rPr>
                <w:rFonts w:eastAsia="Times New Roman" w:cs="Arial"/>
                <w:kern w:val="0"/>
                <w:lang w:eastAsia="en-AU"/>
                <w14:ligatures w14:val="none"/>
              </w:rPr>
              <w:t xml:space="preserve"> behaviour</w:t>
            </w:r>
            <w:r>
              <w:rPr>
                <w:rFonts w:eastAsia="Times New Roman" w:cs="Arial"/>
                <w:kern w:val="0"/>
                <w:lang w:eastAsia="en-AU"/>
                <w14:ligatures w14:val="none"/>
              </w:rPr>
              <w:t xml:space="preserve">. </w:t>
            </w:r>
          </w:p>
          <w:p w14:paraId="06D001D4" w14:textId="77777777" w:rsidR="00201CCA" w:rsidRPr="00BF43D8" w:rsidRDefault="00201CCA">
            <w:pPr>
              <w:spacing w:after="100"/>
              <w:ind w:left="57" w:right="57"/>
              <w:rPr>
                <w:rFonts w:eastAsia="Times New Roman" w:cs="Arial"/>
                <w:kern w:val="0"/>
                <w:lang w:eastAsia="en-AU"/>
                <w14:ligatures w14:val="none"/>
              </w:rPr>
            </w:pPr>
            <w:r w:rsidRPr="00C22199">
              <w:rPr>
                <w:rFonts w:eastAsia="Times New Roman" w:cs="Arial"/>
                <w:kern w:val="0"/>
                <w:lang w:eastAsia="en-AU"/>
                <w14:ligatures w14:val="none"/>
              </w:rPr>
              <w:t>The content-balanced version takes approximately 45 minutes while the speedy version takes about 10-20 minutes.</w:t>
            </w:r>
          </w:p>
        </w:tc>
      </w:tr>
      <w:tr w:rsidR="00201CCA" w:rsidRPr="00C22199" w14:paraId="259DA0A5" w14:textId="77777777" w:rsidTr="00B01C41">
        <w:trPr>
          <w:trHeight w:val="300"/>
        </w:trPr>
        <w:tc>
          <w:tcPr>
            <w:tcW w:w="1998" w:type="dxa"/>
            <w:tcBorders>
              <w:top w:val="single" w:sz="6" w:space="0" w:color="auto"/>
              <w:left w:val="single" w:sz="6" w:space="0" w:color="auto"/>
              <w:bottom w:val="single" w:sz="6" w:space="0" w:color="auto"/>
              <w:right w:val="single" w:sz="6" w:space="0" w:color="auto"/>
            </w:tcBorders>
            <w:hideMark/>
          </w:tcPr>
          <w:p w14:paraId="3DD46C8F" w14:textId="77777777" w:rsidR="00201CCA" w:rsidRPr="00C22199" w:rsidRDefault="00201CCA">
            <w:pPr>
              <w:spacing w:after="100"/>
              <w:ind w:left="57" w:right="57"/>
              <w:rPr>
                <w:rFonts w:cs="Arial"/>
              </w:rPr>
            </w:pPr>
            <w:r w:rsidRPr="00C22199">
              <w:rPr>
                <w:rFonts w:cs="Arial"/>
                <w:b/>
                <w:bCs/>
              </w:rPr>
              <w:t>Training requirements</w:t>
            </w:r>
            <w:r w:rsidRPr="00C22199">
              <w:rPr>
                <w:rFonts w:cs="Arial"/>
              </w:rPr>
              <w:t>  </w:t>
            </w:r>
          </w:p>
          <w:p w14:paraId="19556E36" w14:textId="77777777" w:rsidR="00201CCA" w:rsidRPr="00C22199" w:rsidRDefault="00201CCA">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7D71D34C" w14:textId="77777777" w:rsidR="00201CCA" w:rsidRDefault="00201CCA">
            <w:pPr>
              <w:spacing w:after="100"/>
              <w:ind w:right="57"/>
              <w:rPr>
                <w:rFonts w:eastAsia="Times New Roman" w:cs="Arial"/>
                <w:kern w:val="0"/>
                <w:lang w:eastAsia="en-AU"/>
                <w14:ligatures w14:val="none"/>
              </w:rPr>
            </w:pPr>
            <w:r>
              <w:rPr>
                <w:rFonts w:eastAsia="Times New Roman" w:cs="Arial"/>
                <w:kern w:val="0"/>
                <w:lang w:eastAsia="en-AU"/>
                <w14:ligatures w14:val="none"/>
              </w:rPr>
              <w:t xml:space="preserve">The PEDI-CAT should be administered and </w:t>
            </w:r>
            <w:r w:rsidRPr="00C22199">
              <w:rPr>
                <w:rFonts w:eastAsia="Times New Roman" w:cs="Arial"/>
                <w:kern w:val="0"/>
                <w:lang w:eastAsia="en-AU"/>
                <w14:ligatures w14:val="none"/>
              </w:rPr>
              <w:t xml:space="preserve">interpreted by a ‘User Level B’ professional </w:t>
            </w:r>
            <w:r>
              <w:rPr>
                <w:rFonts w:eastAsia="Times New Roman" w:cs="Arial"/>
                <w:kern w:val="0"/>
                <w:lang w:eastAsia="en-AU"/>
                <w14:ligatures w14:val="none"/>
              </w:rPr>
              <w:t>according to the</w:t>
            </w:r>
            <w:r w:rsidRPr="00C22199">
              <w:rPr>
                <w:rFonts w:eastAsia="Times New Roman" w:cs="Arial"/>
                <w:kern w:val="0"/>
                <w:lang w:eastAsia="en-AU"/>
                <w14:ligatures w14:val="none"/>
              </w:rPr>
              <w:t xml:space="preserve"> Pearson Clinical Australia qualifications policy. </w:t>
            </w:r>
            <w:r>
              <w:rPr>
                <w:rFonts w:eastAsia="Times New Roman" w:cs="Arial"/>
                <w:kern w:val="0"/>
                <w:lang w:eastAsia="en-AU"/>
                <w14:ligatures w14:val="none"/>
              </w:rPr>
              <w:t xml:space="preserve">‘User Level B’ professional includes </w:t>
            </w:r>
            <w:r w:rsidRPr="00C22199">
              <w:rPr>
                <w:rFonts w:eastAsia="Times New Roman" w:cs="Arial"/>
                <w:kern w:val="0"/>
                <w:lang w:eastAsia="en-AU"/>
                <w14:ligatures w14:val="none"/>
              </w:rPr>
              <w:t>special education or social work, or a bachelor’s degree in psychology, speech language therapy, occupational therapy, physiotherapy, psychiatry or paediatrics.</w:t>
            </w:r>
            <w:r>
              <w:rPr>
                <w:rFonts w:eastAsia="Times New Roman" w:cs="Arial"/>
                <w:kern w:val="0"/>
                <w:lang w:eastAsia="en-AU"/>
                <w14:ligatures w14:val="none"/>
              </w:rPr>
              <w:t xml:space="preserve"> </w:t>
            </w:r>
          </w:p>
          <w:p w14:paraId="12C407F8" w14:textId="77777777" w:rsidR="00201CCA" w:rsidRDefault="00201CCA">
            <w:pPr>
              <w:spacing w:after="100"/>
              <w:ind w:left="57" w:right="57"/>
              <w:rPr>
                <w:rFonts w:eastAsia="Times New Roman" w:cs="Arial"/>
                <w:kern w:val="0"/>
                <w:lang w:eastAsia="en-AU"/>
                <w14:ligatures w14:val="none"/>
              </w:rPr>
            </w:pPr>
            <w:hyperlink r:id="rId50" w:history="1">
              <w:r w:rsidRPr="00C22199">
                <w:rPr>
                  <w:rStyle w:val="Hyperlink"/>
                  <w:rFonts w:eastAsia="Times New Roman" w:cs="Arial"/>
                  <w:kern w:val="0"/>
                  <w:lang w:eastAsia="en-AU"/>
                  <w14:ligatures w14:val="none"/>
                </w:rPr>
                <w:t>https://www.pearsonclinical.com.au/ordering/how-to-order/qualifications/qualifications-policy.html</w:t>
              </w:r>
            </w:hyperlink>
            <w:r w:rsidRPr="00C22199">
              <w:rPr>
                <w:rFonts w:eastAsia="Times New Roman" w:cs="Arial"/>
                <w:kern w:val="0"/>
                <w:lang w:eastAsia="en-AU"/>
                <w14:ligatures w14:val="none"/>
              </w:rPr>
              <w:t xml:space="preserve"> </w:t>
            </w:r>
          </w:p>
          <w:p w14:paraId="0572643A" w14:textId="77777777" w:rsidR="00201CCA" w:rsidRPr="00C22199" w:rsidRDefault="00201CCA">
            <w:pPr>
              <w:spacing w:after="100"/>
              <w:ind w:right="57"/>
              <w:rPr>
                <w:rFonts w:cs="Arial"/>
              </w:rPr>
            </w:pPr>
            <w:r w:rsidRPr="00C22199">
              <w:rPr>
                <w:rFonts w:eastAsia="Times New Roman" w:cs="Arial"/>
                <w:kern w:val="0"/>
                <w:lang w:eastAsia="en-AU"/>
                <w14:ligatures w14:val="none"/>
              </w:rPr>
              <w:t>It is highly recommended that professionals review the PEDI-CAT manual prior to administration to understand the administration procedures, content, item intent, response scales, and score interpretation.</w:t>
            </w:r>
          </w:p>
          <w:p w14:paraId="107BC237" w14:textId="77777777" w:rsidR="00201CCA" w:rsidRPr="00C22199" w:rsidRDefault="00201CCA">
            <w:pPr>
              <w:spacing w:after="100"/>
              <w:ind w:right="57"/>
              <w:rPr>
                <w:rFonts w:eastAsia="Times New Roman" w:cs="Arial"/>
                <w:kern w:val="0"/>
                <w:lang w:eastAsia="en-AU"/>
                <w14:ligatures w14:val="none"/>
              </w:rPr>
            </w:pPr>
            <w:r w:rsidRPr="00C22199">
              <w:rPr>
                <w:rFonts w:eastAsia="Times New Roman" w:cs="Arial"/>
                <w:kern w:val="0"/>
                <w:lang w:eastAsia="en-AU"/>
                <w14:ligatures w14:val="none"/>
              </w:rPr>
              <w:lastRenderedPageBreak/>
              <w:t>Pearson Clinical Australia also offers a Pearson’s User Level B Accreditation Course that is designed to upskill professionals in education and healthcare in statistical and psychometric foundations, and practical administration and interpretation skills to assist with the administration and interpretation of User Level B assessments.</w:t>
            </w:r>
          </w:p>
          <w:p w14:paraId="1C272AB2" w14:textId="554C756C" w:rsidR="00201CCA" w:rsidRPr="00D8133C" w:rsidRDefault="00201CCA" w:rsidP="00D8133C">
            <w:pPr>
              <w:spacing w:after="100"/>
              <w:ind w:left="57" w:right="57"/>
              <w:rPr>
                <w:rFonts w:cs="Arial"/>
              </w:rPr>
            </w:pPr>
            <w:hyperlink r:id="rId51" w:history="1">
              <w:r w:rsidRPr="00FC5ABE">
                <w:rPr>
                  <w:rStyle w:val="Hyperlink"/>
                  <w:rFonts w:cs="Arial"/>
                </w:rPr>
                <w:t>https://www.pearsonclinical.com.au/en-au/c/User-Level-B-Assessment-Training/p/P100051003?productId=A103000360924</w:t>
              </w:r>
            </w:hyperlink>
            <w:r w:rsidRPr="00FC5ABE">
              <w:rPr>
                <w:rFonts w:cs="Arial"/>
              </w:rPr>
              <w:t xml:space="preserve"> </w:t>
            </w:r>
          </w:p>
        </w:tc>
      </w:tr>
      <w:tr w:rsidR="00201CCA" w:rsidRPr="00C22199" w14:paraId="3B0A1AD3" w14:textId="77777777" w:rsidTr="00B01C41">
        <w:trPr>
          <w:trHeight w:val="300"/>
        </w:trPr>
        <w:tc>
          <w:tcPr>
            <w:tcW w:w="1998" w:type="dxa"/>
            <w:tcBorders>
              <w:top w:val="single" w:sz="6" w:space="0" w:color="auto"/>
              <w:left w:val="single" w:sz="6" w:space="0" w:color="auto"/>
              <w:bottom w:val="single" w:sz="6" w:space="0" w:color="auto"/>
              <w:right w:val="single" w:sz="6" w:space="0" w:color="auto"/>
            </w:tcBorders>
            <w:hideMark/>
          </w:tcPr>
          <w:p w14:paraId="2B289357" w14:textId="77777777" w:rsidR="00201CCA" w:rsidRPr="00C22199" w:rsidRDefault="00201CCA">
            <w:pPr>
              <w:spacing w:after="100"/>
              <w:ind w:left="57" w:right="57"/>
              <w:rPr>
                <w:rFonts w:cs="Arial"/>
                <w:b/>
                <w:bCs/>
              </w:rPr>
            </w:pPr>
            <w:r w:rsidRPr="00C22199">
              <w:rPr>
                <w:rFonts w:cs="Arial"/>
                <w:b/>
                <w:bCs/>
              </w:rPr>
              <w:lastRenderedPageBreak/>
              <w:t>How to access</w:t>
            </w:r>
          </w:p>
          <w:p w14:paraId="4EA92953" w14:textId="77777777" w:rsidR="00201CCA" w:rsidRPr="00C22199" w:rsidRDefault="00201CCA">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4AA3423F" w14:textId="77777777" w:rsidR="00201CCA" w:rsidRPr="00C22199" w:rsidRDefault="00201CCA">
            <w:pPr>
              <w:spacing w:after="100"/>
              <w:ind w:right="57"/>
              <w:rPr>
                <w:rFonts w:eastAsia="Times New Roman" w:cs="Arial"/>
                <w:kern w:val="0"/>
                <w:lang w:eastAsia="en-AU"/>
                <w14:ligatures w14:val="none"/>
              </w:rPr>
            </w:pPr>
            <w:r w:rsidRPr="00C22199">
              <w:rPr>
                <w:rFonts w:eastAsia="Times New Roman" w:cs="Arial"/>
                <w:kern w:val="0"/>
                <w:lang w:eastAsia="en-AU"/>
                <w14:ligatures w14:val="none"/>
              </w:rPr>
              <w:t>In Australia, the PEDI-CAT can be purchased through Pearson Clinical Australia website</w:t>
            </w:r>
            <w:r>
              <w:rPr>
                <w:rFonts w:eastAsia="Times New Roman" w:cs="Arial"/>
                <w:kern w:val="0"/>
                <w:lang w:eastAsia="en-AU"/>
                <w14:ligatures w14:val="none"/>
              </w:rPr>
              <w:t xml:space="preserve">. </w:t>
            </w:r>
          </w:p>
          <w:p w14:paraId="23D84635" w14:textId="51343971" w:rsidR="00201CCA" w:rsidRPr="00D8133C" w:rsidRDefault="00201CCA" w:rsidP="00D8133C">
            <w:pPr>
              <w:spacing w:after="100"/>
              <w:ind w:left="57" w:right="57"/>
              <w:rPr>
                <w:rFonts w:eastAsia="Times New Roman" w:cs="Arial"/>
                <w:kern w:val="0"/>
                <w:lang w:eastAsia="en-AU"/>
                <w14:ligatures w14:val="none"/>
              </w:rPr>
            </w:pPr>
            <w:hyperlink r:id="rId52" w:history="1">
              <w:r w:rsidRPr="00C22199">
                <w:rPr>
                  <w:rStyle w:val="Hyperlink"/>
                  <w:rFonts w:eastAsia="Times New Roman" w:cs="Arial"/>
                  <w:kern w:val="0"/>
                  <w:lang w:eastAsia="en-AU"/>
                  <w14:ligatures w14:val="none"/>
                </w:rPr>
                <w:t>https://www.pearsonclinical.com.au/products.html</w:t>
              </w:r>
            </w:hyperlink>
            <w:r w:rsidRPr="00C22199">
              <w:rPr>
                <w:rFonts w:eastAsia="Times New Roman" w:cs="Arial"/>
                <w:kern w:val="0"/>
                <w:lang w:eastAsia="en-AU"/>
                <w14:ligatures w14:val="none"/>
              </w:rPr>
              <w:t xml:space="preserve"> </w:t>
            </w:r>
          </w:p>
        </w:tc>
      </w:tr>
    </w:tbl>
    <w:p w14:paraId="0DB3D3A4" w14:textId="77777777" w:rsidR="00201CCA" w:rsidRDefault="00201CCA"/>
    <w:p w14:paraId="46CAFCE4" w14:textId="77777777" w:rsidR="00201CCA" w:rsidRDefault="00201CCA">
      <w:pPr>
        <w:rPr>
          <w:rFonts w:eastAsiaTheme="majorEastAsia" w:cs="Arial"/>
          <w:b/>
          <w:bCs/>
          <w:color w:val="3F779D"/>
          <w:sz w:val="32"/>
          <w:szCs w:val="32"/>
        </w:rPr>
      </w:pPr>
      <w:bookmarkStart w:id="61" w:name="_[Tool]_Evidence_Summary"/>
      <w:bookmarkEnd w:id="61"/>
      <w:r>
        <w:br w:type="page"/>
      </w:r>
    </w:p>
    <w:p w14:paraId="74548726" w14:textId="77777777" w:rsidR="00201CCA" w:rsidRPr="00531564" w:rsidRDefault="00201CCA" w:rsidP="003C0562">
      <w:pPr>
        <w:pStyle w:val="Heading1"/>
      </w:pPr>
      <w:bookmarkStart w:id="62" w:name="_PEDI-CAT_Evidence_Summary"/>
      <w:bookmarkEnd w:id="62"/>
      <w:r>
        <w:lastRenderedPageBreak/>
        <w:t xml:space="preserve">PEDI-CAT </w:t>
      </w:r>
      <w:r w:rsidRPr="00531564">
        <w:t>Evidence Summary</w:t>
      </w:r>
    </w:p>
    <w:p w14:paraId="69D1B237" w14:textId="3C7FA747" w:rsidR="00201CCA" w:rsidRPr="00531564" w:rsidRDefault="00201CCA">
      <w:hyperlink w:anchor="_PEDI-CAT_Reference_List" w:history="1">
        <w:r w:rsidRPr="00630486">
          <w:rPr>
            <w:rStyle w:val="Hyperlink"/>
            <w:rFonts w:eastAsia="Aptos" w:cs="Arial"/>
            <w:i/>
            <w:iCs/>
          </w:rPr>
          <w:t>Link to PEDI-CAT Reference List</w:t>
        </w:r>
      </w:hyperlink>
    </w:p>
    <w:tbl>
      <w:tblPr>
        <w:tblW w:w="9054"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9"/>
        <w:gridCol w:w="7075"/>
      </w:tblGrid>
      <w:tr w:rsidR="00201CCA" w:rsidRPr="00DA4CC0" w14:paraId="01AE9667"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2CAEDA19" w14:textId="77777777" w:rsidR="00201CCA" w:rsidRDefault="00201CCA">
            <w:pPr>
              <w:spacing w:after="100" w:line="276" w:lineRule="auto"/>
              <w:ind w:left="57" w:right="57"/>
              <w:rPr>
                <w:rFonts w:eastAsia="Aptos" w:cs="Arial"/>
                <w:b/>
                <w:bCs/>
              </w:rPr>
            </w:pPr>
            <w:r w:rsidRPr="00DA4CC0">
              <w:rPr>
                <w:rFonts w:eastAsia="Aptos" w:cs="Arial"/>
                <w:b/>
                <w:bCs/>
              </w:rPr>
              <w:t>Overview</w:t>
            </w:r>
          </w:p>
          <w:p w14:paraId="4AF1BD0F" w14:textId="77777777" w:rsidR="00201CCA" w:rsidRPr="00350F1C" w:rsidRDefault="00201CCA">
            <w:pPr>
              <w:spacing w:after="100" w:line="276" w:lineRule="auto"/>
              <w:ind w:left="57" w:right="57"/>
              <w:rPr>
                <w:rFonts w:eastAsia="Aptos" w:cs="Arial"/>
                <w:i/>
                <w:iCs/>
              </w:rPr>
            </w:pPr>
          </w:p>
        </w:tc>
        <w:tc>
          <w:tcPr>
            <w:tcW w:w="7075" w:type="dxa"/>
            <w:tcBorders>
              <w:top w:val="single" w:sz="6" w:space="0" w:color="auto"/>
              <w:left w:val="single" w:sz="6" w:space="0" w:color="auto"/>
              <w:bottom w:val="single" w:sz="6" w:space="0" w:color="auto"/>
              <w:right w:val="single" w:sz="6" w:space="0" w:color="auto"/>
            </w:tcBorders>
          </w:tcPr>
          <w:p w14:paraId="36EEC955" w14:textId="61A9E289" w:rsidR="00201CCA" w:rsidRPr="00DA4CC0" w:rsidRDefault="00201CCA">
            <w:pPr>
              <w:spacing w:after="100" w:line="276" w:lineRule="auto"/>
              <w:ind w:left="57" w:right="57"/>
              <w:rPr>
                <w:rFonts w:eastAsia="Aptos" w:cs="Arial"/>
                <w:color w:val="000000" w:themeColor="text1"/>
              </w:rPr>
            </w:pPr>
            <w:r>
              <w:rPr>
                <w:rFonts w:eastAsia="Aptos" w:cs="Arial"/>
                <w:color w:val="000000" w:themeColor="text1"/>
              </w:rPr>
              <w:t xml:space="preserve">35 papers were identified that </w:t>
            </w:r>
            <w:r w:rsidRPr="00B1093A">
              <w:rPr>
                <w:rFonts w:eastAsia="Aptos" w:cs="Arial"/>
                <w:color w:val="000000"/>
              </w:rPr>
              <w:t xml:space="preserve">report on the measurement properties of the </w:t>
            </w:r>
            <w:r>
              <w:rPr>
                <w:rFonts w:eastAsia="Aptos" w:cs="Arial"/>
                <w:color w:val="000000"/>
              </w:rPr>
              <w:t>PEDI-CAT</w:t>
            </w:r>
            <w:r w:rsidRPr="00B1093A">
              <w:rPr>
                <w:rFonts w:eastAsia="Aptos" w:cs="Arial"/>
                <w:color w:val="000000"/>
              </w:rPr>
              <w:t xml:space="preserve"> or </w:t>
            </w:r>
            <w:r>
              <w:rPr>
                <w:rFonts w:eastAsia="Aptos" w:cs="Arial"/>
                <w:color w:val="000000"/>
              </w:rPr>
              <w:t xml:space="preserve">its </w:t>
            </w:r>
            <w:r w:rsidRPr="00B1093A">
              <w:rPr>
                <w:rFonts w:eastAsia="Aptos" w:cs="Arial"/>
                <w:color w:val="000000"/>
              </w:rPr>
              <w:t>use as an outcome measure in the ECI practice setting</w:t>
            </w:r>
            <w:r>
              <w:rPr>
                <w:rFonts w:eastAsia="Aptos" w:cs="Arial"/>
                <w:color w:val="000000"/>
              </w:rPr>
              <w:t xml:space="preserve"> (2005-2024)</w:t>
            </w:r>
            <w:r w:rsidR="008351AB">
              <w:rPr>
                <w:rFonts w:eastAsia="Aptos" w:cs="Arial"/>
                <w:color w:val="000000"/>
              </w:rPr>
              <w:t>.</w:t>
            </w:r>
          </w:p>
        </w:tc>
      </w:tr>
      <w:tr w:rsidR="00201CCA" w:rsidRPr="00DA4CC0" w14:paraId="56BBDECD"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21CC9CB3" w14:textId="77777777" w:rsidR="00201CCA" w:rsidRPr="00DA4CC0" w:rsidRDefault="00201CCA">
            <w:pPr>
              <w:spacing w:after="100" w:line="276" w:lineRule="auto"/>
              <w:ind w:left="57" w:right="57"/>
              <w:rPr>
                <w:rFonts w:eastAsia="Aptos" w:cs="Arial"/>
                <w:b/>
                <w:bCs/>
              </w:rPr>
            </w:pPr>
            <w:r w:rsidRPr="00DA4CC0">
              <w:rPr>
                <w:rFonts w:eastAsia="Aptos" w:cs="Arial"/>
                <w:b/>
                <w:bCs/>
              </w:rPr>
              <w:t>Review papers</w:t>
            </w:r>
          </w:p>
        </w:tc>
        <w:tc>
          <w:tcPr>
            <w:tcW w:w="7075" w:type="dxa"/>
            <w:tcBorders>
              <w:top w:val="single" w:sz="6" w:space="0" w:color="auto"/>
              <w:left w:val="single" w:sz="6" w:space="0" w:color="auto"/>
              <w:bottom w:val="single" w:sz="6" w:space="0" w:color="auto"/>
              <w:right w:val="single" w:sz="6" w:space="0" w:color="auto"/>
            </w:tcBorders>
          </w:tcPr>
          <w:p w14:paraId="41A44A1C" w14:textId="77777777" w:rsidR="00201CCA" w:rsidRPr="00A20CB5" w:rsidRDefault="00201CCA">
            <w:pPr>
              <w:spacing w:after="100" w:line="276" w:lineRule="auto"/>
              <w:ind w:right="57"/>
              <w:rPr>
                <w:rFonts w:eastAsia="Aptos" w:cs="Arial"/>
                <w:i/>
                <w:iCs/>
                <w:color w:val="000000" w:themeColor="text1"/>
              </w:rPr>
            </w:pPr>
            <w:r>
              <w:rPr>
                <w:rFonts w:eastAsia="Aptos" w:cs="Arial"/>
                <w:i/>
                <w:iCs/>
                <w:color w:val="000000" w:themeColor="text1"/>
              </w:rPr>
              <w:t>No references identified</w:t>
            </w:r>
          </w:p>
        </w:tc>
      </w:tr>
      <w:tr w:rsidR="00201CCA" w:rsidRPr="00DA4CC0" w14:paraId="4E104A46"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005F3505" w14:textId="77777777" w:rsidR="00201CCA" w:rsidRPr="00DA4CC0" w:rsidRDefault="00201CCA">
            <w:pPr>
              <w:spacing w:after="100" w:line="276" w:lineRule="auto"/>
              <w:ind w:left="57" w:right="57"/>
              <w:rPr>
                <w:rFonts w:eastAsia="Aptos" w:cs="Arial"/>
                <w:b/>
                <w:bCs/>
              </w:rPr>
            </w:pPr>
            <w:r w:rsidRPr="00DA4CC0">
              <w:rPr>
                <w:rFonts w:eastAsia="Aptos" w:cs="Arial"/>
                <w:b/>
                <w:bC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5F81AC6C" w14:textId="77777777" w:rsidR="00201CCA" w:rsidRPr="00EB2D43" w:rsidRDefault="00201CCA">
            <w:pPr>
              <w:spacing w:after="100" w:line="276" w:lineRule="auto"/>
              <w:ind w:right="57"/>
              <w:rPr>
                <w:rFonts w:eastAsia="Aptos" w:cs="Arial"/>
                <w:color w:val="000000" w:themeColor="text1"/>
              </w:rPr>
            </w:pPr>
            <w:r w:rsidRPr="00EB2D43">
              <w:rPr>
                <w:rFonts w:eastAsia="Aptos" w:cs="Arial"/>
                <w:color w:val="000000" w:themeColor="text1"/>
              </w:rPr>
              <w:t>The measurement properties of the PEDI-CAT have been tested in 15 studies in the USA (2005-2021) with diverse populations including children with and without disabilities, those in post-acute hospital settings, and children with specific conditions such as cerebral palsy, fragile X syndrome, spinal muscular atrophy, complex medical needs, and children using mobility devices. Studies have examined various measurement properties including reliability, validity (concurrent, construct, convergent, discriminant), responsiveness, and feasibility of administration. The PEDI-CAT has been compared with the original PEDI and other functional measures, with studies exploring item performance, score distributions, and ability to discriminate between functional levels.</w:t>
            </w:r>
          </w:p>
          <w:p w14:paraId="0CC0A081" w14:textId="77777777" w:rsidR="00201CCA" w:rsidRPr="00EB2D43" w:rsidRDefault="00201CCA">
            <w:pPr>
              <w:spacing w:after="100" w:line="276" w:lineRule="auto"/>
              <w:ind w:right="57"/>
              <w:rPr>
                <w:rFonts w:eastAsia="Aptos" w:cs="Arial"/>
                <w:color w:val="000000" w:themeColor="text1"/>
              </w:rPr>
            </w:pPr>
            <w:r w:rsidRPr="00EB2D43">
              <w:rPr>
                <w:rFonts w:eastAsia="Aptos" w:cs="Arial"/>
                <w:color w:val="000000" w:themeColor="text1"/>
              </w:rPr>
              <w:t>The measurement properties of the PEDI-CAT speedy version and Vineland-3 have been compared in measuring the functional abilities of young children with neurodevelopmental disorders (Australia, 2020). Longitudinal trajectories on the PEDI-CAT have also been explored compared to Gross Motor Function Classification System (GMFCS) level (2022) and Manual Ability Classification System (MACS) level (2020) for children with cerebral palsy in Australia.</w:t>
            </w:r>
          </w:p>
          <w:p w14:paraId="54DA1AA0" w14:textId="77777777" w:rsidR="00201CCA" w:rsidRPr="00EB2D43" w:rsidRDefault="00201CCA">
            <w:pPr>
              <w:spacing w:after="100" w:line="276" w:lineRule="auto"/>
              <w:ind w:right="57"/>
              <w:rPr>
                <w:rFonts w:eastAsia="Aptos" w:cs="Arial"/>
                <w:color w:val="000000" w:themeColor="text1"/>
              </w:rPr>
            </w:pPr>
            <w:r w:rsidRPr="00EB2D43">
              <w:rPr>
                <w:rFonts w:eastAsia="Aptos" w:cs="Arial"/>
                <w:color w:val="000000" w:themeColor="text1"/>
              </w:rPr>
              <w:t>The PEDI-CAT Mobility domain has been specifically evaluated for concurrent validity with the original PEDI Functional Skills Mobility Scale (USA, 2012) and for discriminant validity in children who use walking aids or wheelchairs (USA, 2012).</w:t>
            </w:r>
          </w:p>
          <w:p w14:paraId="4E3C5AF2" w14:textId="77777777" w:rsidR="00201CCA" w:rsidRPr="00EB2D43" w:rsidRDefault="00201CCA">
            <w:pPr>
              <w:spacing w:after="100" w:line="276" w:lineRule="auto"/>
              <w:ind w:right="57"/>
              <w:rPr>
                <w:rFonts w:eastAsia="Aptos" w:cs="Arial"/>
                <w:color w:val="000000" w:themeColor="text1"/>
              </w:rPr>
            </w:pPr>
            <w:r w:rsidRPr="00EB2D43">
              <w:rPr>
                <w:rFonts w:eastAsia="Aptos" w:cs="Arial"/>
                <w:color w:val="000000" w:themeColor="text1"/>
              </w:rPr>
              <w:t xml:space="preserve">The content validity of the PEDI-CAT Speedy Mobility domain has been explored in a retrospective study of children with motor impairment (USA, 2021). </w:t>
            </w:r>
          </w:p>
          <w:p w14:paraId="7C79C230" w14:textId="77777777" w:rsidR="00201CCA" w:rsidRPr="00EB2D43" w:rsidRDefault="00201CCA">
            <w:pPr>
              <w:spacing w:after="100" w:line="276" w:lineRule="auto"/>
              <w:ind w:right="57"/>
              <w:rPr>
                <w:rFonts w:eastAsia="Aptos" w:cs="Arial"/>
                <w:color w:val="000000" w:themeColor="text1"/>
              </w:rPr>
            </w:pPr>
            <w:r w:rsidRPr="00EB2D43">
              <w:rPr>
                <w:rFonts w:eastAsia="Aptos" w:cs="Arial"/>
                <w:color w:val="000000" w:themeColor="text1"/>
              </w:rPr>
              <w:t>Youth perspectives on the PEDI-CAT Responsibility domain have been explored to determine if the way responsibility is defined and measured is meaningful and relevant to youth with developmental disabilities (USA, 2019).</w:t>
            </w:r>
          </w:p>
          <w:p w14:paraId="661BA831" w14:textId="77777777" w:rsidR="00201CCA" w:rsidRPr="00DA4CC0" w:rsidRDefault="00201CCA">
            <w:pPr>
              <w:spacing w:after="100" w:line="276" w:lineRule="auto"/>
              <w:ind w:right="57"/>
              <w:rPr>
                <w:rFonts w:eastAsia="Aptos" w:cs="Arial"/>
                <w:color w:val="000000" w:themeColor="text1"/>
              </w:rPr>
            </w:pPr>
            <w:r w:rsidRPr="00EB2D43">
              <w:rPr>
                <w:rFonts w:eastAsia="Aptos" w:cs="Arial"/>
                <w:color w:val="000000" w:themeColor="text1"/>
              </w:rPr>
              <w:lastRenderedPageBreak/>
              <w:t>The reliability, validity and acceptability of the PEDI-CAT (ASD) has been explored in a large Australian sample of autistic children and young people (2024), and two studies of autistic children and young people in the USA (2016).</w:t>
            </w:r>
          </w:p>
        </w:tc>
      </w:tr>
      <w:tr w:rsidR="00201CCA" w:rsidRPr="00DA4CC0" w14:paraId="08BF1DA9"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61FE3D8A" w14:textId="77777777" w:rsidR="00201CCA" w:rsidRPr="00DA4CC0" w:rsidRDefault="00201CCA">
            <w:pPr>
              <w:spacing w:after="100" w:line="276" w:lineRule="auto"/>
              <w:ind w:left="57" w:right="57"/>
              <w:rPr>
                <w:rFonts w:eastAsia="Aptos" w:cs="Arial"/>
                <w:b/>
                <w:bCs/>
              </w:rPr>
            </w:pPr>
            <w:r w:rsidRPr="6E7C5994">
              <w:rPr>
                <w:rFonts w:eastAsia="Aptos" w:cs="Arial"/>
                <w:b/>
                <w:bCs/>
              </w:rPr>
              <w:lastRenderedPageBreak/>
              <w:t xml:space="preserve">Cultural </w:t>
            </w:r>
            <w:r w:rsidRPr="64920801">
              <w:rPr>
                <w:rFonts w:eastAsia="Aptos" w:cs="Arial"/>
                <w:b/>
                <w:bCs/>
              </w:rPr>
              <w:t>adaptation</w:t>
            </w:r>
            <w:r w:rsidRPr="6E7C5994">
              <w:rPr>
                <w:rFonts w:eastAsia="Aptos" w:cs="Arial"/>
                <w:b/>
                <w:bCs/>
              </w:rPr>
              <w:t xml:space="preserve"> papers</w:t>
            </w:r>
          </w:p>
        </w:tc>
        <w:tc>
          <w:tcPr>
            <w:tcW w:w="7075" w:type="dxa"/>
            <w:tcBorders>
              <w:top w:val="single" w:sz="6" w:space="0" w:color="auto"/>
              <w:left w:val="single" w:sz="6" w:space="0" w:color="auto"/>
              <w:bottom w:val="single" w:sz="6" w:space="0" w:color="auto"/>
              <w:right w:val="single" w:sz="6" w:space="0" w:color="auto"/>
            </w:tcBorders>
          </w:tcPr>
          <w:p w14:paraId="718BB65D" w14:textId="77777777" w:rsidR="00201CCA" w:rsidRPr="00600952" w:rsidRDefault="00201CCA">
            <w:pPr>
              <w:spacing w:after="100" w:line="276" w:lineRule="auto"/>
              <w:ind w:right="57"/>
              <w:rPr>
                <w:rFonts w:eastAsia="Aptos" w:cs="Arial"/>
                <w:color w:val="000000" w:themeColor="text1"/>
              </w:rPr>
            </w:pPr>
            <w:r w:rsidRPr="00600952">
              <w:rPr>
                <w:rFonts w:eastAsia="Aptos" w:cs="Arial"/>
                <w:color w:val="000000" w:themeColor="text1"/>
              </w:rPr>
              <w:t>The PEDI-CAT has been described as theoretically consistent, culturally appropriate, and a reliable instrument following translation and cultural adaptation into Brazilian Portuguese (2016)</w:t>
            </w:r>
            <w:r>
              <w:rPr>
                <w:rFonts w:eastAsia="Aptos" w:cs="Arial"/>
                <w:color w:val="000000" w:themeColor="text1"/>
              </w:rPr>
              <w:t xml:space="preserve">. The measurement properties of PEDI-CAT daily activity and mobility items have been explored in children with cerebral palsy in Brazil (2020) and the </w:t>
            </w:r>
            <w:r w:rsidRPr="00600952">
              <w:rPr>
                <w:rFonts w:eastAsia="Aptos" w:cs="Arial"/>
                <w:color w:val="000000" w:themeColor="text1"/>
              </w:rPr>
              <w:t xml:space="preserve">measurement properties of the PEDI-CAT content-balanced and speedy version administered via telehealth have also been explored </w:t>
            </w:r>
            <w:r>
              <w:rPr>
                <w:rFonts w:eastAsia="Aptos" w:cs="Arial"/>
                <w:color w:val="000000" w:themeColor="text1"/>
              </w:rPr>
              <w:t>for</w:t>
            </w:r>
            <w:r w:rsidRPr="00600952">
              <w:rPr>
                <w:rFonts w:eastAsia="Aptos" w:cs="Arial"/>
                <w:color w:val="000000" w:themeColor="text1"/>
              </w:rPr>
              <w:t xml:space="preserve"> young people with Down Syndrome in Brazil (2024).</w:t>
            </w:r>
            <w:r>
              <w:rPr>
                <w:rFonts w:eastAsia="Aptos" w:cs="Arial"/>
                <w:color w:val="000000" w:themeColor="text1"/>
              </w:rPr>
              <w:t xml:space="preserve"> </w:t>
            </w:r>
          </w:p>
          <w:p w14:paraId="17E008D2" w14:textId="77777777" w:rsidR="00201CCA" w:rsidRPr="00DA4CC0" w:rsidRDefault="00201CCA">
            <w:pPr>
              <w:spacing w:after="100" w:line="276" w:lineRule="auto"/>
              <w:ind w:right="57"/>
              <w:rPr>
                <w:rFonts w:eastAsia="Aptos" w:cs="Arial"/>
                <w:color w:val="000000" w:themeColor="text1"/>
              </w:rPr>
            </w:pPr>
            <w:r w:rsidRPr="00600952">
              <w:rPr>
                <w:rFonts w:eastAsia="Aptos" w:cs="Arial"/>
                <w:color w:val="000000" w:themeColor="text1"/>
              </w:rPr>
              <w:t>The PEDI-CAT has been translated</w:t>
            </w:r>
            <w:r>
              <w:rPr>
                <w:rFonts w:eastAsia="Aptos" w:cs="Arial"/>
                <w:color w:val="000000" w:themeColor="text1"/>
              </w:rPr>
              <w:t xml:space="preserve"> and </w:t>
            </w:r>
            <w:r w:rsidRPr="00600952">
              <w:rPr>
                <w:rFonts w:eastAsia="Aptos" w:cs="Arial"/>
                <w:color w:val="000000" w:themeColor="text1"/>
              </w:rPr>
              <w:t>adapted</w:t>
            </w:r>
            <w:r>
              <w:rPr>
                <w:rFonts w:eastAsia="Aptos" w:cs="Arial"/>
                <w:color w:val="000000" w:themeColor="text1"/>
              </w:rPr>
              <w:t xml:space="preserve"> in the </w:t>
            </w:r>
            <w:r w:rsidRPr="00600952">
              <w:rPr>
                <w:rFonts w:eastAsia="Aptos" w:cs="Arial"/>
                <w:color w:val="000000" w:themeColor="text1"/>
              </w:rPr>
              <w:t>Dutch language and culture</w:t>
            </w:r>
            <w:r>
              <w:rPr>
                <w:rFonts w:eastAsia="Aptos" w:cs="Arial"/>
                <w:color w:val="000000" w:themeColor="text1"/>
              </w:rPr>
              <w:t xml:space="preserve">, including testing with parents of children and adolescents with and without disabilities </w:t>
            </w:r>
            <w:r w:rsidRPr="00600952">
              <w:rPr>
                <w:rFonts w:eastAsia="Aptos" w:cs="Arial"/>
                <w:color w:val="000000" w:themeColor="text1"/>
              </w:rPr>
              <w:t>(The Netherlands, 2019).</w:t>
            </w:r>
          </w:p>
        </w:tc>
      </w:tr>
      <w:tr w:rsidR="00201CCA" w:rsidRPr="00DA4CC0" w14:paraId="4AB65A6C"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26E186CE" w14:textId="77777777" w:rsidR="00201CCA" w:rsidRPr="00DA4CC0" w:rsidRDefault="00201CCA">
            <w:pPr>
              <w:spacing w:after="100" w:line="276" w:lineRule="auto"/>
              <w:ind w:left="57" w:right="57"/>
              <w:rPr>
                <w:rFonts w:eastAsia="Aptos" w:cs="Arial"/>
                <w:b/>
                <w:bCs/>
              </w:rPr>
            </w:pPr>
            <w:r w:rsidRPr="00DA4CC0">
              <w:rPr>
                <w:rFonts w:eastAsia="Aptos" w:cs="Arial"/>
                <w:b/>
                <w:bCs/>
              </w:rPr>
              <w:t>Outcome studies in ECI settings</w:t>
            </w:r>
          </w:p>
        </w:tc>
        <w:tc>
          <w:tcPr>
            <w:tcW w:w="7075" w:type="dxa"/>
            <w:tcBorders>
              <w:top w:val="single" w:sz="6" w:space="0" w:color="auto"/>
              <w:left w:val="single" w:sz="6" w:space="0" w:color="auto"/>
              <w:bottom w:val="single" w:sz="6" w:space="0" w:color="auto"/>
              <w:right w:val="single" w:sz="6" w:space="0" w:color="auto"/>
            </w:tcBorders>
          </w:tcPr>
          <w:p w14:paraId="34FD5F55" w14:textId="35A1DAB8" w:rsidR="00201CCA" w:rsidRDefault="00201CCA">
            <w:pPr>
              <w:spacing w:after="100" w:line="276" w:lineRule="auto"/>
              <w:ind w:right="57"/>
              <w:rPr>
                <w:rFonts w:eastAsia="Aptos" w:cs="Arial"/>
                <w:color w:val="000000" w:themeColor="text1"/>
              </w:rPr>
            </w:pPr>
            <w:r>
              <w:rPr>
                <w:rFonts w:eastAsia="Aptos" w:cs="Arial"/>
                <w:color w:val="000000" w:themeColor="text1"/>
              </w:rPr>
              <w:t>The PEDI-CAT has been used as an outcome measure in a randomised controlled trial of home-based virtual reality-enhanced upper limb training in children with brain injury (Korea, 2023)</w:t>
            </w:r>
            <w:r w:rsidR="00D54558">
              <w:rPr>
                <w:rFonts w:eastAsia="Aptos" w:cs="Arial"/>
                <w:color w:val="000000" w:themeColor="text1"/>
              </w:rPr>
              <w:t>.</w:t>
            </w:r>
            <w:r>
              <w:rPr>
                <w:rFonts w:eastAsia="Aptos" w:cs="Arial"/>
                <w:color w:val="000000" w:themeColor="text1"/>
              </w:rPr>
              <w:t xml:space="preserve"> </w:t>
            </w:r>
          </w:p>
          <w:p w14:paraId="773F1931" w14:textId="77777777" w:rsidR="00201CCA" w:rsidRPr="00DA4CC0" w:rsidRDefault="00201CCA">
            <w:pPr>
              <w:spacing w:after="100" w:line="276" w:lineRule="auto"/>
              <w:ind w:right="57"/>
              <w:rPr>
                <w:rFonts w:eastAsia="Aptos" w:cs="Arial"/>
                <w:color w:val="000000" w:themeColor="text1"/>
              </w:rPr>
            </w:pPr>
            <w:r>
              <w:rPr>
                <w:rFonts w:eastAsia="Aptos" w:cs="Arial"/>
                <w:color w:val="000000" w:themeColor="text1"/>
              </w:rPr>
              <w:t>The PEDI-CAT has been used in a feasibility study exploring changes in activity and participation following hippotherapy for children with movement impairments (USA, 2023), in a randomised study comparing two treatment service delivery models in outpatient physical therapy for children with cerebral palsy (USA, 2021), in a pilot study to evaluate the feasibility of implementing technology-based function assessment into early intervention practice (USA, 2018), and in a case series exploring power mobility training for young children with neurodevelopmental conditions (USA, 2016).</w:t>
            </w:r>
          </w:p>
        </w:tc>
      </w:tr>
    </w:tbl>
    <w:p w14:paraId="32152AA5" w14:textId="77777777" w:rsidR="00201CCA" w:rsidRPr="00EB2D43" w:rsidRDefault="00201CCA" w:rsidP="003C0562">
      <w:r w:rsidRPr="00EB2D43">
        <w:t xml:space="preserve">This Evidence Summary was developed with rapid synthesis methods, combining a comprehensive PubMed search, augmented literature identification, and dual reviewer screening. It represents a living resource that maps key evidence on outcome measure psychometric properties, cultural adaptations, and relevant applications in the ECI practice setting. For complete methodology, see our </w:t>
      </w:r>
      <w:hyperlink w:history="1">
        <w:r w:rsidRPr="003647C4">
          <w:t>Methods Explainer</w:t>
        </w:r>
      </w:hyperlink>
      <w:r w:rsidRPr="00EB2D43">
        <w:t>.</w:t>
      </w:r>
    </w:p>
    <w:p w14:paraId="7111DC39" w14:textId="77777777" w:rsidR="00201CCA" w:rsidRPr="00EB2D43" w:rsidRDefault="00201CCA">
      <w:pPr>
        <w:rPr>
          <w:rFonts w:eastAsiaTheme="majorEastAsia" w:cs="Arial"/>
          <w:b/>
          <w:bCs/>
          <w:color w:val="3F779D"/>
          <w:sz w:val="22"/>
          <w:szCs w:val="22"/>
        </w:rPr>
      </w:pPr>
      <w:bookmarkStart w:id="63" w:name="_[Tool]_Reference_List"/>
      <w:bookmarkEnd w:id="63"/>
      <w:r w:rsidRPr="00EB2D43">
        <w:rPr>
          <w:rFonts w:cs="Arial"/>
          <w:sz w:val="22"/>
          <w:szCs w:val="22"/>
        </w:rPr>
        <w:br w:type="page"/>
      </w:r>
    </w:p>
    <w:p w14:paraId="553A6035" w14:textId="77777777" w:rsidR="00201CCA" w:rsidRPr="00E42813" w:rsidRDefault="00201CCA" w:rsidP="00D860C7">
      <w:pPr>
        <w:pStyle w:val="Heading1"/>
      </w:pPr>
      <w:bookmarkStart w:id="64" w:name="_PEDI-CAT_Reference_List"/>
      <w:bookmarkEnd w:id="64"/>
      <w:r>
        <w:lastRenderedPageBreak/>
        <w:t>PEDI-CAT</w:t>
      </w:r>
      <w:r w:rsidRPr="002046A7">
        <w:t xml:space="preserve"> Reference List</w:t>
      </w:r>
    </w:p>
    <w:p w14:paraId="3B89A181" w14:textId="7005F6CE" w:rsidR="00201CCA" w:rsidRDefault="00201CCA">
      <w:pPr>
        <w:rPr>
          <w:rFonts w:eastAsia="Aptos" w:cs="Arial"/>
          <w:i/>
          <w:iCs/>
          <w:color w:val="000000" w:themeColor="text1"/>
        </w:rPr>
      </w:pPr>
      <w:hyperlink w:anchor="_PEDI-CAT_Evidence_Summary" w:history="1">
        <w:r w:rsidRPr="00630486">
          <w:rPr>
            <w:rStyle w:val="Hyperlink"/>
            <w:rFonts w:eastAsia="Aptos" w:cs="Arial"/>
            <w:i/>
            <w:iCs/>
          </w:rPr>
          <w:t>Link to PEDI-CAT Evidence Summary</w:t>
        </w:r>
      </w:hyperlink>
    </w:p>
    <w:p w14:paraId="2A0599F2" w14:textId="77777777" w:rsidR="00201CCA" w:rsidRPr="005A2A0F" w:rsidRDefault="00201CCA" w:rsidP="001D0B8F">
      <w:pPr>
        <w:pStyle w:val="Heading2"/>
      </w:pPr>
      <w:r w:rsidRPr="005A2A0F">
        <w:t>Reviews</w:t>
      </w:r>
    </w:p>
    <w:p w14:paraId="33EFA8B7"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i/>
          <w:color w:val="000000"/>
        </w:rPr>
        <w:t>No references identified</w:t>
      </w:r>
    </w:p>
    <w:p w14:paraId="0C28391E" w14:textId="77777777" w:rsidR="00201CCA" w:rsidRDefault="00201CCA" w:rsidP="001D0B8F">
      <w:pPr>
        <w:pStyle w:val="Heading2"/>
      </w:pPr>
      <w:r>
        <w:t>Measurement Properties</w:t>
      </w:r>
    </w:p>
    <w:p w14:paraId="7E23F60F" w14:textId="4DCAB725"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Chamberlain A, D'Arcy E, Whitehouse AJ, Wallace K, Hayden-Evans M, Girdler S, Milbourn B, </w:t>
      </w:r>
      <w:proofErr w:type="spellStart"/>
      <w:r>
        <w:rPr>
          <w:rFonts w:eastAsia="Arial" w:cs="Arial"/>
          <w:color w:val="000000"/>
        </w:rPr>
        <w:t>Bölte</w:t>
      </w:r>
      <w:proofErr w:type="spellEnd"/>
      <w:r>
        <w:rPr>
          <w:rFonts w:eastAsia="Arial" w:cs="Arial"/>
          <w:color w:val="000000"/>
        </w:rPr>
        <w:t xml:space="preserve"> S, Evans K. (2024). Reliability, </w:t>
      </w:r>
      <w:r w:rsidR="000951B0">
        <w:rPr>
          <w:rFonts w:eastAsia="Arial" w:cs="Arial"/>
          <w:color w:val="000000"/>
        </w:rPr>
        <w:t>v</w:t>
      </w:r>
      <w:r>
        <w:rPr>
          <w:rFonts w:eastAsia="Arial" w:cs="Arial"/>
          <w:color w:val="000000"/>
        </w:rPr>
        <w:t xml:space="preserve">alidity and </w:t>
      </w:r>
      <w:r w:rsidR="000951B0">
        <w:rPr>
          <w:rFonts w:eastAsia="Arial" w:cs="Arial"/>
          <w:color w:val="000000"/>
        </w:rPr>
        <w:t>a</w:t>
      </w:r>
      <w:r>
        <w:rPr>
          <w:rFonts w:eastAsia="Arial" w:cs="Arial"/>
          <w:color w:val="000000"/>
        </w:rPr>
        <w:t xml:space="preserve">cceptability of the PEDI-CAT with ASD Scales for Australian </w:t>
      </w:r>
      <w:r w:rsidR="0052442D">
        <w:rPr>
          <w:rFonts w:eastAsia="Arial" w:cs="Arial"/>
          <w:color w:val="000000"/>
        </w:rPr>
        <w:t>c</w:t>
      </w:r>
      <w:r>
        <w:rPr>
          <w:rFonts w:eastAsia="Arial" w:cs="Arial"/>
          <w:color w:val="000000"/>
        </w:rPr>
        <w:t xml:space="preserve">hildren and </w:t>
      </w:r>
      <w:r w:rsidR="0052442D">
        <w:rPr>
          <w:rFonts w:eastAsia="Arial" w:cs="Arial"/>
          <w:color w:val="000000"/>
        </w:rPr>
        <w:t>y</w:t>
      </w:r>
      <w:r>
        <w:rPr>
          <w:rFonts w:eastAsia="Arial" w:cs="Arial"/>
          <w:color w:val="000000"/>
        </w:rPr>
        <w:t xml:space="preserve">outh on the </w:t>
      </w:r>
      <w:r w:rsidR="0052442D">
        <w:rPr>
          <w:rFonts w:eastAsia="Arial" w:cs="Arial"/>
          <w:color w:val="000000"/>
        </w:rPr>
        <w:t>a</w:t>
      </w:r>
      <w:r>
        <w:rPr>
          <w:rFonts w:eastAsia="Arial" w:cs="Arial"/>
          <w:color w:val="000000"/>
        </w:rPr>
        <w:t xml:space="preserve">utism </w:t>
      </w:r>
      <w:r w:rsidR="0052442D">
        <w:rPr>
          <w:rFonts w:eastAsia="Arial" w:cs="Arial"/>
          <w:color w:val="000000"/>
        </w:rPr>
        <w:t>s</w:t>
      </w:r>
      <w:r>
        <w:rPr>
          <w:rFonts w:eastAsia="Arial" w:cs="Arial"/>
          <w:color w:val="000000"/>
        </w:rPr>
        <w:t xml:space="preserve">pectrum. </w:t>
      </w:r>
      <w:r>
        <w:rPr>
          <w:rFonts w:eastAsia="Arial" w:cs="Arial"/>
          <w:i/>
          <w:color w:val="000000"/>
        </w:rPr>
        <w:t xml:space="preserve">J Autism Dev </w:t>
      </w:r>
      <w:proofErr w:type="spellStart"/>
      <w:r>
        <w:rPr>
          <w:rFonts w:eastAsia="Arial" w:cs="Arial"/>
          <w:i/>
          <w:color w:val="000000"/>
        </w:rPr>
        <w:t>Disord</w:t>
      </w:r>
      <w:proofErr w:type="spellEnd"/>
      <w:r>
        <w:rPr>
          <w:rFonts w:eastAsia="Arial" w:cs="Arial"/>
          <w:color w:val="000000"/>
        </w:rPr>
        <w:t>.</w:t>
      </w:r>
      <w:r>
        <w:rPr>
          <w:rFonts w:eastAsia="Arial" w:cs="Arial"/>
          <w:color w:val="0000FF"/>
          <w:u w:val="single"/>
        </w:rPr>
        <w:t xml:space="preserve"> https://doi.org/10.1007/s10803-024-06366-7</w:t>
      </w:r>
    </w:p>
    <w:p w14:paraId="44A38633" w14:textId="71CCB28C"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Burgess A, Reedman S, Chatfield MD, Ware RS, </w:t>
      </w:r>
      <w:proofErr w:type="spellStart"/>
      <w:r>
        <w:rPr>
          <w:rFonts w:eastAsia="Arial" w:cs="Arial"/>
          <w:color w:val="000000"/>
        </w:rPr>
        <w:t>Sakzewski</w:t>
      </w:r>
      <w:proofErr w:type="spellEnd"/>
      <w:r>
        <w:rPr>
          <w:rFonts w:eastAsia="Arial" w:cs="Arial"/>
          <w:color w:val="000000"/>
        </w:rPr>
        <w:t xml:space="preserve"> L, Boyd RN. (2022). Development of gross motor capacity and mobility performance in children with cerebral palsy: </w:t>
      </w:r>
      <w:r w:rsidR="0052442D">
        <w:rPr>
          <w:rFonts w:eastAsia="Arial" w:cs="Arial"/>
          <w:color w:val="000000"/>
        </w:rPr>
        <w:t>A</w:t>
      </w:r>
      <w:r>
        <w:rPr>
          <w:rFonts w:eastAsia="Arial" w:cs="Arial"/>
          <w:color w:val="000000"/>
        </w:rPr>
        <w:t xml:space="preserve"> longitudinal study. </w:t>
      </w:r>
      <w:r>
        <w:rPr>
          <w:rFonts w:eastAsia="Arial" w:cs="Arial"/>
          <w:i/>
          <w:color w:val="000000"/>
        </w:rPr>
        <w:t>Dev Med Child Neurol</w:t>
      </w:r>
      <w:r>
        <w:rPr>
          <w:rFonts w:eastAsia="Arial" w:cs="Arial"/>
          <w:color w:val="000000"/>
        </w:rPr>
        <w:t>, 64(5):578-585.</w:t>
      </w:r>
      <w:r>
        <w:rPr>
          <w:rFonts w:eastAsia="Arial" w:cs="Arial"/>
          <w:color w:val="0000FF"/>
          <w:u w:val="single"/>
        </w:rPr>
        <w:t xml:space="preserve"> https://doi.org/10.1111/dmcn.15112</w:t>
      </w:r>
    </w:p>
    <w:p w14:paraId="506029F8"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Dumas HM, Fragala-Pinkham MA, Rosen EL, Ni P. (2021). A content validity evaluation of the PEDI-CAT Speedy Mobility domain. </w:t>
      </w:r>
      <w:proofErr w:type="spellStart"/>
      <w:r>
        <w:rPr>
          <w:rFonts w:eastAsia="Arial" w:cs="Arial"/>
          <w:i/>
          <w:color w:val="000000"/>
        </w:rPr>
        <w:t>Physiother</w:t>
      </w:r>
      <w:proofErr w:type="spellEnd"/>
      <w:r>
        <w:rPr>
          <w:rFonts w:eastAsia="Arial" w:cs="Arial"/>
          <w:i/>
          <w:color w:val="000000"/>
        </w:rPr>
        <w:t xml:space="preserve"> Theory </w:t>
      </w:r>
      <w:proofErr w:type="spellStart"/>
      <w:r>
        <w:rPr>
          <w:rFonts w:eastAsia="Arial" w:cs="Arial"/>
          <w:i/>
          <w:color w:val="000000"/>
        </w:rPr>
        <w:t>Pract</w:t>
      </w:r>
      <w:proofErr w:type="spellEnd"/>
      <w:r>
        <w:rPr>
          <w:rFonts w:eastAsia="Arial" w:cs="Arial"/>
          <w:color w:val="000000"/>
        </w:rPr>
        <w:t>, 37(4):517-526.</w:t>
      </w:r>
      <w:r>
        <w:rPr>
          <w:rFonts w:eastAsia="Arial" w:cs="Arial"/>
          <w:color w:val="0000FF"/>
          <w:u w:val="single"/>
        </w:rPr>
        <w:t xml:space="preserve"> https://doi.org/10.1080/09593985.2019.1633716</w:t>
      </w:r>
    </w:p>
    <w:p w14:paraId="1436E7F6"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Fragala-Pinkham M, Pasternak A, McDermott MP, Mirek E, Glanzman AM, Montes J, Dunaway Young S, Salazar R, Quigley J, Riley SO, Chiriboga CA, Finkel RS, </w:t>
      </w:r>
      <w:proofErr w:type="spellStart"/>
      <w:r>
        <w:rPr>
          <w:rFonts w:eastAsia="Arial" w:cs="Arial"/>
          <w:color w:val="000000"/>
        </w:rPr>
        <w:t>Tennekoon</w:t>
      </w:r>
      <w:proofErr w:type="spellEnd"/>
      <w:r>
        <w:rPr>
          <w:rFonts w:eastAsia="Arial" w:cs="Arial"/>
          <w:color w:val="000000"/>
        </w:rPr>
        <w:t xml:space="preserve"> G, Martens WB, De Vivo DC, Darras BT. (2021). Psychometric properties of the PEDI-CAT for children and youth with spinal muscular atrophy. </w:t>
      </w:r>
      <w:r>
        <w:rPr>
          <w:rFonts w:eastAsia="Arial" w:cs="Arial"/>
          <w:i/>
          <w:color w:val="000000"/>
        </w:rPr>
        <w:t xml:space="preserve">J Pediatr </w:t>
      </w:r>
      <w:proofErr w:type="spellStart"/>
      <w:r>
        <w:rPr>
          <w:rFonts w:eastAsia="Arial" w:cs="Arial"/>
          <w:i/>
          <w:color w:val="000000"/>
        </w:rPr>
        <w:t>Rehabil</w:t>
      </w:r>
      <w:proofErr w:type="spellEnd"/>
      <w:r>
        <w:rPr>
          <w:rFonts w:eastAsia="Arial" w:cs="Arial"/>
          <w:i/>
          <w:color w:val="000000"/>
        </w:rPr>
        <w:t xml:space="preserve"> Med</w:t>
      </w:r>
      <w:r>
        <w:rPr>
          <w:rFonts w:eastAsia="Arial" w:cs="Arial"/>
          <w:color w:val="000000"/>
        </w:rPr>
        <w:t>, 14(3):451-461.</w:t>
      </w:r>
      <w:r>
        <w:rPr>
          <w:rFonts w:eastAsia="Arial" w:cs="Arial"/>
          <w:color w:val="0000FF"/>
          <w:u w:val="single"/>
        </w:rPr>
        <w:t xml:space="preserve"> https://doi.org/10.3233/PRM-190664</w:t>
      </w:r>
    </w:p>
    <w:p w14:paraId="196D8C2E"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Scott K, Lewis J, Pan X, Heathcock J. (2021). Parent-reported PEDI-CAT Mobility and Gross Motor Function in infants with cerebral palsy. </w:t>
      </w:r>
      <w:proofErr w:type="spellStart"/>
      <w:r>
        <w:rPr>
          <w:rFonts w:eastAsia="Arial" w:cs="Arial"/>
          <w:i/>
          <w:color w:val="000000"/>
        </w:rPr>
        <w:t>Pediatr</w:t>
      </w:r>
      <w:proofErr w:type="spellEnd"/>
      <w:r>
        <w:rPr>
          <w:rFonts w:eastAsia="Arial" w:cs="Arial"/>
          <w:i/>
          <w:color w:val="000000"/>
        </w:rPr>
        <w:t xml:space="preserve"> Phys Ther</w:t>
      </w:r>
      <w:r>
        <w:rPr>
          <w:rFonts w:eastAsia="Arial" w:cs="Arial"/>
          <w:color w:val="000000"/>
        </w:rPr>
        <w:t>, 33(3):156-161.</w:t>
      </w:r>
      <w:r>
        <w:rPr>
          <w:rFonts w:eastAsia="Arial" w:cs="Arial"/>
          <w:color w:val="0000FF"/>
          <w:u w:val="single"/>
        </w:rPr>
        <w:t xml:space="preserve"> https://doi.org/10.1097/PEP.0000000000000801</w:t>
      </w:r>
    </w:p>
    <w:p w14:paraId="1AA782F3"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Burgess A, Boyd RN, Chatfield MD, Ziviani J, </w:t>
      </w:r>
      <w:proofErr w:type="spellStart"/>
      <w:r>
        <w:rPr>
          <w:rFonts w:eastAsia="Arial" w:cs="Arial"/>
          <w:color w:val="000000"/>
        </w:rPr>
        <w:t>Sakzewski</w:t>
      </w:r>
      <w:proofErr w:type="spellEnd"/>
      <w:r>
        <w:rPr>
          <w:rFonts w:eastAsia="Arial" w:cs="Arial"/>
          <w:color w:val="000000"/>
        </w:rPr>
        <w:t xml:space="preserve"> L. (2020). Self-care performance in children with cerebral palsy: a longitudinal study. </w:t>
      </w:r>
      <w:r>
        <w:rPr>
          <w:rFonts w:eastAsia="Arial" w:cs="Arial"/>
          <w:i/>
          <w:color w:val="000000"/>
        </w:rPr>
        <w:t>Dev Med Child Neurol</w:t>
      </w:r>
      <w:r>
        <w:rPr>
          <w:rFonts w:eastAsia="Arial" w:cs="Arial"/>
          <w:color w:val="000000"/>
        </w:rPr>
        <w:t>, 62(9):1061-1067.</w:t>
      </w:r>
      <w:r>
        <w:rPr>
          <w:rFonts w:eastAsia="Arial" w:cs="Arial"/>
          <w:color w:val="0000FF"/>
          <w:u w:val="single"/>
        </w:rPr>
        <w:t xml:space="preserve"> https://doi.org/10.1111/dmcn.14561</w:t>
      </w:r>
    </w:p>
    <w:p w14:paraId="27576DA2"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Cordeiro L, Villagomez A, Swain D, Deklotz S, Tartaglia N. (2020). Adaptive skills in FXS: A review of the literature and evaluation of the PEDI-Computer Adaptive Test (PEDI-CAT) to measure adaptive skills. </w:t>
      </w:r>
      <w:r>
        <w:rPr>
          <w:rFonts w:eastAsia="Arial" w:cs="Arial"/>
          <w:i/>
          <w:color w:val="000000"/>
        </w:rPr>
        <w:t>Brain Sci</w:t>
      </w:r>
      <w:r>
        <w:rPr>
          <w:rFonts w:eastAsia="Arial" w:cs="Arial"/>
          <w:color w:val="000000"/>
        </w:rPr>
        <w:t>, 10(6):351.</w:t>
      </w:r>
      <w:r>
        <w:rPr>
          <w:rFonts w:eastAsia="Arial" w:cs="Arial"/>
          <w:color w:val="0000FF"/>
          <w:u w:val="single"/>
        </w:rPr>
        <w:t xml:space="preserve"> https://doi.org/10.3390/brainsci10060351</w:t>
      </w:r>
    </w:p>
    <w:p w14:paraId="6015B305"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Fragala-Pinkham MA, Miller PE, M Dumas H, Shore BJ. (2020). Development and validation of equations to link </w:t>
      </w:r>
      <w:proofErr w:type="spellStart"/>
      <w:r>
        <w:rPr>
          <w:rFonts w:eastAsia="Arial" w:cs="Arial"/>
          <w:color w:val="000000"/>
        </w:rPr>
        <w:t>pediatric</w:t>
      </w:r>
      <w:proofErr w:type="spellEnd"/>
      <w:r>
        <w:rPr>
          <w:rFonts w:eastAsia="Arial" w:cs="Arial"/>
          <w:color w:val="000000"/>
        </w:rPr>
        <w:t xml:space="preserve"> evaluation of disability inventory (PEDI) functional skills scores to PEDI-Computer Adaptive Test scores for youth with cerebral palsy. </w:t>
      </w:r>
      <w:r>
        <w:rPr>
          <w:rFonts w:eastAsia="Arial" w:cs="Arial"/>
          <w:i/>
          <w:color w:val="000000"/>
        </w:rPr>
        <w:t xml:space="preserve">Phys </w:t>
      </w:r>
      <w:proofErr w:type="spellStart"/>
      <w:r>
        <w:rPr>
          <w:rFonts w:eastAsia="Arial" w:cs="Arial"/>
          <w:i/>
          <w:color w:val="000000"/>
        </w:rPr>
        <w:t>Occup</w:t>
      </w:r>
      <w:proofErr w:type="spellEnd"/>
      <w:r>
        <w:rPr>
          <w:rFonts w:eastAsia="Arial" w:cs="Arial"/>
          <w:i/>
          <w:color w:val="000000"/>
        </w:rPr>
        <w:t xml:space="preserve"> Ther </w:t>
      </w:r>
      <w:proofErr w:type="spellStart"/>
      <w:r>
        <w:rPr>
          <w:rFonts w:eastAsia="Arial" w:cs="Arial"/>
          <w:i/>
          <w:color w:val="000000"/>
        </w:rPr>
        <w:t>Pediatr</w:t>
      </w:r>
      <w:proofErr w:type="spellEnd"/>
      <w:r>
        <w:rPr>
          <w:rFonts w:eastAsia="Arial" w:cs="Arial"/>
          <w:color w:val="000000"/>
        </w:rPr>
        <w:t>, 40(1):106-120.</w:t>
      </w:r>
      <w:r>
        <w:rPr>
          <w:rFonts w:eastAsia="Arial" w:cs="Arial"/>
          <w:color w:val="0000FF"/>
          <w:u w:val="single"/>
        </w:rPr>
        <w:t xml:space="preserve"> https://doi.org/10.1080/01942638.2019.1628160</w:t>
      </w:r>
    </w:p>
    <w:p w14:paraId="3B81B87C"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lastRenderedPageBreak/>
        <w:t xml:space="preserve">Milne S, Campbell L, Cottier C. (2020). Accurate assessment of functional abilities in pre-schoolers for diagnostic and funding purposes: A comparison of the Vineland-3 and the PEDI-CAT. </w:t>
      </w:r>
      <w:r>
        <w:rPr>
          <w:rFonts w:eastAsia="Arial" w:cs="Arial"/>
          <w:i/>
          <w:color w:val="000000"/>
        </w:rPr>
        <w:t xml:space="preserve">Aust </w:t>
      </w:r>
      <w:proofErr w:type="spellStart"/>
      <w:r>
        <w:rPr>
          <w:rFonts w:eastAsia="Arial" w:cs="Arial"/>
          <w:i/>
          <w:color w:val="000000"/>
        </w:rPr>
        <w:t>Occup</w:t>
      </w:r>
      <w:proofErr w:type="spellEnd"/>
      <w:r>
        <w:rPr>
          <w:rFonts w:eastAsia="Arial" w:cs="Arial"/>
          <w:i/>
          <w:color w:val="000000"/>
        </w:rPr>
        <w:t xml:space="preserve"> Ther J</w:t>
      </w:r>
      <w:r>
        <w:rPr>
          <w:rFonts w:eastAsia="Arial" w:cs="Arial"/>
          <w:color w:val="000000"/>
        </w:rPr>
        <w:t>, 67(1):31-38.</w:t>
      </w:r>
      <w:r>
        <w:rPr>
          <w:rFonts w:eastAsia="Arial" w:cs="Arial"/>
          <w:color w:val="0000FF"/>
          <w:u w:val="single"/>
        </w:rPr>
        <w:t xml:space="preserve"> https://doi.org/10.1111/1440-1630.12619</w:t>
      </w:r>
    </w:p>
    <w:p w14:paraId="7A8F3593"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Shore BJ, Allar BG, Miller PE, Matheney TH, Snyder BD, Fragala-Pinkham M. (2019). Measuring the reliability and construct validity of the </w:t>
      </w:r>
      <w:proofErr w:type="spellStart"/>
      <w:r>
        <w:rPr>
          <w:rFonts w:eastAsia="Arial" w:cs="Arial"/>
          <w:color w:val="000000"/>
        </w:rPr>
        <w:t>Pediatric</w:t>
      </w:r>
      <w:proofErr w:type="spellEnd"/>
      <w:r>
        <w:rPr>
          <w:rFonts w:eastAsia="Arial" w:cs="Arial"/>
          <w:color w:val="000000"/>
        </w:rPr>
        <w:t xml:space="preserve"> Evaluation of Disability Inventory-Computer Adaptive Test (PEDI-CAT) in children with cerebral palsy. </w:t>
      </w:r>
      <w:r>
        <w:rPr>
          <w:rFonts w:eastAsia="Arial" w:cs="Arial"/>
          <w:i/>
          <w:color w:val="000000"/>
        </w:rPr>
        <w:t>Arch Phys Med Rehabil</w:t>
      </w:r>
      <w:r>
        <w:rPr>
          <w:rFonts w:eastAsia="Arial" w:cs="Arial"/>
          <w:color w:val="000000"/>
        </w:rPr>
        <w:t>, 100(1):45-51.</w:t>
      </w:r>
      <w:r>
        <w:rPr>
          <w:rFonts w:eastAsia="Arial" w:cs="Arial"/>
          <w:color w:val="0000FF"/>
          <w:u w:val="single"/>
        </w:rPr>
        <w:t xml:space="preserve"> https://doi.org/10.1016/j.apmr.2018.07.427</w:t>
      </w:r>
    </w:p>
    <w:p w14:paraId="63074202"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Swatt AJ, Schwartz AE, Kramer JM. (2019). Youth's perspective of responsibility: Exploration of a construct for measurement with youth with developmental disabilities. </w:t>
      </w:r>
      <w:r>
        <w:rPr>
          <w:rFonts w:eastAsia="Arial" w:cs="Arial"/>
          <w:i/>
          <w:color w:val="000000"/>
        </w:rPr>
        <w:t xml:space="preserve">Phys </w:t>
      </w:r>
      <w:proofErr w:type="spellStart"/>
      <w:r>
        <w:rPr>
          <w:rFonts w:eastAsia="Arial" w:cs="Arial"/>
          <w:i/>
          <w:color w:val="000000"/>
        </w:rPr>
        <w:t>Occup</w:t>
      </w:r>
      <w:proofErr w:type="spellEnd"/>
      <w:r>
        <w:rPr>
          <w:rFonts w:eastAsia="Arial" w:cs="Arial"/>
          <w:i/>
          <w:color w:val="000000"/>
        </w:rPr>
        <w:t xml:space="preserve"> Ther </w:t>
      </w:r>
      <w:proofErr w:type="spellStart"/>
      <w:r>
        <w:rPr>
          <w:rFonts w:eastAsia="Arial" w:cs="Arial"/>
          <w:i/>
          <w:color w:val="000000"/>
        </w:rPr>
        <w:t>Pediatr</w:t>
      </w:r>
      <w:proofErr w:type="spellEnd"/>
      <w:r>
        <w:rPr>
          <w:rFonts w:eastAsia="Arial" w:cs="Arial"/>
          <w:color w:val="000000"/>
        </w:rPr>
        <w:t>, 39(2):204-216.</w:t>
      </w:r>
      <w:r>
        <w:rPr>
          <w:rFonts w:eastAsia="Arial" w:cs="Arial"/>
          <w:color w:val="0000FF"/>
          <w:u w:val="single"/>
        </w:rPr>
        <w:t xml:space="preserve"> https://doi.org/10.1080/01942638.2018.1502227</w:t>
      </w:r>
    </w:p>
    <w:p w14:paraId="287C3F70"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Thompson SV, Cech DJ, Cahill SM, Krzak JJ. (2018). Linking the </w:t>
      </w:r>
      <w:proofErr w:type="spellStart"/>
      <w:r>
        <w:rPr>
          <w:rFonts w:eastAsia="Arial" w:cs="Arial"/>
          <w:color w:val="000000"/>
        </w:rPr>
        <w:t>Pediatric</w:t>
      </w:r>
      <w:proofErr w:type="spellEnd"/>
      <w:r>
        <w:rPr>
          <w:rFonts w:eastAsia="Arial" w:cs="Arial"/>
          <w:color w:val="000000"/>
        </w:rPr>
        <w:t xml:space="preserve"> Evaluation of Disability Inventory-Computer Adaptive Test (PEDI-CAT) to the International Classification of Function. </w:t>
      </w:r>
      <w:proofErr w:type="spellStart"/>
      <w:r>
        <w:rPr>
          <w:rFonts w:eastAsia="Arial" w:cs="Arial"/>
          <w:i/>
          <w:color w:val="000000"/>
        </w:rPr>
        <w:t>Pediatr</w:t>
      </w:r>
      <w:proofErr w:type="spellEnd"/>
      <w:r>
        <w:rPr>
          <w:rFonts w:eastAsia="Arial" w:cs="Arial"/>
          <w:i/>
          <w:color w:val="000000"/>
        </w:rPr>
        <w:t xml:space="preserve"> Phys Ther</w:t>
      </w:r>
      <w:r>
        <w:rPr>
          <w:rFonts w:eastAsia="Arial" w:cs="Arial"/>
          <w:color w:val="000000"/>
        </w:rPr>
        <w:t>, 30(2):113-118.</w:t>
      </w:r>
      <w:r>
        <w:rPr>
          <w:rFonts w:eastAsia="Arial" w:cs="Arial"/>
          <w:color w:val="0000FF"/>
          <w:u w:val="single"/>
        </w:rPr>
        <w:t xml:space="preserve"> https://doi.org/10.1097/PEP.0000000000000483</w:t>
      </w:r>
    </w:p>
    <w:p w14:paraId="419A7711"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Dumas HM, Fragala-Pinkham MA, Rosen EL, O'Brien JE. (2017). Construct validity of the </w:t>
      </w:r>
      <w:proofErr w:type="spellStart"/>
      <w:r>
        <w:rPr>
          <w:rFonts w:eastAsia="Arial" w:cs="Arial"/>
          <w:color w:val="000000"/>
        </w:rPr>
        <w:t>pediatric</w:t>
      </w:r>
      <w:proofErr w:type="spellEnd"/>
      <w:r>
        <w:rPr>
          <w:rFonts w:eastAsia="Arial" w:cs="Arial"/>
          <w:color w:val="000000"/>
        </w:rPr>
        <w:t xml:space="preserve"> evaluation of disability inventory computer adaptive test (PEDI-CAT) in children with medical complexity. </w:t>
      </w:r>
      <w:proofErr w:type="spellStart"/>
      <w:r>
        <w:rPr>
          <w:rFonts w:eastAsia="Arial" w:cs="Arial"/>
          <w:i/>
          <w:color w:val="000000"/>
        </w:rPr>
        <w:t>Disabil</w:t>
      </w:r>
      <w:proofErr w:type="spellEnd"/>
      <w:r>
        <w:rPr>
          <w:rFonts w:eastAsia="Arial" w:cs="Arial"/>
          <w:i/>
          <w:color w:val="000000"/>
        </w:rPr>
        <w:t xml:space="preserve"> </w:t>
      </w:r>
      <w:proofErr w:type="spellStart"/>
      <w:r>
        <w:rPr>
          <w:rFonts w:eastAsia="Arial" w:cs="Arial"/>
          <w:i/>
          <w:color w:val="000000"/>
        </w:rPr>
        <w:t>Rehabil</w:t>
      </w:r>
      <w:proofErr w:type="spellEnd"/>
      <w:r>
        <w:rPr>
          <w:rFonts w:eastAsia="Arial" w:cs="Arial"/>
          <w:color w:val="000000"/>
        </w:rPr>
        <w:t>, 39(23):2446-2451.</w:t>
      </w:r>
      <w:r>
        <w:rPr>
          <w:rFonts w:eastAsia="Arial" w:cs="Arial"/>
          <w:color w:val="0000FF"/>
          <w:u w:val="single"/>
        </w:rPr>
        <w:t xml:space="preserve"> https://doi.org/10.1080/09638288.2016.1226406</w:t>
      </w:r>
    </w:p>
    <w:p w14:paraId="5DD696AC"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Shore BJ, Allar BG, Miller PE, Matheney TH, Snyder BD, Fragala-Pinkham MA. (2017). Evaluating the discriminant validity of the </w:t>
      </w:r>
      <w:proofErr w:type="spellStart"/>
      <w:r>
        <w:rPr>
          <w:rFonts w:eastAsia="Arial" w:cs="Arial"/>
          <w:color w:val="000000"/>
        </w:rPr>
        <w:t>Pediatric</w:t>
      </w:r>
      <w:proofErr w:type="spellEnd"/>
      <w:r>
        <w:rPr>
          <w:rFonts w:eastAsia="Arial" w:cs="Arial"/>
          <w:color w:val="000000"/>
        </w:rPr>
        <w:t xml:space="preserve"> Evaluation of Disability Inventory: Computer Adaptive Test in children with cerebral palsy. </w:t>
      </w:r>
      <w:r>
        <w:rPr>
          <w:rFonts w:eastAsia="Arial" w:cs="Arial"/>
          <w:i/>
          <w:color w:val="000000"/>
        </w:rPr>
        <w:t>Phys Ther</w:t>
      </w:r>
      <w:r>
        <w:rPr>
          <w:rFonts w:eastAsia="Arial" w:cs="Arial"/>
          <w:color w:val="000000"/>
        </w:rPr>
        <w:t>, 97(6):669-676.</w:t>
      </w:r>
      <w:r>
        <w:rPr>
          <w:rFonts w:eastAsia="Arial" w:cs="Arial"/>
          <w:color w:val="0000FF"/>
          <w:u w:val="single"/>
        </w:rPr>
        <w:t xml:space="preserve"> https://doi.org/10.1093/ptj/pzx033</w:t>
      </w:r>
    </w:p>
    <w:p w14:paraId="0C5F39FA"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Coster WJ, Kramer JM, Tian F, Dooley M, Liljenquist K, Kao YC, Ni P. (2016). Evaluating the appropriateness of a new computer-administered measure of adaptive function for children and youth with autism spectrum disorders. </w:t>
      </w:r>
      <w:r>
        <w:rPr>
          <w:rFonts w:eastAsia="Arial" w:cs="Arial"/>
          <w:i/>
          <w:color w:val="000000"/>
        </w:rPr>
        <w:t>Autism</w:t>
      </w:r>
      <w:r>
        <w:rPr>
          <w:rFonts w:eastAsia="Arial" w:cs="Arial"/>
          <w:color w:val="000000"/>
        </w:rPr>
        <w:t>, 20(1):14-25.</w:t>
      </w:r>
      <w:r>
        <w:rPr>
          <w:rFonts w:eastAsia="Arial" w:cs="Arial"/>
          <w:color w:val="0000FF"/>
          <w:u w:val="single"/>
        </w:rPr>
        <w:t xml:space="preserve"> https://doi.org/10.1177/1362361314564473</w:t>
      </w:r>
    </w:p>
    <w:p w14:paraId="3C3FD81A"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Fragala-Pinkham MA, Dumas HM, Lombard KA, O'Brien JE. (2016). Responsiveness of the </w:t>
      </w:r>
      <w:proofErr w:type="spellStart"/>
      <w:r>
        <w:rPr>
          <w:rFonts w:eastAsia="Arial" w:cs="Arial"/>
          <w:color w:val="000000"/>
        </w:rPr>
        <w:t>Pediatric</w:t>
      </w:r>
      <w:proofErr w:type="spellEnd"/>
      <w:r>
        <w:rPr>
          <w:rFonts w:eastAsia="Arial" w:cs="Arial"/>
          <w:color w:val="000000"/>
        </w:rPr>
        <w:t xml:space="preserve"> Evaluation of Disability Inventory-Computer Adaptive Test in measuring functional outcomes for inpatient </w:t>
      </w:r>
      <w:proofErr w:type="spellStart"/>
      <w:r>
        <w:rPr>
          <w:rFonts w:eastAsia="Arial" w:cs="Arial"/>
          <w:color w:val="000000"/>
        </w:rPr>
        <w:t>pediatric</w:t>
      </w:r>
      <w:proofErr w:type="spellEnd"/>
      <w:r>
        <w:rPr>
          <w:rFonts w:eastAsia="Arial" w:cs="Arial"/>
          <w:color w:val="000000"/>
        </w:rPr>
        <w:t xml:space="preserve"> rehabilitation. </w:t>
      </w:r>
      <w:r>
        <w:rPr>
          <w:rFonts w:eastAsia="Arial" w:cs="Arial"/>
          <w:i/>
          <w:color w:val="000000"/>
        </w:rPr>
        <w:t xml:space="preserve">J Pediatr </w:t>
      </w:r>
      <w:proofErr w:type="spellStart"/>
      <w:r>
        <w:rPr>
          <w:rFonts w:eastAsia="Arial" w:cs="Arial"/>
          <w:i/>
          <w:color w:val="000000"/>
        </w:rPr>
        <w:t>Rehabil</w:t>
      </w:r>
      <w:proofErr w:type="spellEnd"/>
      <w:r>
        <w:rPr>
          <w:rFonts w:eastAsia="Arial" w:cs="Arial"/>
          <w:i/>
          <w:color w:val="000000"/>
        </w:rPr>
        <w:t xml:space="preserve"> Med</w:t>
      </w:r>
      <w:r>
        <w:rPr>
          <w:rFonts w:eastAsia="Arial" w:cs="Arial"/>
          <w:color w:val="000000"/>
        </w:rPr>
        <w:t>, 9(3):215-22.</w:t>
      </w:r>
      <w:r>
        <w:rPr>
          <w:rFonts w:eastAsia="Arial" w:cs="Arial"/>
          <w:color w:val="0000FF"/>
          <w:u w:val="single"/>
        </w:rPr>
        <w:t xml:space="preserve"> https://doi.org/10.3233/PRM-160382</w:t>
      </w:r>
    </w:p>
    <w:p w14:paraId="785244B2"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Kramer JM, Liljenquist K, Coster WJ. (2016). Validity, reliability, and usability of the </w:t>
      </w:r>
      <w:proofErr w:type="spellStart"/>
      <w:r>
        <w:rPr>
          <w:rFonts w:eastAsia="Arial" w:cs="Arial"/>
          <w:color w:val="000000"/>
        </w:rPr>
        <w:t>Pediatric</w:t>
      </w:r>
      <w:proofErr w:type="spellEnd"/>
      <w:r>
        <w:rPr>
          <w:rFonts w:eastAsia="Arial" w:cs="Arial"/>
          <w:color w:val="000000"/>
        </w:rPr>
        <w:t xml:space="preserve"> Evaluation of Disability Inventory-Computer Adaptive Test for autism spectrum disorders. </w:t>
      </w:r>
      <w:r>
        <w:rPr>
          <w:rFonts w:eastAsia="Arial" w:cs="Arial"/>
          <w:i/>
          <w:color w:val="000000"/>
        </w:rPr>
        <w:t>Dev Med Child Neurol</w:t>
      </w:r>
      <w:r>
        <w:rPr>
          <w:rFonts w:eastAsia="Arial" w:cs="Arial"/>
          <w:color w:val="000000"/>
        </w:rPr>
        <w:t>, 58(3):255-61.</w:t>
      </w:r>
      <w:r>
        <w:rPr>
          <w:rFonts w:eastAsia="Arial" w:cs="Arial"/>
          <w:color w:val="0000FF"/>
          <w:u w:val="single"/>
        </w:rPr>
        <w:t xml:space="preserve"> https://doi.org/10.1111/dmcn.12837</w:t>
      </w:r>
    </w:p>
    <w:p w14:paraId="0722460C"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Pasternak A, </w:t>
      </w:r>
      <w:proofErr w:type="spellStart"/>
      <w:r>
        <w:rPr>
          <w:rFonts w:eastAsia="Arial" w:cs="Arial"/>
          <w:color w:val="000000"/>
        </w:rPr>
        <w:t>Sideridis</w:t>
      </w:r>
      <w:proofErr w:type="spellEnd"/>
      <w:r>
        <w:rPr>
          <w:rFonts w:eastAsia="Arial" w:cs="Arial"/>
          <w:color w:val="000000"/>
        </w:rPr>
        <w:t xml:space="preserve"> G, Fragala-Pinkham M, Glanzman AM, Montes J, Dunaway S, Salazar R, Quigley J, Pandya S, O'Riley S, Greenwood J, Chiriboga C, Finkel R, </w:t>
      </w:r>
      <w:proofErr w:type="spellStart"/>
      <w:r>
        <w:rPr>
          <w:rFonts w:eastAsia="Arial" w:cs="Arial"/>
          <w:color w:val="000000"/>
        </w:rPr>
        <w:t>Tennekoon</w:t>
      </w:r>
      <w:proofErr w:type="spellEnd"/>
      <w:r>
        <w:rPr>
          <w:rFonts w:eastAsia="Arial" w:cs="Arial"/>
          <w:color w:val="000000"/>
        </w:rPr>
        <w:t xml:space="preserve"> G, Martens WB, McDermott MP, Fournier HS, </w:t>
      </w:r>
      <w:proofErr w:type="spellStart"/>
      <w:r>
        <w:rPr>
          <w:rFonts w:eastAsia="Arial" w:cs="Arial"/>
          <w:color w:val="000000"/>
        </w:rPr>
        <w:t>Madabusi</w:t>
      </w:r>
      <w:proofErr w:type="spellEnd"/>
      <w:r>
        <w:rPr>
          <w:rFonts w:eastAsia="Arial" w:cs="Arial"/>
          <w:color w:val="000000"/>
        </w:rPr>
        <w:t xml:space="preserve"> L, Harrington T, </w:t>
      </w:r>
      <w:r>
        <w:rPr>
          <w:rFonts w:eastAsia="Arial" w:cs="Arial"/>
          <w:color w:val="000000"/>
        </w:rPr>
        <w:lastRenderedPageBreak/>
        <w:t xml:space="preserve">Cruz RE, LaMarca NM, </w:t>
      </w:r>
      <w:proofErr w:type="spellStart"/>
      <w:r>
        <w:rPr>
          <w:rFonts w:eastAsia="Arial" w:cs="Arial"/>
          <w:color w:val="000000"/>
        </w:rPr>
        <w:t>Videon</w:t>
      </w:r>
      <w:proofErr w:type="spellEnd"/>
      <w:r>
        <w:rPr>
          <w:rFonts w:eastAsia="Arial" w:cs="Arial"/>
          <w:color w:val="000000"/>
        </w:rPr>
        <w:t xml:space="preserve"> NM, Vivo DC, Darras BT; Muscle Study Group (MSG) and the </w:t>
      </w:r>
      <w:proofErr w:type="spellStart"/>
      <w:r>
        <w:rPr>
          <w:rFonts w:eastAsia="Arial" w:cs="Arial"/>
          <w:color w:val="000000"/>
        </w:rPr>
        <w:t>Pediatric</w:t>
      </w:r>
      <w:proofErr w:type="spellEnd"/>
      <w:r>
        <w:rPr>
          <w:rFonts w:eastAsia="Arial" w:cs="Arial"/>
          <w:color w:val="000000"/>
        </w:rPr>
        <w:t xml:space="preserve"> Neuromuscular Clinical Research Network for Spinal Muscular Atrophy (PNCRN). (2016). Rasch analysis of the </w:t>
      </w:r>
      <w:proofErr w:type="spellStart"/>
      <w:r>
        <w:rPr>
          <w:rFonts w:eastAsia="Arial" w:cs="Arial"/>
          <w:color w:val="000000"/>
        </w:rPr>
        <w:t>Pediatric</w:t>
      </w:r>
      <w:proofErr w:type="spellEnd"/>
      <w:r>
        <w:rPr>
          <w:rFonts w:eastAsia="Arial" w:cs="Arial"/>
          <w:color w:val="000000"/>
        </w:rPr>
        <w:t xml:space="preserve"> Evaluation of Disability Inventory-computer adaptive test (PEDI-CAT) item bank for children and young adults with spinal muscular atrophy. </w:t>
      </w:r>
      <w:r>
        <w:rPr>
          <w:rFonts w:eastAsia="Arial" w:cs="Arial"/>
          <w:i/>
          <w:color w:val="000000"/>
        </w:rPr>
        <w:t>Muscle Nerve</w:t>
      </w:r>
      <w:r>
        <w:rPr>
          <w:rFonts w:eastAsia="Arial" w:cs="Arial"/>
          <w:color w:val="000000"/>
        </w:rPr>
        <w:t>, 54(6):1097-1107.</w:t>
      </w:r>
      <w:r>
        <w:rPr>
          <w:rFonts w:eastAsia="Arial" w:cs="Arial"/>
          <w:color w:val="0000FF"/>
          <w:u w:val="single"/>
        </w:rPr>
        <w:t xml:space="preserve"> https://doi.org/10.1002/mus.25164</w:t>
      </w:r>
    </w:p>
    <w:p w14:paraId="48E5E4B2"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Dumas HM, Fragala-Pinkham MA, Rosen EL, Lombard KA, Farrell C. (2015). </w:t>
      </w:r>
      <w:proofErr w:type="spellStart"/>
      <w:r>
        <w:rPr>
          <w:rFonts w:eastAsia="Arial" w:cs="Arial"/>
          <w:color w:val="000000"/>
        </w:rPr>
        <w:t>Pediatric</w:t>
      </w:r>
      <w:proofErr w:type="spellEnd"/>
      <w:r>
        <w:rPr>
          <w:rFonts w:eastAsia="Arial" w:cs="Arial"/>
          <w:color w:val="000000"/>
        </w:rPr>
        <w:t xml:space="preserve"> Evaluation of Disability Inventory Computer Adaptive Test (PEDI-CAT) and Alberta Infant Motor Scale (AIMS): Validity and responsiveness. </w:t>
      </w:r>
      <w:r>
        <w:rPr>
          <w:rFonts w:eastAsia="Arial" w:cs="Arial"/>
          <w:i/>
          <w:color w:val="000000"/>
        </w:rPr>
        <w:t>Phys Ther</w:t>
      </w:r>
      <w:r>
        <w:rPr>
          <w:rFonts w:eastAsia="Arial" w:cs="Arial"/>
          <w:color w:val="000000"/>
        </w:rPr>
        <w:t>, 95(11):1559-68.</w:t>
      </w:r>
      <w:r>
        <w:rPr>
          <w:rFonts w:eastAsia="Arial" w:cs="Arial"/>
          <w:color w:val="0000FF"/>
          <w:u w:val="single"/>
        </w:rPr>
        <w:t xml:space="preserve"> https://doi.org/10.2522/ptj.20140339</w:t>
      </w:r>
    </w:p>
    <w:p w14:paraId="36834C31"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Dumas HM, Fragala-Pinkham MA, Feng T, Haley SM. (2012). A preliminary evaluation of the PEDI-CAT Mobility item bank for children using walking aids and wheelchairs. </w:t>
      </w:r>
      <w:r>
        <w:rPr>
          <w:rFonts w:eastAsia="Arial" w:cs="Arial"/>
          <w:i/>
          <w:color w:val="000000"/>
        </w:rPr>
        <w:t xml:space="preserve">J Pediatr </w:t>
      </w:r>
      <w:proofErr w:type="spellStart"/>
      <w:r>
        <w:rPr>
          <w:rFonts w:eastAsia="Arial" w:cs="Arial"/>
          <w:i/>
          <w:color w:val="000000"/>
        </w:rPr>
        <w:t>Rehabil</w:t>
      </w:r>
      <w:proofErr w:type="spellEnd"/>
      <w:r>
        <w:rPr>
          <w:rFonts w:eastAsia="Arial" w:cs="Arial"/>
          <w:i/>
          <w:color w:val="000000"/>
        </w:rPr>
        <w:t xml:space="preserve"> Med</w:t>
      </w:r>
      <w:r>
        <w:rPr>
          <w:rFonts w:eastAsia="Arial" w:cs="Arial"/>
          <w:color w:val="000000"/>
        </w:rPr>
        <w:t>, 5(1):29-35.</w:t>
      </w:r>
      <w:r>
        <w:rPr>
          <w:rFonts w:eastAsia="Arial" w:cs="Arial"/>
          <w:color w:val="0000FF"/>
          <w:u w:val="single"/>
        </w:rPr>
        <w:t xml:space="preserve"> https://doi.org/10.3233/PRM-2011-0184</w:t>
      </w:r>
    </w:p>
    <w:p w14:paraId="660ED13C" w14:textId="35408A3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Dumas HM, Fragala-Pinkham MA, Haley SM, Ni P, Coster W, Kramer JM, Kao YC, Moed R, Ludlow LH. (2012). Computer adaptive test performance in children with and without disabilities: </w:t>
      </w:r>
      <w:r w:rsidR="00AC51D0">
        <w:rPr>
          <w:rFonts w:eastAsia="Arial" w:cs="Arial"/>
          <w:color w:val="000000"/>
        </w:rPr>
        <w:t>P</w:t>
      </w:r>
      <w:r>
        <w:rPr>
          <w:rFonts w:eastAsia="Arial" w:cs="Arial"/>
          <w:color w:val="000000"/>
        </w:rPr>
        <w:t xml:space="preserve">rospective field study of the PEDI-CAT. </w:t>
      </w:r>
      <w:proofErr w:type="spellStart"/>
      <w:r>
        <w:rPr>
          <w:rFonts w:eastAsia="Arial" w:cs="Arial"/>
          <w:i/>
          <w:color w:val="000000"/>
        </w:rPr>
        <w:t>Disabil</w:t>
      </w:r>
      <w:proofErr w:type="spellEnd"/>
      <w:r>
        <w:rPr>
          <w:rFonts w:eastAsia="Arial" w:cs="Arial"/>
          <w:i/>
          <w:color w:val="000000"/>
        </w:rPr>
        <w:t xml:space="preserve"> </w:t>
      </w:r>
      <w:proofErr w:type="spellStart"/>
      <w:r>
        <w:rPr>
          <w:rFonts w:eastAsia="Arial" w:cs="Arial"/>
          <w:i/>
          <w:color w:val="000000"/>
        </w:rPr>
        <w:t>Rehabil</w:t>
      </w:r>
      <w:proofErr w:type="spellEnd"/>
      <w:r>
        <w:rPr>
          <w:rFonts w:eastAsia="Arial" w:cs="Arial"/>
          <w:color w:val="000000"/>
        </w:rPr>
        <w:t>, 34(5):393-401.</w:t>
      </w:r>
      <w:r>
        <w:rPr>
          <w:rFonts w:eastAsia="Arial" w:cs="Arial"/>
          <w:color w:val="0000FF"/>
          <w:u w:val="single"/>
        </w:rPr>
        <w:t xml:space="preserve"> https://doi.org/10.3109/09638288.2011.607217</w:t>
      </w:r>
    </w:p>
    <w:p w14:paraId="617DD80A"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Dumas HM, Fragala-Pinkham MA. (2012). Concurrent validity and reliability of the </w:t>
      </w:r>
      <w:proofErr w:type="spellStart"/>
      <w:r>
        <w:rPr>
          <w:rFonts w:eastAsia="Arial" w:cs="Arial"/>
          <w:color w:val="000000"/>
        </w:rPr>
        <w:t>pediatric</w:t>
      </w:r>
      <w:proofErr w:type="spellEnd"/>
      <w:r>
        <w:rPr>
          <w:rFonts w:eastAsia="Arial" w:cs="Arial"/>
          <w:color w:val="000000"/>
        </w:rPr>
        <w:t xml:space="preserve"> evaluation of disability inventory-computer adaptive test mobility domain. </w:t>
      </w:r>
      <w:proofErr w:type="spellStart"/>
      <w:r>
        <w:rPr>
          <w:rFonts w:eastAsia="Arial" w:cs="Arial"/>
          <w:i/>
          <w:color w:val="000000"/>
        </w:rPr>
        <w:t>Pediatr</w:t>
      </w:r>
      <w:proofErr w:type="spellEnd"/>
      <w:r>
        <w:rPr>
          <w:rFonts w:eastAsia="Arial" w:cs="Arial"/>
          <w:i/>
          <w:color w:val="000000"/>
        </w:rPr>
        <w:t xml:space="preserve"> Phys Ther</w:t>
      </w:r>
      <w:r>
        <w:rPr>
          <w:rFonts w:eastAsia="Arial" w:cs="Arial"/>
          <w:color w:val="000000"/>
        </w:rPr>
        <w:t>, 24(2):171-</w:t>
      </w:r>
      <w:proofErr w:type="gramStart"/>
      <w:r>
        <w:rPr>
          <w:rFonts w:eastAsia="Arial" w:cs="Arial"/>
          <w:color w:val="000000"/>
        </w:rPr>
        <w:t>6;.</w:t>
      </w:r>
      <w:proofErr w:type="gramEnd"/>
      <w:r>
        <w:rPr>
          <w:rFonts w:eastAsia="Arial" w:cs="Arial"/>
          <w:color w:val="0000FF"/>
          <w:u w:val="single"/>
        </w:rPr>
        <w:t xml:space="preserve"> https://doi.org/10.1097/PEP.0b013e31824c94ca</w:t>
      </w:r>
    </w:p>
    <w:p w14:paraId="33D5F164"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Haley SM, Coster WJ, Dumas HM, Fragala-Pinkham MA, Kramer J, Ni P, Tian F, Kao YC, Moed R, Ludlow LH. (2011). Accuracy and precision of the </w:t>
      </w:r>
      <w:proofErr w:type="spellStart"/>
      <w:r>
        <w:rPr>
          <w:rFonts w:eastAsia="Arial" w:cs="Arial"/>
          <w:color w:val="000000"/>
        </w:rPr>
        <w:t>Pediatric</w:t>
      </w:r>
      <w:proofErr w:type="spellEnd"/>
      <w:r>
        <w:rPr>
          <w:rFonts w:eastAsia="Arial" w:cs="Arial"/>
          <w:color w:val="000000"/>
        </w:rPr>
        <w:t xml:space="preserve"> Evaluation of Disability Inventory computer-adaptive tests (PEDI-CAT). </w:t>
      </w:r>
      <w:r>
        <w:rPr>
          <w:rFonts w:eastAsia="Arial" w:cs="Arial"/>
          <w:i/>
          <w:color w:val="000000"/>
        </w:rPr>
        <w:t>Dev Med Child Neurol</w:t>
      </w:r>
      <w:r>
        <w:rPr>
          <w:rFonts w:eastAsia="Arial" w:cs="Arial"/>
          <w:color w:val="000000"/>
        </w:rPr>
        <w:t>, 53(12):1100-6.</w:t>
      </w:r>
      <w:r>
        <w:rPr>
          <w:rFonts w:eastAsia="Arial" w:cs="Arial"/>
          <w:color w:val="0000FF"/>
          <w:u w:val="single"/>
        </w:rPr>
        <w:t xml:space="preserve"> https://doi.org/10.1111/j.1469-8749.2011.04107.x</w:t>
      </w:r>
    </w:p>
    <w:p w14:paraId="319A698A"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Dumas H, Fragala-Pinkham M, Haley S, Coster W, Kramer J, Kao YC, Moed R. (2010). Item bank development for a revised </w:t>
      </w:r>
      <w:proofErr w:type="spellStart"/>
      <w:r>
        <w:rPr>
          <w:rFonts w:eastAsia="Arial" w:cs="Arial"/>
          <w:color w:val="000000"/>
        </w:rPr>
        <w:t>pediatric</w:t>
      </w:r>
      <w:proofErr w:type="spellEnd"/>
      <w:r>
        <w:rPr>
          <w:rFonts w:eastAsia="Arial" w:cs="Arial"/>
          <w:color w:val="000000"/>
        </w:rPr>
        <w:t xml:space="preserve"> evaluation of disability inventory (PEDI). </w:t>
      </w:r>
      <w:r>
        <w:rPr>
          <w:rFonts w:eastAsia="Arial" w:cs="Arial"/>
          <w:i/>
          <w:color w:val="000000"/>
        </w:rPr>
        <w:t xml:space="preserve">Phys </w:t>
      </w:r>
      <w:proofErr w:type="spellStart"/>
      <w:r>
        <w:rPr>
          <w:rFonts w:eastAsia="Arial" w:cs="Arial"/>
          <w:i/>
          <w:color w:val="000000"/>
        </w:rPr>
        <w:t>Occup</w:t>
      </w:r>
      <w:proofErr w:type="spellEnd"/>
      <w:r>
        <w:rPr>
          <w:rFonts w:eastAsia="Arial" w:cs="Arial"/>
          <w:i/>
          <w:color w:val="000000"/>
        </w:rPr>
        <w:t xml:space="preserve"> Ther </w:t>
      </w:r>
      <w:proofErr w:type="spellStart"/>
      <w:r>
        <w:rPr>
          <w:rFonts w:eastAsia="Arial" w:cs="Arial"/>
          <w:i/>
          <w:color w:val="000000"/>
        </w:rPr>
        <w:t>Pediatr</w:t>
      </w:r>
      <w:proofErr w:type="spellEnd"/>
      <w:r>
        <w:rPr>
          <w:rFonts w:eastAsia="Arial" w:cs="Arial"/>
          <w:color w:val="000000"/>
        </w:rPr>
        <w:t>, 30(3):168-84.</w:t>
      </w:r>
      <w:r>
        <w:rPr>
          <w:rFonts w:eastAsia="Arial" w:cs="Arial"/>
          <w:color w:val="0000FF"/>
          <w:u w:val="single"/>
        </w:rPr>
        <w:t xml:space="preserve"> https://doi.org/10.3109/01942631003640493</w:t>
      </w:r>
    </w:p>
    <w:p w14:paraId="0BCF8F4E"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Dumas HM, Fragala-Pinkham MA, Haley SM. (2010). Development of a </w:t>
      </w:r>
      <w:proofErr w:type="spellStart"/>
      <w:r>
        <w:rPr>
          <w:rFonts w:eastAsia="Arial" w:cs="Arial"/>
          <w:color w:val="000000"/>
        </w:rPr>
        <w:t>postacute</w:t>
      </w:r>
      <w:proofErr w:type="spellEnd"/>
      <w:r>
        <w:rPr>
          <w:rFonts w:eastAsia="Arial" w:cs="Arial"/>
          <w:color w:val="000000"/>
        </w:rPr>
        <w:t xml:space="preserve"> hospital item bank for the new </w:t>
      </w:r>
      <w:proofErr w:type="spellStart"/>
      <w:r>
        <w:rPr>
          <w:rFonts w:eastAsia="Arial" w:cs="Arial"/>
          <w:color w:val="000000"/>
        </w:rPr>
        <w:t>Pediatric</w:t>
      </w:r>
      <w:proofErr w:type="spellEnd"/>
      <w:r>
        <w:rPr>
          <w:rFonts w:eastAsia="Arial" w:cs="Arial"/>
          <w:color w:val="000000"/>
        </w:rPr>
        <w:t xml:space="preserve"> Evaluation of Disability Inventory-Computer Adaptive Test. </w:t>
      </w:r>
      <w:r>
        <w:rPr>
          <w:rFonts w:eastAsia="Arial" w:cs="Arial"/>
          <w:i/>
          <w:color w:val="000000"/>
        </w:rPr>
        <w:t xml:space="preserve">Int J </w:t>
      </w:r>
      <w:proofErr w:type="spellStart"/>
      <w:r>
        <w:rPr>
          <w:rFonts w:eastAsia="Arial" w:cs="Arial"/>
          <w:i/>
          <w:color w:val="000000"/>
        </w:rPr>
        <w:t>Rehabil</w:t>
      </w:r>
      <w:proofErr w:type="spellEnd"/>
      <w:r>
        <w:rPr>
          <w:rFonts w:eastAsia="Arial" w:cs="Arial"/>
          <w:i/>
          <w:color w:val="000000"/>
        </w:rPr>
        <w:t xml:space="preserve"> Res</w:t>
      </w:r>
      <w:r>
        <w:rPr>
          <w:rFonts w:eastAsia="Arial" w:cs="Arial"/>
          <w:color w:val="000000"/>
        </w:rPr>
        <w:t>, 33(4):332-8.</w:t>
      </w:r>
      <w:r>
        <w:rPr>
          <w:rFonts w:eastAsia="Arial" w:cs="Arial"/>
          <w:color w:val="0000FF"/>
          <w:u w:val="single"/>
        </w:rPr>
        <w:t xml:space="preserve"> https://doi.org/10.1097/MRR.0b013e32833ba5a5</w:t>
      </w:r>
    </w:p>
    <w:p w14:paraId="34B95158"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Haley SM, Raczek AE, Coster WJ, Dumas HM, Fragala-Pinkham MA. (2005). Assessing mobility in children using a computer adaptive testing version of the </w:t>
      </w:r>
      <w:proofErr w:type="spellStart"/>
      <w:r>
        <w:rPr>
          <w:rFonts w:eastAsia="Arial" w:cs="Arial"/>
          <w:color w:val="000000"/>
        </w:rPr>
        <w:t>pediatric</w:t>
      </w:r>
      <w:proofErr w:type="spellEnd"/>
      <w:r>
        <w:rPr>
          <w:rFonts w:eastAsia="Arial" w:cs="Arial"/>
          <w:color w:val="000000"/>
        </w:rPr>
        <w:t xml:space="preserve"> evaluation of disability inventory. </w:t>
      </w:r>
      <w:r>
        <w:rPr>
          <w:rFonts w:eastAsia="Arial" w:cs="Arial"/>
          <w:i/>
          <w:color w:val="000000"/>
        </w:rPr>
        <w:t>Arch Phys Med Rehabil</w:t>
      </w:r>
      <w:r>
        <w:rPr>
          <w:rFonts w:eastAsia="Arial" w:cs="Arial"/>
          <w:color w:val="000000"/>
        </w:rPr>
        <w:t>, 86(5):932-9.</w:t>
      </w:r>
      <w:r>
        <w:rPr>
          <w:rFonts w:eastAsia="Arial" w:cs="Arial"/>
          <w:color w:val="0000FF"/>
          <w:u w:val="single"/>
        </w:rPr>
        <w:t xml:space="preserve"> https://doi.org/10.1016/j.apmr.2004.10.032</w:t>
      </w:r>
    </w:p>
    <w:p w14:paraId="738D142A" w14:textId="77777777" w:rsidR="00201CCA" w:rsidRDefault="00201CCA" w:rsidP="001D0B8F">
      <w:pPr>
        <w:pStyle w:val="Heading2"/>
      </w:pPr>
      <w:r>
        <w:lastRenderedPageBreak/>
        <w:t>Cultural Adaptations</w:t>
      </w:r>
    </w:p>
    <w:p w14:paraId="064B8EDD" w14:textId="32BB336F"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Castilho JS, Barbosa RMF, </w:t>
      </w:r>
      <w:proofErr w:type="spellStart"/>
      <w:r>
        <w:rPr>
          <w:rFonts w:eastAsia="Arial" w:cs="Arial"/>
          <w:color w:val="000000"/>
        </w:rPr>
        <w:t>Ayupe</w:t>
      </w:r>
      <w:proofErr w:type="spellEnd"/>
      <w:r>
        <w:rPr>
          <w:rFonts w:eastAsia="Arial" w:cs="Arial"/>
          <w:color w:val="000000"/>
        </w:rPr>
        <w:t xml:space="preserve"> KMA, </w:t>
      </w:r>
      <w:proofErr w:type="spellStart"/>
      <w:r>
        <w:rPr>
          <w:rFonts w:eastAsia="Arial" w:cs="Arial"/>
          <w:color w:val="000000"/>
        </w:rPr>
        <w:t>Defilipo</w:t>
      </w:r>
      <w:proofErr w:type="spellEnd"/>
      <w:r>
        <w:rPr>
          <w:rFonts w:eastAsia="Arial" w:cs="Arial"/>
          <w:color w:val="000000"/>
        </w:rPr>
        <w:t xml:space="preserve"> ÉC, Chagas PSC. (2024). Reliability and acceptability to caregivers of telehealth administration of the </w:t>
      </w:r>
      <w:proofErr w:type="spellStart"/>
      <w:r>
        <w:rPr>
          <w:rFonts w:eastAsia="Arial" w:cs="Arial"/>
          <w:color w:val="000000"/>
        </w:rPr>
        <w:t>Pediatric</w:t>
      </w:r>
      <w:proofErr w:type="spellEnd"/>
      <w:r>
        <w:rPr>
          <w:rFonts w:eastAsia="Arial" w:cs="Arial"/>
          <w:color w:val="000000"/>
        </w:rPr>
        <w:t xml:space="preserve"> Evaluation of Disability Inventory - Computer Adaptive Test (PEDI-CAT) for Brazilian </w:t>
      </w:r>
      <w:r w:rsidR="00BF56C5">
        <w:rPr>
          <w:rFonts w:eastAsia="Arial" w:cs="Arial"/>
          <w:color w:val="000000"/>
        </w:rPr>
        <w:t>y</w:t>
      </w:r>
      <w:r>
        <w:rPr>
          <w:rFonts w:eastAsia="Arial" w:cs="Arial"/>
          <w:color w:val="000000"/>
        </w:rPr>
        <w:t xml:space="preserve">outh with </w:t>
      </w:r>
      <w:r w:rsidR="00BF56C5">
        <w:rPr>
          <w:rFonts w:eastAsia="Arial" w:cs="Arial"/>
          <w:color w:val="000000"/>
        </w:rPr>
        <w:t>d</w:t>
      </w:r>
      <w:r>
        <w:rPr>
          <w:rFonts w:eastAsia="Arial" w:cs="Arial"/>
          <w:color w:val="000000"/>
        </w:rPr>
        <w:t xml:space="preserve">own </w:t>
      </w:r>
      <w:r w:rsidR="00BF56C5">
        <w:rPr>
          <w:rFonts w:eastAsia="Arial" w:cs="Arial"/>
          <w:color w:val="000000"/>
        </w:rPr>
        <w:t>s</w:t>
      </w:r>
      <w:r>
        <w:rPr>
          <w:rFonts w:eastAsia="Arial" w:cs="Arial"/>
          <w:color w:val="000000"/>
        </w:rPr>
        <w:t xml:space="preserve">yndrome. </w:t>
      </w:r>
      <w:proofErr w:type="spellStart"/>
      <w:r>
        <w:rPr>
          <w:rFonts w:eastAsia="Arial" w:cs="Arial"/>
          <w:i/>
          <w:color w:val="000000"/>
        </w:rPr>
        <w:t>Physiother</w:t>
      </w:r>
      <w:proofErr w:type="spellEnd"/>
      <w:r>
        <w:rPr>
          <w:rFonts w:eastAsia="Arial" w:cs="Arial"/>
          <w:i/>
          <w:color w:val="000000"/>
        </w:rPr>
        <w:t xml:space="preserve"> Can</w:t>
      </w:r>
      <w:r>
        <w:rPr>
          <w:rFonts w:eastAsia="Arial" w:cs="Arial"/>
          <w:color w:val="000000"/>
        </w:rPr>
        <w:t>, 76(1):104-108.</w:t>
      </w:r>
      <w:r>
        <w:rPr>
          <w:rFonts w:eastAsia="Arial" w:cs="Arial"/>
          <w:color w:val="0000FF"/>
          <w:u w:val="single"/>
        </w:rPr>
        <w:t xml:space="preserve"> https://doi.org/10.3138/ptc-2021-0110</w:t>
      </w:r>
    </w:p>
    <w:p w14:paraId="1BB474A7"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Amaral MF, Sampaio RF, Coster WJ, Souza MP, Mancini MC. (2020). Functioning of young patients with cerebral palsy: Rasch analysis of the </w:t>
      </w:r>
      <w:proofErr w:type="spellStart"/>
      <w:r>
        <w:rPr>
          <w:rFonts w:eastAsia="Arial" w:cs="Arial"/>
          <w:color w:val="000000"/>
        </w:rPr>
        <w:t>pediatric</w:t>
      </w:r>
      <w:proofErr w:type="spellEnd"/>
      <w:r>
        <w:rPr>
          <w:rFonts w:eastAsia="Arial" w:cs="Arial"/>
          <w:color w:val="000000"/>
        </w:rPr>
        <w:t xml:space="preserve"> evaluation of disability inventory computer adaptive test daily activity and mobility. </w:t>
      </w:r>
      <w:r>
        <w:rPr>
          <w:rFonts w:eastAsia="Arial" w:cs="Arial"/>
          <w:i/>
          <w:color w:val="000000"/>
        </w:rPr>
        <w:t>Health Qual Life Outcomes</w:t>
      </w:r>
      <w:r>
        <w:rPr>
          <w:rFonts w:eastAsia="Arial" w:cs="Arial"/>
          <w:color w:val="000000"/>
        </w:rPr>
        <w:t>, 18(1):369.</w:t>
      </w:r>
      <w:r>
        <w:rPr>
          <w:rFonts w:eastAsia="Arial" w:cs="Arial"/>
          <w:color w:val="0000FF"/>
          <w:u w:val="single"/>
        </w:rPr>
        <w:t xml:space="preserve"> https://doi.org/10.1186/s12955-020-01624-5</w:t>
      </w:r>
    </w:p>
    <w:p w14:paraId="74EBDF44"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Bos N, Engel MF, van Rijswijk NJ, </w:t>
      </w:r>
      <w:proofErr w:type="spellStart"/>
      <w:r>
        <w:rPr>
          <w:rFonts w:eastAsia="Arial" w:cs="Arial"/>
          <w:color w:val="000000"/>
        </w:rPr>
        <w:t>Verheijden</w:t>
      </w:r>
      <w:proofErr w:type="spellEnd"/>
      <w:r>
        <w:rPr>
          <w:rFonts w:eastAsia="Arial" w:cs="Arial"/>
          <w:color w:val="000000"/>
        </w:rPr>
        <w:t xml:space="preserve"> JMA, Coster W, Moed R, Ketelaar M. (2019). Translation and cross-cultural adaptation of the PEDI-CAT: Dutch version. </w:t>
      </w:r>
      <w:r>
        <w:rPr>
          <w:rFonts w:eastAsia="Arial" w:cs="Arial"/>
          <w:i/>
          <w:color w:val="000000"/>
        </w:rPr>
        <w:t xml:space="preserve">J Pediatr </w:t>
      </w:r>
      <w:proofErr w:type="spellStart"/>
      <w:r>
        <w:rPr>
          <w:rFonts w:eastAsia="Arial" w:cs="Arial"/>
          <w:i/>
          <w:color w:val="000000"/>
        </w:rPr>
        <w:t>Rehabil</w:t>
      </w:r>
      <w:proofErr w:type="spellEnd"/>
      <w:r>
        <w:rPr>
          <w:rFonts w:eastAsia="Arial" w:cs="Arial"/>
          <w:i/>
          <w:color w:val="000000"/>
        </w:rPr>
        <w:t xml:space="preserve"> Med</w:t>
      </w:r>
      <w:r>
        <w:rPr>
          <w:rFonts w:eastAsia="Arial" w:cs="Arial"/>
          <w:color w:val="000000"/>
        </w:rPr>
        <w:t>, 12(1):57-64.</w:t>
      </w:r>
      <w:r>
        <w:rPr>
          <w:rFonts w:eastAsia="Arial" w:cs="Arial"/>
          <w:color w:val="0000FF"/>
          <w:u w:val="single"/>
        </w:rPr>
        <w:t xml:space="preserve"> https://doi.org/10.3233/PRM-180544</w:t>
      </w:r>
    </w:p>
    <w:p w14:paraId="17E1212D" w14:textId="04B11FC1"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Mancini MC, Coster WJ, Amaral MF, Avelar BS, Freitas R, Sampaio RF. (2016). New version of the </w:t>
      </w:r>
      <w:proofErr w:type="spellStart"/>
      <w:r>
        <w:rPr>
          <w:rFonts w:eastAsia="Arial" w:cs="Arial"/>
          <w:color w:val="000000"/>
        </w:rPr>
        <w:t>Pediatric</w:t>
      </w:r>
      <w:proofErr w:type="spellEnd"/>
      <w:r>
        <w:rPr>
          <w:rFonts w:eastAsia="Arial" w:cs="Arial"/>
          <w:color w:val="000000"/>
        </w:rPr>
        <w:t xml:space="preserve"> Evaluation of Disability Inventory (PEDI-CAT): </w:t>
      </w:r>
      <w:r w:rsidR="007E5328">
        <w:rPr>
          <w:rFonts w:eastAsia="Arial" w:cs="Arial"/>
          <w:color w:val="000000"/>
        </w:rPr>
        <w:t>T</w:t>
      </w:r>
      <w:r>
        <w:rPr>
          <w:rFonts w:eastAsia="Arial" w:cs="Arial"/>
          <w:color w:val="000000"/>
        </w:rPr>
        <w:t xml:space="preserve">ranslation, cultural adaptation to Brazil and analyses of psychometric properties. </w:t>
      </w:r>
      <w:r>
        <w:rPr>
          <w:rFonts w:eastAsia="Arial" w:cs="Arial"/>
          <w:i/>
          <w:color w:val="000000"/>
        </w:rPr>
        <w:t>Braz J Phys Ther</w:t>
      </w:r>
      <w:r>
        <w:rPr>
          <w:rFonts w:eastAsia="Arial" w:cs="Arial"/>
          <w:color w:val="000000"/>
        </w:rPr>
        <w:t>, 20(6):561-570.</w:t>
      </w:r>
      <w:r>
        <w:rPr>
          <w:rFonts w:eastAsia="Arial" w:cs="Arial"/>
          <w:color w:val="0000FF"/>
          <w:u w:val="single"/>
        </w:rPr>
        <w:t xml:space="preserve"> https://doi.org/10.1590/bjpt-rbf.2014.0166</w:t>
      </w:r>
    </w:p>
    <w:p w14:paraId="32C27D5C" w14:textId="77777777" w:rsidR="00201CCA" w:rsidRDefault="00201CCA" w:rsidP="001D0B8F">
      <w:pPr>
        <w:pStyle w:val="Heading2"/>
      </w:pPr>
      <w:r>
        <w:t>Outcome Studies</w:t>
      </w:r>
    </w:p>
    <w:p w14:paraId="6A500D3C" w14:textId="01DBCB71"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Choi JY, Yi SH, Shim D, Yoo B, Park ES, Rha DW. (2023). Home-based virtual reality-enhanced upper limb training system in children with brain injury: </w:t>
      </w:r>
      <w:r w:rsidR="00C3520A">
        <w:rPr>
          <w:rFonts w:eastAsia="Arial" w:cs="Arial"/>
          <w:color w:val="000000"/>
        </w:rPr>
        <w:t>A</w:t>
      </w:r>
      <w:r>
        <w:rPr>
          <w:rFonts w:eastAsia="Arial" w:cs="Arial"/>
          <w:color w:val="000000"/>
        </w:rPr>
        <w:t xml:space="preserve"> randomized controlled trial. </w:t>
      </w:r>
      <w:r>
        <w:rPr>
          <w:rFonts w:eastAsia="Arial" w:cs="Arial"/>
          <w:i/>
          <w:color w:val="000000"/>
        </w:rPr>
        <w:t xml:space="preserve">Front </w:t>
      </w:r>
      <w:proofErr w:type="spellStart"/>
      <w:r>
        <w:rPr>
          <w:rFonts w:eastAsia="Arial" w:cs="Arial"/>
          <w:i/>
          <w:color w:val="000000"/>
        </w:rPr>
        <w:t>Pediatr</w:t>
      </w:r>
      <w:proofErr w:type="spellEnd"/>
      <w:r>
        <w:rPr>
          <w:rFonts w:eastAsia="Arial" w:cs="Arial"/>
          <w:color w:val="000000"/>
        </w:rPr>
        <w:t xml:space="preserve">, </w:t>
      </w:r>
      <w:r w:rsidR="002312E3">
        <w:rPr>
          <w:rFonts w:eastAsia="Arial" w:cs="Arial"/>
          <w:color w:val="000000"/>
        </w:rPr>
        <w:t>11</w:t>
      </w:r>
      <w:r>
        <w:rPr>
          <w:rFonts w:eastAsia="Arial" w:cs="Arial"/>
          <w:color w:val="000000"/>
        </w:rPr>
        <w:t>.</w:t>
      </w:r>
      <w:r>
        <w:rPr>
          <w:rFonts w:eastAsia="Arial" w:cs="Arial"/>
          <w:color w:val="0000FF"/>
          <w:u w:val="single"/>
        </w:rPr>
        <w:t xml:space="preserve"> https://doi.org/10.3389/fped.2023.1131573</w:t>
      </w:r>
    </w:p>
    <w:p w14:paraId="1C189655" w14:textId="77777777"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Conroy S, Evans T, Butler-Moburg D, </w:t>
      </w:r>
      <w:proofErr w:type="spellStart"/>
      <w:r>
        <w:rPr>
          <w:rFonts w:eastAsia="Arial" w:cs="Arial"/>
          <w:color w:val="000000"/>
        </w:rPr>
        <w:t>Beuttler</w:t>
      </w:r>
      <w:proofErr w:type="spellEnd"/>
      <w:r>
        <w:rPr>
          <w:rFonts w:eastAsia="Arial" w:cs="Arial"/>
          <w:color w:val="000000"/>
        </w:rPr>
        <w:t xml:space="preserve"> R, Robinson J, Huebert M, O Mahony E, Grant-</w:t>
      </w:r>
      <w:proofErr w:type="spellStart"/>
      <w:r>
        <w:rPr>
          <w:rFonts w:eastAsia="Arial" w:cs="Arial"/>
          <w:color w:val="000000"/>
        </w:rPr>
        <w:t>Beuttler</w:t>
      </w:r>
      <w:proofErr w:type="spellEnd"/>
      <w:r>
        <w:rPr>
          <w:rFonts w:eastAsia="Arial" w:cs="Arial"/>
          <w:color w:val="000000"/>
        </w:rPr>
        <w:t xml:space="preserve"> M. (2023). Clinical application and feasibility of utilizing the PEDI-CAT to assess activity and participation among children receiving physical therapy incorporating hippotherapy. </w:t>
      </w:r>
      <w:proofErr w:type="spellStart"/>
      <w:r>
        <w:rPr>
          <w:rFonts w:eastAsia="Arial" w:cs="Arial"/>
          <w:i/>
          <w:color w:val="000000"/>
        </w:rPr>
        <w:t>Physiother</w:t>
      </w:r>
      <w:proofErr w:type="spellEnd"/>
      <w:r>
        <w:rPr>
          <w:rFonts w:eastAsia="Arial" w:cs="Arial"/>
          <w:i/>
          <w:color w:val="000000"/>
        </w:rPr>
        <w:t xml:space="preserve"> Theory </w:t>
      </w:r>
      <w:proofErr w:type="spellStart"/>
      <w:r>
        <w:rPr>
          <w:rFonts w:eastAsia="Arial" w:cs="Arial"/>
          <w:i/>
          <w:color w:val="000000"/>
        </w:rPr>
        <w:t>Pract</w:t>
      </w:r>
      <w:proofErr w:type="spellEnd"/>
      <w:r>
        <w:rPr>
          <w:rFonts w:eastAsia="Arial" w:cs="Arial"/>
          <w:color w:val="000000"/>
        </w:rPr>
        <w:t>, 39(11):2300-2313.</w:t>
      </w:r>
      <w:r>
        <w:rPr>
          <w:rFonts w:eastAsia="Arial" w:cs="Arial"/>
          <w:color w:val="0000FF"/>
          <w:u w:val="single"/>
        </w:rPr>
        <w:t xml:space="preserve"> https://doi.org/10.1080/09593985.2022.2072250</w:t>
      </w:r>
    </w:p>
    <w:p w14:paraId="764C050E" w14:textId="54736693"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Heathcock JC, Pan X, Ferrante R, Sternberg P, Tanner K. (2021). Comparing </w:t>
      </w:r>
      <w:r w:rsidR="00644CBB">
        <w:rPr>
          <w:rFonts w:eastAsia="Arial" w:cs="Arial"/>
          <w:color w:val="000000"/>
        </w:rPr>
        <w:t>t</w:t>
      </w:r>
      <w:r>
        <w:rPr>
          <w:rFonts w:eastAsia="Arial" w:cs="Arial"/>
          <w:color w:val="000000"/>
        </w:rPr>
        <w:t xml:space="preserve">wo </w:t>
      </w:r>
      <w:r w:rsidR="00644CBB">
        <w:rPr>
          <w:rFonts w:eastAsia="Arial" w:cs="Arial"/>
          <w:color w:val="000000"/>
        </w:rPr>
        <w:t>p</w:t>
      </w:r>
      <w:r>
        <w:rPr>
          <w:rFonts w:eastAsia="Arial" w:cs="Arial"/>
          <w:color w:val="000000"/>
        </w:rPr>
        <w:t xml:space="preserve">hysical </w:t>
      </w:r>
      <w:r w:rsidR="00644CBB">
        <w:rPr>
          <w:rFonts w:eastAsia="Arial" w:cs="Arial"/>
          <w:color w:val="000000"/>
        </w:rPr>
        <w:t>t</w:t>
      </w:r>
      <w:r>
        <w:rPr>
          <w:rFonts w:eastAsia="Arial" w:cs="Arial"/>
          <w:color w:val="000000"/>
        </w:rPr>
        <w:t xml:space="preserve">herapy </w:t>
      </w:r>
      <w:r w:rsidR="00644CBB">
        <w:rPr>
          <w:rFonts w:eastAsia="Arial" w:cs="Arial"/>
          <w:color w:val="000000"/>
        </w:rPr>
        <w:t>s</w:t>
      </w:r>
      <w:r>
        <w:rPr>
          <w:rFonts w:eastAsia="Arial" w:cs="Arial"/>
          <w:color w:val="000000"/>
        </w:rPr>
        <w:t xml:space="preserve">chedules for </w:t>
      </w:r>
      <w:r w:rsidR="00644CBB">
        <w:rPr>
          <w:rFonts w:eastAsia="Arial" w:cs="Arial"/>
          <w:color w:val="000000"/>
        </w:rPr>
        <w:t>c</w:t>
      </w:r>
      <w:r>
        <w:rPr>
          <w:rFonts w:eastAsia="Arial" w:cs="Arial"/>
          <w:color w:val="000000"/>
        </w:rPr>
        <w:t xml:space="preserve">hildren with </w:t>
      </w:r>
      <w:r w:rsidR="00644CBB">
        <w:rPr>
          <w:rFonts w:eastAsia="Arial" w:cs="Arial"/>
          <w:color w:val="000000"/>
        </w:rPr>
        <w:t>c</w:t>
      </w:r>
      <w:r>
        <w:rPr>
          <w:rFonts w:eastAsia="Arial" w:cs="Arial"/>
          <w:color w:val="000000"/>
        </w:rPr>
        <w:t xml:space="preserve">erebral </w:t>
      </w:r>
      <w:r w:rsidR="00644CBB">
        <w:rPr>
          <w:rFonts w:eastAsia="Arial" w:cs="Arial"/>
          <w:color w:val="000000"/>
        </w:rPr>
        <w:t>p</w:t>
      </w:r>
      <w:r>
        <w:rPr>
          <w:rFonts w:eastAsia="Arial" w:cs="Arial"/>
          <w:color w:val="000000"/>
        </w:rPr>
        <w:t>alsy—The ACHIEVE Study.</w:t>
      </w:r>
      <w:r>
        <w:rPr>
          <w:rFonts w:eastAsia="Arial" w:cs="Arial"/>
          <w:color w:val="0000FF"/>
          <w:u w:val="single"/>
        </w:rPr>
        <w:t xml:space="preserve"> https://doi.org/10.25302/05.2021.CER.150731899</w:t>
      </w:r>
    </w:p>
    <w:p w14:paraId="5D6AE38B" w14:textId="375A2DF2" w:rsidR="00201CCA" w:rsidRDefault="00201CCA">
      <w:pPr>
        <w:pBdr>
          <w:top w:val="none" w:sz="0" w:space="0" w:color="000000"/>
          <w:left w:val="none" w:sz="0" w:space="0" w:color="000000"/>
          <w:bottom w:val="none" w:sz="0" w:space="0" w:color="000000"/>
          <w:right w:val="none" w:sz="0" w:space="0" w:color="000000"/>
        </w:pBdr>
      </w:pPr>
      <w:r>
        <w:rPr>
          <w:rFonts w:eastAsia="Arial" w:cs="Arial"/>
          <w:color w:val="000000"/>
        </w:rPr>
        <w:t xml:space="preserve">Khetani MA, McManus BM, </w:t>
      </w:r>
      <w:proofErr w:type="spellStart"/>
      <w:r>
        <w:rPr>
          <w:rFonts w:eastAsia="Arial" w:cs="Arial"/>
          <w:color w:val="000000"/>
        </w:rPr>
        <w:t>Arestad</w:t>
      </w:r>
      <w:proofErr w:type="spellEnd"/>
      <w:r>
        <w:rPr>
          <w:rFonts w:eastAsia="Arial" w:cs="Arial"/>
          <w:color w:val="000000"/>
        </w:rPr>
        <w:t xml:space="preserve"> K, Richardson Z, Charlifue-Smith R, Rosenberg C, Rigau B. (2018). Technology-based functional assessment in early childhood intervention: </w:t>
      </w:r>
      <w:r w:rsidR="00D96CD6">
        <w:rPr>
          <w:rFonts w:eastAsia="Arial" w:cs="Arial"/>
          <w:color w:val="000000"/>
        </w:rPr>
        <w:t>A</w:t>
      </w:r>
      <w:r>
        <w:rPr>
          <w:rFonts w:eastAsia="Arial" w:cs="Arial"/>
          <w:color w:val="000000"/>
        </w:rPr>
        <w:t xml:space="preserve"> pilot study. </w:t>
      </w:r>
      <w:r>
        <w:rPr>
          <w:rFonts w:eastAsia="Arial" w:cs="Arial"/>
          <w:i/>
          <w:color w:val="000000"/>
        </w:rPr>
        <w:t xml:space="preserve">Pilot Feasibility </w:t>
      </w:r>
      <w:proofErr w:type="spellStart"/>
      <w:r>
        <w:rPr>
          <w:rFonts w:eastAsia="Arial" w:cs="Arial"/>
          <w:i/>
          <w:color w:val="000000"/>
        </w:rPr>
        <w:t>Stud</w:t>
      </w:r>
      <w:proofErr w:type="spellEnd"/>
      <w:r>
        <w:rPr>
          <w:rFonts w:eastAsia="Arial" w:cs="Arial"/>
          <w:color w:val="000000"/>
        </w:rPr>
        <w:t xml:space="preserve">, </w:t>
      </w:r>
      <w:r w:rsidR="00AB15D6">
        <w:rPr>
          <w:rFonts w:eastAsia="Arial" w:cs="Arial"/>
          <w:color w:val="000000"/>
        </w:rPr>
        <w:t>4:65</w:t>
      </w:r>
      <w:r>
        <w:rPr>
          <w:rFonts w:eastAsia="Arial" w:cs="Arial"/>
          <w:color w:val="000000"/>
        </w:rPr>
        <w:t>.</w:t>
      </w:r>
      <w:r>
        <w:rPr>
          <w:rFonts w:eastAsia="Arial" w:cs="Arial"/>
          <w:color w:val="0000FF"/>
          <w:u w:val="single"/>
        </w:rPr>
        <w:t xml:space="preserve"> https://doi.org/10.1186/s40814-018-0260-1</w:t>
      </w:r>
    </w:p>
    <w:p w14:paraId="21AF7734" w14:textId="77777777" w:rsidR="002242E8" w:rsidRDefault="00201CCA">
      <w:pPr>
        <w:pBdr>
          <w:top w:val="none" w:sz="0" w:space="0" w:color="000000"/>
          <w:left w:val="none" w:sz="0" w:space="0" w:color="000000"/>
          <w:bottom w:val="none" w:sz="0" w:space="0" w:color="000000"/>
          <w:right w:val="none" w:sz="0" w:space="0" w:color="000000"/>
        </w:pBdr>
        <w:rPr>
          <w:rFonts w:eastAsia="Arial" w:cs="Arial"/>
          <w:color w:val="0000FF"/>
          <w:u w:val="single"/>
        </w:rPr>
        <w:sectPr w:rsidR="002242E8" w:rsidSect="00B46A56">
          <w:pgSz w:w="11906" w:h="16838"/>
          <w:pgMar w:top="1440" w:right="1440" w:bottom="1440" w:left="1440" w:header="708" w:footer="708" w:gutter="0"/>
          <w:cols w:space="708"/>
          <w:docGrid w:linePitch="360"/>
        </w:sectPr>
      </w:pPr>
      <w:r>
        <w:rPr>
          <w:rFonts w:eastAsia="Arial" w:cs="Arial"/>
          <w:color w:val="000000"/>
        </w:rPr>
        <w:t xml:space="preserve">Kenyon LK, Farris JP, Gallagher C, Hammond L, Webster LM, Aldrich NJ. (2017). Power mobility training for young children with multiple, severe impairments: A case series. </w:t>
      </w:r>
      <w:r>
        <w:rPr>
          <w:rFonts w:eastAsia="Arial" w:cs="Arial"/>
          <w:i/>
          <w:color w:val="000000"/>
        </w:rPr>
        <w:t xml:space="preserve">Phys </w:t>
      </w:r>
      <w:proofErr w:type="spellStart"/>
      <w:r>
        <w:rPr>
          <w:rFonts w:eastAsia="Arial" w:cs="Arial"/>
          <w:i/>
          <w:color w:val="000000"/>
        </w:rPr>
        <w:t>Occup</w:t>
      </w:r>
      <w:proofErr w:type="spellEnd"/>
      <w:r>
        <w:rPr>
          <w:rFonts w:eastAsia="Arial" w:cs="Arial"/>
          <w:i/>
          <w:color w:val="000000"/>
        </w:rPr>
        <w:t xml:space="preserve"> Ther </w:t>
      </w:r>
      <w:proofErr w:type="spellStart"/>
      <w:r>
        <w:rPr>
          <w:rFonts w:eastAsia="Arial" w:cs="Arial"/>
          <w:i/>
          <w:color w:val="000000"/>
        </w:rPr>
        <w:t>Pediatr</w:t>
      </w:r>
      <w:proofErr w:type="spellEnd"/>
      <w:r>
        <w:rPr>
          <w:rFonts w:eastAsia="Arial" w:cs="Arial"/>
          <w:color w:val="000000"/>
        </w:rPr>
        <w:t>, 37(1):19-34.</w:t>
      </w:r>
      <w:r>
        <w:rPr>
          <w:rFonts w:eastAsia="Arial" w:cs="Arial"/>
          <w:color w:val="0000FF"/>
          <w:u w:val="single"/>
        </w:rPr>
        <w:t xml:space="preserve"> https://doi.org/10.3109/01942638.2015.1108380</w:t>
      </w:r>
    </w:p>
    <w:p w14:paraId="6FB031D3" w14:textId="5DC9D02F" w:rsidR="00201CCA" w:rsidRPr="00201CCA" w:rsidRDefault="00201CCA">
      <w:pPr>
        <w:rPr>
          <w:rFonts w:eastAsiaTheme="majorEastAsia" w:cs="Arial"/>
          <w:b/>
          <w:bCs/>
          <w:color w:val="3F779D"/>
          <w:sz w:val="22"/>
          <w:szCs w:val="22"/>
        </w:rPr>
      </w:pPr>
    </w:p>
    <w:p w14:paraId="7BFA6B01" w14:textId="77777777" w:rsidR="003D2D73" w:rsidRDefault="003D2D73">
      <w:pPr>
        <w:jc w:val="center"/>
      </w:pPr>
      <w:r>
        <w:rPr>
          <w:noProof/>
        </w:rPr>
        <w:drawing>
          <wp:anchor distT="0" distB="0" distL="114300" distR="114300" simplePos="0" relativeHeight="251658274" behindDoc="0" locked="1" layoutInCell="1" allowOverlap="1" wp14:anchorId="477CC64F" wp14:editId="18D09A45">
            <wp:simplePos x="0" y="0"/>
            <wp:positionH relativeFrom="page">
              <wp:posOffset>0</wp:posOffset>
            </wp:positionH>
            <wp:positionV relativeFrom="page">
              <wp:posOffset>2559685</wp:posOffset>
            </wp:positionV>
            <wp:extent cx="7563485" cy="935990"/>
            <wp:effectExtent l="0" t="0" r="5715" b="3810"/>
            <wp:wrapNone/>
            <wp:docPr id="726495586"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5" behindDoc="1" locked="1" layoutInCell="1" allowOverlap="1" wp14:anchorId="15BB0D2E" wp14:editId="43F55575">
            <wp:simplePos x="0" y="0"/>
            <wp:positionH relativeFrom="page">
              <wp:posOffset>0</wp:posOffset>
            </wp:positionH>
            <wp:positionV relativeFrom="page">
              <wp:posOffset>0</wp:posOffset>
            </wp:positionV>
            <wp:extent cx="7563485" cy="2267585"/>
            <wp:effectExtent l="0" t="0" r="5715" b="5715"/>
            <wp:wrapNone/>
            <wp:docPr id="1890018539"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50E80F01" w14:textId="77777777" w:rsidR="003D2D73" w:rsidRDefault="003D2D73">
      <w:pPr>
        <w:jc w:val="center"/>
      </w:pPr>
    </w:p>
    <w:p w14:paraId="52ECCDE3" w14:textId="77777777" w:rsidR="00451104" w:rsidRDefault="00451104">
      <w:pPr>
        <w:jc w:val="center"/>
      </w:pPr>
    </w:p>
    <w:p w14:paraId="51874673" w14:textId="77777777" w:rsidR="00451104" w:rsidRDefault="00451104">
      <w:pPr>
        <w:jc w:val="center"/>
      </w:pPr>
    </w:p>
    <w:p w14:paraId="071A0153" w14:textId="41E3C79A" w:rsidR="00451104" w:rsidRDefault="00451104">
      <w:pPr>
        <w:jc w:val="center"/>
      </w:pPr>
    </w:p>
    <w:p w14:paraId="358BFC0C" w14:textId="225344FC" w:rsidR="00451104" w:rsidRDefault="00451104">
      <w:pPr>
        <w:jc w:val="center"/>
      </w:pPr>
      <w:r>
        <w:rPr>
          <w:noProof/>
        </w:rPr>
        <mc:AlternateContent>
          <mc:Choice Requires="wps">
            <w:drawing>
              <wp:anchor distT="0" distB="0" distL="114300" distR="114300" simplePos="0" relativeHeight="251658276" behindDoc="0" locked="0" layoutInCell="1" allowOverlap="1" wp14:anchorId="35DC48BD" wp14:editId="763DF83C">
                <wp:simplePos x="0" y="0"/>
                <wp:positionH relativeFrom="column">
                  <wp:posOffset>95534</wp:posOffset>
                </wp:positionH>
                <wp:positionV relativeFrom="paragraph">
                  <wp:posOffset>75281</wp:posOffset>
                </wp:positionV>
                <wp:extent cx="6470650" cy="764274"/>
                <wp:effectExtent l="0" t="0" r="0" b="0"/>
                <wp:wrapNone/>
                <wp:docPr id="292206928" name="Text Box 1"/>
                <wp:cNvGraphicFramePr/>
                <a:graphic xmlns:a="http://schemas.openxmlformats.org/drawingml/2006/main">
                  <a:graphicData uri="http://schemas.microsoft.com/office/word/2010/wordprocessingShape">
                    <wps:wsp>
                      <wps:cNvSpPr txBox="1"/>
                      <wps:spPr>
                        <a:xfrm>
                          <a:off x="0" y="0"/>
                          <a:ext cx="6470650" cy="764274"/>
                        </a:xfrm>
                        <a:prstGeom prst="rect">
                          <a:avLst/>
                        </a:prstGeom>
                        <a:noFill/>
                        <a:ln w="6350">
                          <a:noFill/>
                        </a:ln>
                      </wps:spPr>
                      <wps:txbx>
                        <w:txbxContent>
                          <w:p w14:paraId="3D16EBFA" w14:textId="77777777" w:rsidR="003D2D73" w:rsidRPr="00B73670" w:rsidRDefault="003D2D73">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33679CDA" w14:textId="77777777" w:rsidR="003D2D73" w:rsidRPr="00DA3237" w:rsidRDefault="003D2D73">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48BD" id="_x0000_s1039" type="#_x0000_t202" style="position:absolute;left:0;text-align:left;margin-left:7.5pt;margin-top:5.95pt;width:509.5pt;height:60.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" filled="f" stroked="f" strokeweight=".5pt">
                <v:textbox>
                  <w:txbxContent>
                    <w:p w14:paraId="3D16EBFA" w14:textId="77777777" w:rsidR="003D2D73" w:rsidRPr="00B73670" w:rsidRDefault="003D2D73">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p w14:paraId="33679CDA" w14:textId="77777777" w:rsidR="003D2D73" w:rsidRPr="00DA3237" w:rsidRDefault="003D2D73">
                      <w:pPr>
                        <w:rPr>
                          <w:rFonts w:cs="Arial"/>
                        </w:rPr>
                      </w:pPr>
                    </w:p>
                  </w:txbxContent>
                </v:textbox>
              </v:shape>
            </w:pict>
          </mc:Fallback>
        </mc:AlternateContent>
      </w:r>
    </w:p>
    <w:p w14:paraId="01CF196C" w14:textId="1BE3B4EF" w:rsidR="00451104" w:rsidRDefault="00451104">
      <w:pPr>
        <w:jc w:val="center"/>
      </w:pPr>
    </w:p>
    <w:p w14:paraId="71948D20" w14:textId="4B8811CA" w:rsidR="003D2D73" w:rsidRDefault="003D2D73">
      <w:pPr>
        <w:tabs>
          <w:tab w:val="left" w:pos="5465"/>
        </w:tabs>
        <w:spacing w:line="300" w:lineRule="auto"/>
      </w:pPr>
      <w:r>
        <w:rPr>
          <w:rFonts w:ascii="Arial Bold" w:eastAsia="Arial Bold" w:hAnsi="Arial Bold" w:cs="Arial Bold"/>
          <w:b/>
          <w:bCs/>
          <w:color w:val="000F46"/>
          <w:sz w:val="40"/>
          <w:szCs w:val="40"/>
        </w:rPr>
        <w:t xml:space="preserve"> </w:t>
      </w:r>
      <w:r>
        <w:rPr>
          <w:rFonts w:ascii="Arial Bold" w:eastAsia="Arial Bold" w:hAnsi="Arial Bold" w:cs="Arial Bold"/>
          <w:b/>
          <w:bCs/>
          <w:color w:val="000F46"/>
          <w:sz w:val="40"/>
          <w:szCs w:val="40"/>
        </w:rPr>
        <w:tab/>
      </w:r>
    </w:p>
    <w:p w14:paraId="611481D9" w14:textId="64B8D86A" w:rsidR="003D2D73" w:rsidRPr="00451104" w:rsidRDefault="003D2D73">
      <w:pPr>
        <w:spacing w:line="300" w:lineRule="auto"/>
      </w:pPr>
      <w:r>
        <w:rPr>
          <w:rFonts w:ascii="Canva Sans" w:eastAsia="Canva Sans" w:hAnsi="Canva Sans" w:cs="Canva Sans"/>
          <w:color w:val="000000"/>
        </w:rPr>
        <w:t xml:space="preserve"> </w:t>
      </w:r>
    </w:p>
    <w:p w14:paraId="4819BE0D" w14:textId="405C9EEF" w:rsidR="00F45AE1" w:rsidRPr="00F45AE1" w:rsidRDefault="00F45AE1" w:rsidP="001D0B8F">
      <w:pPr>
        <w:pStyle w:val="Heading1"/>
      </w:pPr>
      <w:bookmarkStart w:id="65" w:name="_Vineland_Adaptive_Behavior"/>
      <w:bookmarkEnd w:id="65"/>
      <w:r w:rsidRPr="00F45AE1">
        <w:t xml:space="preserve">Vineland Adaptive </w:t>
      </w:r>
      <w:r w:rsidR="00C679B1" w:rsidRPr="00F45AE1">
        <w:t>Behaviour</w:t>
      </w:r>
      <w:r w:rsidRPr="00F45AE1">
        <w:t xml:space="preserve"> Scales (VABS)</w:t>
      </w:r>
    </w:p>
    <w:tbl>
      <w:tblPr>
        <w:tblW w:w="901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2119"/>
        <w:gridCol w:w="6891"/>
      </w:tblGrid>
      <w:tr w:rsidR="00F45AE1" w:rsidRPr="00F45AE1" w14:paraId="3433EE6A" w14:textId="77777777">
        <w:trPr>
          <w:trHeight w:val="300"/>
        </w:trPr>
        <w:tc>
          <w:tcPr>
            <w:tcW w:w="2119" w:type="dxa"/>
            <w:tcBorders>
              <w:top w:val="single" w:sz="6" w:space="0" w:color="auto"/>
              <w:left w:val="single" w:sz="6" w:space="0" w:color="auto"/>
              <w:bottom w:val="single" w:sz="6" w:space="0" w:color="auto"/>
              <w:right w:val="single" w:sz="6" w:space="0" w:color="auto"/>
            </w:tcBorders>
            <w:hideMark/>
          </w:tcPr>
          <w:p w14:paraId="1E9CE67F" w14:textId="77777777" w:rsidR="00F45AE1" w:rsidRPr="00F45AE1" w:rsidRDefault="00F45AE1" w:rsidP="00F45AE1">
            <w:pPr>
              <w:spacing w:after="100"/>
              <w:ind w:left="57" w:right="57"/>
              <w:rPr>
                <w:rFonts w:cs="Arial"/>
                <w:b/>
                <w:bCs/>
              </w:rPr>
            </w:pPr>
            <w:r w:rsidRPr="00F45AE1">
              <w:rPr>
                <w:rFonts w:cs="Arial"/>
                <w:b/>
                <w:bCs/>
              </w:rPr>
              <w:t>Framework Outcomes Statement(s) </w:t>
            </w:r>
          </w:p>
        </w:tc>
        <w:tc>
          <w:tcPr>
            <w:tcW w:w="6891" w:type="dxa"/>
            <w:tcBorders>
              <w:top w:val="single" w:sz="6" w:space="0" w:color="auto"/>
              <w:left w:val="single" w:sz="6" w:space="0" w:color="auto"/>
              <w:bottom w:val="single" w:sz="6" w:space="0" w:color="auto"/>
              <w:right w:val="single" w:sz="6" w:space="0" w:color="auto"/>
            </w:tcBorders>
            <w:hideMark/>
          </w:tcPr>
          <w:p w14:paraId="04434D96" w14:textId="3D63EE61" w:rsidR="00F45AE1" w:rsidRPr="00F45AE1" w:rsidRDefault="00F45AE1" w:rsidP="003A34C3">
            <w:pPr>
              <w:spacing w:after="100"/>
              <w:ind w:left="57" w:right="57"/>
              <w:contextualSpacing/>
              <w:rPr>
                <w:rFonts w:cs="Arial"/>
                <w:b/>
                <w:bCs/>
              </w:rPr>
            </w:pPr>
            <w:r w:rsidRPr="00F45AE1">
              <w:rPr>
                <w:rFonts w:cs="Arial"/>
                <w:b/>
                <w:bCs/>
              </w:rPr>
              <w:t>Children:</w:t>
            </w:r>
          </w:p>
          <w:p w14:paraId="06B04C41" w14:textId="2981FECB" w:rsidR="00CA4A27" w:rsidRDefault="00CA4A27" w:rsidP="003A34C3">
            <w:pPr>
              <w:numPr>
                <w:ilvl w:val="0"/>
                <w:numId w:val="13"/>
              </w:numPr>
              <w:spacing w:after="100"/>
              <w:ind w:right="57"/>
              <w:contextualSpacing/>
              <w:rPr>
                <w:rFonts w:cs="Arial"/>
              </w:rPr>
            </w:pPr>
            <w:r>
              <w:rPr>
                <w:rFonts w:cs="Arial"/>
              </w:rPr>
              <w:t>interact with family members, other children, and people in the community to build relational skills and connections</w:t>
            </w:r>
          </w:p>
          <w:p w14:paraId="1A4E9B65" w14:textId="77777777" w:rsidR="00395579" w:rsidRDefault="00F45AE1" w:rsidP="003A34C3">
            <w:pPr>
              <w:numPr>
                <w:ilvl w:val="0"/>
                <w:numId w:val="13"/>
              </w:numPr>
              <w:spacing w:after="100"/>
              <w:ind w:left="414" w:right="57" w:hanging="357"/>
              <w:rPr>
                <w:rFonts w:cs="Arial"/>
              </w:rPr>
            </w:pPr>
            <w:r w:rsidRPr="00F45AE1">
              <w:rPr>
                <w:rFonts w:cs="Arial"/>
              </w:rPr>
              <w:t>acquire, develop and generalise new knowledge and skills  </w:t>
            </w:r>
          </w:p>
          <w:p w14:paraId="250436DB" w14:textId="2E9A1CF7" w:rsidR="00F45AE1" w:rsidRPr="00F45AE1" w:rsidRDefault="00F45AE1" w:rsidP="003A34C3">
            <w:pPr>
              <w:spacing w:after="100"/>
              <w:ind w:right="57"/>
              <w:contextualSpacing/>
              <w:rPr>
                <w:rFonts w:cs="Arial"/>
              </w:rPr>
            </w:pPr>
            <w:r w:rsidRPr="00F45AE1">
              <w:rPr>
                <w:rFonts w:cs="Arial"/>
              </w:rPr>
              <w:t> </w:t>
            </w:r>
            <w:r w:rsidR="00395579">
              <w:rPr>
                <w:rFonts w:cs="Arial"/>
              </w:rPr>
              <w:t>Provides some information about</w:t>
            </w:r>
          </w:p>
          <w:p w14:paraId="38B9116B" w14:textId="77777777" w:rsidR="00F45AE1" w:rsidRDefault="00F45AE1" w:rsidP="003A34C3">
            <w:pPr>
              <w:numPr>
                <w:ilvl w:val="0"/>
                <w:numId w:val="13"/>
              </w:numPr>
              <w:spacing w:after="100"/>
              <w:ind w:right="57"/>
              <w:contextualSpacing/>
              <w:rPr>
                <w:rFonts w:cs="Arial"/>
              </w:rPr>
            </w:pPr>
            <w:r w:rsidRPr="00F45AE1">
              <w:rPr>
                <w:rFonts w:cs="Arial"/>
              </w:rPr>
              <w:t>participate and feel they belong in everyday home, community, ECEC and school environments</w:t>
            </w:r>
          </w:p>
          <w:p w14:paraId="2DB92E5A" w14:textId="2F141023" w:rsidR="00452988" w:rsidRPr="00F45AE1" w:rsidRDefault="00452988" w:rsidP="003A34C3">
            <w:pPr>
              <w:numPr>
                <w:ilvl w:val="0"/>
                <w:numId w:val="13"/>
              </w:numPr>
              <w:spacing w:after="100"/>
              <w:ind w:left="414" w:right="57" w:hanging="357"/>
              <w:rPr>
                <w:rFonts w:cs="Arial"/>
              </w:rPr>
            </w:pPr>
            <w:r>
              <w:rPr>
                <w:rFonts w:cs="Arial"/>
              </w:rPr>
              <w:t>build capacity to regulate their behaviour</w:t>
            </w:r>
          </w:p>
        </w:tc>
      </w:tr>
    </w:tbl>
    <w:p w14:paraId="5F798B62" w14:textId="77777777" w:rsidR="009B74F3" w:rsidRPr="009B74F3" w:rsidRDefault="009B74F3" w:rsidP="00C679B1">
      <w:pPr>
        <w:pStyle w:val="Heading1"/>
      </w:pPr>
      <w:r w:rsidRPr="009B74F3">
        <w:t>VABS Overview</w:t>
      </w:r>
    </w:p>
    <w:tbl>
      <w:tblPr>
        <w:tblW w:w="901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2140"/>
        <w:gridCol w:w="6870"/>
      </w:tblGrid>
      <w:tr w:rsidR="009B74F3" w:rsidRPr="009B74F3" w14:paraId="4EBA366F"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54E51C85" w14:textId="77777777" w:rsidR="009B74F3" w:rsidRPr="009B74F3" w:rsidRDefault="009B74F3" w:rsidP="009B74F3">
            <w:pPr>
              <w:spacing w:after="100"/>
              <w:ind w:left="57" w:right="57"/>
              <w:rPr>
                <w:rFonts w:cs="Arial"/>
              </w:rPr>
            </w:pPr>
            <w:r w:rsidRPr="009B74F3">
              <w:rPr>
                <w:rFonts w:cs="Arial"/>
                <w:b/>
                <w:bCs/>
              </w:rPr>
              <w:t>General description</w:t>
            </w:r>
            <w:r w:rsidRPr="009B74F3">
              <w:rPr>
                <w:rFonts w:cs="Arial"/>
              </w:rPr>
              <w:t>  </w:t>
            </w:r>
          </w:p>
          <w:p w14:paraId="7484060F" w14:textId="77777777" w:rsidR="009B74F3" w:rsidRPr="009B74F3" w:rsidRDefault="009B74F3" w:rsidP="009B74F3">
            <w:pPr>
              <w:spacing w:after="100"/>
              <w:ind w:left="57" w:right="57"/>
              <w:rPr>
                <w:rFonts w:cs="Arial"/>
                <w:i/>
                <w:iCs/>
              </w:rPr>
            </w:pPr>
          </w:p>
        </w:tc>
        <w:tc>
          <w:tcPr>
            <w:tcW w:w="6870" w:type="dxa"/>
            <w:tcBorders>
              <w:top w:val="single" w:sz="6" w:space="0" w:color="auto"/>
              <w:left w:val="single" w:sz="6" w:space="0" w:color="auto"/>
              <w:bottom w:val="single" w:sz="6" w:space="0" w:color="auto"/>
              <w:right w:val="single" w:sz="6" w:space="0" w:color="auto"/>
            </w:tcBorders>
            <w:hideMark/>
          </w:tcPr>
          <w:p w14:paraId="07E9754C" w14:textId="77777777" w:rsidR="009B74F3" w:rsidRPr="009B74F3" w:rsidRDefault="009B74F3" w:rsidP="009B74F3">
            <w:pPr>
              <w:spacing w:after="100"/>
              <w:ind w:left="57" w:right="57"/>
              <w:rPr>
                <w:rFonts w:cs="Arial"/>
              </w:rPr>
            </w:pPr>
            <w:r w:rsidRPr="009B74F3">
              <w:rPr>
                <w:rFonts w:cs="Arial"/>
              </w:rPr>
              <w:t xml:space="preserve">The Vineland Adaptive </w:t>
            </w:r>
            <w:proofErr w:type="spellStart"/>
            <w:r w:rsidRPr="009B74F3">
              <w:rPr>
                <w:rFonts w:cs="Arial"/>
              </w:rPr>
              <w:t>Behavior</w:t>
            </w:r>
            <w:proofErr w:type="spellEnd"/>
            <w:r w:rsidRPr="009B74F3">
              <w:rPr>
                <w:rFonts w:cs="Arial"/>
              </w:rPr>
              <w:t xml:space="preserve"> Scales (VABS) is a comprehensive standardised assessment tool that evaluates adaptive behaviour—a person's ability to carry out everyday activities necessary for personal and social sufficiency. </w:t>
            </w:r>
          </w:p>
          <w:p w14:paraId="2245A43A" w14:textId="77777777" w:rsidR="009B74F3" w:rsidRPr="009B74F3" w:rsidRDefault="009B74F3" w:rsidP="009B74F3">
            <w:pPr>
              <w:spacing w:after="100"/>
              <w:ind w:left="57" w:right="57"/>
              <w:rPr>
                <w:rFonts w:cs="Arial"/>
              </w:rPr>
            </w:pPr>
            <w:r w:rsidRPr="009B74F3">
              <w:rPr>
                <w:rFonts w:cs="Arial"/>
              </w:rPr>
              <w:t xml:space="preserve">The main purpose of the VABS is to support the diagnosis of developmental disabilities, including intellectual disability, autism spectrum disorder (ASD), and developmental delay. It also serves to develop educational and treatment </w:t>
            </w:r>
            <w:proofErr w:type="gramStart"/>
            <w:r w:rsidRPr="009B74F3">
              <w:rPr>
                <w:rFonts w:cs="Arial"/>
              </w:rPr>
              <w:t>plans, and</w:t>
            </w:r>
            <w:proofErr w:type="gramEnd"/>
            <w:r w:rsidRPr="009B74F3">
              <w:rPr>
                <w:rFonts w:cs="Arial"/>
              </w:rPr>
              <w:t xml:space="preserve"> monitor progress over time.</w:t>
            </w:r>
          </w:p>
          <w:p w14:paraId="64BA00B6" w14:textId="77777777" w:rsidR="009B74F3" w:rsidRPr="009B74F3" w:rsidRDefault="009B74F3" w:rsidP="009B74F3">
            <w:pPr>
              <w:spacing w:after="100"/>
              <w:ind w:right="57"/>
              <w:rPr>
                <w:rFonts w:cs="Arial"/>
              </w:rPr>
            </w:pPr>
            <w:r w:rsidRPr="009B74F3">
              <w:rPr>
                <w:rFonts w:cs="Arial"/>
              </w:rPr>
              <w:t>The current version in use is the Vineland-3, which includes Comprehensive (full-length) and Domain-Level (abbreviated) versions. Each format can be completed with the parent/caregiver and/or the teacher, making it useful to provide a comprehensive view of a child's functioning.</w:t>
            </w:r>
          </w:p>
        </w:tc>
      </w:tr>
      <w:tr w:rsidR="009B74F3" w:rsidRPr="009B74F3" w14:paraId="79244036" w14:textId="77777777">
        <w:trPr>
          <w:trHeight w:val="300"/>
        </w:trPr>
        <w:tc>
          <w:tcPr>
            <w:tcW w:w="2140" w:type="dxa"/>
            <w:tcBorders>
              <w:top w:val="single" w:sz="6" w:space="0" w:color="auto"/>
              <w:left w:val="single" w:sz="6" w:space="0" w:color="auto"/>
              <w:bottom w:val="single" w:sz="6" w:space="0" w:color="auto"/>
              <w:right w:val="single" w:sz="6" w:space="0" w:color="auto"/>
            </w:tcBorders>
          </w:tcPr>
          <w:p w14:paraId="58C724E0" w14:textId="77777777" w:rsidR="009B74F3" w:rsidRPr="009B74F3" w:rsidRDefault="009B74F3" w:rsidP="009B74F3">
            <w:pPr>
              <w:spacing w:after="100"/>
              <w:ind w:left="57" w:right="57"/>
              <w:rPr>
                <w:rFonts w:cs="Arial"/>
                <w:b/>
                <w:bCs/>
              </w:rPr>
            </w:pPr>
            <w:r w:rsidRPr="009B74F3">
              <w:rPr>
                <w:rFonts w:cs="Arial"/>
                <w:b/>
                <w:bCs/>
              </w:rPr>
              <w:lastRenderedPageBreak/>
              <w:t xml:space="preserve">Ages </w:t>
            </w:r>
          </w:p>
        </w:tc>
        <w:tc>
          <w:tcPr>
            <w:tcW w:w="6870" w:type="dxa"/>
            <w:tcBorders>
              <w:top w:val="single" w:sz="6" w:space="0" w:color="auto"/>
              <w:left w:val="single" w:sz="6" w:space="0" w:color="auto"/>
              <w:bottom w:val="single" w:sz="6" w:space="0" w:color="auto"/>
              <w:right w:val="single" w:sz="6" w:space="0" w:color="auto"/>
            </w:tcBorders>
            <w:vAlign w:val="center"/>
          </w:tcPr>
          <w:p w14:paraId="6ADE9C6F" w14:textId="77777777" w:rsidR="009B74F3" w:rsidRPr="009B74F3" w:rsidRDefault="009B74F3" w:rsidP="009B74F3">
            <w:pPr>
              <w:spacing w:after="100"/>
              <w:ind w:left="57" w:right="57"/>
              <w:rPr>
                <w:rFonts w:cs="Arial"/>
              </w:rPr>
            </w:pPr>
            <w:r w:rsidRPr="009B74F3">
              <w:rPr>
                <w:rFonts w:cs="Arial"/>
              </w:rPr>
              <w:t xml:space="preserve">The Vineland-3 is designed for individuals from birth to 90+ years with some age restrictions depending on the version and the subscale considered. </w:t>
            </w:r>
          </w:p>
        </w:tc>
      </w:tr>
      <w:tr w:rsidR="009B74F3" w:rsidRPr="009B74F3" w14:paraId="3CACB2DE" w14:textId="77777777">
        <w:trPr>
          <w:trHeight w:val="300"/>
        </w:trPr>
        <w:tc>
          <w:tcPr>
            <w:tcW w:w="2140" w:type="dxa"/>
            <w:tcBorders>
              <w:top w:val="single" w:sz="6" w:space="0" w:color="auto"/>
              <w:left w:val="single" w:sz="6" w:space="0" w:color="auto"/>
              <w:bottom w:val="single" w:sz="6" w:space="0" w:color="auto"/>
              <w:right w:val="single" w:sz="6" w:space="0" w:color="auto"/>
            </w:tcBorders>
          </w:tcPr>
          <w:p w14:paraId="7EC05B6A" w14:textId="77777777" w:rsidR="009B74F3" w:rsidRPr="009B74F3" w:rsidRDefault="009B74F3" w:rsidP="009B74F3">
            <w:pPr>
              <w:spacing w:after="100"/>
              <w:ind w:left="57" w:right="57"/>
              <w:rPr>
                <w:rFonts w:cs="Arial"/>
              </w:rPr>
            </w:pPr>
            <w:r w:rsidRPr="009B74F3">
              <w:rPr>
                <w:rFonts w:cs="Arial"/>
                <w:b/>
                <w:bCs/>
              </w:rPr>
              <w:t>Domains / subscales </w:t>
            </w:r>
            <w:r w:rsidRPr="009B74F3">
              <w:rPr>
                <w:rFonts w:cs="Arial"/>
              </w:rPr>
              <w:t> </w:t>
            </w:r>
          </w:p>
        </w:tc>
        <w:tc>
          <w:tcPr>
            <w:tcW w:w="6870" w:type="dxa"/>
            <w:tcBorders>
              <w:top w:val="single" w:sz="6" w:space="0" w:color="auto"/>
              <w:left w:val="single" w:sz="6" w:space="0" w:color="auto"/>
              <w:bottom w:val="single" w:sz="6" w:space="0" w:color="auto"/>
              <w:right w:val="single" w:sz="6" w:space="0" w:color="auto"/>
            </w:tcBorders>
          </w:tcPr>
          <w:p w14:paraId="347FDED4" w14:textId="77777777" w:rsidR="009B74F3" w:rsidRPr="009B74F3" w:rsidRDefault="009B74F3" w:rsidP="009B74F3">
            <w:pPr>
              <w:spacing w:after="100"/>
              <w:ind w:left="57" w:right="57"/>
              <w:rPr>
                <w:rFonts w:cs="Arial"/>
              </w:rPr>
            </w:pPr>
            <w:r w:rsidRPr="009B74F3">
              <w:rPr>
                <w:rFonts w:cs="Arial"/>
              </w:rPr>
              <w:t>The Vineland-3 has 4 domains and each includes specific subscales:</w:t>
            </w:r>
          </w:p>
          <w:p w14:paraId="28944575" w14:textId="77777777" w:rsidR="009B74F3" w:rsidRPr="009B74F3" w:rsidRDefault="009B74F3" w:rsidP="009B74F3">
            <w:pPr>
              <w:numPr>
                <w:ilvl w:val="0"/>
                <w:numId w:val="12"/>
              </w:numPr>
              <w:spacing w:after="100"/>
              <w:ind w:right="57"/>
              <w:contextualSpacing/>
              <w:rPr>
                <w:rFonts w:cs="Arial"/>
              </w:rPr>
            </w:pPr>
            <w:r w:rsidRPr="009B74F3">
              <w:rPr>
                <w:rFonts w:cs="Arial"/>
              </w:rPr>
              <w:t>Communication (Receptive, Expressive, Written)</w:t>
            </w:r>
          </w:p>
          <w:p w14:paraId="5B395632" w14:textId="77777777" w:rsidR="009B74F3" w:rsidRPr="009B74F3" w:rsidRDefault="009B74F3" w:rsidP="009B74F3">
            <w:pPr>
              <w:numPr>
                <w:ilvl w:val="0"/>
                <w:numId w:val="12"/>
              </w:numPr>
              <w:spacing w:after="100"/>
              <w:ind w:right="57"/>
              <w:contextualSpacing/>
              <w:rPr>
                <w:rFonts w:cs="Arial"/>
              </w:rPr>
            </w:pPr>
            <w:r w:rsidRPr="009B74F3">
              <w:rPr>
                <w:rFonts w:cs="Arial"/>
              </w:rPr>
              <w:t xml:space="preserve">Daily Living Skills (Personal, Domestic, Community) </w:t>
            </w:r>
          </w:p>
          <w:p w14:paraId="41AC9AF3" w14:textId="77777777" w:rsidR="009B74F3" w:rsidRPr="009B74F3" w:rsidRDefault="009B74F3" w:rsidP="009B74F3">
            <w:pPr>
              <w:numPr>
                <w:ilvl w:val="0"/>
                <w:numId w:val="12"/>
              </w:numPr>
              <w:spacing w:after="100"/>
              <w:ind w:right="57"/>
              <w:contextualSpacing/>
              <w:rPr>
                <w:rFonts w:cs="Arial"/>
              </w:rPr>
            </w:pPr>
            <w:r w:rsidRPr="009B74F3">
              <w:rPr>
                <w:rFonts w:cs="Arial"/>
              </w:rPr>
              <w:t>Socialisation (Interpersonal Relationships, Play and Leisure, Coping Skills)</w:t>
            </w:r>
          </w:p>
          <w:p w14:paraId="15C12D81" w14:textId="77777777" w:rsidR="009B74F3" w:rsidRPr="009B74F3" w:rsidRDefault="009B74F3" w:rsidP="009B74F3">
            <w:pPr>
              <w:numPr>
                <w:ilvl w:val="0"/>
                <w:numId w:val="12"/>
              </w:numPr>
              <w:spacing w:after="100"/>
              <w:ind w:right="57"/>
              <w:contextualSpacing/>
              <w:rPr>
                <w:rFonts w:cs="Arial"/>
              </w:rPr>
            </w:pPr>
            <w:r w:rsidRPr="009B74F3">
              <w:rPr>
                <w:rFonts w:cs="Arial"/>
              </w:rPr>
              <w:t xml:space="preserve">(optional) Motor Skills (Fine Motor, Gross Motor). </w:t>
            </w:r>
          </w:p>
          <w:p w14:paraId="2EFB5D72" w14:textId="77777777" w:rsidR="009B74F3" w:rsidRPr="009B74F3" w:rsidRDefault="009B74F3" w:rsidP="009B74F3">
            <w:pPr>
              <w:spacing w:after="100"/>
              <w:ind w:left="57" w:right="57"/>
              <w:rPr>
                <w:rFonts w:cs="Arial"/>
              </w:rPr>
            </w:pPr>
            <w:r w:rsidRPr="009B74F3">
              <w:rPr>
                <w:rFonts w:cs="Arial"/>
              </w:rPr>
              <w:t xml:space="preserve">These domains are combined to produce the Adaptive </w:t>
            </w:r>
            <w:proofErr w:type="spellStart"/>
            <w:r w:rsidRPr="009B74F3">
              <w:rPr>
                <w:rFonts w:cs="Arial"/>
              </w:rPr>
              <w:t>Behavior</w:t>
            </w:r>
            <w:proofErr w:type="spellEnd"/>
            <w:r w:rsidRPr="009B74F3">
              <w:rPr>
                <w:rFonts w:cs="Arial"/>
              </w:rPr>
              <w:t xml:space="preserve"> Composite (ABC) score.</w:t>
            </w:r>
          </w:p>
          <w:p w14:paraId="7C3C9F00" w14:textId="77777777" w:rsidR="009B74F3" w:rsidRPr="009B74F3" w:rsidRDefault="009B74F3" w:rsidP="009B74F3">
            <w:pPr>
              <w:spacing w:after="100"/>
              <w:ind w:right="57"/>
              <w:rPr>
                <w:rFonts w:cs="Arial"/>
              </w:rPr>
            </w:pPr>
            <w:r w:rsidRPr="009B74F3">
              <w:rPr>
                <w:rFonts w:cs="Arial"/>
              </w:rPr>
              <w:t xml:space="preserve">The Vineland-3 also includes an additional optional domain assessing Maladaptive </w:t>
            </w:r>
            <w:proofErr w:type="spellStart"/>
            <w:r w:rsidRPr="009B74F3">
              <w:rPr>
                <w:rFonts w:cs="Arial"/>
              </w:rPr>
              <w:t>Behavior</w:t>
            </w:r>
            <w:proofErr w:type="spellEnd"/>
            <w:r w:rsidRPr="009B74F3">
              <w:rPr>
                <w:rFonts w:cs="Arial"/>
              </w:rPr>
              <w:t xml:space="preserve">.  </w:t>
            </w:r>
          </w:p>
        </w:tc>
      </w:tr>
      <w:tr w:rsidR="009B74F3" w:rsidRPr="009B74F3" w14:paraId="6ABE81E9"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4856CFD5" w14:textId="77777777" w:rsidR="009B74F3" w:rsidRPr="009B74F3" w:rsidRDefault="009B74F3" w:rsidP="009B74F3">
            <w:pPr>
              <w:spacing w:after="100"/>
              <w:ind w:left="57" w:right="57"/>
              <w:rPr>
                <w:rFonts w:cs="Arial"/>
              </w:rPr>
            </w:pPr>
            <w:r w:rsidRPr="009B74F3">
              <w:rPr>
                <w:rFonts w:cs="Arial"/>
                <w:b/>
                <w:bCs/>
              </w:rPr>
              <w:t>Cultural adaptation </w:t>
            </w:r>
            <w:r w:rsidRPr="009B74F3">
              <w:rPr>
                <w:rFonts w:cs="Arial"/>
              </w:rPr>
              <w:t> </w:t>
            </w:r>
          </w:p>
          <w:p w14:paraId="456FE868" w14:textId="77777777" w:rsidR="009B74F3" w:rsidRPr="009B74F3" w:rsidRDefault="009B74F3" w:rsidP="009B74F3">
            <w:pPr>
              <w:spacing w:after="100"/>
              <w:ind w:left="57" w:right="57"/>
              <w:rPr>
                <w:rFonts w:cs="Arial"/>
              </w:rPr>
            </w:pPr>
          </w:p>
        </w:tc>
        <w:tc>
          <w:tcPr>
            <w:tcW w:w="6870" w:type="dxa"/>
            <w:tcBorders>
              <w:top w:val="single" w:sz="6" w:space="0" w:color="auto"/>
              <w:left w:val="single" w:sz="6" w:space="0" w:color="auto"/>
              <w:bottom w:val="single" w:sz="6" w:space="0" w:color="auto"/>
              <w:right w:val="single" w:sz="6" w:space="0" w:color="auto"/>
            </w:tcBorders>
            <w:hideMark/>
          </w:tcPr>
          <w:p w14:paraId="7133C94D" w14:textId="77777777" w:rsidR="009B74F3" w:rsidRPr="009B74F3" w:rsidRDefault="009B74F3" w:rsidP="009B74F3">
            <w:pPr>
              <w:spacing w:after="100"/>
              <w:ind w:left="57" w:right="57"/>
              <w:rPr>
                <w:rFonts w:cs="Arial"/>
              </w:rPr>
            </w:pPr>
            <w:r w:rsidRPr="009B74F3">
              <w:rPr>
                <w:rFonts w:cs="Arial"/>
              </w:rPr>
              <w:t xml:space="preserve">The VABS has been translated and adapted for various cultures and countries. Translations include Arabic, French, Hindi, Spanish and Vietnamese. </w:t>
            </w:r>
          </w:p>
        </w:tc>
      </w:tr>
      <w:tr w:rsidR="009B74F3" w:rsidRPr="009B74F3" w14:paraId="503A3F5B"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298ABA10" w14:textId="77777777" w:rsidR="009B74F3" w:rsidRPr="009B74F3" w:rsidRDefault="009B74F3" w:rsidP="009B74F3">
            <w:pPr>
              <w:spacing w:after="100"/>
              <w:ind w:left="57" w:right="57"/>
              <w:rPr>
                <w:rFonts w:cs="Arial"/>
              </w:rPr>
            </w:pPr>
            <w:r w:rsidRPr="009B74F3">
              <w:rPr>
                <w:rFonts w:cs="Arial"/>
                <w:b/>
                <w:bCs/>
              </w:rPr>
              <w:t>Administration</w:t>
            </w:r>
            <w:r w:rsidRPr="009B74F3">
              <w:rPr>
                <w:rFonts w:cs="Arial"/>
              </w:rPr>
              <w:t>  </w:t>
            </w:r>
          </w:p>
          <w:p w14:paraId="4A10B94D" w14:textId="77777777" w:rsidR="009B74F3" w:rsidRPr="009B74F3" w:rsidRDefault="009B74F3" w:rsidP="009B74F3">
            <w:pPr>
              <w:spacing w:after="100"/>
              <w:ind w:left="57" w:right="57"/>
              <w:rPr>
                <w:rFonts w:cs="Arial"/>
                <w:i/>
                <w:iCs/>
              </w:rPr>
            </w:pPr>
          </w:p>
        </w:tc>
        <w:tc>
          <w:tcPr>
            <w:tcW w:w="6870" w:type="dxa"/>
            <w:tcBorders>
              <w:top w:val="single" w:sz="6" w:space="0" w:color="auto"/>
              <w:left w:val="single" w:sz="6" w:space="0" w:color="auto"/>
              <w:bottom w:val="single" w:sz="6" w:space="0" w:color="auto"/>
              <w:right w:val="single" w:sz="6" w:space="0" w:color="auto"/>
            </w:tcBorders>
            <w:hideMark/>
          </w:tcPr>
          <w:p w14:paraId="7EA18F5E" w14:textId="77777777" w:rsidR="009B74F3" w:rsidRPr="009B74F3" w:rsidRDefault="009B74F3" w:rsidP="009B74F3">
            <w:pPr>
              <w:spacing w:after="100"/>
              <w:ind w:right="57"/>
              <w:rPr>
                <w:rFonts w:cs="Arial"/>
              </w:rPr>
            </w:pPr>
            <w:r w:rsidRPr="009B74F3">
              <w:rPr>
                <w:rFonts w:cs="Arial"/>
              </w:rPr>
              <w:t xml:space="preserve">The Vineland-3 can be administered as a semi-structured interview or completed as a parent/caregiver or teacher completed survey. </w:t>
            </w:r>
          </w:p>
          <w:p w14:paraId="17060588" w14:textId="77777777" w:rsidR="009B74F3" w:rsidRPr="009B74F3" w:rsidRDefault="009B74F3" w:rsidP="009B74F3">
            <w:pPr>
              <w:spacing w:after="100"/>
              <w:ind w:right="57"/>
              <w:rPr>
                <w:rFonts w:eastAsia="Times New Roman" w:cs="Arial"/>
                <w:kern w:val="0"/>
                <w:lang w:eastAsia="en-AU"/>
                <w14:ligatures w14:val="none"/>
              </w:rPr>
            </w:pPr>
            <w:r w:rsidRPr="009B74F3">
              <w:rPr>
                <w:rFonts w:eastAsia="Times New Roman" w:cs="Arial"/>
                <w:kern w:val="0"/>
                <w:lang w:eastAsia="en-AU"/>
                <w14:ligatures w14:val="none"/>
              </w:rPr>
              <w:t>Parents/caregivers and teachers familiar with the child can complete the Vineland-3 survey forms independently (including remotely), but results should be interpreted by ‘User Level B’ and ‘User Level C’ professional as indicated in the Pearson Clinical Australia qualifications policy.</w:t>
            </w:r>
            <w:r w:rsidRPr="009B74F3">
              <w:rPr>
                <w:rFonts w:cs="Arial"/>
              </w:rPr>
              <w:t xml:space="preserve"> </w:t>
            </w:r>
            <w:r w:rsidRPr="009B74F3">
              <w:rPr>
                <w:rFonts w:eastAsia="Times New Roman" w:cs="Arial"/>
                <w:kern w:val="0"/>
                <w:lang w:eastAsia="en-AU"/>
                <w14:ligatures w14:val="none"/>
              </w:rPr>
              <w:t>The Vineland-3 interview is administered by ‘User Level B’ and ‘User Level C’ professionals who are familiar with the tool.</w:t>
            </w:r>
          </w:p>
          <w:p w14:paraId="5D0EF9F6" w14:textId="77777777" w:rsidR="009B74F3" w:rsidRPr="009B74F3" w:rsidRDefault="009B74F3" w:rsidP="009B74F3">
            <w:pPr>
              <w:spacing w:after="100"/>
              <w:ind w:left="57" w:right="57"/>
              <w:rPr>
                <w:rFonts w:eastAsia="Times New Roman" w:cs="Arial"/>
                <w:kern w:val="0"/>
                <w:lang w:eastAsia="en-AU"/>
                <w14:ligatures w14:val="none"/>
              </w:rPr>
            </w:pPr>
            <w:hyperlink r:id="rId53" w:history="1">
              <w:r w:rsidRPr="009B74F3">
                <w:rPr>
                  <w:rFonts w:eastAsia="Times New Roman" w:cs="Arial"/>
                  <w:color w:val="467886" w:themeColor="hyperlink"/>
                  <w:kern w:val="0"/>
                  <w:u w:val="single"/>
                  <w:lang w:eastAsia="en-AU"/>
                  <w14:ligatures w14:val="none"/>
                </w:rPr>
                <w:t>https://www.pearsonclinical.com.au/ordering/how-to-order/qualifications/qualifications-policy.html</w:t>
              </w:r>
            </w:hyperlink>
            <w:r w:rsidRPr="009B74F3">
              <w:rPr>
                <w:rFonts w:eastAsia="Times New Roman" w:cs="Arial"/>
                <w:kern w:val="0"/>
                <w:lang w:eastAsia="en-AU"/>
                <w14:ligatures w14:val="none"/>
              </w:rPr>
              <w:t xml:space="preserve">  </w:t>
            </w:r>
          </w:p>
          <w:p w14:paraId="22983E1E" w14:textId="77777777" w:rsidR="009B74F3" w:rsidRPr="009B74F3" w:rsidRDefault="009B74F3" w:rsidP="009B74F3">
            <w:pPr>
              <w:spacing w:after="100"/>
              <w:ind w:right="57"/>
              <w:rPr>
                <w:rFonts w:cs="Arial"/>
              </w:rPr>
            </w:pPr>
            <w:r w:rsidRPr="009B74F3">
              <w:rPr>
                <w:rFonts w:cs="Arial"/>
              </w:rPr>
              <w:t>All the versions and formats of the Vineland-3 can be administered using a paper form or online.</w:t>
            </w:r>
          </w:p>
          <w:p w14:paraId="4593C004" w14:textId="77777777" w:rsidR="009B74F3" w:rsidRPr="009B74F3" w:rsidRDefault="009B74F3" w:rsidP="009B74F3">
            <w:pPr>
              <w:spacing w:after="100"/>
              <w:ind w:right="57"/>
              <w:rPr>
                <w:rFonts w:eastAsia="Arial" w:cs="Arial"/>
                <w:color w:val="D13438"/>
                <w:u w:val="single"/>
              </w:rPr>
            </w:pPr>
            <w:r w:rsidRPr="009B74F3">
              <w:rPr>
                <w:rFonts w:cs="Arial"/>
              </w:rPr>
              <w:t xml:space="preserve">The administration of the Comprehensive (full-length) Interview version can take up to 90 minutes. Administration time for the Domain-Level (abbreviated) Interview version is approximately 20 minutes, and for Parent/Caregiver and Teacher Forms 10 </w:t>
            </w:r>
            <w:proofErr w:type="gramStart"/>
            <w:r w:rsidRPr="009B74F3">
              <w:rPr>
                <w:rFonts w:cs="Arial"/>
              </w:rPr>
              <w:t>minutes..</w:t>
            </w:r>
            <w:proofErr w:type="gramEnd"/>
            <w:r w:rsidRPr="009B74F3">
              <w:rPr>
                <w:rFonts w:cs="Arial"/>
              </w:rPr>
              <w:t xml:space="preserve"> </w:t>
            </w:r>
          </w:p>
        </w:tc>
      </w:tr>
      <w:tr w:rsidR="009B74F3" w:rsidRPr="009B74F3" w14:paraId="1D32D371"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61A2CA28" w14:textId="6DDC8215" w:rsidR="009B74F3" w:rsidRPr="009B74F3" w:rsidRDefault="009B74F3" w:rsidP="003A34C3">
            <w:pPr>
              <w:spacing w:after="100"/>
              <w:ind w:left="57" w:right="57"/>
              <w:rPr>
                <w:rFonts w:cs="Arial"/>
              </w:rPr>
            </w:pPr>
            <w:r w:rsidRPr="009B74F3">
              <w:rPr>
                <w:rFonts w:cs="Arial"/>
                <w:b/>
                <w:bCs/>
              </w:rPr>
              <w:lastRenderedPageBreak/>
              <w:t>Training requirements</w:t>
            </w:r>
            <w:r w:rsidRPr="009B74F3">
              <w:rPr>
                <w:rFonts w:cs="Arial"/>
              </w:rPr>
              <w:t>  </w:t>
            </w:r>
          </w:p>
        </w:tc>
        <w:tc>
          <w:tcPr>
            <w:tcW w:w="6870" w:type="dxa"/>
            <w:tcBorders>
              <w:top w:val="single" w:sz="6" w:space="0" w:color="auto"/>
              <w:left w:val="single" w:sz="6" w:space="0" w:color="auto"/>
              <w:bottom w:val="single" w:sz="6" w:space="0" w:color="auto"/>
              <w:right w:val="single" w:sz="6" w:space="0" w:color="auto"/>
            </w:tcBorders>
            <w:hideMark/>
          </w:tcPr>
          <w:p w14:paraId="3D3244B6" w14:textId="77777777" w:rsidR="009B74F3" w:rsidRPr="009B74F3" w:rsidRDefault="009B74F3" w:rsidP="009B74F3">
            <w:pPr>
              <w:spacing w:after="100"/>
              <w:ind w:left="57" w:right="57"/>
              <w:rPr>
                <w:rFonts w:cs="Arial"/>
              </w:rPr>
            </w:pPr>
            <w:r w:rsidRPr="009B74F3">
              <w:rPr>
                <w:rFonts w:cs="Arial"/>
              </w:rPr>
              <w:t xml:space="preserve">The administration of the Vineland-3 semi-structured interview format requires training and experience. </w:t>
            </w:r>
          </w:p>
          <w:p w14:paraId="4C82CE56" w14:textId="77777777" w:rsidR="009B74F3" w:rsidRPr="009B74F3" w:rsidRDefault="009B74F3" w:rsidP="009B74F3">
            <w:pPr>
              <w:spacing w:after="100"/>
              <w:ind w:left="57" w:right="57"/>
              <w:rPr>
                <w:rFonts w:cs="Arial"/>
              </w:rPr>
            </w:pPr>
            <w:r w:rsidRPr="009B74F3">
              <w:rPr>
                <w:rFonts w:cs="Arial"/>
              </w:rPr>
              <w:t xml:space="preserve">In Australia, the Pearson Clinical website offers on-demand introductory and practical trainings targeted to ‘User Level B’ professionals. On the same website, ‘User Level A’ can access on-demand or live webinar training for their upskilling for the administration of the Vineland-3, and similar assessments.   </w:t>
            </w:r>
          </w:p>
          <w:p w14:paraId="51329960" w14:textId="77777777" w:rsidR="009B74F3" w:rsidRPr="009B74F3" w:rsidRDefault="009B74F3" w:rsidP="009B74F3">
            <w:pPr>
              <w:spacing w:after="100"/>
              <w:ind w:left="57" w:right="57"/>
              <w:rPr>
                <w:rFonts w:eastAsia="Arial" w:cs="Arial"/>
                <w:color w:val="000000" w:themeColor="text1"/>
              </w:rPr>
            </w:pPr>
            <w:hyperlink r:id="rId54" w:history="1">
              <w:r w:rsidRPr="009B74F3">
                <w:rPr>
                  <w:rFonts w:eastAsia="Arial" w:cs="Arial"/>
                  <w:color w:val="467886" w:themeColor="hyperlink"/>
                  <w:u w:val="single"/>
                </w:rPr>
                <w:t>https://www.pearsonclinical.com.au/en-au/Store/Professional-Assessments/Motor-Sensory/Vineland-Adaptive-Behavior-Scales%2C-Third-Edition/p/P100010149?format=TRAINING</w:t>
              </w:r>
            </w:hyperlink>
            <w:r w:rsidRPr="009B74F3">
              <w:rPr>
                <w:rFonts w:eastAsia="Arial" w:cs="Arial"/>
                <w:color w:val="000000" w:themeColor="text1"/>
              </w:rPr>
              <w:t xml:space="preserve"> </w:t>
            </w:r>
          </w:p>
        </w:tc>
      </w:tr>
      <w:tr w:rsidR="009B74F3" w:rsidRPr="009B74F3" w14:paraId="6DEAB5DD" w14:textId="77777777">
        <w:trPr>
          <w:trHeight w:val="300"/>
        </w:trPr>
        <w:tc>
          <w:tcPr>
            <w:tcW w:w="2140" w:type="dxa"/>
            <w:tcBorders>
              <w:top w:val="single" w:sz="6" w:space="0" w:color="auto"/>
              <w:left w:val="single" w:sz="6" w:space="0" w:color="auto"/>
              <w:bottom w:val="single" w:sz="6" w:space="0" w:color="auto"/>
              <w:right w:val="single" w:sz="6" w:space="0" w:color="auto"/>
            </w:tcBorders>
            <w:hideMark/>
          </w:tcPr>
          <w:p w14:paraId="41E6482E" w14:textId="77777777" w:rsidR="009B74F3" w:rsidRPr="009B74F3" w:rsidRDefault="009B74F3" w:rsidP="009B74F3">
            <w:pPr>
              <w:spacing w:after="100"/>
              <w:ind w:left="57" w:right="57"/>
              <w:rPr>
                <w:rFonts w:cs="Arial"/>
                <w:b/>
                <w:bCs/>
              </w:rPr>
            </w:pPr>
            <w:r w:rsidRPr="009B74F3">
              <w:rPr>
                <w:rFonts w:cs="Arial"/>
                <w:b/>
                <w:bCs/>
              </w:rPr>
              <w:t>How to access</w:t>
            </w:r>
          </w:p>
          <w:p w14:paraId="3A6BD40B" w14:textId="77777777" w:rsidR="009B74F3" w:rsidRPr="009B74F3" w:rsidRDefault="009B74F3" w:rsidP="009B74F3">
            <w:pPr>
              <w:spacing w:after="100"/>
              <w:ind w:left="57" w:right="57"/>
              <w:rPr>
                <w:rFonts w:cs="Arial"/>
              </w:rPr>
            </w:pPr>
          </w:p>
        </w:tc>
        <w:tc>
          <w:tcPr>
            <w:tcW w:w="6870" w:type="dxa"/>
            <w:tcBorders>
              <w:top w:val="single" w:sz="6" w:space="0" w:color="auto"/>
              <w:left w:val="single" w:sz="6" w:space="0" w:color="auto"/>
              <w:bottom w:val="single" w:sz="6" w:space="0" w:color="auto"/>
              <w:right w:val="single" w:sz="6" w:space="0" w:color="auto"/>
            </w:tcBorders>
            <w:hideMark/>
          </w:tcPr>
          <w:p w14:paraId="55B280D6" w14:textId="77777777" w:rsidR="009B74F3" w:rsidRPr="009B74F3" w:rsidRDefault="009B74F3" w:rsidP="009B74F3">
            <w:pPr>
              <w:spacing w:after="100"/>
              <w:ind w:left="57" w:right="57"/>
              <w:rPr>
                <w:rFonts w:eastAsia="Times New Roman" w:cs="Arial"/>
                <w:kern w:val="0"/>
                <w:lang w:eastAsia="en-AU"/>
                <w14:ligatures w14:val="none"/>
              </w:rPr>
            </w:pPr>
            <w:r w:rsidRPr="009B74F3">
              <w:rPr>
                <w:rFonts w:eastAsia="Times New Roman" w:cs="Arial"/>
                <w:kern w:val="0"/>
                <w:lang w:eastAsia="en-AU"/>
                <w14:ligatures w14:val="none"/>
              </w:rPr>
              <w:t xml:space="preserve">In Australia, the Vineland-3 can be purchased through Pearson Clinical Australia website. </w:t>
            </w:r>
          </w:p>
          <w:p w14:paraId="3C057F96" w14:textId="77777777" w:rsidR="009B74F3" w:rsidRPr="009B74F3" w:rsidRDefault="009B74F3" w:rsidP="009B74F3">
            <w:pPr>
              <w:spacing w:after="100"/>
              <w:ind w:left="57" w:right="57"/>
              <w:rPr>
                <w:rFonts w:eastAsia="Times New Roman" w:cs="Arial"/>
                <w:kern w:val="0"/>
                <w:lang w:eastAsia="en-AU"/>
                <w14:ligatures w14:val="none"/>
              </w:rPr>
            </w:pPr>
            <w:r w:rsidRPr="009B74F3">
              <w:rPr>
                <w:rFonts w:eastAsia="Times New Roman" w:cs="Arial"/>
                <w:kern w:val="0"/>
                <w:lang w:eastAsia="en-AU"/>
                <w14:ligatures w14:val="none"/>
              </w:rPr>
              <w:t xml:space="preserve">Pearson Clinical Australia </w:t>
            </w:r>
          </w:p>
          <w:p w14:paraId="39FC8245" w14:textId="77777777" w:rsidR="009B74F3" w:rsidRPr="009B74F3" w:rsidRDefault="009B74F3" w:rsidP="009B74F3">
            <w:pPr>
              <w:spacing w:after="100"/>
              <w:ind w:left="57" w:right="57"/>
              <w:rPr>
                <w:rFonts w:eastAsia="Times New Roman" w:cs="Arial"/>
                <w:kern w:val="0"/>
                <w:lang w:eastAsia="en-AU"/>
                <w14:ligatures w14:val="none"/>
              </w:rPr>
            </w:pPr>
            <w:hyperlink r:id="rId55" w:history="1">
              <w:r w:rsidRPr="009B74F3">
                <w:rPr>
                  <w:rFonts w:eastAsia="Times New Roman" w:cs="Arial"/>
                  <w:color w:val="467886" w:themeColor="hyperlink"/>
                  <w:kern w:val="0"/>
                  <w:u w:val="single"/>
                  <w:lang w:eastAsia="en-AU"/>
                  <w14:ligatures w14:val="none"/>
                </w:rPr>
                <w:t>https://www.pearsonclinical.com.au/products.html</w:t>
              </w:r>
            </w:hyperlink>
            <w:r w:rsidRPr="009B74F3">
              <w:rPr>
                <w:rFonts w:eastAsia="Times New Roman" w:cs="Arial"/>
                <w:kern w:val="0"/>
                <w:lang w:eastAsia="en-AU"/>
                <w14:ligatures w14:val="none"/>
              </w:rPr>
              <w:t xml:space="preserve"> </w:t>
            </w:r>
          </w:p>
          <w:p w14:paraId="271E76AC" w14:textId="77777777" w:rsidR="009B74F3" w:rsidRPr="009B74F3" w:rsidRDefault="009B74F3" w:rsidP="009B74F3">
            <w:pPr>
              <w:spacing w:after="100"/>
              <w:ind w:left="57" w:right="57"/>
              <w:rPr>
                <w:rFonts w:cs="Arial"/>
              </w:rPr>
            </w:pPr>
            <w:r w:rsidRPr="009B74F3">
              <w:rPr>
                <w:rFonts w:cs="Arial"/>
              </w:rPr>
              <w:t xml:space="preserve">Pearson’s G-Global  </w:t>
            </w:r>
          </w:p>
          <w:p w14:paraId="56BB63A6" w14:textId="77777777" w:rsidR="009B74F3" w:rsidRPr="009B74F3" w:rsidRDefault="009B74F3" w:rsidP="009B74F3">
            <w:pPr>
              <w:spacing w:after="100"/>
              <w:ind w:left="57" w:right="57"/>
              <w:rPr>
                <w:rFonts w:cs="Arial"/>
              </w:rPr>
            </w:pPr>
            <w:hyperlink r:id="rId56" w:history="1">
              <w:r w:rsidRPr="009B74F3">
                <w:rPr>
                  <w:rFonts w:cs="Arial"/>
                  <w:color w:val="467886" w:themeColor="hyperlink"/>
                  <w:u w:val="single"/>
                </w:rPr>
                <w:t>https://qglobal.pearsonclinical.com/qg/au/login.seam</w:t>
              </w:r>
            </w:hyperlink>
            <w:r w:rsidRPr="009B74F3">
              <w:rPr>
                <w:rFonts w:cs="Arial"/>
              </w:rPr>
              <w:t> </w:t>
            </w:r>
          </w:p>
        </w:tc>
      </w:tr>
    </w:tbl>
    <w:p w14:paraId="604FC1F7" w14:textId="77777777" w:rsidR="009B74F3" w:rsidRPr="009B74F3" w:rsidRDefault="009B74F3" w:rsidP="009B74F3">
      <w:pPr>
        <w:rPr>
          <w:rFonts w:asciiTheme="minorHAnsi" w:hAnsiTheme="minorHAnsi"/>
        </w:rPr>
      </w:pPr>
    </w:p>
    <w:p w14:paraId="71236C7E" w14:textId="743FC0F3" w:rsidR="00A97C50" w:rsidRDefault="003D2D73">
      <w:pPr>
        <w:rPr>
          <w:rFonts w:cs="Arial"/>
          <w:sz w:val="22"/>
          <w:szCs w:val="22"/>
        </w:rPr>
      </w:pPr>
      <w:r w:rsidRPr="0018070F">
        <w:rPr>
          <w:rFonts w:cs="Arial"/>
          <w:sz w:val="22"/>
          <w:szCs w:val="22"/>
        </w:rPr>
        <w:br w:type="page"/>
      </w:r>
    </w:p>
    <w:p w14:paraId="5378005A" w14:textId="77777777" w:rsidR="00A36E48" w:rsidRPr="00A36E48" w:rsidRDefault="00A36E48" w:rsidP="00C679B1">
      <w:pPr>
        <w:pStyle w:val="Heading1"/>
      </w:pPr>
      <w:bookmarkStart w:id="66" w:name="_VABS_Evidence_Summary"/>
      <w:bookmarkEnd w:id="66"/>
      <w:r w:rsidRPr="00A36E48">
        <w:lastRenderedPageBreak/>
        <w:t>VABS Evidence Summary</w:t>
      </w:r>
    </w:p>
    <w:p w14:paraId="3DB251BD" w14:textId="4F8356F2" w:rsidR="00A36E48" w:rsidRPr="00A36E48" w:rsidRDefault="00A36E48" w:rsidP="00A36E48">
      <w:pPr>
        <w:rPr>
          <w:rFonts w:ascii="Aptos" w:eastAsia="Aptos" w:hAnsi="Aptos" w:cs="Aptos"/>
          <w:color w:val="000000" w:themeColor="text1"/>
        </w:rPr>
      </w:pPr>
      <w:r w:rsidRPr="00A36E48">
        <w:rPr>
          <w:rFonts w:eastAsia="Arial" w:cs="Arial"/>
          <w:i/>
          <w:iCs/>
          <w:color w:val="467886" w:themeColor="hyperlink"/>
          <w:u w:val="single"/>
        </w:rPr>
        <w:t xml:space="preserve">Link to VABS Reference </w:t>
      </w:r>
      <w:hyperlink w:anchor="_VABS_Reference_List" w:history="1">
        <w:r w:rsidRPr="00452988">
          <w:rPr>
            <w:rStyle w:val="Hyperlink"/>
            <w:rFonts w:eastAsia="Arial" w:cs="Arial"/>
            <w:i/>
            <w:iCs/>
          </w:rPr>
          <w:t>List</w:t>
        </w:r>
      </w:hyperlink>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15"/>
        <w:gridCol w:w="6930"/>
      </w:tblGrid>
      <w:tr w:rsidR="00A36E48" w:rsidRPr="00A36E48" w14:paraId="052B1BCE" w14:textId="77777777">
        <w:trPr>
          <w:trHeight w:val="300"/>
        </w:trPr>
        <w:tc>
          <w:tcPr>
            <w:tcW w:w="2115" w:type="dxa"/>
            <w:tcBorders>
              <w:top w:val="single" w:sz="6" w:space="0" w:color="auto"/>
              <w:left w:val="single" w:sz="6" w:space="0" w:color="auto"/>
              <w:bottom w:val="single" w:sz="6" w:space="0" w:color="auto"/>
              <w:right w:val="single" w:sz="6" w:space="0" w:color="auto"/>
            </w:tcBorders>
            <w:tcMar>
              <w:left w:w="45" w:type="dxa"/>
            </w:tcMar>
          </w:tcPr>
          <w:p w14:paraId="7CF69FB7" w14:textId="77777777" w:rsidR="00A36E48" w:rsidRPr="00A36E48" w:rsidRDefault="00A36E48" w:rsidP="00A36E48">
            <w:pPr>
              <w:spacing w:after="100" w:line="276" w:lineRule="auto"/>
              <w:ind w:left="57" w:right="57"/>
              <w:rPr>
                <w:rFonts w:eastAsia="Arial" w:cs="Arial"/>
              </w:rPr>
            </w:pPr>
            <w:r w:rsidRPr="00A36E48">
              <w:rPr>
                <w:rFonts w:eastAsia="Arial" w:cs="Arial"/>
                <w:b/>
                <w:bCs/>
              </w:rPr>
              <w:t>Overview</w:t>
            </w:r>
          </w:p>
          <w:p w14:paraId="1C5A2A71" w14:textId="77777777" w:rsidR="00A36E48" w:rsidRPr="00A36E48" w:rsidRDefault="00A36E48" w:rsidP="00A36E48">
            <w:pPr>
              <w:spacing w:after="100" w:line="276" w:lineRule="auto"/>
              <w:ind w:left="57" w:right="57"/>
              <w:rPr>
                <w:rFonts w:eastAsia="Arial" w:cs="Arial"/>
              </w:rPr>
            </w:pPr>
          </w:p>
        </w:tc>
        <w:tc>
          <w:tcPr>
            <w:tcW w:w="6930" w:type="dxa"/>
            <w:tcBorders>
              <w:top w:val="single" w:sz="6" w:space="0" w:color="auto"/>
              <w:left w:val="single" w:sz="6" w:space="0" w:color="auto"/>
              <w:bottom w:val="single" w:sz="6" w:space="0" w:color="auto"/>
              <w:right w:val="single" w:sz="6" w:space="0" w:color="auto"/>
            </w:tcBorders>
            <w:tcMar>
              <w:left w:w="45" w:type="dxa"/>
            </w:tcMar>
          </w:tcPr>
          <w:p w14:paraId="4A1AE760" w14:textId="77777777" w:rsidR="00A36E48" w:rsidRPr="00A36E48" w:rsidRDefault="00A36E48" w:rsidP="00A36E48">
            <w:pPr>
              <w:spacing w:after="100" w:line="276" w:lineRule="auto"/>
              <w:ind w:right="57"/>
              <w:rPr>
                <w:rFonts w:eastAsia="Arial" w:cs="Arial"/>
                <w:color w:val="000000" w:themeColor="text1"/>
              </w:rPr>
            </w:pPr>
            <w:r w:rsidRPr="00A36E48">
              <w:rPr>
                <w:rFonts w:eastAsia="Aptos" w:cs="Arial"/>
                <w:color w:val="000000" w:themeColor="text1"/>
              </w:rPr>
              <w:t>30 studies were identified that report on the measurement properties of the VABS, VABS-II or VABS-3 or use as outcome measures in the ECI practice setting (1989-2024).</w:t>
            </w:r>
          </w:p>
        </w:tc>
      </w:tr>
      <w:tr w:rsidR="00A36E48" w:rsidRPr="00A36E48" w14:paraId="555B6F2B" w14:textId="77777777">
        <w:trPr>
          <w:trHeight w:val="300"/>
        </w:trPr>
        <w:tc>
          <w:tcPr>
            <w:tcW w:w="2115" w:type="dxa"/>
            <w:tcBorders>
              <w:top w:val="single" w:sz="6" w:space="0" w:color="auto"/>
              <w:left w:val="single" w:sz="6" w:space="0" w:color="auto"/>
              <w:bottom w:val="single" w:sz="6" w:space="0" w:color="auto"/>
              <w:right w:val="single" w:sz="6" w:space="0" w:color="auto"/>
            </w:tcBorders>
            <w:tcMar>
              <w:left w:w="45" w:type="dxa"/>
            </w:tcMar>
          </w:tcPr>
          <w:p w14:paraId="61D65DB7" w14:textId="77777777" w:rsidR="00A36E48" w:rsidRPr="00A36E48" w:rsidRDefault="00A36E48" w:rsidP="00A36E48">
            <w:pPr>
              <w:spacing w:after="100" w:line="276" w:lineRule="auto"/>
              <w:ind w:left="57" w:right="57"/>
              <w:rPr>
                <w:rFonts w:eastAsia="Arial" w:cs="Arial"/>
              </w:rPr>
            </w:pPr>
            <w:r w:rsidRPr="00A36E48">
              <w:rPr>
                <w:rFonts w:eastAsia="Arial" w:cs="Arial"/>
                <w:b/>
                <w:bCs/>
              </w:rPr>
              <w:t>Review papers</w:t>
            </w:r>
          </w:p>
        </w:tc>
        <w:tc>
          <w:tcPr>
            <w:tcW w:w="6930" w:type="dxa"/>
            <w:tcBorders>
              <w:top w:val="single" w:sz="6" w:space="0" w:color="auto"/>
              <w:left w:val="single" w:sz="6" w:space="0" w:color="auto"/>
              <w:bottom w:val="single" w:sz="6" w:space="0" w:color="auto"/>
              <w:right w:val="single" w:sz="6" w:space="0" w:color="auto"/>
            </w:tcBorders>
            <w:tcMar>
              <w:left w:w="45" w:type="dxa"/>
            </w:tcMar>
          </w:tcPr>
          <w:p w14:paraId="77D611F0"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The VABS, VABS-2 and VABS-3 have been included in multiple systematic reviews: as the most used parent-reported communication measures for rare neurodevelopmental disorders (2023); as assessment instruments for executive and adaptive functioning in children in low- and middle-income countries (2022); and as one of three most frequently used tools measuring social skills in children with autism spectrum disorder (ASD) (2021).</w:t>
            </w:r>
          </w:p>
          <w:p w14:paraId="6A7B29EF"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The VABS-3 has been included in a realist review examining digital administration of multi-domain child development assessment and screening tools for children 0-5 years (2023), and in a scoping review evaluating content validity against International Classification of Functioning Core Sets for Autism (2021).</w:t>
            </w:r>
          </w:p>
          <w:p w14:paraId="12049882"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 xml:space="preserve">A scoping review identified the VABS-2 as one of three commonly used outcome measures for occupational therapy interventions in preschool children with ASD, mapped to the International Classification of Functioning, Disability, and Health (2024). </w:t>
            </w:r>
          </w:p>
        </w:tc>
      </w:tr>
      <w:tr w:rsidR="00A36E48" w:rsidRPr="00A36E48" w14:paraId="7CC96A85" w14:textId="77777777">
        <w:trPr>
          <w:trHeight w:val="300"/>
        </w:trPr>
        <w:tc>
          <w:tcPr>
            <w:tcW w:w="2115" w:type="dxa"/>
            <w:tcBorders>
              <w:top w:val="single" w:sz="6" w:space="0" w:color="auto"/>
              <w:left w:val="single" w:sz="6" w:space="0" w:color="auto"/>
              <w:bottom w:val="single" w:sz="6" w:space="0" w:color="auto"/>
              <w:right w:val="single" w:sz="6" w:space="0" w:color="auto"/>
            </w:tcBorders>
            <w:tcMar>
              <w:left w:w="45" w:type="dxa"/>
            </w:tcMar>
          </w:tcPr>
          <w:p w14:paraId="2FC4AA73" w14:textId="77777777" w:rsidR="00A36E48" w:rsidRPr="00A36E48" w:rsidRDefault="00A36E48" w:rsidP="00A36E48">
            <w:pPr>
              <w:spacing w:after="100" w:line="276" w:lineRule="auto"/>
              <w:ind w:left="57" w:right="57"/>
              <w:rPr>
                <w:rFonts w:eastAsia="Arial" w:cs="Arial"/>
              </w:rPr>
            </w:pPr>
            <w:r w:rsidRPr="00A36E48">
              <w:rPr>
                <w:rFonts w:eastAsia="Arial" w:cs="Arial"/>
                <w:b/>
                <w:bCs/>
              </w:rPr>
              <w:t>Measurement properties</w:t>
            </w:r>
          </w:p>
        </w:tc>
        <w:tc>
          <w:tcPr>
            <w:tcW w:w="6930" w:type="dxa"/>
            <w:tcBorders>
              <w:top w:val="single" w:sz="6" w:space="0" w:color="auto"/>
              <w:left w:val="single" w:sz="6" w:space="0" w:color="auto"/>
              <w:bottom w:val="single" w:sz="6" w:space="0" w:color="auto"/>
              <w:right w:val="single" w:sz="6" w:space="0" w:color="auto"/>
            </w:tcBorders>
            <w:tcMar>
              <w:left w:w="45" w:type="dxa"/>
            </w:tcMar>
          </w:tcPr>
          <w:p w14:paraId="26CBD1D9"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The factor structure and dimensionality of the VABS-3 Comprehensive Interview Form have been evaluated using exploratory and confirmatory factor analyses across different age groups from preschool to adulthood (2022), and specifically in the 11–20-year age range (2021).</w:t>
            </w:r>
          </w:p>
          <w:p w14:paraId="743E4407"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The VABS-3 has been evaluated for convergent validity as a potential outcome measure for individuals with CLN3 disease (Batten disease) in a prospective observational study (2022).</w:t>
            </w:r>
          </w:p>
          <w:p w14:paraId="13C4A45A"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The concurrent validity between the VABS-3 and VABS-II has been evaluated in individuals with neurodevelopmental disabilities, examining reliability and score differences between the two editions and noting care must be taken in interpreting scores from the VABS-3 relative to those obtained from the previous edition (2020).</w:t>
            </w:r>
          </w:p>
          <w:p w14:paraId="79E1C212"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lastRenderedPageBreak/>
              <w:t>The Adaptive Behaviour Composite score of the VABS-II has been evaluated for concurrent validity with patient-centred and caregiver-centred measures of progress in children receiving Applied Behaviour Analysis for autism spectrum disorder (2022), and the VABS-II has been analysed for congruence with the International Classification of Functioning, Disability and Health for Children and Youth (ICF-CY) framework (2013).</w:t>
            </w:r>
          </w:p>
          <w:p w14:paraId="64DF2147"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The VABS has been compared with multiple measures: the Functional Independence Measure for Children (</w:t>
            </w:r>
            <w:proofErr w:type="spellStart"/>
            <w:r w:rsidRPr="00A36E48">
              <w:rPr>
                <w:rFonts w:eastAsia="Arial" w:cs="Arial"/>
                <w:color w:val="000000" w:themeColor="text1"/>
              </w:rPr>
              <w:t>WeeFIM</w:t>
            </w:r>
            <w:proofErr w:type="spellEnd"/>
            <w:r w:rsidRPr="00A36E48">
              <w:rPr>
                <w:rFonts w:eastAsia="Arial" w:cs="Arial"/>
                <w:color w:val="000000" w:themeColor="text1"/>
              </w:rPr>
              <w:t xml:space="preserve">) and Battelle Developmental Inventory Screening Test (BDIST) in children with developmental disabilities (1996); the Bayley Scales' Mental Development Index in high-risk infants aged 12 months suspected of developmental delay (1992); and the AAMD Adaptive </w:t>
            </w:r>
            <w:proofErr w:type="spellStart"/>
            <w:r w:rsidRPr="00A36E48">
              <w:rPr>
                <w:rFonts w:eastAsia="Arial" w:cs="Arial"/>
                <w:color w:val="000000" w:themeColor="text1"/>
              </w:rPr>
              <w:t>Behavior</w:t>
            </w:r>
            <w:proofErr w:type="spellEnd"/>
            <w:r w:rsidRPr="00A36E48">
              <w:rPr>
                <w:rFonts w:eastAsia="Arial" w:cs="Arial"/>
                <w:color w:val="000000" w:themeColor="text1"/>
              </w:rPr>
              <w:t xml:space="preserve"> Scale-School Edition for autistic children and adolescents aged 8 to 18 years (1986).</w:t>
            </w:r>
          </w:p>
          <w:p w14:paraId="5F0C7AA1"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The VABS Interview Form has been evaluated for sensitivity to change in measuring adaptive functioning of preschool children with ASD over a two-year educational program (1994), while the reliability and construct validity of the VABS Survey Form have been evaluated in children and adolescents with intellectual disability across different levels of functioning (1999). The VABS has been evaluated as a comprehensive measure of functional outcomes in extremely low-birthweight children (1995).</w:t>
            </w:r>
          </w:p>
        </w:tc>
      </w:tr>
      <w:tr w:rsidR="00A36E48" w:rsidRPr="00A36E48" w14:paraId="496F1237" w14:textId="77777777">
        <w:trPr>
          <w:trHeight w:val="300"/>
        </w:trPr>
        <w:tc>
          <w:tcPr>
            <w:tcW w:w="2115" w:type="dxa"/>
            <w:tcBorders>
              <w:top w:val="single" w:sz="6" w:space="0" w:color="auto"/>
              <w:left w:val="single" w:sz="6" w:space="0" w:color="auto"/>
              <w:bottom w:val="single" w:sz="6" w:space="0" w:color="auto"/>
              <w:right w:val="single" w:sz="6" w:space="0" w:color="auto"/>
            </w:tcBorders>
            <w:tcMar>
              <w:left w:w="45" w:type="dxa"/>
            </w:tcMar>
          </w:tcPr>
          <w:p w14:paraId="56087011" w14:textId="77777777" w:rsidR="00A36E48" w:rsidRPr="00A36E48" w:rsidRDefault="00A36E48" w:rsidP="00A36E48">
            <w:pPr>
              <w:spacing w:after="100" w:line="276" w:lineRule="auto"/>
              <w:ind w:left="57" w:right="57"/>
              <w:rPr>
                <w:rFonts w:eastAsia="Arial" w:cs="Arial"/>
              </w:rPr>
            </w:pPr>
            <w:r w:rsidRPr="00A36E48">
              <w:rPr>
                <w:rFonts w:eastAsia="Arial" w:cs="Arial"/>
                <w:b/>
                <w:bCs/>
              </w:rPr>
              <w:lastRenderedPageBreak/>
              <w:t>Cultural adaptation papers</w:t>
            </w:r>
          </w:p>
        </w:tc>
        <w:tc>
          <w:tcPr>
            <w:tcW w:w="6930" w:type="dxa"/>
            <w:tcBorders>
              <w:top w:val="single" w:sz="6" w:space="0" w:color="auto"/>
              <w:left w:val="single" w:sz="6" w:space="0" w:color="auto"/>
              <w:bottom w:val="single" w:sz="6" w:space="0" w:color="auto"/>
              <w:right w:val="single" w:sz="6" w:space="0" w:color="auto"/>
            </w:tcBorders>
            <w:tcMar>
              <w:left w:w="45" w:type="dxa"/>
            </w:tcMar>
          </w:tcPr>
          <w:p w14:paraId="1CC030D7"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 xml:space="preserve">The VABS-II has been translated to Hindi and adapted for use in evaluating </w:t>
            </w:r>
            <w:proofErr w:type="gramStart"/>
            <w:r w:rsidRPr="00A36E48">
              <w:rPr>
                <w:rFonts w:eastAsia="Arial" w:cs="Arial"/>
                <w:color w:val="000000" w:themeColor="text1"/>
              </w:rPr>
              <w:t>3 to 9 year-old</w:t>
            </w:r>
            <w:proofErr w:type="gramEnd"/>
            <w:r w:rsidRPr="00A36E48">
              <w:rPr>
                <w:rFonts w:eastAsia="Arial" w:cs="Arial"/>
                <w:color w:val="000000" w:themeColor="text1"/>
              </w:rPr>
              <w:t xml:space="preserve"> Indian children, with findings revealing differences in scores based on urban/rural setting and socioeconomic status (India, 2016).</w:t>
            </w:r>
          </w:p>
          <w:p w14:paraId="141E7AD4"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The VABS has been translated and adapted to form the Vietnamese version (VVABS) for use with preschool-age children, demonstrating acceptable reliability and validity when used with typically developing children and those with intellectual disabilities (Vietnam, 2009).</w:t>
            </w:r>
          </w:p>
          <w:p w14:paraId="705ADEDF"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An Arabic version of the VABS-II has been validated for measuring adaptive behaviours of children aged 2-9 years in the Palestinian context through comparison with the Portage scale domains in both high-risk and typically developing children (Palestine, 2020).</w:t>
            </w:r>
          </w:p>
          <w:p w14:paraId="6924F244"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 xml:space="preserve">The VABS-II has been translated from English to French following standard cross-cultural translation methods with </w:t>
            </w:r>
            <w:r w:rsidRPr="00A36E48">
              <w:rPr>
                <w:rFonts w:eastAsia="Arial" w:cs="Arial"/>
                <w:color w:val="000000" w:themeColor="text1"/>
              </w:rPr>
              <w:lastRenderedPageBreak/>
              <w:t>norms established for the French population based on data from over 1,600 questionnaires (France, 2021).</w:t>
            </w:r>
          </w:p>
        </w:tc>
      </w:tr>
      <w:tr w:rsidR="00A36E48" w:rsidRPr="00A36E48" w14:paraId="32AA16FC" w14:textId="77777777">
        <w:trPr>
          <w:trHeight w:val="300"/>
        </w:trPr>
        <w:tc>
          <w:tcPr>
            <w:tcW w:w="2115" w:type="dxa"/>
            <w:tcBorders>
              <w:top w:val="single" w:sz="6" w:space="0" w:color="auto"/>
              <w:left w:val="single" w:sz="6" w:space="0" w:color="auto"/>
              <w:bottom w:val="single" w:sz="6" w:space="0" w:color="auto"/>
              <w:right w:val="single" w:sz="6" w:space="0" w:color="auto"/>
            </w:tcBorders>
            <w:tcMar>
              <w:left w:w="45" w:type="dxa"/>
            </w:tcMar>
          </w:tcPr>
          <w:p w14:paraId="451A96F4" w14:textId="77777777" w:rsidR="00A36E48" w:rsidRPr="00A36E48" w:rsidRDefault="00A36E48" w:rsidP="00A36E48">
            <w:pPr>
              <w:spacing w:after="100" w:line="276" w:lineRule="auto"/>
              <w:ind w:left="57" w:right="57"/>
              <w:rPr>
                <w:rFonts w:eastAsia="Arial" w:cs="Arial"/>
              </w:rPr>
            </w:pPr>
            <w:r w:rsidRPr="00A36E48">
              <w:rPr>
                <w:rFonts w:eastAsia="Arial" w:cs="Arial"/>
                <w:b/>
                <w:bCs/>
              </w:rPr>
              <w:lastRenderedPageBreak/>
              <w:t>Outcome studies in ECI settings</w:t>
            </w:r>
          </w:p>
        </w:tc>
        <w:tc>
          <w:tcPr>
            <w:tcW w:w="6930" w:type="dxa"/>
            <w:tcBorders>
              <w:top w:val="single" w:sz="6" w:space="0" w:color="auto"/>
              <w:left w:val="single" w:sz="6" w:space="0" w:color="auto"/>
              <w:bottom w:val="single" w:sz="6" w:space="0" w:color="auto"/>
              <w:right w:val="single" w:sz="6" w:space="0" w:color="auto"/>
            </w:tcBorders>
            <w:tcMar>
              <w:left w:w="45" w:type="dxa"/>
            </w:tcMar>
          </w:tcPr>
          <w:p w14:paraId="281DF9B7"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The VABS-3 has been used as part of an assessment battery to evaluate the accuracy of novel telehealth instruments for autism assessment in toddlers aged 17-36 months (USA, 2023) and as a primary outcome measure in a randomised clinical trial comparing a modular approach (MAYAC) with comprehensive behavioural intervention for young autistic children aged 18-60 months (USA, 2022).</w:t>
            </w:r>
          </w:p>
          <w:p w14:paraId="2101AA9D" w14:textId="77777777" w:rsidR="00A36E48" w:rsidRPr="00A36E48" w:rsidRDefault="00A36E48" w:rsidP="00A36E48">
            <w:pPr>
              <w:spacing w:after="100" w:line="276" w:lineRule="auto"/>
              <w:ind w:left="57" w:right="57"/>
              <w:rPr>
                <w:rFonts w:eastAsia="Arial" w:cs="Arial"/>
                <w:color w:val="000000" w:themeColor="text1"/>
              </w:rPr>
            </w:pPr>
            <w:r w:rsidRPr="00A36E48">
              <w:rPr>
                <w:rFonts w:eastAsia="Arial" w:cs="Arial"/>
                <w:color w:val="000000" w:themeColor="text1"/>
              </w:rPr>
              <w:t>The VABS-II has been used in randomised controlled trials (RCTs) to evaluate parent-mediated interventions, including as a secondary outcome measure for infants aged 9-14 months showing early behavioural risk signs of autism spectrum disorder (Australia, 2019), and to measure the impact of parent training on adaptive behaviour in young children with ASD and disruptive behaviour (USA, 2016).</w:t>
            </w:r>
          </w:p>
          <w:p w14:paraId="57FB074D"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The VABS-II Socialisation subscale has been used to model longitudinal reciprocal associations between social competence and language pathways in young children aged 2-4 years recently diagnosed with ASD (Canada, 2015) and to measure outcomes in preschool children with ASD receiving the Early Start Denver Model in a community group setting (Australia, 2013).</w:t>
            </w:r>
          </w:p>
          <w:p w14:paraId="5453ECA3" w14:textId="77777777" w:rsidR="00A36E48" w:rsidRPr="00A36E48" w:rsidRDefault="00A36E48" w:rsidP="00A36E48">
            <w:pPr>
              <w:spacing w:after="100" w:line="276" w:lineRule="auto"/>
              <w:ind w:right="57"/>
              <w:rPr>
                <w:rFonts w:eastAsia="Arial" w:cs="Arial"/>
                <w:color w:val="000000" w:themeColor="text1"/>
              </w:rPr>
            </w:pPr>
            <w:r w:rsidRPr="00A36E48">
              <w:rPr>
                <w:rFonts w:eastAsia="Arial" w:cs="Arial"/>
                <w:color w:val="000000" w:themeColor="text1"/>
              </w:rPr>
              <w:t>The VABS has been used to measure adaptive behavioural functioning in young children with ASD receiving different forms of early teaching interventions over a 10-month period (UK, 2010) and to assess general adaptive behaviours in relation to language and motor development in preschool children with autism (USA, 2008).</w:t>
            </w:r>
          </w:p>
        </w:tc>
      </w:tr>
    </w:tbl>
    <w:p w14:paraId="02AA69C9" w14:textId="77777777" w:rsidR="00C079C0" w:rsidRDefault="00C079C0" w:rsidP="00C679B1">
      <w:r w:rsidRPr="4694A5BD">
        <w:t xml:space="preserve">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w:t>
      </w:r>
      <w:r w:rsidRPr="003647C4">
        <w:t>Methods Explainer</w:t>
      </w:r>
      <w:r w:rsidRPr="4694A5BD">
        <w:t>.</w:t>
      </w:r>
    </w:p>
    <w:p w14:paraId="4CDA23C6" w14:textId="3D66C3B7" w:rsidR="00E82CC2" w:rsidRDefault="00A97C50">
      <w:pPr>
        <w:rPr>
          <w:rFonts w:cs="Arial"/>
          <w:sz w:val="22"/>
          <w:szCs w:val="22"/>
        </w:rPr>
      </w:pPr>
      <w:r>
        <w:rPr>
          <w:rFonts w:cs="Arial"/>
          <w:sz w:val="22"/>
          <w:szCs w:val="22"/>
        </w:rPr>
        <w:br w:type="page"/>
      </w:r>
    </w:p>
    <w:p w14:paraId="7DE89F33" w14:textId="77777777" w:rsidR="000509DC" w:rsidRPr="000509DC" w:rsidRDefault="000509DC" w:rsidP="00C679B1">
      <w:pPr>
        <w:pStyle w:val="Heading1"/>
      </w:pPr>
      <w:bookmarkStart w:id="67" w:name="_VABS_Reference_List"/>
      <w:bookmarkEnd w:id="67"/>
      <w:r w:rsidRPr="000509DC">
        <w:lastRenderedPageBreak/>
        <w:t>VABS Reference List</w:t>
      </w:r>
    </w:p>
    <w:p w14:paraId="60306628" w14:textId="6F1F64FE" w:rsidR="000509DC" w:rsidRPr="000509DC" w:rsidRDefault="000509DC" w:rsidP="000509DC">
      <w:pPr>
        <w:rPr>
          <w:rFonts w:eastAsia="Arial" w:cs="Arial"/>
          <w:color w:val="000000" w:themeColor="text1"/>
        </w:rPr>
      </w:pPr>
      <w:r w:rsidRPr="000509DC">
        <w:rPr>
          <w:rFonts w:eastAsia="Arial" w:cs="Arial"/>
          <w:i/>
          <w:iCs/>
          <w:color w:val="467886" w:themeColor="hyperlink"/>
          <w:u w:val="single"/>
        </w:rPr>
        <w:t xml:space="preserve">Link to VABS </w:t>
      </w:r>
      <w:hyperlink w:anchor="_VABS_Evidence_Summary" w:history="1">
        <w:r w:rsidRPr="00452988">
          <w:rPr>
            <w:rStyle w:val="Hyperlink"/>
            <w:rFonts w:eastAsia="Arial" w:cs="Arial"/>
            <w:i/>
            <w:iCs/>
          </w:rPr>
          <w:t>Evidence</w:t>
        </w:r>
      </w:hyperlink>
      <w:r w:rsidRPr="000509DC">
        <w:rPr>
          <w:rFonts w:eastAsia="Arial" w:cs="Arial"/>
          <w:i/>
          <w:iCs/>
          <w:color w:val="467886" w:themeColor="hyperlink"/>
          <w:u w:val="single"/>
        </w:rPr>
        <w:t xml:space="preserve"> Summary</w:t>
      </w:r>
    </w:p>
    <w:p w14:paraId="3BCBE579" w14:textId="77777777" w:rsidR="000509DC" w:rsidRPr="000509DC" w:rsidRDefault="000509DC" w:rsidP="00C679B1">
      <w:pPr>
        <w:pStyle w:val="Heading2"/>
      </w:pPr>
      <w:r w:rsidRPr="000509DC">
        <w:t>Reviews</w:t>
      </w:r>
    </w:p>
    <w:p w14:paraId="182F1DBD"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Ghahramani S, Hassani Mehraban A, Alizadeh Zarei M, Ghahramani S. (2024). Occupational Therapy Outcome Measures in Preschool Children </w:t>
      </w:r>
      <w:proofErr w:type="gramStart"/>
      <w:r w:rsidRPr="000509DC">
        <w:rPr>
          <w:rFonts w:eastAsia="Arial" w:cs="Arial"/>
          <w:color w:val="000000"/>
        </w:rPr>
        <w:t>With</w:t>
      </w:r>
      <w:proofErr w:type="gramEnd"/>
      <w:r w:rsidRPr="000509DC">
        <w:rPr>
          <w:rFonts w:eastAsia="Arial" w:cs="Arial"/>
          <w:color w:val="000000"/>
        </w:rPr>
        <w:t xml:space="preserve"> Autism Spectrum Disorders: A Scoping Review. </w:t>
      </w:r>
      <w:r w:rsidRPr="000509DC">
        <w:rPr>
          <w:rFonts w:eastAsia="Arial" w:cs="Arial"/>
          <w:i/>
          <w:color w:val="000000"/>
        </w:rPr>
        <w:t>OTJR (Thorofare N J)</w:t>
      </w:r>
      <w:r w:rsidRPr="000509DC">
        <w:rPr>
          <w:rFonts w:eastAsia="Arial" w:cs="Arial"/>
          <w:color w:val="000000"/>
        </w:rPr>
        <w:t>, 44(4):568-576.</w:t>
      </w:r>
      <w:r w:rsidRPr="000509DC">
        <w:rPr>
          <w:rFonts w:eastAsia="Arial" w:cs="Arial"/>
          <w:color w:val="0000FF"/>
          <w:u w:val="single"/>
        </w:rPr>
        <w:t xml:space="preserve"> https://doi.org/10.1177/15394492241246547</w:t>
      </w:r>
    </w:p>
    <w:p w14:paraId="629499C6"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0509DC">
        <w:rPr>
          <w:rFonts w:eastAsia="Arial" w:cs="Arial"/>
          <w:color w:val="000000"/>
        </w:rPr>
        <w:t>Saldaris</w:t>
      </w:r>
      <w:proofErr w:type="spellEnd"/>
      <w:r w:rsidRPr="000509DC">
        <w:rPr>
          <w:rFonts w:eastAsia="Arial" w:cs="Arial"/>
          <w:color w:val="000000"/>
        </w:rPr>
        <w:t xml:space="preserve"> JM, </w:t>
      </w:r>
      <w:proofErr w:type="spellStart"/>
      <w:r w:rsidRPr="000509DC">
        <w:rPr>
          <w:rFonts w:eastAsia="Arial" w:cs="Arial"/>
          <w:color w:val="000000"/>
        </w:rPr>
        <w:t>Ayalde</w:t>
      </w:r>
      <w:proofErr w:type="spellEnd"/>
      <w:r w:rsidRPr="000509DC">
        <w:rPr>
          <w:rFonts w:eastAsia="Arial" w:cs="Arial"/>
          <w:color w:val="000000"/>
        </w:rPr>
        <w:t xml:space="preserve"> J, </w:t>
      </w:r>
      <w:proofErr w:type="spellStart"/>
      <w:r w:rsidRPr="000509DC">
        <w:rPr>
          <w:rFonts w:eastAsia="Arial" w:cs="Arial"/>
          <w:color w:val="000000"/>
        </w:rPr>
        <w:t>Kankanange</w:t>
      </w:r>
      <w:proofErr w:type="spellEnd"/>
      <w:r w:rsidRPr="000509DC">
        <w:rPr>
          <w:rFonts w:eastAsia="Arial" w:cs="Arial"/>
          <w:color w:val="000000"/>
        </w:rPr>
        <w:t xml:space="preserve"> S, Keeley J, Leonard H, Jacoby P, Marsh ED, Benke TA, Demarest ST, Downs J. (2024). Parent-reported outcome measures evaluating communication in individuals with rare neurodevelopmental disorders: A systematic review. </w:t>
      </w:r>
      <w:r w:rsidRPr="000509DC">
        <w:rPr>
          <w:rFonts w:eastAsia="Arial" w:cs="Arial"/>
          <w:i/>
          <w:color w:val="000000"/>
        </w:rPr>
        <w:t xml:space="preserve">Int J Lang Commun </w:t>
      </w:r>
      <w:proofErr w:type="spellStart"/>
      <w:r w:rsidRPr="000509DC">
        <w:rPr>
          <w:rFonts w:eastAsia="Arial" w:cs="Arial"/>
          <w:i/>
          <w:color w:val="000000"/>
        </w:rPr>
        <w:t>Disord</w:t>
      </w:r>
      <w:proofErr w:type="spellEnd"/>
      <w:r w:rsidRPr="000509DC">
        <w:rPr>
          <w:rFonts w:eastAsia="Arial" w:cs="Arial"/>
          <w:color w:val="000000"/>
        </w:rPr>
        <w:t>, 59(6):2528-2553.</w:t>
      </w:r>
      <w:r w:rsidRPr="000509DC">
        <w:rPr>
          <w:rFonts w:eastAsia="Arial" w:cs="Arial"/>
          <w:color w:val="0000FF"/>
          <w:u w:val="single"/>
        </w:rPr>
        <w:t xml:space="preserve"> https://doi.org/10.1111/1460-6984.13100</w:t>
      </w:r>
    </w:p>
    <w:p w14:paraId="79DC3105"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proofErr w:type="spellStart"/>
      <w:r w:rsidRPr="000509DC">
        <w:rPr>
          <w:rFonts w:eastAsia="Arial" w:cs="Arial"/>
          <w:color w:val="000000"/>
        </w:rPr>
        <w:t>Komanchuk</w:t>
      </w:r>
      <w:proofErr w:type="spellEnd"/>
      <w:r w:rsidRPr="000509DC">
        <w:rPr>
          <w:rFonts w:eastAsia="Arial" w:cs="Arial"/>
          <w:color w:val="000000"/>
        </w:rPr>
        <w:t xml:space="preserve"> J, Cameron JL, </w:t>
      </w:r>
      <w:proofErr w:type="spellStart"/>
      <w:r w:rsidRPr="000509DC">
        <w:rPr>
          <w:rFonts w:eastAsia="Arial" w:cs="Arial"/>
          <w:color w:val="000000"/>
        </w:rPr>
        <w:t>Kurbatfinski</w:t>
      </w:r>
      <w:proofErr w:type="spellEnd"/>
      <w:r w:rsidRPr="000509DC">
        <w:rPr>
          <w:rFonts w:eastAsia="Arial" w:cs="Arial"/>
          <w:color w:val="000000"/>
        </w:rPr>
        <w:t xml:space="preserve"> S, Duffett-Leger L, Letourneau N. (2023). A realist review of digitally delivered child development assessment and screening tools: Psychometrics and considerations for future use. </w:t>
      </w:r>
      <w:r w:rsidRPr="000509DC">
        <w:rPr>
          <w:rFonts w:eastAsia="Arial" w:cs="Arial"/>
          <w:i/>
          <w:color w:val="000000"/>
        </w:rPr>
        <w:t>Early Hum Dev</w:t>
      </w:r>
      <w:r w:rsidRPr="000509DC">
        <w:rPr>
          <w:rFonts w:eastAsia="Arial" w:cs="Arial"/>
          <w:color w:val="000000"/>
        </w:rPr>
        <w:t>, 183:105818.</w:t>
      </w:r>
      <w:r w:rsidRPr="000509DC">
        <w:rPr>
          <w:rFonts w:eastAsia="Arial" w:cs="Arial"/>
          <w:color w:val="0000FF"/>
          <w:u w:val="single"/>
        </w:rPr>
        <w:t xml:space="preserve"> https://doi.org/10.1016/j.earlhumdev.2023.105818</w:t>
      </w:r>
    </w:p>
    <w:p w14:paraId="0F5182D5"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Hayden-Evans M, Milbourn B, D'Arcy E, Chamberlain A, </w:t>
      </w:r>
      <w:proofErr w:type="spellStart"/>
      <w:r w:rsidRPr="000509DC">
        <w:rPr>
          <w:rFonts w:eastAsia="Arial" w:cs="Arial"/>
          <w:color w:val="000000"/>
        </w:rPr>
        <w:t>Afsharnejad</w:t>
      </w:r>
      <w:proofErr w:type="spellEnd"/>
      <w:r w:rsidRPr="000509DC">
        <w:rPr>
          <w:rFonts w:eastAsia="Arial" w:cs="Arial"/>
          <w:color w:val="000000"/>
        </w:rPr>
        <w:t xml:space="preserve"> B, Evans K, Whitehouse AJO, </w:t>
      </w:r>
      <w:proofErr w:type="spellStart"/>
      <w:r w:rsidRPr="000509DC">
        <w:rPr>
          <w:rFonts w:eastAsia="Arial" w:cs="Arial"/>
          <w:color w:val="000000"/>
        </w:rPr>
        <w:t>Bölte</w:t>
      </w:r>
      <w:proofErr w:type="spellEnd"/>
      <w:r w:rsidRPr="000509DC">
        <w:rPr>
          <w:rFonts w:eastAsia="Arial" w:cs="Arial"/>
          <w:color w:val="000000"/>
        </w:rPr>
        <w:t xml:space="preserve"> S, Girdler S. (2022). An Evaluation of the Overall Utility of Measures of Functioning Suitable for School-Aged Children on the Autism Spectrum: A Scoping Review. </w:t>
      </w:r>
      <w:r w:rsidRPr="000509DC">
        <w:rPr>
          <w:rFonts w:eastAsia="Arial" w:cs="Arial"/>
          <w:i/>
          <w:color w:val="000000"/>
        </w:rPr>
        <w:t>Int J Environ Res Public Health</w:t>
      </w:r>
      <w:r w:rsidRPr="000509DC">
        <w:rPr>
          <w:rFonts w:eastAsia="Arial" w:cs="Arial"/>
          <w:color w:val="000000"/>
        </w:rPr>
        <w:t>, 19(21):14114.</w:t>
      </w:r>
      <w:r w:rsidRPr="000509DC">
        <w:rPr>
          <w:rFonts w:eastAsia="Arial" w:cs="Arial"/>
          <w:color w:val="0000FF"/>
          <w:u w:val="single"/>
        </w:rPr>
        <w:t xml:space="preserve"> https://doi.org/10.3390/ijerph192114114</w:t>
      </w:r>
    </w:p>
    <w:p w14:paraId="4514DC27"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Kusi-Mensah K, Nuamah ND, </w:t>
      </w:r>
      <w:proofErr w:type="spellStart"/>
      <w:r w:rsidRPr="000509DC">
        <w:rPr>
          <w:rFonts w:eastAsia="Arial" w:cs="Arial"/>
          <w:color w:val="000000"/>
        </w:rPr>
        <w:t>Wemakor</w:t>
      </w:r>
      <w:proofErr w:type="spellEnd"/>
      <w:r w:rsidRPr="000509DC">
        <w:rPr>
          <w:rFonts w:eastAsia="Arial" w:cs="Arial"/>
          <w:color w:val="000000"/>
        </w:rPr>
        <w:t xml:space="preserve"> S, </w:t>
      </w:r>
      <w:proofErr w:type="spellStart"/>
      <w:r w:rsidRPr="000509DC">
        <w:rPr>
          <w:rFonts w:eastAsia="Arial" w:cs="Arial"/>
          <w:color w:val="000000"/>
        </w:rPr>
        <w:t>Agorinya</w:t>
      </w:r>
      <w:proofErr w:type="spellEnd"/>
      <w:r w:rsidRPr="000509DC">
        <w:rPr>
          <w:rFonts w:eastAsia="Arial" w:cs="Arial"/>
          <w:color w:val="000000"/>
        </w:rPr>
        <w:t xml:space="preserve"> J, Seidu R, Martyn-Dickens C, Bateman A. (2022). A Systematic Review of the Validity and Reliability of Assessment Tools for Executive Function and Adaptive Function Following Brain Pathology among Children and Adolescents in Low- and Middle-Income Countries. </w:t>
      </w:r>
      <w:proofErr w:type="spellStart"/>
      <w:r w:rsidRPr="000509DC">
        <w:rPr>
          <w:rFonts w:eastAsia="Arial" w:cs="Arial"/>
          <w:i/>
          <w:color w:val="000000"/>
        </w:rPr>
        <w:t>Neuropsychol</w:t>
      </w:r>
      <w:proofErr w:type="spellEnd"/>
      <w:r w:rsidRPr="000509DC">
        <w:rPr>
          <w:rFonts w:eastAsia="Arial" w:cs="Arial"/>
          <w:i/>
          <w:color w:val="000000"/>
        </w:rPr>
        <w:t xml:space="preserve"> Rev</w:t>
      </w:r>
      <w:r w:rsidRPr="000509DC">
        <w:rPr>
          <w:rFonts w:eastAsia="Arial" w:cs="Arial"/>
          <w:color w:val="000000"/>
        </w:rPr>
        <w:t>, 32(4):974-1016.</w:t>
      </w:r>
      <w:r w:rsidRPr="000509DC">
        <w:rPr>
          <w:rFonts w:eastAsia="Arial" w:cs="Arial"/>
          <w:color w:val="0000FF"/>
          <w:u w:val="single"/>
        </w:rPr>
        <w:t xml:space="preserve"> https://doi.org/10.1007/s11065-022-09538-3</w:t>
      </w:r>
    </w:p>
    <w:p w14:paraId="4C4E958A"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West R, Silverman MJ. (2021). Social Skills Instruments for Children with Autism Spectrum Disorder: A Critical Interpretive Synthesis. </w:t>
      </w:r>
      <w:r w:rsidRPr="000509DC">
        <w:rPr>
          <w:rFonts w:eastAsia="Arial" w:cs="Arial"/>
          <w:i/>
          <w:color w:val="000000"/>
        </w:rPr>
        <w:t>J Music Ther</w:t>
      </w:r>
      <w:r w:rsidRPr="000509DC">
        <w:rPr>
          <w:rFonts w:eastAsia="Arial" w:cs="Arial"/>
          <w:color w:val="000000"/>
        </w:rPr>
        <w:t>, 58(2):121-154.</w:t>
      </w:r>
      <w:r w:rsidRPr="000509DC">
        <w:rPr>
          <w:rFonts w:eastAsia="Arial" w:cs="Arial"/>
          <w:color w:val="0000FF"/>
          <w:u w:val="single"/>
        </w:rPr>
        <w:t xml:space="preserve"> https://doi.org/10.1093/jmt/thaa017</w:t>
      </w:r>
    </w:p>
    <w:p w14:paraId="7DCBB302" w14:textId="77777777" w:rsidR="000509DC" w:rsidRPr="000509DC" w:rsidRDefault="000509DC" w:rsidP="00C679B1">
      <w:pPr>
        <w:pStyle w:val="Heading2"/>
      </w:pPr>
      <w:r w:rsidRPr="000509DC">
        <w:t>Measurement Properties</w:t>
      </w:r>
    </w:p>
    <w:p w14:paraId="0A9F58CE"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Choi KR, </w:t>
      </w:r>
      <w:proofErr w:type="spellStart"/>
      <w:r w:rsidRPr="000509DC">
        <w:rPr>
          <w:rFonts w:eastAsia="Arial" w:cs="Arial"/>
          <w:color w:val="000000"/>
        </w:rPr>
        <w:t>Lotfizadah</w:t>
      </w:r>
      <w:proofErr w:type="spellEnd"/>
      <w:r w:rsidRPr="000509DC">
        <w:rPr>
          <w:rFonts w:eastAsia="Arial" w:cs="Arial"/>
          <w:color w:val="000000"/>
        </w:rPr>
        <w:t xml:space="preserve"> AD, Bhakta B, Pompa-Craven P, Coleman KJ. (2022). Concordance between patient-</w:t>
      </w:r>
      <w:proofErr w:type="spellStart"/>
      <w:r w:rsidRPr="000509DC">
        <w:rPr>
          <w:rFonts w:eastAsia="Arial" w:cs="Arial"/>
          <w:color w:val="000000"/>
        </w:rPr>
        <w:t>centered</w:t>
      </w:r>
      <w:proofErr w:type="spellEnd"/>
      <w:r w:rsidRPr="000509DC">
        <w:rPr>
          <w:rFonts w:eastAsia="Arial" w:cs="Arial"/>
          <w:color w:val="000000"/>
        </w:rPr>
        <w:t xml:space="preserve"> and adaptive </w:t>
      </w:r>
      <w:proofErr w:type="spellStart"/>
      <w:r w:rsidRPr="000509DC">
        <w:rPr>
          <w:rFonts w:eastAsia="Arial" w:cs="Arial"/>
          <w:color w:val="000000"/>
        </w:rPr>
        <w:t>behavior</w:t>
      </w:r>
      <w:proofErr w:type="spellEnd"/>
      <w:r w:rsidRPr="000509DC">
        <w:rPr>
          <w:rFonts w:eastAsia="Arial" w:cs="Arial"/>
          <w:color w:val="000000"/>
        </w:rPr>
        <w:t xml:space="preserve"> outcome measures after applied </w:t>
      </w:r>
      <w:proofErr w:type="spellStart"/>
      <w:r w:rsidRPr="000509DC">
        <w:rPr>
          <w:rFonts w:eastAsia="Arial" w:cs="Arial"/>
          <w:color w:val="000000"/>
        </w:rPr>
        <w:t>behavior</w:t>
      </w:r>
      <w:proofErr w:type="spellEnd"/>
      <w:r w:rsidRPr="000509DC">
        <w:rPr>
          <w:rFonts w:eastAsia="Arial" w:cs="Arial"/>
          <w:color w:val="000000"/>
        </w:rPr>
        <w:t xml:space="preserve"> analysis for autism. </w:t>
      </w:r>
      <w:r w:rsidRPr="000509DC">
        <w:rPr>
          <w:rFonts w:eastAsia="Arial" w:cs="Arial"/>
          <w:i/>
          <w:color w:val="000000"/>
        </w:rPr>
        <w:t xml:space="preserve">BMC </w:t>
      </w:r>
      <w:proofErr w:type="spellStart"/>
      <w:r w:rsidRPr="000509DC">
        <w:rPr>
          <w:rFonts w:eastAsia="Arial" w:cs="Arial"/>
          <w:i/>
          <w:color w:val="000000"/>
        </w:rPr>
        <w:t>Pediatr</w:t>
      </w:r>
      <w:proofErr w:type="spellEnd"/>
      <w:r w:rsidRPr="000509DC">
        <w:rPr>
          <w:rFonts w:eastAsia="Arial" w:cs="Arial"/>
          <w:color w:val="000000"/>
        </w:rPr>
        <w:t>, 22(1):314.</w:t>
      </w:r>
      <w:r w:rsidRPr="000509DC">
        <w:rPr>
          <w:rFonts w:eastAsia="Arial" w:cs="Arial"/>
          <w:color w:val="0000FF"/>
          <w:u w:val="single"/>
        </w:rPr>
        <w:t xml:space="preserve"> https://doi.org/10.1186/s12887-022-03383-2</w:t>
      </w:r>
    </w:p>
    <w:p w14:paraId="1E1E7ABB"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Dang Do AN, Thurm AE, Farmer CA, </w:t>
      </w:r>
      <w:proofErr w:type="spellStart"/>
      <w:r w:rsidRPr="000509DC">
        <w:rPr>
          <w:rFonts w:eastAsia="Arial" w:cs="Arial"/>
          <w:color w:val="000000"/>
        </w:rPr>
        <w:t>Soldatos</w:t>
      </w:r>
      <w:proofErr w:type="spellEnd"/>
      <w:r w:rsidRPr="000509DC">
        <w:rPr>
          <w:rFonts w:eastAsia="Arial" w:cs="Arial"/>
          <w:color w:val="000000"/>
        </w:rPr>
        <w:t xml:space="preserve"> AG, Chlebowski CE, O'Reilly JK, Porter FD. (2022). Use of the Vineland-3, a measure of adaptive functioning, in CLN3. </w:t>
      </w:r>
      <w:r w:rsidRPr="000509DC">
        <w:rPr>
          <w:rFonts w:eastAsia="Arial" w:cs="Arial"/>
          <w:i/>
          <w:color w:val="000000"/>
        </w:rPr>
        <w:t>Am J Med Genet A</w:t>
      </w:r>
      <w:r w:rsidRPr="000509DC">
        <w:rPr>
          <w:rFonts w:eastAsia="Arial" w:cs="Arial"/>
          <w:color w:val="000000"/>
        </w:rPr>
        <w:t>, 188(4):1056-1064.</w:t>
      </w:r>
      <w:r w:rsidRPr="000509DC">
        <w:rPr>
          <w:rFonts w:eastAsia="Arial" w:cs="Arial"/>
          <w:color w:val="0000FF"/>
          <w:u w:val="single"/>
        </w:rPr>
        <w:t xml:space="preserve"> https://doi.org/10.1002/ajmg.a.62607</w:t>
      </w:r>
    </w:p>
    <w:p w14:paraId="12570BA3"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lastRenderedPageBreak/>
        <w:t xml:space="preserve">Farmer RL, Floyd RG, McNicholas PJ. (2021). Is the Vineland-3 Comprehensive Interview Form a Multidimensional or Unidimensional Scale? Structural Analysis of Subdomain Scores Across Early Childhood to Adulthood. </w:t>
      </w:r>
      <w:r w:rsidRPr="000509DC">
        <w:rPr>
          <w:rFonts w:eastAsia="Arial" w:cs="Arial"/>
          <w:i/>
          <w:color w:val="000000"/>
        </w:rPr>
        <w:t>Assessment</w:t>
      </w:r>
      <w:r w:rsidRPr="000509DC">
        <w:rPr>
          <w:rFonts w:eastAsia="Arial" w:cs="Arial"/>
          <w:color w:val="000000"/>
        </w:rPr>
        <w:t>, 28(7):1848-1864.</w:t>
      </w:r>
      <w:r w:rsidRPr="000509DC">
        <w:rPr>
          <w:rFonts w:eastAsia="Arial" w:cs="Arial"/>
          <w:color w:val="0000FF"/>
          <w:u w:val="single"/>
        </w:rPr>
        <w:t xml:space="preserve"> https://doi.org/10.1177/1073191120947804</w:t>
      </w:r>
    </w:p>
    <w:p w14:paraId="30662C6E"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Pandolfi V, Magyar CI. (2021). Vineland-3 Structural Validity and Interpretability of Domain Scores: Implications for Practitioners Assessing Adolescents </w:t>
      </w:r>
      <w:proofErr w:type="gramStart"/>
      <w:r w:rsidRPr="000509DC">
        <w:rPr>
          <w:rFonts w:eastAsia="Arial" w:cs="Arial"/>
          <w:color w:val="000000"/>
        </w:rPr>
        <w:t>With</w:t>
      </w:r>
      <w:proofErr w:type="gramEnd"/>
      <w:r w:rsidRPr="000509DC">
        <w:rPr>
          <w:rFonts w:eastAsia="Arial" w:cs="Arial"/>
          <w:color w:val="000000"/>
        </w:rPr>
        <w:t xml:space="preserve"> Developmental Conditions. </w:t>
      </w:r>
      <w:r w:rsidRPr="000509DC">
        <w:rPr>
          <w:rFonts w:eastAsia="Arial" w:cs="Arial"/>
          <w:i/>
          <w:color w:val="000000"/>
        </w:rPr>
        <w:t xml:space="preserve">Am J Intellect Dev </w:t>
      </w:r>
      <w:proofErr w:type="spellStart"/>
      <w:r w:rsidRPr="000509DC">
        <w:rPr>
          <w:rFonts w:eastAsia="Arial" w:cs="Arial"/>
          <w:i/>
          <w:color w:val="000000"/>
        </w:rPr>
        <w:t>Disabil</w:t>
      </w:r>
      <w:proofErr w:type="spellEnd"/>
      <w:r w:rsidRPr="000509DC">
        <w:rPr>
          <w:rFonts w:eastAsia="Arial" w:cs="Arial"/>
          <w:color w:val="000000"/>
        </w:rPr>
        <w:t>, 126(3):216-229.</w:t>
      </w:r>
      <w:r w:rsidRPr="000509DC">
        <w:rPr>
          <w:rFonts w:eastAsia="Arial" w:cs="Arial"/>
          <w:color w:val="0000FF"/>
          <w:u w:val="single"/>
        </w:rPr>
        <w:t xml:space="preserve"> https://doi.org/10.1352/1944-7558-126.3.216</w:t>
      </w:r>
    </w:p>
    <w:p w14:paraId="5AC344FC"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Farmer C, </w:t>
      </w:r>
      <w:proofErr w:type="spellStart"/>
      <w:r w:rsidRPr="000509DC">
        <w:rPr>
          <w:rFonts w:eastAsia="Arial" w:cs="Arial"/>
          <w:color w:val="000000"/>
        </w:rPr>
        <w:t>Adedipe</w:t>
      </w:r>
      <w:proofErr w:type="spellEnd"/>
      <w:r w:rsidRPr="000509DC">
        <w:rPr>
          <w:rFonts w:eastAsia="Arial" w:cs="Arial"/>
          <w:color w:val="000000"/>
        </w:rPr>
        <w:t xml:space="preserve"> D, Bal VH, Chlebowski C, Thurm A. (2020). Concordance of the Vineland Adaptive </w:t>
      </w:r>
      <w:proofErr w:type="spellStart"/>
      <w:r w:rsidRPr="000509DC">
        <w:rPr>
          <w:rFonts w:eastAsia="Arial" w:cs="Arial"/>
          <w:color w:val="000000"/>
        </w:rPr>
        <w:t>Behavior</w:t>
      </w:r>
      <w:proofErr w:type="spellEnd"/>
      <w:r w:rsidRPr="000509DC">
        <w:rPr>
          <w:rFonts w:eastAsia="Arial" w:cs="Arial"/>
          <w:color w:val="000000"/>
        </w:rPr>
        <w:t xml:space="preserve"> Scales, second and third editions. </w:t>
      </w:r>
      <w:r w:rsidRPr="000509DC">
        <w:rPr>
          <w:rFonts w:eastAsia="Arial" w:cs="Arial"/>
          <w:i/>
          <w:color w:val="000000"/>
        </w:rPr>
        <w:t xml:space="preserve">J Intellect </w:t>
      </w:r>
      <w:proofErr w:type="spellStart"/>
      <w:r w:rsidRPr="000509DC">
        <w:rPr>
          <w:rFonts w:eastAsia="Arial" w:cs="Arial"/>
          <w:i/>
          <w:color w:val="000000"/>
        </w:rPr>
        <w:t>Disabil</w:t>
      </w:r>
      <w:proofErr w:type="spellEnd"/>
      <w:r w:rsidRPr="000509DC">
        <w:rPr>
          <w:rFonts w:eastAsia="Arial" w:cs="Arial"/>
          <w:i/>
          <w:color w:val="000000"/>
        </w:rPr>
        <w:t xml:space="preserve"> Res</w:t>
      </w:r>
      <w:r w:rsidRPr="000509DC">
        <w:rPr>
          <w:rFonts w:eastAsia="Arial" w:cs="Arial"/>
          <w:color w:val="000000"/>
        </w:rPr>
        <w:t>, 64(1):18-26.</w:t>
      </w:r>
      <w:r w:rsidRPr="000509DC">
        <w:rPr>
          <w:rFonts w:eastAsia="Arial" w:cs="Arial"/>
          <w:color w:val="0000FF"/>
          <w:u w:val="single"/>
        </w:rPr>
        <w:t xml:space="preserve"> https://doi.org/10.1111/jir.12691</w:t>
      </w:r>
    </w:p>
    <w:p w14:paraId="103A6D43"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Gleason K, Coster W. (2012). An ICF-CY-based content analysis of the Vineland Adaptive </w:t>
      </w:r>
      <w:proofErr w:type="spellStart"/>
      <w:r w:rsidRPr="000509DC">
        <w:rPr>
          <w:rFonts w:eastAsia="Arial" w:cs="Arial"/>
          <w:color w:val="000000"/>
        </w:rPr>
        <w:t>Behavior</w:t>
      </w:r>
      <w:proofErr w:type="spellEnd"/>
      <w:r w:rsidRPr="000509DC">
        <w:rPr>
          <w:rFonts w:eastAsia="Arial" w:cs="Arial"/>
          <w:color w:val="000000"/>
        </w:rPr>
        <w:t xml:space="preserve"> Scales-II. </w:t>
      </w:r>
      <w:r w:rsidRPr="000509DC">
        <w:rPr>
          <w:rFonts w:eastAsia="Arial" w:cs="Arial"/>
          <w:i/>
          <w:color w:val="000000"/>
        </w:rPr>
        <w:t xml:space="preserve">J Intellect Dev </w:t>
      </w:r>
      <w:proofErr w:type="spellStart"/>
      <w:r w:rsidRPr="000509DC">
        <w:rPr>
          <w:rFonts w:eastAsia="Arial" w:cs="Arial"/>
          <w:i/>
          <w:color w:val="000000"/>
        </w:rPr>
        <w:t>Disabil</w:t>
      </w:r>
      <w:proofErr w:type="spellEnd"/>
      <w:r w:rsidRPr="000509DC">
        <w:rPr>
          <w:rFonts w:eastAsia="Arial" w:cs="Arial"/>
          <w:color w:val="000000"/>
        </w:rPr>
        <w:t>, 37(4):285-93.</w:t>
      </w:r>
      <w:r w:rsidRPr="000509DC">
        <w:rPr>
          <w:rFonts w:eastAsia="Arial" w:cs="Arial"/>
          <w:color w:val="0000FF"/>
          <w:u w:val="single"/>
        </w:rPr>
        <w:t xml:space="preserve"> https://doi.org/10.3109/13668250.2012.720675</w:t>
      </w:r>
    </w:p>
    <w:p w14:paraId="2C7E6487"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de Bildt A, </w:t>
      </w:r>
      <w:proofErr w:type="spellStart"/>
      <w:r w:rsidRPr="000509DC">
        <w:rPr>
          <w:rFonts w:eastAsia="Arial" w:cs="Arial"/>
          <w:color w:val="000000"/>
        </w:rPr>
        <w:t>Kraijer</w:t>
      </w:r>
      <w:proofErr w:type="spellEnd"/>
      <w:r w:rsidRPr="000509DC">
        <w:rPr>
          <w:rFonts w:eastAsia="Arial" w:cs="Arial"/>
          <w:color w:val="000000"/>
        </w:rPr>
        <w:t xml:space="preserve"> D, </w:t>
      </w:r>
      <w:proofErr w:type="spellStart"/>
      <w:r w:rsidRPr="000509DC">
        <w:rPr>
          <w:rFonts w:eastAsia="Arial" w:cs="Arial"/>
          <w:color w:val="000000"/>
        </w:rPr>
        <w:t>Sytema</w:t>
      </w:r>
      <w:proofErr w:type="spellEnd"/>
      <w:r w:rsidRPr="000509DC">
        <w:rPr>
          <w:rFonts w:eastAsia="Arial" w:cs="Arial"/>
          <w:color w:val="000000"/>
        </w:rPr>
        <w:t xml:space="preserve"> S, </w:t>
      </w:r>
      <w:proofErr w:type="spellStart"/>
      <w:r w:rsidRPr="000509DC">
        <w:rPr>
          <w:rFonts w:eastAsia="Arial" w:cs="Arial"/>
          <w:color w:val="000000"/>
        </w:rPr>
        <w:t>Minderaa</w:t>
      </w:r>
      <w:proofErr w:type="spellEnd"/>
      <w:r w:rsidRPr="000509DC">
        <w:rPr>
          <w:rFonts w:eastAsia="Arial" w:cs="Arial"/>
          <w:color w:val="000000"/>
        </w:rPr>
        <w:t xml:space="preserve"> R. (2005). The psychometric properties of the Vineland Adaptive </w:t>
      </w:r>
      <w:proofErr w:type="spellStart"/>
      <w:r w:rsidRPr="000509DC">
        <w:rPr>
          <w:rFonts w:eastAsia="Arial" w:cs="Arial"/>
          <w:color w:val="000000"/>
        </w:rPr>
        <w:t>Behavior</w:t>
      </w:r>
      <w:proofErr w:type="spellEnd"/>
      <w:r w:rsidRPr="000509DC">
        <w:rPr>
          <w:rFonts w:eastAsia="Arial" w:cs="Arial"/>
          <w:color w:val="000000"/>
        </w:rPr>
        <w:t xml:space="preserve"> Scales in children and adolescents with mental retardation. </w:t>
      </w:r>
      <w:r w:rsidRPr="000509DC">
        <w:rPr>
          <w:rFonts w:eastAsia="Arial" w:cs="Arial"/>
          <w:i/>
          <w:color w:val="000000"/>
        </w:rPr>
        <w:t xml:space="preserve">J Autism Dev </w:t>
      </w:r>
      <w:proofErr w:type="spellStart"/>
      <w:r w:rsidRPr="000509DC">
        <w:rPr>
          <w:rFonts w:eastAsia="Arial" w:cs="Arial"/>
          <w:i/>
          <w:color w:val="000000"/>
        </w:rPr>
        <w:t>Disord</w:t>
      </w:r>
      <w:proofErr w:type="spellEnd"/>
      <w:r w:rsidRPr="000509DC">
        <w:rPr>
          <w:rFonts w:eastAsia="Arial" w:cs="Arial"/>
          <w:color w:val="000000"/>
        </w:rPr>
        <w:t>, 35(1):53-62.</w:t>
      </w:r>
      <w:r w:rsidRPr="000509DC">
        <w:rPr>
          <w:rFonts w:eastAsia="Arial" w:cs="Arial"/>
          <w:color w:val="0000FF"/>
          <w:u w:val="single"/>
        </w:rPr>
        <w:t xml:space="preserve"> https://doi.org/10.1007/s10803-004-1033-7</w:t>
      </w:r>
    </w:p>
    <w:p w14:paraId="07E369EF"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Ottenbacher KJ, </w:t>
      </w:r>
      <w:proofErr w:type="spellStart"/>
      <w:r w:rsidRPr="000509DC">
        <w:rPr>
          <w:rFonts w:eastAsia="Arial" w:cs="Arial"/>
          <w:color w:val="000000"/>
        </w:rPr>
        <w:t>Msall</w:t>
      </w:r>
      <w:proofErr w:type="spellEnd"/>
      <w:r w:rsidRPr="000509DC">
        <w:rPr>
          <w:rFonts w:eastAsia="Arial" w:cs="Arial"/>
          <w:color w:val="000000"/>
        </w:rPr>
        <w:t xml:space="preserve"> ME, Lyon N, Duffy LC, Granger CV, Braun S. (1999). Measuring developmental and functional status in children with disabilities. </w:t>
      </w:r>
      <w:r w:rsidRPr="000509DC">
        <w:rPr>
          <w:rFonts w:eastAsia="Arial" w:cs="Arial"/>
          <w:i/>
          <w:color w:val="000000"/>
        </w:rPr>
        <w:t>Dev Med Child Neurol</w:t>
      </w:r>
      <w:r w:rsidRPr="000509DC">
        <w:rPr>
          <w:rFonts w:eastAsia="Arial" w:cs="Arial"/>
          <w:color w:val="000000"/>
        </w:rPr>
        <w:t>, 41(3):186-94.</w:t>
      </w:r>
      <w:r w:rsidRPr="000509DC">
        <w:rPr>
          <w:rFonts w:eastAsia="Arial" w:cs="Arial"/>
          <w:color w:val="0000FF"/>
          <w:u w:val="single"/>
        </w:rPr>
        <w:t xml:space="preserve"> https://doi.org/10.1017/s0012162299000377</w:t>
      </w:r>
    </w:p>
    <w:p w14:paraId="3A63B5F7"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Harris, S.L, Handleman, J., </w:t>
      </w:r>
      <w:proofErr w:type="spellStart"/>
      <w:r w:rsidRPr="000509DC">
        <w:rPr>
          <w:rFonts w:eastAsia="Arial" w:cs="Arial"/>
          <w:color w:val="000000"/>
        </w:rPr>
        <w:t>Belchic</w:t>
      </w:r>
      <w:proofErr w:type="spellEnd"/>
      <w:r w:rsidRPr="000509DC">
        <w:rPr>
          <w:rFonts w:eastAsia="Arial" w:cs="Arial"/>
          <w:color w:val="000000"/>
        </w:rPr>
        <w:t xml:space="preserve">, J., &amp; Glasberg, B.  (1995). The Vineland Adaptive </w:t>
      </w:r>
      <w:proofErr w:type="spellStart"/>
      <w:r w:rsidRPr="000509DC">
        <w:rPr>
          <w:rFonts w:eastAsia="Arial" w:cs="Arial"/>
          <w:color w:val="000000"/>
        </w:rPr>
        <w:t>Behavior</w:t>
      </w:r>
      <w:proofErr w:type="spellEnd"/>
      <w:r w:rsidRPr="000509DC">
        <w:rPr>
          <w:rFonts w:eastAsia="Arial" w:cs="Arial"/>
          <w:color w:val="000000"/>
        </w:rPr>
        <w:t xml:space="preserve"> Scales for Young Children with Autism. </w:t>
      </w:r>
      <w:r w:rsidRPr="000509DC">
        <w:rPr>
          <w:rFonts w:eastAsia="Arial" w:cs="Arial"/>
          <w:i/>
          <w:color w:val="000000"/>
        </w:rPr>
        <w:t>Special services in the schools</w:t>
      </w:r>
      <w:r w:rsidRPr="000509DC">
        <w:rPr>
          <w:rFonts w:eastAsia="Arial" w:cs="Arial"/>
          <w:color w:val="000000"/>
        </w:rPr>
        <w:t>, 10(1):45-54.</w:t>
      </w:r>
      <w:r w:rsidRPr="000509DC">
        <w:rPr>
          <w:rFonts w:eastAsia="Arial" w:cs="Arial"/>
          <w:color w:val="0000FF"/>
          <w:u w:val="single"/>
        </w:rPr>
        <w:t xml:space="preserve"> https://doi.org/10.1300/J008V10N01_03</w:t>
      </w:r>
    </w:p>
    <w:p w14:paraId="1E488ACA"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Raggio DJ, Massingale TW, Bass JD. (1994). Comparison of Vineland Adaptive </w:t>
      </w:r>
      <w:proofErr w:type="spellStart"/>
      <w:r w:rsidRPr="000509DC">
        <w:rPr>
          <w:rFonts w:eastAsia="Arial" w:cs="Arial"/>
          <w:color w:val="000000"/>
        </w:rPr>
        <w:t>Behavior</w:t>
      </w:r>
      <w:proofErr w:type="spellEnd"/>
      <w:r w:rsidRPr="000509DC">
        <w:rPr>
          <w:rFonts w:eastAsia="Arial" w:cs="Arial"/>
          <w:color w:val="000000"/>
        </w:rPr>
        <w:t xml:space="preserve"> Scales-Survey Form age equivalent and standard score with the Bayley Mental Development Index. </w:t>
      </w:r>
      <w:r w:rsidRPr="000509DC">
        <w:rPr>
          <w:rFonts w:eastAsia="Arial" w:cs="Arial"/>
          <w:i/>
          <w:color w:val="000000"/>
        </w:rPr>
        <w:t>Percept Mot Skills</w:t>
      </w:r>
      <w:r w:rsidRPr="000509DC">
        <w:rPr>
          <w:rFonts w:eastAsia="Arial" w:cs="Arial"/>
          <w:color w:val="000000"/>
        </w:rPr>
        <w:t>, 79(1):203.</w:t>
      </w:r>
      <w:r w:rsidRPr="000509DC">
        <w:rPr>
          <w:rFonts w:eastAsia="Arial" w:cs="Arial"/>
          <w:color w:val="0000FF"/>
          <w:u w:val="single"/>
        </w:rPr>
        <w:t xml:space="preserve"> https://doi.org/10.2466/pms.1994.79.1.203</w:t>
      </w:r>
    </w:p>
    <w:p w14:paraId="60013ADA"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Perry A, Factor DC. (1989). Psychometric validity and clinical usefulness of the Vineland Adaptive </w:t>
      </w:r>
      <w:proofErr w:type="spellStart"/>
      <w:r w:rsidRPr="000509DC">
        <w:rPr>
          <w:rFonts w:eastAsia="Arial" w:cs="Arial"/>
          <w:color w:val="000000"/>
        </w:rPr>
        <w:t>Behavior</w:t>
      </w:r>
      <w:proofErr w:type="spellEnd"/>
      <w:r w:rsidRPr="000509DC">
        <w:rPr>
          <w:rFonts w:eastAsia="Arial" w:cs="Arial"/>
          <w:color w:val="000000"/>
        </w:rPr>
        <w:t xml:space="preserve"> Scales and the AAMD Adaptive </w:t>
      </w:r>
      <w:proofErr w:type="spellStart"/>
      <w:r w:rsidRPr="000509DC">
        <w:rPr>
          <w:rFonts w:eastAsia="Arial" w:cs="Arial"/>
          <w:color w:val="000000"/>
        </w:rPr>
        <w:t>Behavior</w:t>
      </w:r>
      <w:proofErr w:type="spellEnd"/>
      <w:r w:rsidRPr="000509DC">
        <w:rPr>
          <w:rFonts w:eastAsia="Arial" w:cs="Arial"/>
          <w:color w:val="000000"/>
        </w:rPr>
        <w:t xml:space="preserve"> Scale for an autistic sample. </w:t>
      </w:r>
      <w:r w:rsidRPr="000509DC">
        <w:rPr>
          <w:rFonts w:eastAsia="Arial" w:cs="Arial"/>
          <w:i/>
          <w:color w:val="000000"/>
        </w:rPr>
        <w:t xml:space="preserve">J Autism Dev </w:t>
      </w:r>
      <w:proofErr w:type="spellStart"/>
      <w:r w:rsidRPr="000509DC">
        <w:rPr>
          <w:rFonts w:eastAsia="Arial" w:cs="Arial"/>
          <w:i/>
          <w:color w:val="000000"/>
        </w:rPr>
        <w:t>Disord</w:t>
      </w:r>
      <w:proofErr w:type="spellEnd"/>
      <w:r w:rsidRPr="000509DC">
        <w:rPr>
          <w:rFonts w:eastAsia="Arial" w:cs="Arial"/>
          <w:color w:val="000000"/>
        </w:rPr>
        <w:t>, 19(1):41-55.</w:t>
      </w:r>
      <w:r w:rsidRPr="000509DC">
        <w:rPr>
          <w:rFonts w:eastAsia="Arial" w:cs="Arial"/>
          <w:color w:val="0000FF"/>
          <w:u w:val="single"/>
        </w:rPr>
        <w:t xml:space="preserve"> https://doi.org/10.1007/BF02212717</w:t>
      </w:r>
    </w:p>
    <w:p w14:paraId="2A3BA460" w14:textId="77777777" w:rsidR="000509DC" w:rsidRPr="000509DC" w:rsidRDefault="000509DC" w:rsidP="00C679B1">
      <w:pPr>
        <w:pStyle w:val="Heading2"/>
      </w:pPr>
      <w:r w:rsidRPr="000509DC">
        <w:t>Cultural Adaptations</w:t>
      </w:r>
    </w:p>
    <w:p w14:paraId="4D1DAEEC"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Touil N, Riche B, Portes VD, Mardirossian S, Gaillard S, </w:t>
      </w:r>
      <w:proofErr w:type="spellStart"/>
      <w:r w:rsidRPr="000509DC">
        <w:rPr>
          <w:rFonts w:eastAsia="Arial" w:cs="Arial"/>
          <w:color w:val="000000"/>
        </w:rPr>
        <w:t>Rabilloud</w:t>
      </w:r>
      <w:proofErr w:type="spellEnd"/>
      <w:r w:rsidRPr="000509DC">
        <w:rPr>
          <w:rFonts w:eastAsia="Arial" w:cs="Arial"/>
          <w:color w:val="000000"/>
        </w:rPr>
        <w:t xml:space="preserve"> M, Kassai B, Sonie S. (2021). A </w:t>
      </w:r>
      <w:proofErr w:type="spellStart"/>
      <w:r w:rsidRPr="000509DC">
        <w:rPr>
          <w:rFonts w:eastAsia="Arial" w:cs="Arial"/>
          <w:color w:val="000000"/>
        </w:rPr>
        <w:t>french</w:t>
      </w:r>
      <w:proofErr w:type="spellEnd"/>
      <w:r w:rsidRPr="000509DC">
        <w:rPr>
          <w:rFonts w:eastAsia="Arial" w:cs="Arial"/>
          <w:color w:val="000000"/>
        </w:rPr>
        <w:t xml:space="preserve"> adaptation of the vineland adaptive </w:t>
      </w:r>
      <w:proofErr w:type="spellStart"/>
      <w:r w:rsidRPr="000509DC">
        <w:rPr>
          <w:rFonts w:eastAsia="Arial" w:cs="Arial"/>
          <w:color w:val="000000"/>
        </w:rPr>
        <w:t>behavior</w:t>
      </w:r>
      <w:proofErr w:type="spellEnd"/>
      <w:r w:rsidRPr="000509DC">
        <w:rPr>
          <w:rFonts w:eastAsia="Arial" w:cs="Arial"/>
          <w:color w:val="000000"/>
        </w:rPr>
        <w:t xml:space="preserve"> scales VABS-II. </w:t>
      </w:r>
      <w:proofErr w:type="spellStart"/>
      <w:r w:rsidRPr="000509DC">
        <w:rPr>
          <w:rFonts w:eastAsia="Arial" w:cs="Arial"/>
          <w:i/>
          <w:color w:val="000000"/>
        </w:rPr>
        <w:t>Eur</w:t>
      </w:r>
      <w:proofErr w:type="spellEnd"/>
      <w:r w:rsidRPr="000509DC">
        <w:rPr>
          <w:rFonts w:eastAsia="Arial" w:cs="Arial"/>
          <w:i/>
          <w:color w:val="000000"/>
        </w:rPr>
        <w:t xml:space="preserve"> Psychiatry</w:t>
      </w:r>
      <w:r w:rsidRPr="000509DC">
        <w:rPr>
          <w:rFonts w:eastAsia="Arial" w:cs="Arial"/>
          <w:color w:val="000000"/>
        </w:rPr>
        <w:t>, 64(S1</w:t>
      </w:r>
      <w:proofErr w:type="gramStart"/>
      <w:r w:rsidRPr="000509DC">
        <w:rPr>
          <w:rFonts w:eastAsia="Arial" w:cs="Arial"/>
          <w:color w:val="000000"/>
        </w:rPr>
        <w:t>):S</w:t>
      </w:r>
      <w:proofErr w:type="gramEnd"/>
      <w:r w:rsidRPr="000509DC">
        <w:rPr>
          <w:rFonts w:eastAsia="Arial" w:cs="Arial"/>
          <w:color w:val="000000"/>
        </w:rPr>
        <w:t>155-S156.</w:t>
      </w:r>
      <w:r w:rsidRPr="000509DC">
        <w:rPr>
          <w:rFonts w:eastAsia="Arial" w:cs="Arial"/>
          <w:color w:val="0000FF"/>
          <w:u w:val="single"/>
        </w:rPr>
        <w:t xml:space="preserve"> https://doi.org/10.1192/j.eurpsy.2021.421</w:t>
      </w:r>
    </w:p>
    <w:p w14:paraId="06CC687B"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lastRenderedPageBreak/>
        <w:t xml:space="preserve">Qadir, C., Berte, D., Barakat, A., &amp; </w:t>
      </w:r>
      <w:proofErr w:type="spellStart"/>
      <w:r w:rsidRPr="000509DC">
        <w:rPr>
          <w:rFonts w:eastAsia="Arial" w:cs="Arial"/>
          <w:color w:val="000000"/>
        </w:rPr>
        <w:t>Mahamid</w:t>
      </w:r>
      <w:proofErr w:type="spellEnd"/>
      <w:r w:rsidRPr="000509DC">
        <w:rPr>
          <w:rFonts w:eastAsia="Arial" w:cs="Arial"/>
          <w:color w:val="000000"/>
        </w:rPr>
        <w:t xml:space="preserve">, F. (2020). Validation of the Vineland Adaptive </w:t>
      </w:r>
      <w:proofErr w:type="spellStart"/>
      <w:r w:rsidRPr="000509DC">
        <w:rPr>
          <w:rFonts w:eastAsia="Arial" w:cs="Arial"/>
          <w:color w:val="000000"/>
        </w:rPr>
        <w:t>Behavior</w:t>
      </w:r>
      <w:proofErr w:type="spellEnd"/>
      <w:r w:rsidRPr="000509DC">
        <w:rPr>
          <w:rFonts w:eastAsia="Arial" w:cs="Arial"/>
          <w:color w:val="000000"/>
        </w:rPr>
        <w:t xml:space="preserve"> Scale in Arabic Language within a Palestinian Context. 8(4):566-585.</w:t>
      </w:r>
      <w:r w:rsidRPr="000509DC">
        <w:rPr>
          <w:rFonts w:eastAsia="Arial" w:cs="Arial"/>
          <w:color w:val="0000FF"/>
          <w:u w:val="single"/>
        </w:rPr>
        <w:t xml:space="preserve"> https://doi.org/10.25215/0804.072</w:t>
      </w:r>
    </w:p>
    <w:p w14:paraId="6AD0FADE"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Kumar, R., Shankar, K., Kush, V., Kumar, C., Bhave, A., &amp; Agarwal, V. (2016). Adaptation: Vineland Adaptive </w:t>
      </w:r>
      <w:proofErr w:type="spellStart"/>
      <w:r w:rsidRPr="000509DC">
        <w:rPr>
          <w:rFonts w:eastAsia="Arial" w:cs="Arial"/>
          <w:color w:val="000000"/>
        </w:rPr>
        <w:t>Behavior</w:t>
      </w:r>
      <w:proofErr w:type="spellEnd"/>
      <w:r w:rsidRPr="000509DC">
        <w:rPr>
          <w:rFonts w:eastAsia="Arial" w:cs="Arial"/>
          <w:color w:val="000000"/>
        </w:rPr>
        <w:t xml:space="preserve"> Scale for 3–</w:t>
      </w:r>
      <w:proofErr w:type="gramStart"/>
      <w:r w:rsidRPr="000509DC">
        <w:rPr>
          <w:rFonts w:eastAsia="Arial" w:cs="Arial"/>
          <w:color w:val="000000"/>
        </w:rPr>
        <w:t>9 year-old</w:t>
      </w:r>
      <w:proofErr w:type="gramEnd"/>
      <w:r w:rsidRPr="000509DC">
        <w:rPr>
          <w:rFonts w:eastAsia="Arial" w:cs="Arial"/>
          <w:color w:val="000000"/>
        </w:rPr>
        <w:t xml:space="preserve"> Indian children. </w:t>
      </w:r>
      <w:r w:rsidRPr="000509DC">
        <w:rPr>
          <w:rFonts w:eastAsia="Arial" w:cs="Arial"/>
          <w:i/>
          <w:color w:val="000000"/>
        </w:rPr>
        <w:t>International Journal on Disability and Human Development</w:t>
      </w:r>
      <w:r w:rsidRPr="000509DC">
        <w:rPr>
          <w:rFonts w:eastAsia="Arial" w:cs="Arial"/>
          <w:color w:val="000000"/>
        </w:rPr>
        <w:t>, 15(1):49-55.</w:t>
      </w:r>
      <w:r w:rsidRPr="000509DC">
        <w:rPr>
          <w:rFonts w:eastAsia="Arial" w:cs="Arial"/>
          <w:color w:val="0000FF"/>
          <w:u w:val="single"/>
        </w:rPr>
        <w:t xml:space="preserve"> https://doi.org/10.1515/ijdhd-2014-0026</w:t>
      </w:r>
    </w:p>
    <w:p w14:paraId="6E34FBB9"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Goldberg MR, Dill CA, Shin JY, Nguyen VN. (2009). Reliability and validity of the Vietnamese Vineland Adaptive </w:t>
      </w:r>
      <w:proofErr w:type="spellStart"/>
      <w:r w:rsidRPr="000509DC">
        <w:rPr>
          <w:rFonts w:eastAsia="Arial" w:cs="Arial"/>
          <w:color w:val="000000"/>
        </w:rPr>
        <w:t>Behavior</w:t>
      </w:r>
      <w:proofErr w:type="spellEnd"/>
      <w:r w:rsidRPr="000509DC">
        <w:rPr>
          <w:rFonts w:eastAsia="Arial" w:cs="Arial"/>
          <w:color w:val="000000"/>
        </w:rPr>
        <w:t xml:space="preserve"> Scales with preschool-age children. </w:t>
      </w:r>
      <w:r w:rsidRPr="000509DC">
        <w:rPr>
          <w:rFonts w:eastAsia="Arial" w:cs="Arial"/>
          <w:i/>
          <w:color w:val="000000"/>
        </w:rPr>
        <w:t xml:space="preserve">Res Dev </w:t>
      </w:r>
      <w:proofErr w:type="spellStart"/>
      <w:r w:rsidRPr="000509DC">
        <w:rPr>
          <w:rFonts w:eastAsia="Arial" w:cs="Arial"/>
          <w:i/>
          <w:color w:val="000000"/>
        </w:rPr>
        <w:t>Disabil</w:t>
      </w:r>
      <w:proofErr w:type="spellEnd"/>
      <w:r w:rsidRPr="000509DC">
        <w:rPr>
          <w:rFonts w:eastAsia="Arial" w:cs="Arial"/>
          <w:color w:val="000000"/>
        </w:rPr>
        <w:t>, 30(3):592-602.</w:t>
      </w:r>
      <w:r w:rsidRPr="000509DC">
        <w:rPr>
          <w:rFonts w:eastAsia="Arial" w:cs="Arial"/>
          <w:color w:val="0000FF"/>
          <w:u w:val="single"/>
        </w:rPr>
        <w:t xml:space="preserve"> https://doi.org/10.1016/j.ridd.2008.09.001</w:t>
      </w:r>
    </w:p>
    <w:p w14:paraId="01A9E9C3"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Panerai S, Zingale M, Trubia G, Finocchiaro M, Zuccarello R, Ferri R, Elia M. (2009). Special education versus inclusive education: the role of the TEACCH program. </w:t>
      </w:r>
      <w:r w:rsidRPr="000509DC">
        <w:rPr>
          <w:rFonts w:eastAsia="Arial" w:cs="Arial"/>
          <w:i/>
          <w:color w:val="000000"/>
        </w:rPr>
        <w:t xml:space="preserve">J Autism Dev </w:t>
      </w:r>
      <w:proofErr w:type="spellStart"/>
      <w:r w:rsidRPr="000509DC">
        <w:rPr>
          <w:rFonts w:eastAsia="Arial" w:cs="Arial"/>
          <w:i/>
          <w:color w:val="000000"/>
        </w:rPr>
        <w:t>Disord</w:t>
      </w:r>
      <w:proofErr w:type="spellEnd"/>
      <w:r w:rsidRPr="000509DC">
        <w:rPr>
          <w:rFonts w:eastAsia="Arial" w:cs="Arial"/>
          <w:color w:val="000000"/>
        </w:rPr>
        <w:t>, 39(6):874-82.</w:t>
      </w:r>
      <w:r w:rsidRPr="000509DC">
        <w:rPr>
          <w:rFonts w:eastAsia="Arial" w:cs="Arial"/>
          <w:color w:val="0000FF"/>
          <w:u w:val="single"/>
        </w:rPr>
        <w:t xml:space="preserve"> https://doi.org/10.1007/s10803-009-0696-5</w:t>
      </w:r>
    </w:p>
    <w:p w14:paraId="6E799390" w14:textId="77777777" w:rsidR="000509DC" w:rsidRPr="000509DC" w:rsidRDefault="000509DC" w:rsidP="00C679B1">
      <w:pPr>
        <w:pStyle w:val="Heading2"/>
      </w:pPr>
      <w:r w:rsidRPr="000509DC">
        <w:t>Outcome Studies</w:t>
      </w:r>
    </w:p>
    <w:p w14:paraId="491EDE38"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Anderson C, Hochheimer S, Warren Z, Butter E, Hyman SL, Wang H, Wallace L, Levato L, Martin R, Stephenson KG, Norris M, Jacqueline W, Smith T, Johnson CR. (2024). Comparative effectiveness trial: Modular </w:t>
      </w:r>
      <w:proofErr w:type="spellStart"/>
      <w:r w:rsidRPr="000509DC">
        <w:rPr>
          <w:rFonts w:eastAsia="Arial" w:cs="Arial"/>
          <w:color w:val="000000"/>
        </w:rPr>
        <w:t>behavior</w:t>
      </w:r>
      <w:proofErr w:type="spellEnd"/>
      <w:r w:rsidRPr="000509DC">
        <w:rPr>
          <w:rFonts w:eastAsia="Arial" w:cs="Arial"/>
          <w:color w:val="000000"/>
        </w:rPr>
        <w:t xml:space="preserve"> approach for young autistic children compared to comprehensive </w:t>
      </w:r>
      <w:proofErr w:type="spellStart"/>
      <w:r w:rsidRPr="000509DC">
        <w:rPr>
          <w:rFonts w:eastAsia="Arial" w:cs="Arial"/>
          <w:color w:val="000000"/>
        </w:rPr>
        <w:t>behavioral</w:t>
      </w:r>
      <w:proofErr w:type="spellEnd"/>
      <w:r w:rsidRPr="000509DC">
        <w:rPr>
          <w:rFonts w:eastAsia="Arial" w:cs="Arial"/>
          <w:color w:val="000000"/>
        </w:rPr>
        <w:t xml:space="preserve"> intervention. </w:t>
      </w:r>
      <w:r w:rsidRPr="000509DC">
        <w:rPr>
          <w:rFonts w:eastAsia="Arial" w:cs="Arial"/>
          <w:i/>
          <w:color w:val="000000"/>
        </w:rPr>
        <w:t>Autism Res</w:t>
      </w:r>
      <w:r w:rsidRPr="000509DC">
        <w:rPr>
          <w:rFonts w:eastAsia="Arial" w:cs="Arial"/>
          <w:color w:val="000000"/>
        </w:rPr>
        <w:t>, 17(11):2430-2446.</w:t>
      </w:r>
      <w:r w:rsidRPr="000509DC">
        <w:rPr>
          <w:rFonts w:eastAsia="Arial" w:cs="Arial"/>
          <w:color w:val="0000FF"/>
          <w:u w:val="single"/>
        </w:rPr>
        <w:t xml:space="preserve"> https://doi.org/10.1002/aur.3240</w:t>
      </w:r>
    </w:p>
    <w:p w14:paraId="403FE6BB"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Corona LL, Wagner L, Hooper M, Weitlauf A, Foster TE, Hine J, Miceli A, Nicholson A, Stone C, Vehorn A, Warren Z. (2024). A Randomized Trial of the Accuracy of Novel Telehealth Instruments for the Assessment of Autism in Toddlers. </w:t>
      </w:r>
      <w:r w:rsidRPr="000509DC">
        <w:rPr>
          <w:rFonts w:eastAsia="Arial" w:cs="Arial"/>
          <w:i/>
          <w:color w:val="000000"/>
        </w:rPr>
        <w:t xml:space="preserve">J Autism Dev </w:t>
      </w:r>
      <w:proofErr w:type="spellStart"/>
      <w:r w:rsidRPr="000509DC">
        <w:rPr>
          <w:rFonts w:eastAsia="Arial" w:cs="Arial"/>
          <w:i/>
          <w:color w:val="000000"/>
        </w:rPr>
        <w:t>Disord</w:t>
      </w:r>
      <w:proofErr w:type="spellEnd"/>
      <w:r w:rsidRPr="000509DC">
        <w:rPr>
          <w:rFonts w:eastAsia="Arial" w:cs="Arial"/>
          <w:color w:val="000000"/>
        </w:rPr>
        <w:t>, 54(6):2069-2080.</w:t>
      </w:r>
      <w:r w:rsidRPr="000509DC">
        <w:rPr>
          <w:rFonts w:eastAsia="Arial" w:cs="Arial"/>
          <w:color w:val="0000FF"/>
          <w:u w:val="single"/>
        </w:rPr>
        <w:t xml:space="preserve"> https://doi.org/10.1007/s10803-023-05908-9</w:t>
      </w:r>
    </w:p>
    <w:p w14:paraId="6E836C59"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Whitehouse AJO, </w:t>
      </w:r>
      <w:proofErr w:type="spellStart"/>
      <w:r w:rsidRPr="000509DC">
        <w:rPr>
          <w:rFonts w:eastAsia="Arial" w:cs="Arial"/>
          <w:color w:val="000000"/>
        </w:rPr>
        <w:t>Varcin</w:t>
      </w:r>
      <w:proofErr w:type="spellEnd"/>
      <w:r w:rsidRPr="000509DC">
        <w:rPr>
          <w:rFonts w:eastAsia="Arial" w:cs="Arial"/>
          <w:color w:val="000000"/>
        </w:rPr>
        <w:t xml:space="preserve"> KJ, Alvares GA, Barbaro J, Bent C, </w:t>
      </w:r>
      <w:proofErr w:type="spellStart"/>
      <w:r w:rsidRPr="000509DC">
        <w:rPr>
          <w:rFonts w:eastAsia="Arial" w:cs="Arial"/>
          <w:color w:val="000000"/>
        </w:rPr>
        <w:t>Boutrus</w:t>
      </w:r>
      <w:proofErr w:type="spellEnd"/>
      <w:r w:rsidRPr="000509DC">
        <w:rPr>
          <w:rFonts w:eastAsia="Arial" w:cs="Arial"/>
          <w:color w:val="000000"/>
        </w:rPr>
        <w:t xml:space="preserve"> M, Chetcuti L, Cooper MN, Clark A, Davidson E, Dimov S, Dissanayake C, Doyle J, Grant M, Iacono T, </w:t>
      </w:r>
      <w:proofErr w:type="spellStart"/>
      <w:r w:rsidRPr="000509DC">
        <w:rPr>
          <w:rFonts w:eastAsia="Arial" w:cs="Arial"/>
          <w:color w:val="000000"/>
        </w:rPr>
        <w:t>Maybery</w:t>
      </w:r>
      <w:proofErr w:type="spellEnd"/>
      <w:r w:rsidRPr="000509DC">
        <w:rPr>
          <w:rFonts w:eastAsia="Arial" w:cs="Arial"/>
          <w:color w:val="000000"/>
        </w:rPr>
        <w:t xml:space="preserve"> M, Pillar S, Renton M, Rowbottam C, </w:t>
      </w:r>
      <w:proofErr w:type="spellStart"/>
      <w:r w:rsidRPr="000509DC">
        <w:rPr>
          <w:rFonts w:eastAsia="Arial" w:cs="Arial"/>
          <w:color w:val="000000"/>
        </w:rPr>
        <w:t>Sadka</w:t>
      </w:r>
      <w:proofErr w:type="spellEnd"/>
      <w:r w:rsidRPr="000509DC">
        <w:rPr>
          <w:rFonts w:eastAsia="Arial" w:cs="Arial"/>
          <w:color w:val="000000"/>
        </w:rPr>
        <w:t xml:space="preserve"> N, Segal L, </w:t>
      </w:r>
      <w:proofErr w:type="spellStart"/>
      <w:r w:rsidRPr="000509DC">
        <w:rPr>
          <w:rFonts w:eastAsia="Arial" w:cs="Arial"/>
          <w:color w:val="000000"/>
        </w:rPr>
        <w:t>Slonims</w:t>
      </w:r>
      <w:proofErr w:type="spellEnd"/>
      <w:r w:rsidRPr="000509DC">
        <w:rPr>
          <w:rFonts w:eastAsia="Arial" w:cs="Arial"/>
          <w:color w:val="000000"/>
        </w:rPr>
        <w:t xml:space="preserve"> V, Taylor C, Wakeling S, Wan MW, Wray J, Green J, </w:t>
      </w:r>
      <w:proofErr w:type="spellStart"/>
      <w:r w:rsidRPr="000509DC">
        <w:rPr>
          <w:rFonts w:eastAsia="Arial" w:cs="Arial"/>
          <w:color w:val="000000"/>
        </w:rPr>
        <w:t>Hudry</w:t>
      </w:r>
      <w:proofErr w:type="spellEnd"/>
      <w:r w:rsidRPr="000509DC">
        <w:rPr>
          <w:rFonts w:eastAsia="Arial" w:cs="Arial"/>
          <w:color w:val="000000"/>
        </w:rPr>
        <w:t xml:space="preserve"> K. (2019). Pre-emptive intervention versus treatment as usual for infants showing early behavioural risk signs of autism spectrum disorder: a single-blind, randomised controlled trial. </w:t>
      </w:r>
      <w:r w:rsidRPr="000509DC">
        <w:rPr>
          <w:rFonts w:eastAsia="Arial" w:cs="Arial"/>
          <w:i/>
          <w:color w:val="000000"/>
        </w:rPr>
        <w:t xml:space="preserve">Lancet Child </w:t>
      </w:r>
      <w:proofErr w:type="spellStart"/>
      <w:r w:rsidRPr="000509DC">
        <w:rPr>
          <w:rFonts w:eastAsia="Arial" w:cs="Arial"/>
          <w:i/>
          <w:color w:val="000000"/>
        </w:rPr>
        <w:t>Adolesc</w:t>
      </w:r>
      <w:proofErr w:type="spellEnd"/>
      <w:r w:rsidRPr="000509DC">
        <w:rPr>
          <w:rFonts w:eastAsia="Arial" w:cs="Arial"/>
          <w:i/>
          <w:color w:val="000000"/>
        </w:rPr>
        <w:t xml:space="preserve"> Health</w:t>
      </w:r>
      <w:r w:rsidRPr="000509DC">
        <w:rPr>
          <w:rFonts w:eastAsia="Arial" w:cs="Arial"/>
          <w:color w:val="000000"/>
        </w:rPr>
        <w:t>, 3(9):605-615.</w:t>
      </w:r>
      <w:r w:rsidRPr="000509DC">
        <w:rPr>
          <w:rFonts w:eastAsia="Arial" w:cs="Arial"/>
          <w:color w:val="0000FF"/>
          <w:u w:val="single"/>
        </w:rPr>
        <w:t xml:space="preserve"> https://doi.org/10.1016/S2352-4642(19)30184-1</w:t>
      </w:r>
    </w:p>
    <w:p w14:paraId="42E0790F"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Scahill L, Bearss K, Lecavalier L, Smith T, </w:t>
      </w:r>
      <w:proofErr w:type="spellStart"/>
      <w:r w:rsidRPr="000509DC">
        <w:rPr>
          <w:rFonts w:eastAsia="Arial" w:cs="Arial"/>
          <w:color w:val="000000"/>
        </w:rPr>
        <w:t>Swiezy</w:t>
      </w:r>
      <w:proofErr w:type="spellEnd"/>
      <w:r w:rsidRPr="000509DC">
        <w:rPr>
          <w:rFonts w:eastAsia="Arial" w:cs="Arial"/>
          <w:color w:val="000000"/>
        </w:rPr>
        <w:t xml:space="preserve"> N, Aman MG, </w:t>
      </w:r>
      <w:proofErr w:type="spellStart"/>
      <w:r w:rsidRPr="000509DC">
        <w:rPr>
          <w:rFonts w:eastAsia="Arial" w:cs="Arial"/>
          <w:color w:val="000000"/>
        </w:rPr>
        <w:t>Sukhodolsky</w:t>
      </w:r>
      <w:proofErr w:type="spellEnd"/>
      <w:r w:rsidRPr="000509DC">
        <w:rPr>
          <w:rFonts w:eastAsia="Arial" w:cs="Arial"/>
          <w:color w:val="000000"/>
        </w:rPr>
        <w:t xml:space="preserve"> DG, McCracken C, </w:t>
      </w:r>
      <w:proofErr w:type="spellStart"/>
      <w:r w:rsidRPr="000509DC">
        <w:rPr>
          <w:rFonts w:eastAsia="Arial" w:cs="Arial"/>
          <w:color w:val="000000"/>
        </w:rPr>
        <w:t>Minshawi</w:t>
      </w:r>
      <w:proofErr w:type="spellEnd"/>
      <w:r w:rsidRPr="000509DC">
        <w:rPr>
          <w:rFonts w:eastAsia="Arial" w:cs="Arial"/>
          <w:color w:val="000000"/>
        </w:rPr>
        <w:t xml:space="preserve"> N, Turner K, Levato L, Saulnier C, Dziura J, Johnson C. (2016). Effect of Parent Training on Adaptive </w:t>
      </w:r>
      <w:proofErr w:type="spellStart"/>
      <w:r w:rsidRPr="000509DC">
        <w:rPr>
          <w:rFonts w:eastAsia="Arial" w:cs="Arial"/>
          <w:color w:val="000000"/>
        </w:rPr>
        <w:t>Behavior</w:t>
      </w:r>
      <w:proofErr w:type="spellEnd"/>
      <w:r w:rsidRPr="000509DC">
        <w:rPr>
          <w:rFonts w:eastAsia="Arial" w:cs="Arial"/>
          <w:color w:val="000000"/>
        </w:rPr>
        <w:t xml:space="preserve"> in Children </w:t>
      </w:r>
      <w:proofErr w:type="gramStart"/>
      <w:r w:rsidRPr="000509DC">
        <w:rPr>
          <w:rFonts w:eastAsia="Arial" w:cs="Arial"/>
          <w:color w:val="000000"/>
        </w:rPr>
        <w:t>With</w:t>
      </w:r>
      <w:proofErr w:type="gramEnd"/>
      <w:r w:rsidRPr="000509DC">
        <w:rPr>
          <w:rFonts w:eastAsia="Arial" w:cs="Arial"/>
          <w:color w:val="000000"/>
        </w:rPr>
        <w:t xml:space="preserve"> Autism Spectrum Disorder and Disruptive </w:t>
      </w:r>
      <w:proofErr w:type="spellStart"/>
      <w:r w:rsidRPr="000509DC">
        <w:rPr>
          <w:rFonts w:eastAsia="Arial" w:cs="Arial"/>
          <w:color w:val="000000"/>
        </w:rPr>
        <w:t>Behavior</w:t>
      </w:r>
      <w:proofErr w:type="spellEnd"/>
      <w:r w:rsidRPr="000509DC">
        <w:rPr>
          <w:rFonts w:eastAsia="Arial" w:cs="Arial"/>
          <w:color w:val="000000"/>
        </w:rPr>
        <w:t xml:space="preserve">: Results of a Randomized Trial. </w:t>
      </w:r>
      <w:r w:rsidRPr="000509DC">
        <w:rPr>
          <w:rFonts w:eastAsia="Arial" w:cs="Arial"/>
          <w:i/>
          <w:color w:val="000000"/>
        </w:rPr>
        <w:t xml:space="preserve">J Am </w:t>
      </w:r>
      <w:proofErr w:type="spellStart"/>
      <w:r w:rsidRPr="000509DC">
        <w:rPr>
          <w:rFonts w:eastAsia="Arial" w:cs="Arial"/>
          <w:i/>
          <w:color w:val="000000"/>
        </w:rPr>
        <w:t>Acad</w:t>
      </w:r>
      <w:proofErr w:type="spellEnd"/>
      <w:r w:rsidRPr="000509DC">
        <w:rPr>
          <w:rFonts w:eastAsia="Arial" w:cs="Arial"/>
          <w:i/>
          <w:color w:val="000000"/>
        </w:rPr>
        <w:t xml:space="preserve"> Child </w:t>
      </w:r>
      <w:proofErr w:type="spellStart"/>
      <w:r w:rsidRPr="000509DC">
        <w:rPr>
          <w:rFonts w:eastAsia="Arial" w:cs="Arial"/>
          <w:i/>
          <w:color w:val="000000"/>
        </w:rPr>
        <w:t>Adolesc</w:t>
      </w:r>
      <w:proofErr w:type="spellEnd"/>
      <w:r w:rsidRPr="000509DC">
        <w:rPr>
          <w:rFonts w:eastAsia="Arial" w:cs="Arial"/>
          <w:i/>
          <w:color w:val="000000"/>
        </w:rPr>
        <w:t xml:space="preserve"> Psychiatry</w:t>
      </w:r>
      <w:r w:rsidRPr="000509DC">
        <w:rPr>
          <w:rFonts w:eastAsia="Arial" w:cs="Arial"/>
          <w:color w:val="000000"/>
        </w:rPr>
        <w:t>, 55(7):602-609.e3.</w:t>
      </w:r>
      <w:r w:rsidRPr="000509DC">
        <w:rPr>
          <w:rFonts w:eastAsia="Arial" w:cs="Arial"/>
          <w:color w:val="0000FF"/>
          <w:u w:val="single"/>
        </w:rPr>
        <w:t xml:space="preserve"> https://doi.org/10.1016/j.jaac.2016.05.001</w:t>
      </w:r>
    </w:p>
    <w:p w14:paraId="38910F7D"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Bennett TA, Szatmari P, Georgiades K, Hanna S, Janus M, Georgiades S, Duku E, Bryson S, </w:t>
      </w:r>
      <w:proofErr w:type="spellStart"/>
      <w:r w:rsidRPr="000509DC">
        <w:rPr>
          <w:rFonts w:eastAsia="Arial" w:cs="Arial"/>
          <w:color w:val="000000"/>
        </w:rPr>
        <w:t>Fombonne</w:t>
      </w:r>
      <w:proofErr w:type="spellEnd"/>
      <w:r w:rsidRPr="000509DC">
        <w:rPr>
          <w:rFonts w:eastAsia="Arial" w:cs="Arial"/>
          <w:color w:val="000000"/>
        </w:rPr>
        <w:t xml:space="preserve"> E, Smith IM, Mirenda P, Volden J, Waddell C, Roberts W, Vaillancourt T, </w:t>
      </w:r>
      <w:proofErr w:type="spellStart"/>
      <w:r w:rsidRPr="000509DC">
        <w:rPr>
          <w:rFonts w:eastAsia="Arial" w:cs="Arial"/>
          <w:color w:val="000000"/>
        </w:rPr>
        <w:t>Zwaigenbaum</w:t>
      </w:r>
      <w:proofErr w:type="spellEnd"/>
      <w:r w:rsidRPr="000509DC">
        <w:rPr>
          <w:rFonts w:eastAsia="Arial" w:cs="Arial"/>
          <w:color w:val="000000"/>
        </w:rPr>
        <w:t xml:space="preserve"> L, </w:t>
      </w:r>
      <w:proofErr w:type="spellStart"/>
      <w:r w:rsidRPr="000509DC">
        <w:rPr>
          <w:rFonts w:eastAsia="Arial" w:cs="Arial"/>
          <w:color w:val="000000"/>
        </w:rPr>
        <w:t>Elsabbagh</w:t>
      </w:r>
      <w:proofErr w:type="spellEnd"/>
      <w:r w:rsidRPr="000509DC">
        <w:rPr>
          <w:rFonts w:eastAsia="Arial" w:cs="Arial"/>
          <w:color w:val="000000"/>
        </w:rPr>
        <w:t xml:space="preserve"> M, Thompson A; Pathways in ASD Study </w:t>
      </w:r>
      <w:r w:rsidRPr="000509DC">
        <w:rPr>
          <w:rFonts w:eastAsia="Arial" w:cs="Arial"/>
          <w:color w:val="000000"/>
        </w:rPr>
        <w:lastRenderedPageBreak/>
        <w:t xml:space="preserve">Team. (2015). Do reciprocal associations exist between social and language pathways in preschoolers with autism spectrum </w:t>
      </w:r>
      <w:proofErr w:type="gramStart"/>
      <w:r w:rsidRPr="000509DC">
        <w:rPr>
          <w:rFonts w:eastAsia="Arial" w:cs="Arial"/>
          <w:color w:val="000000"/>
        </w:rPr>
        <w:t>disorders?.</w:t>
      </w:r>
      <w:proofErr w:type="gramEnd"/>
      <w:r w:rsidRPr="000509DC">
        <w:rPr>
          <w:rFonts w:eastAsia="Arial" w:cs="Arial"/>
          <w:color w:val="000000"/>
        </w:rPr>
        <w:t xml:space="preserve"> </w:t>
      </w:r>
      <w:r w:rsidRPr="000509DC">
        <w:rPr>
          <w:rFonts w:eastAsia="Arial" w:cs="Arial"/>
          <w:i/>
          <w:color w:val="000000"/>
        </w:rPr>
        <w:t>J Child Psychol Psychiatry</w:t>
      </w:r>
      <w:r w:rsidRPr="000509DC">
        <w:rPr>
          <w:rFonts w:eastAsia="Arial" w:cs="Arial"/>
          <w:color w:val="000000"/>
        </w:rPr>
        <w:t>, 56(8):874-83.</w:t>
      </w:r>
      <w:r w:rsidRPr="000509DC">
        <w:rPr>
          <w:rFonts w:eastAsia="Arial" w:cs="Arial"/>
          <w:color w:val="0000FF"/>
          <w:u w:val="single"/>
        </w:rPr>
        <w:t xml:space="preserve"> https://doi.org/10.1111/jcpp.12356</w:t>
      </w:r>
    </w:p>
    <w:p w14:paraId="300BFC7D"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Eapen V, </w:t>
      </w:r>
      <w:proofErr w:type="spellStart"/>
      <w:r w:rsidRPr="000509DC">
        <w:rPr>
          <w:rFonts w:eastAsia="Arial" w:cs="Arial"/>
          <w:color w:val="000000"/>
        </w:rPr>
        <w:t>Crnčec</w:t>
      </w:r>
      <w:proofErr w:type="spellEnd"/>
      <w:r w:rsidRPr="000509DC">
        <w:rPr>
          <w:rFonts w:eastAsia="Arial" w:cs="Arial"/>
          <w:color w:val="000000"/>
        </w:rPr>
        <w:t xml:space="preserve"> R, Walter A. (2013). Clinical outcomes of an early intervention program for preschool children with </w:t>
      </w:r>
      <w:proofErr w:type="gramStart"/>
      <w:r w:rsidRPr="000509DC">
        <w:rPr>
          <w:rFonts w:eastAsia="Arial" w:cs="Arial"/>
          <w:color w:val="000000"/>
        </w:rPr>
        <w:t>Autism Spectrum Disorder</w:t>
      </w:r>
      <w:proofErr w:type="gramEnd"/>
      <w:r w:rsidRPr="000509DC">
        <w:rPr>
          <w:rFonts w:eastAsia="Arial" w:cs="Arial"/>
          <w:color w:val="000000"/>
        </w:rPr>
        <w:t xml:space="preserve"> in a community group setting. </w:t>
      </w:r>
      <w:r w:rsidRPr="000509DC">
        <w:rPr>
          <w:rFonts w:eastAsia="Arial" w:cs="Arial"/>
          <w:i/>
          <w:color w:val="000000"/>
        </w:rPr>
        <w:t xml:space="preserve">BMC </w:t>
      </w:r>
      <w:proofErr w:type="spellStart"/>
      <w:r w:rsidRPr="000509DC">
        <w:rPr>
          <w:rFonts w:eastAsia="Arial" w:cs="Arial"/>
          <w:i/>
          <w:color w:val="000000"/>
        </w:rPr>
        <w:t>Pediatr</w:t>
      </w:r>
      <w:proofErr w:type="spellEnd"/>
      <w:r w:rsidRPr="000509DC">
        <w:rPr>
          <w:rFonts w:eastAsia="Arial" w:cs="Arial"/>
          <w:color w:val="000000"/>
        </w:rPr>
        <w:t>, 13(1):3.</w:t>
      </w:r>
      <w:r w:rsidRPr="000509DC">
        <w:rPr>
          <w:rFonts w:eastAsia="Arial" w:cs="Arial"/>
          <w:color w:val="0000FF"/>
          <w:u w:val="single"/>
        </w:rPr>
        <w:t xml:space="preserve"> https://doi.org/10.1186/1471-2431-13-3</w:t>
      </w:r>
    </w:p>
    <w:p w14:paraId="56E2053A"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Reed P, Osborne LA, </w:t>
      </w:r>
      <w:proofErr w:type="spellStart"/>
      <w:r w:rsidRPr="000509DC">
        <w:rPr>
          <w:rFonts w:eastAsia="Arial" w:cs="Arial"/>
          <w:color w:val="000000"/>
        </w:rPr>
        <w:t>Corness</w:t>
      </w:r>
      <w:proofErr w:type="spellEnd"/>
      <w:r w:rsidRPr="000509DC">
        <w:rPr>
          <w:rFonts w:eastAsia="Arial" w:cs="Arial"/>
          <w:color w:val="000000"/>
        </w:rPr>
        <w:t xml:space="preserve"> M. (2010). Effectiveness of special nursery provision for children with autism spectrum disorders. </w:t>
      </w:r>
      <w:r w:rsidRPr="000509DC">
        <w:rPr>
          <w:rFonts w:eastAsia="Arial" w:cs="Arial"/>
          <w:i/>
          <w:color w:val="000000"/>
        </w:rPr>
        <w:t>Autism</w:t>
      </w:r>
      <w:r w:rsidRPr="000509DC">
        <w:rPr>
          <w:rFonts w:eastAsia="Arial" w:cs="Arial"/>
          <w:color w:val="000000"/>
        </w:rPr>
        <w:t>, 14(1):67-82.</w:t>
      </w:r>
      <w:r w:rsidRPr="000509DC">
        <w:rPr>
          <w:rFonts w:eastAsia="Arial" w:cs="Arial"/>
          <w:color w:val="0000FF"/>
          <w:u w:val="single"/>
        </w:rPr>
        <w:t xml:space="preserve"> https://doi.org/10.1177/1362361309340030</w:t>
      </w:r>
    </w:p>
    <w:p w14:paraId="37EF564A" w14:textId="77777777" w:rsidR="000509DC" w:rsidRPr="000509DC" w:rsidRDefault="000509DC" w:rsidP="000509DC">
      <w:pPr>
        <w:pBdr>
          <w:top w:val="none" w:sz="0" w:space="0" w:color="000000"/>
          <w:left w:val="none" w:sz="0" w:space="0" w:color="000000"/>
          <w:bottom w:val="none" w:sz="0" w:space="0" w:color="000000"/>
          <w:right w:val="none" w:sz="0" w:space="0" w:color="000000"/>
        </w:pBdr>
        <w:rPr>
          <w:rFonts w:asciiTheme="minorHAnsi" w:hAnsiTheme="minorHAnsi"/>
        </w:rPr>
      </w:pPr>
      <w:r w:rsidRPr="000509DC">
        <w:rPr>
          <w:rFonts w:eastAsia="Arial" w:cs="Arial"/>
          <w:color w:val="000000"/>
        </w:rPr>
        <w:t xml:space="preserve">Kim HU. (2008). Development of early language and motor skills in preschool children with autism. </w:t>
      </w:r>
      <w:r w:rsidRPr="000509DC">
        <w:rPr>
          <w:rFonts w:eastAsia="Arial" w:cs="Arial"/>
          <w:i/>
          <w:color w:val="000000"/>
        </w:rPr>
        <w:t>Percept Mot Skills</w:t>
      </w:r>
      <w:r w:rsidRPr="000509DC">
        <w:rPr>
          <w:rFonts w:eastAsia="Arial" w:cs="Arial"/>
          <w:color w:val="000000"/>
        </w:rPr>
        <w:t>, 107(2):403-6.</w:t>
      </w:r>
      <w:r w:rsidRPr="000509DC">
        <w:rPr>
          <w:rFonts w:eastAsia="Arial" w:cs="Arial"/>
          <w:color w:val="0000FF"/>
          <w:u w:val="single"/>
        </w:rPr>
        <w:t xml:space="preserve"> https://doi.org/10.2466/pms.107.2.403-406</w:t>
      </w:r>
    </w:p>
    <w:p w14:paraId="73CE3503" w14:textId="77777777" w:rsidR="000509DC" w:rsidRPr="000509DC" w:rsidRDefault="000509DC" w:rsidP="000509DC">
      <w:pPr>
        <w:rPr>
          <w:rFonts w:asciiTheme="minorHAnsi" w:hAnsiTheme="minorHAnsi"/>
        </w:rPr>
      </w:pPr>
    </w:p>
    <w:p w14:paraId="79C0D09B" w14:textId="77777777" w:rsidR="003A34C3" w:rsidRDefault="00E82CC2" w:rsidP="008C5644">
      <w:pPr>
        <w:rPr>
          <w:rFonts w:cs="Arial"/>
          <w:sz w:val="22"/>
          <w:szCs w:val="22"/>
        </w:rPr>
        <w:sectPr w:rsidR="003A34C3" w:rsidSect="00B46A56">
          <w:pgSz w:w="11906" w:h="16838"/>
          <w:pgMar w:top="1440" w:right="1440" w:bottom="1440" w:left="1440" w:header="708" w:footer="708" w:gutter="0"/>
          <w:cols w:space="708"/>
          <w:docGrid w:linePitch="360"/>
        </w:sectPr>
      </w:pPr>
      <w:r>
        <w:rPr>
          <w:rFonts w:cs="Arial"/>
          <w:sz w:val="22"/>
          <w:szCs w:val="22"/>
        </w:rPr>
        <w:br w:type="page"/>
      </w:r>
    </w:p>
    <w:p w14:paraId="046A11F6" w14:textId="77777777" w:rsidR="00C2301D" w:rsidRDefault="00C2301D"/>
    <w:p w14:paraId="0A9F9BF1" w14:textId="77777777" w:rsidR="003A34C3" w:rsidRDefault="003A34C3"/>
    <w:p w14:paraId="1432D2AE" w14:textId="77777777" w:rsidR="008F74FE" w:rsidRDefault="008F74FE" w:rsidP="008F74FE">
      <w:pPr>
        <w:spacing w:line="336" w:lineRule="auto"/>
      </w:pPr>
    </w:p>
    <w:p w14:paraId="64F002D9" w14:textId="77777777" w:rsidR="00B46A56" w:rsidRDefault="00B46A56">
      <w:pPr>
        <w:jc w:val="center"/>
      </w:pPr>
      <w:r>
        <w:rPr>
          <w:noProof/>
        </w:rPr>
        <w:drawing>
          <wp:anchor distT="0" distB="0" distL="114300" distR="114300" simplePos="0" relativeHeight="251658253" behindDoc="0" locked="1" layoutInCell="1" allowOverlap="1" wp14:anchorId="7BCE86C3" wp14:editId="3D14CF5E">
            <wp:simplePos x="0" y="0"/>
            <wp:positionH relativeFrom="page">
              <wp:posOffset>0</wp:posOffset>
            </wp:positionH>
            <wp:positionV relativeFrom="page">
              <wp:posOffset>2559685</wp:posOffset>
            </wp:positionV>
            <wp:extent cx="7563485" cy="935990"/>
            <wp:effectExtent l="0" t="0" r="5715" b="3810"/>
            <wp:wrapNone/>
            <wp:docPr id="1542275313"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1" locked="1" layoutInCell="1" allowOverlap="1" wp14:anchorId="62640B9C" wp14:editId="331E3DEF">
            <wp:simplePos x="0" y="0"/>
            <wp:positionH relativeFrom="page">
              <wp:posOffset>0</wp:posOffset>
            </wp:positionH>
            <wp:positionV relativeFrom="page">
              <wp:posOffset>0</wp:posOffset>
            </wp:positionV>
            <wp:extent cx="7563485" cy="2267585"/>
            <wp:effectExtent l="0" t="0" r="5715" b="5715"/>
            <wp:wrapNone/>
            <wp:docPr id="57448682" name="Drawing 0" descr="National Best Practice Framework for Early Childhood Intervention&#10;Outcome measur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6943" name="Drawing 0" descr="National Best Practice Framework for Early Childhood Intervention&#10;Outcome measure for children"/>
                    <pic:cNvPicPr>
                      <a:picLocks noChangeAspect="1"/>
                    </pic:cNvPicPr>
                  </pic:nvPicPr>
                  <pic:blipFill>
                    <a:blip r:embed="rId14"/>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66AA3D3D" w14:textId="77777777" w:rsidR="00B46A56" w:rsidRDefault="00B46A56">
      <w:pPr>
        <w:jc w:val="center"/>
      </w:pPr>
    </w:p>
    <w:p w14:paraId="2BFC280D" w14:textId="3FE0FA23" w:rsidR="00B46A56" w:rsidRDefault="00FC4BA4">
      <w:pPr>
        <w:tabs>
          <w:tab w:val="left" w:pos="5465"/>
        </w:tabs>
        <w:spacing w:line="300" w:lineRule="auto"/>
      </w:pPr>
      <w:r>
        <w:rPr>
          <w:noProof/>
        </w:rPr>
        <mc:AlternateContent>
          <mc:Choice Requires="wps">
            <w:drawing>
              <wp:anchor distT="0" distB="0" distL="114300" distR="114300" simplePos="0" relativeHeight="251658254" behindDoc="0" locked="0" layoutInCell="1" allowOverlap="1" wp14:anchorId="2A3AC0A2" wp14:editId="2BA210D8">
                <wp:simplePos x="0" y="0"/>
                <wp:positionH relativeFrom="column">
                  <wp:posOffset>50800</wp:posOffset>
                </wp:positionH>
                <wp:positionV relativeFrom="paragraph">
                  <wp:posOffset>299456</wp:posOffset>
                </wp:positionV>
                <wp:extent cx="6470650" cy="882650"/>
                <wp:effectExtent l="0" t="0" r="0" b="0"/>
                <wp:wrapNone/>
                <wp:docPr id="448388211" name="Text Box 1"/>
                <wp:cNvGraphicFramePr/>
                <a:graphic xmlns:a="http://schemas.openxmlformats.org/drawingml/2006/main">
                  <a:graphicData uri="http://schemas.microsoft.com/office/word/2010/wordprocessingShape">
                    <wps:wsp>
                      <wps:cNvSpPr txBox="1"/>
                      <wps:spPr>
                        <a:xfrm>
                          <a:off x="0" y="0"/>
                          <a:ext cx="6470650" cy="882650"/>
                        </a:xfrm>
                        <a:prstGeom prst="rect">
                          <a:avLst/>
                        </a:prstGeom>
                        <a:noFill/>
                        <a:ln w="6350">
                          <a:noFill/>
                        </a:ln>
                      </wps:spPr>
                      <wps:txbx>
                        <w:txbxContent>
                          <w:p w14:paraId="025DD639" w14:textId="7FE2C4F1" w:rsidR="00B46A56" w:rsidRPr="003A34C3" w:rsidRDefault="00B46A56">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AC0A2" id="_x0000_s1040" type="#_x0000_t202" style="position:absolute;margin-left:4pt;margin-top:23.6pt;width:509.5pt;height:6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" filled="f" stroked="f" strokeweight=".5pt">
                <v:textbox>
                  <w:txbxContent>
                    <w:p w14:paraId="025DD639" w14:textId="7FE2C4F1" w:rsidR="00B46A56" w:rsidRPr="003A34C3" w:rsidRDefault="00B46A56">
                      <w:pPr>
                        <w:rPr>
                          <w:rFonts w:cs="Arial"/>
                          <w:color w:val="0E2841" w:themeColor="text2"/>
                          <w:sz w:val="22"/>
                          <w:szCs w:val="22"/>
                        </w:rPr>
                      </w:pPr>
                      <w:r w:rsidRPr="00B73670">
                        <w:rPr>
                          <w:rFonts w:cs="Arial"/>
                          <w:color w:val="0E2841" w:themeColor="text2"/>
                          <w:sz w:val="22"/>
                          <w:szCs w:val="22"/>
                        </w:rPr>
                        <w:t xml:space="preserve">This is one measure in the </w:t>
                      </w:r>
                      <w:r w:rsidRPr="00B73670">
                        <w:rPr>
                          <w:rFonts w:cs="Arial"/>
                          <w:b/>
                          <w:bCs/>
                          <w:color w:val="0E2841" w:themeColor="text2"/>
                          <w:sz w:val="22"/>
                          <w:szCs w:val="22"/>
                        </w:rPr>
                        <w:t>Outcome Measures for Children</w:t>
                      </w:r>
                      <w:r w:rsidRPr="00B73670">
                        <w:rPr>
                          <w:rFonts w:cs="Arial"/>
                          <w:color w:val="0E2841" w:themeColor="text2"/>
                          <w:sz w:val="22"/>
                          <w:szCs w:val="22"/>
                        </w:rPr>
                        <w:t xml:space="preserve"> suite. What is measured needs to be based on the priorities and goals of the child. The </w:t>
                      </w:r>
                      <w:r w:rsidRPr="00B73670">
                        <w:rPr>
                          <w:rFonts w:cs="Arial"/>
                          <w:b/>
                          <w:bCs/>
                          <w:color w:val="0E2841" w:themeColor="text2"/>
                          <w:sz w:val="22"/>
                          <w:szCs w:val="22"/>
                        </w:rPr>
                        <w:t>Decision-Making Guide</w:t>
                      </w:r>
                      <w:r w:rsidRPr="00B73670">
                        <w:rPr>
                          <w:rFonts w:cs="Arial"/>
                          <w:color w:val="0E2841" w:themeColor="text2"/>
                          <w:sz w:val="22"/>
                          <w:szCs w:val="22"/>
                        </w:rPr>
                        <w:t xml:space="preserve"> can support your choice, and the </w:t>
                      </w:r>
                      <w:r w:rsidRPr="00B73670">
                        <w:rPr>
                          <w:rFonts w:cs="Arial"/>
                          <w:b/>
                          <w:bCs/>
                          <w:color w:val="0E2841" w:themeColor="text2"/>
                          <w:sz w:val="22"/>
                          <w:szCs w:val="22"/>
                        </w:rPr>
                        <w:t>Measurement Overview</w:t>
                      </w:r>
                      <w:r w:rsidRPr="00B73670">
                        <w:rPr>
                          <w:rFonts w:cs="Arial"/>
                          <w:color w:val="0E2841" w:themeColor="text2"/>
                          <w:sz w:val="22"/>
                          <w:szCs w:val="22"/>
                        </w:rPr>
                        <w:t xml:space="preserve"> provides information about choosing and using outcome measures.</w:t>
                      </w:r>
                    </w:p>
                  </w:txbxContent>
                </v:textbox>
              </v:shape>
            </w:pict>
          </mc:Fallback>
        </mc:AlternateContent>
      </w:r>
      <w:r w:rsidR="00B46A56">
        <w:rPr>
          <w:rFonts w:ascii="Arial Bold" w:eastAsia="Arial Bold" w:hAnsi="Arial Bold" w:cs="Arial Bold"/>
          <w:b/>
          <w:bCs/>
          <w:color w:val="000F46"/>
          <w:sz w:val="40"/>
          <w:szCs w:val="40"/>
        </w:rPr>
        <w:t xml:space="preserve"> </w:t>
      </w:r>
      <w:r w:rsidR="00B46A56">
        <w:rPr>
          <w:rFonts w:ascii="Arial Bold" w:eastAsia="Arial Bold" w:hAnsi="Arial Bold" w:cs="Arial Bold"/>
          <w:b/>
          <w:bCs/>
          <w:color w:val="000F46"/>
          <w:sz w:val="40"/>
          <w:szCs w:val="40"/>
        </w:rPr>
        <w:tab/>
      </w:r>
    </w:p>
    <w:p w14:paraId="03993ADE" w14:textId="017FD8FB" w:rsidR="00B46A56" w:rsidRDefault="00B46A56">
      <w:pPr>
        <w:spacing w:line="300" w:lineRule="auto"/>
      </w:pPr>
      <w:r>
        <w:rPr>
          <w:rFonts w:ascii="Canva Sans" w:eastAsia="Canva Sans" w:hAnsi="Canva Sans" w:cs="Canva Sans"/>
          <w:color w:val="000000"/>
        </w:rPr>
        <w:t xml:space="preserve"> </w:t>
      </w:r>
    </w:p>
    <w:p w14:paraId="2873F658" w14:textId="5EA37589" w:rsidR="00B46A56" w:rsidRDefault="00B46A56">
      <w:pPr>
        <w:spacing w:line="300" w:lineRule="auto"/>
        <w:rPr>
          <w:rFonts w:eastAsia="Canva Sans" w:cs="Arial"/>
          <w:b/>
          <w:bCs/>
          <w:color w:val="000000"/>
          <w:sz w:val="36"/>
          <w:szCs w:val="36"/>
        </w:rPr>
      </w:pPr>
    </w:p>
    <w:p w14:paraId="0D03D718" w14:textId="77777777" w:rsidR="00873A4E" w:rsidRDefault="00873A4E" w:rsidP="00873A4E">
      <w:pPr>
        <w:rPr>
          <w:lang w:eastAsia="en-US"/>
        </w:rPr>
      </w:pPr>
      <w:bookmarkStart w:id="68" w:name="_Young_Children’s_Participation"/>
      <w:bookmarkEnd w:id="68"/>
    </w:p>
    <w:p w14:paraId="55455968" w14:textId="05D9BBBC" w:rsidR="00B46A56" w:rsidRPr="00606194" w:rsidRDefault="00B46A56" w:rsidP="00C24AED">
      <w:pPr>
        <w:pStyle w:val="Heading1"/>
        <w:rPr>
          <w:lang w:eastAsia="en-US"/>
        </w:rPr>
      </w:pPr>
      <w:r w:rsidRPr="00606194">
        <w:rPr>
          <w:lang w:eastAsia="en-US"/>
        </w:rPr>
        <w:t>Young Children’s Participation and Environment Measure (YC-PEM)</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B46A56" w:rsidRPr="000F4843" w14:paraId="0CE327ED"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6083D554" w14:textId="77777777" w:rsidR="00B46A56" w:rsidRPr="000F4843" w:rsidRDefault="00B46A56">
            <w:pPr>
              <w:spacing w:after="100"/>
              <w:ind w:left="57" w:right="57"/>
              <w:rPr>
                <w:rFonts w:eastAsia="Aptos" w:cs="Arial"/>
                <w:b/>
                <w:bCs/>
                <w:lang w:eastAsia="en-US"/>
              </w:rPr>
            </w:pPr>
            <w:r w:rsidRPr="000F4843">
              <w:rPr>
                <w:rFonts w:eastAsia="Aptos" w:cs="Arial"/>
                <w:b/>
                <w:bCs/>
                <w:lang w:eastAsia="en-U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3C9BDC98" w14:textId="77777777" w:rsidR="00B46A56" w:rsidRPr="000F4843" w:rsidRDefault="00B46A56" w:rsidP="003A34C3">
            <w:pPr>
              <w:spacing w:after="100"/>
              <w:ind w:left="57"/>
              <w:rPr>
                <w:rFonts w:eastAsia="Aptos" w:cs="Arial"/>
                <w:b/>
                <w:bCs/>
                <w:lang w:eastAsia="en-US"/>
              </w:rPr>
            </w:pPr>
            <w:r w:rsidRPr="000F4843">
              <w:rPr>
                <w:rFonts w:eastAsia="Aptos" w:cs="Arial"/>
                <w:b/>
                <w:bCs/>
                <w:lang w:eastAsia="en-US"/>
              </w:rPr>
              <w:t>Children:</w:t>
            </w:r>
          </w:p>
          <w:p w14:paraId="426A8E55" w14:textId="69627E79" w:rsidR="00B46A56" w:rsidRPr="000F4843" w:rsidRDefault="000C0FD5" w:rsidP="003A34C3">
            <w:pPr>
              <w:numPr>
                <w:ilvl w:val="0"/>
                <w:numId w:val="5"/>
              </w:numPr>
              <w:spacing w:after="100"/>
              <w:ind w:left="57"/>
              <w:rPr>
                <w:rFonts w:eastAsia="Aptos" w:cs="Arial"/>
                <w:lang w:eastAsia="en-US"/>
              </w:rPr>
            </w:pPr>
            <w:r>
              <w:rPr>
                <w:rFonts w:eastAsia="Aptos" w:cs="Arial"/>
                <w:lang w:eastAsia="en-US"/>
              </w:rPr>
              <w:t xml:space="preserve">- </w:t>
            </w:r>
            <w:r w:rsidR="00FE012F">
              <w:rPr>
                <w:rFonts w:eastAsia="Aptos" w:cs="Arial"/>
                <w:lang w:eastAsia="en-US"/>
              </w:rPr>
              <w:t>p</w:t>
            </w:r>
            <w:r w:rsidR="00B46A56" w:rsidRPr="000F4843">
              <w:rPr>
                <w:rFonts w:eastAsia="Aptos" w:cs="Arial"/>
                <w:lang w:eastAsia="en-US"/>
              </w:rPr>
              <w:t>articipate and feel they belong in everyday home, community, ECEC and school environments</w:t>
            </w:r>
          </w:p>
        </w:tc>
      </w:tr>
    </w:tbl>
    <w:p w14:paraId="017F68CC" w14:textId="791CCE05" w:rsidR="00B46A56" w:rsidRPr="000F4843" w:rsidRDefault="00B46A56" w:rsidP="00C24AED">
      <w:pPr>
        <w:pStyle w:val="Heading1"/>
        <w:rPr>
          <w:lang w:eastAsia="en-US"/>
        </w:rPr>
      </w:pPr>
      <w:r w:rsidRPr="000F4843">
        <w:rPr>
          <w:lang w:eastAsia="en-US"/>
        </w:rPr>
        <w:t xml:space="preserve">YC-PEM Overview </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B46A56" w:rsidRPr="000F4843" w14:paraId="25BBFD86"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0FE40858" w14:textId="77777777" w:rsidR="00B46A56" w:rsidRPr="000F4843" w:rsidRDefault="00B46A56">
            <w:pPr>
              <w:spacing w:after="100"/>
              <w:ind w:left="57" w:right="57"/>
              <w:rPr>
                <w:rFonts w:eastAsia="Aptos" w:cs="Arial"/>
                <w:lang w:eastAsia="en-US"/>
              </w:rPr>
            </w:pPr>
            <w:r w:rsidRPr="000F4843">
              <w:rPr>
                <w:rFonts w:eastAsia="Aptos" w:cs="Arial"/>
                <w:b/>
                <w:bCs/>
                <w:lang w:eastAsia="en-US"/>
              </w:rPr>
              <w:t>General description</w:t>
            </w:r>
            <w:r w:rsidRPr="000F4843">
              <w:rPr>
                <w:rFonts w:eastAsia="Aptos" w:cs="Arial"/>
                <w:lang w:eastAsia="en-US"/>
              </w:rPr>
              <w:t>  </w:t>
            </w:r>
          </w:p>
          <w:p w14:paraId="3A20CE38" w14:textId="77777777" w:rsidR="00B46A56" w:rsidRPr="000F4843" w:rsidRDefault="00B46A56">
            <w:pPr>
              <w:spacing w:after="100" w:line="276" w:lineRule="auto"/>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17940CCE" w14:textId="77777777" w:rsidR="00B46A56" w:rsidRPr="000F4843" w:rsidRDefault="00B46A56">
            <w:pPr>
              <w:spacing w:after="100"/>
              <w:ind w:left="57" w:right="57"/>
              <w:rPr>
                <w:rFonts w:eastAsia="Aptos" w:cs="Arial"/>
                <w:lang w:eastAsia="en-US"/>
              </w:rPr>
            </w:pPr>
            <w:r w:rsidRPr="000F4843">
              <w:rPr>
                <w:rFonts w:eastAsia="Aptos" w:cs="Arial"/>
                <w:lang w:eastAsia="en-US"/>
              </w:rPr>
              <w:t>The Young Children's Participation and Environment Measure (YC-PEM) is a measure designed to evaluate the participation of young children in various activities and the environmental factors that influence their participation. The YC-PEM assesses participation across home, daycare/preschool, and community settings.</w:t>
            </w:r>
          </w:p>
        </w:tc>
      </w:tr>
      <w:tr w:rsidR="00B46A56" w:rsidRPr="000F4843" w14:paraId="2E7AFC53"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37F9CA7B" w14:textId="77777777" w:rsidR="00B46A56" w:rsidRPr="000F4843" w:rsidRDefault="00B46A56">
            <w:pPr>
              <w:spacing w:after="100"/>
              <w:ind w:left="57" w:right="57"/>
              <w:rPr>
                <w:rFonts w:eastAsia="Aptos" w:cs="Arial"/>
                <w:b/>
                <w:bCs/>
                <w:lang w:eastAsia="en-US"/>
              </w:rPr>
            </w:pPr>
            <w:r w:rsidRPr="000F4843">
              <w:rPr>
                <w:rFonts w:eastAsia="Aptos" w:cs="Arial"/>
                <w:b/>
                <w:bCs/>
                <w:lang w:eastAsia="en-US"/>
              </w:rPr>
              <w:t>Ages</w:t>
            </w:r>
          </w:p>
        </w:tc>
        <w:tc>
          <w:tcPr>
            <w:tcW w:w="7075" w:type="dxa"/>
            <w:tcBorders>
              <w:top w:val="single" w:sz="6" w:space="0" w:color="auto"/>
              <w:left w:val="single" w:sz="6" w:space="0" w:color="auto"/>
              <w:bottom w:val="single" w:sz="6" w:space="0" w:color="auto"/>
              <w:right w:val="single" w:sz="6" w:space="0" w:color="auto"/>
            </w:tcBorders>
          </w:tcPr>
          <w:p w14:paraId="04D9B17F" w14:textId="77777777" w:rsidR="00B46A56" w:rsidRPr="000F4843" w:rsidRDefault="00B46A56">
            <w:pPr>
              <w:spacing w:after="100"/>
              <w:ind w:left="57" w:right="57"/>
              <w:rPr>
                <w:rFonts w:eastAsia="Aptos" w:cs="Arial"/>
                <w:lang w:eastAsia="en-US"/>
              </w:rPr>
            </w:pPr>
            <w:r w:rsidRPr="000F4843">
              <w:rPr>
                <w:rFonts w:eastAsia="Aptos" w:cs="Arial"/>
                <w:lang w:eastAsia="en-US"/>
              </w:rPr>
              <w:t xml:space="preserve">The YC-PEM is designed for children aged 0 to 5 years. </w:t>
            </w:r>
          </w:p>
        </w:tc>
      </w:tr>
      <w:tr w:rsidR="00B46A56" w:rsidRPr="000F4843" w14:paraId="15C974B4"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3F2ED5EB" w14:textId="77777777" w:rsidR="00B46A56" w:rsidRPr="000F4843" w:rsidRDefault="00B46A56">
            <w:pPr>
              <w:spacing w:after="100"/>
              <w:ind w:left="57" w:right="57"/>
              <w:rPr>
                <w:rFonts w:eastAsia="Aptos" w:cs="Arial"/>
                <w:lang w:eastAsia="en-US"/>
              </w:rPr>
            </w:pPr>
            <w:r w:rsidRPr="000F4843">
              <w:rPr>
                <w:rFonts w:eastAsia="Aptos" w:cs="Arial"/>
                <w:b/>
                <w:bCs/>
                <w:lang w:eastAsia="en-US"/>
              </w:rPr>
              <w:t>Domains / subscales </w:t>
            </w:r>
            <w:r w:rsidRPr="000F4843">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tcPr>
          <w:p w14:paraId="02D16314" w14:textId="77777777" w:rsidR="00B46A56" w:rsidRPr="000F4843" w:rsidRDefault="00B46A56">
            <w:pPr>
              <w:spacing w:after="100"/>
              <w:ind w:left="57" w:right="57"/>
              <w:rPr>
                <w:rFonts w:eastAsia="Aptos" w:cs="Arial"/>
                <w:lang w:eastAsia="en-US"/>
              </w:rPr>
            </w:pPr>
            <w:r w:rsidRPr="000F4843">
              <w:rPr>
                <w:rFonts w:eastAsia="Aptos" w:cs="Arial"/>
                <w:lang w:eastAsia="en-US"/>
              </w:rPr>
              <w:t xml:space="preserve">The YC-PEM consists of Participation Scales and an Environment Scale. </w:t>
            </w:r>
          </w:p>
          <w:p w14:paraId="35D2AD6A" w14:textId="77777777" w:rsidR="00B46A56" w:rsidRPr="000F4843" w:rsidRDefault="00B46A56">
            <w:pPr>
              <w:spacing w:after="100"/>
              <w:ind w:left="57" w:right="57"/>
              <w:rPr>
                <w:rFonts w:eastAsia="Aptos" w:cs="Arial"/>
                <w:lang w:eastAsia="en-US"/>
              </w:rPr>
            </w:pPr>
            <w:r w:rsidRPr="000F4843">
              <w:rPr>
                <w:rFonts w:eastAsia="Aptos" w:cs="Arial"/>
                <w:lang w:eastAsia="en-US"/>
              </w:rPr>
              <w:t xml:space="preserve">The YC-PEM Participation Scales have three subscales: Frequency of Participation, Level of Involvement and Desire for Change. </w:t>
            </w:r>
          </w:p>
          <w:p w14:paraId="6E53895C" w14:textId="77777777" w:rsidR="00B46A56" w:rsidRPr="000F4843" w:rsidRDefault="00B46A56">
            <w:pPr>
              <w:spacing w:after="100"/>
              <w:ind w:left="57" w:right="57"/>
              <w:rPr>
                <w:rFonts w:eastAsia="Aptos" w:cs="Arial"/>
                <w:lang w:eastAsia="en-US"/>
              </w:rPr>
            </w:pPr>
            <w:r w:rsidRPr="000F4843">
              <w:rPr>
                <w:rFonts w:eastAsia="Aptos" w:cs="Arial"/>
                <w:lang w:eastAsia="en-US"/>
              </w:rPr>
              <w:t>The YC-PEM Environment Scale has one subscale: Environmental Support.</w:t>
            </w:r>
          </w:p>
        </w:tc>
      </w:tr>
      <w:tr w:rsidR="00B46A56" w:rsidRPr="000F4843" w14:paraId="342D59DB"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6C8ECE9E" w14:textId="77777777" w:rsidR="00B46A56" w:rsidRPr="000F4843" w:rsidRDefault="00B46A56">
            <w:pPr>
              <w:spacing w:after="100"/>
              <w:ind w:left="57" w:right="57"/>
              <w:rPr>
                <w:rFonts w:eastAsia="Aptos" w:cs="Arial"/>
                <w:lang w:eastAsia="en-US"/>
              </w:rPr>
            </w:pPr>
            <w:r w:rsidRPr="000F4843">
              <w:rPr>
                <w:rFonts w:eastAsia="Aptos" w:cs="Arial"/>
                <w:b/>
                <w:bCs/>
                <w:lang w:eastAsia="en-US"/>
              </w:rPr>
              <w:lastRenderedPageBreak/>
              <w:t>Cultural adaptation </w:t>
            </w:r>
            <w:r w:rsidRPr="000F4843">
              <w:rPr>
                <w:rFonts w:eastAsia="Aptos" w:cs="Arial"/>
                <w:lang w:eastAsia="en-US"/>
              </w:rPr>
              <w:t> </w:t>
            </w:r>
          </w:p>
          <w:p w14:paraId="3D996A33" w14:textId="77777777" w:rsidR="00B46A56" w:rsidRPr="000F4843" w:rsidRDefault="00B46A56">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418C0875" w14:textId="77777777" w:rsidR="00B46A56" w:rsidRPr="000F4843" w:rsidRDefault="00B46A56">
            <w:pPr>
              <w:spacing w:after="100"/>
              <w:ind w:left="57" w:right="57"/>
              <w:rPr>
                <w:rFonts w:eastAsia="Aptos" w:cs="Arial"/>
                <w:lang w:eastAsia="en-US"/>
              </w:rPr>
            </w:pPr>
            <w:r w:rsidRPr="000F4843">
              <w:rPr>
                <w:rFonts w:eastAsia="Aptos" w:cs="Arial"/>
                <w:lang w:eastAsia="en-US"/>
              </w:rPr>
              <w:t>The YC-PEM has been translated into Brazilian Portuguese, Chinese, French (Canadian), German, Hebrew, Italian, Japanese, Serbian, Spanish and Turkish.</w:t>
            </w:r>
          </w:p>
        </w:tc>
      </w:tr>
      <w:tr w:rsidR="00B46A56" w:rsidRPr="000F4843" w14:paraId="5862821B"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4ADCE8DF" w14:textId="77777777" w:rsidR="00B46A56" w:rsidRPr="000F4843" w:rsidRDefault="00B46A56">
            <w:pPr>
              <w:spacing w:after="100"/>
              <w:ind w:left="57" w:right="57"/>
              <w:rPr>
                <w:rFonts w:eastAsia="Aptos" w:cs="Arial"/>
                <w:lang w:eastAsia="en-US"/>
              </w:rPr>
            </w:pPr>
            <w:r w:rsidRPr="000F4843">
              <w:rPr>
                <w:rFonts w:eastAsia="Aptos" w:cs="Arial"/>
                <w:b/>
                <w:bCs/>
                <w:lang w:eastAsia="en-US"/>
              </w:rPr>
              <w:t>Administration</w:t>
            </w:r>
            <w:r w:rsidRPr="000F4843">
              <w:rPr>
                <w:rFonts w:eastAsia="Aptos" w:cs="Arial"/>
                <w:lang w:eastAsia="en-US"/>
              </w:rPr>
              <w:t>  </w:t>
            </w:r>
          </w:p>
          <w:p w14:paraId="17DE8356" w14:textId="77777777" w:rsidR="00B46A56" w:rsidRPr="000F4843" w:rsidRDefault="00B46A56">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4E61494A" w14:textId="77777777" w:rsidR="00B46A56" w:rsidRPr="000F4843" w:rsidRDefault="00B46A56">
            <w:pPr>
              <w:spacing w:after="100"/>
              <w:ind w:left="57" w:right="57"/>
              <w:rPr>
                <w:rFonts w:eastAsia="Aptos" w:cs="Arial"/>
                <w:lang w:eastAsia="en-US"/>
              </w:rPr>
            </w:pPr>
            <w:r w:rsidRPr="000F4843">
              <w:rPr>
                <w:rFonts w:eastAsia="Aptos" w:cs="Arial"/>
                <w:lang w:eastAsia="en-US"/>
              </w:rPr>
              <w:t xml:space="preserve">The YC-PEM is a parent-report survey that takes approximately 20-30 minutes to complete. It is a paper-based scale, self-administered or administered via parent interview by healthcare professionals or researchers. </w:t>
            </w:r>
          </w:p>
          <w:p w14:paraId="05458DED" w14:textId="77777777" w:rsidR="00B46A56" w:rsidRPr="000F4843" w:rsidRDefault="00B46A56">
            <w:pPr>
              <w:spacing w:after="100"/>
              <w:ind w:left="57" w:right="57"/>
              <w:rPr>
                <w:rFonts w:eastAsia="Aptos" w:cs="Arial"/>
                <w:lang w:eastAsia="en-US"/>
              </w:rPr>
            </w:pPr>
            <w:r w:rsidRPr="000F4843">
              <w:rPr>
                <w:rFonts w:eastAsia="Aptos" w:cs="Arial"/>
                <w:lang w:eastAsia="en-US"/>
              </w:rPr>
              <w:t xml:space="preserve">The YC-PEM has been piloted as an electronic patient-reported outcome (e-PRO) in the ECI practice setting.  </w:t>
            </w:r>
          </w:p>
        </w:tc>
      </w:tr>
      <w:tr w:rsidR="00B46A56" w:rsidRPr="000F4843" w14:paraId="6A3E1ABE"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56262AD0" w14:textId="77777777" w:rsidR="00B46A56" w:rsidRPr="000F4843" w:rsidRDefault="00B46A56">
            <w:pPr>
              <w:spacing w:after="100"/>
              <w:ind w:left="57" w:right="57"/>
              <w:rPr>
                <w:rFonts w:eastAsia="Aptos" w:cs="Arial"/>
                <w:lang w:eastAsia="en-US"/>
              </w:rPr>
            </w:pPr>
            <w:r w:rsidRPr="000F4843">
              <w:rPr>
                <w:rFonts w:eastAsia="Aptos" w:cs="Arial"/>
                <w:b/>
                <w:bCs/>
                <w:lang w:eastAsia="en-US"/>
              </w:rPr>
              <w:t>Training requirements</w:t>
            </w:r>
            <w:r w:rsidRPr="000F4843">
              <w:rPr>
                <w:rFonts w:eastAsia="Aptos" w:cs="Arial"/>
                <w:lang w:eastAsia="en-US"/>
              </w:rPr>
              <w:t>  </w:t>
            </w:r>
          </w:p>
          <w:p w14:paraId="114541B6" w14:textId="77777777" w:rsidR="00B46A56" w:rsidRPr="000F4843" w:rsidRDefault="00B46A56">
            <w:pPr>
              <w:spacing w:after="100"/>
              <w:ind w:left="57" w:right="57"/>
              <w:rPr>
                <w:rFonts w:eastAsia="Aptos" w:cs="Arial"/>
                <w:lang w:eastAsia="en-US"/>
              </w:rPr>
            </w:pPr>
            <w:r w:rsidRPr="000F4843">
              <w:rPr>
                <w:rFonts w:eastAsia="Aptos" w:cs="Arial"/>
                <w:i/>
                <w:iCs/>
                <w:lang w:eastAsia="en-US"/>
              </w:rPr>
              <w:t xml:space="preserve">. </w:t>
            </w:r>
            <w:r w:rsidRPr="000F4843">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hideMark/>
          </w:tcPr>
          <w:p w14:paraId="28F695EC" w14:textId="77777777" w:rsidR="00B46A56" w:rsidRPr="000F4843" w:rsidRDefault="00B46A56">
            <w:pPr>
              <w:spacing w:after="100"/>
              <w:ind w:left="57" w:right="57"/>
              <w:rPr>
                <w:rFonts w:eastAsia="Aptos" w:cs="Arial"/>
                <w:lang w:eastAsia="en-US"/>
              </w:rPr>
            </w:pPr>
            <w:r w:rsidRPr="000F4843">
              <w:rPr>
                <w:rFonts w:eastAsia="Aptos" w:cs="Arial"/>
                <w:lang w:eastAsia="en-US"/>
              </w:rPr>
              <w:t xml:space="preserve">No specific training is required to administer the YC-PEM. </w:t>
            </w:r>
          </w:p>
          <w:p w14:paraId="16E2380F" w14:textId="77777777" w:rsidR="00B46A56" w:rsidRPr="000F4843" w:rsidRDefault="00B46A56">
            <w:pPr>
              <w:spacing w:after="100"/>
              <w:ind w:left="57" w:right="57"/>
              <w:rPr>
                <w:rFonts w:eastAsia="Aptos" w:cs="Arial"/>
                <w:lang w:eastAsia="en-US"/>
              </w:rPr>
            </w:pPr>
            <w:r w:rsidRPr="000F4843">
              <w:rPr>
                <w:rFonts w:eastAsia="Aptos" w:cs="Arial"/>
                <w:lang w:eastAsia="en-US"/>
              </w:rPr>
              <w:t xml:space="preserve">Professional development opportunities, including video tutorials explaining how to use the YC-PEM, are available from </w:t>
            </w:r>
            <w:proofErr w:type="spellStart"/>
            <w:r w:rsidRPr="000F4843">
              <w:rPr>
                <w:rFonts w:eastAsia="Aptos" w:cs="Arial"/>
                <w:lang w:eastAsia="en-US"/>
              </w:rPr>
              <w:t>CanChild</w:t>
            </w:r>
            <w:proofErr w:type="spellEnd"/>
            <w:r w:rsidRPr="000F4843">
              <w:rPr>
                <w:rFonts w:eastAsia="Aptos" w:cs="Arial"/>
                <w:lang w:eastAsia="en-US"/>
              </w:rPr>
              <w:t xml:space="preserve">. </w:t>
            </w:r>
          </w:p>
          <w:p w14:paraId="7F8D4933" w14:textId="77777777" w:rsidR="00B46A56" w:rsidRPr="000F4843" w:rsidRDefault="00B46A56">
            <w:pPr>
              <w:spacing w:after="100"/>
              <w:ind w:left="57" w:right="57"/>
              <w:rPr>
                <w:rFonts w:eastAsia="Aptos" w:cs="Arial"/>
                <w:lang w:eastAsia="en-US"/>
              </w:rPr>
            </w:pPr>
            <w:hyperlink r:id="rId57" w:history="1">
              <w:r w:rsidRPr="000F4843">
                <w:rPr>
                  <w:rFonts w:eastAsia="Aptos" w:cs="Arial"/>
                  <w:color w:val="467886"/>
                  <w:u w:val="single"/>
                  <w:lang w:eastAsia="en-US"/>
                </w:rPr>
                <w:t>https://www.canchild.ca/en/resources/223-young-children-s-participation-and-environment-measure-ycpem</w:t>
              </w:r>
            </w:hyperlink>
          </w:p>
        </w:tc>
      </w:tr>
      <w:tr w:rsidR="00B46A56" w:rsidRPr="000F4843" w14:paraId="0AF15124"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hideMark/>
          </w:tcPr>
          <w:p w14:paraId="6B94D68B" w14:textId="77777777" w:rsidR="00B46A56" w:rsidRPr="000F4843" w:rsidRDefault="00B46A56">
            <w:pPr>
              <w:spacing w:after="100"/>
              <w:ind w:left="57" w:right="57"/>
              <w:rPr>
                <w:rFonts w:eastAsia="Aptos" w:cs="Arial"/>
                <w:b/>
                <w:bCs/>
                <w:lang w:eastAsia="en-US"/>
              </w:rPr>
            </w:pPr>
            <w:r w:rsidRPr="000F4843">
              <w:rPr>
                <w:rFonts w:eastAsia="Aptos" w:cs="Arial"/>
                <w:b/>
                <w:bCs/>
                <w:lang w:eastAsia="en-US"/>
              </w:rPr>
              <w:t>How to access</w:t>
            </w:r>
          </w:p>
          <w:p w14:paraId="47F78570" w14:textId="77777777" w:rsidR="00B46A56" w:rsidRPr="000F4843" w:rsidRDefault="00B46A56">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7DC6E5BC" w14:textId="77777777" w:rsidR="00B46A56" w:rsidRPr="000F4843" w:rsidRDefault="00B46A56">
            <w:pPr>
              <w:spacing w:after="100"/>
              <w:ind w:left="57" w:right="57"/>
              <w:rPr>
                <w:rFonts w:eastAsia="Aptos" w:cs="Arial"/>
                <w:lang w:eastAsia="en-US"/>
              </w:rPr>
            </w:pPr>
            <w:r w:rsidRPr="000F4843">
              <w:rPr>
                <w:rFonts w:eastAsia="Aptos" w:cs="Arial"/>
                <w:lang w:eastAsia="en-US"/>
              </w:rPr>
              <w:t xml:space="preserve">The YC-PEM is available for purchase through the </w:t>
            </w:r>
            <w:proofErr w:type="spellStart"/>
            <w:r w:rsidRPr="000F4843">
              <w:rPr>
                <w:rFonts w:eastAsia="Aptos" w:cs="Arial"/>
                <w:lang w:eastAsia="en-US"/>
              </w:rPr>
              <w:t>CanChild</w:t>
            </w:r>
            <w:proofErr w:type="spellEnd"/>
            <w:r w:rsidRPr="000F4843">
              <w:rPr>
                <w:rFonts w:eastAsia="Aptos" w:cs="Arial"/>
                <w:lang w:eastAsia="en-US"/>
              </w:rPr>
              <w:t xml:space="preserve"> website as a downloadable PDF. A single license allows service providers to make unlimited copies, while educational institutions and healthcare organisations can purchase multi-user licenses.</w:t>
            </w:r>
          </w:p>
          <w:p w14:paraId="52686B83" w14:textId="77777777" w:rsidR="00B46A56" w:rsidRPr="000F4843" w:rsidRDefault="00B46A56">
            <w:pPr>
              <w:spacing w:after="100"/>
              <w:ind w:left="57" w:right="57"/>
              <w:rPr>
                <w:rFonts w:eastAsia="Aptos" w:cs="Arial"/>
                <w:lang w:eastAsia="en-US"/>
              </w:rPr>
            </w:pPr>
            <w:hyperlink r:id="rId58" w:history="1">
              <w:r w:rsidRPr="000F4843">
                <w:rPr>
                  <w:rFonts w:eastAsia="Aptos" w:cs="Arial"/>
                  <w:color w:val="467886"/>
                  <w:u w:val="single"/>
                  <w:lang w:eastAsia="en-US"/>
                </w:rPr>
                <w:t>https://www.canchild.ca/en/shop/23-yc-pem-young-children-s-participation-and-environment-measure</w:t>
              </w:r>
            </w:hyperlink>
            <w:r w:rsidRPr="000F4843">
              <w:rPr>
                <w:rFonts w:eastAsia="Aptos" w:cs="Arial"/>
                <w:lang w:eastAsia="en-US"/>
              </w:rPr>
              <w:t xml:space="preserve"> </w:t>
            </w:r>
          </w:p>
        </w:tc>
      </w:tr>
    </w:tbl>
    <w:p w14:paraId="66C28FAB" w14:textId="77777777" w:rsidR="00B46A56" w:rsidRPr="000F4843" w:rsidRDefault="00B46A56">
      <w:pPr>
        <w:rPr>
          <w:rFonts w:ascii="Aptos" w:eastAsia="Aptos" w:hAnsi="Aptos" w:cs="Arial"/>
          <w:lang w:eastAsia="en-US"/>
        </w:rPr>
      </w:pPr>
    </w:p>
    <w:p w14:paraId="2158FC09" w14:textId="77777777" w:rsidR="003A34C3" w:rsidRDefault="003A34C3">
      <w:pPr>
        <w:rPr>
          <w:rFonts w:eastAsiaTheme="majorEastAsia" w:cs="Arial"/>
          <w:b/>
          <w:bCs/>
          <w:color w:val="3F779D"/>
          <w:sz w:val="32"/>
          <w:szCs w:val="32"/>
        </w:rPr>
      </w:pPr>
      <w:bookmarkStart w:id="69" w:name="_YC-PEM_Evidence_Summary"/>
      <w:bookmarkEnd w:id="69"/>
      <w:r>
        <w:br w:type="page"/>
      </w:r>
    </w:p>
    <w:p w14:paraId="499912BF" w14:textId="0623AAB8" w:rsidR="00B46A56" w:rsidRPr="0091170A" w:rsidRDefault="00B46A56" w:rsidP="00C24AED">
      <w:pPr>
        <w:pStyle w:val="Heading1"/>
      </w:pPr>
      <w:bookmarkStart w:id="70" w:name="_YC-PEM_Evidence_Summary_1"/>
      <w:bookmarkEnd w:id="70"/>
      <w:r w:rsidRPr="0091170A">
        <w:lastRenderedPageBreak/>
        <w:t>YC-PEM Evidence Summary</w:t>
      </w:r>
    </w:p>
    <w:p w14:paraId="10710C72" w14:textId="6BE1CAF7" w:rsidR="00B46A56" w:rsidRPr="000F4843" w:rsidRDefault="00B46A56">
      <w:pPr>
        <w:rPr>
          <w:rFonts w:ascii="Aptos" w:eastAsia="Aptos" w:hAnsi="Aptos" w:cs="Arial"/>
          <w:lang w:eastAsia="en-US"/>
        </w:rPr>
      </w:pPr>
      <w:hyperlink w:anchor="_YC-PEM_Reference_List_1" w:history="1">
        <w:r w:rsidRPr="003A34C3">
          <w:rPr>
            <w:rStyle w:val="Hyperlink"/>
            <w:rFonts w:eastAsia="Aptos" w:cs="Arial"/>
            <w:i/>
            <w:iCs/>
            <w:lang w:eastAsia="en-US"/>
          </w:rPr>
          <w:t>Link to YC-PEM 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B46A56" w:rsidRPr="000F4843" w14:paraId="286BC170"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5BF729D5" w14:textId="77777777" w:rsidR="00B46A56" w:rsidRPr="000F4843" w:rsidRDefault="00B46A56">
            <w:pPr>
              <w:spacing w:after="100" w:line="276" w:lineRule="auto"/>
              <w:ind w:left="57" w:right="57"/>
              <w:rPr>
                <w:rFonts w:eastAsia="Aptos" w:cs="Arial"/>
                <w:b/>
                <w:bCs/>
                <w:lang w:eastAsia="en-US"/>
              </w:rPr>
            </w:pPr>
            <w:r w:rsidRPr="000F4843">
              <w:rPr>
                <w:rFonts w:eastAsia="Aptos" w:cs="Arial"/>
                <w:b/>
                <w:bCs/>
                <w:lang w:eastAsia="en-US"/>
              </w:rPr>
              <w:t>Overview</w:t>
            </w:r>
          </w:p>
          <w:p w14:paraId="340CC7F7" w14:textId="77777777" w:rsidR="00B46A56" w:rsidRPr="000F4843" w:rsidRDefault="00B46A56">
            <w:pPr>
              <w:spacing w:after="100" w:line="276" w:lineRule="auto"/>
              <w:ind w:left="57" w:right="57"/>
              <w:rPr>
                <w:rFonts w:eastAsia="Aptos" w:cs="Arial"/>
                <w:i/>
                <w:iCs/>
                <w:lang w:eastAsia="en-US"/>
              </w:rPr>
            </w:pPr>
          </w:p>
        </w:tc>
        <w:tc>
          <w:tcPr>
            <w:tcW w:w="7075" w:type="dxa"/>
            <w:tcBorders>
              <w:top w:val="single" w:sz="6" w:space="0" w:color="auto"/>
              <w:left w:val="single" w:sz="6" w:space="0" w:color="auto"/>
              <w:bottom w:val="single" w:sz="6" w:space="0" w:color="auto"/>
              <w:right w:val="single" w:sz="6" w:space="0" w:color="auto"/>
            </w:tcBorders>
          </w:tcPr>
          <w:p w14:paraId="696024AC" w14:textId="77777777" w:rsidR="00B46A56" w:rsidRPr="000F4843" w:rsidRDefault="00B46A56">
            <w:pPr>
              <w:spacing w:after="100" w:line="276" w:lineRule="auto"/>
              <w:ind w:left="57" w:right="57"/>
              <w:rPr>
                <w:rFonts w:eastAsia="Aptos" w:cs="Arial"/>
                <w:color w:val="000000"/>
                <w:lang w:eastAsia="en-US"/>
              </w:rPr>
            </w:pPr>
            <w:r w:rsidRPr="000F4843">
              <w:rPr>
                <w:rFonts w:eastAsia="Aptos" w:cs="Arial"/>
                <w:color w:val="000000"/>
                <w:lang w:eastAsia="en-US"/>
              </w:rPr>
              <w:t>14 studies were identified that report on the measurement psychometric properties of the YC-PEM or use the tool as an outcome measure in the ECI practice setting (2015-20</w:t>
            </w:r>
            <w:r>
              <w:rPr>
                <w:rFonts w:eastAsia="Aptos" w:cs="Arial"/>
                <w:color w:val="000000"/>
                <w:lang w:eastAsia="en-US"/>
              </w:rPr>
              <w:t>2</w:t>
            </w:r>
            <w:r w:rsidRPr="000F4843">
              <w:rPr>
                <w:rFonts w:eastAsia="Aptos" w:cs="Arial"/>
                <w:color w:val="000000"/>
                <w:lang w:eastAsia="en-US"/>
              </w:rPr>
              <w:t>4).</w:t>
            </w:r>
          </w:p>
        </w:tc>
      </w:tr>
      <w:tr w:rsidR="00B46A56" w:rsidRPr="000F4843" w14:paraId="0ABC6CB5"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48E8AF31" w14:textId="77777777" w:rsidR="00B46A56" w:rsidRPr="000F4843" w:rsidRDefault="00B46A56">
            <w:pPr>
              <w:spacing w:after="100" w:line="276" w:lineRule="auto"/>
              <w:ind w:left="57" w:right="57"/>
              <w:rPr>
                <w:rFonts w:eastAsia="Aptos" w:cs="Arial"/>
                <w:b/>
                <w:bCs/>
                <w:lang w:eastAsia="en-US"/>
              </w:rPr>
            </w:pPr>
            <w:r w:rsidRPr="000F4843">
              <w:rPr>
                <w:rFonts w:eastAsia="Aptos" w:cs="Arial"/>
                <w:b/>
                <w:bCs/>
                <w:lang w:eastAsia="en-US"/>
              </w:rPr>
              <w:t>Review papers</w:t>
            </w:r>
          </w:p>
        </w:tc>
        <w:tc>
          <w:tcPr>
            <w:tcW w:w="7075" w:type="dxa"/>
            <w:tcBorders>
              <w:top w:val="single" w:sz="6" w:space="0" w:color="auto"/>
              <w:left w:val="single" w:sz="6" w:space="0" w:color="auto"/>
              <w:bottom w:val="single" w:sz="6" w:space="0" w:color="auto"/>
              <w:right w:val="single" w:sz="6" w:space="0" w:color="auto"/>
            </w:tcBorders>
          </w:tcPr>
          <w:p w14:paraId="2195CBE9" w14:textId="77777777" w:rsidR="00B46A56" w:rsidRPr="000F4843" w:rsidRDefault="00B46A56">
            <w:pPr>
              <w:spacing w:after="100" w:line="276" w:lineRule="auto"/>
              <w:ind w:left="57" w:right="57"/>
              <w:rPr>
                <w:rFonts w:eastAsia="Aptos" w:cs="Arial"/>
                <w:color w:val="000000"/>
                <w:lang w:eastAsia="en-US"/>
              </w:rPr>
            </w:pPr>
            <w:r w:rsidRPr="000F4843">
              <w:rPr>
                <w:rFonts w:eastAsia="Aptos" w:cs="Arial"/>
                <w:color w:val="000000"/>
                <w:lang w:eastAsia="en-US"/>
              </w:rPr>
              <w:t>A systematic review examining the psychometric properties of participation measures, including the YC-PEM, for infants and toddlers aged birth to 23 months concluded further research is needed to establish sound participation measures (Australia, 2021).</w:t>
            </w:r>
          </w:p>
        </w:tc>
      </w:tr>
      <w:tr w:rsidR="00B46A56" w:rsidRPr="000F4843" w14:paraId="2BA5AAA2"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79A32508" w14:textId="77777777" w:rsidR="00B46A56" w:rsidRPr="000F4843" w:rsidRDefault="00B46A56">
            <w:pPr>
              <w:spacing w:after="100" w:line="276" w:lineRule="auto"/>
              <w:ind w:left="57" w:right="57"/>
              <w:rPr>
                <w:rFonts w:eastAsia="Aptos" w:cs="Arial"/>
                <w:b/>
                <w:bCs/>
                <w:lang w:eastAsia="en-US"/>
              </w:rPr>
            </w:pPr>
            <w:r w:rsidRPr="000F4843">
              <w:rPr>
                <w:rFonts w:eastAsia="Aptos" w:cs="Arial"/>
                <w:b/>
                <w:bCs/>
                <w:lang w:eastAsia="en-U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02D0967A" w14:textId="77777777" w:rsidR="00B46A56" w:rsidRPr="000F4843" w:rsidRDefault="00B46A56">
            <w:pPr>
              <w:spacing w:after="100" w:line="276" w:lineRule="auto"/>
              <w:ind w:left="57" w:right="57"/>
              <w:rPr>
                <w:rFonts w:eastAsia="Aptos" w:cs="Arial"/>
                <w:color w:val="000000"/>
                <w:lang w:eastAsia="en-US"/>
              </w:rPr>
            </w:pPr>
            <w:r w:rsidRPr="000F4843">
              <w:rPr>
                <w:rFonts w:eastAsia="Aptos" w:cs="Arial"/>
                <w:color w:val="000000"/>
                <w:lang w:eastAsia="en-US"/>
              </w:rPr>
              <w:t xml:space="preserve">The psychometric properties of the YC-PEM have been reported for North American caregivers of children with and without developmental delays and disabilities across three studies (2015). These studies demonstrated acceptable internal consistency, mixed test-retest reliability, and evidence of construct and concurrent validity. </w:t>
            </w:r>
          </w:p>
          <w:p w14:paraId="17296F75" w14:textId="77777777" w:rsidR="00B46A56" w:rsidRPr="000F4843" w:rsidRDefault="00B46A56">
            <w:pPr>
              <w:spacing w:after="100" w:line="276" w:lineRule="auto"/>
              <w:ind w:left="57" w:right="57"/>
              <w:rPr>
                <w:rFonts w:eastAsia="Aptos" w:cs="Arial"/>
                <w:color w:val="000000"/>
                <w:lang w:eastAsia="en-US"/>
              </w:rPr>
            </w:pPr>
            <w:r w:rsidRPr="000F4843">
              <w:rPr>
                <w:rFonts w:eastAsia="Aptos" w:cs="Arial"/>
                <w:color w:val="000000"/>
                <w:lang w:eastAsia="en-US"/>
              </w:rPr>
              <w:t xml:space="preserve">The feasibility, acceptability, and value of implementing the YC-PEM as an electronic patient-reported outcome measure (YC-PEM e-PRO) in early intervention settings has been evaluated (2020). </w:t>
            </w:r>
          </w:p>
        </w:tc>
      </w:tr>
      <w:tr w:rsidR="00B46A56" w:rsidRPr="000F4843" w14:paraId="246EB5C2"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0D8FCC24" w14:textId="77777777" w:rsidR="00B46A56" w:rsidRPr="000F4843" w:rsidRDefault="00B46A56">
            <w:pPr>
              <w:spacing w:after="100" w:line="276" w:lineRule="auto"/>
              <w:ind w:left="57" w:right="57"/>
              <w:rPr>
                <w:rFonts w:eastAsia="Aptos" w:cs="Arial"/>
                <w:b/>
                <w:bCs/>
                <w:lang w:eastAsia="en-US"/>
              </w:rPr>
            </w:pPr>
            <w:r w:rsidRPr="000F4843">
              <w:rPr>
                <w:rFonts w:eastAsia="Aptos" w:cs="Arial"/>
                <w:b/>
                <w:bCs/>
                <w:lang w:eastAsia="en-US"/>
              </w:rPr>
              <w:t>Cultural adaptation papers</w:t>
            </w:r>
          </w:p>
        </w:tc>
        <w:tc>
          <w:tcPr>
            <w:tcW w:w="7075" w:type="dxa"/>
            <w:tcBorders>
              <w:top w:val="single" w:sz="6" w:space="0" w:color="auto"/>
              <w:left w:val="single" w:sz="6" w:space="0" w:color="auto"/>
              <w:bottom w:val="single" w:sz="6" w:space="0" w:color="auto"/>
              <w:right w:val="single" w:sz="6" w:space="0" w:color="auto"/>
            </w:tcBorders>
          </w:tcPr>
          <w:p w14:paraId="609738E6" w14:textId="77777777" w:rsidR="00B46A56" w:rsidRPr="000F4843" w:rsidRDefault="00B46A56">
            <w:pPr>
              <w:spacing w:after="100" w:line="276" w:lineRule="auto"/>
              <w:ind w:left="57" w:right="57"/>
              <w:rPr>
                <w:rFonts w:eastAsia="Aptos" w:cs="Arial"/>
                <w:color w:val="000000"/>
                <w:lang w:eastAsia="en-US"/>
              </w:rPr>
            </w:pPr>
            <w:r w:rsidRPr="000F4843">
              <w:rPr>
                <w:rFonts w:eastAsia="Aptos" w:cs="Arial"/>
                <w:color w:val="000000"/>
                <w:lang w:eastAsia="en-US"/>
              </w:rPr>
              <w:t xml:space="preserve">The YC-PEM has undergone cultural adaptation and psychometric testing for children with and without disabilities in multiple countries, including Germany/Austria/Switzerland (2024), China (2021), Singapore (2016, 2018), Sweden (2018), Turkey (2024), and with historically minoritized populations in the USA including Black, non-Hispanic caregivers of children in early intervention (2023), and caregivers of Mexican descent with special health care needs (2017). These studies have examined various aspects of reliability, validity, and cultural equivalence, with most adapted versions demonstrating acceptable psychometric properties. </w:t>
            </w:r>
          </w:p>
        </w:tc>
      </w:tr>
      <w:tr w:rsidR="00B46A56" w:rsidRPr="000F4843" w14:paraId="7B1C2407" w14:textId="77777777" w:rsidTr="00B01C41">
        <w:trPr>
          <w:trHeight w:val="300"/>
        </w:trPr>
        <w:tc>
          <w:tcPr>
            <w:tcW w:w="1979" w:type="dxa"/>
            <w:tcBorders>
              <w:top w:val="single" w:sz="6" w:space="0" w:color="auto"/>
              <w:left w:val="single" w:sz="6" w:space="0" w:color="auto"/>
              <w:bottom w:val="single" w:sz="6" w:space="0" w:color="auto"/>
              <w:right w:val="single" w:sz="6" w:space="0" w:color="auto"/>
            </w:tcBorders>
          </w:tcPr>
          <w:p w14:paraId="463FA406" w14:textId="77777777" w:rsidR="00B46A56" w:rsidRPr="000F4843" w:rsidRDefault="00B46A56">
            <w:pPr>
              <w:spacing w:after="100" w:line="276" w:lineRule="auto"/>
              <w:ind w:left="57" w:right="57"/>
              <w:rPr>
                <w:rFonts w:eastAsia="Aptos" w:cs="Arial"/>
                <w:b/>
                <w:bCs/>
                <w:lang w:eastAsia="en-US"/>
              </w:rPr>
            </w:pPr>
            <w:r w:rsidRPr="000F4843">
              <w:rPr>
                <w:rFonts w:eastAsia="Aptos" w:cs="Arial"/>
                <w:b/>
                <w:bCs/>
                <w:lang w:eastAsia="en-US"/>
              </w:rPr>
              <w:t>Outcome studies in the ECI practice setting</w:t>
            </w:r>
          </w:p>
        </w:tc>
        <w:tc>
          <w:tcPr>
            <w:tcW w:w="7075" w:type="dxa"/>
            <w:tcBorders>
              <w:top w:val="single" w:sz="6" w:space="0" w:color="auto"/>
              <w:left w:val="single" w:sz="6" w:space="0" w:color="auto"/>
              <w:bottom w:val="single" w:sz="6" w:space="0" w:color="auto"/>
              <w:right w:val="single" w:sz="6" w:space="0" w:color="auto"/>
            </w:tcBorders>
          </w:tcPr>
          <w:p w14:paraId="12845E23" w14:textId="77777777" w:rsidR="00B46A56" w:rsidRPr="000F4843" w:rsidRDefault="00B46A56">
            <w:pPr>
              <w:spacing w:after="100" w:line="276" w:lineRule="auto"/>
              <w:ind w:left="57" w:right="57"/>
              <w:rPr>
                <w:rFonts w:eastAsia="Aptos" w:cs="Arial"/>
                <w:color w:val="000000"/>
                <w:lang w:eastAsia="en-US"/>
              </w:rPr>
            </w:pPr>
            <w:r w:rsidRPr="000F4843">
              <w:rPr>
                <w:rFonts w:eastAsia="Aptos" w:cs="Arial"/>
                <w:color w:val="000000"/>
                <w:lang w:eastAsia="en-US"/>
              </w:rPr>
              <w:t>The YC-PEM e-PRO has been used as an outcome measure in evaluating the relationship between early intervention service intensity and young children's home participation (USA, 2020).</w:t>
            </w:r>
          </w:p>
        </w:tc>
      </w:tr>
    </w:tbl>
    <w:p w14:paraId="71204A63" w14:textId="77777777" w:rsidR="00536C9F" w:rsidRDefault="00536C9F" w:rsidP="00536C9F">
      <w:pPr>
        <w:rPr>
          <w:rFonts w:cs="Arial"/>
          <w:sz w:val="22"/>
          <w:szCs w:val="22"/>
        </w:rPr>
      </w:pPr>
      <w:bookmarkStart w:id="71" w:name="_YC-PEM_Reference_List"/>
      <w:bookmarkEnd w:id="71"/>
      <w:r w:rsidRPr="009B2E5A">
        <w:t xml:space="preserve">This Evidence Summary was developed with rapid synthesis methods, combining a comprehensive PubMed search, augmented literature identification, and dual reviewer screening. It represents a living resource that maps key evidence on </w:t>
      </w:r>
      <w:r w:rsidRPr="009B2E5A">
        <w:lastRenderedPageBreak/>
        <w:t xml:space="preserve">measurement properties, cultural adaptations, and relevant applications in the ECI practice setting for each outcome measure. For complete methodology, see our </w:t>
      </w:r>
      <w:hyperlink w:history="1">
        <w:r w:rsidRPr="009B2E5A">
          <w:t>Methods Explainer</w:t>
        </w:r>
      </w:hyperlink>
      <w:r w:rsidRPr="0083134E">
        <w:rPr>
          <w:rFonts w:cs="Arial"/>
          <w:sz w:val="22"/>
          <w:szCs w:val="22"/>
        </w:rPr>
        <w:t>.</w:t>
      </w:r>
    </w:p>
    <w:p w14:paraId="4FFAEA75" w14:textId="68015847" w:rsidR="000509DC" w:rsidRDefault="000509DC">
      <w:pPr>
        <w:rPr>
          <w:rFonts w:cs="Arial"/>
          <w:sz w:val="22"/>
          <w:szCs w:val="22"/>
        </w:rPr>
      </w:pPr>
      <w:r>
        <w:rPr>
          <w:rFonts w:cs="Arial"/>
          <w:sz w:val="22"/>
          <w:szCs w:val="22"/>
        </w:rPr>
        <w:br w:type="page"/>
      </w:r>
    </w:p>
    <w:p w14:paraId="761C7C98" w14:textId="77777777" w:rsidR="00B46A56" w:rsidRPr="000F4843" w:rsidRDefault="00B46A56" w:rsidP="009B2E5A">
      <w:pPr>
        <w:pStyle w:val="Heading1"/>
        <w:rPr>
          <w:lang w:eastAsia="en-US"/>
        </w:rPr>
      </w:pPr>
      <w:bookmarkStart w:id="72" w:name="_YC-PEM_Reference_List_1"/>
      <w:bookmarkEnd w:id="72"/>
      <w:r w:rsidRPr="000F4843">
        <w:rPr>
          <w:lang w:eastAsia="en-US"/>
        </w:rPr>
        <w:lastRenderedPageBreak/>
        <w:t>YC-PEM Reference List</w:t>
      </w:r>
    </w:p>
    <w:p w14:paraId="3DE4BD78" w14:textId="752B2AAC" w:rsidR="00B46A56" w:rsidRPr="003A34C3" w:rsidRDefault="003A34C3">
      <w:pPr>
        <w:rPr>
          <w:rStyle w:val="Hyperlink"/>
          <w:rFonts w:eastAsia="Aptos" w:cs="Arial"/>
          <w:i/>
          <w:iCs/>
          <w:lang w:eastAsia="en-US"/>
        </w:rPr>
      </w:pPr>
      <w:r>
        <w:rPr>
          <w:rFonts w:eastAsia="Aptos" w:cs="Arial"/>
          <w:i/>
          <w:iCs/>
          <w:color w:val="467886"/>
          <w:u w:val="single"/>
          <w:lang w:eastAsia="en-US"/>
        </w:rPr>
        <w:fldChar w:fldCharType="begin"/>
      </w:r>
      <w:r>
        <w:rPr>
          <w:rFonts w:eastAsia="Aptos" w:cs="Arial"/>
          <w:i/>
          <w:iCs/>
          <w:color w:val="467886"/>
          <w:u w:val="single"/>
          <w:lang w:eastAsia="en-US"/>
        </w:rPr>
        <w:instrText>HYPERLINK  \l "_YC-PEM_Evidence_Summary_1"</w:instrText>
      </w:r>
      <w:r>
        <w:rPr>
          <w:rFonts w:eastAsia="Aptos" w:cs="Arial"/>
          <w:i/>
          <w:iCs/>
          <w:color w:val="467886"/>
          <w:u w:val="single"/>
          <w:lang w:eastAsia="en-US"/>
        </w:rPr>
      </w:r>
      <w:r>
        <w:rPr>
          <w:rFonts w:eastAsia="Aptos" w:cs="Arial"/>
          <w:i/>
          <w:iCs/>
          <w:color w:val="467886"/>
          <w:u w:val="single"/>
          <w:lang w:eastAsia="en-US"/>
        </w:rPr>
        <w:fldChar w:fldCharType="separate"/>
      </w:r>
      <w:r w:rsidR="00B46A56" w:rsidRPr="003A34C3">
        <w:rPr>
          <w:rStyle w:val="Hyperlink"/>
          <w:rFonts w:eastAsia="Aptos" w:cs="Arial"/>
          <w:i/>
          <w:iCs/>
          <w:lang w:eastAsia="en-US"/>
        </w:rPr>
        <w:t>Link to YC-PEM Evidence Summary</w:t>
      </w:r>
    </w:p>
    <w:p w14:paraId="0B456DF4" w14:textId="29A1B2E2" w:rsidR="00B46A56" w:rsidRPr="000F4843" w:rsidRDefault="003A34C3" w:rsidP="009B2E5A">
      <w:pPr>
        <w:pStyle w:val="Heading2"/>
        <w:rPr>
          <w:lang w:eastAsia="en-US"/>
        </w:rPr>
      </w:pPr>
      <w:r>
        <w:rPr>
          <w:rFonts w:eastAsia="Aptos"/>
          <w:b/>
          <w:i/>
          <w:iCs/>
          <w:color w:val="467886"/>
          <w:u w:val="single"/>
          <w:lang w:eastAsia="en-US"/>
        </w:rPr>
        <w:fldChar w:fldCharType="end"/>
      </w:r>
      <w:r w:rsidR="00B46A56" w:rsidRPr="000F4843">
        <w:rPr>
          <w:lang w:eastAsia="en-US"/>
        </w:rPr>
        <w:t>Reviews</w:t>
      </w:r>
    </w:p>
    <w:p w14:paraId="0197D674" w14:textId="6910FF46"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Mobbs CA, Spittle AJ, Johnston LM. (2021). Participation </w:t>
      </w:r>
      <w:r w:rsidR="00007117">
        <w:rPr>
          <w:rFonts w:eastAsia="Arial" w:cs="Arial"/>
          <w:color w:val="000000"/>
          <w:lang w:eastAsia="en-US"/>
        </w:rPr>
        <w:t>m</w:t>
      </w:r>
      <w:r w:rsidRPr="000F4843">
        <w:rPr>
          <w:rFonts w:eastAsia="Arial" w:cs="Arial"/>
          <w:color w:val="000000"/>
          <w:lang w:eastAsia="en-US"/>
        </w:rPr>
        <w:t xml:space="preserve">easures for </w:t>
      </w:r>
      <w:r w:rsidR="00007117">
        <w:rPr>
          <w:rFonts w:eastAsia="Arial" w:cs="Arial"/>
          <w:color w:val="000000"/>
          <w:lang w:eastAsia="en-US"/>
        </w:rPr>
        <w:t>i</w:t>
      </w:r>
      <w:r w:rsidRPr="000F4843">
        <w:rPr>
          <w:rFonts w:eastAsia="Arial" w:cs="Arial"/>
          <w:color w:val="000000"/>
          <w:lang w:eastAsia="en-US"/>
        </w:rPr>
        <w:t xml:space="preserve">nfants and </w:t>
      </w:r>
      <w:r w:rsidR="00007117">
        <w:rPr>
          <w:rFonts w:eastAsia="Arial" w:cs="Arial"/>
          <w:color w:val="000000"/>
          <w:lang w:eastAsia="en-US"/>
        </w:rPr>
        <w:t>t</w:t>
      </w:r>
      <w:r w:rsidRPr="000F4843">
        <w:rPr>
          <w:rFonts w:eastAsia="Arial" w:cs="Arial"/>
          <w:color w:val="000000"/>
          <w:lang w:eastAsia="en-US"/>
        </w:rPr>
        <w:t xml:space="preserve">oddlers </w:t>
      </w:r>
      <w:r w:rsidR="00007117">
        <w:rPr>
          <w:rFonts w:eastAsia="Arial" w:cs="Arial"/>
          <w:color w:val="000000"/>
          <w:lang w:eastAsia="en-US"/>
        </w:rPr>
        <w:t>a</w:t>
      </w:r>
      <w:r w:rsidRPr="000F4843">
        <w:rPr>
          <w:rFonts w:eastAsia="Arial" w:cs="Arial"/>
          <w:color w:val="000000"/>
          <w:lang w:eastAsia="en-US"/>
        </w:rPr>
        <w:t xml:space="preserve">ged </w:t>
      </w:r>
      <w:r w:rsidR="00007117">
        <w:rPr>
          <w:rFonts w:eastAsia="Arial" w:cs="Arial"/>
          <w:color w:val="000000"/>
          <w:lang w:eastAsia="en-US"/>
        </w:rPr>
        <w:t>b</w:t>
      </w:r>
      <w:r w:rsidRPr="000F4843">
        <w:rPr>
          <w:rFonts w:eastAsia="Arial" w:cs="Arial"/>
          <w:color w:val="000000"/>
          <w:lang w:eastAsia="en-US"/>
        </w:rPr>
        <w:t xml:space="preserve">irth to 23 Months: A </w:t>
      </w:r>
      <w:r w:rsidR="00007117">
        <w:rPr>
          <w:rFonts w:eastAsia="Arial" w:cs="Arial"/>
          <w:color w:val="000000"/>
          <w:lang w:eastAsia="en-US"/>
        </w:rPr>
        <w:t>s</w:t>
      </w:r>
      <w:r w:rsidRPr="000F4843">
        <w:rPr>
          <w:rFonts w:eastAsia="Arial" w:cs="Arial"/>
          <w:color w:val="000000"/>
          <w:lang w:eastAsia="en-US"/>
        </w:rPr>
        <w:t xml:space="preserve">ystematic </w:t>
      </w:r>
      <w:r w:rsidR="00007117">
        <w:rPr>
          <w:rFonts w:eastAsia="Arial" w:cs="Arial"/>
          <w:color w:val="000000"/>
          <w:lang w:eastAsia="en-US"/>
        </w:rPr>
        <w:t>r</w:t>
      </w:r>
      <w:r w:rsidRPr="000F4843">
        <w:rPr>
          <w:rFonts w:eastAsia="Arial" w:cs="Arial"/>
          <w:color w:val="000000"/>
          <w:lang w:eastAsia="en-US"/>
        </w:rPr>
        <w:t xml:space="preserve">eview. </w:t>
      </w:r>
      <w:r w:rsidRPr="000F4843">
        <w:rPr>
          <w:rFonts w:eastAsia="Arial" w:cs="Arial"/>
          <w:i/>
          <w:color w:val="000000"/>
          <w:lang w:eastAsia="en-US"/>
        </w:rPr>
        <w:t xml:space="preserve">Phys </w:t>
      </w:r>
      <w:proofErr w:type="spellStart"/>
      <w:r w:rsidRPr="000F4843">
        <w:rPr>
          <w:rFonts w:eastAsia="Arial" w:cs="Arial"/>
          <w:i/>
          <w:color w:val="000000"/>
          <w:lang w:eastAsia="en-US"/>
        </w:rPr>
        <w:t>Occup</w:t>
      </w:r>
      <w:proofErr w:type="spellEnd"/>
      <w:r w:rsidRPr="000F4843">
        <w:rPr>
          <w:rFonts w:eastAsia="Arial" w:cs="Arial"/>
          <w:i/>
          <w:color w:val="000000"/>
          <w:lang w:eastAsia="en-US"/>
        </w:rPr>
        <w:t xml:space="preserve"> Ther </w:t>
      </w:r>
      <w:proofErr w:type="spellStart"/>
      <w:r w:rsidRPr="000F4843">
        <w:rPr>
          <w:rFonts w:eastAsia="Arial" w:cs="Arial"/>
          <w:i/>
          <w:color w:val="000000"/>
          <w:lang w:eastAsia="en-US"/>
        </w:rPr>
        <w:t>Pediatr</w:t>
      </w:r>
      <w:proofErr w:type="spellEnd"/>
      <w:r w:rsidRPr="000F4843">
        <w:rPr>
          <w:rFonts w:eastAsia="Arial" w:cs="Arial"/>
          <w:color w:val="000000"/>
          <w:lang w:eastAsia="en-US"/>
        </w:rPr>
        <w:t>, 41(6):567-589.</w:t>
      </w:r>
      <w:r w:rsidRPr="000F4843">
        <w:rPr>
          <w:rFonts w:eastAsia="Arial" w:cs="Arial"/>
          <w:color w:val="0000FF"/>
          <w:u w:val="single"/>
          <w:lang w:eastAsia="en-US"/>
        </w:rPr>
        <w:t xml:space="preserve"> https://doi.org/10.1080/01942638.2021.1900488</w:t>
      </w:r>
    </w:p>
    <w:p w14:paraId="390AC515" w14:textId="77777777" w:rsidR="00B46A56" w:rsidRPr="000F4843" w:rsidRDefault="00B46A56" w:rsidP="009B2E5A">
      <w:pPr>
        <w:pStyle w:val="Heading2"/>
        <w:rPr>
          <w:lang w:eastAsia="en-US"/>
        </w:rPr>
      </w:pPr>
      <w:r w:rsidRPr="000F4843">
        <w:rPr>
          <w:lang w:eastAsia="en-US"/>
        </w:rPr>
        <w:t>Measurement Properties</w:t>
      </w:r>
    </w:p>
    <w:p w14:paraId="6D377F29" w14:textId="77777777"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Albrecht EC, Kaelin VC, Rigau BL, Dooling-Litfin JK, Scully EA, Murphy NJ, McManus BM, Khetani MA; High Value Early Intervention Research Group. (2020). Pilot implementation of an electronic patient-reported outcome measure for planning and monitoring participation-focused care in early intervention. </w:t>
      </w:r>
      <w:r w:rsidRPr="000F4843">
        <w:rPr>
          <w:rFonts w:eastAsia="Arial" w:cs="Arial"/>
          <w:i/>
          <w:color w:val="000000"/>
          <w:lang w:eastAsia="en-US"/>
        </w:rPr>
        <w:t xml:space="preserve">BMC Med Inform </w:t>
      </w:r>
      <w:proofErr w:type="spellStart"/>
      <w:r w:rsidRPr="000F4843">
        <w:rPr>
          <w:rFonts w:eastAsia="Arial" w:cs="Arial"/>
          <w:i/>
          <w:color w:val="000000"/>
          <w:lang w:eastAsia="en-US"/>
        </w:rPr>
        <w:t>Decis</w:t>
      </w:r>
      <w:proofErr w:type="spellEnd"/>
      <w:r w:rsidRPr="000F4843">
        <w:rPr>
          <w:rFonts w:eastAsia="Arial" w:cs="Arial"/>
          <w:i/>
          <w:color w:val="000000"/>
          <w:lang w:eastAsia="en-US"/>
        </w:rPr>
        <w:t xml:space="preserve"> Mak</w:t>
      </w:r>
      <w:r w:rsidRPr="000F4843">
        <w:rPr>
          <w:rFonts w:eastAsia="Arial" w:cs="Arial"/>
          <w:color w:val="000000"/>
          <w:lang w:eastAsia="en-US"/>
        </w:rPr>
        <w:t>, 20(1):199.</w:t>
      </w:r>
      <w:r w:rsidRPr="000F4843">
        <w:rPr>
          <w:rFonts w:eastAsia="Arial" w:cs="Arial"/>
          <w:color w:val="0000FF"/>
          <w:u w:val="single"/>
          <w:lang w:eastAsia="en-US"/>
        </w:rPr>
        <w:t xml:space="preserve"> https://doi.org/10.1186/s12911-020-01189-9</w:t>
      </w:r>
    </w:p>
    <w:p w14:paraId="0516269C" w14:textId="77777777"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Khetani MA, Graham JE, Davies PL, Law MC, </w:t>
      </w:r>
      <w:proofErr w:type="spellStart"/>
      <w:r w:rsidRPr="000F4843">
        <w:rPr>
          <w:rFonts w:eastAsia="Arial" w:cs="Arial"/>
          <w:color w:val="000000"/>
          <w:lang w:eastAsia="en-US"/>
        </w:rPr>
        <w:t>Simeonsson</w:t>
      </w:r>
      <w:proofErr w:type="spellEnd"/>
      <w:r w:rsidRPr="000F4843">
        <w:rPr>
          <w:rFonts w:eastAsia="Arial" w:cs="Arial"/>
          <w:color w:val="000000"/>
          <w:lang w:eastAsia="en-US"/>
        </w:rPr>
        <w:t xml:space="preserve"> RJ. (2015). Psychometric properties of the Young Children's Participation and Environment Measure. </w:t>
      </w:r>
      <w:r w:rsidRPr="000F4843">
        <w:rPr>
          <w:rFonts w:eastAsia="Arial" w:cs="Arial"/>
          <w:i/>
          <w:color w:val="000000"/>
          <w:lang w:eastAsia="en-US"/>
        </w:rPr>
        <w:t>Arch Phys Med Rehabil</w:t>
      </w:r>
      <w:r w:rsidRPr="000F4843">
        <w:rPr>
          <w:rFonts w:eastAsia="Arial" w:cs="Arial"/>
          <w:color w:val="000000"/>
          <w:lang w:eastAsia="en-US"/>
        </w:rPr>
        <w:t>, 96(2):307-16.</w:t>
      </w:r>
      <w:r w:rsidRPr="000F4843">
        <w:rPr>
          <w:rFonts w:eastAsia="Arial" w:cs="Arial"/>
          <w:color w:val="0000FF"/>
          <w:u w:val="single"/>
          <w:lang w:eastAsia="en-US"/>
        </w:rPr>
        <w:t xml:space="preserve"> https://doi.org/10.1016/j.apmr.2014.09.031</w:t>
      </w:r>
    </w:p>
    <w:p w14:paraId="3DD3D290" w14:textId="77777777"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Khetani MA. (2015). Validation of environmental content in the Young Children's Participation and Environment Measure. </w:t>
      </w:r>
      <w:r w:rsidRPr="000F4843">
        <w:rPr>
          <w:rFonts w:eastAsia="Arial" w:cs="Arial"/>
          <w:i/>
          <w:color w:val="000000"/>
          <w:lang w:eastAsia="en-US"/>
        </w:rPr>
        <w:t>Arch Phys Med Rehabil</w:t>
      </w:r>
      <w:r w:rsidRPr="000F4843">
        <w:rPr>
          <w:rFonts w:eastAsia="Arial" w:cs="Arial"/>
          <w:color w:val="000000"/>
          <w:lang w:eastAsia="en-US"/>
        </w:rPr>
        <w:t>, 96(2):317-22.</w:t>
      </w:r>
      <w:r w:rsidRPr="000F4843">
        <w:rPr>
          <w:rFonts w:eastAsia="Arial" w:cs="Arial"/>
          <w:color w:val="0000FF"/>
          <w:u w:val="single"/>
          <w:lang w:eastAsia="en-US"/>
        </w:rPr>
        <w:t xml:space="preserve"> https://doi.org/10.1016/j.apmr.2014.11.016</w:t>
      </w:r>
    </w:p>
    <w:p w14:paraId="0241B861" w14:textId="654D7096"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Khetani, M. (2015). Psychometric </w:t>
      </w:r>
      <w:r w:rsidR="00007117">
        <w:rPr>
          <w:rFonts w:eastAsia="Arial" w:cs="Arial"/>
          <w:color w:val="000000"/>
          <w:lang w:eastAsia="en-US"/>
        </w:rPr>
        <w:t>e</w:t>
      </w:r>
      <w:r w:rsidRPr="000F4843">
        <w:rPr>
          <w:rFonts w:eastAsia="Arial" w:cs="Arial"/>
          <w:color w:val="000000"/>
          <w:lang w:eastAsia="en-US"/>
        </w:rPr>
        <w:t xml:space="preserve">valuation of the Young Children’s Participation and Environment Measure (YC–PEM). </w:t>
      </w:r>
      <w:r w:rsidRPr="000F4843">
        <w:rPr>
          <w:rFonts w:eastAsia="Arial" w:cs="Arial"/>
          <w:i/>
          <w:color w:val="000000"/>
          <w:lang w:eastAsia="en-US"/>
        </w:rPr>
        <w:t>American Journal of Occupational Therapy</w:t>
      </w:r>
      <w:r w:rsidRPr="000F4843">
        <w:rPr>
          <w:rFonts w:eastAsia="Arial" w:cs="Arial"/>
          <w:color w:val="000000"/>
          <w:lang w:eastAsia="en-US"/>
        </w:rPr>
        <w:t xml:space="preserve">, </w:t>
      </w:r>
      <w:r w:rsidR="005519C4">
        <w:rPr>
          <w:rFonts w:eastAsia="Arial" w:cs="Arial"/>
          <w:color w:val="000000"/>
          <w:lang w:eastAsia="en-US"/>
        </w:rPr>
        <w:t>69(Suppl 1):6911500184p1</w:t>
      </w:r>
      <w:r w:rsidRPr="000F4843">
        <w:rPr>
          <w:rFonts w:eastAsia="Arial" w:cs="Arial"/>
          <w:color w:val="000000"/>
          <w:lang w:eastAsia="en-US"/>
        </w:rPr>
        <w:t>.</w:t>
      </w:r>
      <w:r w:rsidRPr="000F4843">
        <w:rPr>
          <w:rFonts w:eastAsia="Arial" w:cs="Arial"/>
          <w:color w:val="0000FF"/>
          <w:u w:val="single"/>
          <w:lang w:eastAsia="en-US"/>
        </w:rPr>
        <w:t xml:space="preserve"> https://doi.org/10.5014/ajot.2015.69S1-RP301D</w:t>
      </w:r>
    </w:p>
    <w:p w14:paraId="2E4B2174" w14:textId="77777777" w:rsidR="00B46A56" w:rsidRPr="000F4843" w:rsidRDefault="00B46A56" w:rsidP="009B2E5A">
      <w:pPr>
        <w:pStyle w:val="Heading2"/>
        <w:rPr>
          <w:lang w:eastAsia="en-US"/>
        </w:rPr>
      </w:pPr>
      <w:r w:rsidRPr="000F4843">
        <w:rPr>
          <w:lang w:eastAsia="en-US"/>
        </w:rPr>
        <w:t>Cultural Adaptations</w:t>
      </w:r>
    </w:p>
    <w:p w14:paraId="134F2C2C" w14:textId="2FDBC0BE"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Krieger B, Ederer F, Amann R, Morgenthaler T, Schulze C, </w:t>
      </w:r>
      <w:proofErr w:type="spellStart"/>
      <w:r w:rsidRPr="000F4843">
        <w:rPr>
          <w:rFonts w:eastAsia="Arial" w:cs="Arial"/>
          <w:color w:val="000000"/>
          <w:lang w:eastAsia="en-US"/>
        </w:rPr>
        <w:t>Dawal</w:t>
      </w:r>
      <w:proofErr w:type="spellEnd"/>
      <w:r w:rsidRPr="000F4843">
        <w:rPr>
          <w:rFonts w:eastAsia="Arial" w:cs="Arial"/>
          <w:color w:val="000000"/>
          <w:lang w:eastAsia="en-US"/>
        </w:rPr>
        <w:t xml:space="preserve"> B. (2024). Translation and cross-cultural adaptation of the young children participation and environment measure for its use in Austria, Germany, and Switzerland. </w:t>
      </w:r>
      <w:r w:rsidRPr="000F4843">
        <w:rPr>
          <w:rFonts w:eastAsia="Arial" w:cs="Arial"/>
          <w:i/>
          <w:color w:val="000000"/>
          <w:lang w:eastAsia="en-US"/>
        </w:rPr>
        <w:t xml:space="preserve">Front </w:t>
      </w:r>
      <w:proofErr w:type="spellStart"/>
      <w:r w:rsidRPr="000F4843">
        <w:rPr>
          <w:rFonts w:eastAsia="Arial" w:cs="Arial"/>
          <w:i/>
          <w:color w:val="000000"/>
          <w:lang w:eastAsia="en-US"/>
        </w:rPr>
        <w:t>Pediatr</w:t>
      </w:r>
      <w:proofErr w:type="spellEnd"/>
      <w:r w:rsidRPr="000F4843">
        <w:rPr>
          <w:rFonts w:eastAsia="Arial" w:cs="Arial"/>
          <w:color w:val="000000"/>
          <w:lang w:eastAsia="en-US"/>
        </w:rPr>
        <w:t xml:space="preserve">, </w:t>
      </w:r>
      <w:r w:rsidR="00EC19F2">
        <w:rPr>
          <w:rFonts w:eastAsia="Arial" w:cs="Arial"/>
          <w:color w:val="000000"/>
          <w:lang w:eastAsia="en-US"/>
        </w:rPr>
        <w:t>11</w:t>
      </w:r>
      <w:r w:rsidRPr="000F4843">
        <w:rPr>
          <w:rFonts w:eastAsia="Arial" w:cs="Arial"/>
          <w:color w:val="000000"/>
          <w:lang w:eastAsia="en-US"/>
        </w:rPr>
        <w:t>.</w:t>
      </w:r>
      <w:r w:rsidRPr="000F4843">
        <w:rPr>
          <w:rFonts w:eastAsia="Arial" w:cs="Arial"/>
          <w:color w:val="0000FF"/>
          <w:u w:val="single"/>
          <w:lang w:eastAsia="en-US"/>
        </w:rPr>
        <w:t xml:space="preserve"> https://doi.org/10.3389/fped.2023.1258377</w:t>
      </w:r>
    </w:p>
    <w:p w14:paraId="5F5E53F9" w14:textId="48BCB63B"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Seyhan-</w:t>
      </w:r>
      <w:proofErr w:type="spellStart"/>
      <w:r w:rsidRPr="000F4843">
        <w:rPr>
          <w:rFonts w:eastAsia="Arial" w:cs="Arial"/>
          <w:color w:val="000000"/>
          <w:lang w:eastAsia="en-US"/>
        </w:rPr>
        <w:t>Bıyık</w:t>
      </w:r>
      <w:proofErr w:type="spellEnd"/>
      <w:r w:rsidRPr="000F4843">
        <w:rPr>
          <w:rFonts w:eastAsia="Arial" w:cs="Arial"/>
          <w:color w:val="000000"/>
          <w:lang w:eastAsia="en-US"/>
        </w:rPr>
        <w:t xml:space="preserve"> K, </w:t>
      </w:r>
      <w:proofErr w:type="spellStart"/>
      <w:r w:rsidRPr="000F4843">
        <w:rPr>
          <w:rFonts w:eastAsia="Arial" w:cs="Arial"/>
          <w:color w:val="000000"/>
          <w:lang w:eastAsia="en-US"/>
        </w:rPr>
        <w:t>Delioğlu</w:t>
      </w:r>
      <w:proofErr w:type="spellEnd"/>
      <w:r w:rsidRPr="000F4843">
        <w:rPr>
          <w:rFonts w:eastAsia="Arial" w:cs="Arial"/>
          <w:color w:val="000000"/>
          <w:lang w:eastAsia="en-US"/>
        </w:rPr>
        <w:t xml:space="preserve"> K, </w:t>
      </w:r>
      <w:proofErr w:type="spellStart"/>
      <w:r w:rsidRPr="000F4843">
        <w:rPr>
          <w:rFonts w:eastAsia="Arial" w:cs="Arial"/>
          <w:color w:val="000000"/>
          <w:lang w:eastAsia="en-US"/>
        </w:rPr>
        <w:t>Özal</w:t>
      </w:r>
      <w:proofErr w:type="spellEnd"/>
      <w:r w:rsidRPr="000F4843">
        <w:rPr>
          <w:rFonts w:eastAsia="Arial" w:cs="Arial"/>
          <w:color w:val="000000"/>
          <w:lang w:eastAsia="en-US"/>
        </w:rPr>
        <w:t xml:space="preserve"> C, </w:t>
      </w:r>
      <w:proofErr w:type="spellStart"/>
      <w:r w:rsidRPr="000F4843">
        <w:rPr>
          <w:rFonts w:eastAsia="Arial" w:cs="Arial"/>
          <w:color w:val="000000"/>
          <w:lang w:eastAsia="en-US"/>
        </w:rPr>
        <w:t>Üneş</w:t>
      </w:r>
      <w:proofErr w:type="spellEnd"/>
      <w:r w:rsidRPr="000F4843">
        <w:rPr>
          <w:rFonts w:eastAsia="Arial" w:cs="Arial"/>
          <w:color w:val="000000"/>
          <w:lang w:eastAsia="en-US"/>
        </w:rPr>
        <w:t xml:space="preserve"> S, </w:t>
      </w:r>
      <w:proofErr w:type="spellStart"/>
      <w:r w:rsidRPr="000F4843">
        <w:rPr>
          <w:rFonts w:eastAsia="Arial" w:cs="Arial"/>
          <w:color w:val="000000"/>
          <w:lang w:eastAsia="en-US"/>
        </w:rPr>
        <w:t>Tunçdemir</w:t>
      </w:r>
      <w:proofErr w:type="spellEnd"/>
      <w:r w:rsidRPr="000F4843">
        <w:rPr>
          <w:rFonts w:eastAsia="Arial" w:cs="Arial"/>
          <w:color w:val="000000"/>
          <w:lang w:eastAsia="en-US"/>
        </w:rPr>
        <w:t xml:space="preserve"> M, Kerem-Günel M. (2024). Young Children's Participation and Environment Measure (YC-PEM): Cross-Cultural </w:t>
      </w:r>
      <w:r w:rsidR="00007117">
        <w:rPr>
          <w:rFonts w:eastAsia="Arial" w:cs="Arial"/>
          <w:color w:val="000000"/>
          <w:lang w:eastAsia="en-US"/>
        </w:rPr>
        <w:t>a</w:t>
      </w:r>
      <w:r w:rsidRPr="000F4843">
        <w:rPr>
          <w:rFonts w:eastAsia="Arial" w:cs="Arial"/>
          <w:color w:val="000000"/>
          <w:lang w:eastAsia="en-US"/>
        </w:rPr>
        <w:t xml:space="preserve">daptation, </w:t>
      </w:r>
      <w:r w:rsidR="00007117">
        <w:rPr>
          <w:rFonts w:eastAsia="Arial" w:cs="Arial"/>
          <w:color w:val="000000"/>
          <w:lang w:eastAsia="en-US"/>
        </w:rPr>
        <w:t>r</w:t>
      </w:r>
      <w:r w:rsidRPr="000F4843">
        <w:rPr>
          <w:rFonts w:eastAsia="Arial" w:cs="Arial"/>
          <w:color w:val="000000"/>
          <w:lang w:eastAsia="en-US"/>
        </w:rPr>
        <w:t xml:space="preserve">eliability, and </w:t>
      </w:r>
      <w:r w:rsidR="00007117">
        <w:rPr>
          <w:rFonts w:eastAsia="Arial" w:cs="Arial"/>
          <w:color w:val="000000"/>
          <w:lang w:eastAsia="en-US"/>
        </w:rPr>
        <w:t>v</w:t>
      </w:r>
      <w:r w:rsidRPr="000F4843">
        <w:rPr>
          <w:rFonts w:eastAsia="Arial" w:cs="Arial"/>
          <w:color w:val="000000"/>
          <w:lang w:eastAsia="en-US"/>
        </w:rPr>
        <w:t xml:space="preserve">alidity of Turkish Version. </w:t>
      </w:r>
      <w:r w:rsidRPr="000F4843">
        <w:rPr>
          <w:rFonts w:eastAsia="Arial" w:cs="Arial"/>
          <w:i/>
          <w:color w:val="000000"/>
          <w:lang w:eastAsia="en-US"/>
        </w:rPr>
        <w:t>Percept Mot Skills</w:t>
      </w:r>
      <w:r w:rsidRPr="000F4843">
        <w:rPr>
          <w:rFonts w:eastAsia="Arial" w:cs="Arial"/>
          <w:color w:val="000000"/>
          <w:lang w:eastAsia="en-US"/>
        </w:rPr>
        <w:t>, 131(6):2125-2149.</w:t>
      </w:r>
      <w:r w:rsidRPr="000F4843">
        <w:rPr>
          <w:rFonts w:eastAsia="Arial" w:cs="Arial"/>
          <w:color w:val="0000FF"/>
          <w:u w:val="single"/>
          <w:lang w:eastAsia="en-US"/>
        </w:rPr>
        <w:t xml:space="preserve"> https://doi.org/10.1177/00315125241287971</w:t>
      </w:r>
    </w:p>
    <w:p w14:paraId="40C855F1" w14:textId="0DA79AF8"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Villegas VC, Bosak DL, Salgado Z, Phoenix M, Parde N, </w:t>
      </w:r>
      <w:proofErr w:type="spellStart"/>
      <w:r w:rsidRPr="000F4843">
        <w:rPr>
          <w:rFonts w:eastAsia="Arial" w:cs="Arial"/>
          <w:color w:val="000000"/>
          <w:lang w:eastAsia="en-US"/>
        </w:rPr>
        <w:t>Teplicky</w:t>
      </w:r>
      <w:proofErr w:type="spellEnd"/>
      <w:r w:rsidRPr="000F4843">
        <w:rPr>
          <w:rFonts w:eastAsia="Arial" w:cs="Arial"/>
          <w:color w:val="000000"/>
          <w:lang w:eastAsia="en-US"/>
        </w:rPr>
        <w:t xml:space="preserve"> R, Khetani MA; High Value Early Intervention Research Group. (2023). Diversified caregiver input to upgrade the Young Children's Participation and Environment Measure for equitable </w:t>
      </w:r>
      <w:proofErr w:type="spellStart"/>
      <w:r w:rsidRPr="000F4843">
        <w:rPr>
          <w:rFonts w:eastAsia="Arial" w:cs="Arial"/>
          <w:color w:val="000000"/>
          <w:lang w:eastAsia="en-US"/>
        </w:rPr>
        <w:lastRenderedPageBreak/>
        <w:t>pediatric</w:t>
      </w:r>
      <w:proofErr w:type="spellEnd"/>
      <w:r w:rsidRPr="000F4843">
        <w:rPr>
          <w:rFonts w:eastAsia="Arial" w:cs="Arial"/>
          <w:color w:val="000000"/>
          <w:lang w:eastAsia="en-US"/>
        </w:rPr>
        <w:t xml:space="preserve"> re/</w:t>
      </w:r>
      <w:proofErr w:type="spellStart"/>
      <w:r w:rsidRPr="000F4843">
        <w:rPr>
          <w:rFonts w:eastAsia="Arial" w:cs="Arial"/>
          <w:color w:val="000000"/>
          <w:lang w:eastAsia="en-US"/>
        </w:rPr>
        <w:t>habilitation</w:t>
      </w:r>
      <w:proofErr w:type="spellEnd"/>
      <w:r w:rsidRPr="000F4843">
        <w:rPr>
          <w:rFonts w:eastAsia="Arial" w:cs="Arial"/>
          <w:color w:val="000000"/>
          <w:lang w:eastAsia="en-US"/>
        </w:rPr>
        <w:t xml:space="preserve"> practice. </w:t>
      </w:r>
      <w:r w:rsidRPr="000F4843">
        <w:rPr>
          <w:rFonts w:eastAsia="Arial" w:cs="Arial"/>
          <w:i/>
          <w:color w:val="000000"/>
          <w:lang w:eastAsia="en-US"/>
        </w:rPr>
        <w:t>J Patient Rep Outcomes</w:t>
      </w:r>
      <w:r w:rsidRPr="000F4843">
        <w:rPr>
          <w:rFonts w:eastAsia="Arial" w:cs="Arial"/>
          <w:color w:val="000000"/>
          <w:lang w:eastAsia="en-US"/>
        </w:rPr>
        <w:t>, 7(1):87.</w:t>
      </w:r>
      <w:r w:rsidRPr="000F4843">
        <w:rPr>
          <w:rFonts w:eastAsia="Arial" w:cs="Arial"/>
          <w:color w:val="0000FF"/>
          <w:u w:val="single"/>
          <w:lang w:eastAsia="en-US"/>
        </w:rPr>
        <w:t xml:space="preserve"> https://doi.org/10.1186/s41687-023-00627-2</w:t>
      </w:r>
    </w:p>
    <w:p w14:paraId="6095DA43" w14:textId="67A93230"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Chien CW, Leung C, Schoeb V, Au A. (2021). A Chinese version of the young children's participation and environment measure: </w:t>
      </w:r>
      <w:r w:rsidR="00CB5BF7">
        <w:rPr>
          <w:rFonts w:eastAsia="Arial" w:cs="Arial"/>
          <w:color w:val="000000"/>
          <w:lang w:eastAsia="en-US"/>
        </w:rPr>
        <w:t>P</w:t>
      </w:r>
      <w:r w:rsidRPr="000F4843">
        <w:rPr>
          <w:rFonts w:eastAsia="Arial" w:cs="Arial"/>
          <w:color w:val="000000"/>
          <w:lang w:eastAsia="en-US"/>
        </w:rPr>
        <w:t xml:space="preserve">sychometric evaluation in a Hong Kong sample. </w:t>
      </w:r>
      <w:proofErr w:type="spellStart"/>
      <w:r w:rsidRPr="000F4843">
        <w:rPr>
          <w:rFonts w:eastAsia="Arial" w:cs="Arial"/>
          <w:i/>
          <w:color w:val="000000"/>
          <w:lang w:eastAsia="en-US"/>
        </w:rPr>
        <w:t>Disabil</w:t>
      </w:r>
      <w:proofErr w:type="spellEnd"/>
      <w:r w:rsidRPr="000F4843">
        <w:rPr>
          <w:rFonts w:eastAsia="Arial" w:cs="Arial"/>
          <w:i/>
          <w:color w:val="000000"/>
          <w:lang w:eastAsia="en-US"/>
        </w:rPr>
        <w:t xml:space="preserve"> </w:t>
      </w:r>
      <w:proofErr w:type="spellStart"/>
      <w:r w:rsidRPr="000F4843">
        <w:rPr>
          <w:rFonts w:eastAsia="Arial" w:cs="Arial"/>
          <w:i/>
          <w:color w:val="000000"/>
          <w:lang w:eastAsia="en-US"/>
        </w:rPr>
        <w:t>Rehabil</w:t>
      </w:r>
      <w:proofErr w:type="spellEnd"/>
      <w:r w:rsidRPr="000F4843">
        <w:rPr>
          <w:rFonts w:eastAsia="Arial" w:cs="Arial"/>
          <w:color w:val="000000"/>
          <w:lang w:eastAsia="en-US"/>
        </w:rPr>
        <w:t>, 43(21):3061-3069.</w:t>
      </w:r>
      <w:r w:rsidRPr="000F4843">
        <w:rPr>
          <w:rFonts w:eastAsia="Arial" w:cs="Arial"/>
          <w:color w:val="0000FF"/>
          <w:u w:val="single"/>
          <w:lang w:eastAsia="en-US"/>
        </w:rPr>
        <w:t xml:space="preserve"> https://doi.org/10.1080/09638288.2020.1727032</w:t>
      </w:r>
    </w:p>
    <w:p w14:paraId="6FE322C4" w14:textId="77777777"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Lim CY, Law M, Khetani M, Rosenbaum P, Pollock N. (2018). Psychometric Evaluation of the Young Children's Participation and Environment Measure (YC-PEM) for use in Singapore. </w:t>
      </w:r>
      <w:r w:rsidRPr="000F4843">
        <w:rPr>
          <w:rFonts w:eastAsia="Arial" w:cs="Arial"/>
          <w:i/>
          <w:color w:val="000000"/>
          <w:lang w:eastAsia="en-US"/>
        </w:rPr>
        <w:t xml:space="preserve">Phys </w:t>
      </w:r>
      <w:proofErr w:type="spellStart"/>
      <w:r w:rsidRPr="000F4843">
        <w:rPr>
          <w:rFonts w:eastAsia="Arial" w:cs="Arial"/>
          <w:i/>
          <w:color w:val="000000"/>
          <w:lang w:eastAsia="en-US"/>
        </w:rPr>
        <w:t>Occup</w:t>
      </w:r>
      <w:proofErr w:type="spellEnd"/>
      <w:r w:rsidRPr="000F4843">
        <w:rPr>
          <w:rFonts w:eastAsia="Arial" w:cs="Arial"/>
          <w:i/>
          <w:color w:val="000000"/>
          <w:lang w:eastAsia="en-US"/>
        </w:rPr>
        <w:t xml:space="preserve"> Ther </w:t>
      </w:r>
      <w:proofErr w:type="spellStart"/>
      <w:r w:rsidRPr="000F4843">
        <w:rPr>
          <w:rFonts w:eastAsia="Arial" w:cs="Arial"/>
          <w:i/>
          <w:color w:val="000000"/>
          <w:lang w:eastAsia="en-US"/>
        </w:rPr>
        <w:t>Pediatr</w:t>
      </w:r>
      <w:proofErr w:type="spellEnd"/>
      <w:r w:rsidRPr="000F4843">
        <w:rPr>
          <w:rFonts w:eastAsia="Arial" w:cs="Arial"/>
          <w:color w:val="000000"/>
          <w:lang w:eastAsia="en-US"/>
        </w:rPr>
        <w:t>, 38(3):316-328.</w:t>
      </w:r>
      <w:r w:rsidRPr="000F4843">
        <w:rPr>
          <w:rFonts w:eastAsia="Arial" w:cs="Arial"/>
          <w:color w:val="0000FF"/>
          <w:u w:val="single"/>
          <w:lang w:eastAsia="en-US"/>
        </w:rPr>
        <w:t xml:space="preserve"> https://doi.org/10.1080/01942638.2017.1347911</w:t>
      </w:r>
    </w:p>
    <w:p w14:paraId="77B99EA7" w14:textId="4C461D1A"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Åström FM, Khetani M, Axelsson AK. (2018). Young Children's Participation and Environment Measure: Swedish </w:t>
      </w:r>
      <w:r w:rsidR="007234B4">
        <w:rPr>
          <w:rFonts w:eastAsia="Arial" w:cs="Arial"/>
          <w:color w:val="000000"/>
          <w:lang w:eastAsia="en-US"/>
        </w:rPr>
        <w:t>c</w:t>
      </w:r>
      <w:r w:rsidRPr="000F4843">
        <w:rPr>
          <w:rFonts w:eastAsia="Arial" w:cs="Arial"/>
          <w:color w:val="000000"/>
          <w:lang w:eastAsia="en-US"/>
        </w:rPr>
        <w:t xml:space="preserve">ultural </w:t>
      </w:r>
      <w:r w:rsidR="007234B4">
        <w:rPr>
          <w:rFonts w:eastAsia="Arial" w:cs="Arial"/>
          <w:color w:val="000000"/>
          <w:lang w:eastAsia="en-US"/>
        </w:rPr>
        <w:t>a</w:t>
      </w:r>
      <w:r w:rsidRPr="000F4843">
        <w:rPr>
          <w:rFonts w:eastAsia="Arial" w:cs="Arial"/>
          <w:color w:val="000000"/>
          <w:lang w:eastAsia="en-US"/>
        </w:rPr>
        <w:t xml:space="preserve">daptation. </w:t>
      </w:r>
      <w:r w:rsidRPr="000F4843">
        <w:rPr>
          <w:rFonts w:eastAsia="Arial" w:cs="Arial"/>
          <w:i/>
          <w:color w:val="000000"/>
          <w:lang w:eastAsia="en-US"/>
        </w:rPr>
        <w:t xml:space="preserve">Phys </w:t>
      </w:r>
      <w:proofErr w:type="spellStart"/>
      <w:r w:rsidRPr="000F4843">
        <w:rPr>
          <w:rFonts w:eastAsia="Arial" w:cs="Arial"/>
          <w:i/>
          <w:color w:val="000000"/>
          <w:lang w:eastAsia="en-US"/>
        </w:rPr>
        <w:t>Occup</w:t>
      </w:r>
      <w:proofErr w:type="spellEnd"/>
      <w:r w:rsidRPr="000F4843">
        <w:rPr>
          <w:rFonts w:eastAsia="Arial" w:cs="Arial"/>
          <w:i/>
          <w:color w:val="000000"/>
          <w:lang w:eastAsia="en-US"/>
        </w:rPr>
        <w:t xml:space="preserve"> Ther </w:t>
      </w:r>
      <w:proofErr w:type="spellStart"/>
      <w:r w:rsidRPr="000F4843">
        <w:rPr>
          <w:rFonts w:eastAsia="Arial" w:cs="Arial"/>
          <w:i/>
          <w:color w:val="000000"/>
          <w:lang w:eastAsia="en-US"/>
        </w:rPr>
        <w:t>Pediatr</w:t>
      </w:r>
      <w:proofErr w:type="spellEnd"/>
      <w:r w:rsidRPr="000F4843">
        <w:rPr>
          <w:rFonts w:eastAsia="Arial" w:cs="Arial"/>
          <w:color w:val="000000"/>
          <w:lang w:eastAsia="en-US"/>
        </w:rPr>
        <w:t>, 38(3):329-342.</w:t>
      </w:r>
      <w:r w:rsidRPr="000F4843">
        <w:rPr>
          <w:rFonts w:eastAsia="Arial" w:cs="Arial"/>
          <w:color w:val="0000FF"/>
          <w:u w:val="single"/>
          <w:lang w:eastAsia="en-US"/>
        </w:rPr>
        <w:t xml:space="preserve"> https://doi.org/10.1080/01942638.2017.1318430</w:t>
      </w:r>
    </w:p>
    <w:p w14:paraId="27086AC6" w14:textId="77777777"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proofErr w:type="spellStart"/>
      <w:r w:rsidRPr="000F4843">
        <w:rPr>
          <w:rFonts w:eastAsia="Arial" w:cs="Arial"/>
          <w:color w:val="000000"/>
          <w:lang w:eastAsia="en-US"/>
        </w:rPr>
        <w:t>Arestad</w:t>
      </w:r>
      <w:proofErr w:type="spellEnd"/>
      <w:r w:rsidRPr="000F4843">
        <w:rPr>
          <w:rFonts w:eastAsia="Arial" w:cs="Arial"/>
          <w:color w:val="000000"/>
          <w:lang w:eastAsia="en-US"/>
        </w:rPr>
        <w:t xml:space="preserve"> KE, MacPhee D, Lim CY, Khetani MA. (2017). Cultural adaptation of a </w:t>
      </w:r>
      <w:proofErr w:type="spellStart"/>
      <w:r w:rsidRPr="000F4843">
        <w:rPr>
          <w:rFonts w:eastAsia="Arial" w:cs="Arial"/>
          <w:color w:val="000000"/>
          <w:lang w:eastAsia="en-US"/>
        </w:rPr>
        <w:t>pediatric</w:t>
      </w:r>
      <w:proofErr w:type="spellEnd"/>
      <w:r w:rsidRPr="000F4843">
        <w:rPr>
          <w:rFonts w:eastAsia="Arial" w:cs="Arial"/>
          <w:color w:val="000000"/>
          <w:lang w:eastAsia="en-US"/>
        </w:rPr>
        <w:t xml:space="preserve"> functional assessment for rehabilitation outcomes research. </w:t>
      </w:r>
      <w:r w:rsidRPr="000F4843">
        <w:rPr>
          <w:rFonts w:eastAsia="Arial" w:cs="Arial"/>
          <w:i/>
          <w:color w:val="000000"/>
          <w:lang w:eastAsia="en-US"/>
        </w:rPr>
        <w:t>BMC Health Serv Res</w:t>
      </w:r>
      <w:r w:rsidRPr="000F4843">
        <w:rPr>
          <w:rFonts w:eastAsia="Arial" w:cs="Arial"/>
          <w:color w:val="000000"/>
          <w:lang w:eastAsia="en-US"/>
        </w:rPr>
        <w:t>, 17(1):658.</w:t>
      </w:r>
      <w:r w:rsidRPr="000F4843">
        <w:rPr>
          <w:rFonts w:eastAsia="Arial" w:cs="Arial"/>
          <w:color w:val="0000FF"/>
          <w:u w:val="single"/>
          <w:lang w:eastAsia="en-US"/>
        </w:rPr>
        <w:t xml:space="preserve"> https://doi.org/10.1186/s12913-017-2592-6</w:t>
      </w:r>
    </w:p>
    <w:p w14:paraId="08F4FC62" w14:textId="33E4E590"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Lim CY, Law M, Khetani M, Pollock N, Rosenbaum P. (2016). Establishing the </w:t>
      </w:r>
      <w:r w:rsidR="002F20E7">
        <w:rPr>
          <w:rFonts w:eastAsia="Arial" w:cs="Arial"/>
          <w:color w:val="000000"/>
          <w:lang w:eastAsia="en-US"/>
        </w:rPr>
        <w:t>c</w:t>
      </w:r>
      <w:r w:rsidRPr="000F4843">
        <w:rPr>
          <w:rFonts w:eastAsia="Arial" w:cs="Arial"/>
          <w:color w:val="000000"/>
          <w:lang w:eastAsia="en-US"/>
        </w:rPr>
        <w:t xml:space="preserve">ultural </w:t>
      </w:r>
      <w:r w:rsidR="002F20E7">
        <w:rPr>
          <w:rFonts w:eastAsia="Arial" w:cs="Arial"/>
          <w:color w:val="000000"/>
          <w:lang w:eastAsia="en-US"/>
        </w:rPr>
        <w:t>e</w:t>
      </w:r>
      <w:r w:rsidRPr="000F4843">
        <w:rPr>
          <w:rFonts w:eastAsia="Arial" w:cs="Arial"/>
          <w:color w:val="000000"/>
          <w:lang w:eastAsia="en-US"/>
        </w:rPr>
        <w:t xml:space="preserve">quivalence of the Young Children's Participation and Environment Measure (YC-PEM) for </w:t>
      </w:r>
      <w:r w:rsidR="002F20E7">
        <w:rPr>
          <w:rFonts w:eastAsia="Arial" w:cs="Arial"/>
          <w:color w:val="000000"/>
          <w:lang w:eastAsia="en-US"/>
        </w:rPr>
        <w:t>u</w:t>
      </w:r>
      <w:r w:rsidRPr="000F4843">
        <w:rPr>
          <w:rFonts w:eastAsia="Arial" w:cs="Arial"/>
          <w:color w:val="000000"/>
          <w:lang w:eastAsia="en-US"/>
        </w:rPr>
        <w:t xml:space="preserve">se in Singapore. </w:t>
      </w:r>
      <w:r w:rsidRPr="000F4843">
        <w:rPr>
          <w:rFonts w:eastAsia="Arial" w:cs="Arial"/>
          <w:i/>
          <w:color w:val="000000"/>
          <w:lang w:eastAsia="en-US"/>
        </w:rPr>
        <w:t xml:space="preserve">Phys </w:t>
      </w:r>
      <w:proofErr w:type="spellStart"/>
      <w:r w:rsidRPr="000F4843">
        <w:rPr>
          <w:rFonts w:eastAsia="Arial" w:cs="Arial"/>
          <w:i/>
          <w:color w:val="000000"/>
          <w:lang w:eastAsia="en-US"/>
        </w:rPr>
        <w:t>Occup</w:t>
      </w:r>
      <w:proofErr w:type="spellEnd"/>
      <w:r w:rsidRPr="000F4843">
        <w:rPr>
          <w:rFonts w:eastAsia="Arial" w:cs="Arial"/>
          <w:i/>
          <w:color w:val="000000"/>
          <w:lang w:eastAsia="en-US"/>
        </w:rPr>
        <w:t xml:space="preserve"> Ther </w:t>
      </w:r>
      <w:proofErr w:type="spellStart"/>
      <w:r w:rsidRPr="000F4843">
        <w:rPr>
          <w:rFonts w:eastAsia="Arial" w:cs="Arial"/>
          <w:i/>
          <w:color w:val="000000"/>
          <w:lang w:eastAsia="en-US"/>
        </w:rPr>
        <w:t>Pediatr</w:t>
      </w:r>
      <w:proofErr w:type="spellEnd"/>
      <w:r w:rsidRPr="000F4843">
        <w:rPr>
          <w:rFonts w:eastAsia="Arial" w:cs="Arial"/>
          <w:color w:val="000000"/>
          <w:lang w:eastAsia="en-US"/>
        </w:rPr>
        <w:t>, 36(4):422-39.</w:t>
      </w:r>
      <w:r w:rsidRPr="000F4843">
        <w:rPr>
          <w:rFonts w:eastAsia="Arial" w:cs="Arial"/>
          <w:color w:val="0000FF"/>
          <w:u w:val="single"/>
          <w:lang w:eastAsia="en-US"/>
        </w:rPr>
        <w:t xml:space="preserve"> https://doi.org/10.3109/01942638.2015.1101044</w:t>
      </w:r>
    </w:p>
    <w:p w14:paraId="3982F5E6" w14:textId="77777777" w:rsidR="00B46A56" w:rsidRPr="000F4843" w:rsidRDefault="00B46A56" w:rsidP="009B2E5A">
      <w:pPr>
        <w:pStyle w:val="Heading2"/>
        <w:rPr>
          <w:lang w:eastAsia="en-US"/>
        </w:rPr>
      </w:pPr>
      <w:r w:rsidRPr="000F4843">
        <w:rPr>
          <w:lang w:eastAsia="en-US"/>
        </w:rPr>
        <w:t>Outcome Studies</w:t>
      </w:r>
    </w:p>
    <w:p w14:paraId="7020382B" w14:textId="77777777" w:rsidR="00B46A56" w:rsidRPr="000F4843" w:rsidRDefault="00B46A56">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0F4843">
        <w:rPr>
          <w:rFonts w:eastAsia="Arial" w:cs="Arial"/>
          <w:color w:val="000000"/>
          <w:lang w:eastAsia="en-US"/>
        </w:rPr>
        <w:t xml:space="preserve">Khetani MA, McManus BM, Albrecht EC, Kaelin VC, Dooling-Litfin JK, Scully EA; High Value Early Intervention Research Group. (2020). Early intervention service intensity and young children's home participation. </w:t>
      </w:r>
      <w:r w:rsidRPr="000F4843">
        <w:rPr>
          <w:rFonts w:eastAsia="Arial" w:cs="Arial"/>
          <w:i/>
          <w:color w:val="000000"/>
          <w:lang w:eastAsia="en-US"/>
        </w:rPr>
        <w:t xml:space="preserve">BMC </w:t>
      </w:r>
      <w:proofErr w:type="spellStart"/>
      <w:r w:rsidRPr="000F4843">
        <w:rPr>
          <w:rFonts w:eastAsia="Arial" w:cs="Arial"/>
          <w:i/>
          <w:color w:val="000000"/>
          <w:lang w:eastAsia="en-US"/>
        </w:rPr>
        <w:t>Pediatr</w:t>
      </w:r>
      <w:proofErr w:type="spellEnd"/>
      <w:r w:rsidRPr="000F4843">
        <w:rPr>
          <w:rFonts w:eastAsia="Arial" w:cs="Arial"/>
          <w:color w:val="000000"/>
          <w:lang w:eastAsia="en-US"/>
        </w:rPr>
        <w:t>, 20(1):330.</w:t>
      </w:r>
      <w:r w:rsidRPr="000F4843">
        <w:rPr>
          <w:rFonts w:eastAsia="Arial" w:cs="Arial"/>
          <w:color w:val="0000FF"/>
          <w:u w:val="single"/>
          <w:lang w:eastAsia="en-US"/>
        </w:rPr>
        <w:t xml:space="preserve"> https://doi.org/10.1186/s12887-020-02182-x</w:t>
      </w:r>
    </w:p>
    <w:p w14:paraId="1F17ABA1" w14:textId="77777777" w:rsidR="00B46A56" w:rsidRPr="000F4843" w:rsidRDefault="00B46A56">
      <w:pPr>
        <w:rPr>
          <w:rFonts w:ascii="Aptos" w:eastAsia="Aptos" w:hAnsi="Aptos" w:cs="Arial"/>
          <w:lang w:eastAsia="en-US"/>
        </w:rPr>
      </w:pPr>
    </w:p>
    <w:p w14:paraId="6A200971" w14:textId="791919FD" w:rsidR="00BC1ABD" w:rsidRDefault="00BC1ABD">
      <w:pPr>
        <w:rPr>
          <w:rFonts w:eastAsia="Aptos" w:cs="Arial"/>
          <w:i/>
          <w:iCs/>
          <w:color w:val="000000"/>
          <w:lang w:eastAsia="en-US"/>
        </w:rPr>
      </w:pPr>
      <w:r>
        <w:rPr>
          <w:rFonts w:eastAsia="Aptos" w:cs="Arial"/>
          <w:i/>
          <w:iCs/>
          <w:color w:val="000000"/>
          <w:lang w:eastAsia="en-US"/>
        </w:rPr>
        <w:br w:type="page"/>
      </w:r>
    </w:p>
    <w:p w14:paraId="632FFFA2" w14:textId="74189A6D" w:rsidR="00B42F9D" w:rsidRPr="00196FF5" w:rsidRDefault="00B42F9D" w:rsidP="00196FF5">
      <w:pPr>
        <w:sectPr w:rsidR="00B42F9D" w:rsidRPr="00196FF5" w:rsidSect="00B42F9D">
          <w:pgSz w:w="11906" w:h="16838"/>
          <w:pgMar w:top="1440" w:right="1440" w:bottom="1440" w:left="1440" w:header="708" w:footer="708" w:gutter="0"/>
          <w:cols w:space="708"/>
          <w:docGrid w:linePitch="360"/>
        </w:sectPr>
      </w:pPr>
    </w:p>
    <w:p w14:paraId="00ECD8C5" w14:textId="77777777" w:rsidR="009D02E6" w:rsidRPr="0018070F" w:rsidRDefault="009D02E6" w:rsidP="00B9670F">
      <w:pPr>
        <w:pBdr>
          <w:top w:val="single" w:sz="4" w:space="1" w:color="auto"/>
        </w:pBdr>
        <w:spacing w:line="257" w:lineRule="auto"/>
        <w:rPr>
          <w:rFonts w:eastAsia="Arial" w:cs="Arial"/>
          <w:sz w:val="20"/>
          <w:szCs w:val="20"/>
        </w:rPr>
      </w:pPr>
      <w:r w:rsidRPr="3ED84D47">
        <w:rPr>
          <w:rFonts w:eastAsia="Arial" w:cs="Arial"/>
          <w:sz w:val="20"/>
          <w:szCs w:val="20"/>
        </w:rPr>
        <w:lastRenderedPageBreak/>
        <w:t xml:space="preserve">The University of Melbourne acknowledges the contributions of Healthy Trajectories, the Melbourne Disability Institute, STRONG kids, STRONG future, the Murdoch Children’s Research Institute (MCRI), Professionals and Researchers in Early Childhood Intervention (PRECI), SNAICC – National Voice for our Children, Children and Young People with Disability Australia, and ACD – Advocating for Children with Disability, in developing this material for the National Best Practice Framework for Early Childhood Intervention, which was commissioned by the Department of Social Services. </w:t>
      </w:r>
    </w:p>
    <w:p w14:paraId="1944B77D" w14:textId="77777777" w:rsidR="009D02E6" w:rsidRPr="0018070F" w:rsidRDefault="009D02E6" w:rsidP="00B9670F">
      <w:pPr>
        <w:pBdr>
          <w:top w:val="single" w:sz="4" w:space="1" w:color="auto"/>
        </w:pBdr>
        <w:spacing w:line="257" w:lineRule="auto"/>
        <w:rPr>
          <w:rFonts w:eastAsia="Arial" w:cs="Arial"/>
          <w:sz w:val="20"/>
          <w:szCs w:val="20"/>
        </w:rPr>
      </w:pPr>
      <w:r w:rsidRPr="3ED84D47">
        <w:rPr>
          <w:rFonts w:eastAsia="Arial" w:cs="Arial"/>
          <w:sz w:val="20"/>
          <w:szCs w:val="20"/>
        </w:rPr>
        <w:t xml:space="preserve">© UoM 2025. This material is protected by copyright. Unless indicated otherwise, the University of Melbourne owns or has rights to use the copyright subsisting in the materials.  You may use this material in accordance with </w:t>
      </w:r>
      <w:hyperlink r:id="rId59">
        <w:r w:rsidRPr="3ED84D47">
          <w:rPr>
            <w:rStyle w:val="Hyperlink"/>
            <w:rFonts w:eastAsia="Arial" w:cs="Arial"/>
            <w:color w:val="0563C1"/>
            <w:sz w:val="20"/>
            <w:szCs w:val="20"/>
          </w:rPr>
          <w:t xml:space="preserve">Creative Commons Licence CC BY-NC-ND 4.0 Attribution - Non Commercial - No Derivatives 4.0 International </w:t>
        </w:r>
      </w:hyperlink>
      <w:r w:rsidRPr="3ED84D47">
        <w:rPr>
          <w:rFonts w:eastAsia="Arial" w:cs="Arial"/>
          <w:sz w:val="20"/>
          <w:szCs w:val="20"/>
        </w:rPr>
        <w:t xml:space="preserve">– You are free to copy and redistribute the material in any medium or format for </w:t>
      </w:r>
      <w:r w:rsidRPr="3ED84D47">
        <w:rPr>
          <w:rFonts w:eastAsia="Arial" w:cs="Arial"/>
          <w:sz w:val="20"/>
          <w:szCs w:val="20"/>
          <w:u w:val="single"/>
        </w:rPr>
        <w:t>non-commercial</w:t>
      </w:r>
      <w:r w:rsidRPr="3ED84D47">
        <w:rPr>
          <w:rFonts w:eastAsia="Arial" w:cs="Arial"/>
          <w:sz w:val="20"/>
          <w:szCs w:val="20"/>
        </w:rPr>
        <w:t xml:space="preserve"> purposes provided that you attribute the material to The University of Melbourne and its collaborators (as listed above), and that you do not make any adaptations or derivative versions of the material other than for your own personal use. </w:t>
      </w:r>
    </w:p>
    <w:p w14:paraId="7C3FF98B" w14:textId="77777777" w:rsidR="009D02E6" w:rsidRPr="0018070F" w:rsidRDefault="009D02E6" w:rsidP="00B9670F">
      <w:pPr>
        <w:pBdr>
          <w:top w:val="single" w:sz="4" w:space="1" w:color="auto"/>
        </w:pBdr>
        <w:spacing w:line="257" w:lineRule="auto"/>
        <w:rPr>
          <w:rFonts w:eastAsia="Arial" w:cs="Arial"/>
          <w:sz w:val="20"/>
          <w:szCs w:val="20"/>
        </w:rPr>
      </w:pPr>
      <w:r w:rsidRPr="3ED84D47">
        <w:rPr>
          <w:rFonts w:eastAsia="Arial" w:cs="Arial"/>
          <w:sz w:val="20"/>
          <w:szCs w:val="20"/>
        </w:rPr>
        <w:t xml:space="preserve">This material contains and draws upon Indigenous Cultural and Intellectual Property (ICIP) contributed by SNAICC – National Voice for our Children and its staff and Aboriginal and Torres Strait Islander community-controlled organisations across Australia and their communities and is used with their consent. Dealing with any part of the materials containing ICIP for any purpose that has not been authorised by the custodians is a serious breach of the customary laws of these organisations and their communities including SNAICC – National Voice for our Children. You must handle ICIP accordingly when exercising the </w:t>
      </w:r>
      <w:hyperlink r:id="rId60">
        <w:r w:rsidRPr="3ED84D47">
          <w:rPr>
            <w:rStyle w:val="Hyperlink"/>
            <w:rFonts w:eastAsia="Arial" w:cs="Arial"/>
            <w:color w:val="0563C1"/>
            <w:sz w:val="20"/>
            <w:szCs w:val="20"/>
          </w:rPr>
          <w:t>Creative Commons Licence</w:t>
        </w:r>
      </w:hyperlink>
      <w:r w:rsidRPr="3ED84D47">
        <w:rPr>
          <w:rFonts w:eastAsia="Arial" w:cs="Arial"/>
          <w:sz w:val="20"/>
          <w:szCs w:val="20"/>
        </w:rPr>
        <w:t xml:space="preserve"> described above.</w:t>
      </w:r>
    </w:p>
    <w:p w14:paraId="3D554B9C" w14:textId="77777777" w:rsidR="009D02E6" w:rsidRPr="0018070F" w:rsidRDefault="009D02E6" w:rsidP="00B9670F">
      <w:pPr>
        <w:pBdr>
          <w:top w:val="single" w:sz="4" w:space="1" w:color="auto"/>
        </w:pBdr>
        <w:spacing w:line="257" w:lineRule="auto"/>
        <w:rPr>
          <w:rStyle w:val="Hyperlink"/>
          <w:rFonts w:eastAsia="Arial" w:cs="Arial"/>
          <w:color w:val="0563C1"/>
          <w:sz w:val="20"/>
          <w:szCs w:val="20"/>
        </w:rPr>
      </w:pPr>
      <w:r w:rsidRPr="3ED84D47">
        <w:rPr>
          <w:rFonts w:eastAsia="Arial" w:cs="Arial"/>
          <w:sz w:val="20"/>
          <w:szCs w:val="20"/>
        </w:rPr>
        <w:t xml:space="preserve">Requests and enquiries concerning reproduction and rights that are not addressed in the </w:t>
      </w:r>
      <w:hyperlink r:id="rId61">
        <w:r w:rsidRPr="3ED84D47">
          <w:rPr>
            <w:rStyle w:val="Hyperlink"/>
            <w:rFonts w:eastAsia="Arial" w:cs="Arial"/>
            <w:color w:val="0563C1"/>
            <w:sz w:val="20"/>
            <w:szCs w:val="20"/>
          </w:rPr>
          <w:t>Creative Commons Licence</w:t>
        </w:r>
      </w:hyperlink>
      <w:r w:rsidRPr="3ED84D47">
        <w:rPr>
          <w:rFonts w:eastAsia="Arial" w:cs="Arial"/>
          <w:sz w:val="20"/>
          <w:szCs w:val="20"/>
        </w:rPr>
        <w:t xml:space="preserve"> should be made to the University Copyright Office, The University of Melbourne: </w:t>
      </w:r>
      <w:hyperlink r:id="rId62">
        <w:r w:rsidRPr="3ED84D47">
          <w:rPr>
            <w:rStyle w:val="Hyperlink"/>
            <w:rFonts w:eastAsia="Arial" w:cs="Arial"/>
            <w:color w:val="0563C1"/>
            <w:sz w:val="20"/>
            <w:szCs w:val="20"/>
          </w:rPr>
          <w:t>copyright-office@unimelb.edu.au</w:t>
        </w:r>
      </w:hyperlink>
    </w:p>
    <w:p w14:paraId="0C427684" w14:textId="77777777" w:rsidR="009D02E6" w:rsidRPr="0018070F" w:rsidRDefault="009D02E6" w:rsidP="00B9670F">
      <w:pPr>
        <w:pBdr>
          <w:top w:val="single" w:sz="4" w:space="1" w:color="auto"/>
        </w:pBdr>
        <w:rPr>
          <w:rFonts w:cs="Arial"/>
          <w:sz w:val="20"/>
          <w:szCs w:val="20"/>
        </w:rPr>
      </w:pPr>
      <w:r w:rsidRPr="3ED84D47">
        <w:rPr>
          <w:rFonts w:cs="Arial"/>
          <w:sz w:val="20"/>
          <w:szCs w:val="20"/>
        </w:rPr>
        <w:t xml:space="preserve">Outcome measures content was produced by STRONG kids, STRONG future and Healthy Trajectories. </w:t>
      </w:r>
    </w:p>
    <w:p w14:paraId="71FA5315" w14:textId="77777777" w:rsidR="009D02E6" w:rsidRPr="00F63E30" w:rsidRDefault="009D02E6">
      <w:pPr>
        <w:rPr>
          <w:rFonts w:eastAsia="Aptos" w:cs="Arial"/>
          <w:i/>
          <w:iCs/>
          <w:color w:val="000000"/>
          <w:lang w:eastAsia="en-US"/>
        </w:rPr>
      </w:pPr>
    </w:p>
    <w:p w14:paraId="77B6C85E" w14:textId="1CDB3FA2" w:rsidR="006D309D" w:rsidRDefault="006D309D">
      <w:pPr>
        <w:rPr>
          <w:rFonts w:eastAsia="Aptos" w:cs="Arial"/>
          <w:sz w:val="22"/>
          <w:szCs w:val="22"/>
          <w:lang w:eastAsia="en-US"/>
        </w:rPr>
      </w:pPr>
    </w:p>
    <w:sectPr w:rsidR="006D309D" w:rsidSect="00316A54">
      <w:pgSz w:w="11910" w:h="16845"/>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AD763" w14:textId="77777777" w:rsidR="00A3631D" w:rsidRDefault="00A3631D" w:rsidP="00DA3237">
      <w:pPr>
        <w:spacing w:after="0" w:line="240" w:lineRule="auto"/>
      </w:pPr>
      <w:r>
        <w:separator/>
      </w:r>
    </w:p>
  </w:endnote>
  <w:endnote w:type="continuationSeparator" w:id="0">
    <w:p w14:paraId="6F9F644C" w14:textId="77777777" w:rsidR="00A3631D" w:rsidRDefault="00A3631D" w:rsidP="00DA3237">
      <w:pPr>
        <w:spacing w:after="0" w:line="240" w:lineRule="auto"/>
      </w:pPr>
      <w:r>
        <w:continuationSeparator/>
      </w:r>
    </w:p>
  </w:endnote>
  <w:endnote w:type="continuationNotice" w:id="1">
    <w:p w14:paraId="7AF0838E" w14:textId="77777777" w:rsidR="00A3631D" w:rsidRDefault="00A363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8EB2AFC-4CA6-49B7-867F-A87EAEF129CC}"/>
    <w:embedBold r:id="rId2" w:fontKey="{DF823374-B571-4213-A9DD-34D6D8E59505}"/>
    <w:embedItalic r:id="rId3" w:fontKey="{EB99188B-654B-426B-9589-35B514FEFB14}"/>
    <w:embedBoldItalic r:id="rId4" w:fontKey="{72A1DB3C-6138-41A6-8576-88FCB9CD7F4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D7F56C7A-7A92-483E-92CB-B5917EA132CD}"/>
  </w:font>
  <w:font w:name="Poppins">
    <w:charset w:val="00"/>
    <w:family w:val="auto"/>
    <w:pitch w:val="variable"/>
    <w:sig w:usb0="00008007" w:usb1="00000000" w:usb2="00000000" w:usb3="00000000" w:csb0="00000093" w:csb1="00000000"/>
    <w:embedRegular r:id="rId6" w:fontKey="{070CD3A3-85A7-41E1-87E2-6218ABC4A0CA}"/>
    <w:embedBold r:id="rId7" w:fontKey="{FDECA48E-369D-4ECC-B1F6-B7B779C24F3D}"/>
    <w:embedBoldItalic r:id="rId8" w:fontKey="{39CEC257-80E7-4D98-926E-44D32A91ADE1}"/>
  </w:font>
  <w:font w:name="Yu Gothic Light">
    <w:panose1 w:val="020B0300000000000000"/>
    <w:charset w:val="80"/>
    <w:family w:val="swiss"/>
    <w:pitch w:val="variable"/>
    <w:sig w:usb0="E00002FF" w:usb1="2AC7FDFF" w:usb2="00000016" w:usb3="00000000" w:csb0="0002009F" w:csb1="00000000"/>
  </w:font>
  <w:font w:name="Arial Bold">
    <w:altName w:val="Arial"/>
    <w:panose1 w:val="020B0704020202020204"/>
    <w:charset w:val="00"/>
    <w:family w:val="auto"/>
    <w:pitch w:val="default"/>
  </w:font>
  <w:font w:name="Canva Sans">
    <w:altName w:val="Calibri"/>
    <w:charset w:val="00"/>
    <w:family w:val="auto"/>
    <w:pitch w:val="default"/>
  </w:font>
  <w:font w:name="Libre Franklin Medium">
    <w:charset w:val="00"/>
    <w:family w:val="auto"/>
    <w:pitch w:val="variable"/>
    <w:sig w:usb0="A00000FF" w:usb1="4000205B" w:usb2="00000000" w:usb3="00000000" w:csb0="00000193" w:csb1="00000000"/>
  </w:font>
  <w:font w:name="Aptos Narrow">
    <w:charset w:val="00"/>
    <w:family w:val="swiss"/>
    <w:pitch w:val="variable"/>
    <w:sig w:usb0="20000287" w:usb1="00000003" w:usb2="00000000" w:usb3="00000000" w:csb0="0000019F" w:csb1="00000000"/>
    <w:embedRegular r:id="rId9" w:fontKey="{8187069F-F69B-44D8-8BC5-D60B927450F7}"/>
  </w:font>
  <w:font w:name="Aptos Display">
    <w:charset w:val="00"/>
    <w:family w:val="swiss"/>
    <w:pitch w:val="variable"/>
    <w:sig w:usb0="20000287" w:usb1="00000003" w:usb2="00000000" w:usb3="00000000" w:csb0="0000019F" w:csb1="00000000"/>
    <w:embedRegular r:id="rId10" w:fontKey="{F1472397-C8BF-48B0-93A5-AA077E081F2E}"/>
    <w:embedItalic r:id="rId11" w:fontKey="{E28A480A-4C55-4892-89E8-BC28205EA81F}"/>
  </w:font>
  <w:font w:name="Cambria Math">
    <w:panose1 w:val="02040503050406030204"/>
    <w:charset w:val="00"/>
    <w:family w:val="roman"/>
    <w:pitch w:val="variable"/>
    <w:sig w:usb0="E00006FF" w:usb1="420024FF" w:usb2="02000000" w:usb3="00000000" w:csb0="0000019F" w:csb1="00000000"/>
    <w:embedRegular r:id="rId12" w:fontKey="{74159DF9-936D-4BE6-99E3-5E8F056DCB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FB7F" w14:textId="5B6FA310" w:rsidR="00BB710D" w:rsidRDefault="009A3262" w:rsidP="009A3262">
    <w:pPr>
      <w:pStyle w:val="Footer"/>
      <w:tabs>
        <w:tab w:val="clear" w:pos="4513"/>
        <w:tab w:val="clear" w:pos="9026"/>
        <w:tab w:val="center" w:pos="6982"/>
      </w:tabs>
    </w:pPr>
    <w:r>
      <w:rPr>
        <w:noProof/>
      </w:rPr>
      <w:drawing>
        <wp:anchor distT="0" distB="0" distL="114300" distR="114300" simplePos="0" relativeHeight="251658244" behindDoc="0" locked="1" layoutInCell="1" allowOverlap="1" wp14:anchorId="4CE54EAB" wp14:editId="4229FFC8">
          <wp:simplePos x="0" y="0"/>
          <wp:positionH relativeFrom="margin">
            <wp:posOffset>-1771650</wp:posOffset>
          </wp:positionH>
          <wp:positionV relativeFrom="bottomMargin">
            <wp:posOffset>2926715</wp:posOffset>
          </wp:positionV>
          <wp:extent cx="9267825" cy="777875"/>
          <wp:effectExtent l="0" t="0" r="9525" b="3175"/>
          <wp:wrapNone/>
          <wp:docPr id="1783847662"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1" layoutInCell="1" allowOverlap="1" wp14:anchorId="67E641A9" wp14:editId="68F6B874">
          <wp:simplePos x="0" y="0"/>
          <wp:positionH relativeFrom="margin">
            <wp:posOffset>-204470</wp:posOffset>
          </wp:positionH>
          <wp:positionV relativeFrom="bottomMargin">
            <wp:posOffset>2909570</wp:posOffset>
          </wp:positionV>
          <wp:extent cx="9267825" cy="777875"/>
          <wp:effectExtent l="0" t="0" r="9525" b="3175"/>
          <wp:wrapNone/>
          <wp:docPr id="1712300171"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r w:rsidR="00BB710D">
      <w:rPr>
        <w:noProof/>
      </w:rPr>
      <w:drawing>
        <wp:anchor distT="0" distB="0" distL="114300" distR="114300" simplePos="0" relativeHeight="251658242" behindDoc="0" locked="1" layoutInCell="1" allowOverlap="1" wp14:anchorId="20B82AAD" wp14:editId="15AD125C">
          <wp:simplePos x="0" y="0"/>
          <wp:positionH relativeFrom="margin">
            <wp:align>center</wp:align>
          </wp:positionH>
          <wp:positionV relativeFrom="page">
            <wp:posOffset>9923145</wp:posOffset>
          </wp:positionV>
          <wp:extent cx="7242810" cy="608330"/>
          <wp:effectExtent l="0" t="0" r="0" b="1270"/>
          <wp:wrapNone/>
          <wp:docPr id="1101530524"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r>
      <w:tab/>
    </w:r>
    <w:r>
      <w:rPr>
        <w:noProof/>
      </w:rPr>
      <w:drawing>
        <wp:anchor distT="0" distB="0" distL="114300" distR="114300" simplePos="0" relativeHeight="251658247" behindDoc="0" locked="1" layoutInCell="1" allowOverlap="1" wp14:anchorId="64CF7F1E" wp14:editId="149081D4">
          <wp:simplePos x="0" y="0"/>
          <wp:positionH relativeFrom="margin">
            <wp:align>center</wp:align>
          </wp:positionH>
          <wp:positionV relativeFrom="page">
            <wp:align>bottom</wp:align>
          </wp:positionV>
          <wp:extent cx="9267825" cy="777875"/>
          <wp:effectExtent l="0" t="0" r="9525" b="3175"/>
          <wp:wrapNone/>
          <wp:docPr id="2116743497"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1" layoutInCell="1" allowOverlap="1" wp14:anchorId="79FEF393" wp14:editId="44D3495C">
          <wp:simplePos x="0" y="0"/>
          <wp:positionH relativeFrom="margin">
            <wp:posOffset>-1625600</wp:posOffset>
          </wp:positionH>
          <wp:positionV relativeFrom="page">
            <wp:posOffset>9918700</wp:posOffset>
          </wp:positionV>
          <wp:extent cx="9267825" cy="777875"/>
          <wp:effectExtent l="0" t="0" r="9525" b="3175"/>
          <wp:wrapNone/>
          <wp:docPr id="1268627839"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1" layoutInCell="1" allowOverlap="1" wp14:anchorId="779CBE07" wp14:editId="220E7356">
          <wp:simplePos x="0" y="0"/>
          <wp:positionH relativeFrom="margin">
            <wp:posOffset>-1771650</wp:posOffset>
          </wp:positionH>
          <wp:positionV relativeFrom="bottomMargin">
            <wp:posOffset>2926715</wp:posOffset>
          </wp:positionV>
          <wp:extent cx="9267825" cy="777875"/>
          <wp:effectExtent l="0" t="0" r="9525" b="3175"/>
          <wp:wrapNone/>
          <wp:docPr id="1795875422"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E97B6" w14:textId="77777777" w:rsidR="005429B4" w:rsidRDefault="005429B4" w:rsidP="009A3262">
    <w:pPr>
      <w:pStyle w:val="Footer"/>
      <w:tabs>
        <w:tab w:val="clear" w:pos="4513"/>
        <w:tab w:val="clear" w:pos="9026"/>
        <w:tab w:val="center" w:pos="6982"/>
      </w:tabs>
    </w:pPr>
    <w:r>
      <w:rPr>
        <w:noProof/>
      </w:rPr>
      <w:drawing>
        <wp:anchor distT="0" distB="0" distL="114300" distR="114300" simplePos="0" relativeHeight="251658250" behindDoc="0" locked="1" layoutInCell="1" allowOverlap="1" wp14:anchorId="0EEA6F1E" wp14:editId="52B58107">
          <wp:simplePos x="0" y="0"/>
          <wp:positionH relativeFrom="margin">
            <wp:posOffset>-1771650</wp:posOffset>
          </wp:positionH>
          <wp:positionV relativeFrom="bottomMargin">
            <wp:posOffset>2926715</wp:posOffset>
          </wp:positionV>
          <wp:extent cx="9267825" cy="777875"/>
          <wp:effectExtent l="0" t="0" r="9525" b="3175"/>
          <wp:wrapNone/>
          <wp:docPr id="1890352168"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1" layoutInCell="1" allowOverlap="1" wp14:anchorId="1823CD0D" wp14:editId="307E2797">
          <wp:simplePos x="0" y="0"/>
          <wp:positionH relativeFrom="margin">
            <wp:posOffset>-204470</wp:posOffset>
          </wp:positionH>
          <wp:positionV relativeFrom="bottomMargin">
            <wp:posOffset>2909570</wp:posOffset>
          </wp:positionV>
          <wp:extent cx="9267825" cy="777875"/>
          <wp:effectExtent l="0" t="0" r="9525" b="3175"/>
          <wp:wrapNone/>
          <wp:docPr id="1993328727"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1" layoutInCell="1" allowOverlap="1" wp14:anchorId="72C1AAB6" wp14:editId="0ABF06AD">
          <wp:simplePos x="0" y="0"/>
          <wp:positionH relativeFrom="margin">
            <wp:align>center</wp:align>
          </wp:positionH>
          <wp:positionV relativeFrom="page">
            <wp:posOffset>9923145</wp:posOffset>
          </wp:positionV>
          <wp:extent cx="7242810" cy="608330"/>
          <wp:effectExtent l="0" t="0" r="0" b="1270"/>
          <wp:wrapNone/>
          <wp:docPr id="790208964"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r>
      <w:tab/>
    </w:r>
    <w:r>
      <w:rPr>
        <w:noProof/>
      </w:rPr>
      <w:drawing>
        <wp:anchor distT="0" distB="0" distL="114300" distR="114300" simplePos="0" relativeHeight="251658251" behindDoc="0" locked="1" layoutInCell="1" allowOverlap="1" wp14:anchorId="61E5F858" wp14:editId="5E786CF5">
          <wp:simplePos x="0" y="0"/>
          <wp:positionH relativeFrom="margin">
            <wp:posOffset>-1771650</wp:posOffset>
          </wp:positionH>
          <wp:positionV relativeFrom="bottomMargin">
            <wp:posOffset>2926715</wp:posOffset>
          </wp:positionV>
          <wp:extent cx="9267825" cy="777875"/>
          <wp:effectExtent l="0" t="0" r="9525" b="3175"/>
          <wp:wrapNone/>
          <wp:docPr id="2104302750"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A7420" w14:textId="6EDF0D38" w:rsidR="00D86468" w:rsidRPr="009E0AE8" w:rsidRDefault="002E0504">
    <w:pPr>
      <w:pStyle w:val="Footer"/>
      <w:jc w:val="right"/>
      <w:rPr>
        <w:rFonts w:cs="Arial"/>
        <w:sz w:val="22"/>
        <w:szCs w:val="22"/>
      </w:rPr>
    </w:pPr>
    <w:r>
      <w:rPr>
        <w:noProof/>
      </w:rPr>
      <w:drawing>
        <wp:anchor distT="0" distB="0" distL="114300" distR="114300" simplePos="0" relativeHeight="251658241" behindDoc="0" locked="1" layoutInCell="1" allowOverlap="1" wp14:anchorId="7E0B0F3B" wp14:editId="581E6EA7">
          <wp:simplePos x="0" y="0"/>
          <wp:positionH relativeFrom="column">
            <wp:posOffset>-720090</wp:posOffset>
          </wp:positionH>
          <wp:positionV relativeFrom="page">
            <wp:posOffset>9935845</wp:posOffset>
          </wp:positionV>
          <wp:extent cx="7242810" cy="608330"/>
          <wp:effectExtent l="0" t="0" r="0" b="1270"/>
          <wp:wrapNone/>
          <wp:docPr id="273041275"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BA862" w14:textId="77777777" w:rsidR="00737353" w:rsidRDefault="00737353">
    <w:pPr>
      <w:pStyle w:val="Footer"/>
      <w:jc w:val="right"/>
    </w:pPr>
    <w:r>
      <w:rPr>
        <w:noProof/>
      </w:rPr>
      <w:drawing>
        <wp:anchor distT="0" distB="0" distL="114300" distR="114300" simplePos="0" relativeHeight="251658240" behindDoc="0" locked="1" layoutInCell="1" allowOverlap="1" wp14:anchorId="0D188BBB" wp14:editId="01B534F7">
          <wp:simplePos x="0" y="0"/>
          <wp:positionH relativeFrom="column">
            <wp:posOffset>-723900</wp:posOffset>
          </wp:positionH>
          <wp:positionV relativeFrom="page">
            <wp:posOffset>10005695</wp:posOffset>
          </wp:positionV>
          <wp:extent cx="7242810" cy="608330"/>
          <wp:effectExtent l="0" t="0" r="0" b="1270"/>
          <wp:wrapNone/>
          <wp:docPr id="2049201638"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r>
      <w:t>v0.2 2025 05 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2DDCE" w14:textId="77777777" w:rsidR="00A3631D" w:rsidRDefault="00A3631D" w:rsidP="00DA3237">
      <w:pPr>
        <w:spacing w:after="0" w:line="240" w:lineRule="auto"/>
      </w:pPr>
      <w:r>
        <w:separator/>
      </w:r>
    </w:p>
  </w:footnote>
  <w:footnote w:type="continuationSeparator" w:id="0">
    <w:p w14:paraId="4A7E4C34" w14:textId="77777777" w:rsidR="00A3631D" w:rsidRDefault="00A3631D" w:rsidP="00DA3237">
      <w:pPr>
        <w:spacing w:after="0" w:line="240" w:lineRule="auto"/>
      </w:pPr>
      <w:r>
        <w:continuationSeparator/>
      </w:r>
    </w:p>
  </w:footnote>
  <w:footnote w:type="continuationNotice" w:id="1">
    <w:p w14:paraId="706301D2" w14:textId="77777777" w:rsidR="00A3631D" w:rsidRDefault="00A363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A05A51" w14:paraId="66D6A793" w14:textId="77777777">
      <w:trPr>
        <w:trHeight w:val="300"/>
      </w:trPr>
      <w:tc>
        <w:tcPr>
          <w:tcW w:w="3005" w:type="dxa"/>
        </w:tcPr>
        <w:p w14:paraId="68AB3913" w14:textId="77777777" w:rsidR="00A05A51" w:rsidRDefault="00A05A51">
          <w:pPr>
            <w:pStyle w:val="Header"/>
            <w:ind w:left="-115"/>
          </w:pPr>
        </w:p>
      </w:tc>
      <w:tc>
        <w:tcPr>
          <w:tcW w:w="3005" w:type="dxa"/>
        </w:tcPr>
        <w:p w14:paraId="0BB97934" w14:textId="77777777" w:rsidR="00A05A51" w:rsidRDefault="00A05A51">
          <w:pPr>
            <w:pStyle w:val="Header"/>
            <w:jc w:val="center"/>
          </w:pPr>
        </w:p>
      </w:tc>
      <w:tc>
        <w:tcPr>
          <w:tcW w:w="3005" w:type="dxa"/>
        </w:tcPr>
        <w:p w14:paraId="656B778F" w14:textId="77777777" w:rsidR="00A05A51" w:rsidRDefault="00A05A51">
          <w:pPr>
            <w:pStyle w:val="Header"/>
            <w:ind w:right="-115"/>
            <w:jc w:val="right"/>
          </w:pPr>
        </w:p>
      </w:tc>
    </w:tr>
  </w:tbl>
  <w:p w14:paraId="53E7B18E" w14:textId="77777777" w:rsidR="00A05A51" w:rsidRDefault="00A05A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737353" w14:paraId="791AB5B8" w14:textId="77777777">
      <w:trPr>
        <w:trHeight w:val="300"/>
      </w:trPr>
      <w:tc>
        <w:tcPr>
          <w:tcW w:w="3005" w:type="dxa"/>
        </w:tcPr>
        <w:p w14:paraId="33A21F3A" w14:textId="77777777" w:rsidR="00737353" w:rsidRDefault="00737353">
          <w:pPr>
            <w:pStyle w:val="Header"/>
            <w:ind w:left="-115"/>
          </w:pPr>
        </w:p>
      </w:tc>
      <w:tc>
        <w:tcPr>
          <w:tcW w:w="3005" w:type="dxa"/>
        </w:tcPr>
        <w:p w14:paraId="6D94D4E0" w14:textId="77777777" w:rsidR="00737353" w:rsidRDefault="00737353">
          <w:pPr>
            <w:pStyle w:val="Header"/>
            <w:jc w:val="center"/>
          </w:pPr>
        </w:p>
      </w:tc>
      <w:tc>
        <w:tcPr>
          <w:tcW w:w="3005" w:type="dxa"/>
        </w:tcPr>
        <w:p w14:paraId="01B7894B" w14:textId="77777777" w:rsidR="00737353" w:rsidRDefault="00737353">
          <w:pPr>
            <w:pStyle w:val="Header"/>
            <w:ind w:right="-115"/>
            <w:jc w:val="right"/>
          </w:pPr>
        </w:p>
      </w:tc>
    </w:tr>
  </w:tbl>
  <w:p w14:paraId="10BA4BE2" w14:textId="77777777" w:rsidR="00737353" w:rsidRDefault="007373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8B822" w14:textId="0DF1585E" w:rsidR="0093727F" w:rsidRDefault="009372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A0A2" w14:textId="7ED7C78A" w:rsidR="008F74FE" w:rsidRDefault="008F74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5F25" w14:textId="2E79B3BE" w:rsidR="0093727F" w:rsidRDefault="009372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291D"/>
    <w:multiLevelType w:val="hybridMultilevel"/>
    <w:tmpl w:val="172C569C"/>
    <w:lvl w:ilvl="0" w:tplc="D93C5DE6">
      <w:start w:val="1"/>
      <w:numFmt w:val="bullet"/>
      <w:lvlText w:val="-"/>
      <w:lvlJc w:val="left"/>
      <w:pPr>
        <w:ind w:left="417" w:hanging="360"/>
      </w:pPr>
      <w:rPr>
        <w:rFonts w:ascii="Aptos" w:hAnsi="Apto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1" w15:restartNumberingAfterBreak="0">
    <w:nsid w:val="064A26B3"/>
    <w:multiLevelType w:val="hybridMultilevel"/>
    <w:tmpl w:val="5AE46DBA"/>
    <w:lvl w:ilvl="0" w:tplc="2CA8A4A0">
      <w:start w:val="1"/>
      <w:numFmt w:val="bullet"/>
      <w:lvlText w:val="-"/>
      <w:lvlJc w:val="left"/>
      <w:pPr>
        <w:ind w:left="417" w:hanging="360"/>
      </w:pPr>
      <w:rPr>
        <w:rFonts w:ascii="Aptos" w:hAnsi="Aptos" w:hint="default"/>
      </w:rPr>
    </w:lvl>
    <w:lvl w:ilvl="1" w:tplc="F6B070A6">
      <w:start w:val="1"/>
      <w:numFmt w:val="bullet"/>
      <w:lvlText w:val="o"/>
      <w:lvlJc w:val="left"/>
      <w:pPr>
        <w:ind w:left="1137" w:hanging="360"/>
      </w:pPr>
      <w:rPr>
        <w:rFonts w:ascii="Courier New" w:hAnsi="Courier New" w:hint="default"/>
      </w:rPr>
    </w:lvl>
    <w:lvl w:ilvl="2" w:tplc="F4E23076">
      <w:start w:val="1"/>
      <w:numFmt w:val="bullet"/>
      <w:lvlText w:val=""/>
      <w:lvlJc w:val="left"/>
      <w:pPr>
        <w:ind w:left="1857" w:hanging="360"/>
      </w:pPr>
      <w:rPr>
        <w:rFonts w:ascii="Wingdings" w:hAnsi="Wingdings" w:hint="default"/>
      </w:rPr>
    </w:lvl>
    <w:lvl w:ilvl="3" w:tplc="785E19A8">
      <w:start w:val="1"/>
      <w:numFmt w:val="bullet"/>
      <w:lvlText w:val=""/>
      <w:lvlJc w:val="left"/>
      <w:pPr>
        <w:ind w:left="2577" w:hanging="360"/>
      </w:pPr>
      <w:rPr>
        <w:rFonts w:ascii="Symbol" w:hAnsi="Symbol" w:hint="default"/>
      </w:rPr>
    </w:lvl>
    <w:lvl w:ilvl="4" w:tplc="BF3635D0">
      <w:start w:val="1"/>
      <w:numFmt w:val="bullet"/>
      <w:lvlText w:val="o"/>
      <w:lvlJc w:val="left"/>
      <w:pPr>
        <w:ind w:left="3297" w:hanging="360"/>
      </w:pPr>
      <w:rPr>
        <w:rFonts w:ascii="Courier New" w:hAnsi="Courier New" w:hint="default"/>
      </w:rPr>
    </w:lvl>
    <w:lvl w:ilvl="5" w:tplc="B6DE0A12">
      <w:start w:val="1"/>
      <w:numFmt w:val="bullet"/>
      <w:lvlText w:val=""/>
      <w:lvlJc w:val="left"/>
      <w:pPr>
        <w:ind w:left="4017" w:hanging="360"/>
      </w:pPr>
      <w:rPr>
        <w:rFonts w:ascii="Wingdings" w:hAnsi="Wingdings" w:hint="default"/>
      </w:rPr>
    </w:lvl>
    <w:lvl w:ilvl="6" w:tplc="955C6838">
      <w:start w:val="1"/>
      <w:numFmt w:val="bullet"/>
      <w:lvlText w:val=""/>
      <w:lvlJc w:val="left"/>
      <w:pPr>
        <w:ind w:left="4737" w:hanging="360"/>
      </w:pPr>
      <w:rPr>
        <w:rFonts w:ascii="Symbol" w:hAnsi="Symbol" w:hint="default"/>
      </w:rPr>
    </w:lvl>
    <w:lvl w:ilvl="7" w:tplc="BD4EDAFC">
      <w:start w:val="1"/>
      <w:numFmt w:val="bullet"/>
      <w:lvlText w:val="o"/>
      <w:lvlJc w:val="left"/>
      <w:pPr>
        <w:ind w:left="5457" w:hanging="360"/>
      </w:pPr>
      <w:rPr>
        <w:rFonts w:ascii="Courier New" w:hAnsi="Courier New" w:hint="default"/>
      </w:rPr>
    </w:lvl>
    <w:lvl w:ilvl="8" w:tplc="A574DF64">
      <w:start w:val="1"/>
      <w:numFmt w:val="bullet"/>
      <w:lvlText w:val=""/>
      <w:lvlJc w:val="left"/>
      <w:pPr>
        <w:ind w:left="6177" w:hanging="360"/>
      </w:pPr>
      <w:rPr>
        <w:rFonts w:ascii="Wingdings" w:hAnsi="Wingdings" w:hint="default"/>
      </w:rPr>
    </w:lvl>
  </w:abstractNum>
  <w:abstractNum w:abstractNumId="2" w15:restartNumberingAfterBreak="0">
    <w:nsid w:val="114B160D"/>
    <w:multiLevelType w:val="hybridMultilevel"/>
    <w:tmpl w:val="2612FD4C"/>
    <w:lvl w:ilvl="0" w:tplc="618CD00E">
      <w:start w:val="2"/>
      <w:numFmt w:val="bullet"/>
      <w:lvlText w:val="-"/>
      <w:lvlJc w:val="left"/>
      <w:pPr>
        <w:ind w:left="1813" w:hanging="360"/>
      </w:pPr>
      <w:rPr>
        <w:rFonts w:ascii="Arial" w:eastAsiaTheme="minorHAnsi" w:hAnsi="Arial" w:cs="Arial" w:hint="default"/>
      </w:rPr>
    </w:lvl>
    <w:lvl w:ilvl="1" w:tplc="0C090003" w:tentative="1">
      <w:start w:val="1"/>
      <w:numFmt w:val="bullet"/>
      <w:lvlText w:val="o"/>
      <w:lvlJc w:val="left"/>
      <w:pPr>
        <w:ind w:left="2533" w:hanging="360"/>
      </w:pPr>
      <w:rPr>
        <w:rFonts w:ascii="Courier New" w:hAnsi="Courier New" w:cs="Courier New" w:hint="default"/>
      </w:rPr>
    </w:lvl>
    <w:lvl w:ilvl="2" w:tplc="0C090005" w:tentative="1">
      <w:start w:val="1"/>
      <w:numFmt w:val="bullet"/>
      <w:lvlText w:val=""/>
      <w:lvlJc w:val="left"/>
      <w:pPr>
        <w:ind w:left="3253" w:hanging="360"/>
      </w:pPr>
      <w:rPr>
        <w:rFonts w:ascii="Wingdings" w:hAnsi="Wingdings" w:hint="default"/>
      </w:rPr>
    </w:lvl>
    <w:lvl w:ilvl="3" w:tplc="0C090001" w:tentative="1">
      <w:start w:val="1"/>
      <w:numFmt w:val="bullet"/>
      <w:lvlText w:val=""/>
      <w:lvlJc w:val="left"/>
      <w:pPr>
        <w:ind w:left="3973" w:hanging="360"/>
      </w:pPr>
      <w:rPr>
        <w:rFonts w:ascii="Symbol" w:hAnsi="Symbol" w:hint="default"/>
      </w:rPr>
    </w:lvl>
    <w:lvl w:ilvl="4" w:tplc="0C090003" w:tentative="1">
      <w:start w:val="1"/>
      <w:numFmt w:val="bullet"/>
      <w:lvlText w:val="o"/>
      <w:lvlJc w:val="left"/>
      <w:pPr>
        <w:ind w:left="4693" w:hanging="360"/>
      </w:pPr>
      <w:rPr>
        <w:rFonts w:ascii="Courier New" w:hAnsi="Courier New" w:cs="Courier New" w:hint="default"/>
      </w:rPr>
    </w:lvl>
    <w:lvl w:ilvl="5" w:tplc="0C090005" w:tentative="1">
      <w:start w:val="1"/>
      <w:numFmt w:val="bullet"/>
      <w:lvlText w:val=""/>
      <w:lvlJc w:val="left"/>
      <w:pPr>
        <w:ind w:left="5413" w:hanging="360"/>
      </w:pPr>
      <w:rPr>
        <w:rFonts w:ascii="Wingdings" w:hAnsi="Wingdings" w:hint="default"/>
      </w:rPr>
    </w:lvl>
    <w:lvl w:ilvl="6" w:tplc="0C090001" w:tentative="1">
      <w:start w:val="1"/>
      <w:numFmt w:val="bullet"/>
      <w:lvlText w:val=""/>
      <w:lvlJc w:val="left"/>
      <w:pPr>
        <w:ind w:left="6133" w:hanging="360"/>
      </w:pPr>
      <w:rPr>
        <w:rFonts w:ascii="Symbol" w:hAnsi="Symbol" w:hint="default"/>
      </w:rPr>
    </w:lvl>
    <w:lvl w:ilvl="7" w:tplc="0C090003" w:tentative="1">
      <w:start w:val="1"/>
      <w:numFmt w:val="bullet"/>
      <w:lvlText w:val="o"/>
      <w:lvlJc w:val="left"/>
      <w:pPr>
        <w:ind w:left="6853" w:hanging="360"/>
      </w:pPr>
      <w:rPr>
        <w:rFonts w:ascii="Courier New" w:hAnsi="Courier New" w:cs="Courier New" w:hint="default"/>
      </w:rPr>
    </w:lvl>
    <w:lvl w:ilvl="8" w:tplc="0C090005" w:tentative="1">
      <w:start w:val="1"/>
      <w:numFmt w:val="bullet"/>
      <w:lvlText w:val=""/>
      <w:lvlJc w:val="left"/>
      <w:pPr>
        <w:ind w:left="7573" w:hanging="360"/>
      </w:pPr>
      <w:rPr>
        <w:rFonts w:ascii="Wingdings" w:hAnsi="Wingdings" w:hint="default"/>
      </w:rPr>
    </w:lvl>
  </w:abstractNum>
  <w:abstractNum w:abstractNumId="3" w15:restartNumberingAfterBreak="0">
    <w:nsid w:val="1D80B258"/>
    <w:multiLevelType w:val="hybridMultilevel"/>
    <w:tmpl w:val="EF80C3F6"/>
    <w:lvl w:ilvl="0" w:tplc="257446F2">
      <w:start w:val="1"/>
      <w:numFmt w:val="bullet"/>
      <w:lvlText w:val=""/>
      <w:lvlJc w:val="left"/>
      <w:pPr>
        <w:ind w:left="720" w:hanging="360"/>
      </w:pPr>
      <w:rPr>
        <w:rFonts w:ascii="Symbol" w:hAnsi="Symbol" w:hint="default"/>
      </w:rPr>
    </w:lvl>
    <w:lvl w:ilvl="1" w:tplc="44DABAC4">
      <w:start w:val="1"/>
      <w:numFmt w:val="bullet"/>
      <w:lvlText w:val="o"/>
      <w:lvlJc w:val="left"/>
      <w:pPr>
        <w:ind w:left="1440" w:hanging="360"/>
      </w:pPr>
      <w:rPr>
        <w:rFonts w:ascii="Courier New" w:hAnsi="Courier New" w:hint="default"/>
      </w:rPr>
    </w:lvl>
    <w:lvl w:ilvl="2" w:tplc="6230514C">
      <w:start w:val="1"/>
      <w:numFmt w:val="bullet"/>
      <w:lvlText w:val=""/>
      <w:lvlJc w:val="left"/>
      <w:pPr>
        <w:ind w:left="2160" w:hanging="360"/>
      </w:pPr>
      <w:rPr>
        <w:rFonts w:ascii="Wingdings" w:hAnsi="Wingdings" w:hint="default"/>
      </w:rPr>
    </w:lvl>
    <w:lvl w:ilvl="3" w:tplc="3FA06194">
      <w:start w:val="1"/>
      <w:numFmt w:val="bullet"/>
      <w:lvlText w:val=""/>
      <w:lvlJc w:val="left"/>
      <w:pPr>
        <w:ind w:left="2880" w:hanging="360"/>
      </w:pPr>
      <w:rPr>
        <w:rFonts w:ascii="Symbol" w:hAnsi="Symbol" w:hint="default"/>
      </w:rPr>
    </w:lvl>
    <w:lvl w:ilvl="4" w:tplc="C542F10C">
      <w:start w:val="1"/>
      <w:numFmt w:val="bullet"/>
      <w:lvlText w:val="o"/>
      <w:lvlJc w:val="left"/>
      <w:pPr>
        <w:ind w:left="3600" w:hanging="360"/>
      </w:pPr>
      <w:rPr>
        <w:rFonts w:ascii="Courier New" w:hAnsi="Courier New" w:hint="default"/>
      </w:rPr>
    </w:lvl>
    <w:lvl w:ilvl="5" w:tplc="0A68A432">
      <w:start w:val="1"/>
      <w:numFmt w:val="bullet"/>
      <w:lvlText w:val=""/>
      <w:lvlJc w:val="left"/>
      <w:pPr>
        <w:ind w:left="4320" w:hanging="360"/>
      </w:pPr>
      <w:rPr>
        <w:rFonts w:ascii="Wingdings" w:hAnsi="Wingdings" w:hint="default"/>
      </w:rPr>
    </w:lvl>
    <w:lvl w:ilvl="6" w:tplc="B3E4E08A">
      <w:start w:val="1"/>
      <w:numFmt w:val="bullet"/>
      <w:lvlText w:val=""/>
      <w:lvlJc w:val="left"/>
      <w:pPr>
        <w:ind w:left="5040" w:hanging="360"/>
      </w:pPr>
      <w:rPr>
        <w:rFonts w:ascii="Symbol" w:hAnsi="Symbol" w:hint="default"/>
      </w:rPr>
    </w:lvl>
    <w:lvl w:ilvl="7" w:tplc="C7A8FA22">
      <w:start w:val="1"/>
      <w:numFmt w:val="bullet"/>
      <w:lvlText w:val="o"/>
      <w:lvlJc w:val="left"/>
      <w:pPr>
        <w:ind w:left="5760" w:hanging="360"/>
      </w:pPr>
      <w:rPr>
        <w:rFonts w:ascii="Courier New" w:hAnsi="Courier New" w:hint="default"/>
      </w:rPr>
    </w:lvl>
    <w:lvl w:ilvl="8" w:tplc="73AE70D4">
      <w:start w:val="1"/>
      <w:numFmt w:val="bullet"/>
      <w:lvlText w:val=""/>
      <w:lvlJc w:val="left"/>
      <w:pPr>
        <w:ind w:left="6480" w:hanging="360"/>
      </w:pPr>
      <w:rPr>
        <w:rFonts w:ascii="Wingdings" w:hAnsi="Wingdings" w:hint="default"/>
      </w:rPr>
    </w:lvl>
  </w:abstractNum>
  <w:abstractNum w:abstractNumId="4" w15:restartNumberingAfterBreak="0">
    <w:nsid w:val="202B4A9A"/>
    <w:multiLevelType w:val="hybridMultilevel"/>
    <w:tmpl w:val="6F98836A"/>
    <w:lvl w:ilvl="0" w:tplc="D93C5DE6">
      <w:start w:val="1"/>
      <w:numFmt w:val="bullet"/>
      <w:lvlText w:val="-"/>
      <w:lvlJc w:val="left"/>
      <w:pPr>
        <w:ind w:left="417" w:hanging="360"/>
      </w:pPr>
      <w:rPr>
        <w:rFonts w:ascii="Aptos" w:hAnsi="Aptos"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5" w15:restartNumberingAfterBreak="0">
    <w:nsid w:val="29863706"/>
    <w:multiLevelType w:val="hybridMultilevel"/>
    <w:tmpl w:val="66982D4E"/>
    <w:lvl w:ilvl="0" w:tplc="B3508C14">
      <w:start w:val="1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762D97"/>
    <w:multiLevelType w:val="hybridMultilevel"/>
    <w:tmpl w:val="A7AAA7B2"/>
    <w:lvl w:ilvl="0" w:tplc="A9E650F6">
      <w:start w:val="7"/>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BB85019"/>
    <w:multiLevelType w:val="hybridMultilevel"/>
    <w:tmpl w:val="76AAC1EA"/>
    <w:lvl w:ilvl="0" w:tplc="A9E650F6">
      <w:start w:val="7"/>
      <w:numFmt w:val="bullet"/>
      <w:lvlText w:val="-"/>
      <w:lvlJc w:val="left"/>
      <w:pPr>
        <w:ind w:left="430" w:hanging="360"/>
      </w:pPr>
      <w:rPr>
        <w:rFonts w:ascii="Arial" w:eastAsiaTheme="minorEastAsia" w:hAnsi="Arial" w:cs="Arial" w:hint="default"/>
      </w:rPr>
    </w:lvl>
    <w:lvl w:ilvl="1" w:tplc="0C090003" w:tentative="1">
      <w:start w:val="1"/>
      <w:numFmt w:val="bullet"/>
      <w:lvlText w:val="o"/>
      <w:lvlJc w:val="left"/>
      <w:pPr>
        <w:ind w:left="1150" w:hanging="360"/>
      </w:pPr>
      <w:rPr>
        <w:rFonts w:ascii="Courier New" w:hAnsi="Courier New" w:cs="Courier New" w:hint="default"/>
      </w:rPr>
    </w:lvl>
    <w:lvl w:ilvl="2" w:tplc="0C090005" w:tentative="1">
      <w:start w:val="1"/>
      <w:numFmt w:val="bullet"/>
      <w:lvlText w:val=""/>
      <w:lvlJc w:val="left"/>
      <w:pPr>
        <w:ind w:left="1870" w:hanging="360"/>
      </w:pPr>
      <w:rPr>
        <w:rFonts w:ascii="Wingdings" w:hAnsi="Wingdings" w:hint="default"/>
      </w:rPr>
    </w:lvl>
    <w:lvl w:ilvl="3" w:tplc="0C090001" w:tentative="1">
      <w:start w:val="1"/>
      <w:numFmt w:val="bullet"/>
      <w:lvlText w:val=""/>
      <w:lvlJc w:val="left"/>
      <w:pPr>
        <w:ind w:left="2590" w:hanging="360"/>
      </w:pPr>
      <w:rPr>
        <w:rFonts w:ascii="Symbol" w:hAnsi="Symbol" w:hint="default"/>
      </w:rPr>
    </w:lvl>
    <w:lvl w:ilvl="4" w:tplc="0C090003" w:tentative="1">
      <w:start w:val="1"/>
      <w:numFmt w:val="bullet"/>
      <w:lvlText w:val="o"/>
      <w:lvlJc w:val="left"/>
      <w:pPr>
        <w:ind w:left="3310" w:hanging="360"/>
      </w:pPr>
      <w:rPr>
        <w:rFonts w:ascii="Courier New" w:hAnsi="Courier New" w:cs="Courier New" w:hint="default"/>
      </w:rPr>
    </w:lvl>
    <w:lvl w:ilvl="5" w:tplc="0C090005" w:tentative="1">
      <w:start w:val="1"/>
      <w:numFmt w:val="bullet"/>
      <w:lvlText w:val=""/>
      <w:lvlJc w:val="left"/>
      <w:pPr>
        <w:ind w:left="4030" w:hanging="360"/>
      </w:pPr>
      <w:rPr>
        <w:rFonts w:ascii="Wingdings" w:hAnsi="Wingdings" w:hint="default"/>
      </w:rPr>
    </w:lvl>
    <w:lvl w:ilvl="6" w:tplc="0C090001" w:tentative="1">
      <w:start w:val="1"/>
      <w:numFmt w:val="bullet"/>
      <w:lvlText w:val=""/>
      <w:lvlJc w:val="left"/>
      <w:pPr>
        <w:ind w:left="4750" w:hanging="360"/>
      </w:pPr>
      <w:rPr>
        <w:rFonts w:ascii="Symbol" w:hAnsi="Symbol" w:hint="default"/>
      </w:rPr>
    </w:lvl>
    <w:lvl w:ilvl="7" w:tplc="0C090003" w:tentative="1">
      <w:start w:val="1"/>
      <w:numFmt w:val="bullet"/>
      <w:lvlText w:val="o"/>
      <w:lvlJc w:val="left"/>
      <w:pPr>
        <w:ind w:left="5470" w:hanging="360"/>
      </w:pPr>
      <w:rPr>
        <w:rFonts w:ascii="Courier New" w:hAnsi="Courier New" w:cs="Courier New" w:hint="default"/>
      </w:rPr>
    </w:lvl>
    <w:lvl w:ilvl="8" w:tplc="0C090005" w:tentative="1">
      <w:start w:val="1"/>
      <w:numFmt w:val="bullet"/>
      <w:lvlText w:val=""/>
      <w:lvlJc w:val="left"/>
      <w:pPr>
        <w:ind w:left="6190" w:hanging="360"/>
      </w:pPr>
      <w:rPr>
        <w:rFonts w:ascii="Wingdings" w:hAnsi="Wingdings" w:hint="default"/>
      </w:rPr>
    </w:lvl>
  </w:abstractNum>
  <w:abstractNum w:abstractNumId="8" w15:restartNumberingAfterBreak="0">
    <w:nsid w:val="43C6522E"/>
    <w:multiLevelType w:val="hybridMultilevel"/>
    <w:tmpl w:val="FC70ECC6"/>
    <w:lvl w:ilvl="0" w:tplc="D93C5DE6">
      <w:start w:val="1"/>
      <w:numFmt w:val="bullet"/>
      <w:lvlText w:val="-"/>
      <w:lvlJc w:val="left"/>
      <w:pPr>
        <w:ind w:left="777" w:hanging="360"/>
      </w:pPr>
      <w:rPr>
        <w:rFonts w:ascii="Aptos" w:hAnsi="Aptos"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 w15:restartNumberingAfterBreak="0">
    <w:nsid w:val="45A92DA6"/>
    <w:multiLevelType w:val="hybridMultilevel"/>
    <w:tmpl w:val="3A3A436A"/>
    <w:lvl w:ilvl="0" w:tplc="27762950">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F63FDA"/>
    <w:multiLevelType w:val="hybridMultilevel"/>
    <w:tmpl w:val="399C913E"/>
    <w:lvl w:ilvl="0" w:tplc="D93C5DE6">
      <w:start w:val="1"/>
      <w:numFmt w:val="bullet"/>
      <w:lvlText w:val="-"/>
      <w:lvlJc w:val="left"/>
      <w:pPr>
        <w:ind w:left="417" w:hanging="360"/>
      </w:pPr>
      <w:rPr>
        <w:rFonts w:ascii="Aptos" w:hAnsi="Apto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11" w15:restartNumberingAfterBreak="0">
    <w:nsid w:val="5B307A71"/>
    <w:multiLevelType w:val="hybridMultilevel"/>
    <w:tmpl w:val="6680C9B0"/>
    <w:lvl w:ilvl="0" w:tplc="0BBCA70C">
      <w:numFmt w:val="bullet"/>
      <w:pStyle w:val="ListParagraph"/>
      <w:lvlText w:val="-"/>
      <w:lvlJc w:val="left"/>
      <w:pPr>
        <w:ind w:left="417" w:hanging="360"/>
      </w:pPr>
      <w:rPr>
        <w:rFonts w:ascii="Arial" w:eastAsiaTheme="minorEastAsia" w:hAnsi="Arial" w:cs="Aria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2" w15:restartNumberingAfterBreak="0">
    <w:nsid w:val="5F6B4514"/>
    <w:multiLevelType w:val="hybridMultilevel"/>
    <w:tmpl w:val="0E1EE67E"/>
    <w:lvl w:ilvl="0" w:tplc="0D8278C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561521"/>
    <w:multiLevelType w:val="hybridMultilevel"/>
    <w:tmpl w:val="9D4A8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AA1134"/>
    <w:multiLevelType w:val="hybridMultilevel"/>
    <w:tmpl w:val="716E218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 w15:restartNumberingAfterBreak="0">
    <w:nsid w:val="752A1C41"/>
    <w:multiLevelType w:val="hybridMultilevel"/>
    <w:tmpl w:val="D0B2BD8A"/>
    <w:lvl w:ilvl="0" w:tplc="3AB24E14">
      <w:start w:val="59"/>
      <w:numFmt w:val="bullet"/>
      <w:lvlText w:val="-"/>
      <w:lvlJc w:val="left"/>
      <w:pPr>
        <w:ind w:left="430" w:hanging="360"/>
      </w:pPr>
      <w:rPr>
        <w:rFonts w:ascii="Arial" w:eastAsia="Aptos" w:hAnsi="Arial" w:cs="Arial" w:hint="default"/>
      </w:rPr>
    </w:lvl>
    <w:lvl w:ilvl="1" w:tplc="0C090003" w:tentative="1">
      <w:start w:val="1"/>
      <w:numFmt w:val="bullet"/>
      <w:lvlText w:val="o"/>
      <w:lvlJc w:val="left"/>
      <w:pPr>
        <w:ind w:left="1150" w:hanging="360"/>
      </w:pPr>
      <w:rPr>
        <w:rFonts w:ascii="Courier New" w:hAnsi="Courier New" w:cs="Courier New" w:hint="default"/>
      </w:rPr>
    </w:lvl>
    <w:lvl w:ilvl="2" w:tplc="0C090005" w:tentative="1">
      <w:start w:val="1"/>
      <w:numFmt w:val="bullet"/>
      <w:lvlText w:val=""/>
      <w:lvlJc w:val="left"/>
      <w:pPr>
        <w:ind w:left="1870" w:hanging="360"/>
      </w:pPr>
      <w:rPr>
        <w:rFonts w:ascii="Wingdings" w:hAnsi="Wingdings" w:hint="default"/>
      </w:rPr>
    </w:lvl>
    <w:lvl w:ilvl="3" w:tplc="0C090001" w:tentative="1">
      <w:start w:val="1"/>
      <w:numFmt w:val="bullet"/>
      <w:lvlText w:val=""/>
      <w:lvlJc w:val="left"/>
      <w:pPr>
        <w:ind w:left="2590" w:hanging="360"/>
      </w:pPr>
      <w:rPr>
        <w:rFonts w:ascii="Symbol" w:hAnsi="Symbol" w:hint="default"/>
      </w:rPr>
    </w:lvl>
    <w:lvl w:ilvl="4" w:tplc="0C090003" w:tentative="1">
      <w:start w:val="1"/>
      <w:numFmt w:val="bullet"/>
      <w:lvlText w:val="o"/>
      <w:lvlJc w:val="left"/>
      <w:pPr>
        <w:ind w:left="3310" w:hanging="360"/>
      </w:pPr>
      <w:rPr>
        <w:rFonts w:ascii="Courier New" w:hAnsi="Courier New" w:cs="Courier New" w:hint="default"/>
      </w:rPr>
    </w:lvl>
    <w:lvl w:ilvl="5" w:tplc="0C090005" w:tentative="1">
      <w:start w:val="1"/>
      <w:numFmt w:val="bullet"/>
      <w:lvlText w:val=""/>
      <w:lvlJc w:val="left"/>
      <w:pPr>
        <w:ind w:left="4030" w:hanging="360"/>
      </w:pPr>
      <w:rPr>
        <w:rFonts w:ascii="Wingdings" w:hAnsi="Wingdings" w:hint="default"/>
      </w:rPr>
    </w:lvl>
    <w:lvl w:ilvl="6" w:tplc="0C090001" w:tentative="1">
      <w:start w:val="1"/>
      <w:numFmt w:val="bullet"/>
      <w:lvlText w:val=""/>
      <w:lvlJc w:val="left"/>
      <w:pPr>
        <w:ind w:left="4750" w:hanging="360"/>
      </w:pPr>
      <w:rPr>
        <w:rFonts w:ascii="Symbol" w:hAnsi="Symbol" w:hint="default"/>
      </w:rPr>
    </w:lvl>
    <w:lvl w:ilvl="7" w:tplc="0C090003" w:tentative="1">
      <w:start w:val="1"/>
      <w:numFmt w:val="bullet"/>
      <w:lvlText w:val="o"/>
      <w:lvlJc w:val="left"/>
      <w:pPr>
        <w:ind w:left="5470" w:hanging="360"/>
      </w:pPr>
      <w:rPr>
        <w:rFonts w:ascii="Courier New" w:hAnsi="Courier New" w:cs="Courier New" w:hint="default"/>
      </w:rPr>
    </w:lvl>
    <w:lvl w:ilvl="8" w:tplc="0C090005" w:tentative="1">
      <w:start w:val="1"/>
      <w:numFmt w:val="bullet"/>
      <w:lvlText w:val=""/>
      <w:lvlJc w:val="left"/>
      <w:pPr>
        <w:ind w:left="6190" w:hanging="360"/>
      </w:pPr>
      <w:rPr>
        <w:rFonts w:ascii="Wingdings" w:hAnsi="Wingdings" w:hint="default"/>
      </w:rPr>
    </w:lvl>
  </w:abstractNum>
  <w:num w:numId="1" w16cid:durableId="1891721866">
    <w:abstractNumId w:val="0"/>
  </w:num>
  <w:num w:numId="2" w16cid:durableId="1805149678">
    <w:abstractNumId w:val="3"/>
  </w:num>
  <w:num w:numId="3" w16cid:durableId="70203449">
    <w:abstractNumId w:val="9"/>
  </w:num>
  <w:num w:numId="4" w16cid:durableId="1737586253">
    <w:abstractNumId w:val="2"/>
  </w:num>
  <w:num w:numId="5" w16cid:durableId="942541431">
    <w:abstractNumId w:val="6"/>
  </w:num>
  <w:num w:numId="6" w16cid:durableId="1175918848">
    <w:abstractNumId w:val="7"/>
  </w:num>
  <w:num w:numId="7" w16cid:durableId="1342708064">
    <w:abstractNumId w:val="11"/>
  </w:num>
  <w:num w:numId="8" w16cid:durableId="1102528059">
    <w:abstractNumId w:val="10"/>
  </w:num>
  <w:num w:numId="9" w16cid:durableId="1421294349">
    <w:abstractNumId w:val="15"/>
  </w:num>
  <w:num w:numId="10" w16cid:durableId="1757632002">
    <w:abstractNumId w:val="12"/>
  </w:num>
  <w:num w:numId="11" w16cid:durableId="403723334">
    <w:abstractNumId w:val="1"/>
  </w:num>
  <w:num w:numId="12" w16cid:durableId="2111075258">
    <w:abstractNumId w:val="14"/>
  </w:num>
  <w:num w:numId="13" w16cid:durableId="1659460574">
    <w:abstractNumId w:val="4"/>
  </w:num>
  <w:num w:numId="14" w16cid:durableId="1124158533">
    <w:abstractNumId w:val="8"/>
  </w:num>
  <w:num w:numId="15" w16cid:durableId="1228103748">
    <w:abstractNumId w:val="5"/>
  </w:num>
  <w:num w:numId="16" w16cid:durableId="19987982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1"/>
  <w:embedTrueTypeFonts/>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12A"/>
    <w:rsid w:val="00000488"/>
    <w:rsid w:val="00002AC0"/>
    <w:rsid w:val="000042C3"/>
    <w:rsid w:val="00007117"/>
    <w:rsid w:val="00007C21"/>
    <w:rsid w:val="00010D7F"/>
    <w:rsid w:val="00014CC5"/>
    <w:rsid w:val="00014F6B"/>
    <w:rsid w:val="00016CAA"/>
    <w:rsid w:val="00017219"/>
    <w:rsid w:val="000200C5"/>
    <w:rsid w:val="00021DDB"/>
    <w:rsid w:val="00022522"/>
    <w:rsid w:val="00023499"/>
    <w:rsid w:val="00024CB8"/>
    <w:rsid w:val="00027887"/>
    <w:rsid w:val="00040E27"/>
    <w:rsid w:val="00041ADE"/>
    <w:rsid w:val="00044251"/>
    <w:rsid w:val="00046F11"/>
    <w:rsid w:val="000509DC"/>
    <w:rsid w:val="000514FF"/>
    <w:rsid w:val="00053442"/>
    <w:rsid w:val="00055203"/>
    <w:rsid w:val="00061F91"/>
    <w:rsid w:val="00064A4A"/>
    <w:rsid w:val="00065DB8"/>
    <w:rsid w:val="00067743"/>
    <w:rsid w:val="0007329F"/>
    <w:rsid w:val="00073D76"/>
    <w:rsid w:val="000760FC"/>
    <w:rsid w:val="000806EE"/>
    <w:rsid w:val="000825F9"/>
    <w:rsid w:val="000848AF"/>
    <w:rsid w:val="000855D7"/>
    <w:rsid w:val="000859F7"/>
    <w:rsid w:val="00086F37"/>
    <w:rsid w:val="00087D28"/>
    <w:rsid w:val="000926AA"/>
    <w:rsid w:val="00093776"/>
    <w:rsid w:val="000951B0"/>
    <w:rsid w:val="00096B88"/>
    <w:rsid w:val="000A351F"/>
    <w:rsid w:val="000A61C6"/>
    <w:rsid w:val="000B0304"/>
    <w:rsid w:val="000B069D"/>
    <w:rsid w:val="000B2060"/>
    <w:rsid w:val="000B26CE"/>
    <w:rsid w:val="000C0FD5"/>
    <w:rsid w:val="000C2350"/>
    <w:rsid w:val="000C3BED"/>
    <w:rsid w:val="000D29D9"/>
    <w:rsid w:val="000D2BD2"/>
    <w:rsid w:val="000D41CA"/>
    <w:rsid w:val="000D46BE"/>
    <w:rsid w:val="000D4B7A"/>
    <w:rsid w:val="000D4DC7"/>
    <w:rsid w:val="000D53AE"/>
    <w:rsid w:val="000D6FDA"/>
    <w:rsid w:val="000E020A"/>
    <w:rsid w:val="000E179C"/>
    <w:rsid w:val="000E1E49"/>
    <w:rsid w:val="000E21A9"/>
    <w:rsid w:val="000E2AD8"/>
    <w:rsid w:val="000E5100"/>
    <w:rsid w:val="000F0A19"/>
    <w:rsid w:val="000F1118"/>
    <w:rsid w:val="000F2A09"/>
    <w:rsid w:val="000F3FB5"/>
    <w:rsid w:val="000F479A"/>
    <w:rsid w:val="000F5089"/>
    <w:rsid w:val="000F533F"/>
    <w:rsid w:val="000F5A66"/>
    <w:rsid w:val="00101081"/>
    <w:rsid w:val="001034E8"/>
    <w:rsid w:val="00103F72"/>
    <w:rsid w:val="0010427E"/>
    <w:rsid w:val="00110423"/>
    <w:rsid w:val="0011149C"/>
    <w:rsid w:val="00113511"/>
    <w:rsid w:val="001136BC"/>
    <w:rsid w:val="00115F89"/>
    <w:rsid w:val="001205ED"/>
    <w:rsid w:val="00122A30"/>
    <w:rsid w:val="0012417E"/>
    <w:rsid w:val="00125E37"/>
    <w:rsid w:val="00125F27"/>
    <w:rsid w:val="0012795C"/>
    <w:rsid w:val="0013249E"/>
    <w:rsid w:val="00132C05"/>
    <w:rsid w:val="00142504"/>
    <w:rsid w:val="00142F1B"/>
    <w:rsid w:val="0014425C"/>
    <w:rsid w:val="001444CC"/>
    <w:rsid w:val="00146467"/>
    <w:rsid w:val="001469E2"/>
    <w:rsid w:val="00146F7F"/>
    <w:rsid w:val="001478FD"/>
    <w:rsid w:val="00147DA1"/>
    <w:rsid w:val="0015012A"/>
    <w:rsid w:val="00152042"/>
    <w:rsid w:val="00152559"/>
    <w:rsid w:val="00152820"/>
    <w:rsid w:val="00154E44"/>
    <w:rsid w:val="00155A37"/>
    <w:rsid w:val="00163D24"/>
    <w:rsid w:val="00164353"/>
    <w:rsid w:val="001652D9"/>
    <w:rsid w:val="0016588C"/>
    <w:rsid w:val="00165FE7"/>
    <w:rsid w:val="001671D1"/>
    <w:rsid w:val="00170838"/>
    <w:rsid w:val="00171D70"/>
    <w:rsid w:val="00172B3A"/>
    <w:rsid w:val="00172D65"/>
    <w:rsid w:val="001764A5"/>
    <w:rsid w:val="00177F70"/>
    <w:rsid w:val="00181533"/>
    <w:rsid w:val="00181F7E"/>
    <w:rsid w:val="00183315"/>
    <w:rsid w:val="0018417C"/>
    <w:rsid w:val="00184B5F"/>
    <w:rsid w:val="00185783"/>
    <w:rsid w:val="00185A43"/>
    <w:rsid w:val="00186C2D"/>
    <w:rsid w:val="00193B26"/>
    <w:rsid w:val="00193D74"/>
    <w:rsid w:val="00196302"/>
    <w:rsid w:val="00196AD4"/>
    <w:rsid w:val="00196FF5"/>
    <w:rsid w:val="0019728D"/>
    <w:rsid w:val="001972A5"/>
    <w:rsid w:val="001A18E3"/>
    <w:rsid w:val="001A3F28"/>
    <w:rsid w:val="001A6E20"/>
    <w:rsid w:val="001B0A1C"/>
    <w:rsid w:val="001B1783"/>
    <w:rsid w:val="001B3199"/>
    <w:rsid w:val="001B33F5"/>
    <w:rsid w:val="001C2A12"/>
    <w:rsid w:val="001C3E87"/>
    <w:rsid w:val="001C4162"/>
    <w:rsid w:val="001C4566"/>
    <w:rsid w:val="001C49B9"/>
    <w:rsid w:val="001C6757"/>
    <w:rsid w:val="001C69DF"/>
    <w:rsid w:val="001D0028"/>
    <w:rsid w:val="001D0093"/>
    <w:rsid w:val="001D0B8F"/>
    <w:rsid w:val="001D1922"/>
    <w:rsid w:val="001D45AB"/>
    <w:rsid w:val="001D628F"/>
    <w:rsid w:val="001D6339"/>
    <w:rsid w:val="001E1D1A"/>
    <w:rsid w:val="001E23DB"/>
    <w:rsid w:val="001E52E9"/>
    <w:rsid w:val="001E7BAB"/>
    <w:rsid w:val="001E7BF5"/>
    <w:rsid w:val="001F2506"/>
    <w:rsid w:val="001F35E5"/>
    <w:rsid w:val="001F7842"/>
    <w:rsid w:val="00200E93"/>
    <w:rsid w:val="00201CCA"/>
    <w:rsid w:val="00203692"/>
    <w:rsid w:val="00204F8F"/>
    <w:rsid w:val="0020650B"/>
    <w:rsid w:val="00207A00"/>
    <w:rsid w:val="002122B8"/>
    <w:rsid w:val="00212AF1"/>
    <w:rsid w:val="00212BE6"/>
    <w:rsid w:val="00214741"/>
    <w:rsid w:val="0021669C"/>
    <w:rsid w:val="002217E3"/>
    <w:rsid w:val="00222EC1"/>
    <w:rsid w:val="002242E8"/>
    <w:rsid w:val="00226E23"/>
    <w:rsid w:val="002312E3"/>
    <w:rsid w:val="00237703"/>
    <w:rsid w:val="002401B9"/>
    <w:rsid w:val="00241F10"/>
    <w:rsid w:val="00245DB9"/>
    <w:rsid w:val="002515FD"/>
    <w:rsid w:val="00255C74"/>
    <w:rsid w:val="00261B3E"/>
    <w:rsid w:val="00261DB2"/>
    <w:rsid w:val="00267BA6"/>
    <w:rsid w:val="0027323D"/>
    <w:rsid w:val="0027413A"/>
    <w:rsid w:val="002745E3"/>
    <w:rsid w:val="00274C0B"/>
    <w:rsid w:val="0028189D"/>
    <w:rsid w:val="00282946"/>
    <w:rsid w:val="002945A5"/>
    <w:rsid w:val="002956B4"/>
    <w:rsid w:val="00297455"/>
    <w:rsid w:val="00297DEA"/>
    <w:rsid w:val="002A00B2"/>
    <w:rsid w:val="002A5075"/>
    <w:rsid w:val="002A5BD5"/>
    <w:rsid w:val="002A6BC6"/>
    <w:rsid w:val="002B2C65"/>
    <w:rsid w:val="002B445D"/>
    <w:rsid w:val="002B47F7"/>
    <w:rsid w:val="002B4C01"/>
    <w:rsid w:val="002B53B1"/>
    <w:rsid w:val="002B71CB"/>
    <w:rsid w:val="002C0015"/>
    <w:rsid w:val="002C03EC"/>
    <w:rsid w:val="002C06F9"/>
    <w:rsid w:val="002C0847"/>
    <w:rsid w:val="002C1C67"/>
    <w:rsid w:val="002C221F"/>
    <w:rsid w:val="002C3373"/>
    <w:rsid w:val="002C34F5"/>
    <w:rsid w:val="002C629F"/>
    <w:rsid w:val="002D3022"/>
    <w:rsid w:val="002D4100"/>
    <w:rsid w:val="002D4C17"/>
    <w:rsid w:val="002D55F1"/>
    <w:rsid w:val="002D5DED"/>
    <w:rsid w:val="002D621C"/>
    <w:rsid w:val="002D6943"/>
    <w:rsid w:val="002E0504"/>
    <w:rsid w:val="002E0C6D"/>
    <w:rsid w:val="002E1E66"/>
    <w:rsid w:val="002E46A5"/>
    <w:rsid w:val="002E79D9"/>
    <w:rsid w:val="002F01D7"/>
    <w:rsid w:val="002F1857"/>
    <w:rsid w:val="002F20E7"/>
    <w:rsid w:val="002F4BF7"/>
    <w:rsid w:val="002F4FE2"/>
    <w:rsid w:val="002F5A53"/>
    <w:rsid w:val="002F6106"/>
    <w:rsid w:val="002F679B"/>
    <w:rsid w:val="002F6C7F"/>
    <w:rsid w:val="00301959"/>
    <w:rsid w:val="003022C9"/>
    <w:rsid w:val="00302E33"/>
    <w:rsid w:val="00310AA2"/>
    <w:rsid w:val="00310DE0"/>
    <w:rsid w:val="003154BD"/>
    <w:rsid w:val="00316A54"/>
    <w:rsid w:val="003170DC"/>
    <w:rsid w:val="00321701"/>
    <w:rsid w:val="0032193C"/>
    <w:rsid w:val="003278A6"/>
    <w:rsid w:val="00327C79"/>
    <w:rsid w:val="00330516"/>
    <w:rsid w:val="003325CE"/>
    <w:rsid w:val="00334206"/>
    <w:rsid w:val="00334EA4"/>
    <w:rsid w:val="00335E20"/>
    <w:rsid w:val="0033659A"/>
    <w:rsid w:val="00336A6E"/>
    <w:rsid w:val="00336BD3"/>
    <w:rsid w:val="003372A1"/>
    <w:rsid w:val="003372F1"/>
    <w:rsid w:val="003405CD"/>
    <w:rsid w:val="00340A0E"/>
    <w:rsid w:val="00341BBE"/>
    <w:rsid w:val="0034616F"/>
    <w:rsid w:val="00347EF6"/>
    <w:rsid w:val="0035156A"/>
    <w:rsid w:val="00354FB8"/>
    <w:rsid w:val="00360A78"/>
    <w:rsid w:val="00361EC1"/>
    <w:rsid w:val="0036201E"/>
    <w:rsid w:val="003647C4"/>
    <w:rsid w:val="003660D4"/>
    <w:rsid w:val="00371EE5"/>
    <w:rsid w:val="0037265D"/>
    <w:rsid w:val="0037404C"/>
    <w:rsid w:val="0038097B"/>
    <w:rsid w:val="003823BE"/>
    <w:rsid w:val="00383322"/>
    <w:rsid w:val="00383EE0"/>
    <w:rsid w:val="00384766"/>
    <w:rsid w:val="00384FAB"/>
    <w:rsid w:val="003853C3"/>
    <w:rsid w:val="00391210"/>
    <w:rsid w:val="00392C49"/>
    <w:rsid w:val="003933C7"/>
    <w:rsid w:val="00395579"/>
    <w:rsid w:val="00396405"/>
    <w:rsid w:val="003A1A85"/>
    <w:rsid w:val="003A221A"/>
    <w:rsid w:val="003A34C3"/>
    <w:rsid w:val="003B14A8"/>
    <w:rsid w:val="003B1A2B"/>
    <w:rsid w:val="003B40AA"/>
    <w:rsid w:val="003B4286"/>
    <w:rsid w:val="003B697D"/>
    <w:rsid w:val="003C0562"/>
    <w:rsid w:val="003C2512"/>
    <w:rsid w:val="003C522A"/>
    <w:rsid w:val="003C5432"/>
    <w:rsid w:val="003C5A03"/>
    <w:rsid w:val="003C6DA7"/>
    <w:rsid w:val="003C7603"/>
    <w:rsid w:val="003D1AED"/>
    <w:rsid w:val="003D2D73"/>
    <w:rsid w:val="003D315A"/>
    <w:rsid w:val="003E019A"/>
    <w:rsid w:val="003E2C24"/>
    <w:rsid w:val="003E311A"/>
    <w:rsid w:val="003E442F"/>
    <w:rsid w:val="003E4779"/>
    <w:rsid w:val="003E6A06"/>
    <w:rsid w:val="003F34F1"/>
    <w:rsid w:val="003F3936"/>
    <w:rsid w:val="003F3FA3"/>
    <w:rsid w:val="003F404E"/>
    <w:rsid w:val="003F46CB"/>
    <w:rsid w:val="0040044C"/>
    <w:rsid w:val="00400B4F"/>
    <w:rsid w:val="00405FD5"/>
    <w:rsid w:val="00413AE5"/>
    <w:rsid w:val="00414673"/>
    <w:rsid w:val="00415F25"/>
    <w:rsid w:val="0042141F"/>
    <w:rsid w:val="00422372"/>
    <w:rsid w:val="0042268B"/>
    <w:rsid w:val="004268BA"/>
    <w:rsid w:val="004310C5"/>
    <w:rsid w:val="00434538"/>
    <w:rsid w:val="004400E8"/>
    <w:rsid w:val="004410A0"/>
    <w:rsid w:val="00441F1E"/>
    <w:rsid w:val="00442E08"/>
    <w:rsid w:val="00444AF8"/>
    <w:rsid w:val="004478D5"/>
    <w:rsid w:val="00451104"/>
    <w:rsid w:val="00451E8C"/>
    <w:rsid w:val="00452988"/>
    <w:rsid w:val="004529C4"/>
    <w:rsid w:val="00453684"/>
    <w:rsid w:val="0046044E"/>
    <w:rsid w:val="0046532A"/>
    <w:rsid w:val="004759F6"/>
    <w:rsid w:val="00477C48"/>
    <w:rsid w:val="00480240"/>
    <w:rsid w:val="004804FB"/>
    <w:rsid w:val="00481450"/>
    <w:rsid w:val="00484851"/>
    <w:rsid w:val="00485094"/>
    <w:rsid w:val="0048771C"/>
    <w:rsid w:val="00492C2F"/>
    <w:rsid w:val="004960E1"/>
    <w:rsid w:val="00496676"/>
    <w:rsid w:val="004969C3"/>
    <w:rsid w:val="00497EF2"/>
    <w:rsid w:val="004A1200"/>
    <w:rsid w:val="004A1A39"/>
    <w:rsid w:val="004A2807"/>
    <w:rsid w:val="004B3EA6"/>
    <w:rsid w:val="004B4369"/>
    <w:rsid w:val="004B591A"/>
    <w:rsid w:val="004B67D4"/>
    <w:rsid w:val="004B7AE7"/>
    <w:rsid w:val="004C132F"/>
    <w:rsid w:val="004C2EBD"/>
    <w:rsid w:val="004C55F5"/>
    <w:rsid w:val="004C5728"/>
    <w:rsid w:val="004D1AE6"/>
    <w:rsid w:val="004D260F"/>
    <w:rsid w:val="004D4ED2"/>
    <w:rsid w:val="004D6492"/>
    <w:rsid w:val="004E1836"/>
    <w:rsid w:val="004E2CCE"/>
    <w:rsid w:val="004E30D6"/>
    <w:rsid w:val="004E3AF4"/>
    <w:rsid w:val="004E52AA"/>
    <w:rsid w:val="004E6409"/>
    <w:rsid w:val="004E744D"/>
    <w:rsid w:val="004F02ED"/>
    <w:rsid w:val="004F1F53"/>
    <w:rsid w:val="004F28A7"/>
    <w:rsid w:val="004F2A12"/>
    <w:rsid w:val="004F3C69"/>
    <w:rsid w:val="004F3F2E"/>
    <w:rsid w:val="004F5F1B"/>
    <w:rsid w:val="004F7105"/>
    <w:rsid w:val="004F7B79"/>
    <w:rsid w:val="005119C9"/>
    <w:rsid w:val="00515D5E"/>
    <w:rsid w:val="00517631"/>
    <w:rsid w:val="00520BAC"/>
    <w:rsid w:val="0052442D"/>
    <w:rsid w:val="00524DED"/>
    <w:rsid w:val="005257F8"/>
    <w:rsid w:val="005319CD"/>
    <w:rsid w:val="00534BFD"/>
    <w:rsid w:val="00536328"/>
    <w:rsid w:val="00536A5B"/>
    <w:rsid w:val="00536C9F"/>
    <w:rsid w:val="0054100E"/>
    <w:rsid w:val="005429B4"/>
    <w:rsid w:val="00544E8E"/>
    <w:rsid w:val="00545E73"/>
    <w:rsid w:val="00546E81"/>
    <w:rsid w:val="005519C4"/>
    <w:rsid w:val="005527AB"/>
    <w:rsid w:val="005545E0"/>
    <w:rsid w:val="0055494B"/>
    <w:rsid w:val="00554C87"/>
    <w:rsid w:val="00555622"/>
    <w:rsid w:val="0055644E"/>
    <w:rsid w:val="005575DF"/>
    <w:rsid w:val="005616F1"/>
    <w:rsid w:val="00561FF8"/>
    <w:rsid w:val="00562DC4"/>
    <w:rsid w:val="00562EE3"/>
    <w:rsid w:val="005666AF"/>
    <w:rsid w:val="0056672D"/>
    <w:rsid w:val="00566F8C"/>
    <w:rsid w:val="005670BA"/>
    <w:rsid w:val="005677C7"/>
    <w:rsid w:val="005713C1"/>
    <w:rsid w:val="0057241B"/>
    <w:rsid w:val="005728D6"/>
    <w:rsid w:val="00573035"/>
    <w:rsid w:val="005733C5"/>
    <w:rsid w:val="00573BE2"/>
    <w:rsid w:val="005742CA"/>
    <w:rsid w:val="005752BC"/>
    <w:rsid w:val="00577689"/>
    <w:rsid w:val="00581D69"/>
    <w:rsid w:val="005830AE"/>
    <w:rsid w:val="00583491"/>
    <w:rsid w:val="00585133"/>
    <w:rsid w:val="00585967"/>
    <w:rsid w:val="005869EA"/>
    <w:rsid w:val="005921E3"/>
    <w:rsid w:val="00592B67"/>
    <w:rsid w:val="00594D4E"/>
    <w:rsid w:val="0059554A"/>
    <w:rsid w:val="00597FF6"/>
    <w:rsid w:val="00597FFD"/>
    <w:rsid w:val="005B08D8"/>
    <w:rsid w:val="005B1EF1"/>
    <w:rsid w:val="005B2AE0"/>
    <w:rsid w:val="005B5890"/>
    <w:rsid w:val="005D0C57"/>
    <w:rsid w:val="005D129C"/>
    <w:rsid w:val="005D2810"/>
    <w:rsid w:val="005D2C25"/>
    <w:rsid w:val="005E2712"/>
    <w:rsid w:val="005E3A84"/>
    <w:rsid w:val="005E63FA"/>
    <w:rsid w:val="005E6B5C"/>
    <w:rsid w:val="005F2866"/>
    <w:rsid w:val="005F4F23"/>
    <w:rsid w:val="005F5CBA"/>
    <w:rsid w:val="0060076A"/>
    <w:rsid w:val="00602F32"/>
    <w:rsid w:val="00604476"/>
    <w:rsid w:val="0060594E"/>
    <w:rsid w:val="006061A4"/>
    <w:rsid w:val="00610033"/>
    <w:rsid w:val="00613083"/>
    <w:rsid w:val="00617314"/>
    <w:rsid w:val="00620A20"/>
    <w:rsid w:val="0062161C"/>
    <w:rsid w:val="00622A40"/>
    <w:rsid w:val="00625ED4"/>
    <w:rsid w:val="0062715A"/>
    <w:rsid w:val="006273EE"/>
    <w:rsid w:val="00630486"/>
    <w:rsid w:val="00631CB2"/>
    <w:rsid w:val="00632187"/>
    <w:rsid w:val="006333DC"/>
    <w:rsid w:val="0063352E"/>
    <w:rsid w:val="00633A3B"/>
    <w:rsid w:val="00634E58"/>
    <w:rsid w:val="00634FA3"/>
    <w:rsid w:val="0063507D"/>
    <w:rsid w:val="00637FE6"/>
    <w:rsid w:val="006426D4"/>
    <w:rsid w:val="00644CBB"/>
    <w:rsid w:val="00650AD6"/>
    <w:rsid w:val="00651789"/>
    <w:rsid w:val="006523F8"/>
    <w:rsid w:val="00655871"/>
    <w:rsid w:val="00656D7C"/>
    <w:rsid w:val="0065768A"/>
    <w:rsid w:val="006651D8"/>
    <w:rsid w:val="00665785"/>
    <w:rsid w:val="00665E06"/>
    <w:rsid w:val="00666572"/>
    <w:rsid w:val="00666B98"/>
    <w:rsid w:val="0066792A"/>
    <w:rsid w:val="00670774"/>
    <w:rsid w:val="00670CE8"/>
    <w:rsid w:val="006743C8"/>
    <w:rsid w:val="00676674"/>
    <w:rsid w:val="006766B3"/>
    <w:rsid w:val="00677344"/>
    <w:rsid w:val="00680562"/>
    <w:rsid w:val="00682CB7"/>
    <w:rsid w:val="00685B5C"/>
    <w:rsid w:val="00690EC2"/>
    <w:rsid w:val="00691295"/>
    <w:rsid w:val="00691628"/>
    <w:rsid w:val="006926AD"/>
    <w:rsid w:val="00693099"/>
    <w:rsid w:val="0069467F"/>
    <w:rsid w:val="00694C12"/>
    <w:rsid w:val="006965D2"/>
    <w:rsid w:val="00696636"/>
    <w:rsid w:val="006A1CF7"/>
    <w:rsid w:val="006A3B3C"/>
    <w:rsid w:val="006A3CBB"/>
    <w:rsid w:val="006A3E71"/>
    <w:rsid w:val="006A5839"/>
    <w:rsid w:val="006A64E4"/>
    <w:rsid w:val="006B32CF"/>
    <w:rsid w:val="006B5006"/>
    <w:rsid w:val="006B70EA"/>
    <w:rsid w:val="006C05E7"/>
    <w:rsid w:val="006C0DBD"/>
    <w:rsid w:val="006C4F41"/>
    <w:rsid w:val="006C5FE3"/>
    <w:rsid w:val="006C687D"/>
    <w:rsid w:val="006C73A5"/>
    <w:rsid w:val="006D2CB6"/>
    <w:rsid w:val="006D309D"/>
    <w:rsid w:val="006D61E1"/>
    <w:rsid w:val="006D6597"/>
    <w:rsid w:val="006D7D60"/>
    <w:rsid w:val="006E03BD"/>
    <w:rsid w:val="006E4A8A"/>
    <w:rsid w:val="006E4AA7"/>
    <w:rsid w:val="006E6878"/>
    <w:rsid w:val="006F0178"/>
    <w:rsid w:val="006F18E6"/>
    <w:rsid w:val="006F5AC2"/>
    <w:rsid w:val="006F5ACF"/>
    <w:rsid w:val="006F6FC2"/>
    <w:rsid w:val="00704C50"/>
    <w:rsid w:val="007061DB"/>
    <w:rsid w:val="007120E7"/>
    <w:rsid w:val="00713002"/>
    <w:rsid w:val="0071604D"/>
    <w:rsid w:val="007176BE"/>
    <w:rsid w:val="0072064F"/>
    <w:rsid w:val="00720CE9"/>
    <w:rsid w:val="007227B4"/>
    <w:rsid w:val="007234B4"/>
    <w:rsid w:val="00724B89"/>
    <w:rsid w:val="00727FCB"/>
    <w:rsid w:val="00730F3E"/>
    <w:rsid w:val="00735324"/>
    <w:rsid w:val="00737353"/>
    <w:rsid w:val="00742148"/>
    <w:rsid w:val="00742317"/>
    <w:rsid w:val="00750FD6"/>
    <w:rsid w:val="00754405"/>
    <w:rsid w:val="00754B4F"/>
    <w:rsid w:val="007566D1"/>
    <w:rsid w:val="00757D83"/>
    <w:rsid w:val="007604EF"/>
    <w:rsid w:val="00760BDB"/>
    <w:rsid w:val="00760F73"/>
    <w:rsid w:val="00762553"/>
    <w:rsid w:val="00762CCF"/>
    <w:rsid w:val="00762DA3"/>
    <w:rsid w:val="00762E8A"/>
    <w:rsid w:val="00763B64"/>
    <w:rsid w:val="007667CC"/>
    <w:rsid w:val="007712E9"/>
    <w:rsid w:val="007750F5"/>
    <w:rsid w:val="007772EA"/>
    <w:rsid w:val="00782577"/>
    <w:rsid w:val="007827F5"/>
    <w:rsid w:val="00785EE2"/>
    <w:rsid w:val="00787136"/>
    <w:rsid w:val="007904DC"/>
    <w:rsid w:val="007920C8"/>
    <w:rsid w:val="0079309B"/>
    <w:rsid w:val="007979E6"/>
    <w:rsid w:val="00797ECC"/>
    <w:rsid w:val="007A036F"/>
    <w:rsid w:val="007A38B9"/>
    <w:rsid w:val="007A4D9F"/>
    <w:rsid w:val="007A6EE1"/>
    <w:rsid w:val="007A7323"/>
    <w:rsid w:val="007A7DF4"/>
    <w:rsid w:val="007B0C3A"/>
    <w:rsid w:val="007B19A6"/>
    <w:rsid w:val="007B7507"/>
    <w:rsid w:val="007B7AB0"/>
    <w:rsid w:val="007B7F0F"/>
    <w:rsid w:val="007C11D5"/>
    <w:rsid w:val="007C1274"/>
    <w:rsid w:val="007C15B8"/>
    <w:rsid w:val="007C2B26"/>
    <w:rsid w:val="007C50AB"/>
    <w:rsid w:val="007C5583"/>
    <w:rsid w:val="007D0A10"/>
    <w:rsid w:val="007D1312"/>
    <w:rsid w:val="007D31F3"/>
    <w:rsid w:val="007D5A0C"/>
    <w:rsid w:val="007D7A48"/>
    <w:rsid w:val="007E15A7"/>
    <w:rsid w:val="007E2B55"/>
    <w:rsid w:val="007E2DDA"/>
    <w:rsid w:val="007E3C1F"/>
    <w:rsid w:val="007E4A9A"/>
    <w:rsid w:val="007E5328"/>
    <w:rsid w:val="007F199D"/>
    <w:rsid w:val="007F292E"/>
    <w:rsid w:val="007F3A35"/>
    <w:rsid w:val="007F3FEA"/>
    <w:rsid w:val="00802988"/>
    <w:rsid w:val="008060E4"/>
    <w:rsid w:val="0081070E"/>
    <w:rsid w:val="00811149"/>
    <w:rsid w:val="00811DCE"/>
    <w:rsid w:val="00812577"/>
    <w:rsid w:val="00814D57"/>
    <w:rsid w:val="0081523D"/>
    <w:rsid w:val="00815B4B"/>
    <w:rsid w:val="00815EAE"/>
    <w:rsid w:val="00817486"/>
    <w:rsid w:val="00820213"/>
    <w:rsid w:val="008206F6"/>
    <w:rsid w:val="00820FEE"/>
    <w:rsid w:val="00821606"/>
    <w:rsid w:val="008217EE"/>
    <w:rsid w:val="0082244B"/>
    <w:rsid w:val="008246AF"/>
    <w:rsid w:val="00824E41"/>
    <w:rsid w:val="00825682"/>
    <w:rsid w:val="00827B51"/>
    <w:rsid w:val="00827E12"/>
    <w:rsid w:val="00830B45"/>
    <w:rsid w:val="00832846"/>
    <w:rsid w:val="008351AB"/>
    <w:rsid w:val="00836EB8"/>
    <w:rsid w:val="00837E0B"/>
    <w:rsid w:val="00841CBB"/>
    <w:rsid w:val="008425D4"/>
    <w:rsid w:val="0084469D"/>
    <w:rsid w:val="008455E3"/>
    <w:rsid w:val="00845C24"/>
    <w:rsid w:val="00845D0F"/>
    <w:rsid w:val="008472B8"/>
    <w:rsid w:val="00847E49"/>
    <w:rsid w:val="00850ACB"/>
    <w:rsid w:val="00855964"/>
    <w:rsid w:val="0085601E"/>
    <w:rsid w:val="0085604D"/>
    <w:rsid w:val="008576DE"/>
    <w:rsid w:val="00860EF4"/>
    <w:rsid w:val="008703F8"/>
    <w:rsid w:val="00870D4F"/>
    <w:rsid w:val="00870EEC"/>
    <w:rsid w:val="0087293F"/>
    <w:rsid w:val="00873A4E"/>
    <w:rsid w:val="00875FA4"/>
    <w:rsid w:val="00880552"/>
    <w:rsid w:val="00881BBA"/>
    <w:rsid w:val="00882956"/>
    <w:rsid w:val="00884E51"/>
    <w:rsid w:val="00890197"/>
    <w:rsid w:val="00893E2D"/>
    <w:rsid w:val="0089454C"/>
    <w:rsid w:val="00895487"/>
    <w:rsid w:val="008A0448"/>
    <w:rsid w:val="008A0C2B"/>
    <w:rsid w:val="008A1066"/>
    <w:rsid w:val="008A1AE0"/>
    <w:rsid w:val="008A3946"/>
    <w:rsid w:val="008A3A24"/>
    <w:rsid w:val="008A4039"/>
    <w:rsid w:val="008A41E0"/>
    <w:rsid w:val="008A55FE"/>
    <w:rsid w:val="008A63E6"/>
    <w:rsid w:val="008B4D4A"/>
    <w:rsid w:val="008B565C"/>
    <w:rsid w:val="008B57D5"/>
    <w:rsid w:val="008C03A5"/>
    <w:rsid w:val="008C5520"/>
    <w:rsid w:val="008C5644"/>
    <w:rsid w:val="008C7C62"/>
    <w:rsid w:val="008D3BB0"/>
    <w:rsid w:val="008D4803"/>
    <w:rsid w:val="008D7197"/>
    <w:rsid w:val="008E4D98"/>
    <w:rsid w:val="008E5C34"/>
    <w:rsid w:val="008F0194"/>
    <w:rsid w:val="008F1283"/>
    <w:rsid w:val="008F2A09"/>
    <w:rsid w:val="008F3089"/>
    <w:rsid w:val="008F5527"/>
    <w:rsid w:val="008F73E2"/>
    <w:rsid w:val="008F74FE"/>
    <w:rsid w:val="008F796D"/>
    <w:rsid w:val="008F7E99"/>
    <w:rsid w:val="009006FA"/>
    <w:rsid w:val="0090130A"/>
    <w:rsid w:val="0090151A"/>
    <w:rsid w:val="00902038"/>
    <w:rsid w:val="00903B14"/>
    <w:rsid w:val="00904FEF"/>
    <w:rsid w:val="0090560D"/>
    <w:rsid w:val="0091170A"/>
    <w:rsid w:val="00913795"/>
    <w:rsid w:val="00916614"/>
    <w:rsid w:val="00934A7C"/>
    <w:rsid w:val="00934DA3"/>
    <w:rsid w:val="00935CDE"/>
    <w:rsid w:val="00936BC2"/>
    <w:rsid w:val="0093727F"/>
    <w:rsid w:val="0095245F"/>
    <w:rsid w:val="00952596"/>
    <w:rsid w:val="0095358F"/>
    <w:rsid w:val="00955D38"/>
    <w:rsid w:val="009604F6"/>
    <w:rsid w:val="00963A2D"/>
    <w:rsid w:val="009670C2"/>
    <w:rsid w:val="00967B2A"/>
    <w:rsid w:val="00970668"/>
    <w:rsid w:val="009706FE"/>
    <w:rsid w:val="00970C2A"/>
    <w:rsid w:val="00971F61"/>
    <w:rsid w:val="009725DE"/>
    <w:rsid w:val="0097488F"/>
    <w:rsid w:val="00976970"/>
    <w:rsid w:val="0098439A"/>
    <w:rsid w:val="00987817"/>
    <w:rsid w:val="009901A1"/>
    <w:rsid w:val="0099058B"/>
    <w:rsid w:val="00994072"/>
    <w:rsid w:val="00994A58"/>
    <w:rsid w:val="009968EF"/>
    <w:rsid w:val="009A2BA9"/>
    <w:rsid w:val="009A3262"/>
    <w:rsid w:val="009A35CB"/>
    <w:rsid w:val="009A61E3"/>
    <w:rsid w:val="009A7FEF"/>
    <w:rsid w:val="009B0897"/>
    <w:rsid w:val="009B1D46"/>
    <w:rsid w:val="009B271D"/>
    <w:rsid w:val="009B2E5A"/>
    <w:rsid w:val="009B4FED"/>
    <w:rsid w:val="009B52D1"/>
    <w:rsid w:val="009B6C21"/>
    <w:rsid w:val="009B74F3"/>
    <w:rsid w:val="009B7A6D"/>
    <w:rsid w:val="009B7FBE"/>
    <w:rsid w:val="009C13F9"/>
    <w:rsid w:val="009C20F7"/>
    <w:rsid w:val="009C5161"/>
    <w:rsid w:val="009C6B09"/>
    <w:rsid w:val="009C735D"/>
    <w:rsid w:val="009C7E85"/>
    <w:rsid w:val="009D02E6"/>
    <w:rsid w:val="009D1748"/>
    <w:rsid w:val="009D2879"/>
    <w:rsid w:val="009D2C93"/>
    <w:rsid w:val="009D763B"/>
    <w:rsid w:val="009E0B4C"/>
    <w:rsid w:val="009E1C61"/>
    <w:rsid w:val="009E330D"/>
    <w:rsid w:val="009E4225"/>
    <w:rsid w:val="009E7317"/>
    <w:rsid w:val="009F7C6D"/>
    <w:rsid w:val="00A01C9F"/>
    <w:rsid w:val="00A01DE6"/>
    <w:rsid w:val="00A023EC"/>
    <w:rsid w:val="00A02795"/>
    <w:rsid w:val="00A043FC"/>
    <w:rsid w:val="00A05A51"/>
    <w:rsid w:val="00A07732"/>
    <w:rsid w:val="00A123A0"/>
    <w:rsid w:val="00A136FE"/>
    <w:rsid w:val="00A14F41"/>
    <w:rsid w:val="00A15598"/>
    <w:rsid w:val="00A1752D"/>
    <w:rsid w:val="00A17A67"/>
    <w:rsid w:val="00A22B9E"/>
    <w:rsid w:val="00A32606"/>
    <w:rsid w:val="00A3270A"/>
    <w:rsid w:val="00A32C3E"/>
    <w:rsid w:val="00A335C2"/>
    <w:rsid w:val="00A33ED0"/>
    <w:rsid w:val="00A3631D"/>
    <w:rsid w:val="00A36579"/>
    <w:rsid w:val="00A36E48"/>
    <w:rsid w:val="00A4197F"/>
    <w:rsid w:val="00A44E6C"/>
    <w:rsid w:val="00A53B62"/>
    <w:rsid w:val="00A54261"/>
    <w:rsid w:val="00A54D8F"/>
    <w:rsid w:val="00A60132"/>
    <w:rsid w:val="00A60867"/>
    <w:rsid w:val="00A609AA"/>
    <w:rsid w:val="00A64F6B"/>
    <w:rsid w:val="00A65E18"/>
    <w:rsid w:val="00A66F85"/>
    <w:rsid w:val="00A677BB"/>
    <w:rsid w:val="00A702E4"/>
    <w:rsid w:val="00A72474"/>
    <w:rsid w:val="00A73638"/>
    <w:rsid w:val="00A74A0E"/>
    <w:rsid w:val="00A754F3"/>
    <w:rsid w:val="00A77B0C"/>
    <w:rsid w:val="00A8125B"/>
    <w:rsid w:val="00A82D85"/>
    <w:rsid w:val="00A836A5"/>
    <w:rsid w:val="00A91255"/>
    <w:rsid w:val="00A917A9"/>
    <w:rsid w:val="00A942BD"/>
    <w:rsid w:val="00A94CF8"/>
    <w:rsid w:val="00A97635"/>
    <w:rsid w:val="00A97C50"/>
    <w:rsid w:val="00AA2333"/>
    <w:rsid w:val="00AA28ED"/>
    <w:rsid w:val="00AA353A"/>
    <w:rsid w:val="00AA51DC"/>
    <w:rsid w:val="00AA5C6C"/>
    <w:rsid w:val="00AB15D6"/>
    <w:rsid w:val="00AB6EC2"/>
    <w:rsid w:val="00AC1BC8"/>
    <w:rsid w:val="00AC51D0"/>
    <w:rsid w:val="00AC5326"/>
    <w:rsid w:val="00AC5790"/>
    <w:rsid w:val="00AC57C6"/>
    <w:rsid w:val="00AD0D91"/>
    <w:rsid w:val="00AD14C1"/>
    <w:rsid w:val="00AD188E"/>
    <w:rsid w:val="00AD2E8B"/>
    <w:rsid w:val="00AD5D53"/>
    <w:rsid w:val="00AD6ABC"/>
    <w:rsid w:val="00AD6EFF"/>
    <w:rsid w:val="00AE07D5"/>
    <w:rsid w:val="00AE1062"/>
    <w:rsid w:val="00AE629F"/>
    <w:rsid w:val="00AE662C"/>
    <w:rsid w:val="00AF14DC"/>
    <w:rsid w:val="00B01719"/>
    <w:rsid w:val="00B01C41"/>
    <w:rsid w:val="00B02587"/>
    <w:rsid w:val="00B04030"/>
    <w:rsid w:val="00B0470E"/>
    <w:rsid w:val="00B06027"/>
    <w:rsid w:val="00B06805"/>
    <w:rsid w:val="00B12ACA"/>
    <w:rsid w:val="00B12FFF"/>
    <w:rsid w:val="00B1784F"/>
    <w:rsid w:val="00B204B9"/>
    <w:rsid w:val="00B215D8"/>
    <w:rsid w:val="00B223D5"/>
    <w:rsid w:val="00B22AAD"/>
    <w:rsid w:val="00B22EE0"/>
    <w:rsid w:val="00B25379"/>
    <w:rsid w:val="00B317CA"/>
    <w:rsid w:val="00B37BEC"/>
    <w:rsid w:val="00B413B7"/>
    <w:rsid w:val="00B42A84"/>
    <w:rsid w:val="00B42D75"/>
    <w:rsid w:val="00B42F9D"/>
    <w:rsid w:val="00B43623"/>
    <w:rsid w:val="00B457F6"/>
    <w:rsid w:val="00B46A56"/>
    <w:rsid w:val="00B50E5D"/>
    <w:rsid w:val="00B54E30"/>
    <w:rsid w:val="00B603C9"/>
    <w:rsid w:val="00B62863"/>
    <w:rsid w:val="00B646DE"/>
    <w:rsid w:val="00B648BF"/>
    <w:rsid w:val="00B7243C"/>
    <w:rsid w:val="00B72D35"/>
    <w:rsid w:val="00B75C6C"/>
    <w:rsid w:val="00B761EB"/>
    <w:rsid w:val="00B82C56"/>
    <w:rsid w:val="00B83919"/>
    <w:rsid w:val="00B8400D"/>
    <w:rsid w:val="00B87441"/>
    <w:rsid w:val="00B90342"/>
    <w:rsid w:val="00B91BA4"/>
    <w:rsid w:val="00B91C96"/>
    <w:rsid w:val="00B94C21"/>
    <w:rsid w:val="00B95552"/>
    <w:rsid w:val="00B9670F"/>
    <w:rsid w:val="00B973C4"/>
    <w:rsid w:val="00BA32E6"/>
    <w:rsid w:val="00BA720B"/>
    <w:rsid w:val="00BA7E3F"/>
    <w:rsid w:val="00BB0464"/>
    <w:rsid w:val="00BB258E"/>
    <w:rsid w:val="00BB710D"/>
    <w:rsid w:val="00BB74E9"/>
    <w:rsid w:val="00BC1093"/>
    <w:rsid w:val="00BC1274"/>
    <w:rsid w:val="00BC12E8"/>
    <w:rsid w:val="00BC1ABD"/>
    <w:rsid w:val="00BC325A"/>
    <w:rsid w:val="00BC384E"/>
    <w:rsid w:val="00BC696B"/>
    <w:rsid w:val="00BD09FC"/>
    <w:rsid w:val="00BD10CD"/>
    <w:rsid w:val="00BD248D"/>
    <w:rsid w:val="00BD2548"/>
    <w:rsid w:val="00BD3312"/>
    <w:rsid w:val="00BE0BE7"/>
    <w:rsid w:val="00BE18AF"/>
    <w:rsid w:val="00BE2CB8"/>
    <w:rsid w:val="00BE363A"/>
    <w:rsid w:val="00BE4796"/>
    <w:rsid w:val="00BE5437"/>
    <w:rsid w:val="00BE5D14"/>
    <w:rsid w:val="00BE7249"/>
    <w:rsid w:val="00BF0704"/>
    <w:rsid w:val="00BF1C71"/>
    <w:rsid w:val="00BF1F1A"/>
    <w:rsid w:val="00BF223C"/>
    <w:rsid w:val="00BF29D1"/>
    <w:rsid w:val="00BF4BFD"/>
    <w:rsid w:val="00BF56C5"/>
    <w:rsid w:val="00BF578A"/>
    <w:rsid w:val="00BF79FB"/>
    <w:rsid w:val="00C00D4B"/>
    <w:rsid w:val="00C010C1"/>
    <w:rsid w:val="00C01EBC"/>
    <w:rsid w:val="00C0327E"/>
    <w:rsid w:val="00C0661E"/>
    <w:rsid w:val="00C079C0"/>
    <w:rsid w:val="00C12DDC"/>
    <w:rsid w:val="00C20838"/>
    <w:rsid w:val="00C20BBF"/>
    <w:rsid w:val="00C22F98"/>
    <w:rsid w:val="00C2301D"/>
    <w:rsid w:val="00C2450F"/>
    <w:rsid w:val="00C247BF"/>
    <w:rsid w:val="00C24AED"/>
    <w:rsid w:val="00C24E51"/>
    <w:rsid w:val="00C25100"/>
    <w:rsid w:val="00C27799"/>
    <w:rsid w:val="00C30083"/>
    <w:rsid w:val="00C305FF"/>
    <w:rsid w:val="00C33031"/>
    <w:rsid w:val="00C3520A"/>
    <w:rsid w:val="00C40971"/>
    <w:rsid w:val="00C46145"/>
    <w:rsid w:val="00C47DDD"/>
    <w:rsid w:val="00C540C8"/>
    <w:rsid w:val="00C561E2"/>
    <w:rsid w:val="00C57C5F"/>
    <w:rsid w:val="00C57E4D"/>
    <w:rsid w:val="00C6052B"/>
    <w:rsid w:val="00C679B1"/>
    <w:rsid w:val="00C71268"/>
    <w:rsid w:val="00C728B7"/>
    <w:rsid w:val="00C74313"/>
    <w:rsid w:val="00C74D03"/>
    <w:rsid w:val="00C74D92"/>
    <w:rsid w:val="00C75690"/>
    <w:rsid w:val="00C75AE3"/>
    <w:rsid w:val="00C75FEF"/>
    <w:rsid w:val="00C8489F"/>
    <w:rsid w:val="00C862A5"/>
    <w:rsid w:val="00C92679"/>
    <w:rsid w:val="00C93E05"/>
    <w:rsid w:val="00C975C1"/>
    <w:rsid w:val="00C97946"/>
    <w:rsid w:val="00CA03CF"/>
    <w:rsid w:val="00CA20FC"/>
    <w:rsid w:val="00CA2B0C"/>
    <w:rsid w:val="00CA45E4"/>
    <w:rsid w:val="00CA4A27"/>
    <w:rsid w:val="00CB11C1"/>
    <w:rsid w:val="00CB4A9E"/>
    <w:rsid w:val="00CB5BF7"/>
    <w:rsid w:val="00CB5C66"/>
    <w:rsid w:val="00CC16FF"/>
    <w:rsid w:val="00CC5C1B"/>
    <w:rsid w:val="00CC70DF"/>
    <w:rsid w:val="00CD125D"/>
    <w:rsid w:val="00CD4515"/>
    <w:rsid w:val="00CD5750"/>
    <w:rsid w:val="00CD7E9C"/>
    <w:rsid w:val="00CE28AE"/>
    <w:rsid w:val="00CE3250"/>
    <w:rsid w:val="00CE6543"/>
    <w:rsid w:val="00CE75EE"/>
    <w:rsid w:val="00CF1B81"/>
    <w:rsid w:val="00CF25AB"/>
    <w:rsid w:val="00CF31D6"/>
    <w:rsid w:val="00CF4461"/>
    <w:rsid w:val="00CF4C9A"/>
    <w:rsid w:val="00CF6CF8"/>
    <w:rsid w:val="00D01043"/>
    <w:rsid w:val="00D01624"/>
    <w:rsid w:val="00D03075"/>
    <w:rsid w:val="00D109E9"/>
    <w:rsid w:val="00D12846"/>
    <w:rsid w:val="00D14340"/>
    <w:rsid w:val="00D173B3"/>
    <w:rsid w:val="00D17981"/>
    <w:rsid w:val="00D17F0C"/>
    <w:rsid w:val="00D218FE"/>
    <w:rsid w:val="00D2350C"/>
    <w:rsid w:val="00D24B06"/>
    <w:rsid w:val="00D25C09"/>
    <w:rsid w:val="00D3065D"/>
    <w:rsid w:val="00D33091"/>
    <w:rsid w:val="00D33775"/>
    <w:rsid w:val="00D34110"/>
    <w:rsid w:val="00D37C6D"/>
    <w:rsid w:val="00D40E81"/>
    <w:rsid w:val="00D445A4"/>
    <w:rsid w:val="00D472D2"/>
    <w:rsid w:val="00D478A3"/>
    <w:rsid w:val="00D47F91"/>
    <w:rsid w:val="00D519F0"/>
    <w:rsid w:val="00D539B1"/>
    <w:rsid w:val="00D54558"/>
    <w:rsid w:val="00D57571"/>
    <w:rsid w:val="00D61B2F"/>
    <w:rsid w:val="00D62110"/>
    <w:rsid w:val="00D62700"/>
    <w:rsid w:val="00D6396C"/>
    <w:rsid w:val="00D666EB"/>
    <w:rsid w:val="00D6736D"/>
    <w:rsid w:val="00D7154C"/>
    <w:rsid w:val="00D72856"/>
    <w:rsid w:val="00D72D95"/>
    <w:rsid w:val="00D7320B"/>
    <w:rsid w:val="00D739DF"/>
    <w:rsid w:val="00D74A98"/>
    <w:rsid w:val="00D75573"/>
    <w:rsid w:val="00D75945"/>
    <w:rsid w:val="00D80849"/>
    <w:rsid w:val="00D80E39"/>
    <w:rsid w:val="00D8133C"/>
    <w:rsid w:val="00D81697"/>
    <w:rsid w:val="00D816F7"/>
    <w:rsid w:val="00D84656"/>
    <w:rsid w:val="00D860C7"/>
    <w:rsid w:val="00D86468"/>
    <w:rsid w:val="00D87ABA"/>
    <w:rsid w:val="00D943CC"/>
    <w:rsid w:val="00D95946"/>
    <w:rsid w:val="00D96CD6"/>
    <w:rsid w:val="00D96DBD"/>
    <w:rsid w:val="00D96F87"/>
    <w:rsid w:val="00DA0F76"/>
    <w:rsid w:val="00DA2663"/>
    <w:rsid w:val="00DA3237"/>
    <w:rsid w:val="00DA6C0D"/>
    <w:rsid w:val="00DA724F"/>
    <w:rsid w:val="00DA744A"/>
    <w:rsid w:val="00DA7CD9"/>
    <w:rsid w:val="00DB1012"/>
    <w:rsid w:val="00DB2AC8"/>
    <w:rsid w:val="00DB4364"/>
    <w:rsid w:val="00DB549E"/>
    <w:rsid w:val="00DB5672"/>
    <w:rsid w:val="00DB700E"/>
    <w:rsid w:val="00DB7159"/>
    <w:rsid w:val="00DC15B5"/>
    <w:rsid w:val="00DC32E4"/>
    <w:rsid w:val="00DC4DE3"/>
    <w:rsid w:val="00DC79A0"/>
    <w:rsid w:val="00DD36B5"/>
    <w:rsid w:val="00DD450E"/>
    <w:rsid w:val="00DD54D9"/>
    <w:rsid w:val="00DD6FA6"/>
    <w:rsid w:val="00DD7E73"/>
    <w:rsid w:val="00DE169C"/>
    <w:rsid w:val="00DE1C06"/>
    <w:rsid w:val="00DE4ED7"/>
    <w:rsid w:val="00DE55E9"/>
    <w:rsid w:val="00DE56C8"/>
    <w:rsid w:val="00DE698E"/>
    <w:rsid w:val="00DE6C42"/>
    <w:rsid w:val="00DF6E46"/>
    <w:rsid w:val="00E00047"/>
    <w:rsid w:val="00E02164"/>
    <w:rsid w:val="00E04693"/>
    <w:rsid w:val="00E04DBA"/>
    <w:rsid w:val="00E04EB9"/>
    <w:rsid w:val="00E0504C"/>
    <w:rsid w:val="00E068D0"/>
    <w:rsid w:val="00E06DBF"/>
    <w:rsid w:val="00E11626"/>
    <w:rsid w:val="00E16BDA"/>
    <w:rsid w:val="00E20721"/>
    <w:rsid w:val="00E22629"/>
    <w:rsid w:val="00E256AA"/>
    <w:rsid w:val="00E257CE"/>
    <w:rsid w:val="00E25937"/>
    <w:rsid w:val="00E3062E"/>
    <w:rsid w:val="00E31F18"/>
    <w:rsid w:val="00E31F5D"/>
    <w:rsid w:val="00E32C5C"/>
    <w:rsid w:val="00E32ED6"/>
    <w:rsid w:val="00E35DD3"/>
    <w:rsid w:val="00E37BDC"/>
    <w:rsid w:val="00E4075C"/>
    <w:rsid w:val="00E43C2D"/>
    <w:rsid w:val="00E446D3"/>
    <w:rsid w:val="00E44DA3"/>
    <w:rsid w:val="00E525CA"/>
    <w:rsid w:val="00E52FE9"/>
    <w:rsid w:val="00E61ACF"/>
    <w:rsid w:val="00E61FDF"/>
    <w:rsid w:val="00E63385"/>
    <w:rsid w:val="00E6380C"/>
    <w:rsid w:val="00E64DBE"/>
    <w:rsid w:val="00E705B5"/>
    <w:rsid w:val="00E72B22"/>
    <w:rsid w:val="00E77430"/>
    <w:rsid w:val="00E82CC2"/>
    <w:rsid w:val="00E83A0E"/>
    <w:rsid w:val="00E86BDD"/>
    <w:rsid w:val="00E87B09"/>
    <w:rsid w:val="00E90F82"/>
    <w:rsid w:val="00E9381D"/>
    <w:rsid w:val="00E94DFE"/>
    <w:rsid w:val="00E95317"/>
    <w:rsid w:val="00E95D70"/>
    <w:rsid w:val="00E96774"/>
    <w:rsid w:val="00E971E5"/>
    <w:rsid w:val="00EA2852"/>
    <w:rsid w:val="00EA36FC"/>
    <w:rsid w:val="00EA38CF"/>
    <w:rsid w:val="00EA4B1C"/>
    <w:rsid w:val="00EA5D1A"/>
    <w:rsid w:val="00EA7400"/>
    <w:rsid w:val="00EB22F4"/>
    <w:rsid w:val="00EB29DC"/>
    <w:rsid w:val="00EB2E69"/>
    <w:rsid w:val="00EB3588"/>
    <w:rsid w:val="00EB7156"/>
    <w:rsid w:val="00EB7480"/>
    <w:rsid w:val="00EB7F05"/>
    <w:rsid w:val="00EC031C"/>
    <w:rsid w:val="00EC0623"/>
    <w:rsid w:val="00EC19F2"/>
    <w:rsid w:val="00EC1BAA"/>
    <w:rsid w:val="00EC2782"/>
    <w:rsid w:val="00EC4D6F"/>
    <w:rsid w:val="00EC53FA"/>
    <w:rsid w:val="00EC60E1"/>
    <w:rsid w:val="00EC7C8A"/>
    <w:rsid w:val="00ED06AD"/>
    <w:rsid w:val="00ED1515"/>
    <w:rsid w:val="00ED408A"/>
    <w:rsid w:val="00ED4821"/>
    <w:rsid w:val="00ED6171"/>
    <w:rsid w:val="00ED7DC4"/>
    <w:rsid w:val="00EE18F9"/>
    <w:rsid w:val="00EE2828"/>
    <w:rsid w:val="00EE3E7A"/>
    <w:rsid w:val="00EE5F48"/>
    <w:rsid w:val="00EF14A3"/>
    <w:rsid w:val="00EF2A7D"/>
    <w:rsid w:val="00EF3789"/>
    <w:rsid w:val="00EF39BA"/>
    <w:rsid w:val="00EF4DF8"/>
    <w:rsid w:val="00EF64C5"/>
    <w:rsid w:val="00EF68C9"/>
    <w:rsid w:val="00EF7010"/>
    <w:rsid w:val="00EF7745"/>
    <w:rsid w:val="00EF7AB9"/>
    <w:rsid w:val="00F00481"/>
    <w:rsid w:val="00F03AA2"/>
    <w:rsid w:val="00F03ECF"/>
    <w:rsid w:val="00F057D2"/>
    <w:rsid w:val="00F073D6"/>
    <w:rsid w:val="00F0741F"/>
    <w:rsid w:val="00F15745"/>
    <w:rsid w:val="00F20A63"/>
    <w:rsid w:val="00F262E9"/>
    <w:rsid w:val="00F27128"/>
    <w:rsid w:val="00F33820"/>
    <w:rsid w:val="00F3548F"/>
    <w:rsid w:val="00F36B48"/>
    <w:rsid w:val="00F37E08"/>
    <w:rsid w:val="00F40312"/>
    <w:rsid w:val="00F4297C"/>
    <w:rsid w:val="00F42C90"/>
    <w:rsid w:val="00F43BF5"/>
    <w:rsid w:val="00F45078"/>
    <w:rsid w:val="00F45AE1"/>
    <w:rsid w:val="00F50D68"/>
    <w:rsid w:val="00F5375B"/>
    <w:rsid w:val="00F566DF"/>
    <w:rsid w:val="00F61293"/>
    <w:rsid w:val="00F64890"/>
    <w:rsid w:val="00F659C3"/>
    <w:rsid w:val="00F66EBA"/>
    <w:rsid w:val="00F67E66"/>
    <w:rsid w:val="00F71F6A"/>
    <w:rsid w:val="00F73F48"/>
    <w:rsid w:val="00F74F3C"/>
    <w:rsid w:val="00F75410"/>
    <w:rsid w:val="00F77313"/>
    <w:rsid w:val="00F80E99"/>
    <w:rsid w:val="00F82532"/>
    <w:rsid w:val="00F84A22"/>
    <w:rsid w:val="00F91904"/>
    <w:rsid w:val="00F9218D"/>
    <w:rsid w:val="00F93052"/>
    <w:rsid w:val="00F9338E"/>
    <w:rsid w:val="00F94BB1"/>
    <w:rsid w:val="00F96755"/>
    <w:rsid w:val="00F971AD"/>
    <w:rsid w:val="00FA0633"/>
    <w:rsid w:val="00FA0913"/>
    <w:rsid w:val="00FA0E81"/>
    <w:rsid w:val="00FA274C"/>
    <w:rsid w:val="00FA353A"/>
    <w:rsid w:val="00FB0527"/>
    <w:rsid w:val="00FB0DF3"/>
    <w:rsid w:val="00FB104F"/>
    <w:rsid w:val="00FB4CC5"/>
    <w:rsid w:val="00FB5081"/>
    <w:rsid w:val="00FB7046"/>
    <w:rsid w:val="00FC0CD9"/>
    <w:rsid w:val="00FC22D6"/>
    <w:rsid w:val="00FC258C"/>
    <w:rsid w:val="00FC2855"/>
    <w:rsid w:val="00FC33A5"/>
    <w:rsid w:val="00FC3950"/>
    <w:rsid w:val="00FC4A7A"/>
    <w:rsid w:val="00FC4BA4"/>
    <w:rsid w:val="00FD0351"/>
    <w:rsid w:val="00FD14CA"/>
    <w:rsid w:val="00FD4056"/>
    <w:rsid w:val="00FD7BE8"/>
    <w:rsid w:val="00FE012F"/>
    <w:rsid w:val="00FE233B"/>
    <w:rsid w:val="00FE24F4"/>
    <w:rsid w:val="00FE3501"/>
    <w:rsid w:val="00FE3851"/>
    <w:rsid w:val="00FE65D9"/>
    <w:rsid w:val="00FE7713"/>
    <w:rsid w:val="00FF16A2"/>
    <w:rsid w:val="00FF2BE9"/>
    <w:rsid w:val="12E105C5"/>
    <w:rsid w:val="1489F845"/>
    <w:rsid w:val="14A8B325"/>
    <w:rsid w:val="1D637EC6"/>
    <w:rsid w:val="2232AFAC"/>
    <w:rsid w:val="3081AD6B"/>
    <w:rsid w:val="3C3CFCAA"/>
    <w:rsid w:val="46E50F64"/>
    <w:rsid w:val="4821CAB2"/>
    <w:rsid w:val="5076CD06"/>
    <w:rsid w:val="71D176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A0E23"/>
  <w15:docId w15:val="{E089EF50-CC4B-45C8-8547-AB9069B16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53"/>
    <w:pPr>
      <w:spacing w:before="120" w:after="120"/>
    </w:pPr>
    <w:rPr>
      <w:rFonts w:ascii="Arial" w:hAnsi="Arial"/>
    </w:rPr>
  </w:style>
  <w:style w:type="paragraph" w:styleId="Heading1">
    <w:name w:val="heading 1"/>
    <w:basedOn w:val="Normal"/>
    <w:next w:val="Normal"/>
    <w:link w:val="Heading1Char"/>
    <w:uiPriority w:val="9"/>
    <w:qFormat/>
    <w:rsid w:val="00696636"/>
    <w:pPr>
      <w:keepNext/>
      <w:keepLines/>
      <w:spacing w:before="240"/>
      <w:outlineLvl w:val="0"/>
    </w:pPr>
    <w:rPr>
      <w:rFonts w:ascii="Poppins" w:eastAsiaTheme="majorEastAsia" w:hAnsi="Poppins" w:cstheme="majorBidi"/>
      <w:b/>
      <w:color w:val="064265"/>
      <w:sz w:val="32"/>
      <w:szCs w:val="32"/>
    </w:rPr>
  </w:style>
  <w:style w:type="paragraph" w:styleId="Heading2">
    <w:name w:val="heading 2"/>
    <w:basedOn w:val="Heading1"/>
    <w:next w:val="Normal"/>
    <w:link w:val="Heading2Char"/>
    <w:uiPriority w:val="9"/>
    <w:unhideWhenUsed/>
    <w:qFormat/>
    <w:rsid w:val="004E3AF4"/>
    <w:pPr>
      <w:outlineLvl w:val="1"/>
    </w:pPr>
    <w:rPr>
      <w:rFonts w:cs="Arial"/>
      <w:b w:val="0"/>
      <w:bCs/>
      <w:sz w:val="28"/>
      <w:szCs w:val="36"/>
    </w:rPr>
  </w:style>
  <w:style w:type="paragraph" w:styleId="Heading3">
    <w:name w:val="heading 3"/>
    <w:basedOn w:val="Heading2"/>
    <w:next w:val="Normal"/>
    <w:link w:val="Heading3Char"/>
    <w:uiPriority w:val="9"/>
    <w:unhideWhenUsed/>
    <w:qFormat/>
    <w:rsid w:val="00BB74E9"/>
    <w:pPr>
      <w:outlineLvl w:val="2"/>
    </w:pPr>
    <w:rPr>
      <w:b/>
      <w:sz w:val="32"/>
      <w:szCs w:val="32"/>
    </w:rPr>
  </w:style>
  <w:style w:type="paragraph" w:styleId="Heading4">
    <w:name w:val="heading 4"/>
    <w:basedOn w:val="Normal"/>
    <w:next w:val="Normal"/>
    <w:link w:val="Heading4Char"/>
    <w:uiPriority w:val="9"/>
    <w:unhideWhenUsed/>
    <w:qFormat/>
    <w:rsid w:val="00F42C90"/>
    <w:pPr>
      <w:outlineLvl w:val="3"/>
    </w:pPr>
    <w:rPr>
      <w:rFonts w:cs="Arial"/>
      <w:b/>
      <w:color w:val="3F779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237"/>
  </w:style>
  <w:style w:type="paragraph" w:styleId="Footer">
    <w:name w:val="footer"/>
    <w:basedOn w:val="Normal"/>
    <w:link w:val="FooterChar"/>
    <w:uiPriority w:val="99"/>
    <w:unhideWhenUsed/>
    <w:rsid w:val="00DA3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237"/>
  </w:style>
  <w:style w:type="character" w:styleId="CommentReference">
    <w:name w:val="annotation reference"/>
    <w:basedOn w:val="DefaultParagraphFont"/>
    <w:uiPriority w:val="99"/>
    <w:semiHidden/>
    <w:unhideWhenUsed/>
    <w:rsid w:val="001034E8"/>
    <w:rPr>
      <w:sz w:val="16"/>
      <w:szCs w:val="16"/>
    </w:rPr>
  </w:style>
  <w:style w:type="paragraph" w:styleId="CommentText">
    <w:name w:val="annotation text"/>
    <w:basedOn w:val="Normal"/>
    <w:link w:val="CommentTextChar"/>
    <w:uiPriority w:val="99"/>
    <w:unhideWhenUsed/>
    <w:rsid w:val="001034E8"/>
    <w:pPr>
      <w:spacing w:line="240" w:lineRule="auto"/>
    </w:pPr>
    <w:rPr>
      <w:sz w:val="20"/>
      <w:szCs w:val="20"/>
    </w:rPr>
  </w:style>
  <w:style w:type="character" w:customStyle="1" w:styleId="CommentTextChar">
    <w:name w:val="Comment Text Char"/>
    <w:basedOn w:val="DefaultParagraphFont"/>
    <w:link w:val="CommentText"/>
    <w:uiPriority w:val="99"/>
    <w:rsid w:val="001034E8"/>
    <w:rPr>
      <w:sz w:val="20"/>
      <w:szCs w:val="20"/>
    </w:rPr>
  </w:style>
  <w:style w:type="paragraph" w:styleId="CommentSubject">
    <w:name w:val="annotation subject"/>
    <w:basedOn w:val="CommentText"/>
    <w:next w:val="CommentText"/>
    <w:link w:val="CommentSubjectChar"/>
    <w:uiPriority w:val="99"/>
    <w:semiHidden/>
    <w:unhideWhenUsed/>
    <w:rsid w:val="001034E8"/>
    <w:rPr>
      <w:b/>
      <w:bCs/>
    </w:rPr>
  </w:style>
  <w:style w:type="character" w:customStyle="1" w:styleId="CommentSubjectChar">
    <w:name w:val="Comment Subject Char"/>
    <w:basedOn w:val="CommentTextChar"/>
    <w:link w:val="CommentSubject"/>
    <w:uiPriority w:val="99"/>
    <w:semiHidden/>
    <w:rsid w:val="001034E8"/>
    <w:rPr>
      <w:b/>
      <w:bCs/>
      <w:sz w:val="20"/>
      <w:szCs w:val="20"/>
    </w:rPr>
  </w:style>
  <w:style w:type="character" w:customStyle="1" w:styleId="Heading2Char">
    <w:name w:val="Heading 2 Char"/>
    <w:basedOn w:val="DefaultParagraphFont"/>
    <w:link w:val="Heading2"/>
    <w:uiPriority w:val="9"/>
    <w:rsid w:val="004E3AF4"/>
    <w:rPr>
      <w:rFonts w:ascii="Poppins" w:eastAsiaTheme="majorEastAsia" w:hAnsi="Poppins" w:cs="Arial"/>
      <w:bCs/>
      <w:color w:val="064265"/>
      <w:sz w:val="28"/>
      <w:szCs w:val="36"/>
    </w:rPr>
  </w:style>
  <w:style w:type="character" w:customStyle="1" w:styleId="Heading3Char">
    <w:name w:val="Heading 3 Char"/>
    <w:basedOn w:val="DefaultParagraphFont"/>
    <w:link w:val="Heading3"/>
    <w:uiPriority w:val="9"/>
    <w:rsid w:val="00BB74E9"/>
    <w:rPr>
      <w:rFonts w:ascii="Poppins" w:eastAsiaTheme="majorEastAsia" w:hAnsi="Poppins" w:cs="Arial"/>
      <w:b/>
      <w:bCs/>
      <w:color w:val="064265"/>
      <w:sz w:val="32"/>
      <w:szCs w:val="32"/>
    </w:rPr>
  </w:style>
  <w:style w:type="character" w:customStyle="1" w:styleId="Heading4Char">
    <w:name w:val="Heading 4 Char"/>
    <w:basedOn w:val="DefaultParagraphFont"/>
    <w:link w:val="Heading4"/>
    <w:uiPriority w:val="9"/>
    <w:rsid w:val="00F42C90"/>
    <w:rPr>
      <w:rFonts w:ascii="Arial" w:hAnsi="Arial" w:cs="Arial"/>
      <w:b/>
      <w:color w:val="3F779D"/>
    </w:rPr>
  </w:style>
  <w:style w:type="character" w:styleId="Hyperlink">
    <w:name w:val="Hyperlink"/>
    <w:basedOn w:val="DefaultParagraphFont"/>
    <w:uiPriority w:val="99"/>
    <w:unhideWhenUsed/>
    <w:rsid w:val="00F42C90"/>
    <w:rPr>
      <w:color w:val="467886" w:themeColor="hyperlink"/>
      <w:u w:val="single"/>
    </w:rPr>
  </w:style>
  <w:style w:type="character" w:customStyle="1" w:styleId="font161">
    <w:name w:val="font161"/>
    <w:basedOn w:val="DefaultParagraphFont"/>
    <w:rsid w:val="00F42C90"/>
    <w:rPr>
      <w:rFonts w:ascii="Arial" w:hAnsi="Arial" w:cs="Arial" w:hint="default"/>
      <w:b w:val="0"/>
      <w:bCs w:val="0"/>
      <w:i w:val="0"/>
      <w:iCs w:val="0"/>
      <w:strike w:val="0"/>
      <w:dstrike w:val="0"/>
      <w:color w:val="000000"/>
      <w:sz w:val="22"/>
      <w:szCs w:val="22"/>
      <w:u w:val="none"/>
      <w:effect w:val="none"/>
    </w:rPr>
  </w:style>
  <w:style w:type="character" w:customStyle="1" w:styleId="font171">
    <w:name w:val="font171"/>
    <w:basedOn w:val="DefaultParagraphFont"/>
    <w:rsid w:val="00F42C90"/>
    <w:rPr>
      <w:rFonts w:ascii="Arial" w:hAnsi="Arial" w:cs="Arial" w:hint="default"/>
      <w:b w:val="0"/>
      <w:bCs w:val="0"/>
      <w:i w:val="0"/>
      <w:iCs w:val="0"/>
      <w:strike w:val="0"/>
      <w:dstrike w:val="0"/>
      <w:color w:val="FF0000"/>
      <w:sz w:val="22"/>
      <w:szCs w:val="22"/>
      <w:u w:val="none"/>
      <w:effect w:val="none"/>
    </w:rPr>
  </w:style>
  <w:style w:type="character" w:customStyle="1" w:styleId="Heading1Char">
    <w:name w:val="Heading 1 Char"/>
    <w:basedOn w:val="DefaultParagraphFont"/>
    <w:link w:val="Heading1"/>
    <w:uiPriority w:val="9"/>
    <w:rsid w:val="00696636"/>
    <w:rPr>
      <w:rFonts w:ascii="Poppins" w:eastAsiaTheme="majorEastAsia" w:hAnsi="Poppins" w:cstheme="majorBidi"/>
      <w:b/>
      <w:color w:val="064265"/>
      <w:sz w:val="32"/>
      <w:szCs w:val="32"/>
    </w:rPr>
  </w:style>
  <w:style w:type="character" w:styleId="FollowedHyperlink">
    <w:name w:val="FollowedHyperlink"/>
    <w:basedOn w:val="DefaultParagraphFont"/>
    <w:uiPriority w:val="99"/>
    <w:semiHidden/>
    <w:unhideWhenUsed/>
    <w:rsid w:val="008F7E99"/>
    <w:rPr>
      <w:color w:val="96607D" w:themeColor="followedHyperlink"/>
      <w:u w:val="single"/>
    </w:rPr>
  </w:style>
  <w:style w:type="character" w:styleId="UnresolvedMention">
    <w:name w:val="Unresolved Mention"/>
    <w:basedOn w:val="DefaultParagraphFont"/>
    <w:uiPriority w:val="99"/>
    <w:semiHidden/>
    <w:unhideWhenUsed/>
    <w:rsid w:val="008217EE"/>
    <w:rPr>
      <w:color w:val="605E5C"/>
      <w:shd w:val="clear" w:color="auto" w:fill="E1DFDD"/>
    </w:rPr>
  </w:style>
  <w:style w:type="table" w:customStyle="1" w:styleId="TableGrid1">
    <w:name w:val="Table Grid1"/>
    <w:basedOn w:val="TableNormal"/>
    <w:next w:val="TableGrid"/>
    <w:uiPriority w:val="39"/>
    <w:rsid w:val="00F94BB1"/>
    <w:pPr>
      <w:spacing w:after="0" w:line="240" w:lineRule="auto"/>
    </w:pPr>
    <w:rPr>
      <w:rFonts w:eastAsia="Aptos"/>
      <w:kern w:val="0"/>
      <w:sz w:val="22"/>
      <w:szCs w:val="22"/>
      <w:lang w:eastAsia="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F94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3AF4"/>
    <w:pPr>
      <w:numPr>
        <w:numId w:val="7"/>
      </w:numPr>
      <w:spacing w:after="100"/>
      <w:ind w:right="57"/>
      <w:contextualSpacing/>
    </w:pPr>
  </w:style>
  <w:style w:type="character" w:styleId="Strong">
    <w:name w:val="Strong"/>
    <w:basedOn w:val="DefaultParagraphFont"/>
    <w:uiPriority w:val="22"/>
    <w:qFormat/>
    <w:rsid w:val="00737353"/>
    <w:rPr>
      <w:b/>
      <w:bCs/>
    </w:rPr>
  </w:style>
  <w:style w:type="character" w:customStyle="1" w:styleId="normaltextrun">
    <w:name w:val="normaltextrun"/>
    <w:basedOn w:val="DefaultParagraphFont"/>
    <w:rsid w:val="00737353"/>
  </w:style>
  <w:style w:type="character" w:customStyle="1" w:styleId="eop">
    <w:name w:val="eop"/>
    <w:basedOn w:val="DefaultParagraphFont"/>
    <w:rsid w:val="0032193C"/>
  </w:style>
  <w:style w:type="paragraph" w:styleId="Revision">
    <w:name w:val="Revision"/>
    <w:hidden/>
    <w:uiPriority w:val="99"/>
    <w:semiHidden/>
    <w:rsid w:val="00241F10"/>
    <w:pPr>
      <w:spacing w:after="0" w:line="240" w:lineRule="auto"/>
    </w:pPr>
    <w:rPr>
      <w:rFonts w:ascii="Arial" w:hAnsi="Arial"/>
    </w:rPr>
  </w:style>
  <w:style w:type="paragraph" w:customStyle="1" w:styleId="TableHeaderFont">
    <w:name w:val="Table Header Font"/>
    <w:basedOn w:val="Normal"/>
    <w:qFormat/>
    <w:rsid w:val="00B02587"/>
    <w:pPr>
      <w:spacing w:before="0" w:after="0" w:line="240" w:lineRule="auto"/>
      <w:ind w:left="113" w:right="113"/>
    </w:pPr>
    <w:rPr>
      <w:rFonts w:eastAsia="Times New Roman" w:cs="Arial"/>
      <w:bCs/>
      <w:color w:val="000000"/>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521689">
      <w:bodyDiv w:val="1"/>
      <w:marLeft w:val="0"/>
      <w:marRight w:val="0"/>
      <w:marTop w:val="0"/>
      <w:marBottom w:val="0"/>
      <w:divBdr>
        <w:top w:val="none" w:sz="0" w:space="0" w:color="auto"/>
        <w:left w:val="none" w:sz="0" w:space="0" w:color="auto"/>
        <w:bottom w:val="none" w:sz="0" w:space="0" w:color="auto"/>
        <w:right w:val="none" w:sz="0" w:space="0" w:color="auto"/>
      </w:divBdr>
      <w:divsChild>
        <w:div w:id="39133072">
          <w:marLeft w:val="0"/>
          <w:marRight w:val="0"/>
          <w:marTop w:val="0"/>
          <w:marBottom w:val="0"/>
          <w:divBdr>
            <w:top w:val="none" w:sz="0" w:space="0" w:color="auto"/>
            <w:left w:val="none" w:sz="0" w:space="0" w:color="auto"/>
            <w:bottom w:val="none" w:sz="0" w:space="0" w:color="auto"/>
            <w:right w:val="none" w:sz="0" w:space="0" w:color="auto"/>
          </w:divBdr>
          <w:divsChild>
            <w:div w:id="1162963295">
              <w:marLeft w:val="-75"/>
              <w:marRight w:val="0"/>
              <w:marTop w:val="30"/>
              <w:marBottom w:val="30"/>
              <w:divBdr>
                <w:top w:val="none" w:sz="0" w:space="0" w:color="auto"/>
                <w:left w:val="none" w:sz="0" w:space="0" w:color="auto"/>
                <w:bottom w:val="none" w:sz="0" w:space="0" w:color="auto"/>
                <w:right w:val="none" w:sz="0" w:space="0" w:color="auto"/>
              </w:divBdr>
              <w:divsChild>
                <w:div w:id="11030519">
                  <w:marLeft w:val="0"/>
                  <w:marRight w:val="0"/>
                  <w:marTop w:val="0"/>
                  <w:marBottom w:val="0"/>
                  <w:divBdr>
                    <w:top w:val="none" w:sz="0" w:space="0" w:color="auto"/>
                    <w:left w:val="none" w:sz="0" w:space="0" w:color="auto"/>
                    <w:bottom w:val="none" w:sz="0" w:space="0" w:color="auto"/>
                    <w:right w:val="none" w:sz="0" w:space="0" w:color="auto"/>
                  </w:divBdr>
                  <w:divsChild>
                    <w:div w:id="1513032755">
                      <w:marLeft w:val="0"/>
                      <w:marRight w:val="0"/>
                      <w:marTop w:val="0"/>
                      <w:marBottom w:val="0"/>
                      <w:divBdr>
                        <w:top w:val="none" w:sz="0" w:space="0" w:color="auto"/>
                        <w:left w:val="none" w:sz="0" w:space="0" w:color="auto"/>
                        <w:bottom w:val="none" w:sz="0" w:space="0" w:color="auto"/>
                        <w:right w:val="none" w:sz="0" w:space="0" w:color="auto"/>
                      </w:divBdr>
                    </w:div>
                  </w:divsChild>
                </w:div>
                <w:div w:id="25446778">
                  <w:marLeft w:val="0"/>
                  <w:marRight w:val="0"/>
                  <w:marTop w:val="0"/>
                  <w:marBottom w:val="0"/>
                  <w:divBdr>
                    <w:top w:val="none" w:sz="0" w:space="0" w:color="auto"/>
                    <w:left w:val="none" w:sz="0" w:space="0" w:color="auto"/>
                    <w:bottom w:val="none" w:sz="0" w:space="0" w:color="auto"/>
                    <w:right w:val="none" w:sz="0" w:space="0" w:color="auto"/>
                  </w:divBdr>
                  <w:divsChild>
                    <w:div w:id="1737506503">
                      <w:marLeft w:val="0"/>
                      <w:marRight w:val="0"/>
                      <w:marTop w:val="0"/>
                      <w:marBottom w:val="0"/>
                      <w:divBdr>
                        <w:top w:val="none" w:sz="0" w:space="0" w:color="auto"/>
                        <w:left w:val="none" w:sz="0" w:space="0" w:color="auto"/>
                        <w:bottom w:val="none" w:sz="0" w:space="0" w:color="auto"/>
                        <w:right w:val="none" w:sz="0" w:space="0" w:color="auto"/>
                      </w:divBdr>
                    </w:div>
                  </w:divsChild>
                </w:div>
                <w:div w:id="709644145">
                  <w:marLeft w:val="0"/>
                  <w:marRight w:val="0"/>
                  <w:marTop w:val="0"/>
                  <w:marBottom w:val="0"/>
                  <w:divBdr>
                    <w:top w:val="none" w:sz="0" w:space="0" w:color="auto"/>
                    <w:left w:val="none" w:sz="0" w:space="0" w:color="auto"/>
                    <w:bottom w:val="none" w:sz="0" w:space="0" w:color="auto"/>
                    <w:right w:val="none" w:sz="0" w:space="0" w:color="auto"/>
                  </w:divBdr>
                  <w:divsChild>
                    <w:div w:id="388892220">
                      <w:marLeft w:val="0"/>
                      <w:marRight w:val="0"/>
                      <w:marTop w:val="0"/>
                      <w:marBottom w:val="0"/>
                      <w:divBdr>
                        <w:top w:val="none" w:sz="0" w:space="0" w:color="auto"/>
                        <w:left w:val="none" w:sz="0" w:space="0" w:color="auto"/>
                        <w:bottom w:val="none" w:sz="0" w:space="0" w:color="auto"/>
                        <w:right w:val="none" w:sz="0" w:space="0" w:color="auto"/>
                      </w:divBdr>
                    </w:div>
                  </w:divsChild>
                </w:div>
                <w:div w:id="1117067679">
                  <w:marLeft w:val="0"/>
                  <w:marRight w:val="0"/>
                  <w:marTop w:val="0"/>
                  <w:marBottom w:val="0"/>
                  <w:divBdr>
                    <w:top w:val="none" w:sz="0" w:space="0" w:color="auto"/>
                    <w:left w:val="none" w:sz="0" w:space="0" w:color="auto"/>
                    <w:bottom w:val="none" w:sz="0" w:space="0" w:color="auto"/>
                    <w:right w:val="none" w:sz="0" w:space="0" w:color="auto"/>
                  </w:divBdr>
                  <w:divsChild>
                    <w:div w:id="1056662547">
                      <w:marLeft w:val="0"/>
                      <w:marRight w:val="0"/>
                      <w:marTop w:val="0"/>
                      <w:marBottom w:val="0"/>
                      <w:divBdr>
                        <w:top w:val="none" w:sz="0" w:space="0" w:color="auto"/>
                        <w:left w:val="none" w:sz="0" w:space="0" w:color="auto"/>
                        <w:bottom w:val="none" w:sz="0" w:space="0" w:color="auto"/>
                        <w:right w:val="none" w:sz="0" w:space="0" w:color="auto"/>
                      </w:divBdr>
                    </w:div>
                  </w:divsChild>
                </w:div>
                <w:div w:id="1219822106">
                  <w:marLeft w:val="0"/>
                  <w:marRight w:val="0"/>
                  <w:marTop w:val="0"/>
                  <w:marBottom w:val="0"/>
                  <w:divBdr>
                    <w:top w:val="none" w:sz="0" w:space="0" w:color="auto"/>
                    <w:left w:val="none" w:sz="0" w:space="0" w:color="auto"/>
                    <w:bottom w:val="none" w:sz="0" w:space="0" w:color="auto"/>
                    <w:right w:val="none" w:sz="0" w:space="0" w:color="auto"/>
                  </w:divBdr>
                  <w:divsChild>
                    <w:div w:id="16973846">
                      <w:marLeft w:val="0"/>
                      <w:marRight w:val="0"/>
                      <w:marTop w:val="0"/>
                      <w:marBottom w:val="0"/>
                      <w:divBdr>
                        <w:top w:val="none" w:sz="0" w:space="0" w:color="auto"/>
                        <w:left w:val="none" w:sz="0" w:space="0" w:color="auto"/>
                        <w:bottom w:val="none" w:sz="0" w:space="0" w:color="auto"/>
                        <w:right w:val="none" w:sz="0" w:space="0" w:color="auto"/>
                      </w:divBdr>
                    </w:div>
                  </w:divsChild>
                </w:div>
                <w:div w:id="1711294794">
                  <w:marLeft w:val="0"/>
                  <w:marRight w:val="0"/>
                  <w:marTop w:val="0"/>
                  <w:marBottom w:val="0"/>
                  <w:divBdr>
                    <w:top w:val="none" w:sz="0" w:space="0" w:color="auto"/>
                    <w:left w:val="none" w:sz="0" w:space="0" w:color="auto"/>
                    <w:bottom w:val="none" w:sz="0" w:space="0" w:color="auto"/>
                    <w:right w:val="none" w:sz="0" w:space="0" w:color="auto"/>
                  </w:divBdr>
                  <w:divsChild>
                    <w:div w:id="2106922388">
                      <w:marLeft w:val="0"/>
                      <w:marRight w:val="0"/>
                      <w:marTop w:val="0"/>
                      <w:marBottom w:val="0"/>
                      <w:divBdr>
                        <w:top w:val="none" w:sz="0" w:space="0" w:color="auto"/>
                        <w:left w:val="none" w:sz="0" w:space="0" w:color="auto"/>
                        <w:bottom w:val="none" w:sz="0" w:space="0" w:color="auto"/>
                        <w:right w:val="none" w:sz="0" w:space="0" w:color="auto"/>
                      </w:divBdr>
                    </w:div>
                  </w:divsChild>
                </w:div>
                <w:div w:id="1886481565">
                  <w:marLeft w:val="0"/>
                  <w:marRight w:val="0"/>
                  <w:marTop w:val="0"/>
                  <w:marBottom w:val="0"/>
                  <w:divBdr>
                    <w:top w:val="none" w:sz="0" w:space="0" w:color="auto"/>
                    <w:left w:val="none" w:sz="0" w:space="0" w:color="auto"/>
                    <w:bottom w:val="none" w:sz="0" w:space="0" w:color="auto"/>
                    <w:right w:val="none" w:sz="0" w:space="0" w:color="auto"/>
                  </w:divBdr>
                  <w:divsChild>
                    <w:div w:id="1244871393">
                      <w:marLeft w:val="0"/>
                      <w:marRight w:val="0"/>
                      <w:marTop w:val="0"/>
                      <w:marBottom w:val="0"/>
                      <w:divBdr>
                        <w:top w:val="none" w:sz="0" w:space="0" w:color="auto"/>
                        <w:left w:val="none" w:sz="0" w:space="0" w:color="auto"/>
                        <w:bottom w:val="none" w:sz="0" w:space="0" w:color="auto"/>
                        <w:right w:val="none" w:sz="0" w:space="0" w:color="auto"/>
                      </w:divBdr>
                    </w:div>
                  </w:divsChild>
                </w:div>
                <w:div w:id="1923028059">
                  <w:marLeft w:val="0"/>
                  <w:marRight w:val="0"/>
                  <w:marTop w:val="0"/>
                  <w:marBottom w:val="0"/>
                  <w:divBdr>
                    <w:top w:val="none" w:sz="0" w:space="0" w:color="auto"/>
                    <w:left w:val="none" w:sz="0" w:space="0" w:color="auto"/>
                    <w:bottom w:val="none" w:sz="0" w:space="0" w:color="auto"/>
                    <w:right w:val="none" w:sz="0" w:space="0" w:color="auto"/>
                  </w:divBdr>
                  <w:divsChild>
                    <w:div w:id="1345285694">
                      <w:marLeft w:val="0"/>
                      <w:marRight w:val="0"/>
                      <w:marTop w:val="0"/>
                      <w:marBottom w:val="0"/>
                      <w:divBdr>
                        <w:top w:val="none" w:sz="0" w:space="0" w:color="auto"/>
                        <w:left w:val="none" w:sz="0" w:space="0" w:color="auto"/>
                        <w:bottom w:val="none" w:sz="0" w:space="0" w:color="auto"/>
                        <w:right w:val="none" w:sz="0" w:space="0" w:color="auto"/>
                      </w:divBdr>
                    </w:div>
                  </w:divsChild>
                </w:div>
                <w:div w:id="1989816956">
                  <w:marLeft w:val="0"/>
                  <w:marRight w:val="0"/>
                  <w:marTop w:val="0"/>
                  <w:marBottom w:val="0"/>
                  <w:divBdr>
                    <w:top w:val="none" w:sz="0" w:space="0" w:color="auto"/>
                    <w:left w:val="none" w:sz="0" w:space="0" w:color="auto"/>
                    <w:bottom w:val="none" w:sz="0" w:space="0" w:color="auto"/>
                    <w:right w:val="none" w:sz="0" w:space="0" w:color="auto"/>
                  </w:divBdr>
                  <w:divsChild>
                    <w:div w:id="1739984266">
                      <w:marLeft w:val="0"/>
                      <w:marRight w:val="0"/>
                      <w:marTop w:val="0"/>
                      <w:marBottom w:val="0"/>
                      <w:divBdr>
                        <w:top w:val="none" w:sz="0" w:space="0" w:color="auto"/>
                        <w:left w:val="none" w:sz="0" w:space="0" w:color="auto"/>
                        <w:bottom w:val="none" w:sz="0" w:space="0" w:color="auto"/>
                        <w:right w:val="none" w:sz="0" w:space="0" w:color="auto"/>
                      </w:divBdr>
                    </w:div>
                  </w:divsChild>
                </w:div>
                <w:div w:id="2091152104">
                  <w:marLeft w:val="0"/>
                  <w:marRight w:val="0"/>
                  <w:marTop w:val="0"/>
                  <w:marBottom w:val="0"/>
                  <w:divBdr>
                    <w:top w:val="none" w:sz="0" w:space="0" w:color="auto"/>
                    <w:left w:val="none" w:sz="0" w:space="0" w:color="auto"/>
                    <w:bottom w:val="none" w:sz="0" w:space="0" w:color="auto"/>
                    <w:right w:val="none" w:sz="0" w:space="0" w:color="auto"/>
                  </w:divBdr>
                  <w:divsChild>
                    <w:div w:id="188183948">
                      <w:marLeft w:val="0"/>
                      <w:marRight w:val="0"/>
                      <w:marTop w:val="0"/>
                      <w:marBottom w:val="0"/>
                      <w:divBdr>
                        <w:top w:val="none" w:sz="0" w:space="0" w:color="auto"/>
                        <w:left w:val="none" w:sz="0" w:space="0" w:color="auto"/>
                        <w:bottom w:val="none" w:sz="0" w:space="0" w:color="auto"/>
                        <w:right w:val="none" w:sz="0" w:space="0" w:color="auto"/>
                      </w:divBdr>
                    </w:div>
                    <w:div w:id="729696644">
                      <w:marLeft w:val="0"/>
                      <w:marRight w:val="0"/>
                      <w:marTop w:val="0"/>
                      <w:marBottom w:val="0"/>
                      <w:divBdr>
                        <w:top w:val="none" w:sz="0" w:space="0" w:color="auto"/>
                        <w:left w:val="none" w:sz="0" w:space="0" w:color="auto"/>
                        <w:bottom w:val="none" w:sz="0" w:space="0" w:color="auto"/>
                        <w:right w:val="none" w:sz="0" w:space="0" w:color="auto"/>
                      </w:divBdr>
                    </w:div>
                    <w:div w:id="16278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14156">
          <w:marLeft w:val="0"/>
          <w:marRight w:val="0"/>
          <w:marTop w:val="0"/>
          <w:marBottom w:val="0"/>
          <w:divBdr>
            <w:top w:val="none" w:sz="0" w:space="0" w:color="auto"/>
            <w:left w:val="none" w:sz="0" w:space="0" w:color="auto"/>
            <w:bottom w:val="none" w:sz="0" w:space="0" w:color="auto"/>
            <w:right w:val="none" w:sz="0" w:space="0" w:color="auto"/>
          </w:divBdr>
        </w:div>
        <w:div w:id="658922905">
          <w:marLeft w:val="0"/>
          <w:marRight w:val="0"/>
          <w:marTop w:val="0"/>
          <w:marBottom w:val="0"/>
          <w:divBdr>
            <w:top w:val="none" w:sz="0" w:space="0" w:color="auto"/>
            <w:left w:val="none" w:sz="0" w:space="0" w:color="auto"/>
            <w:bottom w:val="none" w:sz="0" w:space="0" w:color="auto"/>
            <w:right w:val="none" w:sz="0" w:space="0" w:color="auto"/>
          </w:divBdr>
        </w:div>
        <w:div w:id="877159543">
          <w:marLeft w:val="0"/>
          <w:marRight w:val="0"/>
          <w:marTop w:val="0"/>
          <w:marBottom w:val="0"/>
          <w:divBdr>
            <w:top w:val="none" w:sz="0" w:space="0" w:color="auto"/>
            <w:left w:val="none" w:sz="0" w:space="0" w:color="auto"/>
            <w:bottom w:val="none" w:sz="0" w:space="0" w:color="auto"/>
            <w:right w:val="none" w:sz="0" w:space="0" w:color="auto"/>
          </w:divBdr>
        </w:div>
        <w:div w:id="1282566897">
          <w:marLeft w:val="0"/>
          <w:marRight w:val="0"/>
          <w:marTop w:val="0"/>
          <w:marBottom w:val="0"/>
          <w:divBdr>
            <w:top w:val="none" w:sz="0" w:space="0" w:color="auto"/>
            <w:left w:val="none" w:sz="0" w:space="0" w:color="auto"/>
            <w:bottom w:val="none" w:sz="0" w:space="0" w:color="auto"/>
            <w:right w:val="none" w:sz="0" w:space="0" w:color="auto"/>
          </w:divBdr>
        </w:div>
        <w:div w:id="1329291939">
          <w:marLeft w:val="0"/>
          <w:marRight w:val="0"/>
          <w:marTop w:val="0"/>
          <w:marBottom w:val="0"/>
          <w:divBdr>
            <w:top w:val="none" w:sz="0" w:space="0" w:color="auto"/>
            <w:left w:val="none" w:sz="0" w:space="0" w:color="auto"/>
            <w:bottom w:val="none" w:sz="0" w:space="0" w:color="auto"/>
            <w:right w:val="none" w:sz="0" w:space="0" w:color="auto"/>
          </w:divBdr>
        </w:div>
        <w:div w:id="1425416495">
          <w:marLeft w:val="0"/>
          <w:marRight w:val="0"/>
          <w:marTop w:val="0"/>
          <w:marBottom w:val="0"/>
          <w:divBdr>
            <w:top w:val="none" w:sz="0" w:space="0" w:color="auto"/>
            <w:left w:val="none" w:sz="0" w:space="0" w:color="auto"/>
            <w:bottom w:val="none" w:sz="0" w:space="0" w:color="auto"/>
            <w:right w:val="none" w:sz="0" w:space="0" w:color="auto"/>
          </w:divBdr>
        </w:div>
        <w:div w:id="1567569057">
          <w:marLeft w:val="0"/>
          <w:marRight w:val="0"/>
          <w:marTop w:val="0"/>
          <w:marBottom w:val="0"/>
          <w:divBdr>
            <w:top w:val="none" w:sz="0" w:space="0" w:color="auto"/>
            <w:left w:val="none" w:sz="0" w:space="0" w:color="auto"/>
            <w:bottom w:val="none" w:sz="0" w:space="0" w:color="auto"/>
            <w:right w:val="none" w:sz="0" w:space="0" w:color="auto"/>
          </w:divBdr>
        </w:div>
        <w:div w:id="1608191635">
          <w:marLeft w:val="0"/>
          <w:marRight w:val="0"/>
          <w:marTop w:val="0"/>
          <w:marBottom w:val="0"/>
          <w:divBdr>
            <w:top w:val="none" w:sz="0" w:space="0" w:color="auto"/>
            <w:left w:val="none" w:sz="0" w:space="0" w:color="auto"/>
            <w:bottom w:val="none" w:sz="0" w:space="0" w:color="auto"/>
            <w:right w:val="none" w:sz="0" w:space="0" w:color="auto"/>
          </w:divBdr>
        </w:div>
        <w:div w:id="1970356430">
          <w:marLeft w:val="0"/>
          <w:marRight w:val="0"/>
          <w:marTop w:val="0"/>
          <w:marBottom w:val="0"/>
          <w:divBdr>
            <w:top w:val="none" w:sz="0" w:space="0" w:color="auto"/>
            <w:left w:val="none" w:sz="0" w:space="0" w:color="auto"/>
            <w:bottom w:val="none" w:sz="0" w:space="0" w:color="auto"/>
            <w:right w:val="none" w:sz="0" w:space="0" w:color="auto"/>
          </w:divBdr>
        </w:div>
      </w:divsChild>
    </w:div>
    <w:div w:id="309939900">
      <w:bodyDiv w:val="1"/>
      <w:marLeft w:val="0"/>
      <w:marRight w:val="0"/>
      <w:marTop w:val="0"/>
      <w:marBottom w:val="0"/>
      <w:divBdr>
        <w:top w:val="none" w:sz="0" w:space="0" w:color="auto"/>
        <w:left w:val="none" w:sz="0" w:space="0" w:color="auto"/>
        <w:bottom w:val="none" w:sz="0" w:space="0" w:color="auto"/>
        <w:right w:val="none" w:sz="0" w:space="0" w:color="auto"/>
      </w:divBdr>
    </w:div>
    <w:div w:id="804546650">
      <w:bodyDiv w:val="1"/>
      <w:marLeft w:val="0"/>
      <w:marRight w:val="0"/>
      <w:marTop w:val="0"/>
      <w:marBottom w:val="0"/>
      <w:divBdr>
        <w:top w:val="none" w:sz="0" w:space="0" w:color="auto"/>
        <w:left w:val="none" w:sz="0" w:space="0" w:color="auto"/>
        <w:bottom w:val="none" w:sz="0" w:space="0" w:color="auto"/>
        <w:right w:val="none" w:sz="0" w:space="0" w:color="auto"/>
      </w:divBdr>
      <w:divsChild>
        <w:div w:id="37050973">
          <w:marLeft w:val="0"/>
          <w:marRight w:val="0"/>
          <w:marTop w:val="0"/>
          <w:marBottom w:val="0"/>
          <w:divBdr>
            <w:top w:val="none" w:sz="0" w:space="0" w:color="auto"/>
            <w:left w:val="none" w:sz="0" w:space="0" w:color="auto"/>
            <w:bottom w:val="none" w:sz="0" w:space="0" w:color="auto"/>
            <w:right w:val="none" w:sz="0" w:space="0" w:color="auto"/>
          </w:divBdr>
        </w:div>
        <w:div w:id="234820793">
          <w:marLeft w:val="0"/>
          <w:marRight w:val="0"/>
          <w:marTop w:val="0"/>
          <w:marBottom w:val="0"/>
          <w:divBdr>
            <w:top w:val="none" w:sz="0" w:space="0" w:color="auto"/>
            <w:left w:val="none" w:sz="0" w:space="0" w:color="auto"/>
            <w:bottom w:val="none" w:sz="0" w:space="0" w:color="auto"/>
            <w:right w:val="none" w:sz="0" w:space="0" w:color="auto"/>
          </w:divBdr>
        </w:div>
        <w:div w:id="333072825">
          <w:marLeft w:val="0"/>
          <w:marRight w:val="0"/>
          <w:marTop w:val="0"/>
          <w:marBottom w:val="0"/>
          <w:divBdr>
            <w:top w:val="none" w:sz="0" w:space="0" w:color="auto"/>
            <w:left w:val="none" w:sz="0" w:space="0" w:color="auto"/>
            <w:bottom w:val="none" w:sz="0" w:space="0" w:color="auto"/>
            <w:right w:val="none" w:sz="0" w:space="0" w:color="auto"/>
          </w:divBdr>
        </w:div>
        <w:div w:id="418211192">
          <w:marLeft w:val="0"/>
          <w:marRight w:val="0"/>
          <w:marTop w:val="0"/>
          <w:marBottom w:val="0"/>
          <w:divBdr>
            <w:top w:val="none" w:sz="0" w:space="0" w:color="auto"/>
            <w:left w:val="none" w:sz="0" w:space="0" w:color="auto"/>
            <w:bottom w:val="none" w:sz="0" w:space="0" w:color="auto"/>
            <w:right w:val="none" w:sz="0" w:space="0" w:color="auto"/>
          </w:divBdr>
        </w:div>
        <w:div w:id="748966629">
          <w:marLeft w:val="0"/>
          <w:marRight w:val="0"/>
          <w:marTop w:val="0"/>
          <w:marBottom w:val="0"/>
          <w:divBdr>
            <w:top w:val="none" w:sz="0" w:space="0" w:color="auto"/>
            <w:left w:val="none" w:sz="0" w:space="0" w:color="auto"/>
            <w:bottom w:val="none" w:sz="0" w:space="0" w:color="auto"/>
            <w:right w:val="none" w:sz="0" w:space="0" w:color="auto"/>
          </w:divBdr>
        </w:div>
        <w:div w:id="1393194634">
          <w:marLeft w:val="0"/>
          <w:marRight w:val="0"/>
          <w:marTop w:val="0"/>
          <w:marBottom w:val="0"/>
          <w:divBdr>
            <w:top w:val="none" w:sz="0" w:space="0" w:color="auto"/>
            <w:left w:val="none" w:sz="0" w:space="0" w:color="auto"/>
            <w:bottom w:val="none" w:sz="0" w:space="0" w:color="auto"/>
            <w:right w:val="none" w:sz="0" w:space="0" w:color="auto"/>
          </w:divBdr>
        </w:div>
        <w:div w:id="1408186057">
          <w:marLeft w:val="0"/>
          <w:marRight w:val="0"/>
          <w:marTop w:val="0"/>
          <w:marBottom w:val="0"/>
          <w:divBdr>
            <w:top w:val="none" w:sz="0" w:space="0" w:color="auto"/>
            <w:left w:val="none" w:sz="0" w:space="0" w:color="auto"/>
            <w:bottom w:val="none" w:sz="0" w:space="0" w:color="auto"/>
            <w:right w:val="none" w:sz="0" w:space="0" w:color="auto"/>
          </w:divBdr>
        </w:div>
        <w:div w:id="1709599598">
          <w:marLeft w:val="0"/>
          <w:marRight w:val="0"/>
          <w:marTop w:val="0"/>
          <w:marBottom w:val="0"/>
          <w:divBdr>
            <w:top w:val="none" w:sz="0" w:space="0" w:color="auto"/>
            <w:left w:val="none" w:sz="0" w:space="0" w:color="auto"/>
            <w:bottom w:val="none" w:sz="0" w:space="0" w:color="auto"/>
            <w:right w:val="none" w:sz="0" w:space="0" w:color="auto"/>
          </w:divBdr>
        </w:div>
        <w:div w:id="1845893311">
          <w:marLeft w:val="0"/>
          <w:marRight w:val="0"/>
          <w:marTop w:val="0"/>
          <w:marBottom w:val="0"/>
          <w:divBdr>
            <w:top w:val="none" w:sz="0" w:space="0" w:color="auto"/>
            <w:left w:val="none" w:sz="0" w:space="0" w:color="auto"/>
            <w:bottom w:val="none" w:sz="0" w:space="0" w:color="auto"/>
            <w:right w:val="none" w:sz="0" w:space="0" w:color="auto"/>
          </w:divBdr>
          <w:divsChild>
            <w:div w:id="317224667">
              <w:marLeft w:val="-75"/>
              <w:marRight w:val="0"/>
              <w:marTop w:val="30"/>
              <w:marBottom w:val="30"/>
              <w:divBdr>
                <w:top w:val="none" w:sz="0" w:space="0" w:color="auto"/>
                <w:left w:val="none" w:sz="0" w:space="0" w:color="auto"/>
                <w:bottom w:val="none" w:sz="0" w:space="0" w:color="auto"/>
                <w:right w:val="none" w:sz="0" w:space="0" w:color="auto"/>
              </w:divBdr>
              <w:divsChild>
                <w:div w:id="103771205">
                  <w:marLeft w:val="0"/>
                  <w:marRight w:val="0"/>
                  <w:marTop w:val="0"/>
                  <w:marBottom w:val="0"/>
                  <w:divBdr>
                    <w:top w:val="none" w:sz="0" w:space="0" w:color="auto"/>
                    <w:left w:val="none" w:sz="0" w:space="0" w:color="auto"/>
                    <w:bottom w:val="none" w:sz="0" w:space="0" w:color="auto"/>
                    <w:right w:val="none" w:sz="0" w:space="0" w:color="auto"/>
                  </w:divBdr>
                  <w:divsChild>
                    <w:div w:id="733091671">
                      <w:marLeft w:val="0"/>
                      <w:marRight w:val="0"/>
                      <w:marTop w:val="0"/>
                      <w:marBottom w:val="0"/>
                      <w:divBdr>
                        <w:top w:val="none" w:sz="0" w:space="0" w:color="auto"/>
                        <w:left w:val="none" w:sz="0" w:space="0" w:color="auto"/>
                        <w:bottom w:val="none" w:sz="0" w:space="0" w:color="auto"/>
                        <w:right w:val="none" w:sz="0" w:space="0" w:color="auto"/>
                      </w:divBdr>
                    </w:div>
                  </w:divsChild>
                </w:div>
                <w:div w:id="507906308">
                  <w:marLeft w:val="0"/>
                  <w:marRight w:val="0"/>
                  <w:marTop w:val="0"/>
                  <w:marBottom w:val="0"/>
                  <w:divBdr>
                    <w:top w:val="none" w:sz="0" w:space="0" w:color="auto"/>
                    <w:left w:val="none" w:sz="0" w:space="0" w:color="auto"/>
                    <w:bottom w:val="none" w:sz="0" w:space="0" w:color="auto"/>
                    <w:right w:val="none" w:sz="0" w:space="0" w:color="auto"/>
                  </w:divBdr>
                  <w:divsChild>
                    <w:div w:id="1104106563">
                      <w:marLeft w:val="0"/>
                      <w:marRight w:val="0"/>
                      <w:marTop w:val="0"/>
                      <w:marBottom w:val="0"/>
                      <w:divBdr>
                        <w:top w:val="none" w:sz="0" w:space="0" w:color="auto"/>
                        <w:left w:val="none" w:sz="0" w:space="0" w:color="auto"/>
                        <w:bottom w:val="none" w:sz="0" w:space="0" w:color="auto"/>
                        <w:right w:val="none" w:sz="0" w:space="0" w:color="auto"/>
                      </w:divBdr>
                    </w:div>
                  </w:divsChild>
                </w:div>
                <w:div w:id="583220022">
                  <w:marLeft w:val="0"/>
                  <w:marRight w:val="0"/>
                  <w:marTop w:val="0"/>
                  <w:marBottom w:val="0"/>
                  <w:divBdr>
                    <w:top w:val="none" w:sz="0" w:space="0" w:color="auto"/>
                    <w:left w:val="none" w:sz="0" w:space="0" w:color="auto"/>
                    <w:bottom w:val="none" w:sz="0" w:space="0" w:color="auto"/>
                    <w:right w:val="none" w:sz="0" w:space="0" w:color="auto"/>
                  </w:divBdr>
                  <w:divsChild>
                    <w:div w:id="1577090081">
                      <w:marLeft w:val="0"/>
                      <w:marRight w:val="0"/>
                      <w:marTop w:val="0"/>
                      <w:marBottom w:val="0"/>
                      <w:divBdr>
                        <w:top w:val="none" w:sz="0" w:space="0" w:color="auto"/>
                        <w:left w:val="none" w:sz="0" w:space="0" w:color="auto"/>
                        <w:bottom w:val="none" w:sz="0" w:space="0" w:color="auto"/>
                        <w:right w:val="none" w:sz="0" w:space="0" w:color="auto"/>
                      </w:divBdr>
                    </w:div>
                  </w:divsChild>
                </w:div>
                <w:div w:id="588928986">
                  <w:marLeft w:val="0"/>
                  <w:marRight w:val="0"/>
                  <w:marTop w:val="0"/>
                  <w:marBottom w:val="0"/>
                  <w:divBdr>
                    <w:top w:val="none" w:sz="0" w:space="0" w:color="auto"/>
                    <w:left w:val="none" w:sz="0" w:space="0" w:color="auto"/>
                    <w:bottom w:val="none" w:sz="0" w:space="0" w:color="auto"/>
                    <w:right w:val="none" w:sz="0" w:space="0" w:color="auto"/>
                  </w:divBdr>
                  <w:divsChild>
                    <w:div w:id="1328820985">
                      <w:marLeft w:val="0"/>
                      <w:marRight w:val="0"/>
                      <w:marTop w:val="0"/>
                      <w:marBottom w:val="0"/>
                      <w:divBdr>
                        <w:top w:val="none" w:sz="0" w:space="0" w:color="auto"/>
                        <w:left w:val="none" w:sz="0" w:space="0" w:color="auto"/>
                        <w:bottom w:val="none" w:sz="0" w:space="0" w:color="auto"/>
                        <w:right w:val="none" w:sz="0" w:space="0" w:color="auto"/>
                      </w:divBdr>
                    </w:div>
                  </w:divsChild>
                </w:div>
                <w:div w:id="675303569">
                  <w:marLeft w:val="0"/>
                  <w:marRight w:val="0"/>
                  <w:marTop w:val="0"/>
                  <w:marBottom w:val="0"/>
                  <w:divBdr>
                    <w:top w:val="none" w:sz="0" w:space="0" w:color="auto"/>
                    <w:left w:val="none" w:sz="0" w:space="0" w:color="auto"/>
                    <w:bottom w:val="none" w:sz="0" w:space="0" w:color="auto"/>
                    <w:right w:val="none" w:sz="0" w:space="0" w:color="auto"/>
                  </w:divBdr>
                  <w:divsChild>
                    <w:div w:id="932739178">
                      <w:marLeft w:val="0"/>
                      <w:marRight w:val="0"/>
                      <w:marTop w:val="0"/>
                      <w:marBottom w:val="0"/>
                      <w:divBdr>
                        <w:top w:val="none" w:sz="0" w:space="0" w:color="auto"/>
                        <w:left w:val="none" w:sz="0" w:space="0" w:color="auto"/>
                        <w:bottom w:val="none" w:sz="0" w:space="0" w:color="auto"/>
                        <w:right w:val="none" w:sz="0" w:space="0" w:color="auto"/>
                      </w:divBdr>
                    </w:div>
                  </w:divsChild>
                </w:div>
                <w:div w:id="1144195501">
                  <w:marLeft w:val="0"/>
                  <w:marRight w:val="0"/>
                  <w:marTop w:val="0"/>
                  <w:marBottom w:val="0"/>
                  <w:divBdr>
                    <w:top w:val="none" w:sz="0" w:space="0" w:color="auto"/>
                    <w:left w:val="none" w:sz="0" w:space="0" w:color="auto"/>
                    <w:bottom w:val="none" w:sz="0" w:space="0" w:color="auto"/>
                    <w:right w:val="none" w:sz="0" w:space="0" w:color="auto"/>
                  </w:divBdr>
                  <w:divsChild>
                    <w:div w:id="452793654">
                      <w:marLeft w:val="0"/>
                      <w:marRight w:val="0"/>
                      <w:marTop w:val="0"/>
                      <w:marBottom w:val="0"/>
                      <w:divBdr>
                        <w:top w:val="none" w:sz="0" w:space="0" w:color="auto"/>
                        <w:left w:val="none" w:sz="0" w:space="0" w:color="auto"/>
                        <w:bottom w:val="none" w:sz="0" w:space="0" w:color="auto"/>
                        <w:right w:val="none" w:sz="0" w:space="0" w:color="auto"/>
                      </w:divBdr>
                    </w:div>
                  </w:divsChild>
                </w:div>
                <w:div w:id="1157260429">
                  <w:marLeft w:val="0"/>
                  <w:marRight w:val="0"/>
                  <w:marTop w:val="0"/>
                  <w:marBottom w:val="0"/>
                  <w:divBdr>
                    <w:top w:val="none" w:sz="0" w:space="0" w:color="auto"/>
                    <w:left w:val="none" w:sz="0" w:space="0" w:color="auto"/>
                    <w:bottom w:val="none" w:sz="0" w:space="0" w:color="auto"/>
                    <w:right w:val="none" w:sz="0" w:space="0" w:color="auto"/>
                  </w:divBdr>
                  <w:divsChild>
                    <w:div w:id="2004044106">
                      <w:marLeft w:val="0"/>
                      <w:marRight w:val="0"/>
                      <w:marTop w:val="0"/>
                      <w:marBottom w:val="0"/>
                      <w:divBdr>
                        <w:top w:val="none" w:sz="0" w:space="0" w:color="auto"/>
                        <w:left w:val="none" w:sz="0" w:space="0" w:color="auto"/>
                        <w:bottom w:val="none" w:sz="0" w:space="0" w:color="auto"/>
                        <w:right w:val="none" w:sz="0" w:space="0" w:color="auto"/>
                      </w:divBdr>
                    </w:div>
                  </w:divsChild>
                </w:div>
                <w:div w:id="1635676283">
                  <w:marLeft w:val="0"/>
                  <w:marRight w:val="0"/>
                  <w:marTop w:val="0"/>
                  <w:marBottom w:val="0"/>
                  <w:divBdr>
                    <w:top w:val="none" w:sz="0" w:space="0" w:color="auto"/>
                    <w:left w:val="none" w:sz="0" w:space="0" w:color="auto"/>
                    <w:bottom w:val="none" w:sz="0" w:space="0" w:color="auto"/>
                    <w:right w:val="none" w:sz="0" w:space="0" w:color="auto"/>
                  </w:divBdr>
                  <w:divsChild>
                    <w:div w:id="1434207436">
                      <w:marLeft w:val="0"/>
                      <w:marRight w:val="0"/>
                      <w:marTop w:val="0"/>
                      <w:marBottom w:val="0"/>
                      <w:divBdr>
                        <w:top w:val="none" w:sz="0" w:space="0" w:color="auto"/>
                        <w:left w:val="none" w:sz="0" w:space="0" w:color="auto"/>
                        <w:bottom w:val="none" w:sz="0" w:space="0" w:color="auto"/>
                        <w:right w:val="none" w:sz="0" w:space="0" w:color="auto"/>
                      </w:divBdr>
                    </w:div>
                  </w:divsChild>
                </w:div>
                <w:div w:id="1950626275">
                  <w:marLeft w:val="0"/>
                  <w:marRight w:val="0"/>
                  <w:marTop w:val="0"/>
                  <w:marBottom w:val="0"/>
                  <w:divBdr>
                    <w:top w:val="none" w:sz="0" w:space="0" w:color="auto"/>
                    <w:left w:val="none" w:sz="0" w:space="0" w:color="auto"/>
                    <w:bottom w:val="none" w:sz="0" w:space="0" w:color="auto"/>
                    <w:right w:val="none" w:sz="0" w:space="0" w:color="auto"/>
                  </w:divBdr>
                  <w:divsChild>
                    <w:div w:id="1406683861">
                      <w:marLeft w:val="0"/>
                      <w:marRight w:val="0"/>
                      <w:marTop w:val="0"/>
                      <w:marBottom w:val="0"/>
                      <w:divBdr>
                        <w:top w:val="none" w:sz="0" w:space="0" w:color="auto"/>
                        <w:left w:val="none" w:sz="0" w:space="0" w:color="auto"/>
                        <w:bottom w:val="none" w:sz="0" w:space="0" w:color="auto"/>
                        <w:right w:val="none" w:sz="0" w:space="0" w:color="auto"/>
                      </w:divBdr>
                    </w:div>
                  </w:divsChild>
                </w:div>
                <w:div w:id="1995596605">
                  <w:marLeft w:val="0"/>
                  <w:marRight w:val="0"/>
                  <w:marTop w:val="0"/>
                  <w:marBottom w:val="0"/>
                  <w:divBdr>
                    <w:top w:val="none" w:sz="0" w:space="0" w:color="auto"/>
                    <w:left w:val="none" w:sz="0" w:space="0" w:color="auto"/>
                    <w:bottom w:val="none" w:sz="0" w:space="0" w:color="auto"/>
                    <w:right w:val="none" w:sz="0" w:space="0" w:color="auto"/>
                  </w:divBdr>
                  <w:divsChild>
                    <w:div w:id="551423670">
                      <w:marLeft w:val="0"/>
                      <w:marRight w:val="0"/>
                      <w:marTop w:val="0"/>
                      <w:marBottom w:val="0"/>
                      <w:divBdr>
                        <w:top w:val="none" w:sz="0" w:space="0" w:color="auto"/>
                        <w:left w:val="none" w:sz="0" w:space="0" w:color="auto"/>
                        <w:bottom w:val="none" w:sz="0" w:space="0" w:color="auto"/>
                        <w:right w:val="none" w:sz="0" w:space="0" w:color="auto"/>
                      </w:divBdr>
                    </w:div>
                    <w:div w:id="1166021639">
                      <w:marLeft w:val="0"/>
                      <w:marRight w:val="0"/>
                      <w:marTop w:val="0"/>
                      <w:marBottom w:val="0"/>
                      <w:divBdr>
                        <w:top w:val="none" w:sz="0" w:space="0" w:color="auto"/>
                        <w:left w:val="none" w:sz="0" w:space="0" w:color="auto"/>
                        <w:bottom w:val="none" w:sz="0" w:space="0" w:color="auto"/>
                        <w:right w:val="none" w:sz="0" w:space="0" w:color="auto"/>
                      </w:divBdr>
                    </w:div>
                    <w:div w:id="15854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92528">
          <w:marLeft w:val="0"/>
          <w:marRight w:val="0"/>
          <w:marTop w:val="0"/>
          <w:marBottom w:val="0"/>
          <w:divBdr>
            <w:top w:val="none" w:sz="0" w:space="0" w:color="auto"/>
            <w:left w:val="none" w:sz="0" w:space="0" w:color="auto"/>
            <w:bottom w:val="none" w:sz="0" w:space="0" w:color="auto"/>
            <w:right w:val="none" w:sz="0" w:space="0" w:color="auto"/>
          </w:divBdr>
        </w:div>
      </w:divsChild>
    </w:div>
    <w:div w:id="1074233252">
      <w:bodyDiv w:val="1"/>
      <w:marLeft w:val="0"/>
      <w:marRight w:val="0"/>
      <w:marTop w:val="0"/>
      <w:marBottom w:val="0"/>
      <w:divBdr>
        <w:top w:val="none" w:sz="0" w:space="0" w:color="auto"/>
        <w:left w:val="none" w:sz="0" w:space="0" w:color="auto"/>
        <w:bottom w:val="none" w:sz="0" w:space="0" w:color="auto"/>
        <w:right w:val="none" w:sz="0" w:space="0" w:color="auto"/>
      </w:divBdr>
    </w:div>
    <w:div w:id="1202592764">
      <w:bodyDiv w:val="1"/>
      <w:marLeft w:val="0"/>
      <w:marRight w:val="0"/>
      <w:marTop w:val="0"/>
      <w:marBottom w:val="0"/>
      <w:divBdr>
        <w:top w:val="none" w:sz="0" w:space="0" w:color="auto"/>
        <w:left w:val="none" w:sz="0" w:space="0" w:color="auto"/>
        <w:bottom w:val="none" w:sz="0" w:space="0" w:color="auto"/>
        <w:right w:val="none" w:sz="0" w:space="0" w:color="auto"/>
      </w:divBdr>
    </w:div>
    <w:div w:id="1363238867">
      <w:bodyDiv w:val="1"/>
      <w:marLeft w:val="0"/>
      <w:marRight w:val="0"/>
      <w:marTop w:val="0"/>
      <w:marBottom w:val="0"/>
      <w:divBdr>
        <w:top w:val="none" w:sz="0" w:space="0" w:color="auto"/>
        <w:left w:val="none" w:sz="0" w:space="0" w:color="auto"/>
        <w:bottom w:val="none" w:sz="0" w:space="0" w:color="auto"/>
        <w:right w:val="none" w:sz="0" w:space="0" w:color="auto"/>
      </w:divBdr>
    </w:div>
    <w:div w:id="1688560405">
      <w:bodyDiv w:val="1"/>
      <w:marLeft w:val="0"/>
      <w:marRight w:val="0"/>
      <w:marTop w:val="0"/>
      <w:marBottom w:val="0"/>
      <w:divBdr>
        <w:top w:val="none" w:sz="0" w:space="0" w:color="auto"/>
        <w:left w:val="none" w:sz="0" w:space="0" w:color="auto"/>
        <w:bottom w:val="none" w:sz="0" w:space="0" w:color="auto"/>
        <w:right w:val="none" w:sz="0" w:space="0" w:color="auto"/>
      </w:divBdr>
      <w:divsChild>
        <w:div w:id="137496774">
          <w:marLeft w:val="0"/>
          <w:marRight w:val="0"/>
          <w:marTop w:val="0"/>
          <w:marBottom w:val="0"/>
          <w:divBdr>
            <w:top w:val="none" w:sz="0" w:space="0" w:color="auto"/>
            <w:left w:val="none" w:sz="0" w:space="0" w:color="auto"/>
            <w:bottom w:val="none" w:sz="0" w:space="0" w:color="auto"/>
            <w:right w:val="none" w:sz="0" w:space="0" w:color="auto"/>
          </w:divBdr>
        </w:div>
        <w:div w:id="232083420">
          <w:marLeft w:val="0"/>
          <w:marRight w:val="0"/>
          <w:marTop w:val="0"/>
          <w:marBottom w:val="0"/>
          <w:divBdr>
            <w:top w:val="none" w:sz="0" w:space="0" w:color="auto"/>
            <w:left w:val="none" w:sz="0" w:space="0" w:color="auto"/>
            <w:bottom w:val="none" w:sz="0" w:space="0" w:color="auto"/>
            <w:right w:val="none" w:sz="0" w:space="0" w:color="auto"/>
          </w:divBdr>
        </w:div>
        <w:div w:id="454714376">
          <w:marLeft w:val="0"/>
          <w:marRight w:val="0"/>
          <w:marTop w:val="0"/>
          <w:marBottom w:val="0"/>
          <w:divBdr>
            <w:top w:val="none" w:sz="0" w:space="0" w:color="auto"/>
            <w:left w:val="none" w:sz="0" w:space="0" w:color="auto"/>
            <w:bottom w:val="none" w:sz="0" w:space="0" w:color="auto"/>
            <w:right w:val="none" w:sz="0" w:space="0" w:color="auto"/>
          </w:divBdr>
        </w:div>
        <w:div w:id="623389307">
          <w:marLeft w:val="0"/>
          <w:marRight w:val="0"/>
          <w:marTop w:val="0"/>
          <w:marBottom w:val="0"/>
          <w:divBdr>
            <w:top w:val="none" w:sz="0" w:space="0" w:color="auto"/>
            <w:left w:val="none" w:sz="0" w:space="0" w:color="auto"/>
            <w:bottom w:val="none" w:sz="0" w:space="0" w:color="auto"/>
            <w:right w:val="none" w:sz="0" w:space="0" w:color="auto"/>
          </w:divBdr>
        </w:div>
        <w:div w:id="638537396">
          <w:marLeft w:val="0"/>
          <w:marRight w:val="0"/>
          <w:marTop w:val="0"/>
          <w:marBottom w:val="0"/>
          <w:divBdr>
            <w:top w:val="none" w:sz="0" w:space="0" w:color="auto"/>
            <w:left w:val="none" w:sz="0" w:space="0" w:color="auto"/>
            <w:bottom w:val="none" w:sz="0" w:space="0" w:color="auto"/>
            <w:right w:val="none" w:sz="0" w:space="0" w:color="auto"/>
          </w:divBdr>
        </w:div>
        <w:div w:id="725951899">
          <w:marLeft w:val="0"/>
          <w:marRight w:val="0"/>
          <w:marTop w:val="0"/>
          <w:marBottom w:val="0"/>
          <w:divBdr>
            <w:top w:val="none" w:sz="0" w:space="0" w:color="auto"/>
            <w:left w:val="none" w:sz="0" w:space="0" w:color="auto"/>
            <w:bottom w:val="none" w:sz="0" w:space="0" w:color="auto"/>
            <w:right w:val="none" w:sz="0" w:space="0" w:color="auto"/>
          </w:divBdr>
        </w:div>
        <w:div w:id="1116563367">
          <w:marLeft w:val="0"/>
          <w:marRight w:val="0"/>
          <w:marTop w:val="0"/>
          <w:marBottom w:val="0"/>
          <w:divBdr>
            <w:top w:val="none" w:sz="0" w:space="0" w:color="auto"/>
            <w:left w:val="none" w:sz="0" w:space="0" w:color="auto"/>
            <w:bottom w:val="none" w:sz="0" w:space="0" w:color="auto"/>
            <w:right w:val="none" w:sz="0" w:space="0" w:color="auto"/>
          </w:divBdr>
          <w:divsChild>
            <w:div w:id="1889149949">
              <w:marLeft w:val="-75"/>
              <w:marRight w:val="0"/>
              <w:marTop w:val="30"/>
              <w:marBottom w:val="30"/>
              <w:divBdr>
                <w:top w:val="none" w:sz="0" w:space="0" w:color="auto"/>
                <w:left w:val="none" w:sz="0" w:space="0" w:color="auto"/>
                <w:bottom w:val="none" w:sz="0" w:space="0" w:color="auto"/>
                <w:right w:val="none" w:sz="0" w:space="0" w:color="auto"/>
              </w:divBdr>
              <w:divsChild>
                <w:div w:id="128593151">
                  <w:marLeft w:val="0"/>
                  <w:marRight w:val="0"/>
                  <w:marTop w:val="0"/>
                  <w:marBottom w:val="0"/>
                  <w:divBdr>
                    <w:top w:val="none" w:sz="0" w:space="0" w:color="auto"/>
                    <w:left w:val="none" w:sz="0" w:space="0" w:color="auto"/>
                    <w:bottom w:val="none" w:sz="0" w:space="0" w:color="auto"/>
                    <w:right w:val="none" w:sz="0" w:space="0" w:color="auto"/>
                  </w:divBdr>
                  <w:divsChild>
                    <w:div w:id="1312901075">
                      <w:marLeft w:val="0"/>
                      <w:marRight w:val="0"/>
                      <w:marTop w:val="0"/>
                      <w:marBottom w:val="0"/>
                      <w:divBdr>
                        <w:top w:val="none" w:sz="0" w:space="0" w:color="auto"/>
                        <w:left w:val="none" w:sz="0" w:space="0" w:color="auto"/>
                        <w:bottom w:val="none" w:sz="0" w:space="0" w:color="auto"/>
                        <w:right w:val="none" w:sz="0" w:space="0" w:color="auto"/>
                      </w:divBdr>
                    </w:div>
                  </w:divsChild>
                </w:div>
                <w:div w:id="215239784">
                  <w:marLeft w:val="0"/>
                  <w:marRight w:val="0"/>
                  <w:marTop w:val="0"/>
                  <w:marBottom w:val="0"/>
                  <w:divBdr>
                    <w:top w:val="none" w:sz="0" w:space="0" w:color="auto"/>
                    <w:left w:val="none" w:sz="0" w:space="0" w:color="auto"/>
                    <w:bottom w:val="none" w:sz="0" w:space="0" w:color="auto"/>
                    <w:right w:val="none" w:sz="0" w:space="0" w:color="auto"/>
                  </w:divBdr>
                  <w:divsChild>
                    <w:div w:id="2043095980">
                      <w:marLeft w:val="0"/>
                      <w:marRight w:val="0"/>
                      <w:marTop w:val="0"/>
                      <w:marBottom w:val="0"/>
                      <w:divBdr>
                        <w:top w:val="none" w:sz="0" w:space="0" w:color="auto"/>
                        <w:left w:val="none" w:sz="0" w:space="0" w:color="auto"/>
                        <w:bottom w:val="none" w:sz="0" w:space="0" w:color="auto"/>
                        <w:right w:val="none" w:sz="0" w:space="0" w:color="auto"/>
                      </w:divBdr>
                    </w:div>
                  </w:divsChild>
                </w:div>
                <w:div w:id="524446260">
                  <w:marLeft w:val="0"/>
                  <w:marRight w:val="0"/>
                  <w:marTop w:val="0"/>
                  <w:marBottom w:val="0"/>
                  <w:divBdr>
                    <w:top w:val="none" w:sz="0" w:space="0" w:color="auto"/>
                    <w:left w:val="none" w:sz="0" w:space="0" w:color="auto"/>
                    <w:bottom w:val="none" w:sz="0" w:space="0" w:color="auto"/>
                    <w:right w:val="none" w:sz="0" w:space="0" w:color="auto"/>
                  </w:divBdr>
                  <w:divsChild>
                    <w:div w:id="1425880008">
                      <w:marLeft w:val="0"/>
                      <w:marRight w:val="0"/>
                      <w:marTop w:val="0"/>
                      <w:marBottom w:val="0"/>
                      <w:divBdr>
                        <w:top w:val="none" w:sz="0" w:space="0" w:color="auto"/>
                        <w:left w:val="none" w:sz="0" w:space="0" w:color="auto"/>
                        <w:bottom w:val="none" w:sz="0" w:space="0" w:color="auto"/>
                        <w:right w:val="none" w:sz="0" w:space="0" w:color="auto"/>
                      </w:divBdr>
                    </w:div>
                  </w:divsChild>
                </w:div>
                <w:div w:id="995113539">
                  <w:marLeft w:val="0"/>
                  <w:marRight w:val="0"/>
                  <w:marTop w:val="0"/>
                  <w:marBottom w:val="0"/>
                  <w:divBdr>
                    <w:top w:val="none" w:sz="0" w:space="0" w:color="auto"/>
                    <w:left w:val="none" w:sz="0" w:space="0" w:color="auto"/>
                    <w:bottom w:val="none" w:sz="0" w:space="0" w:color="auto"/>
                    <w:right w:val="none" w:sz="0" w:space="0" w:color="auto"/>
                  </w:divBdr>
                  <w:divsChild>
                    <w:div w:id="1522233927">
                      <w:marLeft w:val="0"/>
                      <w:marRight w:val="0"/>
                      <w:marTop w:val="0"/>
                      <w:marBottom w:val="0"/>
                      <w:divBdr>
                        <w:top w:val="none" w:sz="0" w:space="0" w:color="auto"/>
                        <w:left w:val="none" w:sz="0" w:space="0" w:color="auto"/>
                        <w:bottom w:val="none" w:sz="0" w:space="0" w:color="auto"/>
                        <w:right w:val="none" w:sz="0" w:space="0" w:color="auto"/>
                      </w:divBdr>
                    </w:div>
                  </w:divsChild>
                </w:div>
                <w:div w:id="1120297670">
                  <w:marLeft w:val="0"/>
                  <w:marRight w:val="0"/>
                  <w:marTop w:val="0"/>
                  <w:marBottom w:val="0"/>
                  <w:divBdr>
                    <w:top w:val="none" w:sz="0" w:space="0" w:color="auto"/>
                    <w:left w:val="none" w:sz="0" w:space="0" w:color="auto"/>
                    <w:bottom w:val="none" w:sz="0" w:space="0" w:color="auto"/>
                    <w:right w:val="none" w:sz="0" w:space="0" w:color="auto"/>
                  </w:divBdr>
                  <w:divsChild>
                    <w:div w:id="11956223">
                      <w:marLeft w:val="0"/>
                      <w:marRight w:val="0"/>
                      <w:marTop w:val="0"/>
                      <w:marBottom w:val="0"/>
                      <w:divBdr>
                        <w:top w:val="none" w:sz="0" w:space="0" w:color="auto"/>
                        <w:left w:val="none" w:sz="0" w:space="0" w:color="auto"/>
                        <w:bottom w:val="none" w:sz="0" w:space="0" w:color="auto"/>
                        <w:right w:val="none" w:sz="0" w:space="0" w:color="auto"/>
                      </w:divBdr>
                    </w:div>
                  </w:divsChild>
                </w:div>
                <w:div w:id="1636792974">
                  <w:marLeft w:val="0"/>
                  <w:marRight w:val="0"/>
                  <w:marTop w:val="0"/>
                  <w:marBottom w:val="0"/>
                  <w:divBdr>
                    <w:top w:val="none" w:sz="0" w:space="0" w:color="auto"/>
                    <w:left w:val="none" w:sz="0" w:space="0" w:color="auto"/>
                    <w:bottom w:val="none" w:sz="0" w:space="0" w:color="auto"/>
                    <w:right w:val="none" w:sz="0" w:space="0" w:color="auto"/>
                  </w:divBdr>
                  <w:divsChild>
                    <w:div w:id="885139091">
                      <w:marLeft w:val="0"/>
                      <w:marRight w:val="0"/>
                      <w:marTop w:val="0"/>
                      <w:marBottom w:val="0"/>
                      <w:divBdr>
                        <w:top w:val="none" w:sz="0" w:space="0" w:color="auto"/>
                        <w:left w:val="none" w:sz="0" w:space="0" w:color="auto"/>
                        <w:bottom w:val="none" w:sz="0" w:space="0" w:color="auto"/>
                        <w:right w:val="none" w:sz="0" w:space="0" w:color="auto"/>
                      </w:divBdr>
                    </w:div>
                  </w:divsChild>
                </w:div>
                <w:div w:id="1652249282">
                  <w:marLeft w:val="0"/>
                  <w:marRight w:val="0"/>
                  <w:marTop w:val="0"/>
                  <w:marBottom w:val="0"/>
                  <w:divBdr>
                    <w:top w:val="none" w:sz="0" w:space="0" w:color="auto"/>
                    <w:left w:val="none" w:sz="0" w:space="0" w:color="auto"/>
                    <w:bottom w:val="none" w:sz="0" w:space="0" w:color="auto"/>
                    <w:right w:val="none" w:sz="0" w:space="0" w:color="auto"/>
                  </w:divBdr>
                  <w:divsChild>
                    <w:div w:id="1122383465">
                      <w:marLeft w:val="0"/>
                      <w:marRight w:val="0"/>
                      <w:marTop w:val="0"/>
                      <w:marBottom w:val="0"/>
                      <w:divBdr>
                        <w:top w:val="none" w:sz="0" w:space="0" w:color="auto"/>
                        <w:left w:val="none" w:sz="0" w:space="0" w:color="auto"/>
                        <w:bottom w:val="none" w:sz="0" w:space="0" w:color="auto"/>
                        <w:right w:val="none" w:sz="0" w:space="0" w:color="auto"/>
                      </w:divBdr>
                    </w:div>
                    <w:div w:id="1628781828">
                      <w:marLeft w:val="0"/>
                      <w:marRight w:val="0"/>
                      <w:marTop w:val="0"/>
                      <w:marBottom w:val="0"/>
                      <w:divBdr>
                        <w:top w:val="none" w:sz="0" w:space="0" w:color="auto"/>
                        <w:left w:val="none" w:sz="0" w:space="0" w:color="auto"/>
                        <w:bottom w:val="none" w:sz="0" w:space="0" w:color="auto"/>
                        <w:right w:val="none" w:sz="0" w:space="0" w:color="auto"/>
                      </w:divBdr>
                    </w:div>
                    <w:div w:id="2024282333">
                      <w:marLeft w:val="0"/>
                      <w:marRight w:val="0"/>
                      <w:marTop w:val="0"/>
                      <w:marBottom w:val="0"/>
                      <w:divBdr>
                        <w:top w:val="none" w:sz="0" w:space="0" w:color="auto"/>
                        <w:left w:val="none" w:sz="0" w:space="0" w:color="auto"/>
                        <w:bottom w:val="none" w:sz="0" w:space="0" w:color="auto"/>
                        <w:right w:val="none" w:sz="0" w:space="0" w:color="auto"/>
                      </w:divBdr>
                    </w:div>
                  </w:divsChild>
                </w:div>
                <w:div w:id="1684280657">
                  <w:marLeft w:val="0"/>
                  <w:marRight w:val="0"/>
                  <w:marTop w:val="0"/>
                  <w:marBottom w:val="0"/>
                  <w:divBdr>
                    <w:top w:val="none" w:sz="0" w:space="0" w:color="auto"/>
                    <w:left w:val="none" w:sz="0" w:space="0" w:color="auto"/>
                    <w:bottom w:val="none" w:sz="0" w:space="0" w:color="auto"/>
                    <w:right w:val="none" w:sz="0" w:space="0" w:color="auto"/>
                  </w:divBdr>
                  <w:divsChild>
                    <w:div w:id="1559585151">
                      <w:marLeft w:val="0"/>
                      <w:marRight w:val="0"/>
                      <w:marTop w:val="0"/>
                      <w:marBottom w:val="0"/>
                      <w:divBdr>
                        <w:top w:val="none" w:sz="0" w:space="0" w:color="auto"/>
                        <w:left w:val="none" w:sz="0" w:space="0" w:color="auto"/>
                        <w:bottom w:val="none" w:sz="0" w:space="0" w:color="auto"/>
                        <w:right w:val="none" w:sz="0" w:space="0" w:color="auto"/>
                      </w:divBdr>
                    </w:div>
                  </w:divsChild>
                </w:div>
                <w:div w:id="1722901396">
                  <w:marLeft w:val="0"/>
                  <w:marRight w:val="0"/>
                  <w:marTop w:val="0"/>
                  <w:marBottom w:val="0"/>
                  <w:divBdr>
                    <w:top w:val="none" w:sz="0" w:space="0" w:color="auto"/>
                    <w:left w:val="none" w:sz="0" w:space="0" w:color="auto"/>
                    <w:bottom w:val="none" w:sz="0" w:space="0" w:color="auto"/>
                    <w:right w:val="none" w:sz="0" w:space="0" w:color="auto"/>
                  </w:divBdr>
                  <w:divsChild>
                    <w:div w:id="794324095">
                      <w:marLeft w:val="0"/>
                      <w:marRight w:val="0"/>
                      <w:marTop w:val="0"/>
                      <w:marBottom w:val="0"/>
                      <w:divBdr>
                        <w:top w:val="none" w:sz="0" w:space="0" w:color="auto"/>
                        <w:left w:val="none" w:sz="0" w:space="0" w:color="auto"/>
                        <w:bottom w:val="none" w:sz="0" w:space="0" w:color="auto"/>
                        <w:right w:val="none" w:sz="0" w:space="0" w:color="auto"/>
                      </w:divBdr>
                    </w:div>
                  </w:divsChild>
                </w:div>
                <w:div w:id="2080976700">
                  <w:marLeft w:val="0"/>
                  <w:marRight w:val="0"/>
                  <w:marTop w:val="0"/>
                  <w:marBottom w:val="0"/>
                  <w:divBdr>
                    <w:top w:val="none" w:sz="0" w:space="0" w:color="auto"/>
                    <w:left w:val="none" w:sz="0" w:space="0" w:color="auto"/>
                    <w:bottom w:val="none" w:sz="0" w:space="0" w:color="auto"/>
                    <w:right w:val="none" w:sz="0" w:space="0" w:color="auto"/>
                  </w:divBdr>
                  <w:divsChild>
                    <w:div w:id="18953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08382">
          <w:marLeft w:val="0"/>
          <w:marRight w:val="0"/>
          <w:marTop w:val="0"/>
          <w:marBottom w:val="0"/>
          <w:divBdr>
            <w:top w:val="none" w:sz="0" w:space="0" w:color="auto"/>
            <w:left w:val="none" w:sz="0" w:space="0" w:color="auto"/>
            <w:bottom w:val="none" w:sz="0" w:space="0" w:color="auto"/>
            <w:right w:val="none" w:sz="0" w:space="0" w:color="auto"/>
          </w:divBdr>
        </w:div>
        <w:div w:id="1335573402">
          <w:marLeft w:val="0"/>
          <w:marRight w:val="0"/>
          <w:marTop w:val="0"/>
          <w:marBottom w:val="0"/>
          <w:divBdr>
            <w:top w:val="none" w:sz="0" w:space="0" w:color="auto"/>
            <w:left w:val="none" w:sz="0" w:space="0" w:color="auto"/>
            <w:bottom w:val="none" w:sz="0" w:space="0" w:color="auto"/>
            <w:right w:val="none" w:sz="0" w:space="0" w:color="auto"/>
          </w:divBdr>
        </w:div>
        <w:div w:id="16296983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36/bmjopen-2024-093029" TargetMode="External"/><Relationship Id="rId26" Type="http://schemas.openxmlformats.org/officeDocument/2006/relationships/hyperlink" Target="https://www.e-deca2.org/" TargetMode="External"/><Relationship Id="rId39" Type="http://schemas.openxmlformats.org/officeDocument/2006/relationships/header" Target="header2.xml"/><Relationship Id="rId21" Type="http://schemas.openxmlformats.org/officeDocument/2006/relationships/hyperlink" Target="https://www.thetherapystore.com.au/product/canadian-occupational-performance-measure-copm-manual-5th-edition/" TargetMode="External"/><Relationship Id="rId34" Type="http://schemas.openxmlformats.org/officeDocument/2006/relationships/footer" Target="footer3.xml"/><Relationship Id="rId42" Type="http://schemas.openxmlformats.org/officeDocument/2006/relationships/hyperlink" Target="http://www.kindl.org/" TargetMode="External"/><Relationship Id="rId47" Type="http://schemas.openxmlformats.org/officeDocument/2006/relationships/hyperlink" Target="https://www.canchild.ca/en/resources/248-participation-and-environment-measure-for-children-and-youth-pem-cy" TargetMode="External"/><Relationship Id="rId50" Type="http://schemas.openxmlformats.org/officeDocument/2006/relationships/hyperlink" Target="https://www.pearsonclinical.com.au/ordering/how-to-order/qualifications/qualifications-policy.html" TargetMode="External"/><Relationship Id="rId55" Type="http://schemas.openxmlformats.org/officeDocument/2006/relationships/hyperlink" Target="https://www.pearsonclinical.com.au/products.html"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177/1049732314562891" TargetMode="External"/><Relationship Id="rId20" Type="http://schemas.openxmlformats.org/officeDocument/2006/relationships/hyperlink" Target="https://www.thecopm.ca/learning-module/" TargetMode="External"/><Relationship Id="rId29" Type="http://schemas.openxmlformats.org/officeDocument/2006/relationships/hyperlink" Target="https://novopsych.com/assessments/child/child-emotional-health-assessment/" TargetMode="External"/><Relationship Id="rId41" Type="http://schemas.openxmlformats.org/officeDocument/2006/relationships/hyperlink" Target="https://www.kindl.org/english/questionnaires/language-versions-view-and-download/" TargetMode="External"/><Relationship Id="rId54" Type="http://schemas.openxmlformats.org/officeDocument/2006/relationships/hyperlink" Target="https://www.pearsonclinical.com.au/en-au/Store/Professional-Assessments/Motor-Sensory/Vineland-Adaptive-Behavior-Scales%2C-Third-Edition/p/P100010149?format=TRAINING" TargetMode="External"/><Relationship Id="rId62" Type="http://schemas.openxmlformats.org/officeDocument/2006/relationships/hyperlink" Target="mailto:copyright-office@unimelb.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177/000841749005700207" TargetMode="External"/><Relationship Id="rId32" Type="http://schemas.openxmlformats.org/officeDocument/2006/relationships/hyperlink" Target="https://www.uow.edu.au/australasian-health-outcomes-consortium/aroc/fim-weefim/training-credentialing/" TargetMode="External"/><Relationship Id="rId37" Type="http://schemas.openxmlformats.org/officeDocument/2006/relationships/hyperlink" Target="https://eprovide.mapi-trust.org/instruments/infant-toddler-social-emotional-assessment" TargetMode="External"/><Relationship Id="rId40" Type="http://schemas.openxmlformats.org/officeDocument/2006/relationships/footer" Target="footer4.xml"/><Relationship Id="rId45" Type="http://schemas.openxmlformats.org/officeDocument/2006/relationships/header" Target="header4.xml"/><Relationship Id="rId53" Type="http://schemas.openxmlformats.org/officeDocument/2006/relationships/hyperlink" Target="https://www.pearsonclinical.com.au/ordering/how-to-order/qualifications/qualifications-policy.html" TargetMode="External"/><Relationship Id="rId58" Type="http://schemas.openxmlformats.org/officeDocument/2006/relationships/hyperlink" Target="https://www.canchild.ca/en/shop/23-yc-pem-young-children-s-participation-and-environment-measure" TargetMode="External"/><Relationship Id="rId5" Type="http://schemas.openxmlformats.org/officeDocument/2006/relationships/numbering" Target="numbering.xml"/><Relationship Id="rId15" Type="http://schemas.openxmlformats.org/officeDocument/2006/relationships/hyperlink" Target="https://shop.rch.org.au/collections/asq-trak" TargetMode="External"/><Relationship Id="rId23" Type="http://schemas.openxmlformats.org/officeDocument/2006/relationships/hyperlink" Target="https://doi.org/10.1177/000841740206900204" TargetMode="External"/><Relationship Id="rId28" Type="http://schemas.openxmlformats.org/officeDocument/2006/relationships/hyperlink" Target="https://www.kaplanco.com/devereux" TargetMode="External"/><Relationship Id="rId36" Type="http://schemas.openxmlformats.org/officeDocument/2006/relationships/hyperlink" Target="https://eprovide.mapi-trust.org/instruments/brief-infant-toddler-social-emotional-assessment" TargetMode="External"/><Relationship Id="rId49" Type="http://schemas.openxmlformats.org/officeDocument/2006/relationships/hyperlink" Target="https://qglobal.pearsonclinical.com/qg/au/login.seam" TargetMode="External"/><Relationship Id="rId57" Type="http://schemas.openxmlformats.org/officeDocument/2006/relationships/hyperlink" Target="https://www.canchild.ca/en/resources/223-young-children-s-participation-and-environment-measure-ycpem" TargetMode="External"/><Relationship Id="rId61" Type="http://schemas.openxmlformats.org/officeDocument/2006/relationships/hyperlink" Target="https://creativecommons.org/licenses/by-nc-nd/4.0/"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doi.org/10.1016/j.actpsy.2022.103553" TargetMode="External"/><Relationship Id="rId44" Type="http://schemas.openxmlformats.org/officeDocument/2006/relationships/header" Target="header3.xml"/><Relationship Id="rId52" Type="http://schemas.openxmlformats.org/officeDocument/2006/relationships/hyperlink" Target="https://www.pearsonclinical.com.au/products.html" TargetMode="External"/><Relationship Id="rId60" Type="http://schemas.openxmlformats.org/officeDocument/2006/relationships/hyperlink" Target="https://creativecommons.org/licenses/by-nc-nd/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hecopm.ca" TargetMode="External"/><Relationship Id="rId27" Type="http://schemas.openxmlformats.org/officeDocument/2006/relationships/hyperlink" Target="https://centerforresilientchildren.org/" TargetMode="External"/><Relationship Id="rId30" Type="http://schemas.openxmlformats.org/officeDocument/2006/relationships/hyperlink" Target="https://novopsych.com/pricing/" TargetMode="External"/><Relationship Id="rId35" Type="http://schemas.openxmlformats.org/officeDocument/2006/relationships/header" Target="header1.xml"/><Relationship Id="rId43" Type="http://schemas.openxmlformats.org/officeDocument/2006/relationships/hyperlink" Target="http://www.kindl.org/" TargetMode="External"/><Relationship Id="rId48" Type="http://schemas.openxmlformats.org/officeDocument/2006/relationships/hyperlink" Target="https://canchild.ca/en/shop/2-pem-cy-participation-and-environment-measure-children-and-youth" TargetMode="External"/><Relationship Id="rId56" Type="http://schemas.openxmlformats.org/officeDocument/2006/relationships/hyperlink" Target="https://qglobal.pearsonclinical.com/qg/au/login.seam"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pearsonclinical.com.au/en-au/c/User-Level-B-Assessment-Training/p/P100051003?productId=A103000360924"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doi.org/10.1016/j.fnhli.2024.100034" TargetMode="External"/><Relationship Id="rId25" Type="http://schemas.openxmlformats.org/officeDocument/2006/relationships/hyperlink" Target="https://canchild.ca/en/research-in-practice/current-studies/move-play-study-understanding-determinants-of-motor-abilities-self-care-and-play-of-young-children-with-cerebral-palsy/measures" TargetMode="External"/><Relationship Id="rId33" Type="http://schemas.openxmlformats.org/officeDocument/2006/relationships/hyperlink" Target="https://www.uow.edu.au/australasian-health-outcomes-consortium/aroc/fim-weefim/" TargetMode="External"/><Relationship Id="rId38" Type="http://schemas.openxmlformats.org/officeDocument/2006/relationships/hyperlink" Target="https://doi.org/10.1093/jpepsy/jsh017" TargetMode="External"/><Relationship Id="rId46" Type="http://schemas.openxmlformats.org/officeDocument/2006/relationships/header" Target="header5.xml"/><Relationship Id="rId59" Type="http://schemas.openxmlformats.org/officeDocument/2006/relationships/hyperlink" Target="https://creativecommons.org/licenses/by-nc-nd/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E9B58D-4413-4A4F-BE6C-E53B81C51897}">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2.xml><?xml version="1.0" encoding="utf-8"?>
<ds:datastoreItem xmlns:ds="http://schemas.openxmlformats.org/officeDocument/2006/customXml" ds:itemID="{673C6A6A-36D0-4B8D-B413-32512A0D0C63}">
  <ds:schemaRefs>
    <ds:schemaRef ds:uri="http://schemas.microsoft.com/sharepoint/v3/contenttype/forms"/>
  </ds:schemaRefs>
</ds:datastoreItem>
</file>

<file path=customXml/itemProps3.xml><?xml version="1.0" encoding="utf-8"?>
<ds:datastoreItem xmlns:ds="http://schemas.openxmlformats.org/officeDocument/2006/customXml" ds:itemID="{685B19E9-03BF-46E0-B773-63FABC778161}">
  <ds:schemaRefs>
    <ds:schemaRef ds:uri="http://schemas.openxmlformats.org/officeDocument/2006/bibliography"/>
  </ds:schemaRefs>
</ds:datastoreItem>
</file>

<file path=customXml/itemProps4.xml><?xml version="1.0" encoding="utf-8"?>
<ds:datastoreItem xmlns:ds="http://schemas.openxmlformats.org/officeDocument/2006/customXml" ds:itemID="{4585F5D8-5883-4725-B395-E50D9F682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109</Pages>
  <Words>27488</Words>
  <Characters>156682</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Outcome measures for children</vt:lpstr>
    </vt:vector>
  </TitlesOfParts>
  <Company/>
  <LinksUpToDate>false</LinksUpToDate>
  <CharactersWithSpaces>183803</CharactersWithSpaces>
  <SharedDoc>false</SharedDoc>
  <HLinks>
    <vt:vector size="510" baseType="variant">
      <vt:variant>
        <vt:i4>4456560</vt:i4>
      </vt:variant>
      <vt:variant>
        <vt:i4>282</vt:i4>
      </vt:variant>
      <vt:variant>
        <vt:i4>0</vt:i4>
      </vt:variant>
      <vt:variant>
        <vt:i4>5</vt:i4>
      </vt:variant>
      <vt:variant>
        <vt:lpwstr>mailto:copyright-office@unimelb.edu.au</vt:lpwstr>
      </vt:variant>
      <vt:variant>
        <vt:lpwstr/>
      </vt:variant>
      <vt:variant>
        <vt:i4>7405615</vt:i4>
      </vt:variant>
      <vt:variant>
        <vt:i4>279</vt:i4>
      </vt:variant>
      <vt:variant>
        <vt:i4>0</vt:i4>
      </vt:variant>
      <vt:variant>
        <vt:i4>5</vt:i4>
      </vt:variant>
      <vt:variant>
        <vt:lpwstr>https://creativecommons.org/licenses/by-nc-nd/4.0/</vt:lpwstr>
      </vt:variant>
      <vt:variant>
        <vt:lpwstr/>
      </vt:variant>
      <vt:variant>
        <vt:i4>7405615</vt:i4>
      </vt:variant>
      <vt:variant>
        <vt:i4>276</vt:i4>
      </vt:variant>
      <vt:variant>
        <vt:i4>0</vt:i4>
      </vt:variant>
      <vt:variant>
        <vt:i4>5</vt:i4>
      </vt:variant>
      <vt:variant>
        <vt:lpwstr>https://creativecommons.org/licenses/by-nc-nd/4.0/</vt:lpwstr>
      </vt:variant>
      <vt:variant>
        <vt:lpwstr/>
      </vt:variant>
      <vt:variant>
        <vt:i4>7405615</vt:i4>
      </vt:variant>
      <vt:variant>
        <vt:i4>273</vt:i4>
      </vt:variant>
      <vt:variant>
        <vt:i4>0</vt:i4>
      </vt:variant>
      <vt:variant>
        <vt:i4>5</vt:i4>
      </vt:variant>
      <vt:variant>
        <vt:lpwstr>https://creativecommons.org/licenses/by-nc-nd/4.0/</vt:lpwstr>
      </vt:variant>
      <vt:variant>
        <vt:lpwstr/>
      </vt:variant>
      <vt:variant>
        <vt:i4>4194369</vt:i4>
      </vt:variant>
      <vt:variant>
        <vt:i4>270</vt:i4>
      </vt:variant>
      <vt:variant>
        <vt:i4>0</vt:i4>
      </vt:variant>
      <vt:variant>
        <vt:i4>5</vt:i4>
      </vt:variant>
      <vt:variant>
        <vt:lpwstr/>
      </vt:variant>
      <vt:variant>
        <vt:lpwstr>_YC-PEM_Evidence_Summary_1</vt:lpwstr>
      </vt:variant>
      <vt:variant>
        <vt:i4>1769484</vt:i4>
      </vt:variant>
      <vt:variant>
        <vt:i4>264</vt:i4>
      </vt:variant>
      <vt:variant>
        <vt:i4>0</vt:i4>
      </vt:variant>
      <vt:variant>
        <vt:i4>5</vt:i4>
      </vt:variant>
      <vt:variant>
        <vt:lpwstr/>
      </vt:variant>
      <vt:variant>
        <vt:lpwstr>_YC-PEM_Reference_List_1</vt:lpwstr>
      </vt:variant>
      <vt:variant>
        <vt:i4>6094852</vt:i4>
      </vt:variant>
      <vt:variant>
        <vt:i4>261</vt:i4>
      </vt:variant>
      <vt:variant>
        <vt:i4>0</vt:i4>
      </vt:variant>
      <vt:variant>
        <vt:i4>5</vt:i4>
      </vt:variant>
      <vt:variant>
        <vt:lpwstr>https://www.canchild.ca/en/shop/23-yc-pem-young-children-s-participation-and-environment-measure</vt:lpwstr>
      </vt:variant>
      <vt:variant>
        <vt:lpwstr/>
      </vt:variant>
      <vt:variant>
        <vt:i4>1704012</vt:i4>
      </vt:variant>
      <vt:variant>
        <vt:i4>258</vt:i4>
      </vt:variant>
      <vt:variant>
        <vt:i4>0</vt:i4>
      </vt:variant>
      <vt:variant>
        <vt:i4>5</vt:i4>
      </vt:variant>
      <vt:variant>
        <vt:lpwstr>https://www.canchild.ca/en/resources/223-young-children-s-participation-and-environment-measure-ycpem</vt:lpwstr>
      </vt:variant>
      <vt:variant>
        <vt:lpwstr/>
      </vt:variant>
      <vt:variant>
        <vt:i4>5505138</vt:i4>
      </vt:variant>
      <vt:variant>
        <vt:i4>255</vt:i4>
      </vt:variant>
      <vt:variant>
        <vt:i4>0</vt:i4>
      </vt:variant>
      <vt:variant>
        <vt:i4>5</vt:i4>
      </vt:variant>
      <vt:variant>
        <vt:lpwstr/>
      </vt:variant>
      <vt:variant>
        <vt:lpwstr>_VABS_Evidence_Summary</vt:lpwstr>
      </vt:variant>
      <vt:variant>
        <vt:i4>983103</vt:i4>
      </vt:variant>
      <vt:variant>
        <vt:i4>252</vt:i4>
      </vt:variant>
      <vt:variant>
        <vt:i4>0</vt:i4>
      </vt:variant>
      <vt:variant>
        <vt:i4>5</vt:i4>
      </vt:variant>
      <vt:variant>
        <vt:lpwstr/>
      </vt:variant>
      <vt:variant>
        <vt:lpwstr>_VABS_Reference_List</vt:lpwstr>
      </vt:variant>
      <vt:variant>
        <vt:i4>4915200</vt:i4>
      </vt:variant>
      <vt:variant>
        <vt:i4>249</vt:i4>
      </vt:variant>
      <vt:variant>
        <vt:i4>0</vt:i4>
      </vt:variant>
      <vt:variant>
        <vt:i4>5</vt:i4>
      </vt:variant>
      <vt:variant>
        <vt:lpwstr>https://qglobal.pearsonclinical.com/qg/au/login.seam</vt:lpwstr>
      </vt:variant>
      <vt:variant>
        <vt:lpwstr/>
      </vt:variant>
      <vt:variant>
        <vt:i4>2</vt:i4>
      </vt:variant>
      <vt:variant>
        <vt:i4>246</vt:i4>
      </vt:variant>
      <vt:variant>
        <vt:i4>0</vt:i4>
      </vt:variant>
      <vt:variant>
        <vt:i4>5</vt:i4>
      </vt:variant>
      <vt:variant>
        <vt:lpwstr>https://www.pearsonclinical.com.au/products.html</vt:lpwstr>
      </vt:variant>
      <vt:variant>
        <vt:lpwstr/>
      </vt:variant>
      <vt:variant>
        <vt:i4>5832781</vt:i4>
      </vt:variant>
      <vt:variant>
        <vt:i4>243</vt:i4>
      </vt:variant>
      <vt:variant>
        <vt:i4>0</vt:i4>
      </vt:variant>
      <vt:variant>
        <vt:i4>5</vt:i4>
      </vt:variant>
      <vt:variant>
        <vt:lpwstr>https://www.pearsonclinical.com.au/en-au/Store/Professional-Assessments/Motor-Sensory/Vineland-Adaptive-Behavior-Scales%2C-Third-Edition/p/P100010149?format=TRAINING</vt:lpwstr>
      </vt:variant>
      <vt:variant>
        <vt:lpwstr/>
      </vt:variant>
      <vt:variant>
        <vt:i4>2097203</vt:i4>
      </vt:variant>
      <vt:variant>
        <vt:i4>240</vt:i4>
      </vt:variant>
      <vt:variant>
        <vt:i4>0</vt:i4>
      </vt:variant>
      <vt:variant>
        <vt:i4>5</vt:i4>
      </vt:variant>
      <vt:variant>
        <vt:lpwstr>https://www.pearsonclinical.com.au/ordering/how-to-order/qualifications/qualifications-policy.html</vt:lpwstr>
      </vt:variant>
      <vt:variant>
        <vt:lpwstr/>
      </vt:variant>
      <vt:variant>
        <vt:i4>1572987</vt:i4>
      </vt:variant>
      <vt:variant>
        <vt:i4>237</vt:i4>
      </vt:variant>
      <vt:variant>
        <vt:i4>0</vt:i4>
      </vt:variant>
      <vt:variant>
        <vt:i4>5</vt:i4>
      </vt:variant>
      <vt:variant>
        <vt:lpwstr/>
      </vt:variant>
      <vt:variant>
        <vt:lpwstr>_PEDI-CAT_Evidence_Summary</vt:lpwstr>
      </vt:variant>
      <vt:variant>
        <vt:i4>4390966</vt:i4>
      </vt:variant>
      <vt:variant>
        <vt:i4>231</vt:i4>
      </vt:variant>
      <vt:variant>
        <vt:i4>0</vt:i4>
      </vt:variant>
      <vt:variant>
        <vt:i4>5</vt:i4>
      </vt:variant>
      <vt:variant>
        <vt:lpwstr/>
      </vt:variant>
      <vt:variant>
        <vt:lpwstr>_PEDI-CAT_Reference_List</vt:lpwstr>
      </vt:variant>
      <vt:variant>
        <vt:i4>2</vt:i4>
      </vt:variant>
      <vt:variant>
        <vt:i4>228</vt:i4>
      </vt:variant>
      <vt:variant>
        <vt:i4>0</vt:i4>
      </vt:variant>
      <vt:variant>
        <vt:i4>5</vt:i4>
      </vt:variant>
      <vt:variant>
        <vt:lpwstr>https://www.pearsonclinical.com.au/products.html</vt:lpwstr>
      </vt:variant>
      <vt:variant>
        <vt:lpwstr/>
      </vt:variant>
      <vt:variant>
        <vt:i4>852061</vt:i4>
      </vt:variant>
      <vt:variant>
        <vt:i4>225</vt:i4>
      </vt:variant>
      <vt:variant>
        <vt:i4>0</vt:i4>
      </vt:variant>
      <vt:variant>
        <vt:i4>5</vt:i4>
      </vt:variant>
      <vt:variant>
        <vt:lpwstr>https://www.pearsonclinical.com.au/en-au/c/User-Level-B-Assessment-Training/p/P100051003?productId=A103000360924</vt:lpwstr>
      </vt:variant>
      <vt:variant>
        <vt:lpwstr/>
      </vt:variant>
      <vt:variant>
        <vt:i4>2097203</vt:i4>
      </vt:variant>
      <vt:variant>
        <vt:i4>222</vt:i4>
      </vt:variant>
      <vt:variant>
        <vt:i4>0</vt:i4>
      </vt:variant>
      <vt:variant>
        <vt:i4>5</vt:i4>
      </vt:variant>
      <vt:variant>
        <vt:lpwstr>https://www.pearsonclinical.com.au/ordering/how-to-order/qualifications/qualifications-policy.html</vt:lpwstr>
      </vt:variant>
      <vt:variant>
        <vt:lpwstr/>
      </vt:variant>
      <vt:variant>
        <vt:i4>4915200</vt:i4>
      </vt:variant>
      <vt:variant>
        <vt:i4>219</vt:i4>
      </vt:variant>
      <vt:variant>
        <vt:i4>0</vt:i4>
      </vt:variant>
      <vt:variant>
        <vt:i4>5</vt:i4>
      </vt:variant>
      <vt:variant>
        <vt:lpwstr>https://qglobal.pearsonclinical.com/qg/au/login.seam</vt:lpwstr>
      </vt:variant>
      <vt:variant>
        <vt:lpwstr/>
      </vt:variant>
      <vt:variant>
        <vt:i4>983054</vt:i4>
      </vt:variant>
      <vt:variant>
        <vt:i4>216</vt:i4>
      </vt:variant>
      <vt:variant>
        <vt:i4>0</vt:i4>
      </vt:variant>
      <vt:variant>
        <vt:i4>5</vt:i4>
      </vt:variant>
      <vt:variant>
        <vt:lpwstr/>
      </vt:variant>
      <vt:variant>
        <vt:lpwstr>_PEM-CY_Evidence_Summary_1</vt:lpwstr>
      </vt:variant>
      <vt:variant>
        <vt:i4>5505091</vt:i4>
      </vt:variant>
      <vt:variant>
        <vt:i4>210</vt:i4>
      </vt:variant>
      <vt:variant>
        <vt:i4>0</vt:i4>
      </vt:variant>
      <vt:variant>
        <vt:i4>5</vt:i4>
      </vt:variant>
      <vt:variant>
        <vt:lpwstr/>
      </vt:variant>
      <vt:variant>
        <vt:lpwstr>_PEM-CY_Reference_List_1</vt:lpwstr>
      </vt:variant>
      <vt:variant>
        <vt:i4>917592</vt:i4>
      </vt:variant>
      <vt:variant>
        <vt:i4>207</vt:i4>
      </vt:variant>
      <vt:variant>
        <vt:i4>0</vt:i4>
      </vt:variant>
      <vt:variant>
        <vt:i4>5</vt:i4>
      </vt:variant>
      <vt:variant>
        <vt:lpwstr>https://canchild.ca/en/shop/2-pem-cy-participation-and-environment-measure-children-and-youth</vt:lpwstr>
      </vt:variant>
      <vt:variant>
        <vt:lpwstr/>
      </vt:variant>
      <vt:variant>
        <vt:i4>1966174</vt:i4>
      </vt:variant>
      <vt:variant>
        <vt:i4>204</vt:i4>
      </vt:variant>
      <vt:variant>
        <vt:i4>0</vt:i4>
      </vt:variant>
      <vt:variant>
        <vt:i4>5</vt:i4>
      </vt:variant>
      <vt:variant>
        <vt:lpwstr>https://www.canchild.ca/en/resources/248-participation-and-environment-measure-for-children-and-youth-pem-cy</vt:lpwstr>
      </vt:variant>
      <vt:variant>
        <vt:lpwstr/>
      </vt:variant>
      <vt:variant>
        <vt:i4>589842</vt:i4>
      </vt:variant>
      <vt:variant>
        <vt:i4>201</vt:i4>
      </vt:variant>
      <vt:variant>
        <vt:i4>0</vt:i4>
      </vt:variant>
      <vt:variant>
        <vt:i4>5</vt:i4>
      </vt:variant>
      <vt:variant>
        <vt:lpwstr/>
      </vt:variant>
      <vt:variant>
        <vt:lpwstr>_KINDL_Evidence_Summary_1</vt:lpwstr>
      </vt:variant>
      <vt:variant>
        <vt:i4>1769533</vt:i4>
      </vt:variant>
      <vt:variant>
        <vt:i4>195</vt:i4>
      </vt:variant>
      <vt:variant>
        <vt:i4>0</vt:i4>
      </vt:variant>
      <vt:variant>
        <vt:i4>5</vt:i4>
      </vt:variant>
      <vt:variant>
        <vt:lpwstr/>
      </vt:variant>
      <vt:variant>
        <vt:lpwstr>_KINDL_Reference_List</vt:lpwstr>
      </vt:variant>
      <vt:variant>
        <vt:i4>4849665</vt:i4>
      </vt:variant>
      <vt:variant>
        <vt:i4>192</vt:i4>
      </vt:variant>
      <vt:variant>
        <vt:i4>0</vt:i4>
      </vt:variant>
      <vt:variant>
        <vt:i4>5</vt:i4>
      </vt:variant>
      <vt:variant>
        <vt:lpwstr>http://www.kindl.org/</vt:lpwstr>
      </vt:variant>
      <vt:variant>
        <vt:lpwstr/>
      </vt:variant>
      <vt:variant>
        <vt:i4>4849665</vt:i4>
      </vt:variant>
      <vt:variant>
        <vt:i4>189</vt:i4>
      </vt:variant>
      <vt:variant>
        <vt:i4>0</vt:i4>
      </vt:variant>
      <vt:variant>
        <vt:i4>5</vt:i4>
      </vt:variant>
      <vt:variant>
        <vt:lpwstr>http://www.kindl.org/</vt:lpwstr>
      </vt:variant>
      <vt:variant>
        <vt:lpwstr/>
      </vt:variant>
      <vt:variant>
        <vt:i4>4784201</vt:i4>
      </vt:variant>
      <vt:variant>
        <vt:i4>186</vt:i4>
      </vt:variant>
      <vt:variant>
        <vt:i4>0</vt:i4>
      </vt:variant>
      <vt:variant>
        <vt:i4>5</vt:i4>
      </vt:variant>
      <vt:variant>
        <vt:lpwstr>https://www.kindl.org/english/questionnaires/language-versions-view-and-download/</vt:lpwstr>
      </vt:variant>
      <vt:variant>
        <vt:lpwstr/>
      </vt:variant>
      <vt:variant>
        <vt:i4>5242953</vt:i4>
      </vt:variant>
      <vt:variant>
        <vt:i4>183</vt:i4>
      </vt:variant>
      <vt:variant>
        <vt:i4>0</vt:i4>
      </vt:variant>
      <vt:variant>
        <vt:i4>5</vt:i4>
      </vt:variant>
      <vt:variant>
        <vt:lpwstr>https://doi.org/10.1093/jpepsy/jsh017</vt:lpwstr>
      </vt:variant>
      <vt:variant>
        <vt:lpwstr/>
      </vt:variant>
      <vt:variant>
        <vt:i4>1769486</vt:i4>
      </vt:variant>
      <vt:variant>
        <vt:i4>180</vt:i4>
      </vt:variant>
      <vt:variant>
        <vt:i4>0</vt:i4>
      </vt:variant>
      <vt:variant>
        <vt:i4>5</vt:i4>
      </vt:variant>
      <vt:variant>
        <vt:lpwstr/>
      </vt:variant>
      <vt:variant>
        <vt:lpwstr>_ITSEA_Evidence_Summary_1</vt:lpwstr>
      </vt:variant>
      <vt:variant>
        <vt:i4>5832713</vt:i4>
      </vt:variant>
      <vt:variant>
        <vt:i4>177</vt:i4>
      </vt:variant>
      <vt:variant>
        <vt:i4>0</vt:i4>
      </vt:variant>
      <vt:variant>
        <vt:i4>5</vt:i4>
      </vt:variant>
      <vt:variant>
        <vt:lpwstr/>
      </vt:variant>
      <vt:variant>
        <vt:lpwstr>_BITSEA_Reference_List_1</vt:lpwstr>
      </vt:variant>
      <vt:variant>
        <vt:i4>1769486</vt:i4>
      </vt:variant>
      <vt:variant>
        <vt:i4>174</vt:i4>
      </vt:variant>
      <vt:variant>
        <vt:i4>0</vt:i4>
      </vt:variant>
      <vt:variant>
        <vt:i4>5</vt:i4>
      </vt:variant>
      <vt:variant>
        <vt:lpwstr/>
      </vt:variant>
      <vt:variant>
        <vt:lpwstr>_ITSEA_Evidence_Summary_1</vt:lpwstr>
      </vt:variant>
      <vt:variant>
        <vt:i4>5832713</vt:i4>
      </vt:variant>
      <vt:variant>
        <vt:i4>168</vt:i4>
      </vt:variant>
      <vt:variant>
        <vt:i4>0</vt:i4>
      </vt:variant>
      <vt:variant>
        <vt:i4>5</vt:i4>
      </vt:variant>
      <vt:variant>
        <vt:lpwstr/>
      </vt:variant>
      <vt:variant>
        <vt:lpwstr>_BITSEA_Reference_List_1</vt:lpwstr>
      </vt:variant>
      <vt:variant>
        <vt:i4>589857</vt:i4>
      </vt:variant>
      <vt:variant>
        <vt:i4>165</vt:i4>
      </vt:variant>
      <vt:variant>
        <vt:i4>0</vt:i4>
      </vt:variant>
      <vt:variant>
        <vt:i4>5</vt:i4>
      </vt:variant>
      <vt:variant>
        <vt:lpwstr/>
      </vt:variant>
      <vt:variant>
        <vt:lpwstr>_ITSEA_Reference_List</vt:lpwstr>
      </vt:variant>
      <vt:variant>
        <vt:i4>7733344</vt:i4>
      </vt:variant>
      <vt:variant>
        <vt:i4>162</vt:i4>
      </vt:variant>
      <vt:variant>
        <vt:i4>0</vt:i4>
      </vt:variant>
      <vt:variant>
        <vt:i4>5</vt:i4>
      </vt:variant>
      <vt:variant>
        <vt:lpwstr>https://eprovide.mapi-trust.org/instruments/infant-toddler-social-emotional-assessment</vt:lpwstr>
      </vt:variant>
      <vt:variant>
        <vt:lpwstr/>
      </vt:variant>
      <vt:variant>
        <vt:i4>4980749</vt:i4>
      </vt:variant>
      <vt:variant>
        <vt:i4>159</vt:i4>
      </vt:variant>
      <vt:variant>
        <vt:i4>0</vt:i4>
      </vt:variant>
      <vt:variant>
        <vt:i4>5</vt:i4>
      </vt:variant>
      <vt:variant>
        <vt:lpwstr>https://eprovide.mapi-trust.org/instruments/brief-infant-toddler-social-emotional-assessment</vt:lpwstr>
      </vt:variant>
      <vt:variant>
        <vt:lpwstr/>
      </vt:variant>
      <vt:variant>
        <vt:i4>2818055</vt:i4>
      </vt:variant>
      <vt:variant>
        <vt:i4>156</vt:i4>
      </vt:variant>
      <vt:variant>
        <vt:i4>0</vt:i4>
      </vt:variant>
      <vt:variant>
        <vt:i4>5</vt:i4>
      </vt:variant>
      <vt:variant>
        <vt:lpwstr/>
      </vt:variant>
      <vt:variant>
        <vt:lpwstr>_GAS_Evidence_Summary</vt:lpwstr>
      </vt:variant>
      <vt:variant>
        <vt:i4>6684753</vt:i4>
      </vt:variant>
      <vt:variant>
        <vt:i4>153</vt:i4>
      </vt:variant>
      <vt:variant>
        <vt:i4>0</vt:i4>
      </vt:variant>
      <vt:variant>
        <vt:i4>5</vt:i4>
      </vt:variant>
      <vt:variant>
        <vt:lpwstr/>
      </vt:variant>
      <vt:variant>
        <vt:lpwstr>_GAS_Reference_List</vt:lpwstr>
      </vt:variant>
      <vt:variant>
        <vt:i4>655441</vt:i4>
      </vt:variant>
      <vt:variant>
        <vt:i4>150</vt:i4>
      </vt:variant>
      <vt:variant>
        <vt:i4>0</vt:i4>
      </vt:variant>
      <vt:variant>
        <vt:i4>5</vt:i4>
      </vt:variant>
      <vt:variant>
        <vt:lpwstr/>
      </vt:variant>
      <vt:variant>
        <vt:lpwstr>_WeeFIM_Evidence_Summary_1</vt:lpwstr>
      </vt:variant>
      <vt:variant>
        <vt:i4>6291523</vt:i4>
      </vt:variant>
      <vt:variant>
        <vt:i4>144</vt:i4>
      </vt:variant>
      <vt:variant>
        <vt:i4>0</vt:i4>
      </vt:variant>
      <vt:variant>
        <vt:i4>5</vt:i4>
      </vt:variant>
      <vt:variant>
        <vt:lpwstr/>
      </vt:variant>
      <vt:variant>
        <vt:lpwstr>_WeeFIM_Reference_List</vt:lpwstr>
      </vt:variant>
      <vt:variant>
        <vt:i4>3735663</vt:i4>
      </vt:variant>
      <vt:variant>
        <vt:i4>141</vt:i4>
      </vt:variant>
      <vt:variant>
        <vt:i4>0</vt:i4>
      </vt:variant>
      <vt:variant>
        <vt:i4>5</vt:i4>
      </vt:variant>
      <vt:variant>
        <vt:lpwstr>https://www.uow.edu.au/australasian-health-outcomes-consortium/aroc/fim-weefim/</vt:lpwstr>
      </vt:variant>
      <vt:variant>
        <vt:lpwstr/>
      </vt:variant>
      <vt:variant>
        <vt:i4>3997741</vt:i4>
      </vt:variant>
      <vt:variant>
        <vt:i4>138</vt:i4>
      </vt:variant>
      <vt:variant>
        <vt:i4>0</vt:i4>
      </vt:variant>
      <vt:variant>
        <vt:i4>5</vt:i4>
      </vt:variant>
      <vt:variant>
        <vt:lpwstr>https://www.uow.edu.au/australasian-health-outcomes-consortium/aroc/fim-weefim/training-credentialing/</vt:lpwstr>
      </vt:variant>
      <vt:variant>
        <vt:lpwstr/>
      </vt:variant>
      <vt:variant>
        <vt:i4>5111883</vt:i4>
      </vt:variant>
      <vt:variant>
        <vt:i4>135</vt:i4>
      </vt:variant>
      <vt:variant>
        <vt:i4>0</vt:i4>
      </vt:variant>
      <vt:variant>
        <vt:i4>5</vt:i4>
      </vt:variant>
      <vt:variant>
        <vt:lpwstr>https://doi.org/10.1016/j.actpsy.2022.103553</vt:lpwstr>
      </vt:variant>
      <vt:variant>
        <vt:lpwstr/>
      </vt:variant>
      <vt:variant>
        <vt:i4>3735572</vt:i4>
      </vt:variant>
      <vt:variant>
        <vt:i4>132</vt:i4>
      </vt:variant>
      <vt:variant>
        <vt:i4>0</vt:i4>
      </vt:variant>
      <vt:variant>
        <vt:i4>5</vt:i4>
      </vt:variant>
      <vt:variant>
        <vt:lpwstr/>
      </vt:variant>
      <vt:variant>
        <vt:lpwstr>_ERC_Evidence_Summary</vt:lpwstr>
      </vt:variant>
      <vt:variant>
        <vt:i4>7602242</vt:i4>
      </vt:variant>
      <vt:variant>
        <vt:i4>126</vt:i4>
      </vt:variant>
      <vt:variant>
        <vt:i4>0</vt:i4>
      </vt:variant>
      <vt:variant>
        <vt:i4>5</vt:i4>
      </vt:variant>
      <vt:variant>
        <vt:lpwstr/>
      </vt:variant>
      <vt:variant>
        <vt:lpwstr>_ERC_Reference_List</vt:lpwstr>
      </vt:variant>
      <vt:variant>
        <vt:i4>4128800</vt:i4>
      </vt:variant>
      <vt:variant>
        <vt:i4>123</vt:i4>
      </vt:variant>
      <vt:variant>
        <vt:i4>0</vt:i4>
      </vt:variant>
      <vt:variant>
        <vt:i4>5</vt:i4>
      </vt:variant>
      <vt:variant>
        <vt:lpwstr>https://novopsych.com/pricing/</vt:lpwstr>
      </vt:variant>
      <vt:variant>
        <vt:lpwstr/>
      </vt:variant>
      <vt:variant>
        <vt:i4>2097251</vt:i4>
      </vt:variant>
      <vt:variant>
        <vt:i4>120</vt:i4>
      </vt:variant>
      <vt:variant>
        <vt:i4>0</vt:i4>
      </vt:variant>
      <vt:variant>
        <vt:i4>5</vt:i4>
      </vt:variant>
      <vt:variant>
        <vt:lpwstr>https://novopsych.com/assessments/child/child-emotional-health-assessment/</vt:lpwstr>
      </vt:variant>
      <vt:variant>
        <vt:lpwstr/>
      </vt:variant>
      <vt:variant>
        <vt:i4>7733307</vt:i4>
      </vt:variant>
      <vt:variant>
        <vt:i4>117</vt:i4>
      </vt:variant>
      <vt:variant>
        <vt:i4>0</vt:i4>
      </vt:variant>
      <vt:variant>
        <vt:i4>5</vt:i4>
      </vt:variant>
      <vt:variant>
        <vt:lpwstr/>
      </vt:variant>
      <vt:variant>
        <vt:lpwstr>_DECA_Evidence_Summary_1</vt:lpwstr>
      </vt:variant>
      <vt:variant>
        <vt:i4>2949238</vt:i4>
      </vt:variant>
      <vt:variant>
        <vt:i4>111</vt:i4>
      </vt:variant>
      <vt:variant>
        <vt:i4>0</vt:i4>
      </vt:variant>
      <vt:variant>
        <vt:i4>5</vt:i4>
      </vt:variant>
      <vt:variant>
        <vt:lpwstr/>
      </vt:variant>
      <vt:variant>
        <vt:lpwstr>_DECA_Reference_List_1</vt:lpwstr>
      </vt:variant>
      <vt:variant>
        <vt:i4>6226002</vt:i4>
      </vt:variant>
      <vt:variant>
        <vt:i4>108</vt:i4>
      </vt:variant>
      <vt:variant>
        <vt:i4>0</vt:i4>
      </vt:variant>
      <vt:variant>
        <vt:i4>5</vt:i4>
      </vt:variant>
      <vt:variant>
        <vt:lpwstr>https://www.kaplanco.com/devereux</vt:lpwstr>
      </vt:variant>
      <vt:variant>
        <vt:lpwstr/>
      </vt:variant>
      <vt:variant>
        <vt:i4>7405664</vt:i4>
      </vt:variant>
      <vt:variant>
        <vt:i4>105</vt:i4>
      </vt:variant>
      <vt:variant>
        <vt:i4>0</vt:i4>
      </vt:variant>
      <vt:variant>
        <vt:i4>5</vt:i4>
      </vt:variant>
      <vt:variant>
        <vt:lpwstr>https://centerforresilientchildren.org/</vt:lpwstr>
      </vt:variant>
      <vt:variant>
        <vt:lpwstr/>
      </vt:variant>
      <vt:variant>
        <vt:i4>1179672</vt:i4>
      </vt:variant>
      <vt:variant>
        <vt:i4>102</vt:i4>
      </vt:variant>
      <vt:variant>
        <vt:i4>0</vt:i4>
      </vt:variant>
      <vt:variant>
        <vt:i4>5</vt:i4>
      </vt:variant>
      <vt:variant>
        <vt:lpwstr>https://www.e-deca2.org/</vt:lpwstr>
      </vt:variant>
      <vt:variant>
        <vt:lpwstr/>
      </vt:variant>
      <vt:variant>
        <vt:i4>4653161</vt:i4>
      </vt:variant>
      <vt:variant>
        <vt:i4>99</vt:i4>
      </vt:variant>
      <vt:variant>
        <vt:i4>0</vt:i4>
      </vt:variant>
      <vt:variant>
        <vt:i4>5</vt:i4>
      </vt:variant>
      <vt:variant>
        <vt:lpwstr/>
      </vt:variant>
      <vt:variant>
        <vt:lpwstr>_CEDL_Evidence_Summary</vt:lpwstr>
      </vt:variant>
      <vt:variant>
        <vt:i4>1835044</vt:i4>
      </vt:variant>
      <vt:variant>
        <vt:i4>96</vt:i4>
      </vt:variant>
      <vt:variant>
        <vt:i4>0</vt:i4>
      </vt:variant>
      <vt:variant>
        <vt:i4>5</vt:i4>
      </vt:variant>
      <vt:variant>
        <vt:lpwstr/>
      </vt:variant>
      <vt:variant>
        <vt:lpwstr>_CEDL_Reference_List</vt:lpwstr>
      </vt:variant>
      <vt:variant>
        <vt:i4>7012414</vt:i4>
      </vt:variant>
      <vt:variant>
        <vt:i4>93</vt:i4>
      </vt:variant>
      <vt:variant>
        <vt:i4>0</vt:i4>
      </vt:variant>
      <vt:variant>
        <vt:i4>5</vt:i4>
      </vt:variant>
      <vt:variant>
        <vt:lpwstr>https://canchild.ca/en/research-in-practice/current-studies/move-play-study-understanding-determinants-of-motor-abilities-self-care-and-play-of-young-children-with-cerebral-palsy/measures</vt:lpwstr>
      </vt:variant>
      <vt:variant>
        <vt:lpwstr/>
      </vt:variant>
      <vt:variant>
        <vt:i4>2687073</vt:i4>
      </vt:variant>
      <vt:variant>
        <vt:i4>90</vt:i4>
      </vt:variant>
      <vt:variant>
        <vt:i4>0</vt:i4>
      </vt:variant>
      <vt:variant>
        <vt:i4>5</vt:i4>
      </vt:variant>
      <vt:variant>
        <vt:lpwstr>https://doi.org/10.1177/000841749005700207</vt:lpwstr>
      </vt:variant>
      <vt:variant>
        <vt:lpwstr/>
      </vt:variant>
      <vt:variant>
        <vt:i4>2818150</vt:i4>
      </vt:variant>
      <vt:variant>
        <vt:i4>87</vt:i4>
      </vt:variant>
      <vt:variant>
        <vt:i4>0</vt:i4>
      </vt:variant>
      <vt:variant>
        <vt:i4>5</vt:i4>
      </vt:variant>
      <vt:variant>
        <vt:lpwstr>https://doi.org/10.1177/000841740206900204</vt:lpwstr>
      </vt:variant>
      <vt:variant>
        <vt:lpwstr/>
      </vt:variant>
      <vt:variant>
        <vt:i4>5439586</vt:i4>
      </vt:variant>
      <vt:variant>
        <vt:i4>84</vt:i4>
      </vt:variant>
      <vt:variant>
        <vt:i4>0</vt:i4>
      </vt:variant>
      <vt:variant>
        <vt:i4>5</vt:i4>
      </vt:variant>
      <vt:variant>
        <vt:lpwstr/>
      </vt:variant>
      <vt:variant>
        <vt:lpwstr>_COPM_Evidence_Summary</vt:lpwstr>
      </vt:variant>
      <vt:variant>
        <vt:i4>524335</vt:i4>
      </vt:variant>
      <vt:variant>
        <vt:i4>78</vt:i4>
      </vt:variant>
      <vt:variant>
        <vt:i4>0</vt:i4>
      </vt:variant>
      <vt:variant>
        <vt:i4>5</vt:i4>
      </vt:variant>
      <vt:variant>
        <vt:lpwstr/>
      </vt:variant>
      <vt:variant>
        <vt:lpwstr>_COPM_Reference_List</vt:lpwstr>
      </vt:variant>
      <vt:variant>
        <vt:i4>8126512</vt:i4>
      </vt:variant>
      <vt:variant>
        <vt:i4>75</vt:i4>
      </vt:variant>
      <vt:variant>
        <vt:i4>0</vt:i4>
      </vt:variant>
      <vt:variant>
        <vt:i4>5</vt:i4>
      </vt:variant>
      <vt:variant>
        <vt:lpwstr>https://www.thecopm.ca/</vt:lpwstr>
      </vt:variant>
      <vt:variant>
        <vt:lpwstr/>
      </vt:variant>
      <vt:variant>
        <vt:i4>1376264</vt:i4>
      </vt:variant>
      <vt:variant>
        <vt:i4>72</vt:i4>
      </vt:variant>
      <vt:variant>
        <vt:i4>0</vt:i4>
      </vt:variant>
      <vt:variant>
        <vt:i4>5</vt:i4>
      </vt:variant>
      <vt:variant>
        <vt:lpwstr>https://www.thetherapystore.com.au/product/canadian-occupational-performance-measure-copm-manual-5th-edition/</vt:lpwstr>
      </vt:variant>
      <vt:variant>
        <vt:lpwstr/>
      </vt:variant>
      <vt:variant>
        <vt:i4>2293859</vt:i4>
      </vt:variant>
      <vt:variant>
        <vt:i4>69</vt:i4>
      </vt:variant>
      <vt:variant>
        <vt:i4>0</vt:i4>
      </vt:variant>
      <vt:variant>
        <vt:i4>5</vt:i4>
      </vt:variant>
      <vt:variant>
        <vt:lpwstr>https://www.thecopm.ca/learning-module/</vt:lpwstr>
      </vt:variant>
      <vt:variant>
        <vt:lpwstr/>
      </vt:variant>
      <vt:variant>
        <vt:i4>1376325</vt:i4>
      </vt:variant>
      <vt:variant>
        <vt:i4>66</vt:i4>
      </vt:variant>
      <vt:variant>
        <vt:i4>0</vt:i4>
      </vt:variant>
      <vt:variant>
        <vt:i4>5</vt:i4>
      </vt:variant>
      <vt:variant>
        <vt:lpwstr/>
      </vt:variant>
      <vt:variant>
        <vt:lpwstr>_ATOMIC_Evidence_Summary_2</vt:lpwstr>
      </vt:variant>
      <vt:variant>
        <vt:i4>5046280</vt:i4>
      </vt:variant>
      <vt:variant>
        <vt:i4>63</vt:i4>
      </vt:variant>
      <vt:variant>
        <vt:i4>0</vt:i4>
      </vt:variant>
      <vt:variant>
        <vt:i4>5</vt:i4>
      </vt:variant>
      <vt:variant>
        <vt:lpwstr/>
      </vt:variant>
      <vt:variant>
        <vt:lpwstr>_ATOMIC_Reference_List_1</vt:lpwstr>
      </vt:variant>
      <vt:variant>
        <vt:i4>7274607</vt:i4>
      </vt:variant>
      <vt:variant>
        <vt:i4>60</vt:i4>
      </vt:variant>
      <vt:variant>
        <vt:i4>0</vt:i4>
      </vt:variant>
      <vt:variant>
        <vt:i4>5</vt:i4>
      </vt:variant>
      <vt:variant>
        <vt:lpwstr>https://doi.org/10.1136/bmjopen-2024-093029</vt:lpwstr>
      </vt:variant>
      <vt:variant>
        <vt:lpwstr/>
      </vt:variant>
      <vt:variant>
        <vt:i4>2490495</vt:i4>
      </vt:variant>
      <vt:variant>
        <vt:i4>57</vt:i4>
      </vt:variant>
      <vt:variant>
        <vt:i4>0</vt:i4>
      </vt:variant>
      <vt:variant>
        <vt:i4>5</vt:i4>
      </vt:variant>
      <vt:variant>
        <vt:lpwstr>https://doi.org/10.1016/j.fnhli.2024.100034</vt:lpwstr>
      </vt:variant>
      <vt:variant>
        <vt:lpwstr/>
      </vt:variant>
      <vt:variant>
        <vt:i4>1441875</vt:i4>
      </vt:variant>
      <vt:variant>
        <vt:i4>54</vt:i4>
      </vt:variant>
      <vt:variant>
        <vt:i4>0</vt:i4>
      </vt:variant>
      <vt:variant>
        <vt:i4>5</vt:i4>
      </vt:variant>
      <vt:variant>
        <vt:lpwstr>https://doi.org/10.1177/1049732314562891</vt:lpwstr>
      </vt:variant>
      <vt:variant>
        <vt:lpwstr/>
      </vt:variant>
      <vt:variant>
        <vt:i4>7602296</vt:i4>
      </vt:variant>
      <vt:variant>
        <vt:i4>51</vt:i4>
      </vt:variant>
      <vt:variant>
        <vt:i4>0</vt:i4>
      </vt:variant>
      <vt:variant>
        <vt:i4>5</vt:i4>
      </vt:variant>
      <vt:variant>
        <vt:lpwstr/>
      </vt:variant>
      <vt:variant>
        <vt:lpwstr>_ASQ-TRAK_Evidence_Summary_1</vt:lpwstr>
      </vt:variant>
      <vt:variant>
        <vt:i4>3080245</vt:i4>
      </vt:variant>
      <vt:variant>
        <vt:i4>45</vt:i4>
      </vt:variant>
      <vt:variant>
        <vt:i4>0</vt:i4>
      </vt:variant>
      <vt:variant>
        <vt:i4>5</vt:i4>
      </vt:variant>
      <vt:variant>
        <vt:lpwstr/>
      </vt:variant>
      <vt:variant>
        <vt:lpwstr>_ASQ-TRAK_Reference_List_1</vt:lpwstr>
      </vt:variant>
      <vt:variant>
        <vt:i4>5898257</vt:i4>
      </vt:variant>
      <vt:variant>
        <vt:i4>42</vt:i4>
      </vt:variant>
      <vt:variant>
        <vt:i4>0</vt:i4>
      </vt:variant>
      <vt:variant>
        <vt:i4>5</vt:i4>
      </vt:variant>
      <vt:variant>
        <vt:lpwstr>https://shop.rch.org.au/collections/asq-trak</vt:lpwstr>
      </vt:variant>
      <vt:variant>
        <vt:lpwstr/>
      </vt:variant>
      <vt:variant>
        <vt:i4>540737632</vt:i4>
      </vt:variant>
      <vt:variant>
        <vt:i4>39</vt:i4>
      </vt:variant>
      <vt:variant>
        <vt:i4>0</vt:i4>
      </vt:variant>
      <vt:variant>
        <vt:i4>5</vt:i4>
      </vt:variant>
      <vt:variant>
        <vt:lpwstr/>
      </vt:variant>
      <vt:variant>
        <vt:lpwstr>_Young_Children’s_Participation</vt:lpwstr>
      </vt:variant>
      <vt:variant>
        <vt:i4>5111910</vt:i4>
      </vt:variant>
      <vt:variant>
        <vt:i4>36</vt:i4>
      </vt:variant>
      <vt:variant>
        <vt:i4>0</vt:i4>
      </vt:variant>
      <vt:variant>
        <vt:i4>5</vt:i4>
      </vt:variant>
      <vt:variant>
        <vt:lpwstr/>
      </vt:variant>
      <vt:variant>
        <vt:lpwstr>_Vineland_Adaptive_Behavior</vt:lpwstr>
      </vt:variant>
      <vt:variant>
        <vt:i4>3604482</vt:i4>
      </vt:variant>
      <vt:variant>
        <vt:i4>33</vt:i4>
      </vt:variant>
      <vt:variant>
        <vt:i4>0</vt:i4>
      </vt:variant>
      <vt:variant>
        <vt:i4>5</vt:i4>
      </vt:variant>
      <vt:variant>
        <vt:lpwstr/>
      </vt:variant>
      <vt:variant>
        <vt:lpwstr>_Pediatric_Evaluation_of</vt:lpwstr>
      </vt:variant>
      <vt:variant>
        <vt:i4>8323143</vt:i4>
      </vt:variant>
      <vt:variant>
        <vt:i4>30</vt:i4>
      </vt:variant>
      <vt:variant>
        <vt:i4>0</vt:i4>
      </vt:variant>
      <vt:variant>
        <vt:i4>5</vt:i4>
      </vt:variant>
      <vt:variant>
        <vt:lpwstr/>
      </vt:variant>
      <vt:variant>
        <vt:lpwstr>_Participation_and_Environment</vt:lpwstr>
      </vt:variant>
      <vt:variant>
        <vt:i4>6881362</vt:i4>
      </vt:variant>
      <vt:variant>
        <vt:i4>27</vt:i4>
      </vt:variant>
      <vt:variant>
        <vt:i4>0</vt:i4>
      </vt:variant>
      <vt:variant>
        <vt:i4>5</vt:i4>
      </vt:variant>
      <vt:variant>
        <vt:lpwstr/>
      </vt:variant>
      <vt:variant>
        <vt:lpwstr>_KINDL</vt:lpwstr>
      </vt:variant>
      <vt:variant>
        <vt:i4>5505028</vt:i4>
      </vt:variant>
      <vt:variant>
        <vt:i4>24</vt:i4>
      </vt:variant>
      <vt:variant>
        <vt:i4>0</vt:i4>
      </vt:variant>
      <vt:variant>
        <vt:i4>5</vt:i4>
      </vt:variant>
      <vt:variant>
        <vt:lpwstr/>
      </vt:variant>
      <vt:variant>
        <vt:lpwstr>_Infant_Toddler_Social_1</vt:lpwstr>
      </vt:variant>
      <vt:variant>
        <vt:i4>3080221</vt:i4>
      </vt:variant>
      <vt:variant>
        <vt:i4>21</vt:i4>
      </vt:variant>
      <vt:variant>
        <vt:i4>0</vt:i4>
      </vt:variant>
      <vt:variant>
        <vt:i4>5</vt:i4>
      </vt:variant>
      <vt:variant>
        <vt:lpwstr/>
      </vt:variant>
      <vt:variant>
        <vt:lpwstr>_Goal_Attainment_Scaling</vt:lpwstr>
      </vt:variant>
      <vt:variant>
        <vt:i4>3997696</vt:i4>
      </vt:variant>
      <vt:variant>
        <vt:i4>18</vt:i4>
      </vt:variant>
      <vt:variant>
        <vt:i4>0</vt:i4>
      </vt:variant>
      <vt:variant>
        <vt:i4>5</vt:i4>
      </vt:variant>
      <vt:variant>
        <vt:lpwstr/>
      </vt:variant>
      <vt:variant>
        <vt:lpwstr>_The_Functional_Independence</vt:lpwstr>
      </vt:variant>
      <vt:variant>
        <vt:i4>4718693</vt:i4>
      </vt:variant>
      <vt:variant>
        <vt:i4>15</vt:i4>
      </vt:variant>
      <vt:variant>
        <vt:i4>0</vt:i4>
      </vt:variant>
      <vt:variant>
        <vt:i4>5</vt:i4>
      </vt:variant>
      <vt:variant>
        <vt:lpwstr/>
      </vt:variant>
      <vt:variant>
        <vt:lpwstr>_Emotional_Regulation_Checklist</vt:lpwstr>
      </vt:variant>
      <vt:variant>
        <vt:i4>1769517</vt:i4>
      </vt:variant>
      <vt:variant>
        <vt:i4>12</vt:i4>
      </vt:variant>
      <vt:variant>
        <vt:i4>0</vt:i4>
      </vt:variant>
      <vt:variant>
        <vt:i4>5</vt:i4>
      </vt:variant>
      <vt:variant>
        <vt:lpwstr/>
      </vt:variant>
      <vt:variant>
        <vt:lpwstr>_Devereux_Early_Childhood</vt:lpwstr>
      </vt:variant>
      <vt:variant>
        <vt:i4>3735574</vt:i4>
      </vt:variant>
      <vt:variant>
        <vt:i4>9</vt:i4>
      </vt:variant>
      <vt:variant>
        <vt:i4>0</vt:i4>
      </vt:variant>
      <vt:variant>
        <vt:i4>5</vt:i4>
      </vt:variant>
      <vt:variant>
        <vt:lpwstr/>
      </vt:variant>
      <vt:variant>
        <vt:lpwstr>_Child_Engagement_in</vt:lpwstr>
      </vt:variant>
      <vt:variant>
        <vt:i4>4194418</vt:i4>
      </vt:variant>
      <vt:variant>
        <vt:i4>6</vt:i4>
      </vt:variant>
      <vt:variant>
        <vt:i4>0</vt:i4>
      </vt:variant>
      <vt:variant>
        <vt:i4>5</vt:i4>
      </vt:variant>
      <vt:variant>
        <vt:lpwstr/>
      </vt:variant>
      <vt:variant>
        <vt:lpwstr>_Canadian_Occupational_Performance</vt:lpwstr>
      </vt:variant>
      <vt:variant>
        <vt:i4>8126533</vt:i4>
      </vt:variant>
      <vt:variant>
        <vt:i4>3</vt:i4>
      </vt:variant>
      <vt:variant>
        <vt:i4>0</vt:i4>
      </vt:variant>
      <vt:variant>
        <vt:i4>5</vt:i4>
      </vt:variant>
      <vt:variant>
        <vt:lpwstr/>
      </vt:variant>
      <vt:variant>
        <vt:lpwstr>_Australian_Therapy_Outcome</vt:lpwstr>
      </vt:variant>
      <vt:variant>
        <vt:i4>655417</vt:i4>
      </vt:variant>
      <vt:variant>
        <vt:i4>0</vt:i4>
      </vt:variant>
      <vt:variant>
        <vt:i4>0</vt:i4>
      </vt:variant>
      <vt:variant>
        <vt:i4>5</vt:i4>
      </vt:variant>
      <vt:variant>
        <vt:lpwstr/>
      </vt:variant>
      <vt:variant>
        <vt:lpwstr>_Ages_and_Stages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Outcome measures for children</dc:title>
  <dc:subject>Disability and carers</dc:subject>
  <dc:creator>Australian Government Department of Health Disability and Ageing</dc:creator>
  <cp:keywords>ECI framework</cp:keywords>
  <cp:lastModifiedBy>MCCAY, Meryl</cp:lastModifiedBy>
  <cp:revision>32</cp:revision>
  <dcterms:created xsi:type="dcterms:W3CDTF">2025-05-23T20:00:00Z</dcterms:created>
  <dcterms:modified xsi:type="dcterms:W3CDTF">2025-09-29T02:06:00Z</dcterms:modified>
</cp:coreProperties>
</file>