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48099514"/>
        <w:docPartObj>
          <w:docPartGallery w:val="Cover Pages"/>
          <w:docPartUnique/>
        </w:docPartObj>
      </w:sdtPr>
      <w:sdtContent>
        <w:p w14:paraId="1A7CB710" w14:textId="77777777" w:rsidR="005B31AB" w:rsidRDefault="005B31AB" w:rsidP="005B31AB"/>
        <w:p w14:paraId="62DDBBFC" w14:textId="20B94115" w:rsidR="005B31AB" w:rsidRDefault="005B31AB" w:rsidP="001E182E">
          <w:pPr>
            <w:pStyle w:val="Title"/>
            <w:spacing w:before="6600"/>
            <w:ind w:left="2880"/>
            <w:rPr>
              <w:sz w:val="52"/>
              <w:szCs w:val="52"/>
            </w:rPr>
          </w:pPr>
          <w:r>
            <w:rPr>
              <w:noProof/>
              <w:lang w:eastAsia="en-AU"/>
            </w:rPr>
            <w:drawing>
              <wp:anchor distT="0" distB="0" distL="114300" distR="114300" simplePos="0" relativeHeight="251659264" behindDoc="1" locked="0" layoutInCell="1" allowOverlap="1" wp14:anchorId="067A53AD" wp14:editId="13DC824F">
                <wp:simplePos x="0" y="0"/>
                <wp:positionH relativeFrom="margin">
                  <wp:align>left</wp:align>
                </wp:positionH>
                <wp:positionV relativeFrom="paragraph">
                  <wp:posOffset>41781</wp:posOffset>
                </wp:positionV>
                <wp:extent cx="5736590" cy="6913245"/>
                <wp:effectExtent l="0" t="0" r="0" b="1905"/>
                <wp:wrapNone/>
                <wp:docPr id="1186126107" name="Picture 1" descr="Cover of the Statutory Review of the Medical Research Future Fund Ac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26107" name="Picture 1" descr="Cover of the Statutory Review of the Medical Research Future Fund Act 2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6913245"/>
                        </a:xfrm>
                        <a:prstGeom prst="rect">
                          <a:avLst/>
                        </a:prstGeom>
                        <a:noFill/>
                      </pic:spPr>
                    </pic:pic>
                  </a:graphicData>
                </a:graphic>
              </wp:anchor>
            </w:drawing>
          </w:r>
          <w:r>
            <w:rPr>
              <w:sz w:val="52"/>
              <w:szCs w:val="52"/>
            </w:rPr>
            <w:t xml:space="preserve">Statutory Review of the </w:t>
          </w:r>
          <w:r w:rsidRPr="003C2AF4">
            <w:rPr>
              <w:i/>
              <w:iCs/>
              <w:sz w:val="52"/>
              <w:szCs w:val="52"/>
            </w:rPr>
            <w:t>Medical Research Future Fund Act 2015</w:t>
          </w:r>
        </w:p>
        <w:p w14:paraId="6F81935A" w14:textId="77777777" w:rsidR="005B31AB" w:rsidRPr="001968D3" w:rsidRDefault="005B31AB" w:rsidP="005B31AB">
          <w:pPr>
            <w:ind w:left="2880"/>
          </w:pPr>
          <w:r>
            <w:t>Department of Finance, Department of the Treasury in consultation with Department of Health and Aged Care and the Future Fund Management Agency</w:t>
          </w:r>
        </w:p>
        <w:p w14:paraId="7A599139" w14:textId="511EA86B" w:rsidR="001E182E" w:rsidRDefault="005B31AB" w:rsidP="001E182E">
          <w:pPr>
            <w:spacing w:after="0" w:line="240" w:lineRule="auto"/>
            <w:ind w:left="2160" w:firstLine="720"/>
          </w:pPr>
          <w:r>
            <w:t>December</w:t>
          </w:r>
          <w:r w:rsidRPr="00E43E56">
            <w:t xml:space="preserve"> </w:t>
          </w:r>
          <w:r>
            <w:t>2024</w:t>
          </w:r>
          <w:r w:rsidR="001E182E">
            <w:br w:type="page"/>
          </w:r>
        </w:p>
        <w:sdt>
          <w:sdtPr>
            <w:rPr>
              <w:rFonts w:asciiTheme="minorHAnsi" w:eastAsiaTheme="minorEastAsia" w:hAnsiTheme="minorHAnsi" w:cstheme="minorBidi"/>
              <w:b w:val="0"/>
              <w:color w:val="auto"/>
              <w:kern w:val="2"/>
              <w:sz w:val="22"/>
              <w:szCs w:val="22"/>
              <w:lang w:val="en-AU" w:eastAsia="en-US"/>
              <w14:ligatures w14:val="standardContextual"/>
            </w:rPr>
            <w:id w:val="-40372535"/>
            <w:docPartObj>
              <w:docPartGallery w:val="Table of Contents"/>
              <w:docPartUnique/>
            </w:docPartObj>
          </w:sdtPr>
          <w:sdtEndPr>
            <w:rPr>
              <w:noProof/>
            </w:rPr>
          </w:sdtEndPr>
          <w:sdtContent>
            <w:p w14:paraId="1A203F29" w14:textId="77777777" w:rsidR="005B31AB" w:rsidRDefault="005B31AB" w:rsidP="005B31AB">
              <w:pPr>
                <w:pStyle w:val="TOCHeading"/>
              </w:pPr>
              <w:r>
                <w:t>Table of Contents</w:t>
              </w:r>
            </w:p>
            <w:p w14:paraId="7CDCE8D8" w14:textId="35F62666" w:rsidR="00531E53" w:rsidRDefault="005B31AB">
              <w:pPr>
                <w:pStyle w:val="TOC1"/>
                <w:tabs>
                  <w:tab w:val="right" w:leader="dot" w:pos="9016"/>
                </w:tabs>
                <w:rPr>
                  <w:rFonts w:asciiTheme="minorHAnsi" w:eastAsiaTheme="minorEastAsia" w:hAnsiTheme="minorHAnsi" w:cstheme="minorBidi"/>
                  <w:b w:val="0"/>
                  <w:bCs w:val="0"/>
                  <w:caps w:val="0"/>
                  <w:noProof/>
                  <w:lang w:eastAsia="en-AU"/>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85589226" w:history="1">
                <w:r w:rsidR="00531E53" w:rsidRPr="00CF62CE">
                  <w:rPr>
                    <w:rStyle w:val="Hyperlink"/>
                    <w:noProof/>
                  </w:rPr>
                  <w:t>Terms of Reference</w:t>
                </w:r>
                <w:r w:rsidR="00531E53">
                  <w:rPr>
                    <w:noProof/>
                    <w:webHidden/>
                  </w:rPr>
                  <w:tab/>
                </w:r>
                <w:r w:rsidR="00531E53">
                  <w:rPr>
                    <w:noProof/>
                    <w:webHidden/>
                  </w:rPr>
                  <w:fldChar w:fldCharType="begin"/>
                </w:r>
                <w:r w:rsidR="00531E53">
                  <w:rPr>
                    <w:noProof/>
                    <w:webHidden/>
                  </w:rPr>
                  <w:instrText xml:space="preserve"> PAGEREF _Toc185589226 \h </w:instrText>
                </w:r>
                <w:r w:rsidR="00531E53">
                  <w:rPr>
                    <w:noProof/>
                    <w:webHidden/>
                  </w:rPr>
                </w:r>
                <w:r w:rsidR="00531E53">
                  <w:rPr>
                    <w:noProof/>
                    <w:webHidden/>
                  </w:rPr>
                  <w:fldChar w:fldCharType="separate"/>
                </w:r>
                <w:r w:rsidR="00531E53">
                  <w:rPr>
                    <w:noProof/>
                    <w:webHidden/>
                  </w:rPr>
                  <w:t>3</w:t>
                </w:r>
                <w:r w:rsidR="00531E53">
                  <w:rPr>
                    <w:noProof/>
                    <w:webHidden/>
                  </w:rPr>
                  <w:fldChar w:fldCharType="end"/>
                </w:r>
              </w:hyperlink>
            </w:p>
            <w:p w14:paraId="41DDA480" w14:textId="5EFB1C74" w:rsidR="00531E53" w:rsidRDefault="00531E53">
              <w:pPr>
                <w:pStyle w:val="TOC2"/>
                <w:tabs>
                  <w:tab w:val="right" w:leader="dot" w:pos="9016"/>
                </w:tabs>
                <w:rPr>
                  <w:rFonts w:eastAsiaTheme="minorEastAsia" w:cstheme="minorBidi"/>
                  <w:b w:val="0"/>
                  <w:bCs w:val="0"/>
                  <w:noProof/>
                  <w:sz w:val="24"/>
                  <w:szCs w:val="24"/>
                  <w:lang w:eastAsia="en-AU"/>
                </w:rPr>
              </w:pPr>
              <w:hyperlink w:anchor="_Toc185589227" w:history="1">
                <w:r w:rsidRPr="00CF62CE">
                  <w:rPr>
                    <w:rStyle w:val="Hyperlink"/>
                    <w:noProof/>
                  </w:rPr>
                  <w:t>Purpose, context and background</w:t>
                </w:r>
                <w:r>
                  <w:rPr>
                    <w:noProof/>
                    <w:webHidden/>
                  </w:rPr>
                  <w:tab/>
                </w:r>
                <w:r>
                  <w:rPr>
                    <w:noProof/>
                    <w:webHidden/>
                  </w:rPr>
                  <w:fldChar w:fldCharType="begin"/>
                </w:r>
                <w:r>
                  <w:rPr>
                    <w:noProof/>
                    <w:webHidden/>
                  </w:rPr>
                  <w:instrText xml:space="preserve"> PAGEREF _Toc185589227 \h </w:instrText>
                </w:r>
                <w:r>
                  <w:rPr>
                    <w:noProof/>
                    <w:webHidden/>
                  </w:rPr>
                </w:r>
                <w:r>
                  <w:rPr>
                    <w:noProof/>
                    <w:webHidden/>
                  </w:rPr>
                  <w:fldChar w:fldCharType="separate"/>
                </w:r>
                <w:r>
                  <w:rPr>
                    <w:noProof/>
                    <w:webHidden/>
                  </w:rPr>
                  <w:t>3</w:t>
                </w:r>
                <w:r>
                  <w:rPr>
                    <w:noProof/>
                    <w:webHidden/>
                  </w:rPr>
                  <w:fldChar w:fldCharType="end"/>
                </w:r>
              </w:hyperlink>
            </w:p>
            <w:p w14:paraId="6EFC8A0E" w14:textId="75D3F0CE" w:rsidR="00531E53" w:rsidRDefault="00531E53">
              <w:pPr>
                <w:pStyle w:val="TOC2"/>
                <w:tabs>
                  <w:tab w:val="right" w:leader="dot" w:pos="9016"/>
                </w:tabs>
                <w:rPr>
                  <w:rFonts w:eastAsiaTheme="minorEastAsia" w:cstheme="minorBidi"/>
                  <w:b w:val="0"/>
                  <w:bCs w:val="0"/>
                  <w:noProof/>
                  <w:sz w:val="24"/>
                  <w:szCs w:val="24"/>
                  <w:lang w:eastAsia="en-AU"/>
                </w:rPr>
              </w:pPr>
              <w:hyperlink w:anchor="_Toc185589228" w:history="1">
                <w:r w:rsidRPr="00CF62CE">
                  <w:rPr>
                    <w:rStyle w:val="Hyperlink"/>
                    <w:noProof/>
                  </w:rPr>
                  <w:t>Scope of the review</w:t>
                </w:r>
                <w:r>
                  <w:rPr>
                    <w:noProof/>
                    <w:webHidden/>
                  </w:rPr>
                  <w:tab/>
                </w:r>
                <w:r>
                  <w:rPr>
                    <w:noProof/>
                    <w:webHidden/>
                  </w:rPr>
                  <w:fldChar w:fldCharType="begin"/>
                </w:r>
                <w:r>
                  <w:rPr>
                    <w:noProof/>
                    <w:webHidden/>
                  </w:rPr>
                  <w:instrText xml:space="preserve"> PAGEREF _Toc185589228 \h </w:instrText>
                </w:r>
                <w:r>
                  <w:rPr>
                    <w:noProof/>
                    <w:webHidden/>
                  </w:rPr>
                </w:r>
                <w:r>
                  <w:rPr>
                    <w:noProof/>
                    <w:webHidden/>
                  </w:rPr>
                  <w:fldChar w:fldCharType="separate"/>
                </w:r>
                <w:r>
                  <w:rPr>
                    <w:noProof/>
                    <w:webHidden/>
                  </w:rPr>
                  <w:t>3</w:t>
                </w:r>
                <w:r>
                  <w:rPr>
                    <w:noProof/>
                    <w:webHidden/>
                  </w:rPr>
                  <w:fldChar w:fldCharType="end"/>
                </w:r>
              </w:hyperlink>
            </w:p>
            <w:p w14:paraId="694926D5" w14:textId="500EB4D9"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29" w:history="1">
                <w:r w:rsidRPr="00CF62CE">
                  <w:rPr>
                    <w:rStyle w:val="Hyperlink"/>
                    <w:noProof/>
                  </w:rPr>
                  <w:t>Executive Summary</w:t>
                </w:r>
                <w:r>
                  <w:rPr>
                    <w:noProof/>
                    <w:webHidden/>
                  </w:rPr>
                  <w:tab/>
                </w:r>
                <w:r>
                  <w:rPr>
                    <w:noProof/>
                    <w:webHidden/>
                  </w:rPr>
                  <w:fldChar w:fldCharType="begin"/>
                </w:r>
                <w:r>
                  <w:rPr>
                    <w:noProof/>
                    <w:webHidden/>
                  </w:rPr>
                  <w:instrText xml:space="preserve"> PAGEREF _Toc185589229 \h </w:instrText>
                </w:r>
                <w:r>
                  <w:rPr>
                    <w:noProof/>
                    <w:webHidden/>
                  </w:rPr>
                </w:r>
                <w:r>
                  <w:rPr>
                    <w:noProof/>
                    <w:webHidden/>
                  </w:rPr>
                  <w:fldChar w:fldCharType="separate"/>
                </w:r>
                <w:r>
                  <w:rPr>
                    <w:noProof/>
                    <w:webHidden/>
                  </w:rPr>
                  <w:t>4</w:t>
                </w:r>
                <w:r>
                  <w:rPr>
                    <w:noProof/>
                    <w:webHidden/>
                  </w:rPr>
                  <w:fldChar w:fldCharType="end"/>
                </w:r>
              </w:hyperlink>
            </w:p>
            <w:p w14:paraId="36639B03" w14:textId="6AD8F925"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30" w:history="1">
                <w:r w:rsidRPr="00CF62CE">
                  <w:rPr>
                    <w:rStyle w:val="Hyperlink"/>
                    <w:noProof/>
                  </w:rPr>
                  <w:t>Establishment of the Medical Research Future Fund</w:t>
                </w:r>
                <w:r>
                  <w:rPr>
                    <w:noProof/>
                    <w:webHidden/>
                  </w:rPr>
                  <w:tab/>
                </w:r>
                <w:r>
                  <w:rPr>
                    <w:noProof/>
                    <w:webHidden/>
                  </w:rPr>
                  <w:fldChar w:fldCharType="begin"/>
                </w:r>
                <w:r>
                  <w:rPr>
                    <w:noProof/>
                    <w:webHidden/>
                  </w:rPr>
                  <w:instrText xml:space="preserve"> PAGEREF _Toc185589230 \h </w:instrText>
                </w:r>
                <w:r>
                  <w:rPr>
                    <w:noProof/>
                    <w:webHidden/>
                  </w:rPr>
                </w:r>
                <w:r>
                  <w:rPr>
                    <w:noProof/>
                    <w:webHidden/>
                  </w:rPr>
                  <w:fldChar w:fldCharType="separate"/>
                </w:r>
                <w:r>
                  <w:rPr>
                    <w:noProof/>
                    <w:webHidden/>
                  </w:rPr>
                  <w:t>8</w:t>
                </w:r>
                <w:r>
                  <w:rPr>
                    <w:noProof/>
                    <w:webHidden/>
                  </w:rPr>
                  <w:fldChar w:fldCharType="end"/>
                </w:r>
              </w:hyperlink>
            </w:p>
            <w:p w14:paraId="263E8F91" w14:textId="6065E634" w:rsidR="00531E53" w:rsidRDefault="00531E53">
              <w:pPr>
                <w:pStyle w:val="TOC2"/>
                <w:tabs>
                  <w:tab w:val="right" w:leader="dot" w:pos="9016"/>
                </w:tabs>
                <w:rPr>
                  <w:rFonts w:eastAsiaTheme="minorEastAsia" w:cstheme="minorBidi"/>
                  <w:b w:val="0"/>
                  <w:bCs w:val="0"/>
                  <w:noProof/>
                  <w:sz w:val="24"/>
                  <w:szCs w:val="24"/>
                  <w:lang w:eastAsia="en-AU"/>
                </w:rPr>
              </w:pPr>
              <w:hyperlink w:anchor="_Toc185589231" w:history="1">
                <w:r w:rsidRPr="00CF62CE">
                  <w:rPr>
                    <w:rStyle w:val="Hyperlink"/>
                    <w:noProof/>
                  </w:rPr>
                  <w:t>Medical Research Future Fund Act</w:t>
                </w:r>
                <w:r>
                  <w:rPr>
                    <w:noProof/>
                    <w:webHidden/>
                  </w:rPr>
                  <w:tab/>
                </w:r>
                <w:r>
                  <w:rPr>
                    <w:noProof/>
                    <w:webHidden/>
                  </w:rPr>
                  <w:fldChar w:fldCharType="begin"/>
                </w:r>
                <w:r>
                  <w:rPr>
                    <w:noProof/>
                    <w:webHidden/>
                  </w:rPr>
                  <w:instrText xml:space="preserve"> PAGEREF _Toc185589231 \h </w:instrText>
                </w:r>
                <w:r>
                  <w:rPr>
                    <w:noProof/>
                    <w:webHidden/>
                  </w:rPr>
                </w:r>
                <w:r>
                  <w:rPr>
                    <w:noProof/>
                    <w:webHidden/>
                  </w:rPr>
                  <w:fldChar w:fldCharType="separate"/>
                </w:r>
                <w:r>
                  <w:rPr>
                    <w:noProof/>
                    <w:webHidden/>
                  </w:rPr>
                  <w:t>8</w:t>
                </w:r>
                <w:r>
                  <w:rPr>
                    <w:noProof/>
                    <w:webHidden/>
                  </w:rPr>
                  <w:fldChar w:fldCharType="end"/>
                </w:r>
              </w:hyperlink>
            </w:p>
            <w:p w14:paraId="49168079" w14:textId="3B828EEC"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32" w:history="1">
                <w:r w:rsidRPr="00CF62CE">
                  <w:rPr>
                    <w:rStyle w:val="Hyperlink"/>
                    <w:noProof/>
                  </w:rPr>
                  <w:t>Operation of the MRFF Special Accounts</w:t>
                </w:r>
                <w:r>
                  <w:rPr>
                    <w:noProof/>
                    <w:webHidden/>
                  </w:rPr>
                  <w:tab/>
                </w:r>
                <w:r>
                  <w:rPr>
                    <w:noProof/>
                    <w:webHidden/>
                  </w:rPr>
                  <w:fldChar w:fldCharType="begin"/>
                </w:r>
                <w:r>
                  <w:rPr>
                    <w:noProof/>
                    <w:webHidden/>
                  </w:rPr>
                  <w:instrText xml:space="preserve"> PAGEREF _Toc185589232 \h </w:instrText>
                </w:r>
                <w:r>
                  <w:rPr>
                    <w:noProof/>
                    <w:webHidden/>
                  </w:rPr>
                </w:r>
                <w:r>
                  <w:rPr>
                    <w:noProof/>
                    <w:webHidden/>
                  </w:rPr>
                  <w:fldChar w:fldCharType="separate"/>
                </w:r>
                <w:r>
                  <w:rPr>
                    <w:noProof/>
                    <w:webHidden/>
                  </w:rPr>
                  <w:t>10</w:t>
                </w:r>
                <w:r>
                  <w:rPr>
                    <w:noProof/>
                    <w:webHidden/>
                  </w:rPr>
                  <w:fldChar w:fldCharType="end"/>
                </w:r>
              </w:hyperlink>
            </w:p>
            <w:p w14:paraId="7F4B70C7" w14:textId="5FB42E56" w:rsidR="00531E53" w:rsidRDefault="00531E53">
              <w:pPr>
                <w:pStyle w:val="TOC2"/>
                <w:tabs>
                  <w:tab w:val="right" w:leader="dot" w:pos="9016"/>
                </w:tabs>
                <w:rPr>
                  <w:rFonts w:eastAsiaTheme="minorEastAsia" w:cstheme="minorBidi"/>
                  <w:b w:val="0"/>
                  <w:bCs w:val="0"/>
                  <w:noProof/>
                  <w:sz w:val="24"/>
                  <w:szCs w:val="24"/>
                  <w:lang w:eastAsia="en-AU"/>
                </w:rPr>
              </w:pPr>
              <w:hyperlink w:anchor="_Toc185589233" w:history="1">
                <w:r w:rsidRPr="00CF62CE">
                  <w:rPr>
                    <w:rStyle w:val="Hyperlink"/>
                    <w:noProof/>
                  </w:rPr>
                  <w:t>The MRFF Special Account</w:t>
                </w:r>
                <w:r>
                  <w:rPr>
                    <w:noProof/>
                    <w:webHidden/>
                  </w:rPr>
                  <w:tab/>
                </w:r>
                <w:r>
                  <w:rPr>
                    <w:noProof/>
                    <w:webHidden/>
                  </w:rPr>
                  <w:fldChar w:fldCharType="begin"/>
                </w:r>
                <w:r>
                  <w:rPr>
                    <w:noProof/>
                    <w:webHidden/>
                  </w:rPr>
                  <w:instrText xml:space="preserve"> PAGEREF _Toc185589233 \h </w:instrText>
                </w:r>
                <w:r>
                  <w:rPr>
                    <w:noProof/>
                    <w:webHidden/>
                  </w:rPr>
                </w:r>
                <w:r>
                  <w:rPr>
                    <w:noProof/>
                    <w:webHidden/>
                  </w:rPr>
                  <w:fldChar w:fldCharType="separate"/>
                </w:r>
                <w:r>
                  <w:rPr>
                    <w:noProof/>
                    <w:webHidden/>
                  </w:rPr>
                  <w:t>10</w:t>
                </w:r>
                <w:r>
                  <w:rPr>
                    <w:noProof/>
                    <w:webHidden/>
                  </w:rPr>
                  <w:fldChar w:fldCharType="end"/>
                </w:r>
              </w:hyperlink>
            </w:p>
            <w:p w14:paraId="0C3285CC" w14:textId="3D118E8F" w:rsidR="00531E53" w:rsidRDefault="00531E53">
              <w:pPr>
                <w:pStyle w:val="TOC2"/>
                <w:tabs>
                  <w:tab w:val="right" w:leader="dot" w:pos="9016"/>
                </w:tabs>
                <w:rPr>
                  <w:rFonts w:eastAsiaTheme="minorEastAsia" w:cstheme="minorBidi"/>
                  <w:b w:val="0"/>
                  <w:bCs w:val="0"/>
                  <w:noProof/>
                  <w:sz w:val="24"/>
                  <w:szCs w:val="24"/>
                  <w:lang w:eastAsia="en-AU"/>
                </w:rPr>
              </w:pPr>
              <w:hyperlink w:anchor="_Toc185589234" w:history="1">
                <w:r w:rsidRPr="00CF62CE">
                  <w:rPr>
                    <w:rStyle w:val="Hyperlink"/>
                    <w:noProof/>
                  </w:rPr>
                  <w:t>Transfers from the MRFF Special Account</w:t>
                </w:r>
                <w:r>
                  <w:rPr>
                    <w:noProof/>
                    <w:webHidden/>
                  </w:rPr>
                  <w:tab/>
                </w:r>
                <w:r>
                  <w:rPr>
                    <w:noProof/>
                    <w:webHidden/>
                  </w:rPr>
                  <w:fldChar w:fldCharType="begin"/>
                </w:r>
                <w:r>
                  <w:rPr>
                    <w:noProof/>
                    <w:webHidden/>
                  </w:rPr>
                  <w:instrText xml:space="preserve"> PAGEREF _Toc185589234 \h </w:instrText>
                </w:r>
                <w:r>
                  <w:rPr>
                    <w:noProof/>
                    <w:webHidden/>
                  </w:rPr>
                </w:r>
                <w:r>
                  <w:rPr>
                    <w:noProof/>
                    <w:webHidden/>
                  </w:rPr>
                  <w:fldChar w:fldCharType="separate"/>
                </w:r>
                <w:r>
                  <w:rPr>
                    <w:noProof/>
                    <w:webHidden/>
                  </w:rPr>
                  <w:t>12</w:t>
                </w:r>
                <w:r>
                  <w:rPr>
                    <w:noProof/>
                    <w:webHidden/>
                  </w:rPr>
                  <w:fldChar w:fldCharType="end"/>
                </w:r>
              </w:hyperlink>
            </w:p>
            <w:p w14:paraId="09438E32" w14:textId="7CFEDF5A" w:rsidR="00531E53" w:rsidRDefault="00531E53">
              <w:pPr>
                <w:pStyle w:val="TOC2"/>
                <w:tabs>
                  <w:tab w:val="right" w:leader="dot" w:pos="9016"/>
                </w:tabs>
                <w:rPr>
                  <w:rFonts w:eastAsiaTheme="minorEastAsia" w:cstheme="minorBidi"/>
                  <w:b w:val="0"/>
                  <w:bCs w:val="0"/>
                  <w:noProof/>
                  <w:sz w:val="24"/>
                  <w:szCs w:val="24"/>
                  <w:lang w:eastAsia="en-AU"/>
                </w:rPr>
              </w:pPr>
              <w:hyperlink w:anchor="_Toc185589235" w:history="1">
                <w:r w:rsidRPr="00CF62CE">
                  <w:rPr>
                    <w:rStyle w:val="Hyperlink"/>
                    <w:noProof/>
                  </w:rPr>
                  <w:t>MRFF Health Special Account</w:t>
                </w:r>
                <w:r>
                  <w:rPr>
                    <w:noProof/>
                    <w:webHidden/>
                  </w:rPr>
                  <w:tab/>
                </w:r>
                <w:r>
                  <w:rPr>
                    <w:noProof/>
                    <w:webHidden/>
                  </w:rPr>
                  <w:fldChar w:fldCharType="begin"/>
                </w:r>
                <w:r>
                  <w:rPr>
                    <w:noProof/>
                    <w:webHidden/>
                  </w:rPr>
                  <w:instrText xml:space="preserve"> PAGEREF _Toc185589235 \h </w:instrText>
                </w:r>
                <w:r>
                  <w:rPr>
                    <w:noProof/>
                    <w:webHidden/>
                  </w:rPr>
                </w:r>
                <w:r>
                  <w:rPr>
                    <w:noProof/>
                    <w:webHidden/>
                  </w:rPr>
                  <w:fldChar w:fldCharType="separate"/>
                </w:r>
                <w:r>
                  <w:rPr>
                    <w:noProof/>
                    <w:webHidden/>
                  </w:rPr>
                  <w:t>13</w:t>
                </w:r>
                <w:r>
                  <w:rPr>
                    <w:noProof/>
                    <w:webHidden/>
                  </w:rPr>
                  <w:fldChar w:fldCharType="end"/>
                </w:r>
              </w:hyperlink>
            </w:p>
            <w:p w14:paraId="7FB2D8A5" w14:textId="06C921BB" w:rsidR="00531E53" w:rsidRDefault="00531E53">
              <w:pPr>
                <w:pStyle w:val="TOC2"/>
                <w:tabs>
                  <w:tab w:val="right" w:leader="dot" w:pos="9016"/>
                </w:tabs>
                <w:rPr>
                  <w:rFonts w:eastAsiaTheme="minorEastAsia" w:cstheme="minorBidi"/>
                  <w:b w:val="0"/>
                  <w:bCs w:val="0"/>
                  <w:noProof/>
                  <w:sz w:val="24"/>
                  <w:szCs w:val="24"/>
                  <w:lang w:eastAsia="en-AU"/>
                </w:rPr>
              </w:pPr>
              <w:hyperlink w:anchor="_Toc185589236" w:history="1">
                <w:r w:rsidRPr="00CF62CE">
                  <w:rPr>
                    <w:rStyle w:val="Hyperlink"/>
                    <w:noProof/>
                  </w:rPr>
                  <w:t>Maximum Annual Distribution Amount</w:t>
                </w:r>
                <w:r>
                  <w:rPr>
                    <w:noProof/>
                    <w:webHidden/>
                  </w:rPr>
                  <w:tab/>
                </w:r>
                <w:r>
                  <w:rPr>
                    <w:noProof/>
                    <w:webHidden/>
                  </w:rPr>
                  <w:fldChar w:fldCharType="begin"/>
                </w:r>
                <w:r>
                  <w:rPr>
                    <w:noProof/>
                    <w:webHidden/>
                  </w:rPr>
                  <w:instrText xml:space="preserve"> PAGEREF _Toc185589236 \h </w:instrText>
                </w:r>
                <w:r>
                  <w:rPr>
                    <w:noProof/>
                    <w:webHidden/>
                  </w:rPr>
                </w:r>
                <w:r>
                  <w:rPr>
                    <w:noProof/>
                    <w:webHidden/>
                  </w:rPr>
                  <w:fldChar w:fldCharType="separate"/>
                </w:r>
                <w:r>
                  <w:rPr>
                    <w:noProof/>
                    <w:webHidden/>
                  </w:rPr>
                  <w:t>13</w:t>
                </w:r>
                <w:r>
                  <w:rPr>
                    <w:noProof/>
                    <w:webHidden/>
                  </w:rPr>
                  <w:fldChar w:fldCharType="end"/>
                </w:r>
              </w:hyperlink>
            </w:p>
            <w:p w14:paraId="0B2E32E6" w14:textId="59272E79" w:rsidR="00531E53" w:rsidRDefault="00531E53">
              <w:pPr>
                <w:pStyle w:val="TOC2"/>
                <w:tabs>
                  <w:tab w:val="right" w:leader="dot" w:pos="9016"/>
                </w:tabs>
                <w:rPr>
                  <w:rFonts w:eastAsiaTheme="minorEastAsia" w:cstheme="minorBidi"/>
                  <w:b w:val="0"/>
                  <w:bCs w:val="0"/>
                  <w:noProof/>
                  <w:sz w:val="24"/>
                  <w:szCs w:val="24"/>
                  <w:lang w:eastAsia="en-AU"/>
                </w:rPr>
              </w:pPr>
              <w:hyperlink w:anchor="_Toc185589237" w:history="1">
                <w:r w:rsidRPr="00CF62CE">
                  <w:rPr>
                    <w:rStyle w:val="Hyperlink"/>
                    <w:noProof/>
                  </w:rPr>
                  <w:t>MADA and 10-year Investment Plan</w:t>
                </w:r>
                <w:r>
                  <w:rPr>
                    <w:noProof/>
                    <w:webHidden/>
                  </w:rPr>
                  <w:tab/>
                </w:r>
                <w:r>
                  <w:rPr>
                    <w:noProof/>
                    <w:webHidden/>
                  </w:rPr>
                  <w:fldChar w:fldCharType="begin"/>
                </w:r>
                <w:r>
                  <w:rPr>
                    <w:noProof/>
                    <w:webHidden/>
                  </w:rPr>
                  <w:instrText xml:space="preserve"> PAGEREF _Toc185589237 \h </w:instrText>
                </w:r>
                <w:r>
                  <w:rPr>
                    <w:noProof/>
                    <w:webHidden/>
                  </w:rPr>
                </w:r>
                <w:r>
                  <w:rPr>
                    <w:noProof/>
                    <w:webHidden/>
                  </w:rPr>
                  <w:fldChar w:fldCharType="separate"/>
                </w:r>
                <w:r>
                  <w:rPr>
                    <w:noProof/>
                    <w:webHidden/>
                  </w:rPr>
                  <w:t>14</w:t>
                </w:r>
                <w:r>
                  <w:rPr>
                    <w:noProof/>
                    <w:webHidden/>
                  </w:rPr>
                  <w:fldChar w:fldCharType="end"/>
                </w:r>
              </w:hyperlink>
            </w:p>
            <w:p w14:paraId="066345E6" w14:textId="2D2CE28F"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38" w:history="1">
                <w:r w:rsidRPr="00CF62CE">
                  <w:rPr>
                    <w:rStyle w:val="Hyperlink"/>
                    <w:noProof/>
                  </w:rPr>
                  <w:t>MRFF grants processes</w:t>
                </w:r>
                <w:r>
                  <w:rPr>
                    <w:noProof/>
                    <w:webHidden/>
                  </w:rPr>
                  <w:tab/>
                </w:r>
                <w:r>
                  <w:rPr>
                    <w:noProof/>
                    <w:webHidden/>
                  </w:rPr>
                  <w:fldChar w:fldCharType="begin"/>
                </w:r>
                <w:r>
                  <w:rPr>
                    <w:noProof/>
                    <w:webHidden/>
                  </w:rPr>
                  <w:instrText xml:space="preserve"> PAGEREF _Toc185589238 \h </w:instrText>
                </w:r>
                <w:r>
                  <w:rPr>
                    <w:noProof/>
                    <w:webHidden/>
                  </w:rPr>
                </w:r>
                <w:r>
                  <w:rPr>
                    <w:noProof/>
                    <w:webHidden/>
                  </w:rPr>
                  <w:fldChar w:fldCharType="separate"/>
                </w:r>
                <w:r>
                  <w:rPr>
                    <w:noProof/>
                    <w:webHidden/>
                  </w:rPr>
                  <w:t>18</w:t>
                </w:r>
                <w:r>
                  <w:rPr>
                    <w:noProof/>
                    <w:webHidden/>
                  </w:rPr>
                  <w:fldChar w:fldCharType="end"/>
                </w:r>
              </w:hyperlink>
            </w:p>
            <w:p w14:paraId="297D3FB4" w14:textId="0DDBA3EC" w:rsidR="00531E53" w:rsidRDefault="00531E53">
              <w:pPr>
                <w:pStyle w:val="TOC2"/>
                <w:tabs>
                  <w:tab w:val="right" w:leader="dot" w:pos="9016"/>
                </w:tabs>
                <w:rPr>
                  <w:rFonts w:eastAsiaTheme="minorEastAsia" w:cstheme="minorBidi"/>
                  <w:b w:val="0"/>
                  <w:bCs w:val="0"/>
                  <w:noProof/>
                  <w:sz w:val="24"/>
                  <w:szCs w:val="24"/>
                  <w:lang w:eastAsia="en-AU"/>
                </w:rPr>
              </w:pPr>
              <w:hyperlink w:anchor="_Toc185589239" w:history="1">
                <w:r w:rsidRPr="00CF62CE">
                  <w:rPr>
                    <w:rStyle w:val="Hyperlink"/>
                    <w:noProof/>
                  </w:rPr>
                  <w:t>Entities which may receive grant funding</w:t>
                </w:r>
                <w:r>
                  <w:rPr>
                    <w:noProof/>
                    <w:webHidden/>
                  </w:rPr>
                  <w:tab/>
                </w:r>
                <w:r>
                  <w:rPr>
                    <w:noProof/>
                    <w:webHidden/>
                  </w:rPr>
                  <w:fldChar w:fldCharType="begin"/>
                </w:r>
                <w:r>
                  <w:rPr>
                    <w:noProof/>
                    <w:webHidden/>
                  </w:rPr>
                  <w:instrText xml:space="preserve"> PAGEREF _Toc185589239 \h </w:instrText>
                </w:r>
                <w:r>
                  <w:rPr>
                    <w:noProof/>
                    <w:webHidden/>
                  </w:rPr>
                </w:r>
                <w:r>
                  <w:rPr>
                    <w:noProof/>
                    <w:webHidden/>
                  </w:rPr>
                  <w:fldChar w:fldCharType="separate"/>
                </w:r>
                <w:r>
                  <w:rPr>
                    <w:noProof/>
                    <w:webHidden/>
                  </w:rPr>
                  <w:t>21</w:t>
                </w:r>
                <w:r>
                  <w:rPr>
                    <w:noProof/>
                    <w:webHidden/>
                  </w:rPr>
                  <w:fldChar w:fldCharType="end"/>
                </w:r>
              </w:hyperlink>
            </w:p>
            <w:p w14:paraId="4501AA3E" w14:textId="0CDB3B80" w:rsidR="00531E53" w:rsidRDefault="00531E53">
              <w:pPr>
                <w:pStyle w:val="TOC2"/>
                <w:tabs>
                  <w:tab w:val="right" w:leader="dot" w:pos="9016"/>
                </w:tabs>
                <w:rPr>
                  <w:rFonts w:eastAsiaTheme="minorEastAsia" w:cstheme="minorBidi"/>
                  <w:b w:val="0"/>
                  <w:bCs w:val="0"/>
                  <w:noProof/>
                  <w:sz w:val="24"/>
                  <w:szCs w:val="24"/>
                  <w:lang w:eastAsia="en-AU"/>
                </w:rPr>
              </w:pPr>
              <w:hyperlink w:anchor="_Toc185589240" w:history="1">
                <w:r w:rsidRPr="00CF62CE">
                  <w:rPr>
                    <w:rStyle w:val="Hyperlink"/>
                    <w:noProof/>
                  </w:rPr>
                  <w:t>Provision of grants payments and retention of funds in the MRFF Health Special Account</w:t>
                </w:r>
                <w:r>
                  <w:rPr>
                    <w:noProof/>
                    <w:webHidden/>
                  </w:rPr>
                  <w:tab/>
                </w:r>
                <w:r>
                  <w:rPr>
                    <w:noProof/>
                    <w:webHidden/>
                  </w:rPr>
                  <w:fldChar w:fldCharType="begin"/>
                </w:r>
                <w:r>
                  <w:rPr>
                    <w:noProof/>
                    <w:webHidden/>
                  </w:rPr>
                  <w:instrText xml:space="preserve"> PAGEREF _Toc185589240 \h </w:instrText>
                </w:r>
                <w:r>
                  <w:rPr>
                    <w:noProof/>
                    <w:webHidden/>
                  </w:rPr>
                </w:r>
                <w:r>
                  <w:rPr>
                    <w:noProof/>
                    <w:webHidden/>
                  </w:rPr>
                  <w:fldChar w:fldCharType="separate"/>
                </w:r>
                <w:r>
                  <w:rPr>
                    <w:noProof/>
                    <w:webHidden/>
                  </w:rPr>
                  <w:t>22</w:t>
                </w:r>
                <w:r>
                  <w:rPr>
                    <w:noProof/>
                    <w:webHidden/>
                  </w:rPr>
                  <w:fldChar w:fldCharType="end"/>
                </w:r>
              </w:hyperlink>
            </w:p>
            <w:p w14:paraId="6BECDBCC" w14:textId="5E6B6535"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41" w:history="1">
                <w:r w:rsidRPr="00CF62CE">
                  <w:rPr>
                    <w:rStyle w:val="Hyperlink"/>
                    <w:noProof/>
                  </w:rPr>
                  <w:t>Performance of the MRFF against the object of the MRFF Act</w:t>
                </w:r>
                <w:r>
                  <w:rPr>
                    <w:noProof/>
                    <w:webHidden/>
                  </w:rPr>
                  <w:tab/>
                </w:r>
                <w:r>
                  <w:rPr>
                    <w:noProof/>
                    <w:webHidden/>
                  </w:rPr>
                  <w:fldChar w:fldCharType="begin"/>
                </w:r>
                <w:r>
                  <w:rPr>
                    <w:noProof/>
                    <w:webHidden/>
                  </w:rPr>
                  <w:instrText xml:space="preserve"> PAGEREF _Toc185589241 \h </w:instrText>
                </w:r>
                <w:r>
                  <w:rPr>
                    <w:noProof/>
                    <w:webHidden/>
                  </w:rPr>
                </w:r>
                <w:r>
                  <w:rPr>
                    <w:noProof/>
                    <w:webHidden/>
                  </w:rPr>
                  <w:fldChar w:fldCharType="separate"/>
                </w:r>
                <w:r>
                  <w:rPr>
                    <w:noProof/>
                    <w:webHidden/>
                  </w:rPr>
                  <w:t>24</w:t>
                </w:r>
                <w:r>
                  <w:rPr>
                    <w:noProof/>
                    <w:webHidden/>
                  </w:rPr>
                  <w:fldChar w:fldCharType="end"/>
                </w:r>
              </w:hyperlink>
            </w:p>
            <w:p w14:paraId="78B901B0" w14:textId="0750D8EA" w:rsidR="00531E53" w:rsidRDefault="00531E53">
              <w:pPr>
                <w:pStyle w:val="TOC2"/>
                <w:tabs>
                  <w:tab w:val="right" w:leader="dot" w:pos="9016"/>
                </w:tabs>
                <w:rPr>
                  <w:rFonts w:eastAsiaTheme="minorEastAsia" w:cstheme="minorBidi"/>
                  <w:b w:val="0"/>
                  <w:bCs w:val="0"/>
                  <w:noProof/>
                  <w:sz w:val="24"/>
                  <w:szCs w:val="24"/>
                  <w:lang w:eastAsia="en-AU"/>
                </w:rPr>
              </w:pPr>
              <w:hyperlink w:anchor="_Toc185589242" w:history="1">
                <w:r w:rsidRPr="00CF62CE">
                  <w:rPr>
                    <w:rStyle w:val="Hyperlink"/>
                    <w:noProof/>
                  </w:rPr>
                  <w:t>Grants of financial assistance to support medical research and medical innovation</w:t>
                </w:r>
                <w:r>
                  <w:rPr>
                    <w:noProof/>
                    <w:webHidden/>
                  </w:rPr>
                  <w:tab/>
                </w:r>
                <w:r>
                  <w:rPr>
                    <w:noProof/>
                    <w:webHidden/>
                  </w:rPr>
                  <w:fldChar w:fldCharType="begin"/>
                </w:r>
                <w:r>
                  <w:rPr>
                    <w:noProof/>
                    <w:webHidden/>
                  </w:rPr>
                  <w:instrText xml:space="preserve"> PAGEREF _Toc185589242 \h </w:instrText>
                </w:r>
                <w:r>
                  <w:rPr>
                    <w:noProof/>
                    <w:webHidden/>
                  </w:rPr>
                </w:r>
                <w:r>
                  <w:rPr>
                    <w:noProof/>
                    <w:webHidden/>
                  </w:rPr>
                  <w:fldChar w:fldCharType="separate"/>
                </w:r>
                <w:r>
                  <w:rPr>
                    <w:noProof/>
                    <w:webHidden/>
                  </w:rPr>
                  <w:t>25</w:t>
                </w:r>
                <w:r>
                  <w:rPr>
                    <w:noProof/>
                    <w:webHidden/>
                  </w:rPr>
                  <w:fldChar w:fldCharType="end"/>
                </w:r>
              </w:hyperlink>
            </w:p>
            <w:p w14:paraId="6C82C262" w14:textId="6F536B21" w:rsidR="00531E53" w:rsidRDefault="00531E53">
              <w:pPr>
                <w:pStyle w:val="TOC2"/>
                <w:tabs>
                  <w:tab w:val="right" w:leader="dot" w:pos="9016"/>
                </w:tabs>
                <w:rPr>
                  <w:rFonts w:eastAsiaTheme="minorEastAsia" w:cstheme="minorBidi"/>
                  <w:b w:val="0"/>
                  <w:bCs w:val="0"/>
                  <w:noProof/>
                  <w:sz w:val="24"/>
                  <w:szCs w:val="24"/>
                  <w:lang w:eastAsia="en-AU"/>
                </w:rPr>
              </w:pPr>
              <w:hyperlink w:anchor="_Toc185589243" w:history="1">
                <w:r w:rsidRPr="00CF62CE">
                  <w:rPr>
                    <w:rStyle w:val="Hyperlink"/>
                    <w:noProof/>
                  </w:rPr>
                  <w:t>Reviews of MRFF performance and impact</w:t>
                </w:r>
                <w:r>
                  <w:rPr>
                    <w:noProof/>
                    <w:webHidden/>
                  </w:rPr>
                  <w:tab/>
                </w:r>
                <w:r>
                  <w:rPr>
                    <w:noProof/>
                    <w:webHidden/>
                  </w:rPr>
                  <w:fldChar w:fldCharType="begin"/>
                </w:r>
                <w:r>
                  <w:rPr>
                    <w:noProof/>
                    <w:webHidden/>
                  </w:rPr>
                  <w:instrText xml:space="preserve"> PAGEREF _Toc185589243 \h </w:instrText>
                </w:r>
                <w:r>
                  <w:rPr>
                    <w:noProof/>
                    <w:webHidden/>
                  </w:rPr>
                </w:r>
                <w:r>
                  <w:rPr>
                    <w:noProof/>
                    <w:webHidden/>
                  </w:rPr>
                  <w:fldChar w:fldCharType="separate"/>
                </w:r>
                <w:r>
                  <w:rPr>
                    <w:noProof/>
                    <w:webHidden/>
                  </w:rPr>
                  <w:t>27</w:t>
                </w:r>
                <w:r>
                  <w:rPr>
                    <w:noProof/>
                    <w:webHidden/>
                  </w:rPr>
                  <w:fldChar w:fldCharType="end"/>
                </w:r>
              </w:hyperlink>
            </w:p>
            <w:p w14:paraId="6F6816C5" w14:textId="58A854B0"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44" w:history="1">
                <w:r w:rsidRPr="00CF62CE">
                  <w:rPr>
                    <w:rStyle w:val="Hyperlink"/>
                    <w:noProof/>
                  </w:rPr>
                  <w:t>Impact of MRFF on financial assistance for medical research and medical innovation</w:t>
                </w:r>
                <w:r>
                  <w:rPr>
                    <w:noProof/>
                    <w:webHidden/>
                  </w:rPr>
                  <w:tab/>
                </w:r>
                <w:r>
                  <w:rPr>
                    <w:noProof/>
                    <w:webHidden/>
                  </w:rPr>
                  <w:fldChar w:fldCharType="begin"/>
                </w:r>
                <w:r>
                  <w:rPr>
                    <w:noProof/>
                    <w:webHidden/>
                  </w:rPr>
                  <w:instrText xml:space="preserve"> PAGEREF _Toc185589244 \h </w:instrText>
                </w:r>
                <w:r>
                  <w:rPr>
                    <w:noProof/>
                    <w:webHidden/>
                  </w:rPr>
                </w:r>
                <w:r>
                  <w:rPr>
                    <w:noProof/>
                    <w:webHidden/>
                  </w:rPr>
                  <w:fldChar w:fldCharType="separate"/>
                </w:r>
                <w:r>
                  <w:rPr>
                    <w:noProof/>
                    <w:webHidden/>
                  </w:rPr>
                  <w:t>33</w:t>
                </w:r>
                <w:r>
                  <w:rPr>
                    <w:noProof/>
                    <w:webHidden/>
                  </w:rPr>
                  <w:fldChar w:fldCharType="end"/>
                </w:r>
              </w:hyperlink>
            </w:p>
            <w:p w14:paraId="073E766F" w14:textId="58F03EDA" w:rsidR="00531E53" w:rsidRDefault="00531E53">
              <w:pPr>
                <w:pStyle w:val="TOC2"/>
                <w:tabs>
                  <w:tab w:val="right" w:leader="dot" w:pos="9016"/>
                </w:tabs>
                <w:rPr>
                  <w:rFonts w:eastAsiaTheme="minorEastAsia" w:cstheme="minorBidi"/>
                  <w:b w:val="0"/>
                  <w:bCs w:val="0"/>
                  <w:noProof/>
                  <w:sz w:val="24"/>
                  <w:szCs w:val="24"/>
                  <w:lang w:eastAsia="en-AU"/>
                </w:rPr>
              </w:pPr>
              <w:hyperlink w:anchor="_Toc185589245" w:history="1">
                <w:r w:rsidRPr="00CF62CE">
                  <w:rPr>
                    <w:rStyle w:val="Hyperlink"/>
                    <w:noProof/>
                  </w:rPr>
                  <w:t>Role of MRFF in the Commonwealth’s health innovation ecosystem</w:t>
                </w:r>
                <w:r>
                  <w:rPr>
                    <w:noProof/>
                    <w:webHidden/>
                  </w:rPr>
                  <w:tab/>
                </w:r>
                <w:r>
                  <w:rPr>
                    <w:noProof/>
                    <w:webHidden/>
                  </w:rPr>
                  <w:fldChar w:fldCharType="begin"/>
                </w:r>
                <w:r>
                  <w:rPr>
                    <w:noProof/>
                    <w:webHidden/>
                  </w:rPr>
                  <w:instrText xml:space="preserve"> PAGEREF _Toc185589245 \h </w:instrText>
                </w:r>
                <w:r>
                  <w:rPr>
                    <w:noProof/>
                    <w:webHidden/>
                  </w:rPr>
                </w:r>
                <w:r>
                  <w:rPr>
                    <w:noProof/>
                    <w:webHidden/>
                  </w:rPr>
                  <w:fldChar w:fldCharType="separate"/>
                </w:r>
                <w:r>
                  <w:rPr>
                    <w:noProof/>
                    <w:webHidden/>
                  </w:rPr>
                  <w:t>34</w:t>
                </w:r>
                <w:r>
                  <w:rPr>
                    <w:noProof/>
                    <w:webHidden/>
                  </w:rPr>
                  <w:fldChar w:fldCharType="end"/>
                </w:r>
              </w:hyperlink>
            </w:p>
            <w:p w14:paraId="02524556" w14:textId="27DC437E" w:rsidR="00531E53" w:rsidRDefault="00531E53">
              <w:pPr>
                <w:pStyle w:val="TOC2"/>
                <w:tabs>
                  <w:tab w:val="right" w:leader="dot" w:pos="9016"/>
                </w:tabs>
                <w:rPr>
                  <w:rFonts w:eastAsiaTheme="minorEastAsia" w:cstheme="minorBidi"/>
                  <w:b w:val="0"/>
                  <w:bCs w:val="0"/>
                  <w:noProof/>
                  <w:sz w:val="24"/>
                  <w:szCs w:val="24"/>
                  <w:lang w:eastAsia="en-AU"/>
                </w:rPr>
              </w:pPr>
              <w:hyperlink w:anchor="_Toc185589246" w:history="1">
                <w:r w:rsidRPr="00CF62CE">
                  <w:rPr>
                    <w:rStyle w:val="Hyperlink"/>
                    <w:noProof/>
                  </w:rPr>
                  <w:t>MRFF and the NHMRC</w:t>
                </w:r>
                <w:r>
                  <w:rPr>
                    <w:noProof/>
                    <w:webHidden/>
                  </w:rPr>
                  <w:tab/>
                </w:r>
                <w:r>
                  <w:rPr>
                    <w:noProof/>
                    <w:webHidden/>
                  </w:rPr>
                  <w:fldChar w:fldCharType="begin"/>
                </w:r>
                <w:r>
                  <w:rPr>
                    <w:noProof/>
                    <w:webHidden/>
                  </w:rPr>
                  <w:instrText xml:space="preserve"> PAGEREF _Toc185589246 \h </w:instrText>
                </w:r>
                <w:r>
                  <w:rPr>
                    <w:noProof/>
                    <w:webHidden/>
                  </w:rPr>
                </w:r>
                <w:r>
                  <w:rPr>
                    <w:noProof/>
                    <w:webHidden/>
                  </w:rPr>
                  <w:fldChar w:fldCharType="separate"/>
                </w:r>
                <w:r>
                  <w:rPr>
                    <w:noProof/>
                    <w:webHidden/>
                  </w:rPr>
                  <w:t>34</w:t>
                </w:r>
                <w:r>
                  <w:rPr>
                    <w:noProof/>
                    <w:webHidden/>
                  </w:rPr>
                  <w:fldChar w:fldCharType="end"/>
                </w:r>
              </w:hyperlink>
            </w:p>
            <w:p w14:paraId="293AB2E2" w14:textId="70B833D0"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47" w:history="1">
                <w:r w:rsidRPr="00CF62CE">
                  <w:rPr>
                    <w:rStyle w:val="Hyperlink"/>
                    <w:noProof/>
                  </w:rPr>
                  <w:t>Governance and Reporting</w:t>
                </w:r>
                <w:r>
                  <w:rPr>
                    <w:noProof/>
                    <w:webHidden/>
                  </w:rPr>
                  <w:tab/>
                </w:r>
                <w:r>
                  <w:rPr>
                    <w:noProof/>
                    <w:webHidden/>
                  </w:rPr>
                  <w:fldChar w:fldCharType="begin"/>
                </w:r>
                <w:r>
                  <w:rPr>
                    <w:noProof/>
                    <w:webHidden/>
                  </w:rPr>
                  <w:instrText xml:space="preserve"> PAGEREF _Toc185589247 \h </w:instrText>
                </w:r>
                <w:r>
                  <w:rPr>
                    <w:noProof/>
                    <w:webHidden/>
                  </w:rPr>
                </w:r>
                <w:r>
                  <w:rPr>
                    <w:noProof/>
                    <w:webHidden/>
                  </w:rPr>
                  <w:fldChar w:fldCharType="separate"/>
                </w:r>
                <w:r>
                  <w:rPr>
                    <w:noProof/>
                    <w:webHidden/>
                  </w:rPr>
                  <w:t>35</w:t>
                </w:r>
                <w:r>
                  <w:rPr>
                    <w:noProof/>
                    <w:webHidden/>
                  </w:rPr>
                  <w:fldChar w:fldCharType="end"/>
                </w:r>
              </w:hyperlink>
            </w:p>
            <w:p w14:paraId="4BED5C3F" w14:textId="1E934329" w:rsidR="00531E53" w:rsidRDefault="00531E53">
              <w:pPr>
                <w:pStyle w:val="TOC2"/>
                <w:tabs>
                  <w:tab w:val="right" w:leader="dot" w:pos="9016"/>
                </w:tabs>
                <w:rPr>
                  <w:rFonts w:eastAsiaTheme="minorEastAsia" w:cstheme="minorBidi"/>
                  <w:b w:val="0"/>
                  <w:bCs w:val="0"/>
                  <w:noProof/>
                  <w:sz w:val="24"/>
                  <w:szCs w:val="24"/>
                  <w:lang w:eastAsia="en-AU"/>
                </w:rPr>
              </w:pPr>
              <w:hyperlink w:anchor="_Toc185589248" w:history="1">
                <w:r w:rsidRPr="00CF62CE">
                  <w:rPr>
                    <w:rStyle w:val="Hyperlink"/>
                    <w:noProof/>
                  </w:rPr>
                  <w:t>Investment Fund Governance and Reporting</w:t>
                </w:r>
                <w:r>
                  <w:rPr>
                    <w:noProof/>
                    <w:webHidden/>
                  </w:rPr>
                  <w:tab/>
                </w:r>
                <w:r>
                  <w:rPr>
                    <w:noProof/>
                    <w:webHidden/>
                  </w:rPr>
                  <w:fldChar w:fldCharType="begin"/>
                </w:r>
                <w:r>
                  <w:rPr>
                    <w:noProof/>
                    <w:webHidden/>
                  </w:rPr>
                  <w:instrText xml:space="preserve"> PAGEREF _Toc185589248 \h </w:instrText>
                </w:r>
                <w:r>
                  <w:rPr>
                    <w:noProof/>
                    <w:webHidden/>
                  </w:rPr>
                </w:r>
                <w:r>
                  <w:rPr>
                    <w:noProof/>
                    <w:webHidden/>
                  </w:rPr>
                  <w:fldChar w:fldCharType="separate"/>
                </w:r>
                <w:r>
                  <w:rPr>
                    <w:noProof/>
                    <w:webHidden/>
                  </w:rPr>
                  <w:t>35</w:t>
                </w:r>
                <w:r>
                  <w:rPr>
                    <w:noProof/>
                    <w:webHidden/>
                  </w:rPr>
                  <w:fldChar w:fldCharType="end"/>
                </w:r>
              </w:hyperlink>
            </w:p>
            <w:p w14:paraId="6BF8CD0D" w14:textId="7838045E" w:rsidR="00531E53" w:rsidRDefault="00531E53">
              <w:pPr>
                <w:pStyle w:val="TOC2"/>
                <w:tabs>
                  <w:tab w:val="right" w:leader="dot" w:pos="9016"/>
                </w:tabs>
                <w:rPr>
                  <w:rFonts w:eastAsiaTheme="minorEastAsia" w:cstheme="minorBidi"/>
                  <w:b w:val="0"/>
                  <w:bCs w:val="0"/>
                  <w:noProof/>
                  <w:sz w:val="24"/>
                  <w:szCs w:val="24"/>
                  <w:lang w:eastAsia="en-AU"/>
                </w:rPr>
              </w:pPr>
              <w:hyperlink w:anchor="_Toc185589249" w:history="1">
                <w:r w:rsidRPr="00CF62CE">
                  <w:rPr>
                    <w:rStyle w:val="Hyperlink"/>
                    <w:noProof/>
                  </w:rPr>
                  <w:t>MRFF Grant Program Governance and Reporting</w:t>
                </w:r>
                <w:r>
                  <w:rPr>
                    <w:noProof/>
                    <w:webHidden/>
                  </w:rPr>
                  <w:tab/>
                </w:r>
                <w:r>
                  <w:rPr>
                    <w:noProof/>
                    <w:webHidden/>
                  </w:rPr>
                  <w:fldChar w:fldCharType="begin"/>
                </w:r>
                <w:r>
                  <w:rPr>
                    <w:noProof/>
                    <w:webHidden/>
                  </w:rPr>
                  <w:instrText xml:space="preserve"> PAGEREF _Toc185589249 \h </w:instrText>
                </w:r>
                <w:r>
                  <w:rPr>
                    <w:noProof/>
                    <w:webHidden/>
                  </w:rPr>
                </w:r>
                <w:r>
                  <w:rPr>
                    <w:noProof/>
                    <w:webHidden/>
                  </w:rPr>
                  <w:fldChar w:fldCharType="separate"/>
                </w:r>
                <w:r>
                  <w:rPr>
                    <w:noProof/>
                    <w:webHidden/>
                  </w:rPr>
                  <w:t>37</w:t>
                </w:r>
                <w:r>
                  <w:rPr>
                    <w:noProof/>
                    <w:webHidden/>
                  </w:rPr>
                  <w:fldChar w:fldCharType="end"/>
                </w:r>
              </w:hyperlink>
            </w:p>
            <w:p w14:paraId="42DF68B4" w14:textId="285F7AC8" w:rsidR="00531E53" w:rsidRDefault="00531E53">
              <w:pPr>
                <w:pStyle w:val="TOC2"/>
                <w:tabs>
                  <w:tab w:val="right" w:leader="dot" w:pos="9016"/>
                </w:tabs>
                <w:rPr>
                  <w:rFonts w:eastAsiaTheme="minorEastAsia" w:cstheme="minorBidi"/>
                  <w:b w:val="0"/>
                  <w:bCs w:val="0"/>
                  <w:noProof/>
                  <w:sz w:val="24"/>
                  <w:szCs w:val="24"/>
                  <w:lang w:eastAsia="en-AU"/>
                </w:rPr>
              </w:pPr>
              <w:hyperlink w:anchor="_Toc185589250" w:history="1">
                <w:r w:rsidRPr="00CF62CE">
                  <w:rPr>
                    <w:rStyle w:val="Hyperlink"/>
                    <w:noProof/>
                  </w:rPr>
                  <w:t>Future reviews of the MRFF Act</w:t>
                </w:r>
                <w:r>
                  <w:rPr>
                    <w:noProof/>
                    <w:webHidden/>
                  </w:rPr>
                  <w:tab/>
                </w:r>
                <w:r>
                  <w:rPr>
                    <w:noProof/>
                    <w:webHidden/>
                  </w:rPr>
                  <w:fldChar w:fldCharType="begin"/>
                </w:r>
                <w:r>
                  <w:rPr>
                    <w:noProof/>
                    <w:webHidden/>
                  </w:rPr>
                  <w:instrText xml:space="preserve"> PAGEREF _Toc185589250 \h </w:instrText>
                </w:r>
                <w:r>
                  <w:rPr>
                    <w:noProof/>
                    <w:webHidden/>
                  </w:rPr>
                </w:r>
                <w:r>
                  <w:rPr>
                    <w:noProof/>
                    <w:webHidden/>
                  </w:rPr>
                  <w:fldChar w:fldCharType="separate"/>
                </w:r>
                <w:r>
                  <w:rPr>
                    <w:noProof/>
                    <w:webHidden/>
                  </w:rPr>
                  <w:t>38</w:t>
                </w:r>
                <w:r>
                  <w:rPr>
                    <w:noProof/>
                    <w:webHidden/>
                  </w:rPr>
                  <w:fldChar w:fldCharType="end"/>
                </w:r>
              </w:hyperlink>
            </w:p>
            <w:p w14:paraId="0FC09A55" w14:textId="56D3CB6C"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51" w:history="1">
                <w:r w:rsidRPr="00CF62CE">
                  <w:rPr>
                    <w:rStyle w:val="Hyperlink"/>
                    <w:noProof/>
                  </w:rPr>
                  <w:t>The MRFF as an Australian Government Investment Fund</w:t>
                </w:r>
                <w:r>
                  <w:rPr>
                    <w:noProof/>
                    <w:webHidden/>
                  </w:rPr>
                  <w:tab/>
                </w:r>
                <w:r>
                  <w:rPr>
                    <w:noProof/>
                    <w:webHidden/>
                  </w:rPr>
                  <w:fldChar w:fldCharType="begin"/>
                </w:r>
                <w:r>
                  <w:rPr>
                    <w:noProof/>
                    <w:webHidden/>
                  </w:rPr>
                  <w:instrText xml:space="preserve"> PAGEREF _Toc185589251 \h </w:instrText>
                </w:r>
                <w:r>
                  <w:rPr>
                    <w:noProof/>
                    <w:webHidden/>
                  </w:rPr>
                </w:r>
                <w:r>
                  <w:rPr>
                    <w:noProof/>
                    <w:webHidden/>
                  </w:rPr>
                  <w:fldChar w:fldCharType="separate"/>
                </w:r>
                <w:r>
                  <w:rPr>
                    <w:noProof/>
                    <w:webHidden/>
                  </w:rPr>
                  <w:t>39</w:t>
                </w:r>
                <w:r>
                  <w:rPr>
                    <w:noProof/>
                    <w:webHidden/>
                  </w:rPr>
                  <w:fldChar w:fldCharType="end"/>
                </w:r>
              </w:hyperlink>
            </w:p>
            <w:p w14:paraId="6AED79A8" w14:textId="074608FB" w:rsidR="00531E53" w:rsidRDefault="00531E53">
              <w:pPr>
                <w:pStyle w:val="TOC2"/>
                <w:tabs>
                  <w:tab w:val="right" w:leader="dot" w:pos="9016"/>
                </w:tabs>
                <w:rPr>
                  <w:rFonts w:eastAsiaTheme="minorEastAsia" w:cstheme="minorBidi"/>
                  <w:b w:val="0"/>
                  <w:bCs w:val="0"/>
                  <w:noProof/>
                  <w:sz w:val="24"/>
                  <w:szCs w:val="24"/>
                  <w:lang w:eastAsia="en-AU"/>
                </w:rPr>
              </w:pPr>
              <w:hyperlink w:anchor="_Toc185589252" w:history="1">
                <w:r w:rsidRPr="00CF62CE">
                  <w:rPr>
                    <w:rStyle w:val="Hyperlink"/>
                    <w:noProof/>
                  </w:rPr>
                  <w:t>Australian Government Investment Fund Principles</w:t>
                </w:r>
                <w:r>
                  <w:rPr>
                    <w:noProof/>
                    <w:webHidden/>
                  </w:rPr>
                  <w:tab/>
                </w:r>
                <w:r>
                  <w:rPr>
                    <w:noProof/>
                    <w:webHidden/>
                  </w:rPr>
                  <w:fldChar w:fldCharType="begin"/>
                </w:r>
                <w:r>
                  <w:rPr>
                    <w:noProof/>
                    <w:webHidden/>
                  </w:rPr>
                  <w:instrText xml:space="preserve"> PAGEREF _Toc185589252 \h </w:instrText>
                </w:r>
                <w:r>
                  <w:rPr>
                    <w:noProof/>
                    <w:webHidden/>
                  </w:rPr>
                </w:r>
                <w:r>
                  <w:rPr>
                    <w:noProof/>
                    <w:webHidden/>
                  </w:rPr>
                  <w:fldChar w:fldCharType="separate"/>
                </w:r>
                <w:r>
                  <w:rPr>
                    <w:noProof/>
                    <w:webHidden/>
                  </w:rPr>
                  <w:t>39</w:t>
                </w:r>
                <w:r>
                  <w:rPr>
                    <w:noProof/>
                    <w:webHidden/>
                  </w:rPr>
                  <w:fldChar w:fldCharType="end"/>
                </w:r>
              </w:hyperlink>
            </w:p>
            <w:p w14:paraId="33610683" w14:textId="1AAE305F" w:rsidR="00531E53" w:rsidRDefault="00531E53">
              <w:pPr>
                <w:pStyle w:val="TOC2"/>
                <w:tabs>
                  <w:tab w:val="right" w:leader="dot" w:pos="9016"/>
                </w:tabs>
                <w:rPr>
                  <w:rFonts w:eastAsiaTheme="minorEastAsia" w:cstheme="minorBidi"/>
                  <w:b w:val="0"/>
                  <w:bCs w:val="0"/>
                  <w:noProof/>
                  <w:sz w:val="24"/>
                  <w:szCs w:val="24"/>
                  <w:lang w:eastAsia="en-AU"/>
                </w:rPr>
              </w:pPr>
              <w:hyperlink w:anchor="_Toc185589253" w:history="1">
                <w:r w:rsidRPr="00CF62CE">
                  <w:rPr>
                    <w:rStyle w:val="Hyperlink"/>
                    <w:noProof/>
                  </w:rPr>
                  <w:t>Alternative options for funding health research grants</w:t>
                </w:r>
                <w:r>
                  <w:rPr>
                    <w:noProof/>
                    <w:webHidden/>
                  </w:rPr>
                  <w:tab/>
                </w:r>
                <w:r>
                  <w:rPr>
                    <w:noProof/>
                    <w:webHidden/>
                  </w:rPr>
                  <w:fldChar w:fldCharType="begin"/>
                </w:r>
                <w:r>
                  <w:rPr>
                    <w:noProof/>
                    <w:webHidden/>
                  </w:rPr>
                  <w:instrText xml:space="preserve"> PAGEREF _Toc185589253 \h </w:instrText>
                </w:r>
                <w:r>
                  <w:rPr>
                    <w:noProof/>
                    <w:webHidden/>
                  </w:rPr>
                </w:r>
                <w:r>
                  <w:rPr>
                    <w:noProof/>
                    <w:webHidden/>
                  </w:rPr>
                  <w:fldChar w:fldCharType="separate"/>
                </w:r>
                <w:r>
                  <w:rPr>
                    <w:noProof/>
                    <w:webHidden/>
                  </w:rPr>
                  <w:t>41</w:t>
                </w:r>
                <w:r>
                  <w:rPr>
                    <w:noProof/>
                    <w:webHidden/>
                  </w:rPr>
                  <w:fldChar w:fldCharType="end"/>
                </w:r>
              </w:hyperlink>
            </w:p>
            <w:p w14:paraId="2C439965" w14:textId="401BD78B"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54" w:history="1">
                <w:r w:rsidRPr="00CF62CE">
                  <w:rPr>
                    <w:rStyle w:val="Hyperlink"/>
                    <w:noProof/>
                  </w:rPr>
                  <w:t>Appendix A: MRFF evaluations, reviews and reports</w:t>
                </w:r>
                <w:r>
                  <w:rPr>
                    <w:noProof/>
                    <w:webHidden/>
                  </w:rPr>
                  <w:tab/>
                </w:r>
                <w:r>
                  <w:rPr>
                    <w:noProof/>
                    <w:webHidden/>
                  </w:rPr>
                  <w:fldChar w:fldCharType="begin"/>
                </w:r>
                <w:r>
                  <w:rPr>
                    <w:noProof/>
                    <w:webHidden/>
                  </w:rPr>
                  <w:instrText xml:space="preserve"> PAGEREF _Toc185589254 \h </w:instrText>
                </w:r>
                <w:r>
                  <w:rPr>
                    <w:noProof/>
                    <w:webHidden/>
                  </w:rPr>
                </w:r>
                <w:r>
                  <w:rPr>
                    <w:noProof/>
                    <w:webHidden/>
                  </w:rPr>
                  <w:fldChar w:fldCharType="separate"/>
                </w:r>
                <w:r>
                  <w:rPr>
                    <w:noProof/>
                    <w:webHidden/>
                  </w:rPr>
                  <w:t>44</w:t>
                </w:r>
                <w:r>
                  <w:rPr>
                    <w:noProof/>
                    <w:webHidden/>
                  </w:rPr>
                  <w:fldChar w:fldCharType="end"/>
                </w:r>
              </w:hyperlink>
            </w:p>
            <w:p w14:paraId="38608E4F" w14:textId="02CD266D" w:rsidR="00531E53" w:rsidRDefault="00531E53">
              <w:pPr>
                <w:pStyle w:val="TOC1"/>
                <w:tabs>
                  <w:tab w:val="right" w:leader="dot" w:pos="9016"/>
                </w:tabs>
                <w:rPr>
                  <w:rFonts w:asciiTheme="minorHAnsi" w:eastAsiaTheme="minorEastAsia" w:hAnsiTheme="minorHAnsi" w:cstheme="minorBidi"/>
                  <w:b w:val="0"/>
                  <w:bCs w:val="0"/>
                  <w:caps w:val="0"/>
                  <w:noProof/>
                  <w:lang w:eastAsia="en-AU"/>
                </w:rPr>
              </w:pPr>
              <w:hyperlink w:anchor="_Toc185589255" w:history="1">
                <w:r w:rsidRPr="00CF62CE">
                  <w:rPr>
                    <w:rStyle w:val="Hyperlink"/>
                    <w:noProof/>
                  </w:rPr>
                  <w:t>Appendix B: Work to improve alignment and coordination of the MRFF and MREA</w:t>
                </w:r>
                <w:r>
                  <w:rPr>
                    <w:noProof/>
                    <w:webHidden/>
                  </w:rPr>
                  <w:tab/>
                </w:r>
                <w:r>
                  <w:rPr>
                    <w:noProof/>
                    <w:webHidden/>
                  </w:rPr>
                  <w:fldChar w:fldCharType="begin"/>
                </w:r>
                <w:r>
                  <w:rPr>
                    <w:noProof/>
                    <w:webHidden/>
                  </w:rPr>
                  <w:instrText xml:space="preserve"> PAGEREF _Toc185589255 \h </w:instrText>
                </w:r>
                <w:r>
                  <w:rPr>
                    <w:noProof/>
                    <w:webHidden/>
                  </w:rPr>
                </w:r>
                <w:r>
                  <w:rPr>
                    <w:noProof/>
                    <w:webHidden/>
                  </w:rPr>
                  <w:fldChar w:fldCharType="separate"/>
                </w:r>
                <w:r>
                  <w:rPr>
                    <w:noProof/>
                    <w:webHidden/>
                  </w:rPr>
                  <w:t>51</w:t>
                </w:r>
                <w:r>
                  <w:rPr>
                    <w:noProof/>
                    <w:webHidden/>
                  </w:rPr>
                  <w:fldChar w:fldCharType="end"/>
                </w:r>
              </w:hyperlink>
            </w:p>
            <w:p w14:paraId="7D3F91CE" w14:textId="7929D91B" w:rsidR="005B31AB" w:rsidRDefault="005B31AB" w:rsidP="00593EA2">
              <w:r>
                <w:rPr>
                  <w:rFonts w:asciiTheme="majorHAnsi" w:hAnsiTheme="majorHAnsi" w:cstheme="majorHAnsi"/>
                  <w:b/>
                  <w:bCs/>
                  <w:caps/>
                  <w:sz w:val="24"/>
                  <w:szCs w:val="24"/>
                </w:rPr>
                <w:fldChar w:fldCharType="end"/>
              </w:r>
            </w:p>
          </w:sdtContent>
        </w:sdt>
      </w:sdtContent>
    </w:sdt>
    <w:p w14:paraId="0AC97843" w14:textId="77777777" w:rsidR="005B31AB" w:rsidRDefault="005B31AB" w:rsidP="005B31AB">
      <w:pPr>
        <w:rPr>
          <w:rFonts w:eastAsiaTheme="minorEastAsia"/>
          <w:b/>
          <w:bCs/>
          <w:spacing w:val="15"/>
          <w:sz w:val="32"/>
          <w:szCs w:val="32"/>
        </w:rPr>
      </w:pPr>
      <w:r>
        <w:rPr>
          <w:b/>
          <w:bCs/>
          <w:sz w:val="32"/>
          <w:szCs w:val="32"/>
        </w:rPr>
        <w:br w:type="page"/>
      </w:r>
    </w:p>
    <w:p w14:paraId="6E174F85" w14:textId="77777777" w:rsidR="005B31AB" w:rsidRDefault="005B31AB" w:rsidP="005B31AB">
      <w:pPr>
        <w:pStyle w:val="Heading1"/>
        <w:spacing w:after="120"/>
      </w:pPr>
      <w:bookmarkStart w:id="0" w:name="_Toc185589226"/>
      <w:r>
        <w:lastRenderedPageBreak/>
        <w:t>Terms of Reference</w:t>
      </w:r>
      <w:bookmarkEnd w:id="0"/>
    </w:p>
    <w:p w14:paraId="0F528F77" w14:textId="77777777" w:rsidR="005B31AB" w:rsidRPr="00BF645B" w:rsidRDefault="005B31AB" w:rsidP="005B31AB">
      <w:pPr>
        <w:pStyle w:val="Heading2"/>
        <w:spacing w:after="240"/>
        <w:rPr>
          <w:rFonts w:eastAsiaTheme="minorHAnsi"/>
        </w:rPr>
      </w:pPr>
      <w:bookmarkStart w:id="1" w:name="_Toc185589227"/>
      <w:r w:rsidRPr="00BF645B">
        <w:rPr>
          <w:rFonts w:eastAsiaTheme="minorHAnsi"/>
        </w:rPr>
        <w:t>Purpose, context and background</w:t>
      </w:r>
      <w:bookmarkEnd w:id="1"/>
    </w:p>
    <w:p w14:paraId="6D567C4E" w14:textId="77777777" w:rsidR="005B31AB" w:rsidRDefault="005B31AB" w:rsidP="005B31AB">
      <w:pPr>
        <w:rPr>
          <w:lang w:eastAsia="en-AU"/>
        </w:rPr>
      </w:pPr>
      <w:r>
        <w:rPr>
          <w:lang w:eastAsia="en-AU"/>
        </w:rPr>
        <w:t xml:space="preserve">The Hon Dr Jim Chalmers MP, Treasurer, and Senator the Hon Katy Gallagher, Minister for Finance (as responsible Ministers), are required to cause a review of the Medical Research Future Fund (MRFF) in accordance with section 62 of the </w:t>
      </w:r>
      <w:r w:rsidRPr="00A447A5">
        <w:rPr>
          <w:i/>
          <w:iCs/>
          <w:lang w:eastAsia="en-AU"/>
        </w:rPr>
        <w:t>Medical Research Future Fund Act 2015</w:t>
      </w:r>
      <w:r>
        <w:rPr>
          <w:lang w:eastAsia="en-AU"/>
        </w:rPr>
        <w:t xml:space="preserve"> (the MRFF Act). The responsible Ministers have agreed that the review is to be undertaken </w:t>
      </w:r>
      <w:r w:rsidRPr="00395770">
        <w:rPr>
          <w:lang w:eastAsia="en-AU"/>
        </w:rPr>
        <w:t xml:space="preserve">by </w:t>
      </w:r>
      <w:r w:rsidRPr="009138EF">
        <w:rPr>
          <w:lang w:eastAsia="en-AU"/>
        </w:rPr>
        <w:t>31 December 2024</w:t>
      </w:r>
      <w:r w:rsidRPr="00395770">
        <w:rPr>
          <w:lang w:eastAsia="en-AU"/>
        </w:rPr>
        <w:t>,</w:t>
      </w:r>
      <w:r>
        <w:rPr>
          <w:lang w:eastAsia="en-AU"/>
        </w:rPr>
        <w:t xml:space="preserve"> consistent with paragraph 62(1)(b) of the MRFF Act. This date </w:t>
      </w:r>
      <w:r w:rsidRPr="00037147">
        <w:t>allow</w:t>
      </w:r>
      <w:r>
        <w:t xml:space="preserve">s </w:t>
      </w:r>
      <w:r w:rsidRPr="00037147">
        <w:t xml:space="preserve">the government to consider the outcomes of national consultations on improving the alignment and coordination of the </w:t>
      </w:r>
      <w:r>
        <w:t>National Health and Medical Research Council’s (NHMRC)</w:t>
      </w:r>
      <w:r w:rsidRPr="00037147">
        <w:t xml:space="preserve"> </w:t>
      </w:r>
      <w:r>
        <w:t>Medical Research Endowment Account (</w:t>
      </w:r>
      <w:r w:rsidRPr="00037147">
        <w:t>MREA</w:t>
      </w:r>
      <w:r>
        <w:t>)</w:t>
      </w:r>
      <w:r w:rsidRPr="00037147">
        <w:t xml:space="preserve"> and the MRFF</w:t>
      </w:r>
      <w:r>
        <w:t>.</w:t>
      </w:r>
      <w:r>
        <w:rPr>
          <w:rStyle w:val="FootnoteReference"/>
          <w:lang w:eastAsia="en-AU"/>
        </w:rPr>
        <w:t xml:space="preserve"> </w:t>
      </w:r>
    </w:p>
    <w:p w14:paraId="29EB9F65" w14:textId="77777777" w:rsidR="005B31AB" w:rsidRDefault="005B31AB" w:rsidP="005B31AB">
      <w:pPr>
        <w:rPr>
          <w:lang w:eastAsia="en-AU"/>
        </w:rPr>
      </w:pPr>
      <w:r>
        <w:rPr>
          <w:lang w:eastAsia="en-AU"/>
        </w:rPr>
        <w:t>The MRFF was established in 2015 to improve the health and wellbeing of Australians through grants of financial assistance to support medical research and medical innovation. The MRFF operates as an Australian Government Investment Fund (AGIF). The capital of the MRFF is invested by the Future Fund Board of Guardians (Future Fund Board) and the earnings are used to make grants of financial assistance for medical research and medical innovation over the long term.</w:t>
      </w:r>
    </w:p>
    <w:p w14:paraId="4F4E9E43" w14:textId="77777777" w:rsidR="005B31AB" w:rsidRDefault="005B31AB" w:rsidP="005B31AB">
      <w:pPr>
        <w:rPr>
          <w:lang w:eastAsia="en-AU"/>
        </w:rPr>
      </w:pPr>
      <w:r>
        <w:rPr>
          <w:lang w:eastAsia="en-AU"/>
        </w:rPr>
        <w:t>The Hon Mark Butler MP, Minister for Health and Aged Care, and the Hon Ged Kearney MP, Assistant Minister for Health and Aged Care, are considering opportunities for improving coordination and alignment between the spending governance and administration of the MRFF and National health and Medical Research Council’s (NHMRC) Medical Research Endowment Account (MREA). A separate process via a national consultation in June and July 2023 captured views from stakeholders. This feedback has informed this review.</w:t>
      </w:r>
    </w:p>
    <w:p w14:paraId="161A4F80" w14:textId="77777777" w:rsidR="005B31AB" w:rsidRPr="00BF645B" w:rsidRDefault="005B31AB" w:rsidP="005B31AB">
      <w:pPr>
        <w:pStyle w:val="Heading2"/>
        <w:spacing w:after="240"/>
        <w:rPr>
          <w:rFonts w:eastAsiaTheme="minorHAnsi"/>
        </w:rPr>
      </w:pPr>
      <w:bookmarkStart w:id="2" w:name="_Toc185589228"/>
      <w:r w:rsidRPr="0003767E">
        <w:rPr>
          <w:rFonts w:eastAsiaTheme="minorHAnsi"/>
        </w:rPr>
        <w:t>Scope of the review</w:t>
      </w:r>
      <w:bookmarkEnd w:id="2"/>
    </w:p>
    <w:p w14:paraId="0A68AF34" w14:textId="77777777" w:rsidR="005B31AB" w:rsidRDefault="005B31AB" w:rsidP="005B31AB">
      <w:pPr>
        <w:rPr>
          <w:lang w:eastAsia="en-AU"/>
        </w:rPr>
      </w:pPr>
      <w:r>
        <w:rPr>
          <w:lang w:eastAsia="en-AU"/>
        </w:rPr>
        <w:t>The review focuses on the object of the MRFF Act, which is to improve the health and wellbeing of Australians through grants of financial assistance to support medical research and medical innovation.</w:t>
      </w:r>
    </w:p>
    <w:p w14:paraId="6D161F3A" w14:textId="77777777" w:rsidR="005B31AB" w:rsidRDefault="005B31AB" w:rsidP="005B31AB">
      <w:pPr>
        <w:rPr>
          <w:lang w:eastAsia="en-AU"/>
        </w:rPr>
      </w:pPr>
      <w:r w:rsidRPr="44E12DBE">
        <w:rPr>
          <w:lang w:eastAsia="en-AU"/>
        </w:rPr>
        <w:t>Th</w:t>
      </w:r>
      <w:r>
        <w:rPr>
          <w:lang w:eastAsia="en-AU"/>
        </w:rPr>
        <w:t>e</w:t>
      </w:r>
      <w:r w:rsidRPr="44E12DBE">
        <w:rPr>
          <w:lang w:eastAsia="en-AU"/>
        </w:rPr>
        <w:t xml:space="preserve"> review </w:t>
      </w:r>
      <w:r>
        <w:rPr>
          <w:lang w:eastAsia="en-AU"/>
        </w:rPr>
        <w:t>was</w:t>
      </w:r>
      <w:r w:rsidRPr="44E12DBE">
        <w:rPr>
          <w:lang w:eastAsia="en-AU"/>
        </w:rPr>
        <w:t xml:space="preserve"> managed jointly by the Treasury and the Departments of Finance and Health and Aged Care.</w:t>
      </w:r>
    </w:p>
    <w:p w14:paraId="04B8DCE6" w14:textId="77777777" w:rsidR="005B31AB" w:rsidRDefault="005B31AB" w:rsidP="005B31AB">
      <w:pPr>
        <w:rPr>
          <w:lang w:eastAsia="en-AU"/>
        </w:rPr>
      </w:pPr>
      <w:r>
        <w:rPr>
          <w:lang w:eastAsia="en-AU"/>
        </w:rPr>
        <w:t>As required by subsection 62(1) of the MRFF Act, the review involves a consideration of the substantive provisions of the MRFF Act, including those in relation to:</w:t>
      </w:r>
    </w:p>
    <w:p w14:paraId="42FF1B87" w14:textId="77777777" w:rsidR="005B31AB" w:rsidRPr="0050155E" w:rsidRDefault="005B31AB" w:rsidP="00A213D2">
      <w:pPr>
        <w:pStyle w:val="List"/>
      </w:pPr>
      <w:r w:rsidRPr="00D429D2">
        <w:t xml:space="preserve">the </w:t>
      </w:r>
      <w:r w:rsidRPr="0050155E">
        <w:t>establishment and operation of the Special Accounts,</w:t>
      </w:r>
    </w:p>
    <w:p w14:paraId="4FCFD7D1" w14:textId="77777777" w:rsidR="005B31AB" w:rsidRPr="0050155E" w:rsidRDefault="005B31AB" w:rsidP="00A213D2">
      <w:pPr>
        <w:pStyle w:val="List"/>
      </w:pPr>
      <w:r w:rsidRPr="0050155E">
        <w:t>the process of the transfer of MRFF funds, and</w:t>
      </w:r>
    </w:p>
    <w:p w14:paraId="73975B98" w14:textId="77777777" w:rsidR="005B31AB" w:rsidRPr="0050155E" w:rsidRDefault="005B31AB" w:rsidP="00A213D2">
      <w:pPr>
        <w:pStyle w:val="List"/>
      </w:pPr>
      <w:r w:rsidRPr="0050155E">
        <w:t>reporting and governance.</w:t>
      </w:r>
    </w:p>
    <w:p w14:paraId="10A1BAED" w14:textId="77777777" w:rsidR="005B31AB" w:rsidRPr="002A051F" w:rsidRDefault="005B31AB" w:rsidP="005B31AB">
      <w:pPr>
        <w:keepNext/>
        <w:keepLines/>
        <w:rPr>
          <w:rFonts w:cstheme="minorHAnsi"/>
        </w:rPr>
      </w:pPr>
      <w:r>
        <w:t xml:space="preserve">As required by subsection 62(2) of the MRFF Act, the review considers </w:t>
      </w:r>
      <w:r w:rsidRPr="002A051F">
        <w:rPr>
          <w:rFonts w:cstheme="minorHAnsi"/>
          <w:color w:val="000000"/>
        </w:rPr>
        <w:t>whether</w:t>
      </w:r>
      <w:r>
        <w:rPr>
          <w:rFonts w:cstheme="minorHAnsi"/>
          <w:color w:val="000000"/>
        </w:rPr>
        <w:t xml:space="preserve"> </w:t>
      </w:r>
      <w:r w:rsidRPr="002A051F">
        <w:rPr>
          <w:rFonts w:cstheme="minorHAnsi"/>
          <w:color w:val="000000"/>
        </w:rPr>
        <w:t>financial assistance provided under</w:t>
      </w:r>
      <w:r>
        <w:rPr>
          <w:rFonts w:cstheme="minorHAnsi"/>
          <w:color w:val="000000"/>
        </w:rPr>
        <w:t xml:space="preserve"> </w:t>
      </w:r>
      <w:r w:rsidRPr="002A051F">
        <w:rPr>
          <w:rFonts w:cstheme="minorHAnsi"/>
          <w:color w:val="000000"/>
        </w:rPr>
        <w:t>th</w:t>
      </w:r>
      <w:r>
        <w:rPr>
          <w:rFonts w:cstheme="minorHAnsi"/>
          <w:color w:val="000000"/>
        </w:rPr>
        <w:t>e</w:t>
      </w:r>
      <w:r w:rsidRPr="002A051F">
        <w:rPr>
          <w:rFonts w:cstheme="minorHAnsi"/>
          <w:color w:val="000000"/>
        </w:rPr>
        <w:t xml:space="preserve"> </w:t>
      </w:r>
      <w:r>
        <w:rPr>
          <w:rFonts w:cstheme="minorHAnsi"/>
          <w:color w:val="000000"/>
        </w:rPr>
        <w:t>MRFF</w:t>
      </w:r>
      <w:r w:rsidRPr="002A051F">
        <w:rPr>
          <w:rFonts w:cstheme="minorHAnsi"/>
          <w:color w:val="000000"/>
        </w:rPr>
        <w:t xml:space="preserve"> has:</w:t>
      </w:r>
    </w:p>
    <w:p w14:paraId="278CCE5F" w14:textId="77777777" w:rsidR="005B31AB" w:rsidRPr="002A051F" w:rsidRDefault="005B31AB" w:rsidP="00A213D2">
      <w:pPr>
        <w:pStyle w:val="List"/>
      </w:pPr>
      <w:r w:rsidRPr="002A051F">
        <w:t xml:space="preserve">complemented and enhanced other financial assistance provided by the Commonwealth for medical research and medical innovation, including through the </w:t>
      </w:r>
      <w:r>
        <w:t>NHMRC,</w:t>
      </w:r>
      <w:r w:rsidRPr="002A051F">
        <w:t xml:space="preserve"> and</w:t>
      </w:r>
    </w:p>
    <w:p w14:paraId="5FD5D5CC" w14:textId="77777777" w:rsidR="005B31AB" w:rsidRPr="00BF645B" w:rsidRDefault="005B31AB" w:rsidP="00A213D2">
      <w:pPr>
        <w:pStyle w:val="List"/>
      </w:pPr>
      <w:r w:rsidRPr="002A051F">
        <w:t>otherwise affected the total amount of other financial assistance provided by the Commonwealth for medical research and medical innovation</w:t>
      </w:r>
      <w:r>
        <w:t>.</w:t>
      </w:r>
    </w:p>
    <w:p w14:paraId="2977D14C" w14:textId="506552F4" w:rsidR="005B31AB" w:rsidRPr="005B332F" w:rsidRDefault="005B31AB" w:rsidP="005B31AB">
      <w:pPr>
        <w:pStyle w:val="Heading1"/>
        <w:spacing w:after="240"/>
      </w:pPr>
      <w:bookmarkStart w:id="3" w:name="_Toc185589229"/>
      <w:r w:rsidRPr="00BA62C2">
        <w:lastRenderedPageBreak/>
        <w:t>Executive Summary</w:t>
      </w:r>
      <w:bookmarkEnd w:id="3"/>
    </w:p>
    <w:p w14:paraId="74A51072" w14:textId="77777777" w:rsidR="005B31AB" w:rsidRDefault="005B31AB" w:rsidP="005B31AB">
      <w:r w:rsidRPr="005757FD">
        <w:t xml:space="preserve">The MRFF was established on 26 August 2015 by the MRFF Act. </w:t>
      </w:r>
      <w:r>
        <w:t>The legislated object of the MRFF Act is</w:t>
      </w:r>
      <w:r w:rsidRPr="00885AFE">
        <w:t xml:space="preserve"> </w:t>
      </w:r>
      <w:r>
        <w:t>to improve the health and wellbeing of Australians by establishing the MRFF to provide grants of financial assistance to support medical research and medical innovation.</w:t>
      </w:r>
    </w:p>
    <w:p w14:paraId="7B74DC52" w14:textId="5A2C3BF9" w:rsidR="005B31AB" w:rsidRDefault="005B31AB" w:rsidP="005B31AB">
      <w:r>
        <w:rPr>
          <w:lang w:eastAsia="en-AU"/>
        </w:rPr>
        <w:t>The</w:t>
      </w:r>
      <w:r>
        <w:t xml:space="preserve"> MRFF operates as an Australian Government Investment Fund (AGIF) with the capital preserved for the long term. </w:t>
      </w:r>
      <w:r w:rsidRPr="005757FD">
        <w:t xml:space="preserve">The </w:t>
      </w:r>
      <w:r>
        <w:t xml:space="preserve">initial </w:t>
      </w:r>
      <w:r w:rsidRPr="005757FD">
        <w:t xml:space="preserve">capital of the MRFF was sourced from the uncommitted balance of a former </w:t>
      </w:r>
      <w:r>
        <w:t>AGIF</w:t>
      </w:r>
      <w:r w:rsidRPr="005757FD">
        <w:t xml:space="preserve"> (the Health and Hospitals Fund) plus </w:t>
      </w:r>
      <w:r>
        <w:t>H</w:t>
      </w:r>
      <w:r w:rsidRPr="005757FD">
        <w:t>ealth portfolio savings measures announced in the 2014-15 Budget.</w:t>
      </w:r>
      <w:r>
        <w:t xml:space="preserve"> Annual</w:t>
      </w:r>
      <w:r>
        <w:rPr>
          <w:spacing w:val="-3"/>
        </w:rPr>
        <w:t xml:space="preserve"> </w:t>
      </w:r>
      <w:r>
        <w:t>credits</w:t>
      </w:r>
      <w:r>
        <w:rPr>
          <w:spacing w:val="-5"/>
        </w:rPr>
        <w:t xml:space="preserve"> </w:t>
      </w:r>
      <w:r>
        <w:t>were</w:t>
      </w:r>
      <w:r>
        <w:rPr>
          <w:spacing w:val="-2"/>
        </w:rPr>
        <w:t xml:space="preserve"> </w:t>
      </w:r>
      <w:r>
        <w:t>made</w:t>
      </w:r>
      <w:r>
        <w:rPr>
          <w:spacing w:val="-5"/>
        </w:rPr>
        <w:t xml:space="preserve"> </w:t>
      </w:r>
      <w:r>
        <w:t>until</w:t>
      </w:r>
      <w:r>
        <w:rPr>
          <w:spacing w:val="-3"/>
        </w:rPr>
        <w:t xml:space="preserve"> </w:t>
      </w:r>
      <w:r>
        <w:t>July</w:t>
      </w:r>
      <w:r>
        <w:rPr>
          <w:spacing w:val="-2"/>
        </w:rPr>
        <w:t xml:space="preserve"> </w:t>
      </w:r>
      <w:r>
        <w:t>2020</w:t>
      </w:r>
      <w:r>
        <w:rPr>
          <w:spacing w:val="-4"/>
        </w:rPr>
        <w:t xml:space="preserve"> </w:t>
      </w:r>
      <w:r>
        <w:t>when the Fund’s total assets were fully capitalised at $20 billion,</w:t>
      </w:r>
      <w:r w:rsidRPr="00871C64">
        <w:t xml:space="preserve"> </w:t>
      </w:r>
      <w:r w:rsidRPr="005757FD">
        <w:t>with no further credits expected</w:t>
      </w:r>
      <w:r>
        <w:t>. As of 30 September 2024, t</w:t>
      </w:r>
      <w:r w:rsidRPr="00936D9C">
        <w:t>he</w:t>
      </w:r>
      <w:r>
        <w:t xml:space="preserve"> capital base of the</w:t>
      </w:r>
      <w:r w:rsidRPr="00936D9C">
        <w:t xml:space="preserve"> MRFF </w:t>
      </w:r>
      <w:r>
        <w:t>is</w:t>
      </w:r>
      <w:r w:rsidRPr="00936D9C">
        <w:t xml:space="preserve"> value</w:t>
      </w:r>
      <w:r>
        <w:t>d at</w:t>
      </w:r>
      <w:r w:rsidRPr="00936D9C">
        <w:t xml:space="preserve"> $23.</w:t>
      </w:r>
      <w:r>
        <w:t>3</w:t>
      </w:r>
      <w:r w:rsidRPr="00936D9C">
        <w:t xml:space="preserve"> billion</w:t>
      </w:r>
      <w:r w:rsidRPr="005757FD">
        <w:t>.</w:t>
      </w:r>
    </w:p>
    <w:p w14:paraId="4D35402E" w14:textId="77777777" w:rsidR="005B31AB" w:rsidRDefault="005B31AB" w:rsidP="005B31AB">
      <w:r>
        <w:t>The MRFF comprises the investments of the MRFF and the MRFF Special Account.</w:t>
      </w:r>
      <w:r w:rsidRPr="00C561EF">
        <w:t xml:space="preserve"> </w:t>
      </w:r>
      <w:r w:rsidRPr="005757FD">
        <w:t xml:space="preserve">The </w:t>
      </w:r>
      <w:r>
        <w:t xml:space="preserve">Fund’s capital is invested independently by the Future Fund Board, consistent with the MRFF Act and the Investment Mandate issued by the Treasurer and the Finance Minister. This generates returns which, subject to maximum amounts determined annually by the Future Fund Board, are then disbursed towards grants for medical research and medical </w:t>
      </w:r>
      <w:r>
        <w:rPr>
          <w:spacing w:val="-2"/>
        </w:rPr>
        <w:t>innovation.</w:t>
      </w:r>
      <w:r w:rsidRPr="00930481">
        <w:t xml:space="preserve"> </w:t>
      </w:r>
      <w:r w:rsidRPr="00930481">
        <w:rPr>
          <w:spacing w:val="-2"/>
        </w:rPr>
        <w:t>This can occur when the Health Minister requires the Finance Minister to debit funds from the MRFF Special Account (which is managed by the Department of Finance) to the MRFF Health Special Account (which is managed by the Department of Health and Aged Care). The MRFF Act also provides for funds to be debited from the MRFF Special Account to the Federation Reform Fund (formerly the Council of Australian Governments Reform Fund) for the purpose of making grants to states and territories, and directly to corporate Commonwealth entities, although to date the latter two avenues of funding have not been used.</w:t>
      </w:r>
    </w:p>
    <w:p w14:paraId="0EEC116F" w14:textId="77777777" w:rsidR="005B31AB" w:rsidRDefault="005B31AB" w:rsidP="005B31AB">
      <w:r>
        <w:t>Each year the Board specifies a Maximum Annual Distribution Amount (MADA) that can be spent on grants of financial assistance in the upcoming financial year. The value of the MADA has historically fluctuated depending on the performance of the Fund. To provide greater certainty of funding for researchers and support more responsible grants management practices, since 2018-19 the Government has committed to a fixed annual budget for the MRFF under the 10-year Investment Plan (10-year Plan). The 10-year Plan is a non-legislative mechanism that the Department of Health and Aged Care uses to forecast, design and deliver MRFF grant opportunities over the long term. The ongoing differences between the MADA and the budgeted amounts allocated to the MRFF under 10-year Plan highlight an opportunity to streamline the disbursements model for the MRFF.</w:t>
      </w:r>
    </w:p>
    <w:p w14:paraId="1165984F" w14:textId="77777777" w:rsidR="005B31AB" w:rsidRDefault="005B31AB" w:rsidP="005B31AB">
      <w:r w:rsidRPr="007F69D7">
        <w:t>Annual disbursements from the MRFF towards grants of ﬁnancial assistance commenced in 2016-</w:t>
      </w:r>
      <w:r>
        <w:t>17</w:t>
      </w:r>
      <w:r>
        <w:rPr>
          <w:spacing w:val="-4"/>
        </w:rPr>
        <w:t xml:space="preserve"> </w:t>
      </w:r>
      <w:r>
        <w:t>and</w:t>
      </w:r>
      <w:r>
        <w:rPr>
          <w:spacing w:val="-5"/>
        </w:rPr>
        <w:t xml:space="preserve"> </w:t>
      </w:r>
      <w:r>
        <w:t>increased</w:t>
      </w:r>
      <w:r>
        <w:rPr>
          <w:spacing w:val="-5"/>
        </w:rPr>
        <w:t xml:space="preserve"> </w:t>
      </w:r>
      <w:r>
        <w:t>while</w:t>
      </w:r>
      <w:r>
        <w:rPr>
          <w:spacing w:val="-5"/>
        </w:rPr>
        <w:t xml:space="preserve"> </w:t>
      </w:r>
      <w:r>
        <w:t>the</w:t>
      </w:r>
      <w:r>
        <w:rPr>
          <w:spacing w:val="-4"/>
        </w:rPr>
        <w:t xml:space="preserve"> </w:t>
      </w:r>
      <w:r>
        <w:t>MRFF was being capitalised.</w:t>
      </w:r>
      <w:r>
        <w:rPr>
          <w:spacing w:val="-2"/>
        </w:rPr>
        <w:t xml:space="preserve"> </w:t>
      </w:r>
      <w:r>
        <w:t>In response to this rapid growth, the Department of Health and Aged Care has put mechanisms in place to ease the administrative burden of funds transfers between the MRFF Special Account and the MRFF Health Special Account. Disbursements</w:t>
      </w:r>
      <w:r>
        <w:rPr>
          <w:spacing w:val="-1"/>
        </w:rPr>
        <w:t xml:space="preserve"> from the MRFF towards research </w:t>
      </w:r>
      <w:r>
        <w:t>are</w:t>
      </w:r>
      <w:r>
        <w:rPr>
          <w:spacing w:val="-1"/>
        </w:rPr>
        <w:t xml:space="preserve"> </w:t>
      </w:r>
      <w:r>
        <w:t>currently estimated at $650 million per</w:t>
      </w:r>
      <w:r>
        <w:rPr>
          <w:spacing w:val="-1"/>
        </w:rPr>
        <w:t xml:space="preserve"> </w:t>
      </w:r>
      <w:r>
        <w:t>year,</w:t>
      </w:r>
      <w:r>
        <w:rPr>
          <w:spacing w:val="-1"/>
        </w:rPr>
        <w:t xml:space="preserve"> </w:t>
      </w:r>
      <w:r>
        <w:t>in line</w:t>
      </w:r>
      <w:r>
        <w:rPr>
          <w:spacing w:val="-1"/>
        </w:rPr>
        <w:t xml:space="preserve"> </w:t>
      </w:r>
      <w:r>
        <w:t>with government commitments under the 3rd MRFF 10-year Investment Plan (10-year Plan).</w:t>
      </w:r>
    </w:p>
    <w:p w14:paraId="0190BF08" w14:textId="77777777" w:rsidR="005B31AB" w:rsidRDefault="005B31AB" w:rsidP="00AC05CC">
      <w:r>
        <w:t>Decisions about grants of ﬁnancial assistance funded from the MRFF are made by the Health Minister,</w:t>
      </w:r>
      <w:r>
        <w:rPr>
          <w:spacing w:val="-9"/>
        </w:rPr>
        <w:t xml:space="preserve"> </w:t>
      </w:r>
      <w:r>
        <w:t>taking</w:t>
      </w:r>
      <w:r>
        <w:rPr>
          <w:spacing w:val="-8"/>
        </w:rPr>
        <w:t xml:space="preserve"> </w:t>
      </w:r>
      <w:r>
        <w:t>into</w:t>
      </w:r>
      <w:r>
        <w:rPr>
          <w:spacing w:val="-6"/>
        </w:rPr>
        <w:t xml:space="preserve"> </w:t>
      </w:r>
      <w:r>
        <w:t>account</w:t>
      </w:r>
      <w:r>
        <w:rPr>
          <w:spacing w:val="-6"/>
        </w:rPr>
        <w:t xml:space="preserve"> </w:t>
      </w:r>
      <w:r>
        <w:t>the</w:t>
      </w:r>
      <w:r>
        <w:rPr>
          <w:spacing w:val="-6"/>
        </w:rPr>
        <w:t xml:space="preserve"> </w:t>
      </w:r>
      <w:r>
        <w:rPr>
          <w:i/>
        </w:rPr>
        <w:t>Australian</w:t>
      </w:r>
      <w:r>
        <w:rPr>
          <w:i/>
          <w:spacing w:val="-10"/>
        </w:rPr>
        <w:t xml:space="preserve"> </w:t>
      </w:r>
      <w:r>
        <w:rPr>
          <w:i/>
        </w:rPr>
        <w:t>Medical</w:t>
      </w:r>
      <w:r>
        <w:rPr>
          <w:i/>
          <w:spacing w:val="-7"/>
        </w:rPr>
        <w:t xml:space="preserve"> </w:t>
      </w:r>
      <w:r>
        <w:rPr>
          <w:i/>
        </w:rPr>
        <w:t>Research</w:t>
      </w:r>
      <w:r>
        <w:rPr>
          <w:i/>
          <w:spacing w:val="-8"/>
        </w:rPr>
        <w:t xml:space="preserve"> </w:t>
      </w:r>
      <w:r>
        <w:rPr>
          <w:i/>
        </w:rPr>
        <w:t>and</w:t>
      </w:r>
      <w:r>
        <w:rPr>
          <w:i/>
          <w:spacing w:val="-8"/>
        </w:rPr>
        <w:t xml:space="preserve"> </w:t>
      </w:r>
      <w:r>
        <w:rPr>
          <w:i/>
        </w:rPr>
        <w:t>Innovation</w:t>
      </w:r>
      <w:r>
        <w:rPr>
          <w:i/>
          <w:spacing w:val="-10"/>
        </w:rPr>
        <w:t xml:space="preserve"> </w:t>
      </w:r>
      <w:r>
        <w:rPr>
          <w:i/>
        </w:rPr>
        <w:t>Strategy</w:t>
      </w:r>
      <w:r>
        <w:rPr>
          <w:i/>
          <w:spacing w:val="-7"/>
        </w:rPr>
        <w:t xml:space="preserve"> </w:t>
      </w:r>
      <w:r>
        <w:t>and</w:t>
      </w:r>
      <w:r>
        <w:rPr>
          <w:spacing w:val="-8"/>
        </w:rPr>
        <w:t xml:space="preserve"> </w:t>
      </w:r>
      <w:r>
        <w:t xml:space="preserve">related </w:t>
      </w:r>
      <w:r>
        <w:rPr>
          <w:i/>
        </w:rPr>
        <w:t>Priorities</w:t>
      </w:r>
      <w:r>
        <w:t>, which are developed every ﬁve years and two years respectively by the independent Australian Medical Research Advisory Board (AMRAB).</w:t>
      </w:r>
      <w:r w:rsidRPr="00367687">
        <w:t xml:space="preserve"> In addition to the Strategy and Priorities and the 10-year Plan, the Department of Health and Aged Care also delivers the MRFF grant program in line with other applicable legislative and policy frameworks, including the </w:t>
      </w:r>
      <w:r w:rsidRPr="00C63795">
        <w:rPr>
          <w:i/>
          <w:iCs/>
        </w:rPr>
        <w:t>Commonwealth Grants Rules and Principles 2024</w:t>
      </w:r>
      <w:r w:rsidRPr="00367687">
        <w:t xml:space="preserve">, MRFF Mission Roadmaps and Implementation Plans and other Research Plans, and the MRFF Monitoring, Evaluation and Learning Strategy. As the volume of disbursements </w:t>
      </w:r>
      <w:r w:rsidRPr="00367687">
        <w:lastRenderedPageBreak/>
        <w:t>from the MRFF has grown, the Departments of Finance and Health and Aged Care have introduced administrative efficiencies to support provision of grants payments from the MRFF Health Special Account at scale. This review provides an opportunity to reflect these processes in the MRFF Act.</w:t>
      </w:r>
    </w:p>
    <w:p w14:paraId="28FD4F74" w14:textId="77777777" w:rsidR="005B31AB" w:rsidRPr="005757FD" w:rsidRDefault="005B31AB" w:rsidP="00531E53">
      <w:r>
        <w:t>The</w:t>
      </w:r>
      <w:r w:rsidRPr="00E35BF3">
        <w:t xml:space="preserve"> </w:t>
      </w:r>
      <w:r>
        <w:t>consideration of the performance of the MRFF in this review is informed by numerous published evaluations and reports on MRFF investments since inception,</w:t>
      </w:r>
      <w:r w:rsidRPr="005757FD">
        <w:t xml:space="preserve"> </w:t>
      </w:r>
      <w:r>
        <w:t>as well as the outcomes of broader</w:t>
      </w:r>
      <w:r w:rsidRPr="005757FD">
        <w:t xml:space="preserve"> consultation</w:t>
      </w:r>
      <w:r>
        <w:t>s</w:t>
      </w:r>
      <w:r w:rsidRPr="005757FD">
        <w:t xml:space="preserve"> </w:t>
      </w:r>
      <w:r>
        <w:t xml:space="preserve">conducted by the Department of Health and Aged Care </w:t>
      </w:r>
      <w:r w:rsidRPr="005757FD">
        <w:t>over the past 18</w:t>
      </w:r>
      <w:r>
        <w:t> </w:t>
      </w:r>
      <w:r w:rsidRPr="005757FD">
        <w:t>months</w:t>
      </w:r>
      <w:r>
        <w:t>,</w:t>
      </w:r>
      <w:r w:rsidRPr="00E35BF3">
        <w:t xml:space="preserve"> </w:t>
      </w:r>
      <w:r>
        <w:t>including</w:t>
      </w:r>
      <w:r w:rsidRPr="005757FD">
        <w:t>:</w:t>
      </w:r>
    </w:p>
    <w:p w14:paraId="18DDDBCD" w14:textId="6E05976C" w:rsidR="005B31AB" w:rsidRPr="005757FD" w:rsidRDefault="005B31AB" w:rsidP="00A213D2">
      <w:pPr>
        <w:pStyle w:val="List"/>
      </w:pPr>
      <w:r>
        <w:t>consultation</w:t>
      </w:r>
      <w:r w:rsidRPr="00E35BF3">
        <w:t xml:space="preserve"> </w:t>
      </w:r>
      <w:r>
        <w:t>with</w:t>
      </w:r>
      <w:r w:rsidRPr="00E35BF3">
        <w:t xml:space="preserve"> </w:t>
      </w:r>
      <w:r>
        <w:t>the</w:t>
      </w:r>
      <w:r w:rsidRPr="00E35BF3">
        <w:t xml:space="preserve"> </w:t>
      </w:r>
      <w:r>
        <w:t xml:space="preserve">AMRAB on the </w:t>
      </w:r>
      <w:r w:rsidRPr="002951B7">
        <w:rPr>
          <w:i/>
          <w:iCs/>
        </w:rPr>
        <w:t xml:space="preserve">Australian Medical Research and Innovation Priorities 2024-2026 </w:t>
      </w:r>
      <w:r>
        <w:t>and</w:t>
      </w:r>
      <w:r w:rsidRPr="005757FD">
        <w:t xml:space="preserve"> proposed amendments to the MRFF Act</w:t>
      </w:r>
      <w:r>
        <w:t>,</w:t>
      </w:r>
    </w:p>
    <w:p w14:paraId="12461178" w14:textId="678EED83" w:rsidR="005B31AB" w:rsidRDefault="005B31AB" w:rsidP="00A213D2">
      <w:pPr>
        <w:pStyle w:val="List"/>
      </w:pPr>
      <w:r>
        <w:t>public consultation across the health and medical research sector on options for i</w:t>
      </w:r>
      <w:r w:rsidRPr="005757FD">
        <w:t>mproving</w:t>
      </w:r>
      <w:r w:rsidRPr="00E35BF3">
        <w:t xml:space="preserve"> </w:t>
      </w:r>
      <w:r w:rsidRPr="005757FD">
        <w:t>alignment</w:t>
      </w:r>
      <w:r w:rsidRPr="00E35BF3">
        <w:t xml:space="preserve"> </w:t>
      </w:r>
      <w:r w:rsidRPr="005757FD">
        <w:t>and</w:t>
      </w:r>
      <w:r w:rsidRPr="00E35BF3">
        <w:t xml:space="preserve"> </w:t>
      </w:r>
      <w:r w:rsidRPr="005757FD">
        <w:t>coordination</w:t>
      </w:r>
      <w:r w:rsidRPr="00E35BF3">
        <w:t xml:space="preserve"> </w:t>
      </w:r>
      <w:r w:rsidRPr="005757FD">
        <w:t>between</w:t>
      </w:r>
      <w:r w:rsidRPr="00E35BF3">
        <w:t xml:space="preserve"> </w:t>
      </w:r>
      <w:r w:rsidRPr="005757FD">
        <w:t>the</w:t>
      </w:r>
      <w:r w:rsidRPr="00E35BF3">
        <w:t xml:space="preserve"> </w:t>
      </w:r>
      <w:r w:rsidRPr="005757FD">
        <w:t>Medical Research Future Fund and</w:t>
      </w:r>
      <w:r w:rsidRPr="00E35BF3">
        <w:t xml:space="preserve"> </w:t>
      </w:r>
      <w:r w:rsidRPr="005757FD">
        <w:t>the</w:t>
      </w:r>
      <w:r w:rsidRPr="00E35BF3">
        <w:t xml:space="preserve"> </w:t>
      </w:r>
      <w:r w:rsidRPr="005757FD">
        <w:t>National Health and Medical Research Council’s Medical Research Endowment Account</w:t>
      </w:r>
      <w:r>
        <w:t xml:space="preserve"> (</w:t>
      </w:r>
      <w:r w:rsidRPr="00E35BF3">
        <w:t>MREA</w:t>
      </w:r>
      <w:r>
        <w:t>), and</w:t>
      </w:r>
    </w:p>
    <w:p w14:paraId="450048D0" w14:textId="1AD3AE70" w:rsidR="005B31AB" w:rsidRPr="005757FD" w:rsidRDefault="005B31AB" w:rsidP="00A213D2">
      <w:pPr>
        <w:pStyle w:val="List"/>
      </w:pPr>
      <w:r>
        <w:t>initial c</w:t>
      </w:r>
      <w:r w:rsidRPr="005757FD">
        <w:t>onsultation</w:t>
      </w:r>
      <w:r>
        <w:t>s</w:t>
      </w:r>
      <w:r w:rsidRPr="005757FD">
        <w:t xml:space="preserve"> </w:t>
      </w:r>
      <w:r>
        <w:t>on</w:t>
      </w:r>
      <w:r w:rsidRPr="005757FD">
        <w:t xml:space="preserve"> the</w:t>
      </w:r>
      <w:r w:rsidRPr="00E35BF3">
        <w:t xml:space="preserve"> </w:t>
      </w:r>
      <w:r>
        <w:t>development</w:t>
      </w:r>
      <w:r w:rsidRPr="00E35BF3">
        <w:t xml:space="preserve"> </w:t>
      </w:r>
      <w:r w:rsidRPr="005757FD">
        <w:t>of</w:t>
      </w:r>
      <w:r w:rsidRPr="00E35BF3">
        <w:t xml:space="preserve"> </w:t>
      </w:r>
      <w:r w:rsidRPr="005757FD">
        <w:t>the</w:t>
      </w:r>
      <w:r w:rsidRPr="00E35BF3">
        <w:t xml:space="preserve"> </w:t>
      </w:r>
      <w:r w:rsidRPr="005757FD">
        <w:t>inaugural</w:t>
      </w:r>
      <w:r w:rsidRPr="00E35BF3">
        <w:t xml:space="preserve"> </w:t>
      </w:r>
      <w:r w:rsidRPr="005757FD">
        <w:t>National</w:t>
      </w:r>
      <w:r w:rsidRPr="00E35BF3">
        <w:t xml:space="preserve"> </w:t>
      </w:r>
      <w:r w:rsidRPr="005757FD">
        <w:t>Health</w:t>
      </w:r>
      <w:r w:rsidRPr="00E35BF3">
        <w:t xml:space="preserve"> </w:t>
      </w:r>
      <w:r w:rsidRPr="005757FD">
        <w:t>and</w:t>
      </w:r>
      <w:r w:rsidRPr="00E35BF3">
        <w:t xml:space="preserve"> </w:t>
      </w:r>
      <w:r w:rsidRPr="005757FD">
        <w:t>Medical</w:t>
      </w:r>
      <w:r w:rsidRPr="00E35BF3">
        <w:t xml:space="preserve"> Research</w:t>
      </w:r>
      <w:r w:rsidRPr="005757FD">
        <w:t xml:space="preserve"> </w:t>
      </w:r>
      <w:r w:rsidRPr="00E35BF3">
        <w:t>Strategy</w:t>
      </w:r>
      <w:r>
        <w:t>.</w:t>
      </w:r>
      <w:r>
        <w:br w:type="page"/>
      </w:r>
    </w:p>
    <w:tbl>
      <w:tblPr>
        <w:tblStyle w:val="TableGrid"/>
        <w:tblW w:w="0" w:type="auto"/>
        <w:tblLook w:val="04A0" w:firstRow="1" w:lastRow="0" w:firstColumn="1" w:lastColumn="0" w:noHBand="0" w:noVBand="1"/>
      </w:tblPr>
      <w:tblGrid>
        <w:gridCol w:w="9016"/>
      </w:tblGrid>
      <w:tr w:rsidR="005B31AB" w14:paraId="2D557866" w14:textId="77777777" w:rsidTr="001834D0">
        <w:tc>
          <w:tcPr>
            <w:tcW w:w="9016" w:type="dxa"/>
          </w:tcPr>
          <w:p w14:paraId="7F33E2EB" w14:textId="77777777" w:rsidR="00F05566" w:rsidRDefault="005B31AB" w:rsidP="00F05566">
            <w:pPr>
              <w:pStyle w:val="Heading4"/>
              <w:spacing w:after="360"/>
            </w:pPr>
            <w:r>
              <w:lastRenderedPageBreak/>
              <w:br w:type="page"/>
              <w:t>Findings</w:t>
            </w:r>
          </w:p>
          <w:p w14:paraId="1B1AC282" w14:textId="7C394EA5" w:rsidR="005B31AB" w:rsidRDefault="005B31AB" w:rsidP="00614F15">
            <w:pPr>
              <w:pStyle w:val="ListParagraph"/>
            </w:pPr>
            <w:r w:rsidRPr="008E622D">
              <w:t xml:space="preserve">The disbursements model </w:t>
            </w:r>
            <w:r>
              <w:t>under the MRFF Act, which specifies a maximum annual distribution amount</w:t>
            </w:r>
            <w:r w:rsidRPr="008E622D">
              <w:t xml:space="preserve"> for the MRFF</w:t>
            </w:r>
            <w:r>
              <w:t>,</w:t>
            </w:r>
            <w:r w:rsidRPr="008E622D">
              <w:t xml:space="preserve"> </w:t>
            </w:r>
            <w:r>
              <w:t xml:space="preserve">leads to </w:t>
            </w:r>
            <w:r w:rsidR="000C3878">
              <w:t xml:space="preserve">constrained </w:t>
            </w:r>
            <w:r>
              <w:t>timeframes for</w:t>
            </w:r>
            <w:r w:rsidRPr="008E622D">
              <w:t xml:space="preserve"> grant design and </w:t>
            </w:r>
            <w:r w:rsidRPr="00614F15">
              <w:t>delivery</w:t>
            </w:r>
            <w:r w:rsidRPr="008E622D">
              <w:t>.</w:t>
            </w:r>
          </w:p>
          <w:p w14:paraId="742B63FB" w14:textId="166631C7" w:rsidR="005B31AB" w:rsidRDefault="005B31AB" w:rsidP="00614F15">
            <w:pPr>
              <w:pStyle w:val="ListParagraph"/>
            </w:pPr>
            <w:r>
              <w:t>Current</w:t>
            </w:r>
            <w:r w:rsidRPr="008E622D">
              <w:t xml:space="preserve"> policy frameworks, including the MRFF 10-year Investment Plan, support certainty and direction of funding for research and promote responsible grant design, delivery and management practices.</w:t>
            </w:r>
          </w:p>
          <w:p w14:paraId="3FA788EC" w14:textId="3C860AA3" w:rsidR="005B31AB" w:rsidRPr="008E622D" w:rsidRDefault="005B31AB" w:rsidP="00614F15">
            <w:pPr>
              <w:pStyle w:val="ListParagraph"/>
            </w:pPr>
            <w:r>
              <w:t>The MRFF’s required rate of return is benchmarked to the RBA Cash Rate target. This is inconsistent with the required rate of return for other Australian Government Investment Funds that primarily benchmark against the consumer price index.</w:t>
            </w:r>
            <w:r w:rsidR="00D86EB2">
              <w:t xml:space="preserve"> Changes to the benchmark rate of return </w:t>
            </w:r>
            <w:r w:rsidR="00660DAD">
              <w:t>would</w:t>
            </w:r>
            <w:r w:rsidR="00D86EB2">
              <w:t xml:space="preserve"> only be considered in the context of a revised disbursement framework.</w:t>
            </w:r>
          </w:p>
          <w:p w14:paraId="55EA5E4A" w14:textId="79046192" w:rsidR="005B31AB" w:rsidRPr="008E622D" w:rsidRDefault="005B31AB" w:rsidP="00614F15">
            <w:pPr>
              <w:pStyle w:val="ListParagraph"/>
            </w:pPr>
            <w:r>
              <w:t>G</w:t>
            </w:r>
            <w:r w:rsidRPr="00D96799">
              <w:t xml:space="preserve">rants to states and territories through the Federation Reform Fund have </w:t>
            </w:r>
            <w:r>
              <w:t>not been used to date.</w:t>
            </w:r>
          </w:p>
          <w:p w14:paraId="3EEDEB98" w14:textId="77777777" w:rsidR="00614F15" w:rsidRDefault="005B31AB" w:rsidP="00C263A4">
            <w:pPr>
              <w:pStyle w:val="ListParagraph"/>
            </w:pPr>
            <w:r>
              <w:t>The MRFF is meeting the object of the MRFF Act to ‘improve the health and wellbeing of Australians by establishing the MRFF to provide grants of financial assistance to support medical research and medical innovation’.</w:t>
            </w:r>
          </w:p>
          <w:p w14:paraId="22E6BAB6" w14:textId="4873FD83" w:rsidR="005B31AB" w:rsidRDefault="005B31AB" w:rsidP="00C263A4">
            <w:pPr>
              <w:pStyle w:val="ListParagraph"/>
            </w:pPr>
            <w:r w:rsidRPr="0079347B">
              <w:t>Financial assistance provided by the MRFF has complemented and enhanced other financial assistance provided by the Commonwealth for medical research and medical innovation, including through the National Health and Medical Research Council</w:t>
            </w:r>
            <w:r>
              <w:t>.</w:t>
            </w:r>
          </w:p>
          <w:p w14:paraId="6FC50D99" w14:textId="5F989C02" w:rsidR="005B31AB" w:rsidRPr="008E622D" w:rsidRDefault="005B31AB" w:rsidP="00614F15">
            <w:pPr>
              <w:pStyle w:val="ListParagraph"/>
            </w:pPr>
            <w:r w:rsidRPr="008E622D">
              <w:t xml:space="preserve">The Australian Government Investment Fund model provides ongoing certainty of funding for grants </w:t>
            </w:r>
            <w:r>
              <w:t>but limited administrative and funding</w:t>
            </w:r>
            <w:r w:rsidRPr="008E622D">
              <w:t xml:space="preserve"> flexibilit</w:t>
            </w:r>
            <w:r>
              <w:t>y</w:t>
            </w:r>
            <w:r w:rsidRPr="008E622D">
              <w:t>. There are alternative</w:t>
            </w:r>
            <w:r>
              <w:t>, more flexible,</w:t>
            </w:r>
            <w:r w:rsidRPr="008E622D">
              <w:t xml:space="preserve"> options for funding </w:t>
            </w:r>
            <w:r w:rsidRPr="00CB6C4C">
              <w:t>medical research grants using annual appropriations or a Special Account</w:t>
            </w:r>
            <w:r>
              <w:t>.</w:t>
            </w:r>
          </w:p>
          <w:p w14:paraId="75A7A176" w14:textId="77777777" w:rsidR="005B31AB" w:rsidRPr="0035193B" w:rsidRDefault="005B31AB" w:rsidP="00ED753A">
            <w:pPr>
              <w:pStyle w:val="Heading4"/>
              <w:spacing w:after="240"/>
            </w:pPr>
            <w:r w:rsidRPr="00AA5A4E">
              <w:t>Recommendations</w:t>
            </w:r>
          </w:p>
          <w:p w14:paraId="16442701" w14:textId="7F7A72BC" w:rsidR="005B31AB" w:rsidRDefault="005B31AB" w:rsidP="00691F3C">
            <w:pPr>
              <w:pStyle w:val="ListParagraph"/>
              <w:numPr>
                <w:ilvl w:val="0"/>
                <w:numId w:val="18"/>
              </w:numPr>
            </w:pPr>
            <w:r>
              <w:t>A</w:t>
            </w:r>
            <w:r w:rsidRPr="0035193B">
              <w:t>mend the</w:t>
            </w:r>
            <w:r w:rsidRPr="00E4659B">
              <w:t xml:space="preserve"> MRFF Act </w:t>
            </w:r>
            <w:r w:rsidRPr="0035193B">
              <w:t xml:space="preserve">to </w:t>
            </w:r>
            <w:r>
              <w:t>remove the requirement for the Future Fund Board to set a Maximum Annual Distribution Amount for the MRFF. Instead, specify</w:t>
            </w:r>
            <w:r w:rsidRPr="0035193B">
              <w:t xml:space="preserve"> </w:t>
            </w:r>
            <w:r>
              <w:t>in the MRFF Act that</w:t>
            </w:r>
            <w:r w:rsidRPr="0035193B">
              <w:t xml:space="preserve"> </w:t>
            </w:r>
            <w:r>
              <w:t>annual disbursements from the MRFF will be a set value, with R</w:t>
            </w:r>
            <w:r w:rsidRPr="0035193B">
              <w:t>esponsible Ministers</w:t>
            </w:r>
            <w:r>
              <w:t xml:space="preserve"> able to adjust this amount </w:t>
            </w:r>
            <w:r w:rsidRPr="0035193B">
              <w:t>by legislative instrument</w:t>
            </w:r>
            <w:r>
              <w:t xml:space="preserve"> after consultation with the Future Fund Board.</w:t>
            </w:r>
          </w:p>
          <w:p w14:paraId="3C9ABAEF" w14:textId="0F14871F" w:rsidR="005B31AB" w:rsidRPr="00691F3C" w:rsidRDefault="005B31AB" w:rsidP="00691F3C">
            <w:pPr>
              <w:pStyle w:val="ListParagraph"/>
              <w:numPr>
                <w:ilvl w:val="0"/>
                <w:numId w:val="18"/>
              </w:numPr>
              <w:rPr>
                <w:kern w:val="0"/>
                <w14:ligatures w14:val="none"/>
              </w:rPr>
            </w:pPr>
            <w:r>
              <w:t>Amend the MRFF Act to increase</w:t>
            </w:r>
            <w:r w:rsidRPr="0035193B">
              <w:t xml:space="preserve"> the duration of the </w:t>
            </w:r>
            <w:r w:rsidRPr="0004067E">
              <w:rPr>
                <w:i/>
              </w:rPr>
              <w:t>Australian Medical Research and Innovation Strategy</w:t>
            </w:r>
            <w:r w:rsidRPr="0035193B">
              <w:t xml:space="preserve"> to 6 years and the </w:t>
            </w:r>
            <w:r w:rsidRPr="0004067E">
              <w:rPr>
                <w:i/>
              </w:rPr>
              <w:t>Australian Medical Research and Innovation</w:t>
            </w:r>
            <w:r w:rsidRPr="0035193B">
              <w:t xml:space="preserve"> </w:t>
            </w:r>
            <w:r w:rsidRPr="0004067E">
              <w:rPr>
                <w:i/>
              </w:rPr>
              <w:t>Priorities</w:t>
            </w:r>
            <w:r w:rsidRPr="0035193B">
              <w:t xml:space="preserve"> to 3 years</w:t>
            </w:r>
            <w:r w:rsidRPr="0035193B" w:rsidDel="002877A6">
              <w:t xml:space="preserve">, to </w:t>
            </w:r>
            <w:r>
              <w:t xml:space="preserve">align </w:t>
            </w:r>
            <w:r w:rsidRPr="0035193B" w:rsidDel="002877A6">
              <w:t xml:space="preserve">consultation processes and reduce the overall </w:t>
            </w:r>
            <w:r>
              <w:t xml:space="preserve">consultation </w:t>
            </w:r>
            <w:r w:rsidRPr="0035193B" w:rsidDel="002877A6">
              <w:t>burden on</w:t>
            </w:r>
            <w:r w:rsidDel="002877A6">
              <w:t xml:space="preserve"> stakeholders</w:t>
            </w:r>
            <w:r w:rsidRPr="0035193B">
              <w:t>.</w:t>
            </w:r>
          </w:p>
          <w:p w14:paraId="17022E48" w14:textId="39D5D9A6" w:rsidR="005B31AB" w:rsidRDefault="005B31AB" w:rsidP="00AF7E88">
            <w:pPr>
              <w:pStyle w:val="ListParagraph"/>
              <w:numPr>
                <w:ilvl w:val="0"/>
                <w:numId w:val="18"/>
              </w:numPr>
              <w:spacing w:after="360"/>
            </w:pPr>
            <w:r>
              <w:t>Amend</w:t>
            </w:r>
            <w:r w:rsidRPr="0035193B">
              <w:t xml:space="preserve"> the MRFF Act to allow states and territories (including state and territory entities) to </w:t>
            </w:r>
            <w:r>
              <w:t xml:space="preserve">receive </w:t>
            </w:r>
            <w:r w:rsidRPr="0035193B">
              <w:t>funding directly from the MRFF Health Special Account.</w:t>
            </w:r>
          </w:p>
          <w:p w14:paraId="49B63043" w14:textId="77777777" w:rsidR="005B31AB" w:rsidRDefault="005B31AB" w:rsidP="00691F3C"/>
          <w:p w14:paraId="312EB4A4" w14:textId="77777777" w:rsidR="005B31AB" w:rsidRDefault="005B31AB" w:rsidP="00AF7E88">
            <w:pPr>
              <w:pStyle w:val="ListParagraph"/>
              <w:numPr>
                <w:ilvl w:val="0"/>
                <w:numId w:val="31"/>
              </w:numPr>
              <w:spacing w:before="600"/>
            </w:pPr>
            <w:bookmarkStart w:id="4" w:name="_Hlk184721226"/>
            <w:r>
              <w:lastRenderedPageBreak/>
              <w:t>Amend</w:t>
            </w:r>
            <w:r w:rsidRPr="00133012">
              <w:rPr>
                <w:spacing w:val="-6"/>
              </w:rPr>
              <w:t xml:space="preserve"> </w:t>
            </w:r>
            <w:r>
              <w:t>the</w:t>
            </w:r>
            <w:r w:rsidRPr="00133012">
              <w:rPr>
                <w:spacing w:val="-4"/>
              </w:rPr>
              <w:t xml:space="preserve"> </w:t>
            </w:r>
            <w:r>
              <w:t>MRFF</w:t>
            </w:r>
            <w:r w:rsidRPr="00133012">
              <w:rPr>
                <w:spacing w:val="-6"/>
              </w:rPr>
              <w:t xml:space="preserve"> </w:t>
            </w:r>
            <w:r>
              <w:t>Act</w:t>
            </w:r>
            <w:r w:rsidRPr="00133012">
              <w:rPr>
                <w:spacing w:val="-7"/>
              </w:rPr>
              <w:t xml:space="preserve"> </w:t>
            </w:r>
            <w:r>
              <w:t>to:</w:t>
            </w:r>
          </w:p>
          <w:p w14:paraId="67D4C859" w14:textId="77777777" w:rsidR="005B31AB" w:rsidRPr="00C6334C" w:rsidRDefault="005B31AB" w:rsidP="00A213D2">
            <w:pPr>
              <w:pStyle w:val="List2"/>
              <w:spacing w:after="160" w:line="259" w:lineRule="auto"/>
            </w:pPr>
            <w:r w:rsidRPr="00A57A43">
              <w:t xml:space="preserve">clarify that </w:t>
            </w:r>
            <w:r w:rsidRPr="00C6334C">
              <w:t xml:space="preserve">funds </w:t>
            </w:r>
            <w:r w:rsidRPr="00A213D2">
              <w:t>transferred</w:t>
            </w:r>
            <w:r w:rsidRPr="00C6334C">
              <w:t xml:space="preserve"> from the Medical Research Future Fund Special Account may be held in the Medical Research Future Fund Health Special Account for short durations to streamline the administration of funds transfers and allow for grants to be paid in instalments, and</w:t>
            </w:r>
          </w:p>
          <w:p w14:paraId="3115EC1E" w14:textId="77777777" w:rsidR="005B31AB" w:rsidRPr="00A57A43" w:rsidRDefault="005B31AB" w:rsidP="00A213D2">
            <w:pPr>
              <w:pStyle w:val="List2"/>
              <w:spacing w:after="160" w:line="259" w:lineRule="auto"/>
            </w:pPr>
            <w:r w:rsidRPr="00C6334C">
              <w:t>provide that funds credited to the Medical Research Future Fund Health Special Account as a result of debt recovery actions may be held in the Medical Research Future Fund Health Special Account for short durations and used to oﬀset the next funds transfer from the Medical Research Future Fund Special</w:t>
            </w:r>
            <w:r w:rsidRPr="00A57A43">
              <w:t xml:space="preserve"> Account.</w:t>
            </w:r>
          </w:p>
          <w:p w14:paraId="4E2F8867" w14:textId="77777777" w:rsidR="005B31AB" w:rsidRDefault="005B31AB" w:rsidP="00133012">
            <w:pPr>
              <w:pStyle w:val="ListParagraph"/>
            </w:pPr>
            <w:r>
              <w:t>Amend the MRFF Act to require a review of its operation at least every 10 years and provide that the:</w:t>
            </w:r>
          </w:p>
          <w:p w14:paraId="1090C963" w14:textId="77777777" w:rsidR="005B31AB" w:rsidRDefault="005B31AB" w:rsidP="00A213D2">
            <w:pPr>
              <w:pStyle w:val="List2"/>
              <w:numPr>
                <w:ilvl w:val="0"/>
                <w:numId w:val="37"/>
              </w:numPr>
              <w:spacing w:after="160" w:line="259" w:lineRule="auto"/>
              <w:ind w:left="1378" w:hanging="357"/>
            </w:pPr>
            <w:r>
              <w:t>Health Minister is required to commission reviews of the management of financial assistance to support medical research and medical innovation, and</w:t>
            </w:r>
          </w:p>
          <w:p w14:paraId="0ADF232F" w14:textId="5E9AE987" w:rsidR="005B31AB" w:rsidRPr="008F7228" w:rsidRDefault="005B31AB" w:rsidP="00AF7E88">
            <w:pPr>
              <w:pStyle w:val="List2"/>
              <w:spacing w:after="480" w:line="259" w:lineRule="auto"/>
              <w:ind w:left="1378" w:hanging="357"/>
            </w:pPr>
            <w:r w:rsidRPr="00A213D2">
              <w:t>responsible</w:t>
            </w:r>
            <w:r>
              <w:t xml:space="preserve"> Ministers are required to commission reviews of the investment and governance framework of the Fund.</w:t>
            </w:r>
            <w:bookmarkEnd w:id="4"/>
          </w:p>
        </w:tc>
      </w:tr>
    </w:tbl>
    <w:p w14:paraId="42F8AEFB" w14:textId="77777777" w:rsidR="005B31AB" w:rsidRDefault="005B31AB" w:rsidP="005B31AB">
      <w:pPr>
        <w:pStyle w:val="Heading1"/>
        <w:spacing w:after="240"/>
      </w:pPr>
      <w:r>
        <w:rPr>
          <w:bCs/>
        </w:rPr>
        <w:lastRenderedPageBreak/>
        <w:br w:type="page"/>
      </w:r>
      <w:bookmarkStart w:id="5" w:name="_Toc185589230"/>
      <w:r>
        <w:rPr>
          <w:bCs/>
        </w:rPr>
        <w:lastRenderedPageBreak/>
        <w:t xml:space="preserve">Establishment of the </w:t>
      </w:r>
      <w:r>
        <w:t>Medical Research Future Fund</w:t>
      </w:r>
      <w:bookmarkEnd w:id="5"/>
    </w:p>
    <w:p w14:paraId="595DA96D" w14:textId="77777777" w:rsidR="005B31AB" w:rsidRPr="004209B6" w:rsidRDefault="005B31AB" w:rsidP="005B31AB">
      <w:pPr>
        <w:pStyle w:val="Heading2"/>
        <w:spacing w:after="240"/>
      </w:pPr>
      <w:bookmarkStart w:id="6" w:name="_Toc185589231"/>
      <w:r>
        <w:t>Medical Research Future Fund Act</w:t>
      </w:r>
      <w:bookmarkEnd w:id="6"/>
    </w:p>
    <w:p w14:paraId="7939970E" w14:textId="296BA57D" w:rsidR="005B31AB" w:rsidRDefault="005B31AB" w:rsidP="005B31AB">
      <w:r w:rsidRPr="008815C7">
        <w:t>The MRFF was established on 26 August 2015 by the MRFF Act.</w:t>
      </w:r>
    </w:p>
    <w:p w14:paraId="3164F9D6" w14:textId="21B8698E" w:rsidR="005B31AB" w:rsidRDefault="005B31AB" w:rsidP="005B31AB">
      <w:r>
        <w:t>The MRFF</w:t>
      </w:r>
      <w:r w:rsidRPr="008815C7">
        <w:t xml:space="preserve"> provides an ongoing funding stream for medical research and medical innovation</w:t>
      </w:r>
      <w:r>
        <w:t>. Its capital base is</w:t>
      </w:r>
      <w:r w:rsidRPr="008815C7">
        <w:t xml:space="preserve"> preserved </w:t>
      </w:r>
      <w:r>
        <w:t xml:space="preserve">for the long term, and the earnings on the investments from this capital are </w:t>
      </w:r>
      <w:r w:rsidRPr="008815C7">
        <w:t xml:space="preserve">used to make grants of financial assistance </w:t>
      </w:r>
      <w:r>
        <w:t>to support medical research and medical innovation.</w:t>
      </w:r>
    </w:p>
    <w:p w14:paraId="09D14310" w14:textId="3AB62874" w:rsidR="005B31AB" w:rsidRDefault="005B31AB" w:rsidP="005B31AB">
      <w:r w:rsidRPr="003D2BA4">
        <w:t xml:space="preserve">The provisions in the MRFF Act fall into two main categories. Parts 3 and 4 of </w:t>
      </w:r>
      <w:r>
        <w:t>the MRFF Act</w:t>
      </w:r>
      <w:r w:rsidRPr="003D2BA4">
        <w:t xml:space="preserve"> relate to the investment of the MRFF’s capital by the </w:t>
      </w:r>
      <w:r>
        <w:t xml:space="preserve">Future Fund </w:t>
      </w:r>
      <w:r w:rsidRPr="003D2BA4">
        <w:t>Board to generate investment returns and provide disbursements. Parts 2 and 2A of the MRFF Act</w:t>
      </w:r>
      <w:r>
        <w:t xml:space="preserve"> authorise </w:t>
      </w:r>
      <w:r w:rsidRPr="003D2BA4">
        <w:t xml:space="preserve">MRFF disbursements </w:t>
      </w:r>
      <w:r>
        <w:t>for</w:t>
      </w:r>
      <w:r w:rsidRPr="003D2BA4">
        <w:t xml:space="preserve"> grants </w:t>
      </w:r>
      <w:r>
        <w:t>that</w:t>
      </w:r>
      <w:r w:rsidRPr="003D2BA4">
        <w:t xml:space="preserve"> </w:t>
      </w:r>
      <w:r>
        <w:t xml:space="preserve">support </w:t>
      </w:r>
      <w:r w:rsidRPr="003D2BA4">
        <w:t>medical research and medical innovation.</w:t>
      </w:r>
    </w:p>
    <w:tbl>
      <w:tblPr>
        <w:tblStyle w:val="TableGrid"/>
        <w:tblW w:w="0" w:type="auto"/>
        <w:tblLook w:val="04A0" w:firstRow="1" w:lastRow="0" w:firstColumn="1" w:lastColumn="0" w:noHBand="0" w:noVBand="1"/>
      </w:tblPr>
      <w:tblGrid>
        <w:gridCol w:w="9016"/>
      </w:tblGrid>
      <w:tr w:rsidR="005B31AB" w:rsidRPr="007B0390" w14:paraId="664AF0EC" w14:textId="77777777" w:rsidTr="001834D0">
        <w:tc>
          <w:tcPr>
            <w:tcW w:w="9016" w:type="dxa"/>
          </w:tcPr>
          <w:p w14:paraId="3C0678C1" w14:textId="77777777" w:rsidR="005B31AB" w:rsidRDefault="005B31AB" w:rsidP="001834D0">
            <w:pPr>
              <w:pStyle w:val="Heading4"/>
            </w:pPr>
            <w:r w:rsidRPr="009022AA">
              <w:t>Box 1: Establishment</w:t>
            </w:r>
            <w:r>
              <w:t xml:space="preserve"> of the MRFF</w:t>
            </w:r>
          </w:p>
          <w:p w14:paraId="5F5369F0" w14:textId="77777777" w:rsidR="005B31AB" w:rsidRDefault="005B31AB" w:rsidP="001834D0">
            <w:r>
              <w:t>In 2013, the Strategic Review of Health and Medical Research (the McKeon Review) advocated for investment in a world class health and medical research sector and identified that:</w:t>
            </w:r>
          </w:p>
          <w:p w14:paraId="1E14169F" w14:textId="77777777" w:rsidR="005B31AB" w:rsidRPr="007340F4" w:rsidRDefault="005B31AB" w:rsidP="001834D0">
            <w:pPr>
              <w:pStyle w:val="subsection"/>
              <w:shd w:val="clear" w:color="auto" w:fill="FFFFFF"/>
              <w:spacing w:before="180" w:beforeAutospacing="0" w:after="120" w:afterAutospacing="0" w:line="276" w:lineRule="auto"/>
              <w:ind w:left="720"/>
              <w:rPr>
                <w:rFonts w:cstheme="minorHAnsi"/>
                <w:color w:val="000000"/>
              </w:rPr>
            </w:pPr>
            <w:r w:rsidRPr="007340F4">
              <w:rPr>
                <w:rFonts w:asciiTheme="minorHAnsi" w:hAnsiTheme="minorHAnsi" w:cstheme="minorHAnsi"/>
                <w:color w:val="000000"/>
                <w:sz w:val="22"/>
                <w:szCs w:val="22"/>
              </w:rPr>
              <w:t>The next phase of reform will be defined by a continued focus on high-quality research, with an increased emphasis on translational impact and a more strategic approach to target Australia's highest priority health and medical research issues.</w:t>
            </w:r>
            <w:r>
              <w:rPr>
                <w:rStyle w:val="FootnoteReference"/>
                <w:rFonts w:asciiTheme="minorHAnsi" w:eastAsiaTheme="minorHAnsi" w:hAnsiTheme="minorHAnsi" w:cstheme="minorHAnsi"/>
                <w:color w:val="000000"/>
                <w:sz w:val="22"/>
                <w:szCs w:val="22"/>
              </w:rPr>
              <w:footnoteReference w:id="2"/>
            </w:r>
          </w:p>
          <w:p w14:paraId="03B4A3F6" w14:textId="77777777" w:rsidR="005B31AB" w:rsidRPr="00CB0EA8" w:rsidRDefault="005B31AB" w:rsidP="001834D0">
            <w:pPr>
              <w:spacing w:line="276" w:lineRule="auto"/>
              <w:rPr>
                <w:rFonts w:cstheme="minorHAnsi"/>
              </w:rPr>
            </w:pPr>
            <w:r>
              <w:rPr>
                <w:rFonts w:cstheme="minorHAnsi"/>
              </w:rPr>
              <w:t xml:space="preserve">In response, the MRFF was announced in the 2014-15 Budget and a Bill was introduced to Parliament in 2015. </w:t>
            </w:r>
            <w:r w:rsidRPr="00CB0EA8">
              <w:rPr>
                <w:rFonts w:cstheme="minorHAnsi"/>
              </w:rPr>
              <w:t>The Preamble to the MRFF Act reads:</w:t>
            </w:r>
          </w:p>
          <w:p w14:paraId="4402D1CF" w14:textId="77777777" w:rsidR="005B31AB" w:rsidRDefault="005B31AB" w:rsidP="00384288">
            <w:pPr>
              <w:pStyle w:val="subsection"/>
              <w:spacing w:line="276" w:lineRule="auto"/>
              <w:ind w:left="720"/>
              <w:rPr>
                <w:rFonts w:asciiTheme="minorHAnsi" w:hAnsiTheme="minorHAnsi" w:cstheme="minorHAnsi"/>
                <w:color w:val="000000"/>
                <w:sz w:val="22"/>
                <w:szCs w:val="22"/>
              </w:rPr>
            </w:pPr>
            <w:r w:rsidRPr="007340F4">
              <w:rPr>
                <w:rFonts w:asciiTheme="minorHAnsi" w:hAnsiTheme="minorHAnsi" w:cstheme="minorHAnsi"/>
                <w:color w:val="000000"/>
                <w:sz w:val="22"/>
                <w:szCs w:val="22"/>
              </w:rPr>
              <w:t>In order for medical research and medical innovation to support a healthy and productive nation, long-term and largescale funding is required. The Parliament believes that the establishment of a perpetual fund capable of generating income over the long term is the most appropriate mechanism for ensuring that this funding is available on an ongoing basis. The Commonwealth has a role in meeting this funding need as it is able to marshal and deploy resources not available through other means.</w:t>
            </w:r>
          </w:p>
          <w:p w14:paraId="3B37C9F1" w14:textId="77777777" w:rsidR="005B31AB" w:rsidRPr="007B0390" w:rsidRDefault="005B31AB" w:rsidP="001834D0">
            <w:pPr>
              <w:pStyle w:val="subsection"/>
              <w:spacing w:line="276" w:lineRule="auto"/>
              <w:ind w:left="720"/>
            </w:pPr>
            <w:r w:rsidRPr="00A059B5">
              <w:rPr>
                <w:rFonts w:asciiTheme="minorHAnsi" w:hAnsiTheme="minorHAnsi" w:cstheme="minorHAnsi"/>
                <w:color w:val="000000"/>
                <w:sz w:val="22"/>
                <w:szCs w:val="22"/>
              </w:rPr>
              <w:t>Funding a system for medical research and medical innovation requires a national approach. The establishment of the MRFF and its administration will ensure that a coherent and consistent approach is adopted in the funding of medical research and medical innovation to ensure that such research and innovation benefits all Australians</w:t>
            </w:r>
            <w:r w:rsidRPr="00CB0EA8">
              <w:rPr>
                <w:rFonts w:asciiTheme="minorHAnsi" w:hAnsiTheme="minorHAnsi" w:cstheme="minorHAnsi"/>
                <w:color w:val="000000"/>
                <w:sz w:val="22"/>
                <w:szCs w:val="22"/>
              </w:rPr>
              <w:t>.</w:t>
            </w:r>
          </w:p>
        </w:tc>
      </w:tr>
    </w:tbl>
    <w:p w14:paraId="5D91421E" w14:textId="77777777" w:rsidR="005B31AB" w:rsidRDefault="005B31AB" w:rsidP="005B31AB"/>
    <w:p w14:paraId="28A25A88" w14:textId="77777777" w:rsidR="005B31AB" w:rsidRDefault="005B31AB" w:rsidP="005B31AB">
      <w:pPr>
        <w:sectPr w:rsidR="005B31AB" w:rsidSect="005B31AB">
          <w:headerReference w:type="even" r:id="rId12"/>
          <w:footerReference w:type="even" r:id="rId13"/>
          <w:footerReference w:type="default" r:id="rId14"/>
          <w:footerReference w:type="first" r:id="rId15"/>
          <w:pgSz w:w="11906" w:h="16838"/>
          <w:pgMar w:top="1440" w:right="1440" w:bottom="1440" w:left="1440" w:header="708" w:footer="708" w:gutter="0"/>
          <w:pgNumType w:start="0"/>
          <w:cols w:space="708"/>
          <w:titlePg/>
          <w:docGrid w:linePitch="360"/>
        </w:sectPr>
      </w:pPr>
    </w:p>
    <w:p w14:paraId="7777E0E1" w14:textId="77777777" w:rsidR="005B31AB" w:rsidRDefault="005B31AB" w:rsidP="005B31AB">
      <w:pPr>
        <w:sectPr w:rsidR="005B31AB" w:rsidSect="005B31AB">
          <w:pgSz w:w="16838" w:h="11906" w:orient="landscape"/>
          <w:pgMar w:top="1440" w:right="1440" w:bottom="1440" w:left="1440" w:header="708" w:footer="708" w:gutter="0"/>
          <w:cols w:space="708"/>
          <w:titlePg/>
          <w:docGrid w:linePitch="360"/>
        </w:sectPr>
      </w:pPr>
      <w:r w:rsidRPr="00A07E1B">
        <w:rPr>
          <w:noProof/>
        </w:rPr>
        <w:lastRenderedPageBreak/>
        <w:drawing>
          <wp:inline distT="0" distB="0" distL="0" distR="0" wp14:anchorId="06560B47" wp14:editId="1BF62F77">
            <wp:extent cx="8997009" cy="5839290"/>
            <wp:effectExtent l="0" t="0" r="0" b="9525"/>
            <wp:docPr id="2117648821" name="Picture 1" descr="A diagram illustrating the flow of MRFF information and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8821" name="Picture 1" descr="A diagram illustrating the flow of MRFF information and money"/>
                    <pic:cNvPicPr/>
                  </pic:nvPicPr>
                  <pic:blipFill>
                    <a:blip r:embed="rId16"/>
                    <a:stretch>
                      <a:fillRect/>
                    </a:stretch>
                  </pic:blipFill>
                  <pic:spPr>
                    <a:xfrm>
                      <a:off x="0" y="0"/>
                      <a:ext cx="8997009" cy="5839290"/>
                    </a:xfrm>
                    <a:prstGeom prst="rect">
                      <a:avLst/>
                    </a:prstGeom>
                  </pic:spPr>
                </pic:pic>
              </a:graphicData>
            </a:graphic>
          </wp:inline>
        </w:drawing>
      </w:r>
    </w:p>
    <w:p w14:paraId="4CFB10E6" w14:textId="77777777" w:rsidR="005B31AB" w:rsidRDefault="005B31AB" w:rsidP="005B31AB">
      <w:pPr>
        <w:pStyle w:val="Heading1"/>
        <w:spacing w:after="240"/>
      </w:pPr>
      <w:bookmarkStart w:id="7" w:name="_Toc185589232"/>
      <w:r>
        <w:lastRenderedPageBreak/>
        <w:t>Operation of the MRFF Special Accounts</w:t>
      </w:r>
      <w:bookmarkEnd w:id="7"/>
    </w:p>
    <w:p w14:paraId="56C41674" w14:textId="0FDBCDBD" w:rsidR="005B31AB" w:rsidRDefault="005B31AB" w:rsidP="005B31AB">
      <w:r>
        <w:t xml:space="preserve">The MRFF Act establishes two special accounts: the MRFF Special Account (section 14) and </w:t>
      </w:r>
      <w:r w:rsidRPr="00A77909">
        <w:t>the</w:t>
      </w:r>
      <w:r>
        <w:t xml:space="preserve"> MRFF Health Special Account (section 23).</w:t>
      </w:r>
    </w:p>
    <w:p w14:paraId="3B9E443F" w14:textId="77777777" w:rsidR="005B31AB" w:rsidRDefault="005B31AB" w:rsidP="005B31AB">
      <w:r w:rsidRPr="00BE0ED7">
        <w:t>A special account is a limited special appropriation that notionally sets aside an amount that can be expended for listed purposes.</w:t>
      </w:r>
      <w:r>
        <w:t xml:space="preserve"> Special accounts provide transparency regarding the availability of funds and clear governance arrangements for the management of the available funds.</w:t>
      </w:r>
    </w:p>
    <w:p w14:paraId="41ACF223" w14:textId="7E707DA2" w:rsidR="005B31AB" w:rsidRDefault="005B31AB" w:rsidP="005B31AB">
      <w:r>
        <w:t>The MRFF Special Account is administered by the Department of Finance and the MRFF Health Special Account is administered by the Department of Health and Aged Care.</w:t>
      </w:r>
    </w:p>
    <w:p w14:paraId="22D20CF9" w14:textId="16A1F0B2" w:rsidR="005B31AB" w:rsidRDefault="005B31AB" w:rsidP="005B31AB">
      <w:pPr>
        <w:pStyle w:val="Heading2"/>
        <w:spacing w:after="240"/>
      </w:pPr>
      <w:bookmarkStart w:id="8" w:name="_Toc184119059"/>
      <w:bookmarkStart w:id="9" w:name="_Toc185589233"/>
      <w:r>
        <w:t>The MRFF Special Account</w:t>
      </w:r>
      <w:bookmarkEnd w:id="8"/>
      <w:bookmarkEnd w:id="9"/>
    </w:p>
    <w:p w14:paraId="6F486147" w14:textId="3C90B5F9" w:rsidR="005B31AB" w:rsidRDefault="005B31AB" w:rsidP="005B31AB">
      <w:r>
        <w:t>The MRFF Special Account has the purpose of transferring annual disbursements from MRFF investments to the MRFF Health Special Account and the Federation Reform Fund (for the purposes of making grants) and making grants directly to corporate Commonwealth entities.</w:t>
      </w:r>
    </w:p>
    <w:p w14:paraId="46C8E32B" w14:textId="77777777" w:rsidR="005B31AB" w:rsidRDefault="005B31AB" w:rsidP="005B31AB">
      <w:pPr>
        <w:pStyle w:val="Heading3"/>
      </w:pPr>
      <w:r>
        <w:t>Credits to the MRFF Special Account</w:t>
      </w:r>
    </w:p>
    <w:p w14:paraId="23BFC48F" w14:textId="5D9B8AF8" w:rsidR="005B31AB" w:rsidRDefault="005B31AB" w:rsidP="005B31AB">
      <w:r>
        <w:t xml:space="preserve">Section 15 of the MRFF Act allows the Treasurer and Finance Minister (as responsible Ministers) to make credits into the MRFF Special Account via written determination. An initial credit was made into the MRFF in 2015. Further annual credits were made from 2015 until July 2020 when the Fund’s </w:t>
      </w:r>
      <w:r w:rsidRPr="008A6CD1">
        <w:t>total credits reached</w:t>
      </w:r>
      <w:r>
        <w:t xml:space="preserve"> $20 billion (see Table 1).</w:t>
      </w:r>
    </w:p>
    <w:p w14:paraId="0EE476EC" w14:textId="77777777" w:rsidR="005B31AB" w:rsidRDefault="005B31AB" w:rsidP="00593EA2">
      <w:pPr>
        <w:pStyle w:val="Caption"/>
      </w:pPr>
      <w:r>
        <w:t>Table 1: Credits to MRFF Special Account</w:t>
      </w:r>
    </w:p>
    <w:tbl>
      <w:tblPr>
        <w:tblStyle w:val="ListTable3-Accent1"/>
        <w:tblW w:w="4983" w:type="pct"/>
        <w:tblLook w:val="04A0" w:firstRow="1" w:lastRow="0" w:firstColumn="1" w:lastColumn="0" w:noHBand="0" w:noVBand="1"/>
      </w:tblPr>
      <w:tblGrid>
        <w:gridCol w:w="2122"/>
        <w:gridCol w:w="4962"/>
        <w:gridCol w:w="1901"/>
      </w:tblGrid>
      <w:tr w:rsidR="005B31AB" w14:paraId="5614F5A0" w14:textId="77777777" w:rsidTr="00593EA2">
        <w:trPr>
          <w:cnfStyle w:val="100000000000" w:firstRow="1" w:lastRow="0" w:firstColumn="0" w:lastColumn="0" w:oddVBand="0" w:evenVBand="0" w:oddHBand="0" w:evenHBand="0" w:firstRowFirstColumn="0" w:firstRowLastColumn="0" w:lastRowFirstColumn="0" w:lastRowLastColumn="0"/>
          <w:trHeight w:val="371"/>
          <w:tblHeader/>
        </w:trPr>
        <w:tc>
          <w:tcPr>
            <w:cnfStyle w:val="001000000100" w:firstRow="0" w:lastRow="0" w:firstColumn="1" w:lastColumn="0" w:oddVBand="0" w:evenVBand="0" w:oddHBand="0" w:evenHBand="0" w:firstRowFirstColumn="1"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6DB2EE75" w14:textId="77777777" w:rsidR="005B31AB" w:rsidRPr="00196193" w:rsidRDefault="005B31AB" w:rsidP="001834D0">
            <w:pPr>
              <w:rPr>
                <w:rFonts w:cstheme="minorHAnsi"/>
                <w:b w:val="0"/>
                <w:bCs w:val="0"/>
              </w:rPr>
            </w:pPr>
            <w:r w:rsidRPr="00196193">
              <w:rPr>
                <w:rStyle w:val="Strong"/>
                <w:rFonts w:cstheme="minorHAnsi"/>
                <w:b/>
                <w:bCs/>
              </w:rPr>
              <w:t>Date</w:t>
            </w:r>
          </w:p>
        </w:tc>
        <w:tc>
          <w:tcPr>
            <w:tcW w:w="2761" w:type="pct"/>
            <w:tcBorders>
              <w:top w:val="single" w:sz="4" w:space="0" w:color="auto"/>
              <w:left w:val="single" w:sz="4" w:space="0" w:color="auto"/>
              <w:bottom w:val="single" w:sz="4" w:space="0" w:color="auto"/>
              <w:right w:val="single" w:sz="4" w:space="0" w:color="auto"/>
            </w:tcBorders>
            <w:hideMark/>
          </w:tcPr>
          <w:p w14:paraId="0472FD96" w14:textId="77777777" w:rsidR="005B31AB" w:rsidRPr="00196193" w:rsidRDefault="005B31AB" w:rsidP="001834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96193">
              <w:rPr>
                <w:rStyle w:val="Strong"/>
                <w:rFonts w:cstheme="minorHAnsi"/>
                <w:b/>
                <w:bCs/>
              </w:rPr>
              <w:t>Source of Funds</w:t>
            </w:r>
          </w:p>
        </w:tc>
        <w:tc>
          <w:tcPr>
            <w:tcW w:w="1058" w:type="pct"/>
            <w:tcBorders>
              <w:top w:val="single" w:sz="4" w:space="0" w:color="auto"/>
              <w:left w:val="single" w:sz="4" w:space="0" w:color="auto"/>
              <w:bottom w:val="single" w:sz="4" w:space="0" w:color="auto"/>
              <w:right w:val="single" w:sz="4" w:space="0" w:color="auto"/>
            </w:tcBorders>
            <w:hideMark/>
          </w:tcPr>
          <w:p w14:paraId="4A77195E" w14:textId="77777777" w:rsidR="005B31AB" w:rsidRPr="00196193" w:rsidRDefault="005B31AB" w:rsidP="001834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96193">
              <w:rPr>
                <w:rStyle w:val="Strong"/>
                <w:rFonts w:cstheme="minorHAnsi"/>
                <w:b/>
                <w:bCs/>
              </w:rPr>
              <w:t>Amount ($AUD m)</w:t>
            </w:r>
          </w:p>
        </w:tc>
      </w:tr>
      <w:tr w:rsidR="005B31AB" w:rsidRPr="001345E5" w14:paraId="63D2B59A" w14:textId="77777777" w:rsidTr="001834D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7D1FEA17" w14:textId="77777777" w:rsidR="005B31AB" w:rsidRPr="00E45C98" w:rsidRDefault="005B31AB" w:rsidP="001834D0">
            <w:pPr>
              <w:rPr>
                <w:rFonts w:cstheme="minorHAnsi"/>
              </w:rPr>
            </w:pPr>
            <w:r w:rsidRPr="00E45C98">
              <w:rPr>
                <w:rFonts w:cstheme="minorHAnsi"/>
              </w:rPr>
              <w:t>28 August 2015</w:t>
            </w:r>
          </w:p>
        </w:tc>
        <w:tc>
          <w:tcPr>
            <w:tcW w:w="2761" w:type="pct"/>
            <w:tcBorders>
              <w:top w:val="single" w:sz="4" w:space="0" w:color="auto"/>
              <w:left w:val="single" w:sz="4" w:space="0" w:color="auto"/>
              <w:bottom w:val="single" w:sz="4" w:space="0" w:color="auto"/>
              <w:right w:val="single" w:sz="4" w:space="0" w:color="auto"/>
            </w:tcBorders>
            <w:hideMark/>
          </w:tcPr>
          <w:p w14:paraId="4C6474EF"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Uncommitted balance of the Health and Hospitals Fund</w:t>
            </w:r>
          </w:p>
        </w:tc>
        <w:tc>
          <w:tcPr>
            <w:tcW w:w="1058" w:type="pct"/>
            <w:tcBorders>
              <w:top w:val="single" w:sz="4" w:space="0" w:color="auto"/>
              <w:left w:val="single" w:sz="4" w:space="0" w:color="auto"/>
              <w:bottom w:val="single" w:sz="4" w:space="0" w:color="auto"/>
              <w:right w:val="single" w:sz="4" w:space="0" w:color="auto"/>
            </w:tcBorders>
            <w:hideMark/>
          </w:tcPr>
          <w:p w14:paraId="44E6C2F9"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1,010</w:t>
            </w:r>
          </w:p>
        </w:tc>
      </w:tr>
      <w:tr w:rsidR="005B31AB" w14:paraId="2A095AFC" w14:textId="77777777" w:rsidTr="001834D0">
        <w:trPr>
          <w:trHeight w:val="598"/>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258DCB69" w14:textId="77777777" w:rsidR="005B31AB" w:rsidRPr="00E45C98" w:rsidRDefault="005B31AB" w:rsidP="001834D0">
            <w:pPr>
              <w:rPr>
                <w:rFonts w:cstheme="minorHAnsi"/>
              </w:rPr>
            </w:pPr>
            <w:r w:rsidRPr="00E45C98">
              <w:rPr>
                <w:rFonts w:cstheme="minorHAnsi"/>
              </w:rPr>
              <w:t>26 November 2015</w:t>
            </w:r>
          </w:p>
        </w:tc>
        <w:tc>
          <w:tcPr>
            <w:tcW w:w="2761" w:type="pct"/>
            <w:tcBorders>
              <w:top w:val="single" w:sz="4" w:space="0" w:color="auto"/>
              <w:left w:val="single" w:sz="4" w:space="0" w:color="auto"/>
              <w:bottom w:val="single" w:sz="4" w:space="0" w:color="auto"/>
              <w:right w:val="single" w:sz="4" w:space="0" w:color="auto"/>
            </w:tcBorders>
            <w:hideMark/>
          </w:tcPr>
          <w:p w14:paraId="4BC1354A"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Value of health saving measures announced in the 2014-15 Budget and residual amounts from the closure of the Health and Hospitals Fund</w:t>
            </w:r>
          </w:p>
        </w:tc>
        <w:tc>
          <w:tcPr>
            <w:tcW w:w="1058" w:type="pct"/>
            <w:tcBorders>
              <w:top w:val="single" w:sz="4" w:space="0" w:color="auto"/>
              <w:left w:val="single" w:sz="4" w:space="0" w:color="auto"/>
              <w:bottom w:val="single" w:sz="4" w:space="0" w:color="auto"/>
              <w:right w:val="single" w:sz="4" w:space="0" w:color="auto"/>
            </w:tcBorders>
            <w:hideMark/>
          </w:tcPr>
          <w:p w14:paraId="4E262FEC"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2,139</w:t>
            </w:r>
          </w:p>
        </w:tc>
      </w:tr>
      <w:tr w:rsidR="005B31AB" w:rsidRPr="001345E5" w14:paraId="3E639385" w14:textId="77777777" w:rsidTr="001834D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43F43EC0" w14:textId="77777777" w:rsidR="005B31AB" w:rsidRPr="00E45C98" w:rsidRDefault="005B31AB" w:rsidP="001834D0">
            <w:pPr>
              <w:rPr>
                <w:rFonts w:cstheme="minorHAnsi"/>
              </w:rPr>
            </w:pPr>
            <w:r w:rsidRPr="00E45C98">
              <w:rPr>
                <w:rFonts w:cstheme="minorHAnsi"/>
              </w:rPr>
              <w:t>26 August 2016</w:t>
            </w:r>
          </w:p>
        </w:tc>
        <w:tc>
          <w:tcPr>
            <w:tcW w:w="2761" w:type="pct"/>
            <w:tcBorders>
              <w:top w:val="single" w:sz="4" w:space="0" w:color="auto"/>
              <w:left w:val="single" w:sz="4" w:space="0" w:color="auto"/>
              <w:bottom w:val="single" w:sz="4" w:space="0" w:color="auto"/>
              <w:right w:val="single" w:sz="4" w:space="0" w:color="auto"/>
            </w:tcBorders>
            <w:hideMark/>
          </w:tcPr>
          <w:p w14:paraId="0C18375A"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Value of health saving measures announced in the 2014-15 Budget and residual amounts from the closure of the Health and Hospitals Fund</w:t>
            </w:r>
          </w:p>
        </w:tc>
        <w:tc>
          <w:tcPr>
            <w:tcW w:w="1058" w:type="pct"/>
            <w:tcBorders>
              <w:top w:val="single" w:sz="4" w:space="0" w:color="auto"/>
              <w:left w:val="single" w:sz="4" w:space="0" w:color="auto"/>
              <w:bottom w:val="single" w:sz="4" w:space="0" w:color="auto"/>
              <w:right w:val="single" w:sz="4" w:space="0" w:color="auto"/>
            </w:tcBorders>
            <w:hideMark/>
          </w:tcPr>
          <w:p w14:paraId="181024E1"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1,277</w:t>
            </w:r>
          </w:p>
        </w:tc>
      </w:tr>
      <w:tr w:rsidR="005B31AB" w14:paraId="46624899" w14:textId="77777777" w:rsidTr="001834D0">
        <w:trPr>
          <w:trHeight w:val="522"/>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0D1F2F9C" w14:textId="77777777" w:rsidR="005B31AB" w:rsidRPr="00E45C98" w:rsidRDefault="005B31AB" w:rsidP="001834D0">
            <w:pPr>
              <w:rPr>
                <w:rFonts w:cstheme="minorHAnsi"/>
              </w:rPr>
            </w:pPr>
            <w:r w:rsidRPr="00E45C98">
              <w:rPr>
                <w:rFonts w:cstheme="minorHAnsi"/>
              </w:rPr>
              <w:t>3 July 2017</w:t>
            </w:r>
          </w:p>
        </w:tc>
        <w:tc>
          <w:tcPr>
            <w:tcW w:w="2761" w:type="pct"/>
            <w:tcBorders>
              <w:top w:val="single" w:sz="4" w:space="0" w:color="auto"/>
              <w:left w:val="single" w:sz="4" w:space="0" w:color="auto"/>
              <w:bottom w:val="single" w:sz="4" w:space="0" w:color="auto"/>
              <w:right w:val="single" w:sz="4" w:space="0" w:color="auto"/>
            </w:tcBorders>
            <w:hideMark/>
          </w:tcPr>
          <w:p w14:paraId="0072226E"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Value of realised health saving measures announced in the 2014-15 Budget</w:t>
            </w:r>
          </w:p>
        </w:tc>
        <w:tc>
          <w:tcPr>
            <w:tcW w:w="1058" w:type="pct"/>
            <w:tcBorders>
              <w:top w:val="single" w:sz="4" w:space="0" w:color="auto"/>
              <w:left w:val="single" w:sz="4" w:space="0" w:color="auto"/>
              <w:bottom w:val="single" w:sz="4" w:space="0" w:color="auto"/>
              <w:right w:val="single" w:sz="4" w:space="0" w:color="auto"/>
            </w:tcBorders>
            <w:hideMark/>
          </w:tcPr>
          <w:p w14:paraId="359F96A0"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2,242</w:t>
            </w:r>
          </w:p>
        </w:tc>
      </w:tr>
      <w:tr w:rsidR="005B31AB" w:rsidRPr="001345E5" w14:paraId="44066040" w14:textId="77777777" w:rsidTr="001834D0">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4387FE08" w14:textId="77777777" w:rsidR="005B31AB" w:rsidRPr="00E45C98" w:rsidRDefault="005B31AB" w:rsidP="001834D0">
            <w:pPr>
              <w:rPr>
                <w:rFonts w:cstheme="minorHAnsi"/>
              </w:rPr>
            </w:pPr>
            <w:r w:rsidRPr="00E45C98">
              <w:rPr>
                <w:rFonts w:cstheme="minorHAnsi"/>
              </w:rPr>
              <w:t>10 July 2018</w:t>
            </w:r>
          </w:p>
        </w:tc>
        <w:tc>
          <w:tcPr>
            <w:tcW w:w="2761" w:type="pct"/>
            <w:tcBorders>
              <w:top w:val="single" w:sz="4" w:space="0" w:color="auto"/>
              <w:left w:val="single" w:sz="4" w:space="0" w:color="auto"/>
              <w:bottom w:val="single" w:sz="4" w:space="0" w:color="auto"/>
              <w:right w:val="single" w:sz="4" w:space="0" w:color="auto"/>
            </w:tcBorders>
            <w:hideMark/>
          </w:tcPr>
          <w:p w14:paraId="53295AB0"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Value of realised health saving measures announced in the 2014-15 Budget</w:t>
            </w:r>
          </w:p>
        </w:tc>
        <w:tc>
          <w:tcPr>
            <w:tcW w:w="1058" w:type="pct"/>
            <w:tcBorders>
              <w:top w:val="single" w:sz="4" w:space="0" w:color="auto"/>
              <w:left w:val="single" w:sz="4" w:space="0" w:color="auto"/>
              <w:bottom w:val="single" w:sz="4" w:space="0" w:color="auto"/>
              <w:right w:val="single" w:sz="4" w:space="0" w:color="auto"/>
            </w:tcBorders>
            <w:hideMark/>
          </w:tcPr>
          <w:p w14:paraId="7488ED59" w14:textId="77777777" w:rsidR="005B31AB" w:rsidRPr="00E45C98" w:rsidRDefault="005B31AB" w:rsidP="001834D0">
            <w:pPr>
              <w:tabs>
                <w:tab w:val="left" w:pos="1665"/>
              </w:tabs>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2,289</w:t>
            </w:r>
          </w:p>
        </w:tc>
      </w:tr>
      <w:tr w:rsidR="005B31AB" w14:paraId="09362D7A" w14:textId="77777777" w:rsidTr="001834D0">
        <w:trPr>
          <w:trHeight w:val="562"/>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43A746E6" w14:textId="77777777" w:rsidR="005B31AB" w:rsidRPr="00E45C98" w:rsidRDefault="005B31AB" w:rsidP="001834D0">
            <w:pPr>
              <w:rPr>
                <w:rFonts w:cstheme="minorHAnsi"/>
              </w:rPr>
            </w:pPr>
            <w:r w:rsidRPr="00E45C98">
              <w:rPr>
                <w:rFonts w:cstheme="minorHAnsi"/>
              </w:rPr>
              <w:t>23 July 2019</w:t>
            </w:r>
          </w:p>
        </w:tc>
        <w:tc>
          <w:tcPr>
            <w:tcW w:w="2761" w:type="pct"/>
            <w:tcBorders>
              <w:top w:val="single" w:sz="4" w:space="0" w:color="auto"/>
              <w:left w:val="single" w:sz="4" w:space="0" w:color="auto"/>
              <w:bottom w:val="single" w:sz="4" w:space="0" w:color="auto"/>
              <w:right w:val="single" w:sz="4" w:space="0" w:color="auto"/>
            </w:tcBorders>
            <w:hideMark/>
          </w:tcPr>
          <w:p w14:paraId="0357C29F"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Value of realised health saving measures announced in the 2014-15 Budget</w:t>
            </w:r>
          </w:p>
        </w:tc>
        <w:tc>
          <w:tcPr>
            <w:tcW w:w="1058" w:type="pct"/>
            <w:tcBorders>
              <w:top w:val="single" w:sz="4" w:space="0" w:color="auto"/>
              <w:left w:val="single" w:sz="4" w:space="0" w:color="auto"/>
              <w:bottom w:val="single" w:sz="4" w:space="0" w:color="auto"/>
              <w:right w:val="single" w:sz="4" w:space="0" w:color="auto"/>
            </w:tcBorders>
            <w:hideMark/>
          </w:tcPr>
          <w:p w14:paraId="58D1F1CD"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7,831</w:t>
            </w:r>
          </w:p>
        </w:tc>
      </w:tr>
      <w:tr w:rsidR="005B31AB" w:rsidRPr="001345E5" w14:paraId="62E1CF7D" w14:textId="77777777" w:rsidTr="001834D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7E7B594A" w14:textId="77777777" w:rsidR="005B31AB" w:rsidRPr="00E45C98" w:rsidRDefault="005B31AB" w:rsidP="001834D0">
            <w:pPr>
              <w:rPr>
                <w:rFonts w:cstheme="minorHAnsi"/>
              </w:rPr>
            </w:pPr>
            <w:r w:rsidRPr="00E45C98">
              <w:rPr>
                <w:rFonts w:cstheme="minorHAnsi"/>
              </w:rPr>
              <w:t>21 July 2020</w:t>
            </w:r>
          </w:p>
        </w:tc>
        <w:tc>
          <w:tcPr>
            <w:tcW w:w="2761" w:type="pct"/>
            <w:tcBorders>
              <w:top w:val="single" w:sz="4" w:space="0" w:color="auto"/>
              <w:left w:val="single" w:sz="4" w:space="0" w:color="auto"/>
              <w:bottom w:val="single" w:sz="4" w:space="0" w:color="auto"/>
              <w:right w:val="single" w:sz="4" w:space="0" w:color="auto"/>
            </w:tcBorders>
            <w:hideMark/>
          </w:tcPr>
          <w:p w14:paraId="5D1D6005"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Value of realised health saving measures announced in the 2014-15 Budget</w:t>
            </w:r>
          </w:p>
        </w:tc>
        <w:tc>
          <w:tcPr>
            <w:tcW w:w="1058" w:type="pct"/>
            <w:tcBorders>
              <w:top w:val="single" w:sz="4" w:space="0" w:color="auto"/>
              <w:left w:val="single" w:sz="4" w:space="0" w:color="auto"/>
              <w:bottom w:val="single" w:sz="4" w:space="0" w:color="auto"/>
              <w:right w:val="single" w:sz="4" w:space="0" w:color="auto"/>
            </w:tcBorders>
            <w:hideMark/>
          </w:tcPr>
          <w:p w14:paraId="4AF98EA3" w14:textId="77777777" w:rsidR="005B31AB" w:rsidRPr="00E45C98" w:rsidRDefault="005B31AB" w:rsidP="001834D0">
            <w:pPr>
              <w:cnfStyle w:val="000000100000" w:firstRow="0" w:lastRow="0" w:firstColumn="0" w:lastColumn="0" w:oddVBand="0" w:evenVBand="0" w:oddHBand="1" w:evenHBand="0" w:firstRowFirstColumn="0" w:firstRowLastColumn="0" w:lastRowFirstColumn="0" w:lastRowLastColumn="0"/>
              <w:rPr>
                <w:rFonts w:cstheme="minorHAnsi"/>
              </w:rPr>
            </w:pPr>
            <w:r w:rsidRPr="00E45C98">
              <w:rPr>
                <w:rFonts w:cstheme="minorHAnsi"/>
              </w:rPr>
              <w:t>3,212</w:t>
            </w:r>
          </w:p>
        </w:tc>
      </w:tr>
      <w:tr w:rsidR="005B31AB" w14:paraId="03B2236B" w14:textId="77777777" w:rsidTr="001834D0">
        <w:trPr>
          <w:trHeight w:val="23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uto"/>
              <w:left w:val="single" w:sz="4" w:space="0" w:color="auto"/>
              <w:bottom w:val="single" w:sz="4" w:space="0" w:color="auto"/>
              <w:right w:val="single" w:sz="4" w:space="0" w:color="auto"/>
            </w:tcBorders>
            <w:hideMark/>
          </w:tcPr>
          <w:p w14:paraId="0BE1EB2B" w14:textId="77777777" w:rsidR="005B31AB" w:rsidRPr="00E45C98" w:rsidRDefault="005B31AB" w:rsidP="001834D0">
            <w:pPr>
              <w:rPr>
                <w:rFonts w:cstheme="minorHAnsi"/>
              </w:rPr>
            </w:pPr>
            <w:r w:rsidRPr="00E45C98">
              <w:rPr>
                <w:rFonts w:cstheme="minorHAnsi"/>
              </w:rPr>
              <w:t xml:space="preserve">Total </w:t>
            </w:r>
            <w:r>
              <w:rPr>
                <w:rFonts w:cstheme="minorHAnsi"/>
              </w:rPr>
              <w:t>Credits</w:t>
            </w:r>
          </w:p>
        </w:tc>
        <w:tc>
          <w:tcPr>
            <w:tcW w:w="2761" w:type="pct"/>
            <w:tcBorders>
              <w:top w:val="single" w:sz="4" w:space="0" w:color="auto"/>
              <w:left w:val="single" w:sz="4" w:space="0" w:color="auto"/>
              <w:bottom w:val="single" w:sz="4" w:space="0" w:color="auto"/>
              <w:right w:val="single" w:sz="4" w:space="0" w:color="auto"/>
            </w:tcBorders>
            <w:hideMark/>
          </w:tcPr>
          <w:p w14:paraId="750794A7"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 </w:t>
            </w:r>
          </w:p>
        </w:tc>
        <w:tc>
          <w:tcPr>
            <w:tcW w:w="1058" w:type="pct"/>
            <w:tcBorders>
              <w:top w:val="single" w:sz="4" w:space="0" w:color="auto"/>
              <w:left w:val="single" w:sz="4" w:space="0" w:color="auto"/>
              <w:bottom w:val="single" w:sz="4" w:space="0" w:color="auto"/>
              <w:right w:val="single" w:sz="4" w:space="0" w:color="auto"/>
            </w:tcBorders>
            <w:hideMark/>
          </w:tcPr>
          <w:p w14:paraId="3EDEC82C" w14:textId="77777777" w:rsidR="005B31AB" w:rsidRPr="00E45C98" w:rsidRDefault="005B31AB" w:rsidP="001834D0">
            <w:pPr>
              <w:cnfStyle w:val="000000000000" w:firstRow="0" w:lastRow="0" w:firstColumn="0" w:lastColumn="0" w:oddVBand="0" w:evenVBand="0" w:oddHBand="0" w:evenHBand="0" w:firstRowFirstColumn="0" w:firstRowLastColumn="0" w:lastRowFirstColumn="0" w:lastRowLastColumn="0"/>
              <w:rPr>
                <w:rFonts w:cstheme="minorHAnsi"/>
              </w:rPr>
            </w:pPr>
            <w:r w:rsidRPr="00E45C98">
              <w:rPr>
                <w:rFonts w:cstheme="minorHAnsi"/>
              </w:rPr>
              <w:t>20,000</w:t>
            </w:r>
          </w:p>
        </w:tc>
      </w:tr>
    </w:tbl>
    <w:p w14:paraId="640574C5" w14:textId="77777777" w:rsidR="005B31AB" w:rsidRPr="007E51E4" w:rsidRDefault="005B31AB" w:rsidP="005B31AB">
      <w:pPr>
        <w:rPr>
          <w:sz w:val="20"/>
          <w:szCs w:val="20"/>
        </w:rPr>
      </w:pPr>
      <w:r w:rsidRPr="007E51E4">
        <w:rPr>
          <w:sz w:val="20"/>
          <w:szCs w:val="20"/>
        </w:rPr>
        <w:t>Source: Department of Finance</w:t>
      </w:r>
    </w:p>
    <w:p w14:paraId="405D8C8C" w14:textId="77777777" w:rsidR="005B31AB" w:rsidRPr="00E22972" w:rsidRDefault="005B31AB" w:rsidP="005B31AB">
      <w:pPr>
        <w:pStyle w:val="Heading3"/>
      </w:pPr>
      <w:r>
        <w:lastRenderedPageBreak/>
        <w:t>MRFF Investments</w:t>
      </w:r>
    </w:p>
    <w:p w14:paraId="5FE5AEAC" w14:textId="77777777" w:rsidR="005B31AB" w:rsidRDefault="005B31AB" w:rsidP="005B31AB">
      <w:r>
        <w:t xml:space="preserve">Part 4 of the MRFF Act provides that the Future Fund Board has responsibility for investing, at arm’s length from the Government, the capital of the MRFF. </w:t>
      </w:r>
      <w:r>
        <w:rPr>
          <w:rStyle w:val="FootnoteReference"/>
        </w:rPr>
        <w:footnoteReference w:id="3"/>
      </w:r>
    </w:p>
    <w:p w14:paraId="096AF832" w14:textId="332F2FAD" w:rsidR="005B31AB" w:rsidRDefault="005B31AB" w:rsidP="005B31AB">
      <w:r>
        <w:t>Section 43 of the MRFF Act requires the Future Fund Board to comply with an Investment Mandate issued by the responsible Ministers. The Investment Mandate provides the Future Fund Board with strategic directions about the performance of its investment functions and covers matters of financial risk and return, as well as the allocation of financial assets.</w:t>
      </w:r>
      <w:r>
        <w:rPr>
          <w:rStyle w:val="FootnoteReference"/>
        </w:rPr>
        <w:footnoteReference w:id="4"/>
      </w:r>
      <w:r>
        <w:t xml:space="preserve"> To protect the independence of the Future Fund Board and its investment functions, the MRFF Act prohibits the responsible Ministers from using the Investment Mandate to direct the Future Fund Board to invest in any particular financial asset, business entity, activity or business.</w:t>
      </w:r>
      <w:r>
        <w:rPr>
          <w:rStyle w:val="FootnoteReference"/>
        </w:rPr>
        <w:footnoteReference w:id="5"/>
      </w:r>
    </w:p>
    <w:p w14:paraId="67C0455E" w14:textId="77777777" w:rsidR="005B31AB" w:rsidRDefault="005B31AB" w:rsidP="005B31AB">
      <w:r>
        <w:t>The current Investment Mandate</w:t>
      </w:r>
      <w:r w:rsidRPr="00FA68E8">
        <w:t xml:space="preserve"> </w:t>
      </w:r>
      <w:r>
        <w:t>for the MRFF was issued on 8 November 2015, shortly after the MRFF was established.</w:t>
      </w:r>
      <w:r w:rsidRPr="0018705F">
        <w:rPr>
          <w:rStyle w:val="FootnoteReference"/>
        </w:rPr>
        <w:t xml:space="preserve"> </w:t>
      </w:r>
      <w:r>
        <w:rPr>
          <w:rStyle w:val="FootnoteReference"/>
        </w:rPr>
        <w:footnoteReference w:id="6"/>
      </w:r>
      <w:r>
        <w:t xml:space="preserve"> The Investment Mandate </w:t>
      </w:r>
      <w:r w:rsidRPr="009E3DC5">
        <w:t xml:space="preserve">requires the </w:t>
      </w:r>
      <w:r>
        <w:t>Future Fund Board</w:t>
      </w:r>
      <w:r w:rsidRPr="009E3DC5">
        <w:t xml:space="preserve"> to adopt a benchmark return of “at least the Reserve Bank of Australia </w:t>
      </w:r>
      <w:r>
        <w:t xml:space="preserve">(RBA) </w:t>
      </w:r>
      <w:r w:rsidRPr="009E3DC5">
        <w:t xml:space="preserve">Cash Rate target + 1.5 per cent to 2.0 per cent per annum, </w:t>
      </w:r>
      <w:r w:rsidRPr="00C619AA">
        <w:t>net of investment fees, over a rolling 10-year term”.</w:t>
      </w:r>
      <w:r>
        <w:t xml:space="preserve"> The benchmark return reflects disbursement requirements and is consistent with an acceptable level of risk.</w:t>
      </w:r>
    </w:p>
    <w:p w14:paraId="5632119F" w14:textId="3444C2AF" w:rsidR="005B31AB" w:rsidRDefault="005B31AB" w:rsidP="005B31AB">
      <w:r>
        <w:t>Investment mandates are long term in nature, given the perpetual funding intentions of the MRFF. It is therefore appropriate that the Investment Mandate remain in effect until or unless there is a compelling reason to change it.</w:t>
      </w:r>
    </w:p>
    <w:p w14:paraId="59DADEDF" w14:textId="77777777" w:rsidR="005B31AB" w:rsidRPr="00007C48" w:rsidRDefault="005B31AB" w:rsidP="005B31AB">
      <w:pPr>
        <w:pStyle w:val="Heading4"/>
      </w:pPr>
      <w:r w:rsidRPr="00007C48">
        <w:t>Investment Performance</w:t>
      </w:r>
    </w:p>
    <w:p w14:paraId="3CA4F03F" w14:textId="77777777" w:rsidR="005B31AB" w:rsidRPr="007E0E85" w:rsidRDefault="005B31AB" w:rsidP="005B31AB">
      <w:pPr>
        <w:rPr>
          <w:highlight w:val="yellow"/>
        </w:rPr>
      </w:pPr>
      <w:r>
        <w:t>The Future Fund Board’s management of the investments of the MRFF has been in line with the directions in the Investment Mandate. The Future Fund Board has outperformed the benchmark rate of return for the MRFF. It has generated average returns of 4.7 per cent per annum since inception compared to a benchmark of 3.2 per cent.</w:t>
      </w:r>
      <w:r>
        <w:rPr>
          <w:rStyle w:val="FootnoteReference"/>
        </w:rPr>
        <w:footnoteReference w:id="7"/>
      </w:r>
      <w:r>
        <w:t xml:space="preserve"> Total earnings since inception, net of investment and administration fees, have </w:t>
      </w:r>
      <w:r w:rsidRPr="007E0E85">
        <w:t xml:space="preserve">been </w:t>
      </w:r>
      <w:r w:rsidRPr="00D97E26">
        <w:t>$6</w:t>
      </w:r>
      <w:r>
        <w:t>.</w:t>
      </w:r>
      <w:r w:rsidRPr="00D97E26">
        <w:t xml:space="preserve">435 </w:t>
      </w:r>
      <w:r>
        <w:t>b</w:t>
      </w:r>
      <w:r w:rsidRPr="00D97E26">
        <w:t>illion.</w:t>
      </w:r>
      <w:r w:rsidRPr="00D97E26">
        <w:rPr>
          <w:rStyle w:val="FootnoteReference"/>
        </w:rPr>
        <w:footnoteReference w:id="8"/>
      </w:r>
    </w:p>
    <w:p w14:paraId="1EA1758F" w14:textId="77777777" w:rsidR="005B31AB" w:rsidRPr="00D97E26" w:rsidRDefault="005B31AB" w:rsidP="00593EA2">
      <w:pPr>
        <w:pStyle w:val="Caption"/>
      </w:pPr>
      <w:r w:rsidRPr="00D97E26">
        <w:t xml:space="preserve">Table </w:t>
      </w:r>
      <w:r>
        <w:t>2</w:t>
      </w:r>
      <w:r w:rsidRPr="00D97E26">
        <w:t xml:space="preserve">: MRFF Credits, Earnings and Disbursements since inception (as </w:t>
      </w:r>
      <w:proofErr w:type="gramStart"/>
      <w:r w:rsidRPr="00D97E26">
        <w:t>at</w:t>
      </w:r>
      <w:proofErr w:type="gramEnd"/>
      <w:r w:rsidRPr="00D97E26">
        <w:t xml:space="preserve"> 30 September 2024)</w:t>
      </w:r>
    </w:p>
    <w:tbl>
      <w:tblPr>
        <w:tblStyle w:val="ListTable3-Accent1"/>
        <w:tblW w:w="0" w:type="auto"/>
        <w:tblLook w:val="04A0" w:firstRow="1" w:lastRow="0" w:firstColumn="1" w:lastColumn="0" w:noHBand="0" w:noVBand="1"/>
      </w:tblPr>
      <w:tblGrid>
        <w:gridCol w:w="4353"/>
        <w:gridCol w:w="2348"/>
      </w:tblGrid>
      <w:tr w:rsidR="005B31AB" w:rsidRPr="005368E3" w14:paraId="12F2533F" w14:textId="77777777" w:rsidTr="00593EA2">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100" w:firstRow="0" w:lastRow="0" w:firstColumn="1" w:lastColumn="0" w:oddVBand="0" w:evenVBand="0" w:oddHBand="0" w:evenHBand="0" w:firstRowFirstColumn="1" w:firstRowLastColumn="0" w:lastRowFirstColumn="0" w:lastRowLastColumn="0"/>
            <w:tcW w:w="4353" w:type="dxa"/>
            <w:tcBorders>
              <w:bottom w:val="single" w:sz="4" w:space="0" w:color="auto"/>
            </w:tcBorders>
          </w:tcPr>
          <w:p w14:paraId="3327AC2B" w14:textId="77777777" w:rsidR="005B31AB" w:rsidRPr="005368E3" w:rsidRDefault="005B31AB" w:rsidP="001834D0"/>
        </w:tc>
        <w:tc>
          <w:tcPr>
            <w:tcW w:w="2348" w:type="dxa"/>
            <w:tcBorders>
              <w:bottom w:val="single" w:sz="4" w:space="0" w:color="auto"/>
            </w:tcBorders>
          </w:tcPr>
          <w:p w14:paraId="1404B076" w14:textId="77777777" w:rsidR="005B31AB" w:rsidRPr="005368E3" w:rsidRDefault="005B31AB" w:rsidP="001834D0">
            <w:pPr>
              <w:jc w:val="center"/>
              <w:cnfStyle w:val="100000000000" w:firstRow="1" w:lastRow="0" w:firstColumn="0" w:lastColumn="0" w:oddVBand="0" w:evenVBand="0" w:oddHBand="0" w:evenHBand="0" w:firstRowFirstColumn="0" w:firstRowLastColumn="0" w:lastRowFirstColumn="0" w:lastRowLastColumn="0"/>
            </w:pPr>
            <w:r w:rsidRPr="005368E3">
              <w:t>$ million</w:t>
            </w:r>
          </w:p>
        </w:tc>
      </w:tr>
      <w:tr w:rsidR="005B31AB" w:rsidRPr="005368E3" w14:paraId="2B5959D4" w14:textId="77777777" w:rsidTr="001834D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353" w:type="dxa"/>
            <w:tcBorders>
              <w:top w:val="single" w:sz="4" w:space="0" w:color="auto"/>
              <w:left w:val="single" w:sz="4" w:space="0" w:color="auto"/>
              <w:bottom w:val="single" w:sz="4" w:space="0" w:color="auto"/>
              <w:right w:val="single" w:sz="4" w:space="0" w:color="auto"/>
            </w:tcBorders>
          </w:tcPr>
          <w:p w14:paraId="75704A16" w14:textId="77777777" w:rsidR="005B31AB" w:rsidRPr="00526510" w:rsidRDefault="005B31AB" w:rsidP="001834D0">
            <w:pPr>
              <w:rPr>
                <w:b w:val="0"/>
              </w:rPr>
            </w:pPr>
            <w:r w:rsidRPr="00D24DB6">
              <w:t>Total</w:t>
            </w:r>
            <w:r w:rsidRPr="001345E5">
              <w:rPr>
                <w:b w:val="0"/>
                <w:bCs w:val="0"/>
              </w:rPr>
              <w:t xml:space="preserve"> </w:t>
            </w:r>
            <w:r w:rsidRPr="005368E3">
              <w:t>Credits</w:t>
            </w:r>
          </w:p>
        </w:tc>
        <w:tc>
          <w:tcPr>
            <w:tcW w:w="2348" w:type="dxa"/>
            <w:tcBorders>
              <w:top w:val="single" w:sz="4" w:space="0" w:color="auto"/>
              <w:left w:val="single" w:sz="4" w:space="0" w:color="auto"/>
              <w:bottom w:val="single" w:sz="4" w:space="0" w:color="auto"/>
              <w:right w:val="single" w:sz="4" w:space="0" w:color="auto"/>
            </w:tcBorders>
          </w:tcPr>
          <w:p w14:paraId="6FD722A7" w14:textId="77777777" w:rsidR="005B31AB" w:rsidRPr="005368E3" w:rsidRDefault="005B31AB" w:rsidP="001834D0">
            <w:pPr>
              <w:jc w:val="center"/>
              <w:cnfStyle w:val="000000100000" w:firstRow="0" w:lastRow="0" w:firstColumn="0" w:lastColumn="0" w:oddVBand="0" w:evenVBand="0" w:oddHBand="1" w:evenHBand="0" w:firstRowFirstColumn="0" w:firstRowLastColumn="0" w:lastRowFirstColumn="0" w:lastRowLastColumn="0"/>
            </w:pPr>
            <w:r w:rsidRPr="005368E3">
              <w:t>20,000</w:t>
            </w:r>
          </w:p>
        </w:tc>
      </w:tr>
      <w:tr w:rsidR="005B31AB" w:rsidRPr="005368E3" w14:paraId="06A84ECA" w14:textId="77777777" w:rsidTr="001834D0">
        <w:trPr>
          <w:trHeight w:val="520"/>
        </w:trPr>
        <w:tc>
          <w:tcPr>
            <w:cnfStyle w:val="001000000000" w:firstRow="0" w:lastRow="0" w:firstColumn="1" w:lastColumn="0" w:oddVBand="0" w:evenVBand="0" w:oddHBand="0" w:evenHBand="0" w:firstRowFirstColumn="0" w:firstRowLastColumn="0" w:lastRowFirstColumn="0" w:lastRowLastColumn="0"/>
            <w:tcW w:w="4353" w:type="dxa"/>
            <w:tcBorders>
              <w:top w:val="single" w:sz="4" w:space="0" w:color="auto"/>
              <w:left w:val="single" w:sz="4" w:space="0" w:color="auto"/>
              <w:bottom w:val="single" w:sz="4" w:space="0" w:color="auto"/>
              <w:right w:val="single" w:sz="4" w:space="0" w:color="auto"/>
            </w:tcBorders>
          </w:tcPr>
          <w:p w14:paraId="1DD7E8EB" w14:textId="77777777" w:rsidR="005B31AB" w:rsidRPr="00526510" w:rsidRDefault="005B31AB" w:rsidP="001834D0">
            <w:pPr>
              <w:rPr>
                <w:b w:val="0"/>
              </w:rPr>
            </w:pPr>
            <w:r>
              <w:rPr>
                <w:b w:val="0"/>
                <w:bCs w:val="0"/>
                <w:i/>
                <w:iCs/>
              </w:rPr>
              <w:t xml:space="preserve">(Plus) </w:t>
            </w:r>
            <w:r w:rsidRPr="005368E3">
              <w:t>Net Investment Earnings</w:t>
            </w:r>
            <w:r w:rsidRPr="005368E3">
              <w:rPr>
                <w:rStyle w:val="FootnoteReference"/>
              </w:rPr>
              <w:footnoteReference w:id="9"/>
            </w:r>
          </w:p>
        </w:tc>
        <w:tc>
          <w:tcPr>
            <w:tcW w:w="2348" w:type="dxa"/>
            <w:tcBorders>
              <w:top w:val="single" w:sz="4" w:space="0" w:color="auto"/>
              <w:left w:val="single" w:sz="4" w:space="0" w:color="auto"/>
              <w:bottom w:val="single" w:sz="4" w:space="0" w:color="auto"/>
              <w:right w:val="single" w:sz="4" w:space="0" w:color="auto"/>
            </w:tcBorders>
          </w:tcPr>
          <w:p w14:paraId="7F0F3D1C" w14:textId="77777777" w:rsidR="005B31AB" w:rsidRPr="005368E3" w:rsidRDefault="005B31AB" w:rsidP="001834D0">
            <w:pPr>
              <w:jc w:val="center"/>
              <w:cnfStyle w:val="000000000000" w:firstRow="0" w:lastRow="0" w:firstColumn="0" w:lastColumn="0" w:oddVBand="0" w:evenVBand="0" w:oddHBand="0" w:evenHBand="0" w:firstRowFirstColumn="0" w:firstRowLastColumn="0" w:lastRowFirstColumn="0" w:lastRowLastColumn="0"/>
            </w:pPr>
            <w:r w:rsidRPr="005368E3">
              <w:t>6,</w:t>
            </w:r>
            <w:r>
              <w:t>435</w:t>
            </w:r>
          </w:p>
        </w:tc>
      </w:tr>
      <w:tr w:rsidR="005B31AB" w:rsidRPr="005368E3" w14:paraId="132BCC4E" w14:textId="77777777" w:rsidTr="001834D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353" w:type="dxa"/>
            <w:tcBorders>
              <w:top w:val="single" w:sz="4" w:space="0" w:color="auto"/>
              <w:left w:val="single" w:sz="4" w:space="0" w:color="auto"/>
              <w:bottom w:val="single" w:sz="4" w:space="0" w:color="auto"/>
              <w:right w:val="single" w:sz="4" w:space="0" w:color="auto"/>
            </w:tcBorders>
          </w:tcPr>
          <w:p w14:paraId="01E3595A" w14:textId="77777777" w:rsidR="005B31AB" w:rsidRPr="00526510" w:rsidRDefault="005B31AB" w:rsidP="001834D0">
            <w:pPr>
              <w:rPr>
                <w:b w:val="0"/>
              </w:rPr>
            </w:pPr>
            <w:r>
              <w:rPr>
                <w:b w:val="0"/>
                <w:bCs w:val="0"/>
                <w:i/>
                <w:iCs/>
              </w:rPr>
              <w:t xml:space="preserve">(Less) </w:t>
            </w:r>
            <w:r w:rsidRPr="005368E3">
              <w:t>Disbursements</w:t>
            </w:r>
          </w:p>
        </w:tc>
        <w:tc>
          <w:tcPr>
            <w:tcW w:w="2348" w:type="dxa"/>
            <w:tcBorders>
              <w:top w:val="single" w:sz="4" w:space="0" w:color="auto"/>
              <w:left w:val="single" w:sz="4" w:space="0" w:color="auto"/>
              <w:bottom w:val="single" w:sz="4" w:space="0" w:color="auto"/>
              <w:right w:val="single" w:sz="4" w:space="0" w:color="auto"/>
            </w:tcBorders>
          </w:tcPr>
          <w:p w14:paraId="09E78D7E" w14:textId="77777777" w:rsidR="005B31AB" w:rsidRPr="005368E3" w:rsidRDefault="005B31AB" w:rsidP="001834D0">
            <w:pPr>
              <w:jc w:val="center"/>
              <w:cnfStyle w:val="000000100000" w:firstRow="0" w:lastRow="0" w:firstColumn="0" w:lastColumn="0" w:oddVBand="0" w:evenVBand="0" w:oddHBand="1" w:evenHBand="0" w:firstRowFirstColumn="0" w:firstRowLastColumn="0" w:lastRowFirstColumn="0" w:lastRowLastColumn="0"/>
            </w:pPr>
            <w:r w:rsidRPr="005368E3">
              <w:t>(</w:t>
            </w:r>
            <w:r>
              <w:t>3,150</w:t>
            </w:r>
            <w:r w:rsidRPr="005368E3">
              <w:t>)</w:t>
            </w:r>
          </w:p>
        </w:tc>
      </w:tr>
      <w:tr w:rsidR="005B31AB" w:rsidRPr="005368E3" w14:paraId="48D2A8C2" w14:textId="77777777" w:rsidTr="001834D0">
        <w:trPr>
          <w:trHeight w:val="167"/>
        </w:trPr>
        <w:tc>
          <w:tcPr>
            <w:cnfStyle w:val="001000000000" w:firstRow="0" w:lastRow="0" w:firstColumn="1" w:lastColumn="0" w:oddVBand="0" w:evenVBand="0" w:oddHBand="0" w:evenHBand="0" w:firstRowFirstColumn="0" w:firstRowLastColumn="0" w:lastRowFirstColumn="0" w:lastRowLastColumn="0"/>
            <w:tcW w:w="4353" w:type="dxa"/>
            <w:tcBorders>
              <w:top w:val="single" w:sz="4" w:space="0" w:color="auto"/>
              <w:left w:val="single" w:sz="4" w:space="0" w:color="auto"/>
              <w:bottom w:val="single" w:sz="4" w:space="0" w:color="auto"/>
              <w:right w:val="single" w:sz="4" w:space="0" w:color="auto"/>
            </w:tcBorders>
          </w:tcPr>
          <w:p w14:paraId="12499948" w14:textId="77777777" w:rsidR="005B31AB" w:rsidRPr="005368E3" w:rsidRDefault="005B31AB" w:rsidP="001834D0">
            <w:pPr>
              <w:rPr>
                <w:b w:val="0"/>
              </w:rPr>
            </w:pPr>
            <w:r w:rsidRPr="00D24DB6">
              <w:rPr>
                <w:i/>
                <w:iCs/>
              </w:rPr>
              <w:t>(Equals)</w:t>
            </w:r>
            <w:r w:rsidRPr="005368E3">
              <w:t xml:space="preserve"> Balance</w:t>
            </w:r>
          </w:p>
        </w:tc>
        <w:tc>
          <w:tcPr>
            <w:tcW w:w="2348" w:type="dxa"/>
            <w:tcBorders>
              <w:top w:val="single" w:sz="4" w:space="0" w:color="auto"/>
              <w:left w:val="single" w:sz="4" w:space="0" w:color="auto"/>
              <w:bottom w:val="single" w:sz="4" w:space="0" w:color="auto"/>
              <w:right w:val="single" w:sz="4" w:space="0" w:color="auto"/>
            </w:tcBorders>
          </w:tcPr>
          <w:p w14:paraId="2C8A184A" w14:textId="77777777" w:rsidR="005B31AB" w:rsidRPr="005368E3" w:rsidRDefault="005B31AB" w:rsidP="001834D0">
            <w:pPr>
              <w:jc w:val="center"/>
              <w:cnfStyle w:val="000000000000" w:firstRow="0" w:lastRow="0" w:firstColumn="0" w:lastColumn="0" w:oddVBand="0" w:evenVBand="0" w:oddHBand="0" w:evenHBand="0" w:firstRowFirstColumn="0" w:firstRowLastColumn="0" w:lastRowFirstColumn="0" w:lastRowLastColumn="0"/>
              <w:rPr>
                <w:b/>
                <w:bCs/>
              </w:rPr>
            </w:pPr>
            <w:r w:rsidRPr="005368E3">
              <w:rPr>
                <w:b/>
                <w:bCs/>
              </w:rPr>
              <w:t>23,</w:t>
            </w:r>
            <w:r>
              <w:rPr>
                <w:b/>
                <w:bCs/>
              </w:rPr>
              <w:t>285</w:t>
            </w:r>
          </w:p>
        </w:tc>
      </w:tr>
    </w:tbl>
    <w:p w14:paraId="54A102D0" w14:textId="77777777" w:rsidR="005B31AB" w:rsidRPr="007E51E4" w:rsidRDefault="005B31AB" w:rsidP="005B31AB">
      <w:pPr>
        <w:keepNext/>
        <w:spacing w:before="120"/>
        <w:rPr>
          <w:color w:val="000000" w:themeColor="text1"/>
          <w:sz w:val="20"/>
          <w:szCs w:val="20"/>
        </w:rPr>
      </w:pPr>
      <w:r>
        <w:rPr>
          <w:color w:val="000000" w:themeColor="text1"/>
          <w:sz w:val="20"/>
          <w:szCs w:val="20"/>
        </w:rPr>
        <w:t>Source: Department of Finance</w:t>
      </w:r>
    </w:p>
    <w:p w14:paraId="3FF5D01C" w14:textId="1DD14896" w:rsidR="005B31AB" w:rsidRPr="008F0C08" w:rsidRDefault="005B31AB" w:rsidP="005B31AB">
      <w:pPr>
        <w:spacing w:before="120"/>
        <w:rPr>
          <w:color w:val="000000" w:themeColor="text1"/>
        </w:rPr>
      </w:pPr>
      <w:r w:rsidRPr="005368E3">
        <w:rPr>
          <w:color w:val="000000" w:themeColor="text1"/>
        </w:rPr>
        <w:t xml:space="preserve">The successful investment of the MRFF portfolio since inception has generated additional funds </w:t>
      </w:r>
      <w:r>
        <w:rPr>
          <w:color w:val="000000" w:themeColor="text1"/>
        </w:rPr>
        <w:t>above the level of disbursements</w:t>
      </w:r>
      <w:r w:rsidRPr="005368E3">
        <w:rPr>
          <w:color w:val="000000" w:themeColor="text1"/>
        </w:rPr>
        <w:t xml:space="preserve">. If the </w:t>
      </w:r>
      <w:r>
        <w:rPr>
          <w:color w:val="000000" w:themeColor="text1"/>
        </w:rPr>
        <w:t xml:space="preserve">current </w:t>
      </w:r>
      <w:r w:rsidRPr="005368E3">
        <w:rPr>
          <w:color w:val="000000" w:themeColor="text1"/>
        </w:rPr>
        <w:t xml:space="preserve">annual </w:t>
      </w:r>
      <w:r>
        <w:rPr>
          <w:color w:val="000000" w:themeColor="text1"/>
        </w:rPr>
        <w:t xml:space="preserve">disbursement figure of </w:t>
      </w:r>
      <w:r w:rsidRPr="005368E3">
        <w:rPr>
          <w:color w:val="000000" w:themeColor="text1"/>
        </w:rPr>
        <w:t xml:space="preserve">$650 million </w:t>
      </w:r>
      <w:r>
        <w:rPr>
          <w:color w:val="000000" w:themeColor="text1"/>
        </w:rPr>
        <w:t>is</w:t>
      </w:r>
      <w:r w:rsidRPr="005368E3">
        <w:rPr>
          <w:color w:val="000000" w:themeColor="text1"/>
        </w:rPr>
        <w:t xml:space="preserve"> </w:t>
      </w:r>
      <w:r w:rsidRPr="005368E3">
        <w:rPr>
          <w:color w:val="000000" w:themeColor="text1"/>
        </w:rPr>
        <w:lastRenderedPageBreak/>
        <w:t>retained and the benchmark is achieved, it is projected that the MRFF w</w:t>
      </w:r>
      <w:r>
        <w:rPr>
          <w:color w:val="000000" w:themeColor="text1"/>
        </w:rPr>
        <w:t>ill</w:t>
      </w:r>
      <w:r w:rsidRPr="005368E3">
        <w:rPr>
          <w:color w:val="000000" w:themeColor="text1"/>
        </w:rPr>
        <w:t xml:space="preserve"> grow to over $30 billion by 203</w:t>
      </w:r>
      <w:r>
        <w:rPr>
          <w:color w:val="000000" w:themeColor="text1"/>
        </w:rPr>
        <w:t>3</w:t>
      </w:r>
      <w:r w:rsidRPr="005368E3">
        <w:rPr>
          <w:color w:val="000000" w:themeColor="text1"/>
        </w:rPr>
        <w:t>-3</w:t>
      </w:r>
      <w:r>
        <w:rPr>
          <w:color w:val="000000" w:themeColor="text1"/>
        </w:rPr>
        <w:t>4</w:t>
      </w:r>
      <w:r w:rsidRPr="005368E3">
        <w:rPr>
          <w:color w:val="000000" w:themeColor="text1"/>
        </w:rPr>
        <w:t>.</w:t>
      </w:r>
    </w:p>
    <w:p w14:paraId="543DA740" w14:textId="77777777" w:rsidR="005B31AB" w:rsidRDefault="005B31AB" w:rsidP="005B31AB">
      <w:r w:rsidRPr="00075BD9">
        <w:t xml:space="preserve">Information on the investment performance and asset allocation of the MRFF is available in the </w:t>
      </w:r>
      <w:r>
        <w:t xml:space="preserve">Future Fund’s </w:t>
      </w:r>
      <w:r w:rsidRPr="00075BD9">
        <w:t>quarterly portfolio updates</w:t>
      </w:r>
      <w:r>
        <w:t>,</w:t>
      </w:r>
      <w:r w:rsidRPr="00075BD9">
        <w:t xml:space="preserve"> with more detailed information on MRFF investment holdings published as part of the Future Fund Periodic Investment Reports</w:t>
      </w:r>
      <w:r>
        <w:t>.</w:t>
      </w:r>
      <w:r w:rsidRPr="00075BD9">
        <w:rPr>
          <w:rStyle w:val="FootnoteReference"/>
        </w:rPr>
        <w:footnoteReference w:id="10"/>
      </w:r>
    </w:p>
    <w:p w14:paraId="5C461D5D" w14:textId="00DA7212" w:rsidR="005B31AB" w:rsidRDefault="005B31AB" w:rsidP="005B31AB">
      <w:r>
        <w:t>The Future Fund Board ensures that the necessary amounts from the MRFF are made available in the MRFF Special Account for the purpose of providing grants for medical research and medical innovation. The main purpose of the MRFF Special Account, as per section 17 of the MRFF Act, is to make payments to support medical research and medical innovation.</w:t>
      </w:r>
    </w:p>
    <w:p w14:paraId="08E14DD5" w14:textId="77777777" w:rsidR="005B31AB" w:rsidRDefault="005B31AB" w:rsidP="005B31AB">
      <w:pPr>
        <w:pStyle w:val="Heading2"/>
        <w:spacing w:after="240"/>
      </w:pPr>
      <w:bookmarkStart w:id="10" w:name="_Toc185589234"/>
      <w:r>
        <w:t>Transfers from the MRFF Special Account</w:t>
      </w:r>
      <w:bookmarkEnd w:id="10"/>
    </w:p>
    <w:p w14:paraId="46739E13" w14:textId="77777777" w:rsidR="005B31AB" w:rsidRDefault="005B31AB" w:rsidP="005B31AB">
      <w:r>
        <w:t>Amounts may be transferred from the MRFF Special Account to:</w:t>
      </w:r>
    </w:p>
    <w:p w14:paraId="5C84137F" w14:textId="77777777" w:rsidR="005B31AB" w:rsidRDefault="005B31AB" w:rsidP="00A213D2">
      <w:pPr>
        <w:pStyle w:val="List"/>
      </w:pPr>
      <w:r>
        <w:t>the MRFF Health Special Account (for grants to a medical research institute, a university, a corporate Commonwealth entity or a corporation),</w:t>
      </w:r>
    </w:p>
    <w:p w14:paraId="51ECCBBF" w14:textId="77777777" w:rsidR="005B31AB" w:rsidRPr="008653FB" w:rsidRDefault="005B31AB" w:rsidP="00A213D2">
      <w:pPr>
        <w:pStyle w:val="List"/>
      </w:pPr>
      <w:r w:rsidRPr="008653FB">
        <w:t xml:space="preserve">the </w:t>
      </w:r>
      <w:r>
        <w:t xml:space="preserve">Federation </w:t>
      </w:r>
      <w:r w:rsidRPr="008653FB">
        <w:t>Reform Fund (for grants to the states and territories)</w:t>
      </w:r>
      <w:r>
        <w:t>,</w:t>
      </w:r>
      <w:r w:rsidRPr="008653FB">
        <w:t xml:space="preserve"> and</w:t>
      </w:r>
    </w:p>
    <w:p w14:paraId="04514BB6" w14:textId="77777777" w:rsidR="005B31AB" w:rsidRPr="008653FB" w:rsidRDefault="005B31AB" w:rsidP="00A213D2">
      <w:pPr>
        <w:pStyle w:val="List"/>
      </w:pPr>
      <w:r w:rsidRPr="008653FB">
        <w:t>corporate Commonwealth entitie</w:t>
      </w:r>
      <w:r w:rsidRPr="00D861F5">
        <w:t>s.</w:t>
      </w:r>
    </w:p>
    <w:p w14:paraId="3DD2391E" w14:textId="77777777" w:rsidR="005B31AB" w:rsidRDefault="005B31AB" w:rsidP="005B31AB">
      <w:r>
        <w:t>The MRFF Special Account has other legislated purposes listed in sections 18 and 19 of the MRFF Act. These provisions allow the MRFF Special Account to be used to cover expenses that may be incurred by the Future Fund Board in respect of its investment functions. These are standard provisions contained in the legislation for all AGIFs that allow the Future Fund Board to apportion and recover costs between the various investment funds under its management.</w:t>
      </w:r>
    </w:p>
    <w:p w14:paraId="44E60FFC" w14:textId="77777777" w:rsidR="005B31AB" w:rsidRDefault="005B31AB" w:rsidP="005B31AB">
      <w:pPr>
        <w:spacing w:before="240"/>
      </w:pPr>
      <w:r>
        <w:t>The Health Minister may request (under section 15A of the MRFF Act) that the Finance Minister debit an amount from the MRFF Special Account (administered by the Department of Finance). When this occurs, the Finance Minister is required to direct in writing that the transfer be made.</w:t>
      </w:r>
      <w:r>
        <w:rPr>
          <w:rStyle w:val="FootnoteReference"/>
        </w:rPr>
        <w:footnoteReference w:id="11"/>
      </w:r>
    </w:p>
    <w:p w14:paraId="49001974" w14:textId="77777777" w:rsidR="005B31AB" w:rsidRDefault="005B31AB" w:rsidP="005B31AB">
      <w:pPr>
        <w:spacing w:before="240"/>
      </w:pPr>
      <w:r>
        <w:t>The direction by the Finance Minister is not a legislative instrument.</w:t>
      </w:r>
      <w:r>
        <w:rPr>
          <w:rStyle w:val="FootnoteReference"/>
        </w:rPr>
        <w:footnoteReference w:id="12"/>
      </w:r>
      <w:r>
        <w:t xml:space="preserve"> A copy of the direction must be provided to the Health Minister and the Treasurer.</w:t>
      </w:r>
      <w:r>
        <w:rPr>
          <w:rStyle w:val="FootnoteReference"/>
        </w:rPr>
        <w:footnoteReference w:id="13"/>
      </w:r>
      <w:r>
        <w:t xml:space="preserve"> These provisions provide visibility over transfers and facilitate the efficient administration of grants payments. In practice, delegates of the Ministers and officials within the relevant departments and the Future Fund Management Agency work together to prepare for transfers to be made in an efficient and timely manner.</w:t>
      </w:r>
    </w:p>
    <w:p w14:paraId="23DD47FE" w14:textId="674A4A4B" w:rsidR="005B31AB" w:rsidRDefault="005B31AB" w:rsidP="005B31AB">
      <w:pPr>
        <w:spacing w:before="240"/>
      </w:pPr>
      <w:r>
        <w:t xml:space="preserve">The MRFF Act provides for funds to be debited from the MRFF Special Account to the MRFF Health Special Account, the </w:t>
      </w:r>
      <w:r>
        <w:rPr>
          <w:szCs w:val="20"/>
        </w:rPr>
        <w:t>Federation</w:t>
      </w:r>
      <w:r>
        <w:t xml:space="preserve"> Reform Fund (formerly the COAG Reform Fund) or directly to a corporate Commonwealth entity.</w:t>
      </w:r>
    </w:p>
    <w:p w14:paraId="7B1F8E5F" w14:textId="77777777" w:rsidR="005B31AB" w:rsidRDefault="005B31AB" w:rsidP="005B31AB">
      <w:pPr>
        <w:spacing w:before="240"/>
      </w:pPr>
      <w:r>
        <w:t>To date, funds from the MRFF Special Account have exclusively been debited to the MRFF Health Special Account (</w:t>
      </w:r>
      <w:r w:rsidRPr="00C80AEB">
        <w:t>see p</w:t>
      </w:r>
      <w:r>
        <w:t>age</w:t>
      </w:r>
      <w:r w:rsidRPr="00C80AEB">
        <w:t xml:space="preserve"> 21).</w:t>
      </w:r>
    </w:p>
    <w:p w14:paraId="04A5CE13" w14:textId="32F35BD5" w:rsidR="005B31AB" w:rsidRDefault="005B31AB" w:rsidP="005B31AB">
      <w:pPr>
        <w:spacing w:before="240"/>
      </w:pPr>
      <w:r>
        <w:lastRenderedPageBreak/>
        <w:t>Disbursements from the MRFF Special Account to the MRFF Health Special Account occur on a quarterly basis, with the Department of Health and Aged Care assessing the grant payment requirements for the upcoming quarter.</w:t>
      </w:r>
    </w:p>
    <w:p w14:paraId="67DF503E" w14:textId="77777777" w:rsidR="005B31AB" w:rsidRPr="008C4892" w:rsidRDefault="005B31AB" w:rsidP="005B31AB">
      <w:pPr>
        <w:spacing w:before="240"/>
        <w:rPr>
          <w:lang w:eastAsia="en-AU"/>
        </w:rPr>
      </w:pPr>
      <w:r>
        <w:t>Finance officials ensure that the requested debits from the MRFF Special Account comply with legislative and administrative requirements.</w:t>
      </w:r>
    </w:p>
    <w:p w14:paraId="7D165434" w14:textId="0C4E7438" w:rsidR="005B31AB" w:rsidRPr="005264E8" w:rsidRDefault="005B31AB" w:rsidP="005B31AB">
      <w:pPr>
        <w:pStyle w:val="Heading2"/>
        <w:spacing w:after="240"/>
      </w:pPr>
      <w:bookmarkStart w:id="11" w:name="_Toc185589235"/>
      <w:r w:rsidRPr="005264E8">
        <w:t>MRFF Health Special Account</w:t>
      </w:r>
      <w:bookmarkEnd w:id="11"/>
    </w:p>
    <w:p w14:paraId="5CA94E7E" w14:textId="3D16BECA" w:rsidR="005B31AB" w:rsidRDefault="005B31AB" w:rsidP="005B31AB">
      <w:r>
        <w:t>The MRFF Health Special Account, established by section 23 of the MRFF Act, is administered by the Department of Health and Aged Care and receives credits exclusively from the MRFF Special Account. It has the purpose of making medical research and medical innovation grants to medical research institutes, universities, corporate Commonwealth entities and corporations.</w:t>
      </w:r>
    </w:p>
    <w:p w14:paraId="66351E80" w14:textId="77777777" w:rsidR="005B31AB" w:rsidRDefault="005B31AB" w:rsidP="005B31AB">
      <w:r>
        <w:t xml:space="preserve">Grant payments from the MRFF Health Special Account are </w:t>
      </w:r>
      <w:r w:rsidRPr="00C80AEB">
        <w:t>discussed on pages 18</w:t>
      </w:r>
      <w:r>
        <w:t>-23 of this Review.</w:t>
      </w:r>
    </w:p>
    <w:p w14:paraId="1EDFEF77" w14:textId="77777777" w:rsidR="005B31AB" w:rsidRPr="005264E8" w:rsidRDefault="005B31AB" w:rsidP="005B31AB">
      <w:pPr>
        <w:pStyle w:val="Heading2"/>
        <w:spacing w:after="240"/>
      </w:pPr>
      <w:bookmarkStart w:id="12" w:name="_Toc185589236"/>
      <w:r>
        <w:t>Maximum Annual Distribution Amount</w:t>
      </w:r>
      <w:bookmarkEnd w:id="12"/>
    </w:p>
    <w:p w14:paraId="0FF26F57" w14:textId="77777777" w:rsidR="005B31AB" w:rsidRDefault="005B31AB" w:rsidP="005B31AB">
      <w:r>
        <w:t>The maximum amount available for grants from the MRFF Special Account is determined</w:t>
      </w:r>
      <w:r w:rsidRPr="0012044A">
        <w:t xml:space="preserve"> </w:t>
      </w:r>
      <w:r>
        <w:t>under Part 3 of the MRFF Act, which requires the Future Fund Board to determine a Maximum Annual Distribution Amount (MADA) for each financial year.</w:t>
      </w:r>
    </w:p>
    <w:p w14:paraId="62A61E8A" w14:textId="2CA21F01" w:rsidR="005B31AB" w:rsidRDefault="005B31AB" w:rsidP="005B31AB">
      <w:r>
        <w:t>Under the current determination by the Finance Minister, the Future Fund Board must provide its annual determination to the Finance Minister by the first Friday in November of the preceding financial year (approximately 8 months before the relevant financial year commences).</w:t>
      </w:r>
    </w:p>
    <w:p w14:paraId="19EE8E58" w14:textId="77777777" w:rsidR="005B31AB" w:rsidRDefault="005B31AB" w:rsidP="005B31AB">
      <w:r>
        <w:t xml:space="preserve">In making each determination, the Future Fund Board must take into account the principles </w:t>
      </w:r>
      <w:r w:rsidRPr="002029D1">
        <w:t>that</w:t>
      </w:r>
      <w:r>
        <w:t>:</w:t>
      </w:r>
    </w:p>
    <w:p w14:paraId="6FD78342" w14:textId="77777777" w:rsidR="005B31AB" w:rsidRDefault="005B31AB" w:rsidP="00921048">
      <w:pPr>
        <w:pStyle w:val="List"/>
      </w:pPr>
      <w:r w:rsidRPr="002029D1">
        <w:t xml:space="preserve">the </w:t>
      </w:r>
      <w:r>
        <w:t xml:space="preserve">nominal </w:t>
      </w:r>
      <w:r w:rsidRPr="002029D1">
        <w:t>value of credits to the MRFF be preserved over the long term</w:t>
      </w:r>
      <w:r>
        <w:t>, and</w:t>
      </w:r>
    </w:p>
    <w:p w14:paraId="39D36B25" w14:textId="77777777" w:rsidR="005B31AB" w:rsidRDefault="005B31AB" w:rsidP="00921048">
      <w:pPr>
        <w:pStyle w:val="List"/>
      </w:pPr>
      <w:r w:rsidRPr="002029D1">
        <w:t xml:space="preserve">the volatility in </w:t>
      </w:r>
      <w:r>
        <w:t xml:space="preserve">maximum annual distributions </w:t>
      </w:r>
      <w:r w:rsidRPr="002029D1">
        <w:t>be moderated</w:t>
      </w:r>
      <w:r>
        <w:t xml:space="preserve"> from one financial year to the next, to the extent possible</w:t>
      </w:r>
      <w:r w:rsidRPr="002029D1">
        <w:t>.</w:t>
      </w:r>
    </w:p>
    <w:p w14:paraId="7EC24121" w14:textId="77777777" w:rsidR="005B31AB" w:rsidRDefault="005B31AB" w:rsidP="005B31AB">
      <w:r>
        <w:t>The Future Fund Board</w:t>
      </w:r>
      <w:r w:rsidRPr="00C25B5B">
        <w:t xml:space="preserve"> </w:t>
      </w:r>
      <w:r>
        <w:t xml:space="preserve">is also required to describe, in each determination, the method and considerations taken into account for working out the </w:t>
      </w:r>
      <w:r w:rsidRPr="00C80AEB">
        <w:t>MADA (see Box 2</w:t>
      </w:r>
      <w:r>
        <w:t>).</w:t>
      </w:r>
    </w:p>
    <w:p w14:paraId="7D499542" w14:textId="628C381C" w:rsidR="005B31AB" w:rsidRPr="00ED28BF" w:rsidRDefault="005B31AB" w:rsidP="005B31AB">
      <w:pPr>
        <w:spacing w:before="240"/>
      </w:pPr>
      <w:r w:rsidRPr="005F2B03">
        <w:t>While the MADA sets the maximum drawdown for gran</w:t>
      </w:r>
      <w:r>
        <w:t>t</w:t>
      </w:r>
      <w:r w:rsidRPr="005F2B03">
        <w:t xml:space="preserve">s from a legislative perspective, the </w:t>
      </w:r>
      <w:r>
        <w:t xml:space="preserve">spending of </w:t>
      </w:r>
      <w:r w:rsidRPr="005F2B03">
        <w:t xml:space="preserve">disbursements </w:t>
      </w:r>
      <w:r>
        <w:t xml:space="preserve">still requires formal government approval </w:t>
      </w:r>
      <w:r w:rsidRPr="005F2B03">
        <w:t xml:space="preserve">through the Budget </w:t>
      </w:r>
      <w:r>
        <w:t>decision making</w:t>
      </w:r>
      <w:r w:rsidRPr="005F2B03">
        <w:t xml:space="preserve"> process.</w:t>
      </w:r>
    </w:p>
    <w:p w14:paraId="0AEFF200" w14:textId="385186B4" w:rsidR="005B31AB" w:rsidRDefault="005B31AB" w:rsidP="005B31AB">
      <w:pPr>
        <w:spacing w:before="240"/>
      </w:pPr>
      <w:r>
        <w:t>Following government approval, the Health Minister requests the drawdowns from the MRFF Special Account, up to the value of the Government approved maximum distribution. The power to request drawdowns is currently delegated to senior officials in the Department of Health and Aged Care</w:t>
      </w:r>
      <w:r w:rsidRPr="00E16F2A">
        <w:t>.</w:t>
      </w:r>
    </w:p>
    <w:tbl>
      <w:tblPr>
        <w:tblStyle w:val="TableGrid"/>
        <w:tblW w:w="0" w:type="auto"/>
        <w:tblLook w:val="04A0" w:firstRow="1" w:lastRow="0" w:firstColumn="1" w:lastColumn="0" w:noHBand="0" w:noVBand="1"/>
      </w:tblPr>
      <w:tblGrid>
        <w:gridCol w:w="9016"/>
      </w:tblGrid>
      <w:tr w:rsidR="005B31AB" w14:paraId="1BD924C9" w14:textId="77777777" w:rsidTr="001834D0">
        <w:tc>
          <w:tcPr>
            <w:tcW w:w="9016" w:type="dxa"/>
          </w:tcPr>
          <w:p w14:paraId="3223A891" w14:textId="77777777" w:rsidR="005B31AB" w:rsidRDefault="005B31AB" w:rsidP="001834D0">
            <w:pPr>
              <w:pStyle w:val="Heading4"/>
            </w:pPr>
            <w:r w:rsidRPr="00C80AEB">
              <w:lastRenderedPageBreak/>
              <w:t>Box 2:</w:t>
            </w:r>
            <w:r>
              <w:t xml:space="preserve"> </w:t>
            </w:r>
            <w:r w:rsidRPr="00007C48">
              <w:t>Maximum Annual Distribution Amount methodology</w:t>
            </w:r>
          </w:p>
          <w:p w14:paraId="1D068FDB" w14:textId="4328CD9B" w:rsidR="005B31AB" w:rsidRDefault="005B31AB" w:rsidP="004B2927">
            <w:pPr>
              <w:spacing w:after="240"/>
              <w:rPr>
                <w:lang w:eastAsia="en-AU"/>
              </w:rPr>
            </w:pPr>
            <w:r>
              <w:rPr>
                <w:lang w:eastAsia="en-AU"/>
              </w:rPr>
              <w:t>The Future Fund Board has an established methodology for determining a MADA each year, which is explained in detail in each determination.</w:t>
            </w:r>
          </w:p>
          <w:p w14:paraId="0F92FCFF" w14:textId="77777777" w:rsidR="005B31AB" w:rsidRDefault="005B31AB" w:rsidP="004B2927">
            <w:pPr>
              <w:spacing w:after="240"/>
              <w:rPr>
                <w:lang w:eastAsia="en-AU"/>
              </w:rPr>
            </w:pPr>
            <w:r>
              <w:rPr>
                <w:lang w:eastAsia="en-AU"/>
              </w:rPr>
              <w:t>The amount available for MRFF grants in a given financial year is the sum of three components (less an amount for expenses incurred in managing and investing the MRFF that financial year):</w:t>
            </w:r>
          </w:p>
          <w:p w14:paraId="4E05051A" w14:textId="77777777" w:rsidR="005B31AB" w:rsidRPr="004B2927" w:rsidRDefault="005B31AB" w:rsidP="00921048">
            <w:pPr>
              <w:pStyle w:val="List"/>
              <w:spacing w:after="160"/>
            </w:pPr>
            <w:r w:rsidRPr="004B2927">
              <w:t>the Target Distribution Amount, which is equal to the MRFF’s cumulative contributions ($20 billion) multiplied by the mid-point of the benchmark rate of return (currently equal to the “the Reserve Bank of Australia (RBA) Cash Rate target + 1.5 per cent to 2.0 per cent per annum”),</w:t>
            </w:r>
          </w:p>
          <w:p w14:paraId="31A1A005" w14:textId="77777777" w:rsidR="005B31AB" w:rsidRDefault="005B31AB" w:rsidP="00921048">
            <w:pPr>
              <w:pStyle w:val="List"/>
              <w:spacing w:after="160"/>
            </w:pPr>
            <w:r>
              <w:t>the Amortisation Amount, which is equal to 10 per cent of the difference between the MRFF’s cumulative contributions ($20 billion) and the MRFF’s balance. This adjustment effectively smooths out the difference between the MRFF’s contributions and its balance by allowing higher disbursements when the fund’s value exceeds contributions, and vice versa, and</w:t>
            </w:r>
          </w:p>
          <w:p w14:paraId="2084B709" w14:textId="77777777" w:rsidR="005B31AB" w:rsidRDefault="005B31AB" w:rsidP="00921048">
            <w:pPr>
              <w:pStyle w:val="List"/>
              <w:spacing w:after="160"/>
            </w:pPr>
            <w:r>
              <w:t>the Experience and Outlook Adjustment, which is a discretionary adjustment available to the Future Fund Board to amend the MADA for relevant considerations such as abnormal investment market conditions.</w:t>
            </w:r>
          </w:p>
          <w:p w14:paraId="13D2DF9C" w14:textId="6B90BB13" w:rsidR="005B31AB" w:rsidRPr="007B0390" w:rsidRDefault="005B31AB" w:rsidP="00BC48BB">
            <w:pPr>
              <w:spacing w:before="240" w:after="240"/>
              <w:rPr>
                <w:lang w:eastAsia="en-AU"/>
              </w:rPr>
            </w:pPr>
            <w:r>
              <w:t xml:space="preserve">The methodology for calculating the MADA relies on the benchmark rate of </w:t>
            </w:r>
            <w:r w:rsidRPr="00F72939">
              <w:t xml:space="preserve">return, </w:t>
            </w:r>
            <w:r>
              <w:t>which is currently linked to the RBA cash rate</w:t>
            </w:r>
            <w:r w:rsidRPr="00F72939">
              <w:t xml:space="preserve">. While the Amortisation Amount and the Experience and Outlook Adjustment can smooth disbursements across years, the current </w:t>
            </w:r>
            <w:r w:rsidRPr="00E50D82">
              <w:t xml:space="preserve">disbursements framework can result in differences between the </w:t>
            </w:r>
            <w:r>
              <w:t>MADA</w:t>
            </w:r>
            <w:r w:rsidRPr="00E50D82">
              <w:t xml:space="preserve"> (calculated reference to the </w:t>
            </w:r>
            <w:r w:rsidRPr="00E50D82">
              <w:rPr>
                <w:i/>
                <w:iCs/>
              </w:rPr>
              <w:t>benchmark</w:t>
            </w:r>
            <w:r w:rsidRPr="00E50D82">
              <w:t xml:space="preserve"> rate of return) and the</w:t>
            </w:r>
            <w:r w:rsidRPr="00F72939">
              <w:t xml:space="preserve"> MRFF’s ability to make disbursements (linked to </w:t>
            </w:r>
            <w:r>
              <w:t>MRFF’s</w:t>
            </w:r>
            <w:r w:rsidRPr="00F72939">
              <w:t xml:space="preserve"> </w:t>
            </w:r>
            <w:r w:rsidRPr="00F72939">
              <w:rPr>
                <w:i/>
                <w:iCs/>
              </w:rPr>
              <w:t>actual</w:t>
            </w:r>
            <w:r w:rsidRPr="00F72939">
              <w:t xml:space="preserve"> returns</w:t>
            </w:r>
            <w:r>
              <w:t xml:space="preserve"> and balance</w:t>
            </w:r>
            <w:r w:rsidRPr="00F72939">
              <w:t>).</w:t>
            </w:r>
          </w:p>
        </w:tc>
      </w:tr>
    </w:tbl>
    <w:p w14:paraId="62C80FCF" w14:textId="77777777" w:rsidR="005B31AB" w:rsidRDefault="005B31AB" w:rsidP="00930D51">
      <w:pPr>
        <w:pStyle w:val="Heading2"/>
        <w:spacing w:before="480"/>
      </w:pPr>
      <w:bookmarkStart w:id="13" w:name="_Toc185589237"/>
      <w:r>
        <w:t>MADA and 10-year Investment Plan</w:t>
      </w:r>
      <w:bookmarkEnd w:id="13"/>
    </w:p>
    <w:p w14:paraId="30136452" w14:textId="076CE157" w:rsidR="005B31AB" w:rsidRDefault="005B31AB" w:rsidP="005B31AB">
      <w:pPr>
        <w:spacing w:before="240"/>
      </w:pPr>
      <w:r>
        <w:t>Prior to 2018-19, grant expenditure was designed to fall below the MADA each year. The MADA was set 8 months in advance of the upcoming financial year, requiring the Department of Health and Aged Care to meet compressed timelines for obtaining policy authority (through the Budget process), followed by completion of grant design, selection and establishment processes in the following 12 months. These compressed timelines presented challenges for applicants and administrators.</w:t>
      </w:r>
    </w:p>
    <w:p w14:paraId="72FC7BBF" w14:textId="77777777" w:rsidR="005B31AB" w:rsidRDefault="005B31AB" w:rsidP="005B31AB">
      <w:pPr>
        <w:spacing w:before="240"/>
      </w:pPr>
      <w:r>
        <w:t>The MRFF 10-year Investment Plan was developed to provide more certainty and direction to the health</w:t>
      </w:r>
      <w:r w:rsidRPr="00B863CE">
        <w:t xml:space="preserve"> </w:t>
      </w:r>
      <w:r>
        <w:t>and medical research sector over the long term.</w:t>
      </w:r>
    </w:p>
    <w:p w14:paraId="5B24460C" w14:textId="660015C0" w:rsidR="005B31AB" w:rsidRPr="006C1E3E" w:rsidRDefault="005B31AB" w:rsidP="005B31AB">
      <w:pPr>
        <w:spacing w:before="240"/>
      </w:pPr>
      <w:r>
        <w:t>Since 2018-19, the level of annual Government funding commitments from the MRFF has been determined under the MRFF 10-Year Investment Plan,</w:t>
      </w:r>
      <w:r w:rsidRPr="00E16F2A">
        <w:rPr>
          <w:rStyle w:val="FootnoteReference"/>
        </w:rPr>
        <w:footnoteReference w:id="14"/>
      </w:r>
      <w:r>
        <w:t xml:space="preserve"> and is largely independent of the process of determining the MADA, and the value of the MADA itself.</w:t>
      </w:r>
    </w:p>
    <w:p w14:paraId="19A01759" w14:textId="77777777" w:rsidR="005B31AB" w:rsidRDefault="005B31AB" w:rsidP="005B31AB">
      <w:pPr>
        <w:pStyle w:val="Heading3"/>
      </w:pPr>
      <w:bookmarkStart w:id="14" w:name="_Hlk184557196"/>
      <w:r>
        <w:lastRenderedPageBreak/>
        <w:t>MRFF 10-year Investment Plan</w:t>
      </w:r>
    </w:p>
    <w:bookmarkEnd w:id="14"/>
    <w:p w14:paraId="2DAC74C5" w14:textId="2C4F4DC7" w:rsidR="005B31AB" w:rsidRDefault="005B31AB" w:rsidP="005B31AB">
      <w:pPr>
        <w:spacing w:before="120"/>
        <w:rPr>
          <w:rFonts w:cstheme="minorHAnsi"/>
        </w:rPr>
      </w:pPr>
      <w:r>
        <w:rPr>
          <w:rFonts w:cstheme="minorHAnsi"/>
        </w:rPr>
        <w:t>The MRFF 10</w:t>
      </w:r>
      <w:r w:rsidRPr="00437A2D">
        <w:rPr>
          <w:rFonts w:cstheme="minorHAnsi"/>
        </w:rPr>
        <w:t>-year Investment Plan</w:t>
      </w:r>
      <w:r>
        <w:rPr>
          <w:rFonts w:cstheme="minorHAnsi"/>
        </w:rPr>
        <w:t xml:space="preserve"> (10-Year Plan) is a non-legislative mechanism for implementing the MRFF Strategy and Priorities (</w:t>
      </w:r>
      <w:r w:rsidRPr="00EA2499">
        <w:rPr>
          <w:rFonts w:cstheme="minorHAnsi"/>
        </w:rPr>
        <w:t>see pages 19-</w:t>
      </w:r>
      <w:r>
        <w:rPr>
          <w:rFonts w:cstheme="minorHAnsi"/>
        </w:rPr>
        <w:t>20).</w:t>
      </w:r>
    </w:p>
    <w:p w14:paraId="4C086F53" w14:textId="79679BC3" w:rsidR="005B31AB" w:rsidRDefault="005B31AB" w:rsidP="005B31AB">
      <w:r>
        <w:rPr>
          <w:rFonts w:cstheme="minorHAnsi"/>
        </w:rPr>
        <w:t>The 10-year Plan</w:t>
      </w:r>
      <w:r w:rsidDel="00987E3B">
        <w:rPr>
          <w:rFonts w:cstheme="minorHAnsi"/>
        </w:rPr>
        <w:t xml:space="preserve"> </w:t>
      </w:r>
      <w:r>
        <w:rPr>
          <w:rFonts w:cstheme="minorHAnsi"/>
        </w:rPr>
        <w:t>provides indicative funding allocations for the MRFF beyond the forward estimates and is structured around four themes</w:t>
      </w:r>
      <w:r>
        <w:t xml:space="preserve"> (Patients, Researchers, Research Translation and Research Missions). The first MRFF 10-y</w:t>
      </w:r>
      <w:r w:rsidRPr="0093744A">
        <w:t xml:space="preserve">ear </w:t>
      </w:r>
      <w:r>
        <w:t>P</w:t>
      </w:r>
      <w:r w:rsidRPr="0093744A">
        <w:t xml:space="preserve">lan commenced in 2018-19 and </w:t>
      </w:r>
      <w:r>
        <w:t>has been updated twice, in 2022</w:t>
      </w:r>
      <w:r>
        <w:noBreakHyphen/>
      </w:r>
      <w:r w:rsidRPr="0093744A">
        <w:t>23 (2</w:t>
      </w:r>
      <w:r w:rsidRPr="0093744A">
        <w:rPr>
          <w:vertAlign w:val="superscript"/>
        </w:rPr>
        <w:t>nd</w:t>
      </w:r>
      <w:r w:rsidRPr="0093744A">
        <w:t xml:space="preserve"> Plan) and 2024-25 (3</w:t>
      </w:r>
      <w:r w:rsidRPr="0093744A">
        <w:rPr>
          <w:vertAlign w:val="superscript"/>
        </w:rPr>
        <w:t>rd</w:t>
      </w:r>
      <w:r>
        <w:t xml:space="preserve"> and current Plan).</w:t>
      </w:r>
    </w:p>
    <w:p w14:paraId="7AA3A11C" w14:textId="77777777" w:rsidR="005B31AB" w:rsidRDefault="005B31AB" w:rsidP="005B31AB">
      <w:pPr>
        <w:rPr>
          <w:rFonts w:cstheme="minorHAnsi"/>
        </w:rPr>
      </w:pPr>
      <w:r>
        <w:t>The 3</w:t>
      </w:r>
      <w:r w:rsidRPr="006157CB">
        <w:rPr>
          <w:vertAlign w:val="superscript"/>
        </w:rPr>
        <w:t>rd</w:t>
      </w:r>
      <w:r>
        <w:t xml:space="preserve"> and current MRFF 10-year Plan</w:t>
      </w:r>
      <w:r w:rsidRPr="00415432">
        <w:rPr>
          <w:rStyle w:val="FootnoteReference"/>
        </w:rPr>
        <w:footnoteReference w:id="15"/>
      </w:r>
      <w:r w:rsidRPr="00415432">
        <w:t xml:space="preserve"> </w:t>
      </w:r>
      <w:r>
        <w:rPr>
          <w:kern w:val="0"/>
          <w14:ligatures w14:val="none"/>
        </w:rPr>
        <w:t>estimates</w:t>
      </w:r>
      <w:r w:rsidRPr="0093744A">
        <w:rPr>
          <w:kern w:val="0"/>
          <w14:ligatures w14:val="none"/>
        </w:rPr>
        <w:t xml:space="preserve"> </w:t>
      </w:r>
      <w:r>
        <w:rPr>
          <w:kern w:val="0"/>
          <w14:ligatures w14:val="none"/>
        </w:rPr>
        <w:t>that</w:t>
      </w:r>
      <w:r w:rsidRPr="0093744A">
        <w:rPr>
          <w:kern w:val="0"/>
          <w14:ligatures w14:val="none"/>
        </w:rPr>
        <w:t xml:space="preserve"> $650</w:t>
      </w:r>
      <w:r>
        <w:rPr>
          <w:kern w:val="0"/>
          <w14:ligatures w14:val="none"/>
        </w:rPr>
        <w:t> </w:t>
      </w:r>
      <w:r w:rsidRPr="0093744A">
        <w:rPr>
          <w:kern w:val="0"/>
          <w14:ligatures w14:val="none"/>
        </w:rPr>
        <w:t xml:space="preserve">million </w:t>
      </w:r>
      <w:r>
        <w:rPr>
          <w:kern w:val="0"/>
          <w14:ligatures w14:val="none"/>
        </w:rPr>
        <w:t xml:space="preserve">will be made available for MRFF </w:t>
      </w:r>
      <w:r w:rsidRPr="0093744A">
        <w:rPr>
          <w:kern w:val="0"/>
          <w14:ligatures w14:val="none"/>
        </w:rPr>
        <w:t>grants per year</w:t>
      </w:r>
      <w:r>
        <w:t xml:space="preserve"> from 2024-25 to 2033-34 across </w:t>
      </w:r>
      <w:r>
        <w:rPr>
          <w:rFonts w:cstheme="minorHAnsi"/>
        </w:rPr>
        <w:t>22 initiatives.</w:t>
      </w:r>
    </w:p>
    <w:p w14:paraId="7268A6D4" w14:textId="77777777" w:rsidR="005B31AB" w:rsidRDefault="005B31AB" w:rsidP="005B31AB">
      <w:pPr>
        <w:spacing w:before="240"/>
        <w:rPr>
          <w:rFonts w:cstheme="minorHAnsi"/>
        </w:rPr>
      </w:pPr>
      <w:r>
        <w:rPr>
          <w:rFonts w:cstheme="minorHAnsi"/>
        </w:rPr>
        <w:t xml:space="preserve">The MRFF 10-year Plan gives an important signal to researchers and the community about the Government’s priorities for research, allowing the sector to re-prioritise efforts towards these priorities. The 10-Year Plan assists the Department of Health and Aged Care to design and deliver grants </w:t>
      </w:r>
      <w:r w:rsidRPr="006D3ED1">
        <w:rPr>
          <w:rFonts w:cstheme="minorHAnsi"/>
        </w:rPr>
        <w:t>consistent with responsible grants management practice</w:t>
      </w:r>
      <w:r>
        <w:rPr>
          <w:rFonts w:cstheme="minorHAnsi"/>
        </w:rPr>
        <w:t xml:space="preserve">s, including </w:t>
      </w:r>
      <w:r w:rsidRPr="006D3ED1">
        <w:rPr>
          <w:rFonts w:cstheme="minorHAnsi"/>
        </w:rPr>
        <w:t xml:space="preserve">the </w:t>
      </w:r>
      <w:r w:rsidRPr="00E4659B">
        <w:rPr>
          <w:rFonts w:cstheme="minorHAnsi"/>
          <w:i/>
        </w:rPr>
        <w:t>Commonwealth Grants Rules and Principles 2024</w:t>
      </w:r>
      <w:r>
        <w:rPr>
          <w:rFonts w:cstheme="minorHAnsi"/>
        </w:rPr>
        <w:t>. It also gives the Department of Health and Aged Care the flexibility and visibility to plan, prepare and communicate MRFF granting activities over the long term to stakeholders.</w:t>
      </w:r>
    </w:p>
    <w:p w14:paraId="33D5165E" w14:textId="77777777" w:rsidR="005B31AB" w:rsidRPr="00E72A98" w:rsidRDefault="005B31AB" w:rsidP="005B31AB">
      <w:pPr>
        <w:pStyle w:val="Heading4"/>
      </w:pPr>
      <w:r w:rsidRPr="00E72A98">
        <w:t>10-Year Investment Plan vs MADA</w:t>
      </w:r>
    </w:p>
    <w:p w14:paraId="10C7D7A9" w14:textId="77777777" w:rsidR="005B31AB" w:rsidRDefault="005B31AB" w:rsidP="005B31AB">
      <w:r>
        <w:t>In recent years, the MADA has fluctuated significantly, reflecting broader market volatility and a low RBA cash rate. In 2021-22 and 2022-23, the Commonwealth provided supplementation on top of MRFF funding to address a shortfall in the MADA relative to government commitments under the 10-year Plan. This supplementation was administered by the Department of Health and Aged Care separately to the MRFF Health Special Account. In 2023-24 and 2024-25, the MADA exceeded the estimates under the MRFF 10-year Plan (see Ta</w:t>
      </w:r>
      <w:r w:rsidRPr="00EA2499">
        <w:t>ble 3).</w:t>
      </w:r>
    </w:p>
    <w:p w14:paraId="5DA93B1F" w14:textId="77777777" w:rsidR="005B31AB" w:rsidRDefault="005B31AB" w:rsidP="00593EA2">
      <w:pPr>
        <w:pStyle w:val="Caption"/>
      </w:pPr>
      <w:r w:rsidRPr="00EA2499">
        <w:t>Table 3: MRFF</w:t>
      </w:r>
      <w:r>
        <w:t xml:space="preserve"> finances – MADA vs MRFF Commitments</w:t>
      </w:r>
    </w:p>
    <w:tbl>
      <w:tblPr>
        <w:tblW w:w="7790" w:type="dxa"/>
        <w:tblInd w:w="-5" w:type="dxa"/>
        <w:tblLayout w:type="fixed"/>
        <w:tblLook w:val="01E0" w:firstRow="1" w:lastRow="1" w:firstColumn="1" w:lastColumn="1" w:noHBand="0" w:noVBand="0"/>
      </w:tblPr>
      <w:tblGrid>
        <w:gridCol w:w="1418"/>
        <w:gridCol w:w="1593"/>
        <w:gridCol w:w="1384"/>
        <w:gridCol w:w="1802"/>
        <w:gridCol w:w="1593"/>
      </w:tblGrid>
      <w:tr w:rsidR="005B31AB" w:rsidRPr="00C47979" w14:paraId="10089215" w14:textId="77777777" w:rsidTr="00593EA2">
        <w:trPr>
          <w:trHeight w:val="268"/>
          <w:tblHeader/>
        </w:trPr>
        <w:tc>
          <w:tcPr>
            <w:tcW w:w="1418" w:type="dxa"/>
            <w:tcBorders>
              <w:top w:val="single" w:sz="4" w:space="0" w:color="auto"/>
              <w:left w:val="single" w:sz="4" w:space="0" w:color="auto"/>
              <w:bottom w:val="single" w:sz="4" w:space="0" w:color="auto"/>
              <w:right w:val="single" w:sz="4" w:space="0" w:color="auto"/>
            </w:tcBorders>
            <w:shd w:val="clear" w:color="auto" w:fill="4472C4" w:themeFill="accent1"/>
          </w:tcPr>
          <w:p w14:paraId="404DEE1A" w14:textId="77777777" w:rsidR="005B31AB" w:rsidRPr="00C47979" w:rsidRDefault="005B31AB" w:rsidP="001834D0">
            <w:pPr>
              <w:spacing w:after="0" w:line="240" w:lineRule="auto"/>
              <w:jc w:val="center"/>
              <w:rPr>
                <w:b/>
                <w:color w:val="FFFFFF" w:themeColor="background1"/>
              </w:rPr>
            </w:pPr>
            <w:r w:rsidRPr="00C47979">
              <w:rPr>
                <w:b/>
                <w:color w:val="FFFFFF" w:themeColor="background1"/>
              </w:rPr>
              <w:t>Financial Year</w:t>
            </w:r>
          </w:p>
        </w:tc>
        <w:tc>
          <w:tcPr>
            <w:tcW w:w="1593" w:type="dxa"/>
            <w:tcBorders>
              <w:top w:val="single" w:sz="4" w:space="0" w:color="auto"/>
              <w:left w:val="single" w:sz="4" w:space="0" w:color="auto"/>
              <w:bottom w:val="single" w:sz="4" w:space="0" w:color="auto"/>
              <w:right w:val="single" w:sz="4" w:space="0" w:color="auto"/>
            </w:tcBorders>
            <w:shd w:val="clear" w:color="auto" w:fill="4472C4" w:themeFill="accent1"/>
          </w:tcPr>
          <w:p w14:paraId="08B42D1F" w14:textId="77777777" w:rsidR="005B31AB" w:rsidRPr="00C47979" w:rsidRDefault="005B31AB" w:rsidP="001834D0">
            <w:pPr>
              <w:spacing w:after="0" w:line="240" w:lineRule="auto"/>
              <w:jc w:val="center"/>
              <w:rPr>
                <w:b/>
                <w:color w:val="FFFFFF" w:themeColor="background1"/>
              </w:rPr>
            </w:pPr>
            <w:r w:rsidRPr="00C47979">
              <w:rPr>
                <w:b/>
                <w:color w:val="FFFFFF" w:themeColor="background1"/>
              </w:rPr>
              <w:t>Net Earnings</w:t>
            </w:r>
          </w:p>
        </w:tc>
        <w:tc>
          <w:tcPr>
            <w:tcW w:w="1384" w:type="dxa"/>
            <w:tcBorders>
              <w:top w:val="single" w:sz="4" w:space="0" w:color="auto"/>
              <w:left w:val="single" w:sz="4" w:space="0" w:color="auto"/>
              <w:bottom w:val="single" w:sz="4" w:space="0" w:color="auto"/>
              <w:right w:val="single" w:sz="4" w:space="0" w:color="auto"/>
            </w:tcBorders>
            <w:shd w:val="clear" w:color="auto" w:fill="4472C4" w:themeFill="accent1"/>
          </w:tcPr>
          <w:p w14:paraId="0333B14B" w14:textId="77777777" w:rsidR="005B31AB" w:rsidRPr="00C47979" w:rsidRDefault="005B31AB" w:rsidP="001834D0">
            <w:pPr>
              <w:spacing w:after="0" w:line="240" w:lineRule="auto"/>
              <w:jc w:val="center"/>
              <w:rPr>
                <w:b/>
                <w:color w:val="FFFFFF" w:themeColor="background1"/>
              </w:rPr>
            </w:pPr>
            <w:r w:rsidRPr="00C47979">
              <w:rPr>
                <w:b/>
                <w:color w:val="FFFFFF" w:themeColor="background1"/>
              </w:rPr>
              <w:t>MADA</w:t>
            </w:r>
          </w:p>
        </w:tc>
        <w:tc>
          <w:tcPr>
            <w:tcW w:w="1802" w:type="dxa"/>
            <w:tcBorders>
              <w:top w:val="single" w:sz="4" w:space="0" w:color="auto"/>
              <w:left w:val="single" w:sz="4" w:space="0" w:color="auto"/>
              <w:bottom w:val="single" w:sz="4" w:space="0" w:color="auto"/>
              <w:right w:val="single" w:sz="4" w:space="0" w:color="auto"/>
            </w:tcBorders>
            <w:shd w:val="clear" w:color="auto" w:fill="4472C4" w:themeFill="accent1"/>
          </w:tcPr>
          <w:p w14:paraId="7125321B" w14:textId="77777777" w:rsidR="005B31AB" w:rsidRPr="00C47979" w:rsidRDefault="005B31AB" w:rsidP="001834D0">
            <w:pPr>
              <w:spacing w:after="0" w:line="240" w:lineRule="auto"/>
              <w:jc w:val="center"/>
              <w:rPr>
                <w:b/>
                <w:color w:val="FFFFFF" w:themeColor="background1"/>
              </w:rPr>
            </w:pPr>
            <w:r w:rsidRPr="00C47979">
              <w:rPr>
                <w:b/>
                <w:color w:val="FFFFFF" w:themeColor="background1"/>
              </w:rPr>
              <w:t>Budget Supplementation</w:t>
            </w:r>
          </w:p>
        </w:tc>
        <w:tc>
          <w:tcPr>
            <w:tcW w:w="1593" w:type="dxa"/>
            <w:tcBorders>
              <w:top w:val="single" w:sz="4" w:space="0" w:color="auto"/>
              <w:left w:val="single" w:sz="4" w:space="0" w:color="auto"/>
              <w:bottom w:val="single" w:sz="4" w:space="0" w:color="auto"/>
              <w:right w:val="single" w:sz="4" w:space="0" w:color="auto"/>
            </w:tcBorders>
            <w:shd w:val="clear" w:color="auto" w:fill="4472C4" w:themeFill="accent1"/>
          </w:tcPr>
          <w:p w14:paraId="3B0027ED" w14:textId="77777777" w:rsidR="005B31AB" w:rsidRPr="00C47979" w:rsidRDefault="005B31AB" w:rsidP="001834D0">
            <w:pPr>
              <w:spacing w:after="0" w:line="240" w:lineRule="auto"/>
              <w:jc w:val="center"/>
              <w:rPr>
                <w:b/>
                <w:color w:val="FFFFFF" w:themeColor="background1"/>
              </w:rPr>
            </w:pPr>
            <w:r w:rsidRPr="00C47979">
              <w:rPr>
                <w:b/>
                <w:color w:val="FFFFFF" w:themeColor="background1"/>
              </w:rPr>
              <w:t>MRFF commitments*</w:t>
            </w:r>
          </w:p>
        </w:tc>
      </w:tr>
      <w:tr w:rsidR="005B31AB" w14:paraId="387F05FE"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33D8E115" w14:textId="77777777" w:rsidR="005B31AB" w:rsidRDefault="005B31AB" w:rsidP="001834D0">
            <w:pPr>
              <w:pStyle w:val="TableParagraph"/>
              <w:spacing w:line="249" w:lineRule="exact"/>
              <w:rPr>
                <w:b/>
              </w:rPr>
            </w:pPr>
            <w:r>
              <w:rPr>
                <w:b/>
                <w:spacing w:val="-2"/>
              </w:rPr>
              <w:t>2015-</w:t>
            </w:r>
            <w:r>
              <w:rPr>
                <w:b/>
                <w:spacing w:val="-5"/>
              </w:rPr>
              <w:t>16</w:t>
            </w:r>
          </w:p>
        </w:tc>
        <w:tc>
          <w:tcPr>
            <w:tcW w:w="1593" w:type="dxa"/>
            <w:tcBorders>
              <w:top w:val="single" w:sz="4" w:space="0" w:color="auto"/>
              <w:left w:val="single" w:sz="4" w:space="0" w:color="auto"/>
              <w:bottom w:val="single" w:sz="4" w:space="0" w:color="auto"/>
              <w:right w:val="single" w:sz="4" w:space="0" w:color="auto"/>
            </w:tcBorders>
          </w:tcPr>
          <w:p w14:paraId="223FB7F9" w14:textId="77777777" w:rsidR="005B31AB" w:rsidRDefault="005B31AB" w:rsidP="001834D0">
            <w:pPr>
              <w:pStyle w:val="TableParagraph"/>
              <w:spacing w:line="249" w:lineRule="exact"/>
              <w:ind w:left="10" w:right="1"/>
              <w:jc w:val="center"/>
              <w:rPr>
                <w:spacing w:val="-4"/>
              </w:rPr>
            </w:pPr>
            <w:r>
              <w:rPr>
                <w:spacing w:val="-4"/>
              </w:rPr>
              <w:t>57.1</w:t>
            </w:r>
          </w:p>
        </w:tc>
        <w:tc>
          <w:tcPr>
            <w:tcW w:w="1384" w:type="dxa"/>
            <w:tcBorders>
              <w:top w:val="single" w:sz="4" w:space="0" w:color="auto"/>
              <w:left w:val="single" w:sz="4" w:space="0" w:color="auto"/>
              <w:bottom w:val="single" w:sz="4" w:space="0" w:color="auto"/>
              <w:right w:val="single" w:sz="4" w:space="0" w:color="auto"/>
            </w:tcBorders>
          </w:tcPr>
          <w:p w14:paraId="0181A107" w14:textId="77777777" w:rsidR="005B31AB" w:rsidRDefault="005B31AB" w:rsidP="001834D0">
            <w:pPr>
              <w:pStyle w:val="TableParagraph"/>
              <w:spacing w:line="249" w:lineRule="exact"/>
              <w:ind w:left="10" w:right="1"/>
              <w:jc w:val="center"/>
              <w:rPr>
                <w:spacing w:val="-4"/>
              </w:rPr>
            </w:pPr>
            <w:r>
              <w:rPr>
                <w:spacing w:val="-4"/>
              </w:rPr>
              <w:t>69.0</w:t>
            </w:r>
          </w:p>
        </w:tc>
        <w:tc>
          <w:tcPr>
            <w:tcW w:w="1802" w:type="dxa"/>
            <w:tcBorders>
              <w:top w:val="single" w:sz="4" w:space="0" w:color="auto"/>
              <w:left w:val="single" w:sz="4" w:space="0" w:color="auto"/>
              <w:bottom w:val="single" w:sz="4" w:space="0" w:color="auto"/>
              <w:right w:val="single" w:sz="4" w:space="0" w:color="auto"/>
            </w:tcBorders>
          </w:tcPr>
          <w:p w14:paraId="650B4DA7" w14:textId="77777777" w:rsidR="005B31AB" w:rsidRDefault="005B31AB" w:rsidP="001834D0">
            <w:pPr>
              <w:pStyle w:val="TableParagraph"/>
              <w:spacing w:line="249" w:lineRule="exact"/>
              <w:ind w:left="10" w:right="1"/>
              <w:jc w:val="center"/>
              <w:rPr>
                <w:spacing w:val="-4"/>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7DAEDDC7" w14:textId="77777777" w:rsidR="005B31AB" w:rsidRDefault="005B31AB" w:rsidP="001834D0">
            <w:pPr>
              <w:pStyle w:val="TableParagraph"/>
              <w:spacing w:line="249" w:lineRule="exact"/>
              <w:ind w:left="10" w:right="1"/>
              <w:jc w:val="center"/>
              <w:rPr>
                <w:spacing w:val="-4"/>
              </w:rPr>
            </w:pPr>
            <w:r>
              <w:rPr>
                <w:spacing w:val="-4"/>
              </w:rPr>
              <w:t>10.0</w:t>
            </w:r>
          </w:p>
        </w:tc>
      </w:tr>
      <w:tr w:rsidR="005B31AB" w14:paraId="7DE41BB9"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7C15ADEC" w14:textId="77777777" w:rsidR="005B31AB" w:rsidRDefault="005B31AB" w:rsidP="001834D0">
            <w:pPr>
              <w:pStyle w:val="TableParagraph"/>
              <w:spacing w:line="248" w:lineRule="exact"/>
              <w:rPr>
                <w:b/>
              </w:rPr>
            </w:pPr>
            <w:r>
              <w:rPr>
                <w:b/>
                <w:spacing w:val="-2"/>
              </w:rPr>
              <w:t>2016-</w:t>
            </w:r>
            <w:r>
              <w:rPr>
                <w:b/>
                <w:spacing w:val="-5"/>
              </w:rPr>
              <w:t>17</w:t>
            </w:r>
          </w:p>
        </w:tc>
        <w:tc>
          <w:tcPr>
            <w:tcW w:w="1593" w:type="dxa"/>
            <w:tcBorders>
              <w:top w:val="single" w:sz="4" w:space="0" w:color="auto"/>
              <w:left w:val="single" w:sz="4" w:space="0" w:color="auto"/>
              <w:bottom w:val="single" w:sz="4" w:space="0" w:color="auto"/>
              <w:right w:val="single" w:sz="4" w:space="0" w:color="auto"/>
            </w:tcBorders>
          </w:tcPr>
          <w:p w14:paraId="66BE2FF7" w14:textId="77777777" w:rsidR="005B31AB" w:rsidRDefault="005B31AB" w:rsidP="001834D0">
            <w:pPr>
              <w:pStyle w:val="TableParagraph"/>
              <w:spacing w:line="248" w:lineRule="exact"/>
              <w:ind w:left="10" w:right="1"/>
              <w:jc w:val="center"/>
              <w:rPr>
                <w:spacing w:val="-4"/>
              </w:rPr>
            </w:pPr>
            <w:r>
              <w:rPr>
                <w:spacing w:val="-2"/>
              </w:rPr>
              <w:t>185.9</w:t>
            </w:r>
          </w:p>
        </w:tc>
        <w:tc>
          <w:tcPr>
            <w:tcW w:w="1384" w:type="dxa"/>
            <w:tcBorders>
              <w:top w:val="single" w:sz="4" w:space="0" w:color="auto"/>
              <w:left w:val="single" w:sz="4" w:space="0" w:color="auto"/>
              <w:bottom w:val="single" w:sz="4" w:space="0" w:color="auto"/>
              <w:right w:val="single" w:sz="4" w:space="0" w:color="auto"/>
            </w:tcBorders>
          </w:tcPr>
          <w:p w14:paraId="2943130A" w14:textId="77777777" w:rsidR="005B31AB" w:rsidRDefault="005B31AB" w:rsidP="001834D0">
            <w:pPr>
              <w:pStyle w:val="TableParagraph"/>
              <w:spacing w:line="248" w:lineRule="exact"/>
              <w:ind w:left="10" w:right="1"/>
              <w:jc w:val="center"/>
              <w:rPr>
                <w:spacing w:val="-4"/>
              </w:rPr>
            </w:pPr>
            <w:r>
              <w:rPr>
                <w:spacing w:val="-2"/>
              </w:rPr>
              <w:t>118.0</w:t>
            </w:r>
          </w:p>
        </w:tc>
        <w:tc>
          <w:tcPr>
            <w:tcW w:w="1802" w:type="dxa"/>
            <w:tcBorders>
              <w:top w:val="single" w:sz="4" w:space="0" w:color="auto"/>
              <w:left w:val="single" w:sz="4" w:space="0" w:color="auto"/>
              <w:bottom w:val="single" w:sz="4" w:space="0" w:color="auto"/>
              <w:right w:val="single" w:sz="4" w:space="0" w:color="auto"/>
            </w:tcBorders>
          </w:tcPr>
          <w:p w14:paraId="0D3E2739" w14:textId="77777777" w:rsidR="005B31AB" w:rsidRDefault="005B31AB" w:rsidP="001834D0">
            <w:pPr>
              <w:pStyle w:val="TableParagraph"/>
              <w:spacing w:line="248" w:lineRule="exact"/>
              <w:ind w:left="10" w:right="1"/>
              <w:jc w:val="center"/>
              <w:rPr>
                <w:spacing w:val="-4"/>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24737F37" w14:textId="77777777" w:rsidR="005B31AB" w:rsidRDefault="005B31AB" w:rsidP="001834D0">
            <w:pPr>
              <w:pStyle w:val="TableParagraph"/>
              <w:spacing w:line="248" w:lineRule="exact"/>
              <w:ind w:left="10" w:right="1"/>
              <w:jc w:val="center"/>
              <w:rPr>
                <w:spacing w:val="-4"/>
              </w:rPr>
            </w:pPr>
            <w:r>
              <w:rPr>
                <w:spacing w:val="-4"/>
              </w:rPr>
              <w:t>60.9</w:t>
            </w:r>
          </w:p>
        </w:tc>
      </w:tr>
      <w:tr w:rsidR="005B31AB" w14:paraId="4DFEBE06"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330871A2" w14:textId="77777777" w:rsidR="005B31AB" w:rsidRDefault="005B31AB" w:rsidP="001834D0">
            <w:pPr>
              <w:pStyle w:val="TableParagraph"/>
              <w:spacing w:line="248" w:lineRule="exact"/>
              <w:rPr>
                <w:b/>
              </w:rPr>
            </w:pPr>
            <w:r>
              <w:rPr>
                <w:b/>
                <w:spacing w:val="-2"/>
              </w:rPr>
              <w:t>2017-</w:t>
            </w:r>
            <w:r>
              <w:rPr>
                <w:b/>
                <w:spacing w:val="-5"/>
              </w:rPr>
              <w:t>18</w:t>
            </w:r>
          </w:p>
        </w:tc>
        <w:tc>
          <w:tcPr>
            <w:tcW w:w="1593" w:type="dxa"/>
            <w:tcBorders>
              <w:top w:val="single" w:sz="4" w:space="0" w:color="auto"/>
              <w:left w:val="single" w:sz="4" w:space="0" w:color="auto"/>
              <w:bottom w:val="single" w:sz="4" w:space="0" w:color="auto"/>
              <w:right w:val="single" w:sz="4" w:space="0" w:color="auto"/>
            </w:tcBorders>
          </w:tcPr>
          <w:p w14:paraId="65FC1D34" w14:textId="77777777" w:rsidR="005B31AB" w:rsidRDefault="005B31AB" w:rsidP="001834D0">
            <w:pPr>
              <w:pStyle w:val="TableParagraph"/>
              <w:spacing w:line="248" w:lineRule="exact"/>
              <w:ind w:left="10"/>
              <w:jc w:val="center"/>
              <w:rPr>
                <w:spacing w:val="-2"/>
              </w:rPr>
            </w:pPr>
            <w:r>
              <w:rPr>
                <w:spacing w:val="-2"/>
              </w:rPr>
              <w:t>314.1</w:t>
            </w:r>
          </w:p>
        </w:tc>
        <w:tc>
          <w:tcPr>
            <w:tcW w:w="1384" w:type="dxa"/>
            <w:tcBorders>
              <w:top w:val="single" w:sz="4" w:space="0" w:color="auto"/>
              <w:left w:val="single" w:sz="4" w:space="0" w:color="auto"/>
              <w:bottom w:val="single" w:sz="4" w:space="0" w:color="auto"/>
              <w:right w:val="single" w:sz="4" w:space="0" w:color="auto"/>
            </w:tcBorders>
          </w:tcPr>
          <w:p w14:paraId="13F94D6D" w14:textId="77777777" w:rsidR="005B31AB" w:rsidRDefault="005B31AB" w:rsidP="001834D0">
            <w:pPr>
              <w:pStyle w:val="TableParagraph"/>
              <w:spacing w:line="248" w:lineRule="exact"/>
              <w:ind w:left="10"/>
              <w:jc w:val="center"/>
              <w:rPr>
                <w:spacing w:val="-2"/>
              </w:rPr>
            </w:pPr>
            <w:r>
              <w:rPr>
                <w:spacing w:val="-2"/>
              </w:rPr>
              <w:t>155.0</w:t>
            </w:r>
          </w:p>
        </w:tc>
        <w:tc>
          <w:tcPr>
            <w:tcW w:w="1802" w:type="dxa"/>
            <w:tcBorders>
              <w:top w:val="single" w:sz="4" w:space="0" w:color="auto"/>
              <w:left w:val="single" w:sz="4" w:space="0" w:color="auto"/>
              <w:bottom w:val="single" w:sz="4" w:space="0" w:color="auto"/>
              <w:right w:val="single" w:sz="4" w:space="0" w:color="auto"/>
            </w:tcBorders>
          </w:tcPr>
          <w:p w14:paraId="5E1C19E6" w14:textId="77777777" w:rsidR="005B31AB" w:rsidRDefault="005B31AB" w:rsidP="001834D0">
            <w:pPr>
              <w:pStyle w:val="TableParagraph"/>
              <w:spacing w:line="248" w:lineRule="exact"/>
              <w:ind w:left="10"/>
              <w:jc w:val="center"/>
              <w:rPr>
                <w:spacing w:val="-2"/>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771A7B72" w14:textId="77777777" w:rsidR="005B31AB" w:rsidRDefault="005B31AB" w:rsidP="001834D0">
            <w:pPr>
              <w:pStyle w:val="TableParagraph"/>
              <w:spacing w:line="248" w:lineRule="exact"/>
              <w:ind w:left="10"/>
              <w:jc w:val="center"/>
              <w:rPr>
                <w:spacing w:val="-2"/>
              </w:rPr>
            </w:pPr>
            <w:r>
              <w:rPr>
                <w:spacing w:val="-2"/>
              </w:rPr>
              <w:t>143.3</w:t>
            </w:r>
          </w:p>
        </w:tc>
      </w:tr>
      <w:tr w:rsidR="005B31AB" w14:paraId="50CED0FD"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40CCBE87" w14:textId="77777777" w:rsidR="005B31AB" w:rsidRDefault="005B31AB" w:rsidP="001834D0">
            <w:pPr>
              <w:pStyle w:val="TableParagraph"/>
              <w:spacing w:line="248" w:lineRule="exact"/>
              <w:rPr>
                <w:b/>
              </w:rPr>
            </w:pPr>
            <w:r>
              <w:rPr>
                <w:b/>
                <w:spacing w:val="-2"/>
              </w:rPr>
              <w:t>2018-</w:t>
            </w:r>
            <w:r>
              <w:rPr>
                <w:b/>
                <w:spacing w:val="-5"/>
              </w:rPr>
              <w:t>19</w:t>
            </w:r>
          </w:p>
        </w:tc>
        <w:tc>
          <w:tcPr>
            <w:tcW w:w="1593" w:type="dxa"/>
            <w:tcBorders>
              <w:top w:val="single" w:sz="4" w:space="0" w:color="auto"/>
              <w:left w:val="single" w:sz="4" w:space="0" w:color="auto"/>
              <w:bottom w:val="single" w:sz="4" w:space="0" w:color="auto"/>
              <w:right w:val="single" w:sz="4" w:space="0" w:color="auto"/>
            </w:tcBorders>
          </w:tcPr>
          <w:p w14:paraId="09B60C6D" w14:textId="77777777" w:rsidR="005B31AB" w:rsidRDefault="005B31AB" w:rsidP="001834D0">
            <w:pPr>
              <w:pStyle w:val="TableParagraph"/>
              <w:spacing w:line="248" w:lineRule="exact"/>
              <w:ind w:left="10"/>
              <w:jc w:val="center"/>
              <w:rPr>
                <w:spacing w:val="-2"/>
              </w:rPr>
            </w:pPr>
            <w:r>
              <w:rPr>
                <w:spacing w:val="-2"/>
              </w:rPr>
              <w:t>505.8</w:t>
            </w:r>
          </w:p>
        </w:tc>
        <w:tc>
          <w:tcPr>
            <w:tcW w:w="1384" w:type="dxa"/>
            <w:tcBorders>
              <w:top w:val="single" w:sz="4" w:space="0" w:color="auto"/>
              <w:left w:val="single" w:sz="4" w:space="0" w:color="auto"/>
              <w:bottom w:val="single" w:sz="4" w:space="0" w:color="auto"/>
              <w:right w:val="single" w:sz="4" w:space="0" w:color="auto"/>
            </w:tcBorders>
          </w:tcPr>
          <w:p w14:paraId="28075ABC" w14:textId="77777777" w:rsidR="005B31AB" w:rsidRDefault="005B31AB" w:rsidP="001834D0">
            <w:pPr>
              <w:pStyle w:val="TableParagraph"/>
              <w:spacing w:line="248" w:lineRule="exact"/>
              <w:ind w:left="10"/>
              <w:jc w:val="center"/>
              <w:rPr>
                <w:spacing w:val="-2"/>
              </w:rPr>
            </w:pPr>
            <w:r>
              <w:rPr>
                <w:spacing w:val="-2"/>
              </w:rPr>
              <w:t>243.0</w:t>
            </w:r>
          </w:p>
        </w:tc>
        <w:tc>
          <w:tcPr>
            <w:tcW w:w="1802" w:type="dxa"/>
            <w:tcBorders>
              <w:top w:val="single" w:sz="4" w:space="0" w:color="auto"/>
              <w:left w:val="single" w:sz="4" w:space="0" w:color="auto"/>
              <w:bottom w:val="single" w:sz="4" w:space="0" w:color="auto"/>
              <w:right w:val="single" w:sz="4" w:space="0" w:color="auto"/>
            </w:tcBorders>
          </w:tcPr>
          <w:p w14:paraId="3D30AD6C" w14:textId="77777777" w:rsidR="005B31AB" w:rsidRDefault="005B31AB" w:rsidP="001834D0">
            <w:pPr>
              <w:pStyle w:val="TableParagraph"/>
              <w:spacing w:line="248" w:lineRule="exact"/>
              <w:ind w:left="10"/>
              <w:jc w:val="center"/>
              <w:rPr>
                <w:spacing w:val="-2"/>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0F79DAE2" w14:textId="77777777" w:rsidR="005B31AB" w:rsidRDefault="005B31AB" w:rsidP="001834D0">
            <w:pPr>
              <w:pStyle w:val="TableParagraph"/>
              <w:spacing w:line="248" w:lineRule="exact"/>
              <w:ind w:left="10"/>
              <w:jc w:val="center"/>
              <w:rPr>
                <w:spacing w:val="-2"/>
              </w:rPr>
            </w:pPr>
            <w:r>
              <w:rPr>
                <w:spacing w:val="-2"/>
              </w:rPr>
              <w:t>222.4</w:t>
            </w:r>
          </w:p>
        </w:tc>
      </w:tr>
      <w:tr w:rsidR="005B31AB" w14:paraId="2A52BD59"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29345F4A" w14:textId="77777777" w:rsidR="005B31AB" w:rsidRDefault="005B31AB" w:rsidP="001834D0">
            <w:pPr>
              <w:pStyle w:val="TableParagraph"/>
              <w:spacing w:line="248" w:lineRule="exact"/>
              <w:rPr>
                <w:b/>
              </w:rPr>
            </w:pPr>
            <w:r>
              <w:rPr>
                <w:b/>
                <w:spacing w:val="-2"/>
              </w:rPr>
              <w:t>2019-</w:t>
            </w:r>
            <w:r>
              <w:rPr>
                <w:b/>
                <w:spacing w:val="-5"/>
              </w:rPr>
              <w:t>20</w:t>
            </w:r>
          </w:p>
        </w:tc>
        <w:tc>
          <w:tcPr>
            <w:tcW w:w="1593" w:type="dxa"/>
            <w:tcBorders>
              <w:top w:val="single" w:sz="4" w:space="0" w:color="auto"/>
              <w:left w:val="single" w:sz="4" w:space="0" w:color="auto"/>
              <w:bottom w:val="single" w:sz="4" w:space="0" w:color="auto"/>
              <w:right w:val="single" w:sz="4" w:space="0" w:color="auto"/>
            </w:tcBorders>
          </w:tcPr>
          <w:p w14:paraId="59386A81" w14:textId="77777777" w:rsidR="005B31AB" w:rsidRDefault="005B31AB" w:rsidP="001834D0">
            <w:pPr>
              <w:pStyle w:val="TableParagraph"/>
              <w:spacing w:line="248" w:lineRule="exact"/>
              <w:ind w:left="10"/>
              <w:jc w:val="center"/>
              <w:rPr>
                <w:spacing w:val="-2"/>
              </w:rPr>
            </w:pPr>
            <w:r>
              <w:rPr>
                <w:spacing w:val="-4"/>
              </w:rPr>
              <w:t>29.3</w:t>
            </w:r>
          </w:p>
        </w:tc>
        <w:tc>
          <w:tcPr>
            <w:tcW w:w="1384" w:type="dxa"/>
            <w:tcBorders>
              <w:top w:val="single" w:sz="4" w:space="0" w:color="auto"/>
              <w:left w:val="single" w:sz="4" w:space="0" w:color="auto"/>
              <w:bottom w:val="single" w:sz="4" w:space="0" w:color="auto"/>
              <w:right w:val="single" w:sz="4" w:space="0" w:color="auto"/>
            </w:tcBorders>
          </w:tcPr>
          <w:p w14:paraId="645AC1C9" w14:textId="77777777" w:rsidR="005B31AB" w:rsidRDefault="005B31AB" w:rsidP="001834D0">
            <w:pPr>
              <w:pStyle w:val="TableParagraph"/>
              <w:spacing w:line="248" w:lineRule="exact"/>
              <w:ind w:left="10"/>
              <w:jc w:val="center"/>
              <w:rPr>
                <w:spacing w:val="-2"/>
              </w:rPr>
            </w:pPr>
            <w:r>
              <w:rPr>
                <w:spacing w:val="-2"/>
              </w:rPr>
              <w:t>396.0</w:t>
            </w:r>
          </w:p>
        </w:tc>
        <w:tc>
          <w:tcPr>
            <w:tcW w:w="1802" w:type="dxa"/>
            <w:tcBorders>
              <w:top w:val="single" w:sz="4" w:space="0" w:color="auto"/>
              <w:left w:val="single" w:sz="4" w:space="0" w:color="auto"/>
              <w:bottom w:val="single" w:sz="4" w:space="0" w:color="auto"/>
              <w:right w:val="single" w:sz="4" w:space="0" w:color="auto"/>
            </w:tcBorders>
          </w:tcPr>
          <w:p w14:paraId="08C91D94" w14:textId="77777777" w:rsidR="005B31AB" w:rsidRDefault="005B31AB" w:rsidP="001834D0">
            <w:pPr>
              <w:pStyle w:val="TableParagraph"/>
              <w:spacing w:line="248" w:lineRule="exact"/>
              <w:ind w:left="10"/>
              <w:jc w:val="center"/>
              <w:rPr>
                <w:spacing w:val="-2"/>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26807D46" w14:textId="77777777" w:rsidR="005B31AB" w:rsidRDefault="005B31AB" w:rsidP="001834D0">
            <w:pPr>
              <w:pStyle w:val="TableParagraph"/>
              <w:spacing w:line="248" w:lineRule="exact"/>
              <w:ind w:left="10"/>
              <w:jc w:val="center"/>
              <w:rPr>
                <w:spacing w:val="-2"/>
              </w:rPr>
            </w:pPr>
            <w:r>
              <w:rPr>
                <w:spacing w:val="-2"/>
              </w:rPr>
              <w:t>392.7</w:t>
            </w:r>
          </w:p>
        </w:tc>
      </w:tr>
      <w:tr w:rsidR="005B31AB" w14:paraId="29CF98F6"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4336CDC8" w14:textId="77777777" w:rsidR="005B31AB" w:rsidRDefault="005B31AB" w:rsidP="001834D0">
            <w:pPr>
              <w:pStyle w:val="TableParagraph"/>
              <w:spacing w:line="248" w:lineRule="exact"/>
              <w:rPr>
                <w:b/>
              </w:rPr>
            </w:pPr>
            <w:r>
              <w:rPr>
                <w:b/>
                <w:spacing w:val="-2"/>
              </w:rPr>
              <w:t>2020-</w:t>
            </w:r>
            <w:r>
              <w:rPr>
                <w:b/>
                <w:spacing w:val="-5"/>
              </w:rPr>
              <w:t>21</w:t>
            </w:r>
          </w:p>
        </w:tc>
        <w:tc>
          <w:tcPr>
            <w:tcW w:w="1593" w:type="dxa"/>
            <w:tcBorders>
              <w:top w:val="single" w:sz="4" w:space="0" w:color="auto"/>
              <w:left w:val="single" w:sz="4" w:space="0" w:color="auto"/>
              <w:bottom w:val="single" w:sz="4" w:space="0" w:color="auto"/>
              <w:right w:val="single" w:sz="4" w:space="0" w:color="auto"/>
            </w:tcBorders>
          </w:tcPr>
          <w:p w14:paraId="28815251" w14:textId="77777777" w:rsidR="005B31AB" w:rsidRDefault="005B31AB" w:rsidP="001834D0">
            <w:pPr>
              <w:pStyle w:val="TableParagraph"/>
              <w:spacing w:line="248" w:lineRule="exact"/>
              <w:ind w:left="10"/>
              <w:jc w:val="center"/>
              <w:rPr>
                <w:spacing w:val="-2"/>
              </w:rPr>
            </w:pPr>
            <w:r>
              <w:rPr>
                <w:spacing w:val="-2"/>
              </w:rPr>
              <w:t>2,159.2</w:t>
            </w:r>
          </w:p>
        </w:tc>
        <w:tc>
          <w:tcPr>
            <w:tcW w:w="1384" w:type="dxa"/>
            <w:tcBorders>
              <w:top w:val="single" w:sz="4" w:space="0" w:color="auto"/>
              <w:left w:val="single" w:sz="4" w:space="0" w:color="auto"/>
              <w:bottom w:val="single" w:sz="4" w:space="0" w:color="auto"/>
              <w:right w:val="single" w:sz="4" w:space="0" w:color="auto"/>
            </w:tcBorders>
          </w:tcPr>
          <w:p w14:paraId="043FAD0B" w14:textId="77777777" w:rsidR="005B31AB" w:rsidRDefault="005B31AB" w:rsidP="001834D0">
            <w:pPr>
              <w:pStyle w:val="TableParagraph"/>
              <w:spacing w:line="248" w:lineRule="exact"/>
              <w:ind w:left="10"/>
              <w:jc w:val="center"/>
              <w:rPr>
                <w:spacing w:val="-2"/>
              </w:rPr>
            </w:pPr>
            <w:r>
              <w:rPr>
                <w:spacing w:val="-2"/>
              </w:rPr>
              <w:t>579.0</w:t>
            </w:r>
          </w:p>
        </w:tc>
        <w:tc>
          <w:tcPr>
            <w:tcW w:w="1802" w:type="dxa"/>
            <w:tcBorders>
              <w:top w:val="single" w:sz="4" w:space="0" w:color="auto"/>
              <w:left w:val="single" w:sz="4" w:space="0" w:color="auto"/>
              <w:bottom w:val="single" w:sz="4" w:space="0" w:color="auto"/>
              <w:right w:val="single" w:sz="4" w:space="0" w:color="auto"/>
            </w:tcBorders>
          </w:tcPr>
          <w:p w14:paraId="19DE3AA4" w14:textId="77777777" w:rsidR="005B31AB" w:rsidRDefault="005B31AB" w:rsidP="001834D0">
            <w:pPr>
              <w:pStyle w:val="TableParagraph"/>
              <w:spacing w:line="248" w:lineRule="exact"/>
              <w:ind w:left="10"/>
              <w:jc w:val="center"/>
              <w:rPr>
                <w:spacing w:val="-2"/>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7D7C6F87" w14:textId="77777777" w:rsidR="005B31AB" w:rsidRDefault="005B31AB" w:rsidP="001834D0">
            <w:pPr>
              <w:pStyle w:val="TableParagraph"/>
              <w:spacing w:line="248" w:lineRule="exact"/>
              <w:ind w:left="10"/>
              <w:jc w:val="center"/>
              <w:rPr>
                <w:spacing w:val="-2"/>
              </w:rPr>
            </w:pPr>
            <w:r>
              <w:rPr>
                <w:spacing w:val="-2"/>
              </w:rPr>
              <w:t>597.9</w:t>
            </w:r>
          </w:p>
        </w:tc>
      </w:tr>
      <w:tr w:rsidR="005B31AB" w14:paraId="50C9F84C"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1C2BE638" w14:textId="77777777" w:rsidR="005B31AB" w:rsidRDefault="005B31AB" w:rsidP="001834D0">
            <w:pPr>
              <w:pStyle w:val="TableParagraph"/>
              <w:spacing w:line="248" w:lineRule="exact"/>
              <w:rPr>
                <w:b/>
              </w:rPr>
            </w:pPr>
            <w:r>
              <w:rPr>
                <w:b/>
                <w:spacing w:val="-2"/>
              </w:rPr>
              <w:t>2021-</w:t>
            </w:r>
            <w:r>
              <w:rPr>
                <w:b/>
                <w:spacing w:val="-5"/>
              </w:rPr>
              <w:t>22</w:t>
            </w:r>
          </w:p>
        </w:tc>
        <w:tc>
          <w:tcPr>
            <w:tcW w:w="1593" w:type="dxa"/>
            <w:tcBorders>
              <w:top w:val="single" w:sz="4" w:space="0" w:color="auto"/>
              <w:left w:val="single" w:sz="4" w:space="0" w:color="auto"/>
              <w:bottom w:val="single" w:sz="4" w:space="0" w:color="auto"/>
              <w:right w:val="single" w:sz="4" w:space="0" w:color="auto"/>
            </w:tcBorders>
          </w:tcPr>
          <w:p w14:paraId="5B2BA572" w14:textId="77777777" w:rsidR="005B31AB" w:rsidRDefault="005B31AB" w:rsidP="001834D0">
            <w:pPr>
              <w:pStyle w:val="TableParagraph"/>
              <w:spacing w:line="248" w:lineRule="exact"/>
              <w:ind w:left="10"/>
              <w:jc w:val="center"/>
              <w:rPr>
                <w:spacing w:val="-2"/>
              </w:rPr>
            </w:pPr>
            <w:r>
              <w:rPr>
                <w:spacing w:val="-4"/>
              </w:rPr>
              <w:t>18.2</w:t>
            </w:r>
          </w:p>
        </w:tc>
        <w:tc>
          <w:tcPr>
            <w:tcW w:w="1384" w:type="dxa"/>
            <w:tcBorders>
              <w:top w:val="single" w:sz="4" w:space="0" w:color="auto"/>
              <w:left w:val="single" w:sz="4" w:space="0" w:color="auto"/>
              <w:bottom w:val="single" w:sz="4" w:space="0" w:color="auto"/>
              <w:right w:val="single" w:sz="4" w:space="0" w:color="auto"/>
            </w:tcBorders>
          </w:tcPr>
          <w:p w14:paraId="3476DB9C" w14:textId="77777777" w:rsidR="005B31AB" w:rsidRDefault="005B31AB" w:rsidP="001834D0">
            <w:pPr>
              <w:pStyle w:val="TableParagraph"/>
              <w:spacing w:line="248" w:lineRule="exact"/>
              <w:ind w:left="10"/>
              <w:jc w:val="center"/>
              <w:rPr>
                <w:spacing w:val="-2"/>
              </w:rPr>
            </w:pPr>
            <w:r>
              <w:rPr>
                <w:spacing w:val="-2"/>
              </w:rPr>
              <w:t>455.0</w:t>
            </w:r>
          </w:p>
        </w:tc>
        <w:tc>
          <w:tcPr>
            <w:tcW w:w="1802" w:type="dxa"/>
            <w:tcBorders>
              <w:top w:val="single" w:sz="4" w:space="0" w:color="auto"/>
              <w:left w:val="single" w:sz="4" w:space="0" w:color="auto"/>
              <w:bottom w:val="single" w:sz="4" w:space="0" w:color="auto"/>
              <w:right w:val="single" w:sz="4" w:space="0" w:color="auto"/>
            </w:tcBorders>
          </w:tcPr>
          <w:p w14:paraId="4ED3B74E" w14:textId="77777777" w:rsidR="005B31AB" w:rsidRDefault="005B31AB" w:rsidP="001834D0">
            <w:pPr>
              <w:pStyle w:val="TableParagraph"/>
              <w:spacing w:line="248" w:lineRule="exact"/>
              <w:ind w:left="10"/>
              <w:jc w:val="center"/>
              <w:rPr>
                <w:spacing w:val="-2"/>
              </w:rPr>
            </w:pPr>
            <w:r>
              <w:rPr>
                <w:spacing w:val="-2"/>
              </w:rPr>
              <w:t>172.5</w:t>
            </w:r>
          </w:p>
        </w:tc>
        <w:tc>
          <w:tcPr>
            <w:tcW w:w="1593" w:type="dxa"/>
            <w:tcBorders>
              <w:top w:val="single" w:sz="4" w:space="0" w:color="auto"/>
              <w:left w:val="single" w:sz="4" w:space="0" w:color="auto"/>
              <w:bottom w:val="single" w:sz="4" w:space="0" w:color="auto"/>
              <w:right w:val="single" w:sz="4" w:space="0" w:color="auto"/>
            </w:tcBorders>
          </w:tcPr>
          <w:p w14:paraId="2B2BF7B1" w14:textId="77777777" w:rsidR="005B31AB" w:rsidRDefault="005B31AB" w:rsidP="001834D0">
            <w:pPr>
              <w:pStyle w:val="TableParagraph"/>
              <w:spacing w:line="248" w:lineRule="exact"/>
              <w:ind w:left="10"/>
              <w:jc w:val="center"/>
              <w:rPr>
                <w:spacing w:val="-2"/>
              </w:rPr>
            </w:pPr>
            <w:r>
              <w:rPr>
                <w:spacing w:val="-2"/>
              </w:rPr>
              <w:t>627.5</w:t>
            </w:r>
          </w:p>
        </w:tc>
      </w:tr>
      <w:tr w:rsidR="005B31AB" w14:paraId="7E9FE6EF" w14:textId="77777777" w:rsidTr="001834D0">
        <w:trPr>
          <w:trHeight w:val="270"/>
        </w:trPr>
        <w:tc>
          <w:tcPr>
            <w:tcW w:w="1418" w:type="dxa"/>
            <w:tcBorders>
              <w:top w:val="single" w:sz="4" w:space="0" w:color="auto"/>
              <w:left w:val="single" w:sz="4" w:space="0" w:color="auto"/>
              <w:bottom w:val="single" w:sz="4" w:space="0" w:color="auto"/>
              <w:right w:val="single" w:sz="4" w:space="0" w:color="auto"/>
            </w:tcBorders>
          </w:tcPr>
          <w:p w14:paraId="6F4761E2" w14:textId="77777777" w:rsidR="005B31AB" w:rsidRDefault="005B31AB" w:rsidP="001834D0">
            <w:pPr>
              <w:pStyle w:val="TableParagraph"/>
              <w:spacing w:before="1" w:line="249" w:lineRule="exact"/>
              <w:rPr>
                <w:b/>
              </w:rPr>
            </w:pPr>
            <w:r>
              <w:rPr>
                <w:b/>
                <w:spacing w:val="-2"/>
              </w:rPr>
              <w:t>2022-</w:t>
            </w:r>
            <w:r>
              <w:rPr>
                <w:b/>
                <w:spacing w:val="-5"/>
              </w:rPr>
              <w:t>23</w:t>
            </w:r>
          </w:p>
        </w:tc>
        <w:tc>
          <w:tcPr>
            <w:tcW w:w="1593" w:type="dxa"/>
            <w:tcBorders>
              <w:top w:val="single" w:sz="4" w:space="0" w:color="auto"/>
              <w:left w:val="single" w:sz="4" w:space="0" w:color="auto"/>
              <w:bottom w:val="single" w:sz="4" w:space="0" w:color="auto"/>
              <w:right w:val="single" w:sz="4" w:space="0" w:color="auto"/>
            </w:tcBorders>
          </w:tcPr>
          <w:p w14:paraId="208318FC" w14:textId="77777777" w:rsidR="005B31AB" w:rsidRDefault="005B31AB" w:rsidP="001834D0">
            <w:pPr>
              <w:pStyle w:val="TableParagraph"/>
              <w:spacing w:before="1" w:line="249" w:lineRule="exact"/>
              <w:ind w:left="10"/>
              <w:jc w:val="center"/>
              <w:rPr>
                <w:spacing w:val="-2"/>
              </w:rPr>
            </w:pPr>
            <w:r>
              <w:rPr>
                <w:spacing w:val="-2"/>
              </w:rPr>
              <w:t>931.4</w:t>
            </w:r>
          </w:p>
        </w:tc>
        <w:tc>
          <w:tcPr>
            <w:tcW w:w="1384" w:type="dxa"/>
            <w:tcBorders>
              <w:top w:val="single" w:sz="4" w:space="0" w:color="auto"/>
              <w:left w:val="single" w:sz="4" w:space="0" w:color="auto"/>
              <w:bottom w:val="single" w:sz="4" w:space="0" w:color="auto"/>
              <w:right w:val="single" w:sz="4" w:space="0" w:color="auto"/>
            </w:tcBorders>
          </w:tcPr>
          <w:p w14:paraId="60623504" w14:textId="77777777" w:rsidR="005B31AB" w:rsidRDefault="005B31AB" w:rsidP="001834D0">
            <w:pPr>
              <w:pStyle w:val="TableParagraph"/>
              <w:spacing w:before="1" w:line="249" w:lineRule="exact"/>
              <w:ind w:left="10"/>
              <w:jc w:val="center"/>
              <w:rPr>
                <w:spacing w:val="-2"/>
              </w:rPr>
            </w:pPr>
            <w:r>
              <w:rPr>
                <w:spacing w:val="-2"/>
              </w:rPr>
              <w:t>598.0</w:t>
            </w:r>
          </w:p>
        </w:tc>
        <w:tc>
          <w:tcPr>
            <w:tcW w:w="1802" w:type="dxa"/>
            <w:tcBorders>
              <w:top w:val="single" w:sz="4" w:space="0" w:color="auto"/>
              <w:left w:val="single" w:sz="4" w:space="0" w:color="auto"/>
              <w:bottom w:val="single" w:sz="4" w:space="0" w:color="auto"/>
              <w:right w:val="single" w:sz="4" w:space="0" w:color="auto"/>
            </w:tcBorders>
          </w:tcPr>
          <w:p w14:paraId="3298C082" w14:textId="77777777" w:rsidR="005B31AB" w:rsidRDefault="005B31AB" w:rsidP="001834D0">
            <w:pPr>
              <w:pStyle w:val="TableParagraph"/>
              <w:spacing w:before="1" w:line="249" w:lineRule="exact"/>
              <w:ind w:left="10"/>
              <w:jc w:val="center"/>
              <w:rPr>
                <w:spacing w:val="-2"/>
              </w:rPr>
            </w:pPr>
            <w:r>
              <w:rPr>
                <w:spacing w:val="-4"/>
              </w:rPr>
              <w:t>52.0</w:t>
            </w:r>
          </w:p>
        </w:tc>
        <w:tc>
          <w:tcPr>
            <w:tcW w:w="1593" w:type="dxa"/>
            <w:tcBorders>
              <w:top w:val="single" w:sz="4" w:space="0" w:color="auto"/>
              <w:left w:val="single" w:sz="4" w:space="0" w:color="auto"/>
              <w:bottom w:val="single" w:sz="4" w:space="0" w:color="auto"/>
              <w:right w:val="single" w:sz="4" w:space="0" w:color="auto"/>
            </w:tcBorders>
          </w:tcPr>
          <w:p w14:paraId="291DFDD7" w14:textId="77777777" w:rsidR="005B31AB" w:rsidRDefault="005B31AB" w:rsidP="001834D0">
            <w:pPr>
              <w:pStyle w:val="TableParagraph"/>
              <w:spacing w:before="1" w:line="249" w:lineRule="exact"/>
              <w:ind w:left="10"/>
              <w:jc w:val="center"/>
              <w:rPr>
                <w:spacing w:val="-2"/>
              </w:rPr>
            </w:pPr>
            <w:r>
              <w:rPr>
                <w:spacing w:val="-2"/>
              </w:rPr>
              <w:t>650.0</w:t>
            </w:r>
          </w:p>
        </w:tc>
      </w:tr>
      <w:tr w:rsidR="005B31AB" w14:paraId="650D9801"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576B6A1D" w14:textId="77777777" w:rsidR="005B31AB" w:rsidRDefault="005B31AB" w:rsidP="001834D0">
            <w:pPr>
              <w:pStyle w:val="TableParagraph"/>
              <w:spacing w:line="248" w:lineRule="exact"/>
              <w:rPr>
                <w:b/>
              </w:rPr>
            </w:pPr>
            <w:r>
              <w:rPr>
                <w:b/>
                <w:spacing w:val="-2"/>
              </w:rPr>
              <w:t>2023-</w:t>
            </w:r>
            <w:r>
              <w:rPr>
                <w:b/>
                <w:spacing w:val="-5"/>
              </w:rPr>
              <w:t>24</w:t>
            </w:r>
          </w:p>
        </w:tc>
        <w:tc>
          <w:tcPr>
            <w:tcW w:w="1593" w:type="dxa"/>
            <w:tcBorders>
              <w:top w:val="single" w:sz="4" w:space="0" w:color="auto"/>
              <w:left w:val="single" w:sz="4" w:space="0" w:color="auto"/>
              <w:bottom w:val="single" w:sz="4" w:space="0" w:color="auto"/>
              <w:right w:val="single" w:sz="4" w:space="0" w:color="auto"/>
            </w:tcBorders>
          </w:tcPr>
          <w:p w14:paraId="4ED2CE26" w14:textId="77777777" w:rsidR="005B31AB" w:rsidRDefault="005B31AB" w:rsidP="001834D0">
            <w:pPr>
              <w:pStyle w:val="TableParagraph"/>
              <w:spacing w:line="248" w:lineRule="exact"/>
              <w:ind w:left="10"/>
              <w:jc w:val="center"/>
              <w:rPr>
                <w:spacing w:val="-2"/>
              </w:rPr>
            </w:pPr>
            <w:r>
              <w:rPr>
                <w:spacing w:val="-2"/>
              </w:rPr>
              <w:t>1,808.8</w:t>
            </w:r>
          </w:p>
        </w:tc>
        <w:tc>
          <w:tcPr>
            <w:tcW w:w="1384" w:type="dxa"/>
            <w:tcBorders>
              <w:top w:val="single" w:sz="4" w:space="0" w:color="auto"/>
              <w:left w:val="single" w:sz="4" w:space="0" w:color="auto"/>
              <w:bottom w:val="single" w:sz="4" w:space="0" w:color="auto"/>
              <w:right w:val="single" w:sz="4" w:space="0" w:color="auto"/>
            </w:tcBorders>
          </w:tcPr>
          <w:p w14:paraId="083B6C10" w14:textId="77777777" w:rsidR="005B31AB" w:rsidRDefault="005B31AB" w:rsidP="001834D0">
            <w:pPr>
              <w:pStyle w:val="TableParagraph"/>
              <w:spacing w:line="248" w:lineRule="exact"/>
              <w:ind w:left="10"/>
              <w:jc w:val="center"/>
              <w:rPr>
                <w:spacing w:val="-2"/>
              </w:rPr>
            </w:pPr>
            <w:r>
              <w:rPr>
                <w:spacing w:val="-2"/>
              </w:rPr>
              <w:t>870.0</w:t>
            </w:r>
          </w:p>
        </w:tc>
        <w:tc>
          <w:tcPr>
            <w:tcW w:w="1802" w:type="dxa"/>
            <w:tcBorders>
              <w:top w:val="single" w:sz="4" w:space="0" w:color="auto"/>
              <w:left w:val="single" w:sz="4" w:space="0" w:color="auto"/>
              <w:bottom w:val="single" w:sz="4" w:space="0" w:color="auto"/>
              <w:right w:val="single" w:sz="4" w:space="0" w:color="auto"/>
            </w:tcBorders>
          </w:tcPr>
          <w:p w14:paraId="6AAD56A2" w14:textId="77777777" w:rsidR="005B31AB" w:rsidRDefault="005B31AB" w:rsidP="001834D0">
            <w:pPr>
              <w:pStyle w:val="TableParagraph"/>
              <w:spacing w:line="248" w:lineRule="exact"/>
              <w:ind w:left="10"/>
              <w:jc w:val="center"/>
              <w:rPr>
                <w:spacing w:val="-2"/>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16E1873B" w14:textId="77777777" w:rsidR="005B31AB" w:rsidRDefault="005B31AB" w:rsidP="001834D0">
            <w:pPr>
              <w:pStyle w:val="TableParagraph"/>
              <w:spacing w:line="248" w:lineRule="exact"/>
              <w:ind w:left="10"/>
              <w:jc w:val="center"/>
              <w:rPr>
                <w:spacing w:val="-2"/>
              </w:rPr>
            </w:pPr>
            <w:r>
              <w:rPr>
                <w:spacing w:val="-2"/>
              </w:rPr>
              <w:t>650.0</w:t>
            </w:r>
          </w:p>
        </w:tc>
      </w:tr>
      <w:tr w:rsidR="005B31AB" w14:paraId="18460054" w14:textId="77777777" w:rsidTr="001834D0">
        <w:trPr>
          <w:trHeight w:val="268"/>
        </w:trPr>
        <w:tc>
          <w:tcPr>
            <w:tcW w:w="1418" w:type="dxa"/>
            <w:tcBorders>
              <w:top w:val="single" w:sz="4" w:space="0" w:color="auto"/>
              <w:left w:val="single" w:sz="4" w:space="0" w:color="auto"/>
              <w:bottom w:val="single" w:sz="4" w:space="0" w:color="auto"/>
              <w:right w:val="single" w:sz="4" w:space="0" w:color="auto"/>
            </w:tcBorders>
          </w:tcPr>
          <w:p w14:paraId="558D59B2" w14:textId="77777777" w:rsidR="005B31AB" w:rsidRDefault="005B31AB" w:rsidP="001834D0">
            <w:pPr>
              <w:pStyle w:val="TableParagraph"/>
              <w:spacing w:line="248" w:lineRule="exact"/>
              <w:rPr>
                <w:b/>
              </w:rPr>
            </w:pPr>
            <w:r>
              <w:rPr>
                <w:b/>
                <w:spacing w:val="-2"/>
              </w:rPr>
              <w:t>2024-</w:t>
            </w:r>
            <w:r>
              <w:rPr>
                <w:b/>
                <w:spacing w:val="-5"/>
              </w:rPr>
              <w:t>25</w:t>
            </w:r>
          </w:p>
        </w:tc>
        <w:tc>
          <w:tcPr>
            <w:tcW w:w="1593" w:type="dxa"/>
            <w:tcBorders>
              <w:top w:val="single" w:sz="4" w:space="0" w:color="auto"/>
              <w:left w:val="single" w:sz="4" w:space="0" w:color="auto"/>
              <w:bottom w:val="single" w:sz="4" w:space="0" w:color="auto"/>
              <w:right w:val="single" w:sz="4" w:space="0" w:color="auto"/>
            </w:tcBorders>
          </w:tcPr>
          <w:p w14:paraId="2AB6DAC1" w14:textId="77777777" w:rsidR="005B31AB" w:rsidRDefault="005B31AB" w:rsidP="001834D0">
            <w:pPr>
              <w:pStyle w:val="TableParagraph"/>
              <w:spacing w:line="248" w:lineRule="exact"/>
              <w:ind w:left="10"/>
              <w:jc w:val="center"/>
              <w:rPr>
                <w:spacing w:val="-2"/>
              </w:rPr>
            </w:pPr>
            <w:r>
              <w:rPr>
                <w:spacing w:val="-5"/>
              </w:rPr>
              <w:t>N/A</w:t>
            </w:r>
          </w:p>
        </w:tc>
        <w:tc>
          <w:tcPr>
            <w:tcW w:w="1384" w:type="dxa"/>
            <w:tcBorders>
              <w:top w:val="single" w:sz="4" w:space="0" w:color="auto"/>
              <w:left w:val="single" w:sz="4" w:space="0" w:color="auto"/>
              <w:bottom w:val="single" w:sz="4" w:space="0" w:color="auto"/>
              <w:right w:val="single" w:sz="4" w:space="0" w:color="auto"/>
            </w:tcBorders>
          </w:tcPr>
          <w:p w14:paraId="43F2F6D4" w14:textId="77777777" w:rsidR="005B31AB" w:rsidRDefault="005B31AB" w:rsidP="001834D0">
            <w:pPr>
              <w:pStyle w:val="TableParagraph"/>
              <w:spacing w:line="248" w:lineRule="exact"/>
              <w:ind w:left="10"/>
              <w:jc w:val="center"/>
              <w:rPr>
                <w:spacing w:val="-2"/>
              </w:rPr>
            </w:pPr>
            <w:r>
              <w:rPr>
                <w:spacing w:val="-2"/>
              </w:rPr>
              <w:t>973.0</w:t>
            </w:r>
          </w:p>
        </w:tc>
        <w:tc>
          <w:tcPr>
            <w:tcW w:w="1802" w:type="dxa"/>
            <w:tcBorders>
              <w:top w:val="single" w:sz="4" w:space="0" w:color="auto"/>
              <w:left w:val="single" w:sz="4" w:space="0" w:color="auto"/>
              <w:bottom w:val="single" w:sz="4" w:space="0" w:color="auto"/>
              <w:right w:val="single" w:sz="4" w:space="0" w:color="auto"/>
            </w:tcBorders>
          </w:tcPr>
          <w:p w14:paraId="5AF3FF40" w14:textId="77777777" w:rsidR="005B31AB" w:rsidRDefault="005B31AB" w:rsidP="001834D0">
            <w:pPr>
              <w:pStyle w:val="TableParagraph"/>
              <w:spacing w:line="248" w:lineRule="exact"/>
              <w:ind w:left="10"/>
              <w:jc w:val="center"/>
              <w:rPr>
                <w:spacing w:val="-2"/>
              </w:rPr>
            </w:pPr>
            <w:r>
              <w:rPr>
                <w:spacing w:val="-10"/>
              </w:rPr>
              <w:t>-</w:t>
            </w:r>
          </w:p>
        </w:tc>
        <w:tc>
          <w:tcPr>
            <w:tcW w:w="1593" w:type="dxa"/>
            <w:tcBorders>
              <w:top w:val="single" w:sz="4" w:space="0" w:color="auto"/>
              <w:left w:val="single" w:sz="4" w:space="0" w:color="auto"/>
              <w:bottom w:val="single" w:sz="4" w:space="0" w:color="auto"/>
              <w:right w:val="single" w:sz="4" w:space="0" w:color="auto"/>
            </w:tcBorders>
          </w:tcPr>
          <w:p w14:paraId="5D942B17" w14:textId="77777777" w:rsidR="005B31AB" w:rsidRDefault="005B31AB" w:rsidP="001834D0">
            <w:pPr>
              <w:pStyle w:val="TableParagraph"/>
              <w:spacing w:line="248" w:lineRule="exact"/>
              <w:ind w:left="10"/>
              <w:jc w:val="center"/>
              <w:rPr>
                <w:spacing w:val="-2"/>
              </w:rPr>
            </w:pPr>
            <w:r>
              <w:rPr>
                <w:spacing w:val="-2"/>
              </w:rPr>
              <w:t>650.0</w:t>
            </w:r>
          </w:p>
        </w:tc>
      </w:tr>
    </w:tbl>
    <w:p w14:paraId="50874A5E" w14:textId="77777777" w:rsidR="005B31AB" w:rsidRDefault="005B31AB" w:rsidP="005B31AB">
      <w:pPr>
        <w:spacing w:after="0"/>
        <w:rPr>
          <w:sz w:val="20"/>
          <w:szCs w:val="20"/>
        </w:rPr>
      </w:pPr>
      <w:r w:rsidRPr="007763B9">
        <w:rPr>
          <w:sz w:val="20"/>
          <w:szCs w:val="20"/>
        </w:rPr>
        <w:t>Source: Department of Health and Aged Care and Department of Finance</w:t>
      </w:r>
    </w:p>
    <w:p w14:paraId="713CC64C" w14:textId="77777777" w:rsidR="005B31AB" w:rsidRPr="00AF687C" w:rsidRDefault="005B31AB" w:rsidP="005B31AB">
      <w:pPr>
        <w:spacing w:after="0"/>
        <w:rPr>
          <w:sz w:val="20"/>
          <w:szCs w:val="20"/>
        </w:rPr>
      </w:pPr>
      <w:r>
        <w:rPr>
          <w:sz w:val="20"/>
          <w:szCs w:val="20"/>
        </w:rPr>
        <w:t>*</w:t>
      </w:r>
      <w:r w:rsidRPr="007E629E">
        <w:rPr>
          <w:sz w:val="20"/>
          <w:szCs w:val="20"/>
        </w:rPr>
        <w:t>The table above shows grant payments made by the Department of Health and Ageing, which differs from amounts drawn from the MRFF</w:t>
      </w:r>
      <w:r>
        <w:rPr>
          <w:sz w:val="20"/>
          <w:szCs w:val="20"/>
        </w:rPr>
        <w:t xml:space="preserve"> and reflect the MRFF 10-year Plan since it commenced in 2018-19.</w:t>
      </w:r>
    </w:p>
    <w:p w14:paraId="43903CC2" w14:textId="77777777" w:rsidR="005B31AB" w:rsidRDefault="005B31AB" w:rsidP="005B31AB">
      <w:pPr>
        <w:pStyle w:val="Heading3"/>
      </w:pPr>
      <w:r>
        <w:lastRenderedPageBreak/>
        <w:t>Set disbursements model</w:t>
      </w:r>
    </w:p>
    <w:p w14:paraId="0F77AEBA" w14:textId="77777777" w:rsidR="005B31AB" w:rsidRDefault="005B31AB" w:rsidP="005B31AB">
      <w:pPr>
        <w:spacing w:before="120"/>
      </w:pPr>
      <w:r>
        <w:t>The recurring difference between the MADA and the 10-year Plan has raised concerns from stakeholders regarding the security of annual funding for research (in years where the MADA was lower) and perceived ‘missed opportunities’ to use the full amount available to support research (in years where the MADA was higher).</w:t>
      </w:r>
    </w:p>
    <w:p w14:paraId="7D76DDA6" w14:textId="77777777" w:rsidR="005B31AB" w:rsidRDefault="005B31AB" w:rsidP="005B31AB">
      <w:pPr>
        <w:spacing w:before="240"/>
      </w:pPr>
      <w:r>
        <w:t>An alternative to requiring the Future Fund Board to set a MADA for the MRFF each year is to instead specify an annual disbursement amount in legislation, which could be initially set at, for example, $650 million per annum in line with the current 10-year Plan. Responsible Ministers could then be given the power to adjust this amount by legislative instrument. Such an instrument could specify either a set amount per year for a given period, or a schedule of differing amounts per year over a set period.</w:t>
      </w:r>
    </w:p>
    <w:p w14:paraId="54221F77" w14:textId="77777777" w:rsidR="005B31AB" w:rsidRDefault="005B31AB" w:rsidP="005B31AB">
      <w:r>
        <w:t>Under a set disbursements model, an annual disbursement would be determined and would remain the same regardless of short-term investment performance of the MRFF. The annual disbursement could be set at a level that provides meaningful disbursements to support research while ensuring the MRFF is not overdrawn over the long-term. A profile of annual disbursements over a set number of years could also be considered as part of a legislative instrument, this could assist to provide the required certainty over long-term funding for grant applicants and the Department of Health and Aged Care.</w:t>
      </w:r>
    </w:p>
    <w:p w14:paraId="3C1E034E" w14:textId="77777777" w:rsidR="005B31AB" w:rsidRDefault="005B31AB" w:rsidP="005B31AB">
      <w:r>
        <w:t xml:space="preserve">The </w:t>
      </w:r>
      <w:r w:rsidRPr="002E6862">
        <w:t>responsible Ministers</w:t>
      </w:r>
      <w:r>
        <w:t>, in consultation with the Health Minister,</w:t>
      </w:r>
      <w:r w:rsidRPr="002E6862">
        <w:t xml:space="preserve"> </w:t>
      </w:r>
      <w:r>
        <w:t>could be required to regularly review</w:t>
      </w:r>
      <w:r w:rsidRPr="002E6862">
        <w:t xml:space="preserve"> the </w:t>
      </w:r>
      <w:r>
        <w:t xml:space="preserve">annual disbursement amount and be permitted (but not required) to update the amount </w:t>
      </w:r>
      <w:r w:rsidRPr="002E6862">
        <w:t xml:space="preserve">by </w:t>
      </w:r>
      <w:r>
        <w:t xml:space="preserve">disallowable </w:t>
      </w:r>
      <w:r w:rsidRPr="002E6862">
        <w:t>legislative instrument</w:t>
      </w:r>
      <w:r>
        <w:t xml:space="preserve"> when appropriate. This would ensure the disbursement profile </w:t>
      </w:r>
      <w:r w:rsidRPr="00842036">
        <w:t>balances meaningful short</w:t>
      </w:r>
      <w:r>
        <w:t xml:space="preserve"> </w:t>
      </w:r>
      <w:r w:rsidRPr="00842036">
        <w:t xml:space="preserve">term disbursements against the </w:t>
      </w:r>
      <w:r>
        <w:t>long term</w:t>
      </w:r>
      <w:r w:rsidRPr="00842036">
        <w:t xml:space="preserve"> funding objective of the MRF</w:t>
      </w:r>
      <w:r>
        <w:t>F.</w:t>
      </w:r>
      <w:r w:rsidRPr="00842036" w:rsidDel="00842036">
        <w:t xml:space="preserve"> </w:t>
      </w:r>
      <w:r>
        <w:t xml:space="preserve">A review at least every five years would provide relative stability while ensuring the disbursement profile remains appropriately updated. This is consistent with the approach taken for the Disaster Ready Fund (see section 34 of the </w:t>
      </w:r>
      <w:r>
        <w:rPr>
          <w:i/>
          <w:iCs/>
        </w:rPr>
        <w:t>Disaster Ready Fund Act 2019</w:t>
      </w:r>
      <w:r>
        <w:t>).</w:t>
      </w:r>
    </w:p>
    <w:p w14:paraId="66719077" w14:textId="77777777" w:rsidR="005B31AB" w:rsidRDefault="005B31AB" w:rsidP="005B31AB">
      <w:r>
        <w:t>Similar to the Housing Australia Future Fund and the Disaster Ready Fund, the responsible Ministers should be required to consult with the Future Fund Board before adjusting the annual disbursement amount to ensure a robust understanding of the effect of any changes on the longevity and sustainability of the MRFF.</w:t>
      </w:r>
    </w:p>
    <w:p w14:paraId="2DC009DC" w14:textId="77777777" w:rsidR="005B31AB" w:rsidRDefault="005B31AB" w:rsidP="005B31AB">
      <w:r>
        <w:t>Simplifying the MRFF’s disbursements framework would reduce administrative pressures and promote responsible grant design and delivery, while retaining the certainty and direction of government commitments towards research for researchers and research organisations provided by the MRFF 10-year Plan.</w:t>
      </w:r>
    </w:p>
    <w:p w14:paraId="30EDAC43" w14:textId="44FBBBCA" w:rsidR="005B31AB" w:rsidRDefault="005B31AB" w:rsidP="005B31AB">
      <w:r w:rsidRPr="0076106C">
        <w:t xml:space="preserve">The successful investment of the MRFF portfolio by the </w:t>
      </w:r>
      <w:r>
        <w:t>Future Fund Board</w:t>
      </w:r>
      <w:r w:rsidRPr="0076106C">
        <w:t xml:space="preserve"> has generated $6.</w:t>
      </w:r>
      <w:r>
        <w:t xml:space="preserve">4 </w:t>
      </w:r>
      <w:r w:rsidRPr="0076106C">
        <w:t xml:space="preserve">billion in net investment earnings since inception. If disbursements are maintained at $650 million per year and the benchmark rate of return is met, the MRFF is projected to grow to over $30 billion by </w:t>
      </w:r>
      <w:r>
        <w:br/>
      </w:r>
      <w:r w:rsidRPr="0076106C">
        <w:t>203</w:t>
      </w:r>
      <w:r>
        <w:t>3</w:t>
      </w:r>
      <w:r w:rsidRPr="0076106C">
        <w:t>-3</w:t>
      </w:r>
      <w:r>
        <w:t>4</w:t>
      </w:r>
      <w:r w:rsidRPr="0076106C">
        <w:t>. On this basis it could be argued that the MRFF could support a higher level of disbursements in the future</w:t>
      </w:r>
      <w:r>
        <w:t>.</w:t>
      </w:r>
      <w:r>
        <w:br w:type="page"/>
      </w:r>
    </w:p>
    <w:p w14:paraId="28F66427" w14:textId="0D46CCA2" w:rsidR="005B31AB" w:rsidRDefault="005B31AB" w:rsidP="005B31AB">
      <w:r>
        <w:lastRenderedPageBreak/>
        <w:t>Under a set disbursements model, the MADA determination requirement for the Future Fund Board to consider the principle of preserving the nominal credits to the MRFF over the long term would be removed. This could allow the Future Fund Board to invest a higher proportion of the Fund’s capital in longer-term investments with higher expected returns and could potentially be reflected in a higher benchmark rate of return in the Investment Mandate.</w:t>
      </w:r>
    </w:p>
    <w:p w14:paraId="0F6CEF88" w14:textId="77777777" w:rsidR="005B31AB" w:rsidRDefault="005B31AB" w:rsidP="005B31AB">
      <w:r>
        <w:t>A higher benchmark rate of return more in line with the other AGIFs would allow the Future Fund Board to match the MRFF portfolio’s level of risk with other AGIFs that have similar liquidity requirements, including the Housing Australia Future Fund, the Future Drought Fund and the Disaster Ready Fund (Table 4). This is expected to create operational efficiencies for the Future Fund Board.</w:t>
      </w:r>
    </w:p>
    <w:p w14:paraId="612DF332" w14:textId="77777777" w:rsidR="005B31AB" w:rsidRPr="006F197E" w:rsidRDefault="005B31AB" w:rsidP="00593EA2">
      <w:pPr>
        <w:pStyle w:val="Caption"/>
      </w:pPr>
      <w:r w:rsidRPr="0020309F">
        <w:t xml:space="preserve">Table </w:t>
      </w:r>
      <w:r>
        <w:t>4</w:t>
      </w:r>
      <w:r w:rsidRPr="0020309F">
        <w:t>: Australian Government Investment Fund benchmark rates of return</w:t>
      </w:r>
    </w:p>
    <w:tbl>
      <w:tblPr>
        <w:tblStyle w:val="ListTable3-Accent1"/>
        <w:tblW w:w="0" w:type="auto"/>
        <w:tblBorders>
          <w:insideH w:val="single" w:sz="4" w:space="0" w:color="auto"/>
          <w:insideV w:val="single" w:sz="4" w:space="0" w:color="auto"/>
        </w:tblBorders>
        <w:tblLook w:val="04A0" w:firstRow="1" w:lastRow="0" w:firstColumn="1" w:lastColumn="0" w:noHBand="0" w:noVBand="1"/>
      </w:tblPr>
      <w:tblGrid>
        <w:gridCol w:w="2996"/>
        <w:gridCol w:w="2996"/>
        <w:gridCol w:w="2996"/>
      </w:tblGrid>
      <w:tr w:rsidR="005B31AB" w14:paraId="753994FF" w14:textId="77777777" w:rsidTr="00593EA2">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100" w:firstRow="0" w:lastRow="0" w:firstColumn="1" w:lastColumn="0" w:oddVBand="0" w:evenVBand="0" w:oddHBand="0" w:evenHBand="0" w:firstRowFirstColumn="1" w:firstRowLastColumn="0" w:lastRowFirstColumn="0" w:lastRowLastColumn="0"/>
            <w:tcW w:w="2996" w:type="dxa"/>
            <w:tcBorders>
              <w:bottom w:val="none" w:sz="0" w:space="0" w:color="auto"/>
              <w:right w:val="none" w:sz="0" w:space="0" w:color="auto"/>
            </w:tcBorders>
          </w:tcPr>
          <w:p w14:paraId="3AD7A73F" w14:textId="77777777" w:rsidR="005B31AB" w:rsidRPr="00DA4EB1" w:rsidRDefault="005B31AB" w:rsidP="001834D0">
            <w:pPr>
              <w:rPr>
                <w:bCs w:val="0"/>
              </w:rPr>
            </w:pPr>
            <w:r w:rsidRPr="00DA4EB1">
              <w:rPr>
                <w:bCs w:val="0"/>
              </w:rPr>
              <w:t>Investment Fund</w:t>
            </w:r>
          </w:p>
        </w:tc>
        <w:tc>
          <w:tcPr>
            <w:tcW w:w="2996" w:type="dxa"/>
          </w:tcPr>
          <w:p w14:paraId="7E37ECCE" w14:textId="77777777" w:rsidR="005B31AB" w:rsidRPr="00DA4EB1" w:rsidRDefault="005B31AB" w:rsidP="001834D0">
            <w:pPr>
              <w:cnfStyle w:val="100000000000" w:firstRow="1" w:lastRow="0" w:firstColumn="0" w:lastColumn="0" w:oddVBand="0" w:evenVBand="0" w:oddHBand="0" w:evenHBand="0" w:firstRowFirstColumn="0" w:firstRowLastColumn="0" w:lastRowFirstColumn="0" w:lastRowLastColumn="0"/>
              <w:rPr>
                <w:bCs w:val="0"/>
              </w:rPr>
            </w:pPr>
            <w:r w:rsidRPr="00DA4EB1">
              <w:rPr>
                <w:bCs w:val="0"/>
              </w:rPr>
              <w:t>Disbursement profile</w:t>
            </w:r>
          </w:p>
        </w:tc>
        <w:tc>
          <w:tcPr>
            <w:tcW w:w="2996" w:type="dxa"/>
          </w:tcPr>
          <w:p w14:paraId="4284A1A2" w14:textId="77777777" w:rsidR="005B31AB" w:rsidRPr="00DA4EB1" w:rsidRDefault="005B31AB" w:rsidP="001834D0">
            <w:pPr>
              <w:cnfStyle w:val="100000000000" w:firstRow="1" w:lastRow="0" w:firstColumn="0" w:lastColumn="0" w:oddVBand="0" w:evenVBand="0" w:oddHBand="0" w:evenHBand="0" w:firstRowFirstColumn="0" w:firstRowLastColumn="0" w:lastRowFirstColumn="0" w:lastRowLastColumn="0"/>
              <w:rPr>
                <w:bCs w:val="0"/>
              </w:rPr>
            </w:pPr>
            <w:r>
              <w:rPr>
                <w:bCs w:val="0"/>
              </w:rPr>
              <w:t>Benchmark rate of return</w:t>
            </w:r>
          </w:p>
        </w:tc>
      </w:tr>
      <w:tr w:rsidR="005B31AB" w14:paraId="051B802F" w14:textId="77777777" w:rsidTr="001834D0">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3D15EFFA" w14:textId="77777777" w:rsidR="005B31AB" w:rsidRPr="00BE752A" w:rsidRDefault="005B31AB" w:rsidP="001834D0">
            <w:pPr>
              <w:rPr>
                <w:b w:val="0"/>
                <w:bCs w:val="0"/>
              </w:rPr>
            </w:pPr>
            <w:r w:rsidRPr="0020309F">
              <w:rPr>
                <w:rFonts w:ascii="Calibri" w:eastAsia="Times New Roman" w:hAnsi="Calibri" w:cs="Arial"/>
                <w:kern w:val="24"/>
                <w:lang w:eastAsia="en-AU"/>
                <w14:ligatures w14:val="none"/>
              </w:rPr>
              <w:t xml:space="preserve">Medical Research Future Fund </w:t>
            </w:r>
          </w:p>
        </w:tc>
        <w:tc>
          <w:tcPr>
            <w:tcW w:w="0" w:type="dxa"/>
            <w:tcBorders>
              <w:top w:val="none" w:sz="0" w:space="0" w:color="auto"/>
              <w:bottom w:val="none" w:sz="0" w:space="0" w:color="auto"/>
            </w:tcBorders>
          </w:tcPr>
          <w:p w14:paraId="0DA40EAF"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rsidRPr="00BE752A">
              <w:t xml:space="preserve">Variable disbursement profile </w:t>
            </w:r>
            <w:r>
              <w:t>determined annually by Future Fund Board</w:t>
            </w:r>
            <w:r w:rsidRPr="00BE752A">
              <w:t xml:space="preserve">. </w:t>
            </w:r>
            <w:r>
              <w:t xml:space="preserve">Principle </w:t>
            </w:r>
            <w:r w:rsidRPr="00BE752A">
              <w:t>to maintain nominal value of the fund.</w:t>
            </w:r>
          </w:p>
        </w:tc>
        <w:tc>
          <w:tcPr>
            <w:tcW w:w="0" w:type="dxa"/>
            <w:tcBorders>
              <w:top w:val="none" w:sz="0" w:space="0" w:color="auto"/>
              <w:bottom w:val="none" w:sz="0" w:space="0" w:color="auto"/>
            </w:tcBorders>
          </w:tcPr>
          <w:p w14:paraId="69D40046"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Arial"/>
                <w:color w:val="000000"/>
                <w:kern w:val="24"/>
                <w:lang w:eastAsia="en-AU"/>
                <w14:ligatures w14:val="none"/>
              </w:rPr>
              <w:t>RBA</w:t>
            </w:r>
            <w:r w:rsidRPr="0020309F">
              <w:rPr>
                <w:rFonts w:ascii="Calibri" w:eastAsia="Times New Roman" w:hAnsi="Calibri" w:cs="Arial"/>
                <w:color w:val="000000"/>
                <w:kern w:val="24"/>
                <w:lang w:eastAsia="en-AU"/>
                <w14:ligatures w14:val="none"/>
              </w:rPr>
              <w:t xml:space="preserve"> Cash Rate target + 1.5-2.0 % p.a., net of investment fees, over a rolling 10 year term</w:t>
            </w:r>
          </w:p>
        </w:tc>
      </w:tr>
      <w:tr w:rsidR="005B31AB" w14:paraId="71EEA880" w14:textId="77777777" w:rsidTr="001834D0">
        <w:trPr>
          <w:trHeight w:val="641"/>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0B113D21" w14:textId="77777777" w:rsidR="005B31AB" w:rsidRPr="00BE752A" w:rsidRDefault="005B31AB" w:rsidP="001834D0">
            <w:pPr>
              <w:rPr>
                <w:b w:val="0"/>
                <w:bCs w:val="0"/>
              </w:rPr>
            </w:pPr>
            <w:r w:rsidRPr="0020309F">
              <w:t>Future Drought Fund</w:t>
            </w:r>
          </w:p>
        </w:tc>
        <w:tc>
          <w:tcPr>
            <w:tcW w:w="0" w:type="dxa"/>
          </w:tcPr>
          <w:p w14:paraId="2F62DB5A" w14:textId="77777777" w:rsidR="005B31AB" w:rsidRPr="00BE752A" w:rsidRDefault="005B31AB" w:rsidP="001834D0">
            <w:pPr>
              <w:cnfStyle w:val="000000000000" w:firstRow="0" w:lastRow="0" w:firstColumn="0" w:lastColumn="0" w:oddVBand="0" w:evenVBand="0" w:oddHBand="0" w:evenHBand="0" w:firstRowFirstColumn="0" w:firstRowLastColumn="0" w:lastRowFirstColumn="0" w:lastRowLastColumn="0"/>
            </w:pPr>
            <w:r w:rsidRPr="00BE752A">
              <w:t xml:space="preserve">Set disbursements of $100m annually </w:t>
            </w:r>
          </w:p>
        </w:tc>
        <w:tc>
          <w:tcPr>
            <w:tcW w:w="0" w:type="dxa"/>
          </w:tcPr>
          <w:p w14:paraId="7E85E6A8" w14:textId="77777777" w:rsidR="005B31AB" w:rsidRPr="00BE752A" w:rsidRDefault="005B31AB" w:rsidP="001834D0">
            <w:pPr>
              <w:cnfStyle w:val="000000000000" w:firstRow="0" w:lastRow="0" w:firstColumn="0" w:lastColumn="0" w:oddVBand="0" w:evenVBand="0" w:oddHBand="0" w:evenHBand="0" w:firstRowFirstColumn="0" w:firstRowLastColumn="0" w:lastRowFirstColumn="0" w:lastRowLastColumn="0"/>
            </w:pPr>
            <w:r w:rsidRPr="0020309F">
              <w:t>Consumer Price Index (CPI) + 2.0-3.0% p.a., net of costs, over the long term</w:t>
            </w:r>
          </w:p>
        </w:tc>
      </w:tr>
      <w:tr w:rsidR="005B31AB" w14:paraId="4F939666" w14:textId="77777777" w:rsidTr="001834D0">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6BC31EDF" w14:textId="77777777" w:rsidR="005B31AB" w:rsidRPr="00BE752A" w:rsidRDefault="005B31AB" w:rsidP="001834D0">
            <w:pPr>
              <w:rPr>
                <w:b w:val="0"/>
                <w:bCs w:val="0"/>
              </w:rPr>
            </w:pPr>
            <w:r w:rsidRPr="0020309F">
              <w:t>Disaster Ready Fund</w:t>
            </w:r>
          </w:p>
        </w:tc>
        <w:tc>
          <w:tcPr>
            <w:tcW w:w="0" w:type="dxa"/>
            <w:tcBorders>
              <w:top w:val="none" w:sz="0" w:space="0" w:color="auto"/>
              <w:bottom w:val="none" w:sz="0" w:space="0" w:color="auto"/>
            </w:tcBorders>
          </w:tcPr>
          <w:p w14:paraId="37845244"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rsidRPr="00BE752A">
              <w:t>Set disbursements of $</w:t>
            </w:r>
            <w:r>
              <w:t>2</w:t>
            </w:r>
            <w:r w:rsidRPr="00BE752A">
              <w:t xml:space="preserve">00m annually </w:t>
            </w:r>
          </w:p>
        </w:tc>
        <w:tc>
          <w:tcPr>
            <w:tcW w:w="0" w:type="dxa"/>
            <w:tcBorders>
              <w:top w:val="none" w:sz="0" w:space="0" w:color="auto"/>
              <w:bottom w:val="none" w:sz="0" w:space="0" w:color="auto"/>
            </w:tcBorders>
          </w:tcPr>
          <w:p w14:paraId="6A54BAEA"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rsidRPr="0020309F">
              <w:t>CPI + 2.0-3.0% p.a., net of costs, over the long term</w:t>
            </w:r>
          </w:p>
        </w:tc>
      </w:tr>
      <w:tr w:rsidR="005B31AB" w14:paraId="22DD2B81" w14:textId="77777777" w:rsidTr="001834D0">
        <w:trPr>
          <w:trHeight w:val="641"/>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6BFD9667" w14:textId="77777777" w:rsidR="005B31AB" w:rsidRPr="00BE752A" w:rsidRDefault="005B31AB" w:rsidP="001834D0">
            <w:pPr>
              <w:rPr>
                <w:b w:val="0"/>
                <w:bCs w:val="0"/>
              </w:rPr>
            </w:pPr>
            <w:r w:rsidRPr="0020309F">
              <w:t>Housing Australia Future Fund</w:t>
            </w:r>
          </w:p>
        </w:tc>
        <w:tc>
          <w:tcPr>
            <w:tcW w:w="0" w:type="dxa"/>
          </w:tcPr>
          <w:p w14:paraId="7A7FD4F7" w14:textId="77777777" w:rsidR="005B31AB" w:rsidRPr="00BE752A" w:rsidRDefault="005B31AB" w:rsidP="001834D0">
            <w:pPr>
              <w:cnfStyle w:val="000000000000" w:firstRow="0" w:lastRow="0" w:firstColumn="0" w:lastColumn="0" w:oddVBand="0" w:evenVBand="0" w:oddHBand="0" w:evenHBand="0" w:firstRowFirstColumn="0" w:firstRowLastColumn="0" w:lastRowFirstColumn="0" w:lastRowLastColumn="0"/>
            </w:pPr>
            <w:r w:rsidRPr="00BE752A">
              <w:t>Set disbursements of $</w:t>
            </w:r>
            <w:r>
              <w:t>5</w:t>
            </w:r>
            <w:r w:rsidRPr="00BE752A">
              <w:t>00m annually</w:t>
            </w:r>
            <w:r>
              <w:t>. Indexed to CPI from 2029-30.</w:t>
            </w:r>
          </w:p>
        </w:tc>
        <w:tc>
          <w:tcPr>
            <w:tcW w:w="0" w:type="dxa"/>
          </w:tcPr>
          <w:p w14:paraId="151A0922" w14:textId="77777777" w:rsidR="005B31AB" w:rsidRPr="00BE752A" w:rsidRDefault="005B31AB" w:rsidP="001834D0">
            <w:pPr>
              <w:cnfStyle w:val="000000000000" w:firstRow="0" w:lastRow="0" w:firstColumn="0" w:lastColumn="0" w:oddVBand="0" w:evenVBand="0" w:oddHBand="0" w:evenHBand="0" w:firstRowFirstColumn="0" w:firstRowLastColumn="0" w:lastRowFirstColumn="0" w:lastRowLastColumn="0"/>
            </w:pPr>
            <w:r w:rsidRPr="0020309F">
              <w:t>CPI + 2.0-3.0% p.a., net of costs</w:t>
            </w:r>
            <w:r>
              <w:t>, over the long term</w:t>
            </w:r>
          </w:p>
        </w:tc>
      </w:tr>
      <w:tr w:rsidR="005B31AB" w14:paraId="24BFD724" w14:textId="77777777" w:rsidTr="001834D0">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19DAB8A6" w14:textId="77777777" w:rsidR="005B31AB" w:rsidRPr="00BE752A" w:rsidRDefault="005B31AB" w:rsidP="001834D0">
            <w:pPr>
              <w:rPr>
                <w:b w:val="0"/>
                <w:bCs w:val="0"/>
              </w:rPr>
            </w:pPr>
            <w:r w:rsidRPr="0020309F">
              <w:t>Aboriginal and Torres Strait Islander Land and Sea Future Fund</w:t>
            </w:r>
          </w:p>
        </w:tc>
        <w:tc>
          <w:tcPr>
            <w:tcW w:w="0" w:type="dxa"/>
            <w:tcBorders>
              <w:top w:val="none" w:sz="0" w:space="0" w:color="auto"/>
              <w:bottom w:val="none" w:sz="0" w:space="0" w:color="auto"/>
            </w:tcBorders>
          </w:tcPr>
          <w:p w14:paraId="76EA8866"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t>Set d</w:t>
            </w:r>
            <w:r w:rsidRPr="00BE752A">
              <w:t xml:space="preserve">isbursements </w:t>
            </w:r>
            <w:r>
              <w:t xml:space="preserve">profile </w:t>
            </w:r>
            <w:r w:rsidRPr="00BE752A">
              <w:t xml:space="preserve">indexed </w:t>
            </w:r>
            <w:r>
              <w:t>to CPI.</w:t>
            </w:r>
          </w:p>
        </w:tc>
        <w:tc>
          <w:tcPr>
            <w:tcW w:w="0" w:type="dxa"/>
            <w:tcBorders>
              <w:top w:val="none" w:sz="0" w:space="0" w:color="auto"/>
              <w:bottom w:val="none" w:sz="0" w:space="0" w:color="auto"/>
            </w:tcBorders>
          </w:tcPr>
          <w:p w14:paraId="1E7FB7EE"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rsidRPr="0020309F">
              <w:t>CPI + 2.0 + 3.0% p.a., net of costs, over the long term.</w:t>
            </w:r>
          </w:p>
        </w:tc>
      </w:tr>
      <w:tr w:rsidR="005B31AB" w14:paraId="4E182F54" w14:textId="77777777" w:rsidTr="001834D0">
        <w:trPr>
          <w:trHeight w:val="641"/>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6EAD43F6" w14:textId="77777777" w:rsidR="005B31AB" w:rsidRPr="00BE752A" w:rsidRDefault="005B31AB" w:rsidP="001834D0">
            <w:pPr>
              <w:rPr>
                <w:b w:val="0"/>
                <w:bCs w:val="0"/>
              </w:rPr>
            </w:pPr>
            <w:r w:rsidRPr="0020309F">
              <w:rPr>
                <w:rFonts w:ascii="Calibri" w:eastAsia="Times New Roman" w:hAnsi="Calibri" w:cs="Arial"/>
                <w:kern w:val="24"/>
                <w:lang w:eastAsia="en-AU"/>
                <w14:ligatures w14:val="none"/>
              </w:rPr>
              <w:t>Future Fund</w:t>
            </w:r>
          </w:p>
        </w:tc>
        <w:tc>
          <w:tcPr>
            <w:tcW w:w="0" w:type="dxa"/>
          </w:tcPr>
          <w:p w14:paraId="081523F0" w14:textId="77777777" w:rsidR="005B31AB" w:rsidRPr="00BE752A" w:rsidRDefault="005B31AB" w:rsidP="001834D0">
            <w:pPr>
              <w:cnfStyle w:val="000000000000" w:firstRow="0" w:lastRow="0" w:firstColumn="0" w:lastColumn="0" w:oddVBand="0" w:evenVBand="0" w:oddHBand="0" w:evenHBand="0" w:firstRowFirstColumn="0" w:firstRowLastColumn="0" w:lastRowFirstColumn="0" w:lastRowLastColumn="0"/>
            </w:pPr>
            <w:r w:rsidRPr="00BE752A">
              <w:t>No disbursements until at least 2032-33</w:t>
            </w:r>
            <w:r>
              <w:t>.</w:t>
            </w:r>
          </w:p>
        </w:tc>
        <w:tc>
          <w:tcPr>
            <w:tcW w:w="0" w:type="dxa"/>
          </w:tcPr>
          <w:p w14:paraId="2E10737F" w14:textId="77777777" w:rsidR="005B31AB" w:rsidRPr="0020309F" w:rsidRDefault="005B31AB" w:rsidP="001834D0">
            <w:pPr>
              <w:spacing w:after="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eastAsia="en-AU"/>
                <w14:ligatures w14:val="none"/>
              </w:rPr>
            </w:pPr>
            <w:r w:rsidRPr="0020309F">
              <w:rPr>
                <w:rFonts w:ascii="Calibri" w:eastAsia="Times New Roman" w:hAnsi="Calibri" w:cs="Arial"/>
                <w:color w:val="000000"/>
                <w:kern w:val="24"/>
                <w:lang w:eastAsia="en-AU"/>
                <w14:ligatures w14:val="none"/>
              </w:rPr>
              <w:t>CPI + 4-5% p.a., over the long term</w:t>
            </w:r>
          </w:p>
          <w:p w14:paraId="482BA9A6" w14:textId="77777777" w:rsidR="005B31AB" w:rsidRPr="00BE752A" w:rsidRDefault="005B31AB" w:rsidP="001834D0">
            <w:pPr>
              <w:cnfStyle w:val="000000000000" w:firstRow="0" w:lastRow="0" w:firstColumn="0" w:lastColumn="0" w:oddVBand="0" w:evenVBand="0" w:oddHBand="0" w:evenHBand="0" w:firstRowFirstColumn="0" w:firstRowLastColumn="0" w:lastRowFirstColumn="0" w:lastRowLastColumn="0"/>
            </w:pPr>
            <w:r w:rsidRPr="0020309F">
              <w:rPr>
                <w:rFonts w:ascii="Calibri" w:eastAsia="Times New Roman" w:hAnsi="Calibri" w:cs="Arial"/>
                <w:color w:val="000000"/>
                <w:kern w:val="24"/>
                <w:lang w:eastAsia="en-AU"/>
                <w14:ligatures w14:val="none"/>
              </w:rPr>
              <w:t>(target return of CPI + 4.5-5.5% p.a. to 30 June 2017)</w:t>
            </w:r>
          </w:p>
        </w:tc>
      </w:tr>
      <w:tr w:rsidR="005B31AB" w14:paraId="1D63569C" w14:textId="77777777" w:rsidTr="001834D0">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10DC842F" w14:textId="77777777" w:rsidR="005B31AB" w:rsidRPr="00BE752A" w:rsidRDefault="005B31AB" w:rsidP="001834D0">
            <w:pPr>
              <w:rPr>
                <w:b w:val="0"/>
                <w:bCs w:val="0"/>
              </w:rPr>
            </w:pPr>
            <w:r w:rsidRPr="0020309F">
              <w:rPr>
                <w:rFonts w:ascii="Calibri" w:eastAsia="Times New Roman" w:hAnsi="Calibri" w:cs="Arial"/>
                <w:kern w:val="24"/>
                <w:lang w:eastAsia="en-AU"/>
                <w14:ligatures w14:val="none"/>
              </w:rPr>
              <w:t xml:space="preserve">DisabilityCare Australia Fund </w:t>
            </w:r>
          </w:p>
        </w:tc>
        <w:tc>
          <w:tcPr>
            <w:tcW w:w="0" w:type="dxa"/>
            <w:tcBorders>
              <w:top w:val="none" w:sz="0" w:space="0" w:color="auto"/>
              <w:bottom w:val="none" w:sz="0" w:space="0" w:color="auto"/>
            </w:tcBorders>
          </w:tcPr>
          <w:p w14:paraId="76C7AA4E"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t>Set d</w:t>
            </w:r>
            <w:r w:rsidRPr="00BE752A">
              <w:t>isbursements of $</w:t>
            </w:r>
            <w:r>
              <w:t>4</w:t>
            </w:r>
            <w:r w:rsidRPr="00BE752A">
              <w:t xml:space="preserve"> billion per year until fully exhausted.</w:t>
            </w:r>
          </w:p>
        </w:tc>
        <w:tc>
          <w:tcPr>
            <w:tcW w:w="0" w:type="dxa"/>
            <w:tcBorders>
              <w:top w:val="none" w:sz="0" w:space="0" w:color="auto"/>
              <w:bottom w:val="none" w:sz="0" w:space="0" w:color="auto"/>
            </w:tcBorders>
          </w:tcPr>
          <w:p w14:paraId="64DD6B1E" w14:textId="77777777" w:rsidR="005B31AB" w:rsidRPr="00BE752A" w:rsidRDefault="005B31AB" w:rsidP="001834D0">
            <w:pPr>
              <w:cnfStyle w:val="000000100000" w:firstRow="0" w:lastRow="0" w:firstColumn="0" w:lastColumn="0" w:oddVBand="0" w:evenVBand="0" w:oddHBand="1" w:evenHBand="0" w:firstRowFirstColumn="0" w:firstRowLastColumn="0" w:lastRowFirstColumn="0" w:lastRowLastColumn="0"/>
            </w:pPr>
            <w:r w:rsidRPr="0020309F">
              <w:rPr>
                <w:rFonts w:ascii="Calibri" w:eastAsia="Times New Roman" w:hAnsi="Calibri" w:cs="Arial"/>
                <w:color w:val="000000"/>
                <w:kern w:val="24"/>
                <w:lang w:eastAsia="en-AU"/>
                <w14:ligatures w14:val="none"/>
              </w:rPr>
              <w:t>Australian three month bank bill swap rate + 0.3% p.a., net of fees, calculated on a rolling 12 month basis.</w:t>
            </w:r>
          </w:p>
        </w:tc>
      </w:tr>
    </w:tbl>
    <w:tbl>
      <w:tblPr>
        <w:tblStyle w:val="TableGrid"/>
        <w:tblpPr w:leftFromText="180" w:rightFromText="180" w:vertAnchor="text" w:horzAnchor="margin" w:tblpY="137"/>
        <w:tblW w:w="0" w:type="auto"/>
        <w:shd w:val="clear" w:color="auto" w:fill="EDEDED" w:themeFill="accent3" w:themeFillTint="33"/>
        <w:tblLook w:val="04A0" w:firstRow="1" w:lastRow="0" w:firstColumn="1" w:lastColumn="0" w:noHBand="0" w:noVBand="1"/>
      </w:tblPr>
      <w:tblGrid>
        <w:gridCol w:w="9016"/>
      </w:tblGrid>
      <w:tr w:rsidR="005B31AB" w14:paraId="52015F3A" w14:textId="77777777" w:rsidTr="001834D0">
        <w:tc>
          <w:tcPr>
            <w:tcW w:w="9016" w:type="dxa"/>
            <w:shd w:val="clear" w:color="auto" w:fill="EDEDED" w:themeFill="accent3" w:themeFillTint="33"/>
          </w:tcPr>
          <w:p w14:paraId="06FE6A0E" w14:textId="77777777" w:rsidR="005B31AB" w:rsidRPr="000F4DE5" w:rsidRDefault="005B31AB" w:rsidP="001834D0">
            <w:pPr>
              <w:pStyle w:val="Heading4"/>
            </w:pPr>
            <w:r w:rsidRPr="007761DF">
              <w:t xml:space="preserve">Finding </w:t>
            </w:r>
            <w:r>
              <w:t>1</w:t>
            </w:r>
          </w:p>
          <w:p w14:paraId="69374438" w14:textId="0587A1AB" w:rsidR="005B31AB" w:rsidRDefault="005B31AB" w:rsidP="001834D0">
            <w:pPr>
              <w:spacing w:before="120"/>
            </w:pPr>
            <w:r>
              <w:t xml:space="preserve">The disbursements model under the MRFF Act, which specifies a maximum annual distribution amount for the MRFF, leads to </w:t>
            </w:r>
            <w:r w:rsidR="000C3878">
              <w:t xml:space="preserve">constrained </w:t>
            </w:r>
            <w:r>
              <w:t>timeframes for grant design and delivery</w:t>
            </w:r>
            <w:r w:rsidRPr="008E622D">
              <w:t>.</w:t>
            </w:r>
          </w:p>
          <w:p w14:paraId="08410DD6" w14:textId="70250AB6" w:rsidR="005B31AB" w:rsidRDefault="005B31AB" w:rsidP="001834D0">
            <w:pPr>
              <w:pStyle w:val="Heading4"/>
            </w:pPr>
            <w:r>
              <w:t>Finding 2</w:t>
            </w:r>
          </w:p>
          <w:p w14:paraId="42BC7706" w14:textId="77777777" w:rsidR="005B31AB" w:rsidRDefault="005B31AB" w:rsidP="001834D0">
            <w:pPr>
              <w:keepNext/>
              <w:keepLines/>
              <w:spacing w:before="120" w:after="120"/>
            </w:pPr>
            <w:r>
              <w:t>Current</w:t>
            </w:r>
            <w:r w:rsidRPr="008E622D">
              <w:t xml:space="preserve"> policy frameworks, including the MRFF 10-year Investment Plan, support certainty and direction of funding for research and promote responsible grant design, delivery and management practices.</w:t>
            </w:r>
          </w:p>
          <w:p w14:paraId="532F086E" w14:textId="77777777" w:rsidR="005B31AB" w:rsidRPr="000F4DE5" w:rsidRDefault="005B31AB" w:rsidP="001834D0">
            <w:pPr>
              <w:pStyle w:val="Heading4"/>
            </w:pPr>
            <w:r w:rsidRPr="00617411">
              <w:lastRenderedPageBreak/>
              <w:t>Finding 3</w:t>
            </w:r>
          </w:p>
          <w:p w14:paraId="4E634957" w14:textId="3E3D55F8" w:rsidR="005B31AB" w:rsidRPr="000F4DE5" w:rsidRDefault="005B31AB" w:rsidP="001834D0">
            <w:pPr>
              <w:spacing w:before="120" w:after="120"/>
            </w:pPr>
            <w:r w:rsidRPr="000F4DE5">
              <w:t>The MRFF’s required rate of return is benchmarked to the RBA Cash Rate target. This is</w:t>
            </w:r>
            <w:r>
              <w:rPr>
                <w:rFonts w:cstheme="minorHAnsi"/>
              </w:rPr>
              <w:t xml:space="preserve"> inconsistent with the required rate of return for other Australian Government Investment Funds that primarily benchmark against the consumer price index.</w:t>
            </w:r>
            <w:r w:rsidR="000C3878">
              <w:rPr>
                <w:rFonts w:cstheme="minorHAnsi"/>
              </w:rPr>
              <w:t xml:space="preserve"> </w:t>
            </w:r>
            <w:r w:rsidR="000C3878">
              <w:t xml:space="preserve"> Changes to the benchmark rate of return </w:t>
            </w:r>
            <w:r w:rsidR="00DC0BDC">
              <w:t xml:space="preserve">would </w:t>
            </w:r>
            <w:r w:rsidR="000C3878">
              <w:t>only be considered in the context of a revised disbursement framework.</w:t>
            </w:r>
          </w:p>
        </w:tc>
      </w:tr>
    </w:tbl>
    <w:p w14:paraId="19AF1EFF" w14:textId="77777777" w:rsidR="005B31AB" w:rsidRPr="00FE54D4" w:rsidRDefault="005B31AB" w:rsidP="005B31AB"/>
    <w:tbl>
      <w:tblPr>
        <w:tblStyle w:val="TableGrid"/>
        <w:tblW w:w="9067" w:type="dxa"/>
        <w:tblLook w:val="04A0" w:firstRow="1" w:lastRow="0" w:firstColumn="1" w:lastColumn="0" w:noHBand="0" w:noVBand="1"/>
      </w:tblPr>
      <w:tblGrid>
        <w:gridCol w:w="9067"/>
      </w:tblGrid>
      <w:tr w:rsidR="005B31AB" w14:paraId="6C78F774" w14:textId="77777777" w:rsidTr="00206116">
        <w:trPr>
          <w:trHeight w:val="1550"/>
        </w:trPr>
        <w:tc>
          <w:tcPr>
            <w:tcW w:w="9067" w:type="dxa"/>
            <w:shd w:val="clear" w:color="auto" w:fill="E7E6E6" w:themeFill="background2"/>
          </w:tcPr>
          <w:p w14:paraId="6E44D7D4" w14:textId="77777777" w:rsidR="005B31AB" w:rsidRPr="00922C9F" w:rsidRDefault="005B31AB" w:rsidP="001834D0">
            <w:pPr>
              <w:pStyle w:val="Heading4"/>
            </w:pPr>
            <w:r w:rsidRPr="00922C9F">
              <w:t>Recommendation</w:t>
            </w:r>
            <w:r>
              <w:t xml:space="preserve"> 1 </w:t>
            </w:r>
          </w:p>
          <w:p w14:paraId="6218CCE2" w14:textId="77777777" w:rsidR="005B31AB" w:rsidRDefault="005B31AB" w:rsidP="001834D0">
            <w:pPr>
              <w:spacing w:before="120" w:after="120"/>
            </w:pPr>
            <w:r>
              <w:t>A</w:t>
            </w:r>
            <w:r w:rsidRPr="0035193B">
              <w:t>mend the</w:t>
            </w:r>
            <w:r w:rsidRPr="00E4659B">
              <w:t xml:space="preserve"> MRFF Act </w:t>
            </w:r>
            <w:r w:rsidRPr="0035193B">
              <w:t xml:space="preserve">to </w:t>
            </w:r>
            <w:r>
              <w:t>remove the requirement for the Future Fund Board to set a Maximum Annual Distribution Amount for the MRFF. Instead, specify</w:t>
            </w:r>
            <w:r w:rsidRPr="0035193B">
              <w:t xml:space="preserve"> </w:t>
            </w:r>
            <w:r>
              <w:t>in the MRFF Act that</w:t>
            </w:r>
            <w:r w:rsidRPr="0035193B">
              <w:t xml:space="preserve"> </w:t>
            </w:r>
            <w:r>
              <w:t>annual disbursements from the MRFF will be a set value, with R</w:t>
            </w:r>
            <w:r w:rsidRPr="0035193B">
              <w:t>esponsible Ministers</w:t>
            </w:r>
            <w:r>
              <w:t xml:space="preserve"> able to adjust this amount </w:t>
            </w:r>
            <w:r w:rsidRPr="0035193B">
              <w:t>by legislative instrument</w:t>
            </w:r>
            <w:r>
              <w:t xml:space="preserve"> after consultation with the Future Fund Board. </w:t>
            </w:r>
          </w:p>
        </w:tc>
      </w:tr>
    </w:tbl>
    <w:p w14:paraId="395AF246" w14:textId="77777777" w:rsidR="005B31AB" w:rsidRPr="00A709EE" w:rsidRDefault="005B31AB" w:rsidP="00D66ACF">
      <w:pPr>
        <w:pStyle w:val="Heading1"/>
        <w:spacing w:before="600"/>
      </w:pPr>
      <w:bookmarkStart w:id="15" w:name="_Toc185589238"/>
      <w:r>
        <w:t>MRFF grants processes</w:t>
      </w:r>
      <w:bookmarkEnd w:id="15"/>
    </w:p>
    <w:p w14:paraId="710D277E" w14:textId="58629BAE" w:rsidR="005B31AB" w:rsidRDefault="005B31AB" w:rsidP="005B31AB">
      <w:pPr>
        <w:spacing w:before="240"/>
      </w:pPr>
      <w:r>
        <w:rPr>
          <w:rFonts w:cstheme="minorHAnsi"/>
        </w:rPr>
        <w:t>The Department of Health and Aged Care has policy responsibility for designing and delivering MRFF grants and reporting on these grants.</w:t>
      </w:r>
    </w:p>
    <w:p w14:paraId="20B0F23B" w14:textId="77777777" w:rsidR="005B31AB" w:rsidRPr="00C541FC" w:rsidRDefault="005B31AB" w:rsidP="005B31AB">
      <w:pPr>
        <w:spacing w:before="240"/>
        <w:rPr>
          <w:rFonts w:cstheme="minorHAnsi"/>
        </w:rPr>
      </w:pPr>
      <w:r w:rsidRPr="00E170AB">
        <w:t xml:space="preserve">The </w:t>
      </w:r>
      <w:r>
        <w:t>Department of Health and Aged Care</w:t>
      </w:r>
      <w:r w:rsidRPr="00E170AB">
        <w:t xml:space="preserve"> seeks </w:t>
      </w:r>
      <w:r>
        <w:t>approval from the Health Minister</w:t>
      </w:r>
      <w:r w:rsidRPr="00E170AB">
        <w:t xml:space="preserve"> to conduct grant opport</w:t>
      </w:r>
      <w:r>
        <w:t>unities</w:t>
      </w:r>
      <w:r w:rsidRPr="00995FCB">
        <w:t xml:space="preserve"> </w:t>
      </w:r>
      <w:r>
        <w:t>and administers them through its grant hubs (the NHMRC and the Business Grants Hub), consistent with whole-of-government requirements for grants administration. O</w:t>
      </w:r>
      <w:r w:rsidRPr="00E170AB">
        <w:t>nce the outcomes of a grant opportunity are known</w:t>
      </w:r>
      <w:r>
        <w:t xml:space="preserve">, the Department of Health and Aged Care </w:t>
      </w:r>
      <w:r w:rsidRPr="00E170AB">
        <w:t>commit</w:t>
      </w:r>
      <w:r>
        <w:t>s</w:t>
      </w:r>
      <w:r w:rsidRPr="00E170AB">
        <w:t xml:space="preserve"> funds and enter</w:t>
      </w:r>
      <w:r>
        <w:t>s</w:t>
      </w:r>
      <w:r w:rsidRPr="00E170AB">
        <w:t xml:space="preserve"> into written agreements</w:t>
      </w:r>
      <w:r>
        <w:t xml:space="preserve"> with grant recipients.</w:t>
      </w:r>
      <w:r>
        <w:rPr>
          <w:rStyle w:val="FootnoteReference"/>
        </w:rPr>
        <w:footnoteReference w:id="16"/>
      </w:r>
      <w:r>
        <w:t xml:space="preserve"> The Department of Health and Aged Care shares responsibility for reporting on MRFF grants with the grant hubs.</w:t>
      </w:r>
    </w:p>
    <w:p w14:paraId="3F4972D0" w14:textId="77777777" w:rsidR="005B31AB" w:rsidRPr="00C0655F" w:rsidRDefault="005B31AB" w:rsidP="00D66ACF">
      <w:pPr>
        <w:pStyle w:val="NormalWeb"/>
        <w:shd w:val="clear" w:color="auto" w:fill="FFFFFF"/>
        <w:spacing w:before="0" w:beforeAutospacing="0"/>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 xml:space="preserve">There are several policy frameworks that determine how MRFF grants are directed: </w:t>
      </w:r>
    </w:p>
    <w:p w14:paraId="7FC663EF" w14:textId="77777777" w:rsidR="005B31AB" w:rsidRDefault="005B31AB" w:rsidP="00921048">
      <w:pPr>
        <w:pStyle w:val="List"/>
        <w:rPr>
          <w:rFonts w:cstheme="minorHAnsi"/>
        </w:rPr>
      </w:pPr>
      <w:r>
        <w:t xml:space="preserve">the </w:t>
      </w:r>
      <w:hyperlink r:id="rId17" w:history="1">
        <w:r w:rsidRPr="005F2B03">
          <w:rPr>
            <w:rStyle w:val="Hyperlink"/>
            <w:i/>
            <w:iCs/>
          </w:rPr>
          <w:t>Australian Medical Research and Innovation Strategy</w:t>
        </w:r>
        <w:r w:rsidRPr="00317055">
          <w:rPr>
            <w:rStyle w:val="Hyperlink"/>
          </w:rPr>
          <w:t xml:space="preserve"> and </w:t>
        </w:r>
        <w:r w:rsidRPr="005F2B03">
          <w:rPr>
            <w:rStyle w:val="Hyperlink"/>
            <w:i/>
            <w:iCs/>
          </w:rPr>
          <w:t>Australian Medical Research and Innovation Priorities</w:t>
        </w:r>
      </w:hyperlink>
      <w:r w:rsidRPr="00F059BC">
        <w:rPr>
          <w:rStyle w:val="Hyperlink"/>
          <w:iCs/>
          <w:color w:val="auto"/>
          <w:u w:val="none"/>
        </w:rPr>
        <w:t>,</w:t>
      </w:r>
    </w:p>
    <w:p w14:paraId="78F4C7E0" w14:textId="77777777" w:rsidR="005B31AB" w:rsidRDefault="005B31AB" w:rsidP="00921048">
      <w:pPr>
        <w:pStyle w:val="List"/>
      </w:pPr>
      <w:r>
        <w:t xml:space="preserve">the </w:t>
      </w:r>
      <w:hyperlink r:id="rId18" w:history="1">
        <w:r w:rsidRPr="00312F6E">
          <w:rPr>
            <w:rStyle w:val="Hyperlink"/>
          </w:rPr>
          <w:t>MRFF Funding Principles</w:t>
        </w:r>
      </w:hyperlink>
      <w:r w:rsidRPr="00F059BC">
        <w:rPr>
          <w:rStyle w:val="Hyperlink"/>
          <w:color w:val="auto"/>
          <w:u w:val="none"/>
        </w:rPr>
        <w:t>,</w:t>
      </w:r>
    </w:p>
    <w:p w14:paraId="61A4C68C" w14:textId="77777777" w:rsidR="005B31AB" w:rsidRPr="00612F18" w:rsidDel="005D7905" w:rsidRDefault="005B31AB" w:rsidP="00921048">
      <w:pPr>
        <w:pStyle w:val="List"/>
        <w:rPr>
          <w:rFonts w:cstheme="minorHAnsi"/>
        </w:rPr>
      </w:pPr>
      <w:r>
        <w:rPr>
          <w:rFonts w:cstheme="minorHAnsi"/>
        </w:rPr>
        <w:t>t</w:t>
      </w:r>
      <w:r w:rsidRPr="00276845" w:rsidDel="005D7905">
        <w:rPr>
          <w:rFonts w:cstheme="minorHAnsi"/>
        </w:rPr>
        <w:t xml:space="preserve">he </w:t>
      </w:r>
      <w:hyperlink r:id="rId19" w:history="1">
        <w:r w:rsidRPr="00276845" w:rsidDel="005D7905">
          <w:rPr>
            <w:rStyle w:val="Hyperlink"/>
            <w:rFonts w:cstheme="minorHAnsi"/>
          </w:rPr>
          <w:t>MRFF Monitoring, Evaluation and Learning Strategy</w:t>
        </w:r>
      </w:hyperlink>
      <w:r w:rsidDel="005D7905">
        <w:rPr>
          <w:rFonts w:cstheme="minorHAnsi"/>
        </w:rPr>
        <w:t xml:space="preserve"> (MEL Strategy)</w:t>
      </w:r>
      <w:r>
        <w:rPr>
          <w:rFonts w:cstheme="minorHAnsi"/>
        </w:rPr>
        <w:t>,</w:t>
      </w:r>
    </w:p>
    <w:p w14:paraId="0961D18A" w14:textId="77777777" w:rsidR="005B31AB" w:rsidRPr="0094247C" w:rsidRDefault="005B31AB" w:rsidP="00921048">
      <w:pPr>
        <w:pStyle w:val="List"/>
        <w:rPr>
          <w:rStyle w:val="Hyperlink"/>
          <w:rFonts w:cstheme="minorHAnsi"/>
          <w:color w:val="auto"/>
          <w:u w:val="none"/>
        </w:rPr>
      </w:pPr>
      <w:r>
        <w:t xml:space="preserve">the </w:t>
      </w:r>
      <w:hyperlink r:id="rId20" w:history="1">
        <w:r>
          <w:rPr>
            <w:rStyle w:val="Hyperlink"/>
          </w:rPr>
          <w:t>MRFF 10-year Investment P</w:t>
        </w:r>
        <w:r w:rsidRPr="00312F6E">
          <w:rPr>
            <w:rStyle w:val="Hyperlink"/>
          </w:rPr>
          <w:t>lan</w:t>
        </w:r>
      </w:hyperlink>
      <w:r w:rsidRPr="00F059BC">
        <w:rPr>
          <w:rStyle w:val="Hyperlink"/>
          <w:color w:val="auto"/>
          <w:u w:val="none"/>
        </w:rPr>
        <w:t>, and</w:t>
      </w:r>
    </w:p>
    <w:p w14:paraId="08B04519" w14:textId="77777777" w:rsidR="005B31AB" w:rsidDel="00322860" w:rsidRDefault="005B31AB" w:rsidP="00921048">
      <w:pPr>
        <w:pStyle w:val="List"/>
      </w:pPr>
      <w:r w:rsidDel="00322860">
        <w:t>MRFF Mission Roadmaps and Implementation Plans, and other published Research Plans</w:t>
      </w:r>
      <w:r>
        <w:t>.</w:t>
      </w:r>
    </w:p>
    <w:p w14:paraId="6D5778C4" w14:textId="77777777" w:rsidR="005B31AB" w:rsidRDefault="005B31AB" w:rsidP="005B31AB">
      <w:pPr>
        <w:spacing w:before="240"/>
        <w:rPr>
          <w:rFonts w:cstheme="minorHAnsi"/>
        </w:rPr>
      </w:pPr>
      <w:r w:rsidRPr="00474F33">
        <w:rPr>
          <w:rFonts w:cstheme="minorHAnsi"/>
        </w:rPr>
        <w:t>MRFF grant</w:t>
      </w:r>
      <w:r>
        <w:rPr>
          <w:rFonts w:cstheme="minorHAnsi"/>
        </w:rPr>
        <w:t>s</w:t>
      </w:r>
      <w:r w:rsidRPr="00474F33">
        <w:rPr>
          <w:rFonts w:cstheme="minorHAnsi"/>
        </w:rPr>
        <w:t xml:space="preserve"> must</w:t>
      </w:r>
      <w:r>
        <w:rPr>
          <w:rFonts w:cstheme="minorHAnsi"/>
        </w:rPr>
        <w:t xml:space="preserve"> also</w:t>
      </w:r>
      <w:r w:rsidRPr="00474F33">
        <w:rPr>
          <w:rFonts w:cstheme="minorHAnsi"/>
        </w:rPr>
        <w:t xml:space="preserve"> comply with</w:t>
      </w:r>
      <w:r>
        <w:rPr>
          <w:rFonts w:cstheme="minorHAnsi"/>
        </w:rPr>
        <w:t xml:space="preserve"> relevant</w:t>
      </w:r>
      <w:r w:rsidRPr="00474F33">
        <w:rPr>
          <w:rFonts w:cstheme="minorHAnsi"/>
        </w:rPr>
        <w:t xml:space="preserve"> </w:t>
      </w:r>
      <w:r>
        <w:rPr>
          <w:rFonts w:cstheme="minorHAnsi"/>
        </w:rPr>
        <w:t xml:space="preserve">whole-of-government requirements for grants administration. These include </w:t>
      </w:r>
      <w:r w:rsidRPr="00474F33">
        <w:rPr>
          <w:rFonts w:cstheme="minorHAnsi"/>
        </w:rPr>
        <w:t xml:space="preserve">the </w:t>
      </w:r>
      <w:r w:rsidRPr="0094247C">
        <w:rPr>
          <w:rFonts w:cstheme="minorHAnsi"/>
          <w:i/>
        </w:rPr>
        <w:t>Commonwealth Grant</w:t>
      </w:r>
      <w:r>
        <w:rPr>
          <w:rFonts w:cstheme="minorHAnsi"/>
          <w:i/>
        </w:rPr>
        <w:t>s</w:t>
      </w:r>
      <w:r w:rsidRPr="0094247C">
        <w:rPr>
          <w:rFonts w:cstheme="minorHAnsi"/>
          <w:i/>
        </w:rPr>
        <w:t xml:space="preserve"> Rules and Principles</w:t>
      </w:r>
      <w:r w:rsidRPr="00474F33">
        <w:rPr>
          <w:rFonts w:cstheme="minorHAnsi"/>
        </w:rPr>
        <w:t xml:space="preserve"> </w:t>
      </w:r>
      <w:r>
        <w:rPr>
          <w:rFonts w:cstheme="minorHAnsi"/>
        </w:rPr>
        <w:t>2024 and the PGPA Act</w:t>
      </w:r>
      <w:r w:rsidRPr="00474F33">
        <w:rPr>
          <w:rFonts w:cstheme="minorHAnsi"/>
        </w:rPr>
        <w:t>.</w:t>
      </w:r>
      <w:r>
        <w:rPr>
          <w:rFonts w:cstheme="minorHAnsi"/>
        </w:rPr>
        <w:t xml:space="preserve"> </w:t>
      </w:r>
      <w:r>
        <w:t>Health officials work with the grant hubs to ensure that funds disbursed from the MRFF Health Special Account comply with these requirements.</w:t>
      </w:r>
    </w:p>
    <w:p w14:paraId="4FC0E93E" w14:textId="77777777" w:rsidR="005B31AB" w:rsidRPr="00DD6D65" w:rsidRDefault="005B31AB" w:rsidP="005B31AB">
      <w:pPr>
        <w:pStyle w:val="Heading3"/>
      </w:pPr>
      <w:r>
        <w:lastRenderedPageBreak/>
        <w:t>Australian Medical Research and Innovation</w:t>
      </w:r>
      <w:r w:rsidRPr="00DD6D65">
        <w:t xml:space="preserve"> Strategy and Priorities</w:t>
      </w:r>
    </w:p>
    <w:p w14:paraId="36C0DB0C" w14:textId="77777777" w:rsidR="005B31AB" w:rsidRDefault="005B31AB" w:rsidP="005B31AB">
      <w:pPr>
        <w:rPr>
          <w:rFonts w:cstheme="minorHAnsi"/>
        </w:rPr>
      </w:pPr>
      <w:r>
        <w:rPr>
          <w:rFonts w:cstheme="minorHAnsi"/>
        </w:rPr>
        <w:t>Part 2A of the MRFF Act establishes the independent expert AMRAB to:</w:t>
      </w:r>
    </w:p>
    <w:p w14:paraId="1FA027F0" w14:textId="77777777" w:rsidR="005B31AB" w:rsidRDefault="005B31AB" w:rsidP="00921048">
      <w:pPr>
        <w:pStyle w:val="List"/>
      </w:pPr>
      <w:r>
        <w:t>determine a Strategy every five years to ensure that a coherent and consistent approach is adopted in providing financial assistance for medical research and medical innovation through the MRFF,</w:t>
      </w:r>
    </w:p>
    <w:p w14:paraId="5E28EE17" w14:textId="77777777" w:rsidR="005B31AB" w:rsidRDefault="005B31AB" w:rsidP="00921048">
      <w:pPr>
        <w:pStyle w:val="List"/>
      </w:pPr>
      <w:r>
        <w:t xml:space="preserve">determine Priorities every two years </w:t>
      </w:r>
      <w:r w:rsidRPr="00E81144">
        <w:t>to identify the initiatives that will reduce burden of disease, provide practical benefits or deliver the best value</w:t>
      </w:r>
      <w:r>
        <w:t>, consistent with the Strategy that is in force, and</w:t>
      </w:r>
    </w:p>
    <w:p w14:paraId="6342C245" w14:textId="77777777" w:rsidR="005B31AB" w:rsidRDefault="005B31AB" w:rsidP="00921048">
      <w:pPr>
        <w:pStyle w:val="List"/>
      </w:pPr>
      <w:r>
        <w:t>provide a transparent process for consulting with experts in medical research and consumers before determining a Strategy or Priorities.</w:t>
      </w:r>
    </w:p>
    <w:p w14:paraId="1323A9B6" w14:textId="77777777" w:rsidR="005B31AB" w:rsidRDefault="005B31AB" w:rsidP="005B31AB">
      <w:r>
        <w:t>Under section 15A of the MRFF Act, t</w:t>
      </w:r>
      <w:r w:rsidRPr="350D0082">
        <w:t xml:space="preserve">he </w:t>
      </w:r>
      <w:r>
        <w:t>Health Minister</w:t>
      </w:r>
      <w:r w:rsidRPr="350D0082">
        <w:t xml:space="preserve"> must consider the Priorities </w:t>
      </w:r>
      <w:r>
        <w:t xml:space="preserve">in force </w:t>
      </w:r>
      <w:r w:rsidRPr="350D0082">
        <w:t>when</w:t>
      </w:r>
      <w:r>
        <w:t xml:space="preserve"> determining whether to require the Finance Minister to debit an amount from the MRFF Special Account.</w:t>
      </w:r>
    </w:p>
    <w:p w14:paraId="5A325A05" w14:textId="002CA1FF" w:rsidR="005B31AB" w:rsidRPr="00C541FC" w:rsidRDefault="005B31AB" w:rsidP="005B31AB">
      <w:pPr>
        <w:rPr>
          <w:rFonts w:cstheme="minorHAnsi"/>
        </w:rPr>
      </w:pPr>
      <w:r>
        <w:rPr>
          <w:rFonts w:cstheme="minorHAnsi"/>
        </w:rPr>
        <w:t>In determining the Strategy and Priorities, the AMRAB is required by section 32EA of the MRFF Act to consult with a range of stakeholders across the health and medical research sector (</w:t>
      </w:r>
      <w:r w:rsidRPr="00611022">
        <w:rPr>
          <w:rFonts w:cstheme="minorHAnsi"/>
        </w:rPr>
        <w:t>see Box 3</w:t>
      </w:r>
      <w:r>
        <w:rPr>
          <w:rFonts w:cstheme="minorHAnsi"/>
        </w:rPr>
        <w:t xml:space="preserve"> for the 2024-26 Priorities consultation process).</w:t>
      </w:r>
    </w:p>
    <w:p w14:paraId="58B466C7" w14:textId="77777777" w:rsidR="005B31AB" w:rsidRPr="0049248B" w:rsidRDefault="005B31AB" w:rsidP="005B31AB">
      <w:pPr>
        <w:rPr>
          <w:rFonts w:cstheme="minorHAnsi"/>
        </w:rPr>
      </w:pPr>
      <w:r>
        <w:t>Under sections 32F and 32G of the MRFF Act, AMRAB membership consists of</w:t>
      </w:r>
      <w:r w:rsidRPr="0049248B">
        <w:rPr>
          <w:rFonts w:cstheme="minorHAnsi"/>
        </w:rPr>
        <w:t>:</w:t>
      </w:r>
    </w:p>
    <w:p w14:paraId="1BD7CEE4" w14:textId="77777777" w:rsidR="005B31AB" w:rsidRPr="0049248B" w:rsidRDefault="005B31AB" w:rsidP="00921048">
      <w:pPr>
        <w:pStyle w:val="List"/>
      </w:pPr>
      <w:r w:rsidRPr="0049248B">
        <w:t>the CEO of the NHMRC</w:t>
      </w:r>
      <w:r>
        <w:t>, and</w:t>
      </w:r>
    </w:p>
    <w:p w14:paraId="4128B833" w14:textId="77777777" w:rsidR="005B31AB" w:rsidRDefault="005B31AB" w:rsidP="00921048">
      <w:pPr>
        <w:pStyle w:val="List"/>
      </w:pPr>
      <w:r>
        <w:t>7 other members with an appropriate balance of experience or knowledge in:</w:t>
      </w:r>
    </w:p>
    <w:p w14:paraId="522F5F48" w14:textId="77777777" w:rsidR="005B31AB" w:rsidRPr="00902294" w:rsidRDefault="005B31AB" w:rsidP="00921048">
      <w:pPr>
        <w:pStyle w:val="List3"/>
        <w:spacing w:after="0"/>
      </w:pPr>
      <w:r w:rsidRPr="00902294">
        <w:t>medical research</w:t>
      </w:r>
    </w:p>
    <w:p w14:paraId="7E67366D" w14:textId="77777777" w:rsidR="005B31AB" w:rsidRPr="00902294" w:rsidRDefault="005B31AB" w:rsidP="00921048">
      <w:pPr>
        <w:pStyle w:val="List3"/>
        <w:spacing w:after="0"/>
      </w:pPr>
      <w:r w:rsidRPr="00902294">
        <w:t>policy relating to health systems</w:t>
      </w:r>
    </w:p>
    <w:p w14:paraId="589FFBAB" w14:textId="77777777" w:rsidR="005B31AB" w:rsidRPr="00902294" w:rsidRDefault="005B31AB" w:rsidP="00921048">
      <w:pPr>
        <w:pStyle w:val="List3"/>
        <w:spacing w:after="0"/>
      </w:pPr>
      <w:r w:rsidRPr="00902294">
        <w:t>management or delivery of health services</w:t>
      </w:r>
    </w:p>
    <w:p w14:paraId="0C86A392" w14:textId="77777777" w:rsidR="005B31AB" w:rsidRPr="00902294" w:rsidRDefault="005B31AB" w:rsidP="00921048">
      <w:pPr>
        <w:pStyle w:val="List3"/>
        <w:spacing w:after="0"/>
      </w:pPr>
      <w:r w:rsidRPr="00902294">
        <w:t>medical innovation</w:t>
      </w:r>
    </w:p>
    <w:p w14:paraId="243DC05A" w14:textId="77777777" w:rsidR="005B31AB" w:rsidRPr="00902294" w:rsidRDefault="005B31AB" w:rsidP="00921048">
      <w:pPr>
        <w:pStyle w:val="List3"/>
        <w:spacing w:after="0"/>
      </w:pPr>
      <w:r w:rsidRPr="00902294">
        <w:t>financing and investment</w:t>
      </w:r>
    </w:p>
    <w:p w14:paraId="70090BE4" w14:textId="77777777" w:rsidR="005B31AB" w:rsidRPr="00902294" w:rsidRDefault="005B31AB" w:rsidP="00921048">
      <w:pPr>
        <w:pStyle w:val="List3"/>
        <w:spacing w:after="0"/>
      </w:pPr>
      <w:r w:rsidRPr="00902294">
        <w:t>commercialisation</w:t>
      </w:r>
    </w:p>
    <w:p w14:paraId="261A29CF" w14:textId="77777777" w:rsidR="005B31AB" w:rsidRPr="00902294" w:rsidRDefault="005B31AB" w:rsidP="00921048">
      <w:pPr>
        <w:pStyle w:val="List3"/>
        <w:spacing w:after="0"/>
      </w:pPr>
      <w:r w:rsidRPr="00902294">
        <w:t>philanthropy</w:t>
      </w:r>
    </w:p>
    <w:p w14:paraId="54C2A6F7" w14:textId="1E3F9289" w:rsidR="005B31AB" w:rsidRPr="00431E32" w:rsidRDefault="005B31AB" w:rsidP="00902294">
      <w:pPr>
        <w:pStyle w:val="List3"/>
        <w:rPr>
          <w:rFonts w:cstheme="minorHAnsi"/>
        </w:rPr>
      </w:pPr>
      <w:r w:rsidRPr="00902294">
        <w:t>consumer issues relating to</w:t>
      </w:r>
      <w:r>
        <w:t xml:space="preserve"> health.</w:t>
      </w:r>
    </w:p>
    <w:p w14:paraId="4A8C377C" w14:textId="6F2964E7" w:rsidR="005B31AB" w:rsidRPr="00117D26" w:rsidRDefault="005B31AB" w:rsidP="005B31AB">
      <w:pPr>
        <w:rPr>
          <w:rFonts w:cstheme="minorHAnsi"/>
        </w:rPr>
      </w:pPr>
      <w:r>
        <w:t xml:space="preserve">The maximum term for the ministerially appointed AMRAB members is five years. </w:t>
      </w:r>
      <w:r w:rsidRPr="00117D26">
        <w:rPr>
          <w:rFonts w:cstheme="minorHAnsi"/>
        </w:rPr>
        <w:t>The current membership includes two international advisors to provide expert advice about relevant international activities.</w:t>
      </w:r>
      <w:r w:rsidRPr="001940E2">
        <w:t xml:space="preserve"> </w:t>
      </w:r>
      <w:r>
        <w:t>Members may be re-appointed and the term of t</w:t>
      </w:r>
      <w:r w:rsidRPr="00117D26">
        <w:rPr>
          <w:rFonts w:cstheme="minorHAnsi"/>
        </w:rPr>
        <w:t>he current AMRAB is due to expire in early 2026.</w:t>
      </w:r>
    </w:p>
    <w:tbl>
      <w:tblPr>
        <w:tblStyle w:val="TableGrid"/>
        <w:tblW w:w="0" w:type="auto"/>
        <w:tblLook w:val="04A0" w:firstRow="1" w:lastRow="0" w:firstColumn="1" w:lastColumn="0" w:noHBand="0" w:noVBand="1"/>
      </w:tblPr>
      <w:tblGrid>
        <w:gridCol w:w="9016"/>
      </w:tblGrid>
      <w:tr w:rsidR="005B31AB" w14:paraId="7A06F876" w14:textId="77777777" w:rsidTr="001834D0">
        <w:tc>
          <w:tcPr>
            <w:tcW w:w="9016" w:type="dxa"/>
          </w:tcPr>
          <w:p w14:paraId="00395D27" w14:textId="77777777" w:rsidR="005B31AB" w:rsidRDefault="005B31AB" w:rsidP="001834D0">
            <w:pPr>
              <w:pStyle w:val="Heading4"/>
            </w:pPr>
            <w:r w:rsidRPr="00611022">
              <w:lastRenderedPageBreak/>
              <w:t>Box 3: The</w:t>
            </w:r>
            <w:r>
              <w:t xml:space="preserve"> AMRAB consultation process for the 2024-2026 Priorities</w:t>
            </w:r>
          </w:p>
          <w:p w14:paraId="33B75120" w14:textId="2210E8D5" w:rsidR="005B31AB" w:rsidRDefault="005B31AB" w:rsidP="001834D0">
            <w:pPr>
              <w:spacing w:after="160" w:line="259" w:lineRule="auto"/>
              <w:rPr>
                <w:rFonts w:cstheme="minorHAnsi"/>
              </w:rPr>
            </w:pPr>
            <w:r>
              <w:rPr>
                <w:rFonts w:cstheme="minorHAnsi"/>
              </w:rPr>
              <w:t>The AMRAB’s consultation on the 2024-2026 Priorities commenced</w:t>
            </w:r>
            <w:r w:rsidRPr="004E3CE2">
              <w:rPr>
                <w:rFonts w:cstheme="minorHAnsi"/>
              </w:rPr>
              <w:t xml:space="preserve"> </w:t>
            </w:r>
            <w:r>
              <w:rPr>
                <w:rFonts w:cstheme="minorHAnsi"/>
              </w:rPr>
              <w:t>on 6 September 2024,</w:t>
            </w:r>
            <w:r w:rsidRPr="00541BFE">
              <w:rPr>
                <w:rFonts w:cstheme="minorHAnsi"/>
              </w:rPr>
              <w:t xml:space="preserve"> </w:t>
            </w:r>
            <w:r>
              <w:rPr>
                <w:rFonts w:cstheme="minorHAnsi"/>
              </w:rPr>
              <w:t>with a roundtable to encourage discussion and reflection on shaping the MRFF’s future strategic directions. Thirty</w:t>
            </w:r>
            <w:r>
              <w:rPr>
                <w:rStyle w:val="ui-provider"/>
              </w:rPr>
              <w:t xml:space="preserve"> organisations or individuals participated, including p</w:t>
            </w:r>
            <w:r>
              <w:rPr>
                <w:rFonts w:cstheme="minorHAnsi"/>
              </w:rPr>
              <w:t>eak health and medical research representative bodies, consumers and consumer advocates.</w:t>
            </w:r>
          </w:p>
          <w:p w14:paraId="1AAFF5B2" w14:textId="77777777" w:rsidR="005B31AB" w:rsidRDefault="005B31AB" w:rsidP="001834D0">
            <w:pPr>
              <w:spacing w:after="160" w:line="259" w:lineRule="auto"/>
              <w:rPr>
                <w:rFonts w:cstheme="minorHAnsi"/>
              </w:rPr>
            </w:pPr>
            <w:r>
              <w:rPr>
                <w:rFonts w:cstheme="minorHAnsi"/>
              </w:rPr>
              <w:t xml:space="preserve">An online survey was also run for interested parties </w:t>
            </w:r>
            <w:r>
              <w:rPr>
                <w:rStyle w:val="ui-provider"/>
              </w:rPr>
              <w:t>to provide further feedback</w:t>
            </w:r>
            <w:r>
              <w:rPr>
                <w:rFonts w:cstheme="minorHAnsi"/>
              </w:rPr>
              <w:t xml:space="preserve">. This provided an opportunity to review the current Priorities and make additions or amendments to ensure that the new Priorities aligned with the 2021-2026 Strategy. Additions and amendments focussed on emerging gaps and particular areas of concerns. A total of </w:t>
            </w:r>
            <w:r>
              <w:rPr>
                <w:rStyle w:val="ui-provider"/>
              </w:rPr>
              <w:t xml:space="preserve">41 respondents made submissions in response to the </w:t>
            </w:r>
            <w:r w:rsidRPr="00AA6D3C">
              <w:rPr>
                <w:rStyle w:val="ui-provider"/>
              </w:rPr>
              <w:t>online survey.</w:t>
            </w:r>
          </w:p>
          <w:p w14:paraId="6B7170F3" w14:textId="77777777" w:rsidR="005B31AB" w:rsidRDefault="005B31AB" w:rsidP="001834D0">
            <w:pPr>
              <w:rPr>
                <w:rFonts w:cstheme="minorHAnsi"/>
              </w:rPr>
            </w:pPr>
            <w:r>
              <w:rPr>
                <w:rStyle w:val="ui-provider"/>
              </w:rPr>
              <w:t>Overall</w:t>
            </w:r>
            <w:r w:rsidRPr="00AA6D3C">
              <w:rPr>
                <w:rStyle w:val="ui-provider"/>
              </w:rPr>
              <w:t xml:space="preserve">, 42 </w:t>
            </w:r>
            <w:r>
              <w:rPr>
                <w:rStyle w:val="ui-provider"/>
              </w:rPr>
              <w:t>organisation</w:t>
            </w:r>
            <w:r w:rsidRPr="00AA6D3C">
              <w:rPr>
                <w:rStyle w:val="ui-provider"/>
              </w:rPr>
              <w:t>s and 19 individuals provided input to the consultation</w:t>
            </w:r>
            <w:r>
              <w:rPr>
                <w:rStyle w:val="ui-provider"/>
              </w:rPr>
              <w:t>. In addition to views conveyed in the consultation process, the AMRAB took into consideration preliminary discussions on the National Health and Medical Research Strategy, previous consultation for the 2022-2024 Priorities, NHMRC’s 2024-2027 Priorities and reports provided by the Health and Medical Research Office on the performance of the MRFF.</w:t>
            </w:r>
          </w:p>
        </w:tc>
      </w:tr>
    </w:tbl>
    <w:p w14:paraId="7876AD24" w14:textId="77777777" w:rsidR="005B31AB" w:rsidRDefault="005B31AB" w:rsidP="005B31AB">
      <w:pPr>
        <w:pStyle w:val="Heading4"/>
      </w:pPr>
      <w:r>
        <w:t>Duration of Strategy and Priorities</w:t>
      </w:r>
    </w:p>
    <w:p w14:paraId="7BDD3C07" w14:textId="77777777" w:rsidR="005B31AB" w:rsidRDefault="005B31AB" w:rsidP="005B31AB">
      <w:pPr>
        <w:rPr>
          <w:rFonts w:cstheme="minorHAnsi"/>
        </w:rPr>
      </w:pPr>
      <w:r>
        <w:rPr>
          <w:rFonts w:cstheme="minorHAnsi"/>
        </w:rPr>
        <w:t>Refreshing the Priorities every two years and the Strategy every five years leads to a consultation burden on the medical research and medical innovation sector, which also regularly contributes to consultations for the:</w:t>
      </w:r>
    </w:p>
    <w:p w14:paraId="7154E5C8" w14:textId="77777777" w:rsidR="005B31AB" w:rsidRPr="009838BA" w:rsidRDefault="005B31AB" w:rsidP="00534909">
      <w:pPr>
        <w:pStyle w:val="List"/>
      </w:pPr>
      <w:r w:rsidRPr="009838BA">
        <w:t>NHMRC Triennium Priorities</w:t>
      </w:r>
      <w:r>
        <w:t>,</w:t>
      </w:r>
    </w:p>
    <w:p w14:paraId="610012A1" w14:textId="77777777" w:rsidR="005B31AB" w:rsidRDefault="005B31AB" w:rsidP="00534909">
      <w:pPr>
        <w:pStyle w:val="List"/>
      </w:pPr>
      <w:r w:rsidRPr="009838BA">
        <w:t>Australian Research Council’s triennium Strategy</w:t>
      </w:r>
      <w:r>
        <w:t>,</w:t>
      </w:r>
    </w:p>
    <w:p w14:paraId="5AD796C2" w14:textId="77777777" w:rsidR="005B31AB" w:rsidRDefault="005B31AB" w:rsidP="00534909">
      <w:pPr>
        <w:pStyle w:val="List"/>
      </w:pPr>
      <w:r>
        <w:t>Department of Industry, Science and Resources’ Australian National Science and Research Priorities, and</w:t>
      </w:r>
    </w:p>
    <w:p w14:paraId="1BBF7C60" w14:textId="77777777" w:rsidR="005B31AB" w:rsidRDefault="005B31AB" w:rsidP="00534909">
      <w:pPr>
        <w:pStyle w:val="List"/>
      </w:pPr>
      <w:r>
        <w:t>National Science Statement.</w:t>
      </w:r>
    </w:p>
    <w:p w14:paraId="1C1337EF" w14:textId="40A0EF16" w:rsidR="005B31AB" w:rsidRDefault="005B31AB" w:rsidP="005B31AB">
      <w:pPr>
        <w:rPr>
          <w:rFonts w:cstheme="minorHAnsi"/>
        </w:rPr>
      </w:pPr>
      <w:r>
        <w:rPr>
          <w:rFonts w:cstheme="minorHAnsi"/>
        </w:rPr>
        <w:t xml:space="preserve">The AMRAB consulted stakeholders on the duration of the Strategy and Priorities. The majority of stakeholders support a change in the frequency of Strategy and Priority renewal periods from two and five years to three and six years respectively. This would </w:t>
      </w:r>
      <w:r w:rsidRPr="003163A6">
        <w:rPr>
          <w:rFonts w:cstheme="minorHAnsi"/>
        </w:rPr>
        <w:t xml:space="preserve">reduce the ongoing consultation burden on the health and medical research sector and reflect the enduring, long-term approach to </w:t>
      </w:r>
      <w:r>
        <w:rPr>
          <w:rFonts w:cstheme="minorHAnsi"/>
        </w:rPr>
        <w:t xml:space="preserve">government support for </w:t>
      </w:r>
      <w:r w:rsidRPr="003163A6">
        <w:rPr>
          <w:rFonts w:cstheme="minorHAnsi"/>
        </w:rPr>
        <w:t>medical research and medical innovation</w:t>
      </w:r>
      <w:r>
        <w:rPr>
          <w:rFonts w:cstheme="minorHAnsi"/>
        </w:rPr>
        <w:t xml:space="preserve"> under the MRFF. The proposed extension to the duration of the Strategy and Priorities would also retain the MRFF’s ability to respond </w:t>
      </w:r>
      <w:r w:rsidRPr="00D2625E">
        <w:rPr>
          <w:rFonts w:ascii="Calibri" w:eastAsia="Times New Roman" w:hAnsi="Calibri" w:cs="Calibri"/>
          <w:kern w:val="0"/>
          <w:lang w:eastAsia="en-AU"/>
          <w14:ligatures w14:val="none"/>
        </w:rPr>
        <w:t>to</w:t>
      </w:r>
      <w:r>
        <w:rPr>
          <w:rFonts w:ascii="Calibri" w:eastAsia="Times New Roman" w:hAnsi="Calibri" w:cs="Calibri"/>
          <w:kern w:val="0"/>
          <w:lang w:eastAsia="en-AU"/>
          <w14:ligatures w14:val="none"/>
        </w:rPr>
        <w:t xml:space="preserve"> the</w:t>
      </w:r>
      <w:r w:rsidRPr="00D2625E">
        <w:rPr>
          <w:rFonts w:ascii="Calibri" w:eastAsia="Times New Roman" w:hAnsi="Calibri" w:cs="Calibri"/>
          <w:kern w:val="0"/>
          <w:lang w:eastAsia="en-AU"/>
          <w14:ligatures w14:val="none"/>
        </w:rPr>
        <w:t xml:space="preserve"> </w:t>
      </w:r>
      <w:r>
        <w:rPr>
          <w:rFonts w:ascii="Calibri" w:eastAsia="Times New Roman" w:hAnsi="Calibri" w:cs="Calibri"/>
          <w:kern w:val="0"/>
          <w:lang w:eastAsia="en-AU"/>
          <w14:ligatures w14:val="none"/>
        </w:rPr>
        <w:t xml:space="preserve">new and </w:t>
      </w:r>
      <w:r w:rsidRPr="00D2625E">
        <w:rPr>
          <w:rFonts w:ascii="Calibri" w:eastAsia="Times New Roman" w:hAnsi="Calibri" w:cs="Calibri"/>
          <w:kern w:val="0"/>
          <w:lang w:eastAsia="en-AU"/>
          <w14:ligatures w14:val="none"/>
        </w:rPr>
        <w:t xml:space="preserve">emerging </w:t>
      </w:r>
      <w:r>
        <w:rPr>
          <w:rFonts w:ascii="Calibri" w:eastAsia="Times New Roman" w:hAnsi="Calibri" w:cs="Calibri"/>
          <w:kern w:val="0"/>
          <w:lang w:eastAsia="en-AU"/>
          <w14:ligatures w14:val="none"/>
        </w:rPr>
        <w:t xml:space="preserve">health needs of Australians </w:t>
      </w:r>
      <w:r w:rsidRPr="00D2625E">
        <w:rPr>
          <w:rFonts w:ascii="Calibri" w:eastAsia="Times New Roman" w:hAnsi="Calibri" w:cs="Calibri"/>
          <w:kern w:val="0"/>
          <w:lang w:eastAsia="en-AU"/>
          <w14:ligatures w14:val="none"/>
        </w:rPr>
        <w:t>while maintaining sufficient time for mobilisation of research efforts</w:t>
      </w:r>
      <w:r>
        <w:rPr>
          <w:rFonts w:ascii="Calibri" w:eastAsia="Times New Roman" w:hAnsi="Calibri" w:cs="Calibri"/>
          <w:kern w:val="0"/>
          <w:lang w:eastAsia="en-AU"/>
          <w14:ligatures w14:val="none"/>
        </w:rPr>
        <w:t>.</w:t>
      </w:r>
    </w:p>
    <w:p w14:paraId="28558320" w14:textId="790100EC" w:rsidR="005B31AB" w:rsidRDefault="005B31AB" w:rsidP="005B31AB">
      <w:pPr>
        <w:rPr>
          <w:rFonts w:cstheme="minorHAnsi"/>
        </w:rPr>
      </w:pPr>
      <w:r w:rsidRPr="003163A6">
        <w:rPr>
          <w:rFonts w:cstheme="minorHAnsi"/>
        </w:rPr>
        <w:t>The proposed durations would also create a regular cycle that would allow every second update of the Priorities to occur at the same time as an update of the Strategy, further reducing consultation requirements while still providing sufficient opportunity for stakeholder input.</w:t>
      </w:r>
      <w:r>
        <w:rPr>
          <w:rFonts w:cstheme="minorHAnsi"/>
        </w:rPr>
        <w:t xml:space="preserve"> Subject to legislative priorities,</w:t>
      </w:r>
      <w:r w:rsidRPr="0091190F">
        <w:rPr>
          <w:rFonts w:cstheme="minorHAnsi"/>
        </w:rPr>
        <w:t xml:space="preserve"> </w:t>
      </w:r>
      <w:r>
        <w:rPr>
          <w:rFonts w:cstheme="minorHAnsi"/>
        </w:rPr>
        <w:t>a legislative amendment could take effect from 2026 when the current Strategy, Priorities, AMRAB (board membership) and the AMRAB Terms of Reference are due to expire.</w:t>
      </w:r>
    </w:p>
    <w:tbl>
      <w:tblPr>
        <w:tblStyle w:val="TableGrid"/>
        <w:tblW w:w="0" w:type="auto"/>
        <w:tblLook w:val="04A0" w:firstRow="1" w:lastRow="0" w:firstColumn="1" w:lastColumn="0" w:noHBand="0" w:noVBand="1"/>
      </w:tblPr>
      <w:tblGrid>
        <w:gridCol w:w="9016"/>
      </w:tblGrid>
      <w:tr w:rsidR="005B31AB" w14:paraId="1BF7DA73" w14:textId="77777777" w:rsidTr="001834D0">
        <w:tc>
          <w:tcPr>
            <w:tcW w:w="9016" w:type="dxa"/>
            <w:shd w:val="clear" w:color="auto" w:fill="E7E6E6" w:themeFill="background2"/>
          </w:tcPr>
          <w:p w14:paraId="7394180C" w14:textId="77777777" w:rsidR="005B31AB" w:rsidRPr="007600F3" w:rsidRDefault="005B31AB" w:rsidP="001834D0">
            <w:pPr>
              <w:pStyle w:val="Heading4"/>
            </w:pPr>
            <w:r w:rsidRPr="003163A6">
              <w:lastRenderedPageBreak/>
              <w:t>Recommendation</w:t>
            </w:r>
            <w:r>
              <w:t xml:space="preserve"> 2</w:t>
            </w:r>
          </w:p>
          <w:p w14:paraId="136B71C2" w14:textId="77777777" w:rsidR="005B31AB" w:rsidRPr="00412F6A" w:rsidRDefault="005B31AB" w:rsidP="001834D0">
            <w:pPr>
              <w:spacing w:before="120" w:after="120"/>
              <w:rPr>
                <w:kern w:val="0"/>
                <w14:ligatures w14:val="none"/>
              </w:rPr>
            </w:pPr>
            <w:r>
              <w:t>Amend the MRFF Act to increase</w:t>
            </w:r>
            <w:r w:rsidRPr="0035193B">
              <w:t xml:space="preserve"> the duration of the </w:t>
            </w:r>
            <w:r w:rsidRPr="00B44B2F">
              <w:rPr>
                <w:i/>
              </w:rPr>
              <w:t>Australian Medical Research and Innovation Strategy</w:t>
            </w:r>
            <w:r w:rsidRPr="0035193B">
              <w:t xml:space="preserve"> to 6 years and the </w:t>
            </w:r>
            <w:r w:rsidRPr="00B44B2F">
              <w:rPr>
                <w:i/>
              </w:rPr>
              <w:t>Australian Medical Research and Innovation</w:t>
            </w:r>
            <w:r w:rsidRPr="0035193B">
              <w:t xml:space="preserve"> </w:t>
            </w:r>
            <w:r w:rsidRPr="00B44B2F">
              <w:rPr>
                <w:i/>
              </w:rPr>
              <w:t>Priorities</w:t>
            </w:r>
            <w:r w:rsidRPr="0035193B">
              <w:t xml:space="preserve"> to 3 years</w:t>
            </w:r>
            <w:r w:rsidRPr="0035193B" w:rsidDel="002877A6">
              <w:t xml:space="preserve">, to </w:t>
            </w:r>
            <w:r>
              <w:t xml:space="preserve">align </w:t>
            </w:r>
            <w:r w:rsidRPr="0035193B" w:rsidDel="002877A6">
              <w:t xml:space="preserve">consultation processes and reduce the overall </w:t>
            </w:r>
            <w:r>
              <w:t xml:space="preserve">consultation </w:t>
            </w:r>
            <w:r w:rsidRPr="0035193B" w:rsidDel="002877A6">
              <w:t>burden on</w:t>
            </w:r>
            <w:r w:rsidDel="002877A6">
              <w:t xml:space="preserve"> stakeholders</w:t>
            </w:r>
            <w:r w:rsidRPr="0035193B">
              <w:t xml:space="preserve">. </w:t>
            </w:r>
          </w:p>
        </w:tc>
      </w:tr>
    </w:tbl>
    <w:p w14:paraId="0E841F62" w14:textId="77777777" w:rsidR="005B31AB" w:rsidRDefault="005B31AB" w:rsidP="005B31AB">
      <w:pPr>
        <w:pStyle w:val="Heading3"/>
      </w:pPr>
      <w:r>
        <w:t>MRFF Funding Principles</w:t>
      </w:r>
    </w:p>
    <w:p w14:paraId="7DB4AF84" w14:textId="77777777" w:rsidR="005B31AB" w:rsidRDefault="005B31AB" w:rsidP="005B31AB">
      <w:pPr>
        <w:rPr>
          <w:rFonts w:cstheme="minorHAnsi"/>
        </w:rPr>
      </w:pPr>
      <w:r>
        <w:rPr>
          <w:rFonts w:cstheme="minorHAnsi"/>
        </w:rPr>
        <w:t xml:space="preserve">The MRFF </w:t>
      </w:r>
      <w:hyperlink r:id="rId21" w:history="1">
        <w:r w:rsidRPr="001D195B">
          <w:rPr>
            <w:rStyle w:val="Hyperlink"/>
            <w:rFonts w:cstheme="minorHAnsi"/>
          </w:rPr>
          <w:t>Funding Principles</w:t>
        </w:r>
      </w:hyperlink>
      <w:r>
        <w:rPr>
          <w:rFonts w:cstheme="minorHAnsi"/>
        </w:rPr>
        <w:t xml:space="preserve"> were published in 2017 to guide the Department of Health and Aged Care in designing MRFF grant opportunities. The Principles cover:</w:t>
      </w:r>
    </w:p>
    <w:p w14:paraId="17BE4EA5" w14:textId="77777777" w:rsidR="005B31AB" w:rsidRDefault="005B31AB" w:rsidP="00C9756B">
      <w:pPr>
        <w:pStyle w:val="List"/>
      </w:pPr>
      <w:r>
        <w:t>strategic issues, including that MRFF funding will complement other health and medical research funding,</w:t>
      </w:r>
    </w:p>
    <w:p w14:paraId="7ADBD4CC" w14:textId="77777777" w:rsidR="005B31AB" w:rsidRDefault="005B31AB" w:rsidP="00C9756B">
      <w:pPr>
        <w:pStyle w:val="List"/>
      </w:pPr>
      <w:r>
        <w:t>grant evaluation and processes, including that evaluations of initiatives will consider scientific rigour and return on investment, and</w:t>
      </w:r>
    </w:p>
    <w:p w14:paraId="5E7F938A" w14:textId="77777777" w:rsidR="005B31AB" w:rsidRDefault="005B31AB" w:rsidP="00C9756B">
      <w:pPr>
        <w:pStyle w:val="List"/>
      </w:pPr>
      <w:r>
        <w:t>grant processes.</w:t>
      </w:r>
    </w:p>
    <w:p w14:paraId="5F4BF1AB" w14:textId="77777777" w:rsidR="005B31AB" w:rsidRPr="005D7905" w:rsidRDefault="005B31AB" w:rsidP="005B31AB">
      <w:pPr>
        <w:pStyle w:val="Heading3"/>
      </w:pPr>
      <w:r w:rsidRPr="005D7905">
        <w:t>Monitoring, Evaluation and Learning Strategy</w:t>
      </w:r>
    </w:p>
    <w:p w14:paraId="7F831378" w14:textId="77777777" w:rsidR="005B31AB" w:rsidRPr="00C541FC" w:rsidRDefault="005B31AB" w:rsidP="005B31AB">
      <w:pPr>
        <w:rPr>
          <w:rFonts w:cstheme="minorHAnsi"/>
        </w:rPr>
      </w:pPr>
      <w:r>
        <w:rPr>
          <w:rFonts w:cstheme="minorHAnsi"/>
        </w:rPr>
        <w:t>The Monitoring, Evaluation and Learning (MEL) Strategy for the MRFF was published in November 2020</w:t>
      </w:r>
      <w:r w:rsidRPr="005D7905">
        <w:t xml:space="preserve"> </w:t>
      </w:r>
      <w:r>
        <w:t xml:space="preserve">and provides a framework for the evaluation of </w:t>
      </w:r>
      <w:r w:rsidRPr="005D7905">
        <w:rPr>
          <w:rFonts w:cstheme="minorHAnsi"/>
        </w:rPr>
        <w:t>grants awarded from the MRFF</w:t>
      </w:r>
      <w:r>
        <w:rPr>
          <w:rFonts w:cstheme="minorHAnsi"/>
        </w:rPr>
        <w:t xml:space="preserve">. The Department of Health and Aged Care uses the outcomes of its evaluation activities to inform further funding from the </w:t>
      </w:r>
      <w:r w:rsidRPr="00611022">
        <w:rPr>
          <w:rFonts w:cstheme="minorHAnsi"/>
        </w:rPr>
        <w:t>MRFF (see page 27</w:t>
      </w:r>
      <w:r>
        <w:rPr>
          <w:rFonts w:cstheme="minorHAnsi"/>
        </w:rPr>
        <w:t>).</w:t>
      </w:r>
    </w:p>
    <w:p w14:paraId="628EE771" w14:textId="77777777" w:rsidR="005B31AB" w:rsidRPr="005D7905" w:rsidRDefault="005B31AB" w:rsidP="005B31AB">
      <w:pPr>
        <w:pStyle w:val="Heading3"/>
      </w:pPr>
      <w:r w:rsidRPr="005D7905">
        <w:t>MRFF Mission Roadmaps and Implementation Plans, and other published Research Plans</w:t>
      </w:r>
    </w:p>
    <w:p w14:paraId="1F51B5D7" w14:textId="77777777" w:rsidR="005B31AB" w:rsidRDefault="005B31AB" w:rsidP="005B31AB">
      <w:pPr>
        <w:rPr>
          <w:rFonts w:cstheme="minorHAnsi"/>
        </w:rPr>
      </w:pPr>
      <w:r>
        <w:rPr>
          <w:rFonts w:cstheme="minorHAnsi"/>
        </w:rPr>
        <w:t xml:space="preserve">The Department of Health and Aged Care consults widely with the health and medical research sector, including with Expert Advisory Panels. These consultations inform, amongst other things, Roadmaps and Implementation Plans (for the MRFF </w:t>
      </w:r>
      <w:hyperlink r:id="rId22" w:history="1">
        <w:r w:rsidRPr="00465EAC">
          <w:rPr>
            <w:rStyle w:val="Hyperlink"/>
            <w:rFonts w:cstheme="minorHAnsi"/>
          </w:rPr>
          <w:t>Research Missions</w:t>
        </w:r>
      </w:hyperlink>
      <w:r>
        <w:rPr>
          <w:rFonts w:cstheme="minorHAnsi"/>
        </w:rPr>
        <w:t>) and other Research Plans for specific MRFF Initiatives.</w:t>
      </w:r>
      <w:r w:rsidRPr="00885E2E">
        <w:rPr>
          <w:rFonts w:cstheme="minorHAnsi"/>
        </w:rPr>
        <w:t xml:space="preserve"> </w:t>
      </w:r>
      <w:r>
        <w:rPr>
          <w:rFonts w:cstheme="minorHAnsi"/>
        </w:rPr>
        <w:t>These documents provide detailed guidance for researchers on specific areas for research investment under the relevant Mission or Initiative and support the ability of the Department of Health and Aged Care to plan and prepare grant opportunities over the long term.</w:t>
      </w:r>
    </w:p>
    <w:p w14:paraId="1CB9C024" w14:textId="77777777" w:rsidR="005B31AB" w:rsidRPr="00223849" w:rsidRDefault="005B31AB" w:rsidP="005B31AB">
      <w:pPr>
        <w:pStyle w:val="Heading2"/>
      </w:pPr>
      <w:bookmarkStart w:id="16" w:name="_Toc185589239"/>
      <w:r>
        <w:t>Entities which may receive grant funding</w:t>
      </w:r>
      <w:bookmarkEnd w:id="16"/>
    </w:p>
    <w:p w14:paraId="1D0CE00D" w14:textId="77777777" w:rsidR="005B31AB" w:rsidRDefault="005B31AB" w:rsidP="005B31AB">
      <w:pPr>
        <w:pStyle w:val="AdvicePP"/>
        <w:spacing w:before="140" w:after="140"/>
        <w:rPr>
          <w:rFonts w:ascii="Calibri" w:hAnsi="Calibri" w:cs="Calibri"/>
        </w:rPr>
      </w:pPr>
      <w:r w:rsidRPr="00C81E9B">
        <w:rPr>
          <w:rFonts w:asciiTheme="minorHAnsi" w:hAnsiTheme="minorHAnsi" w:cstheme="minorBidi"/>
        </w:rPr>
        <w:t xml:space="preserve">Section 24 of the MRFF Act limits </w:t>
      </w:r>
      <w:r>
        <w:rPr>
          <w:rFonts w:asciiTheme="minorHAnsi" w:hAnsiTheme="minorHAnsi" w:cstheme="minorBidi"/>
        </w:rPr>
        <w:t>grant payments</w:t>
      </w:r>
      <w:r w:rsidRPr="00C81E9B">
        <w:rPr>
          <w:rFonts w:asciiTheme="minorHAnsi" w:hAnsiTheme="minorHAnsi" w:cstheme="minorBidi"/>
        </w:rPr>
        <w:t xml:space="preserve"> </w:t>
      </w:r>
      <w:r>
        <w:rPr>
          <w:rFonts w:asciiTheme="minorHAnsi" w:hAnsiTheme="minorHAnsi" w:cstheme="minorBidi"/>
        </w:rPr>
        <w:t xml:space="preserve">from the MRFF Health Special Account </w:t>
      </w:r>
      <w:r w:rsidRPr="00C81E9B">
        <w:rPr>
          <w:rFonts w:asciiTheme="minorHAnsi" w:hAnsiTheme="minorHAnsi" w:cstheme="minorBidi"/>
        </w:rPr>
        <w:t>to medical research institutes, universities, corporate Commonwealth entities and corporations.</w:t>
      </w:r>
      <w:r>
        <w:rPr>
          <w:rFonts w:asciiTheme="minorHAnsi" w:hAnsiTheme="minorHAnsi" w:cstheme="minorBidi"/>
        </w:rPr>
        <w:t xml:space="preserve"> The MRFF Act also provides for grants to states and territories via the Federation Reform Fund, and payments directly to corporate Commonwealth entities from the MRFF Special Account, however, to date these avenues of funding have not been used.</w:t>
      </w:r>
    </w:p>
    <w:p w14:paraId="11FC0454" w14:textId="77777777" w:rsidR="005B31AB" w:rsidRPr="000560C4" w:rsidRDefault="005B31AB" w:rsidP="005B31AB">
      <w:pPr>
        <w:pStyle w:val="Heading3"/>
      </w:pPr>
      <w:r>
        <w:t>States and Territories</w:t>
      </w:r>
    </w:p>
    <w:p w14:paraId="0C3EC770" w14:textId="77777777" w:rsidR="005B31AB" w:rsidRDefault="005B31AB" w:rsidP="005B31AB">
      <w:r>
        <w:rPr>
          <w:iCs/>
        </w:rPr>
        <w:t xml:space="preserve">Under the MRFF Act, grant funding to States and Territories must be provided through </w:t>
      </w:r>
      <w:r w:rsidRPr="000259E6">
        <w:rPr>
          <w:iCs/>
        </w:rPr>
        <w:t xml:space="preserve">the </w:t>
      </w:r>
      <w:hyperlink r:id="rId23" w:history="1">
        <w:r w:rsidRPr="000259E6">
          <w:rPr>
            <w:rStyle w:val="Hyperlink"/>
            <w:iCs/>
          </w:rPr>
          <w:t>Federation Reform Fund</w:t>
        </w:r>
      </w:hyperlink>
      <w:r w:rsidRPr="000259E6">
        <w:rPr>
          <w:iCs/>
        </w:rPr>
        <w:t xml:space="preserve"> </w:t>
      </w:r>
      <w:r>
        <w:rPr>
          <w:iCs/>
        </w:rPr>
        <w:t>(</w:t>
      </w:r>
      <w:r w:rsidRPr="000259E6">
        <w:rPr>
          <w:iCs/>
        </w:rPr>
        <w:t xml:space="preserve">formerly known </w:t>
      </w:r>
      <w:r>
        <w:rPr>
          <w:iCs/>
        </w:rPr>
        <w:t xml:space="preserve">as the </w:t>
      </w:r>
      <w:r w:rsidRPr="000259E6">
        <w:rPr>
          <w:iCs/>
        </w:rPr>
        <w:t xml:space="preserve">Council of Australian Governments (COAG) Reform Fund). </w:t>
      </w:r>
      <w:r>
        <w:rPr>
          <w:iCs/>
        </w:rPr>
        <w:t xml:space="preserve">The </w:t>
      </w:r>
      <w:r>
        <w:t xml:space="preserve">Federation Reform Fund </w:t>
      </w:r>
      <w:r w:rsidRPr="000560C4">
        <w:t xml:space="preserve">is a special account established </w:t>
      </w:r>
      <w:r>
        <w:t>for the purpose of ‘</w:t>
      </w:r>
      <w:r w:rsidRPr="000560C4">
        <w:t>making grants of financial assistance to the States and Territories’.</w:t>
      </w:r>
      <w:r>
        <w:t xml:space="preserve"> </w:t>
      </w:r>
    </w:p>
    <w:p w14:paraId="5F75BAA6" w14:textId="77777777" w:rsidR="005B31AB" w:rsidRPr="00A13FF1" w:rsidRDefault="005B31AB" w:rsidP="005B31AB">
      <w:pPr>
        <w:rPr>
          <w:iCs/>
        </w:rPr>
      </w:pPr>
      <w:r>
        <w:rPr>
          <w:iCs/>
        </w:rPr>
        <w:lastRenderedPageBreak/>
        <w:t xml:space="preserve">Section 24 of the MRFF Act does not allow for </w:t>
      </w:r>
      <w:r w:rsidRPr="000259E6">
        <w:rPr>
          <w:iCs/>
        </w:rPr>
        <w:t xml:space="preserve">States and </w:t>
      </w:r>
      <w:r>
        <w:rPr>
          <w:iCs/>
        </w:rPr>
        <w:t>T</w:t>
      </w:r>
      <w:r w:rsidRPr="000259E6">
        <w:rPr>
          <w:iCs/>
        </w:rPr>
        <w:t xml:space="preserve">erritories </w:t>
      </w:r>
      <w:r>
        <w:rPr>
          <w:iCs/>
        </w:rPr>
        <w:t>to be paid directly from the MRFF Health Specia</w:t>
      </w:r>
      <w:r w:rsidRPr="00552D44">
        <w:rPr>
          <w:iCs/>
        </w:rPr>
        <w:t>l Account. The MRFF has provided two grants to state governments; these were paid from MRFF supplementation that was administered separately to the MRFF Health Special Account in 2021-22 and 2022-23 and were therefore not subject to</w:t>
      </w:r>
      <w:r>
        <w:rPr>
          <w:iCs/>
        </w:rPr>
        <w:t xml:space="preserve"> the requirements under</w:t>
      </w:r>
      <w:r w:rsidRPr="00552D44">
        <w:rPr>
          <w:iCs/>
        </w:rPr>
        <w:t xml:space="preserve"> section 24 of the MRFF Act</w:t>
      </w:r>
      <w:r w:rsidRPr="00A13FF1">
        <w:rPr>
          <w:iCs/>
        </w:rPr>
        <w:t>. The Department of Health and Aged Care has not use</w:t>
      </w:r>
      <w:r>
        <w:rPr>
          <w:iCs/>
        </w:rPr>
        <w:t>d</w:t>
      </w:r>
      <w:r w:rsidRPr="00A13FF1">
        <w:rPr>
          <w:iCs/>
        </w:rPr>
        <w:t xml:space="preserve"> the Federation Reform Fund to channel grants to States and Territories </w:t>
      </w:r>
      <w:r>
        <w:rPr>
          <w:iCs/>
        </w:rPr>
        <w:t>because of the additional administrative requirements for using this channel</w:t>
      </w:r>
      <w:r w:rsidRPr="00A13FF1">
        <w:rPr>
          <w:iCs/>
        </w:rPr>
        <w:t>.</w:t>
      </w:r>
    </w:p>
    <w:p w14:paraId="42865D87" w14:textId="77777777" w:rsidR="005B31AB" w:rsidRPr="00CE4656" w:rsidRDefault="005B31AB" w:rsidP="005B31AB">
      <w:r w:rsidRPr="00A13FF1">
        <w:t>As part of the consultation process for the 2024-2026 Priorities, AMRAB also consulted on allowing States and Territories to apply</w:t>
      </w:r>
      <w:r>
        <w:t xml:space="preserve"> for, and receive, </w:t>
      </w:r>
      <w:r w:rsidRPr="00020DC8">
        <w:rPr>
          <w:iCs/>
        </w:rPr>
        <w:t>grant</w:t>
      </w:r>
      <w:r>
        <w:rPr>
          <w:iCs/>
        </w:rPr>
        <w:t xml:space="preserve">s of financial assistance through existing MRFF grant processes. </w:t>
      </w:r>
      <w:r w:rsidRPr="00226BFA">
        <w:t>AMRAB recognised the increasing amount of research being conducted in conjunction with State and Territor</w:t>
      </w:r>
      <w:r>
        <w:t>y governments</w:t>
      </w:r>
      <w:r w:rsidRPr="00226BFA">
        <w:t xml:space="preserve"> and the scope to </w:t>
      </w:r>
      <w:r>
        <w:t>us</w:t>
      </w:r>
      <w:r w:rsidRPr="00226BFA">
        <w:t xml:space="preserve">e MRFF Special Account funds to </w:t>
      </w:r>
      <w:r>
        <w:t>leverage</w:t>
      </w:r>
      <w:r w:rsidRPr="00226BFA">
        <w:t xml:space="preserve"> this research funding</w:t>
      </w:r>
      <w:r>
        <w:t>,</w:t>
      </w:r>
      <w:r w:rsidRPr="00226BFA">
        <w:t xml:space="preserve"> particular</w:t>
      </w:r>
      <w:r>
        <w:t>ly with regards to</w:t>
      </w:r>
      <w:r w:rsidRPr="00226BFA">
        <w:t xml:space="preserve"> commercialisation and translation.</w:t>
      </w:r>
      <w:r>
        <w:t xml:space="preserve"> However, </w:t>
      </w:r>
      <w:r>
        <w:rPr>
          <w:iCs/>
        </w:rPr>
        <w:t>AMRAB also noted the following</w:t>
      </w:r>
      <w:r>
        <w:t>:</w:t>
      </w:r>
    </w:p>
    <w:p w14:paraId="37BEDB1C" w14:textId="77777777" w:rsidR="005B31AB" w:rsidRDefault="005B31AB" w:rsidP="00C9756B">
      <w:pPr>
        <w:pStyle w:val="List"/>
      </w:pPr>
      <w:r>
        <w:t>the proposal may lead to fragmentation of Australian research and dilution of research funding,</w:t>
      </w:r>
    </w:p>
    <w:p w14:paraId="2FE89D8F" w14:textId="77777777" w:rsidR="005B31AB" w:rsidRPr="00CE4656" w:rsidRDefault="005B31AB" w:rsidP="00C9756B">
      <w:pPr>
        <w:pStyle w:val="List"/>
      </w:pPr>
      <w:r>
        <w:t xml:space="preserve">a perceived lack of skills and infrastructure in States and Territories, which may cause delays in </w:t>
      </w:r>
      <w:r w:rsidRPr="00CE4656">
        <w:t>delivering any intended outcomes</w:t>
      </w:r>
      <w:r>
        <w:t>,</w:t>
      </w:r>
    </w:p>
    <w:p w14:paraId="09F14F5E" w14:textId="77777777" w:rsidR="005B31AB" w:rsidRPr="00CE4656" w:rsidRDefault="005B31AB" w:rsidP="00C9756B">
      <w:pPr>
        <w:pStyle w:val="List"/>
      </w:pPr>
      <w:r>
        <w:t>i</w:t>
      </w:r>
      <w:r w:rsidRPr="00CE4656">
        <w:t>ntroduction of risk of bias and political influence</w:t>
      </w:r>
      <w:r>
        <w:t xml:space="preserve"> from State and Territory governments,</w:t>
      </w:r>
    </w:p>
    <w:p w14:paraId="097E8984" w14:textId="77777777" w:rsidR="005B31AB" w:rsidRPr="00CE4656" w:rsidRDefault="005B31AB" w:rsidP="00C9756B">
      <w:pPr>
        <w:pStyle w:val="List"/>
      </w:pPr>
      <w:r>
        <w:t>f</w:t>
      </w:r>
      <w:r w:rsidRPr="00CE4656">
        <w:t>urther isolation of healthcare and universities while integration of health workforce with academic workforce is important</w:t>
      </w:r>
      <w:r>
        <w:t>, and</w:t>
      </w:r>
    </w:p>
    <w:p w14:paraId="566E418D" w14:textId="77777777" w:rsidR="005B31AB" w:rsidRPr="00C541FC" w:rsidRDefault="005B31AB" w:rsidP="00C9756B">
      <w:pPr>
        <w:pStyle w:val="List"/>
      </w:pPr>
      <w:r>
        <w:t>c</w:t>
      </w:r>
      <w:r w:rsidRPr="00CE4656">
        <w:t>oncerns about inequity of funding distribution between States and Territories.</w:t>
      </w:r>
    </w:p>
    <w:p w14:paraId="5ED5ABB1" w14:textId="77777777" w:rsidR="005B31AB" w:rsidRPr="00F75A93" w:rsidRDefault="005B31AB" w:rsidP="005B31AB">
      <w:r>
        <w:rPr>
          <w:iCs/>
        </w:rPr>
        <w:t>Amending the MRFF Act to allow for States and T</w:t>
      </w:r>
      <w:r w:rsidRPr="00020DC8">
        <w:rPr>
          <w:iCs/>
        </w:rPr>
        <w:t>erritories to</w:t>
      </w:r>
      <w:r>
        <w:rPr>
          <w:iCs/>
        </w:rPr>
        <w:t xml:space="preserve"> be paid from the MRFF Health Special Account would facilitate States and Territory governments to apply for, and</w:t>
      </w:r>
      <w:r w:rsidRPr="00020DC8">
        <w:rPr>
          <w:iCs/>
        </w:rPr>
        <w:t xml:space="preserve"> </w:t>
      </w:r>
      <w:r>
        <w:rPr>
          <w:iCs/>
        </w:rPr>
        <w:t>receive,</w:t>
      </w:r>
      <w:r w:rsidRPr="00020DC8">
        <w:rPr>
          <w:iCs/>
        </w:rPr>
        <w:t xml:space="preserve"> grant</w:t>
      </w:r>
      <w:r>
        <w:rPr>
          <w:iCs/>
        </w:rPr>
        <w:t>s of financial assistance through existing MRFF grant processes</w:t>
      </w:r>
      <w:r w:rsidRPr="00120537">
        <w:t>.</w:t>
      </w:r>
      <w:r w:rsidRPr="00E93189">
        <w:t xml:space="preserve"> </w:t>
      </w:r>
      <w:r>
        <w:t>In making this amendment, the government should consider potential impacts on the delivery and performance of the MRFF.</w:t>
      </w:r>
    </w:p>
    <w:tbl>
      <w:tblPr>
        <w:tblStyle w:val="TableGrid"/>
        <w:tblW w:w="0" w:type="auto"/>
        <w:tblLook w:val="04A0" w:firstRow="1" w:lastRow="0" w:firstColumn="1" w:lastColumn="0" w:noHBand="0" w:noVBand="1"/>
      </w:tblPr>
      <w:tblGrid>
        <w:gridCol w:w="9016"/>
      </w:tblGrid>
      <w:tr w:rsidR="005B31AB" w14:paraId="046FC90B" w14:textId="77777777" w:rsidTr="001834D0">
        <w:tc>
          <w:tcPr>
            <w:tcW w:w="9016" w:type="dxa"/>
            <w:shd w:val="clear" w:color="auto" w:fill="E7E6E6" w:themeFill="background2"/>
          </w:tcPr>
          <w:p w14:paraId="46288D9A" w14:textId="77777777" w:rsidR="005B31AB" w:rsidRPr="00EA01DE" w:rsidRDefault="005B31AB" w:rsidP="001834D0">
            <w:pPr>
              <w:pStyle w:val="Heading4"/>
            </w:pPr>
            <w:r w:rsidRPr="00EA01DE">
              <w:t xml:space="preserve">Finding </w:t>
            </w:r>
            <w:r>
              <w:t>4</w:t>
            </w:r>
          </w:p>
          <w:p w14:paraId="1CCD20CB" w14:textId="77777777" w:rsidR="005B31AB" w:rsidRPr="00C81E9B" w:rsidRDefault="005B31AB" w:rsidP="001834D0">
            <w:pPr>
              <w:spacing w:before="120" w:after="120"/>
            </w:pPr>
            <w:r>
              <w:t>G</w:t>
            </w:r>
            <w:r w:rsidRPr="00D96799">
              <w:t xml:space="preserve">rants to states and territories through the Federation Reform Fund have not </w:t>
            </w:r>
            <w:r>
              <w:t xml:space="preserve">been used to date. </w:t>
            </w:r>
          </w:p>
        </w:tc>
      </w:tr>
    </w:tbl>
    <w:p w14:paraId="4F804E70" w14:textId="77777777" w:rsidR="005B31AB" w:rsidRDefault="005B31AB" w:rsidP="005B31AB"/>
    <w:tbl>
      <w:tblPr>
        <w:tblStyle w:val="TableGrid"/>
        <w:tblW w:w="0" w:type="auto"/>
        <w:tblLook w:val="04A0" w:firstRow="1" w:lastRow="0" w:firstColumn="1" w:lastColumn="0" w:noHBand="0" w:noVBand="1"/>
      </w:tblPr>
      <w:tblGrid>
        <w:gridCol w:w="9016"/>
      </w:tblGrid>
      <w:tr w:rsidR="005B31AB" w14:paraId="756D9092" w14:textId="77777777" w:rsidTr="001834D0">
        <w:tc>
          <w:tcPr>
            <w:tcW w:w="9016" w:type="dxa"/>
            <w:shd w:val="clear" w:color="auto" w:fill="E7E6E6" w:themeFill="background2"/>
          </w:tcPr>
          <w:p w14:paraId="084DF54F" w14:textId="77777777" w:rsidR="005B31AB" w:rsidRPr="00226BFA" w:rsidRDefault="005B31AB" w:rsidP="001834D0">
            <w:pPr>
              <w:pStyle w:val="Heading4"/>
            </w:pPr>
            <w:r w:rsidRPr="00226BFA">
              <w:t xml:space="preserve">Recommendation </w:t>
            </w:r>
            <w:r>
              <w:t>3</w:t>
            </w:r>
          </w:p>
          <w:p w14:paraId="31C88A47" w14:textId="77777777" w:rsidR="005B31AB" w:rsidRDefault="005B31AB" w:rsidP="001834D0">
            <w:pPr>
              <w:spacing w:before="120" w:after="120"/>
            </w:pPr>
            <w:r>
              <w:t>Amend</w:t>
            </w:r>
            <w:r w:rsidRPr="0035193B">
              <w:t xml:space="preserve"> the MRFF Act to allow states and territories (including state and territory entities) to </w:t>
            </w:r>
            <w:r>
              <w:t>receive</w:t>
            </w:r>
            <w:r w:rsidRPr="0035193B">
              <w:t xml:space="preserve"> funding directly from the MRFF Health Special Account.</w:t>
            </w:r>
          </w:p>
        </w:tc>
      </w:tr>
    </w:tbl>
    <w:p w14:paraId="07501586" w14:textId="77777777" w:rsidR="005B31AB" w:rsidRPr="00007C48" w:rsidRDefault="005B31AB" w:rsidP="005B31AB">
      <w:pPr>
        <w:pStyle w:val="Heading2"/>
        <w:spacing w:before="120"/>
      </w:pPr>
      <w:bookmarkStart w:id="17" w:name="_Toc184119062"/>
      <w:bookmarkStart w:id="18" w:name="_Toc185589240"/>
      <w:r>
        <w:t>Provision of grants payments and retention of funds in the MRFF Health Special Account</w:t>
      </w:r>
      <w:bookmarkEnd w:id="17"/>
      <w:bookmarkEnd w:id="18"/>
    </w:p>
    <w:p w14:paraId="2656591F" w14:textId="77777777" w:rsidR="005B31AB" w:rsidRPr="00B26618" w:rsidRDefault="005B31AB" w:rsidP="005B31AB">
      <w:pPr>
        <w:pStyle w:val="AdvicePP"/>
        <w:spacing w:before="140" w:after="140"/>
        <w:rPr>
          <w:rFonts w:cstheme="minorHAnsi"/>
        </w:rPr>
      </w:pPr>
      <w:r w:rsidRPr="005F2B03">
        <w:rPr>
          <w:rFonts w:asciiTheme="minorHAnsi" w:hAnsiTheme="minorHAnsi" w:cstheme="minorHAnsi"/>
        </w:rPr>
        <w:t xml:space="preserve">The MRFF Act requires that any amounts transferred from the MRFF Special Account to the MRFF Health Special Account (or the Federation Reform Fund) for the purposes of making grants is paid out as soon as practicable after being received. Grant funding is credited to the relevant special account </w:t>
      </w:r>
      <w:r w:rsidRPr="005F2B03">
        <w:rPr>
          <w:rFonts w:asciiTheme="minorHAnsi" w:hAnsiTheme="minorHAnsi" w:cstheme="minorHAnsi"/>
        </w:rPr>
        <w:lastRenderedPageBreak/>
        <w:t>and then an administrative process follows to make the grant payment. If a grant cannot be made, the amount of the grant must be returned to the MRFF Special Account.</w:t>
      </w:r>
      <w:r w:rsidRPr="005F2B03">
        <w:rPr>
          <w:rStyle w:val="FootnoteReference"/>
          <w:rFonts w:asciiTheme="minorHAnsi" w:hAnsiTheme="minorHAnsi" w:cstheme="minorHAnsi"/>
        </w:rPr>
        <w:footnoteReference w:id="17"/>
      </w:r>
      <w:r w:rsidRPr="005F2B03">
        <w:rPr>
          <w:rFonts w:asciiTheme="minorHAnsi" w:hAnsiTheme="minorHAnsi" w:cstheme="minorHAnsi"/>
        </w:rPr>
        <w:t xml:space="preserve"> </w:t>
      </w:r>
    </w:p>
    <w:p w14:paraId="59A5D0E1" w14:textId="77777777" w:rsidR="005B31AB" w:rsidRDefault="005B31AB" w:rsidP="005B31AB">
      <w:pPr>
        <w:rPr>
          <w:kern w:val="0"/>
          <w14:ligatures w14:val="none"/>
        </w:rPr>
      </w:pPr>
      <w:r>
        <w:t xml:space="preserve">These provisions aim to ensure that the funds made available from the MRFF for grants are either paid out in a timely manner or returned to the MRFF for reinvestment. </w:t>
      </w:r>
      <w:r>
        <w:rPr>
          <w:kern w:val="0"/>
          <w14:ligatures w14:val="none"/>
        </w:rPr>
        <w:t>However, they are predicated on the assumption that a grant is paid out, in full, in a single up-front payment. They also do not explicitly support temporary retention of funds in the MRFF Health Special Account in circumstances where it would be administratively inefficient to return them to the MRFF Special Account (e.g. small funding amounts).</w:t>
      </w:r>
    </w:p>
    <w:p w14:paraId="494B20AE" w14:textId="77777777" w:rsidR="005B31AB" w:rsidRDefault="005B31AB" w:rsidP="005B31AB">
      <w:r>
        <w:t>It is common grants management practice for grants to be paid in instalments over the life of the grant (i.e. across multiple financial years). The increasing number of actively paying grants since inception of the MRFF (</w:t>
      </w:r>
      <w:r w:rsidRPr="00C52726">
        <w:t>see</w:t>
      </w:r>
      <w:r w:rsidRPr="00C52726">
        <w:rPr>
          <w:i/>
        </w:rPr>
        <w:t xml:space="preserve"> </w:t>
      </w:r>
      <w:r w:rsidRPr="00C52726">
        <w:rPr>
          <w:iCs/>
        </w:rPr>
        <w:t>page 25</w:t>
      </w:r>
      <w:r>
        <w:t>) means that the Department of Health and Aged Care processes more than 1,000 separate grant payments from the MRFF Health Special Account each financial year. These grant payments are usually of relatively low individual value and are generally paid within 6 months of the forecasted grant commencement date.</w:t>
      </w:r>
    </w:p>
    <w:p w14:paraId="62317DFD" w14:textId="254CE8E3" w:rsidR="005B31AB" w:rsidRDefault="005B31AB" w:rsidP="005B31AB">
      <w:pPr>
        <w:rPr>
          <w:kern w:val="0"/>
          <w14:ligatures w14:val="none"/>
        </w:rPr>
      </w:pPr>
      <w:r>
        <w:t xml:space="preserve">To minimise administrative burden, funds are debited from the MRFF Special Account to the MRFF Health Special Account on a quarterly basis. Each drawdown reflects the combined value of all forecast payments for new grants, existing (paying) grants in the upcoming quarter, as well as a modest buffer for any unforeseen payments. Relatively minor amendments to the MRFF Act could </w:t>
      </w:r>
      <w:r w:rsidRPr="000F6757">
        <w:t xml:space="preserve">clarify that </w:t>
      </w:r>
      <w:r>
        <w:t>funds may be retained in the MRFF</w:t>
      </w:r>
      <w:r w:rsidRPr="00627E00">
        <w:t xml:space="preserve"> </w:t>
      </w:r>
      <w:r>
        <w:t xml:space="preserve">Health </w:t>
      </w:r>
      <w:r w:rsidRPr="00627E00">
        <w:t>Special Account</w:t>
      </w:r>
      <w:r w:rsidRPr="001474F0">
        <w:t xml:space="preserve"> </w:t>
      </w:r>
      <w:r w:rsidRPr="000F6757">
        <w:rPr>
          <w:kern w:val="0"/>
          <w14:ligatures w14:val="none"/>
        </w:rPr>
        <w:t>in anticipation of forecasted payments</w:t>
      </w:r>
      <w:r>
        <w:rPr>
          <w:kern w:val="0"/>
          <w14:ligatures w14:val="none"/>
        </w:rPr>
        <w:t>. This</w:t>
      </w:r>
      <w:r>
        <w:t xml:space="preserve"> would enable the Department of Health and Aged Care to make its forecasted grant payments, </w:t>
      </w:r>
      <w:r>
        <w:rPr>
          <w:kern w:val="0"/>
          <w14:ligatures w14:val="none"/>
        </w:rPr>
        <w:t>while also allowing funds to be retained in the MRFF Special Account until they are needed.</w:t>
      </w:r>
    </w:p>
    <w:p w14:paraId="1FBB3764" w14:textId="77777777" w:rsidR="005B31AB" w:rsidRDefault="005B31AB" w:rsidP="005B31AB">
      <w:r>
        <w:t xml:space="preserve">Any unused funds in the MRFF Health Special Account are usually the result of debt recoveries throughout the year, </w:t>
      </w:r>
      <w:r>
        <w:rPr>
          <w:kern w:val="0"/>
          <w14:ligatures w14:val="none"/>
        </w:rPr>
        <w:t>rather than an entire grant not being made as anticipated under section 26 of the MRFF Act</w:t>
      </w:r>
      <w:r>
        <w:t xml:space="preserve">. Debt recoveries are typically low value </w:t>
      </w:r>
      <w:r w:rsidRPr="001C4DEF">
        <w:t xml:space="preserve">compared to </w:t>
      </w:r>
      <w:r>
        <w:t>the administrative effort required to return them to the MRFF Special Account.</w:t>
      </w:r>
      <w:r w:rsidRPr="00480DB2">
        <w:t xml:space="preserve"> </w:t>
      </w:r>
      <w:r>
        <w:t>Amendments to the MRFF Act would allow the Department of Health and Aged Care to use the net balance of the MRFF Health Special Account to offset the next quarterly drawdown instead of being required to return these funds to the MRFF Special Account for reinvestment.</w:t>
      </w:r>
    </w:p>
    <w:p w14:paraId="6C48C10E" w14:textId="77777777" w:rsidR="005B31AB" w:rsidRDefault="005B31AB" w:rsidP="005B31AB">
      <w:r>
        <w:t>Due to the typically low value of debt recoveries and the administrative effort required to return them to the MRFF Special Account, the Health Department uses the net balance of the MRFF Health Special Account to offset the next quarterly drawdown rather than returning these funds to the MRFF Special Account for reinvestment.</w:t>
      </w:r>
    </w:p>
    <w:p w14:paraId="665F9837" w14:textId="18BB6713" w:rsidR="005B31AB" w:rsidRPr="000F6757" w:rsidRDefault="005B31AB" w:rsidP="005B31AB">
      <w:r w:rsidRPr="000F6757">
        <w:t>Amending the MRFF</w:t>
      </w:r>
      <w:r>
        <w:t xml:space="preserve"> Act</w:t>
      </w:r>
      <w:r w:rsidRPr="000F6757">
        <w:t xml:space="preserve"> to clarify that </w:t>
      </w:r>
      <w:r>
        <w:t>funds may be retained in the MRFF</w:t>
      </w:r>
      <w:r w:rsidRPr="00627E00">
        <w:t xml:space="preserve"> </w:t>
      </w:r>
      <w:r>
        <w:t xml:space="preserve">Health </w:t>
      </w:r>
      <w:r w:rsidRPr="00627E00">
        <w:t>Special Account</w:t>
      </w:r>
      <w:r>
        <w:t xml:space="preserve">, </w:t>
      </w:r>
      <w:r w:rsidRPr="000F6757">
        <w:rPr>
          <w:kern w:val="0"/>
          <w14:ligatures w14:val="none"/>
        </w:rPr>
        <w:t xml:space="preserve">in anticipation of forecasted payments </w:t>
      </w:r>
      <w:r>
        <w:rPr>
          <w:kern w:val="0"/>
          <w14:ligatures w14:val="none"/>
        </w:rPr>
        <w:t>in</w:t>
      </w:r>
      <w:r w:rsidRPr="000F6757">
        <w:rPr>
          <w:kern w:val="0"/>
          <w14:ligatures w14:val="none"/>
        </w:rPr>
        <w:t xml:space="preserve"> the short term</w:t>
      </w:r>
      <w:r>
        <w:t xml:space="preserve"> or</w:t>
      </w:r>
      <w:r w:rsidRPr="00790D84">
        <w:t xml:space="preserve"> </w:t>
      </w:r>
      <w:r w:rsidRPr="00664D9E">
        <w:t>as a result of debt recovery actions</w:t>
      </w:r>
      <w:r>
        <w:t>, would support</w:t>
      </w:r>
      <w:r w:rsidRPr="000F6757">
        <w:t xml:space="preserve"> </w:t>
      </w:r>
      <w:r>
        <w:t>administrative efficiencies in the delivery of the MRFF</w:t>
      </w:r>
      <w:r w:rsidRPr="000F6757">
        <w:t>.</w:t>
      </w:r>
    </w:p>
    <w:tbl>
      <w:tblPr>
        <w:tblStyle w:val="TableGrid"/>
        <w:tblW w:w="0" w:type="auto"/>
        <w:tblLook w:val="04A0" w:firstRow="1" w:lastRow="0" w:firstColumn="1" w:lastColumn="0" w:noHBand="0" w:noVBand="1"/>
      </w:tblPr>
      <w:tblGrid>
        <w:gridCol w:w="9016"/>
      </w:tblGrid>
      <w:tr w:rsidR="005B31AB" w:rsidRPr="00F30987" w14:paraId="5BE8142F" w14:textId="77777777" w:rsidTr="001834D0">
        <w:tc>
          <w:tcPr>
            <w:tcW w:w="9016" w:type="dxa"/>
            <w:shd w:val="clear" w:color="auto" w:fill="E7E6E6" w:themeFill="background2"/>
          </w:tcPr>
          <w:p w14:paraId="7C5F6DB6" w14:textId="77777777" w:rsidR="005B31AB" w:rsidRDefault="005B31AB" w:rsidP="001834D0">
            <w:pPr>
              <w:pStyle w:val="Heading4"/>
            </w:pPr>
            <w:r w:rsidRPr="007676DD">
              <w:lastRenderedPageBreak/>
              <w:t xml:space="preserve">Recommendation </w:t>
            </w:r>
            <w:r>
              <w:t>4</w:t>
            </w:r>
          </w:p>
          <w:p w14:paraId="7400E95B" w14:textId="77777777" w:rsidR="005B31AB" w:rsidRDefault="005B31AB" w:rsidP="001834D0">
            <w:pPr>
              <w:pStyle w:val="BodyText"/>
              <w:tabs>
                <w:tab w:val="left" w:pos="821"/>
                <w:tab w:val="left" w:pos="823"/>
              </w:tabs>
              <w:spacing w:before="120" w:after="120"/>
              <w:ind w:right="357"/>
            </w:pPr>
            <w:r>
              <w:t>Amend</w:t>
            </w:r>
            <w:r w:rsidRPr="00C201D4">
              <w:rPr>
                <w:spacing w:val="-6"/>
              </w:rPr>
              <w:t xml:space="preserve"> </w:t>
            </w:r>
            <w:r>
              <w:t>the</w:t>
            </w:r>
            <w:r w:rsidRPr="00C201D4">
              <w:rPr>
                <w:spacing w:val="-4"/>
              </w:rPr>
              <w:t xml:space="preserve"> </w:t>
            </w:r>
            <w:r>
              <w:t>MRFF</w:t>
            </w:r>
            <w:r w:rsidRPr="00C201D4">
              <w:rPr>
                <w:spacing w:val="-6"/>
              </w:rPr>
              <w:t xml:space="preserve"> </w:t>
            </w:r>
            <w:r>
              <w:t>Act</w:t>
            </w:r>
            <w:r w:rsidRPr="00C201D4">
              <w:rPr>
                <w:spacing w:val="-7"/>
              </w:rPr>
              <w:t xml:space="preserve"> </w:t>
            </w:r>
            <w:r>
              <w:t>to:</w:t>
            </w:r>
          </w:p>
          <w:p w14:paraId="62054D34" w14:textId="77777777" w:rsidR="005B31AB" w:rsidRDefault="005B31AB" w:rsidP="001F50DA">
            <w:pPr>
              <w:pStyle w:val="BodyText"/>
              <w:numPr>
                <w:ilvl w:val="0"/>
                <w:numId w:val="28"/>
              </w:numPr>
              <w:tabs>
                <w:tab w:val="left" w:pos="821"/>
                <w:tab w:val="left" w:pos="823"/>
              </w:tabs>
              <w:spacing w:after="240"/>
              <w:ind w:right="357"/>
            </w:pPr>
            <w:r>
              <w:t>clarify</w:t>
            </w:r>
            <w:r w:rsidRPr="00C201D4">
              <w:rPr>
                <w:spacing w:val="-6"/>
              </w:rPr>
              <w:t xml:space="preserve"> </w:t>
            </w:r>
            <w:r>
              <w:t>that</w:t>
            </w:r>
            <w:r w:rsidRPr="00C201D4">
              <w:rPr>
                <w:spacing w:val="-4"/>
              </w:rPr>
              <w:t xml:space="preserve"> </w:t>
            </w:r>
            <w:r>
              <w:t>funds</w:t>
            </w:r>
            <w:r w:rsidRPr="00C201D4">
              <w:rPr>
                <w:spacing w:val="-5"/>
              </w:rPr>
              <w:t xml:space="preserve"> </w:t>
            </w:r>
            <w:r>
              <w:t>transferred</w:t>
            </w:r>
            <w:r w:rsidRPr="00C201D4">
              <w:rPr>
                <w:spacing w:val="-8"/>
              </w:rPr>
              <w:t xml:space="preserve"> </w:t>
            </w:r>
            <w:r>
              <w:t>from</w:t>
            </w:r>
            <w:r w:rsidRPr="00C201D4">
              <w:rPr>
                <w:spacing w:val="-8"/>
              </w:rPr>
              <w:t xml:space="preserve"> </w:t>
            </w:r>
            <w:r>
              <w:t>the</w:t>
            </w:r>
            <w:r w:rsidRPr="00C201D4">
              <w:rPr>
                <w:spacing w:val="-7"/>
              </w:rPr>
              <w:t xml:space="preserve"> </w:t>
            </w:r>
            <w:r>
              <w:t>Medical</w:t>
            </w:r>
            <w:r w:rsidRPr="00C201D4">
              <w:rPr>
                <w:spacing w:val="-5"/>
              </w:rPr>
              <w:t xml:space="preserve"> </w:t>
            </w:r>
            <w:r>
              <w:t>Research</w:t>
            </w:r>
            <w:r w:rsidRPr="00C201D4">
              <w:rPr>
                <w:spacing w:val="-8"/>
              </w:rPr>
              <w:t xml:space="preserve"> </w:t>
            </w:r>
            <w:r>
              <w:t xml:space="preserve">Future Fund Special Account may be held in the Medical Research Future Fund Health Special </w:t>
            </w:r>
            <w:r w:rsidRPr="006C37B6">
              <w:t>Account for short durations</w:t>
            </w:r>
            <w:r>
              <w:t xml:space="preserve"> to</w:t>
            </w:r>
            <w:r w:rsidRPr="00C201D4">
              <w:t xml:space="preserve"> </w:t>
            </w:r>
            <w:r>
              <w:t>streamline</w:t>
            </w:r>
            <w:r w:rsidRPr="00C201D4">
              <w:rPr>
                <w:spacing w:val="-9"/>
              </w:rPr>
              <w:t xml:space="preserve"> </w:t>
            </w:r>
            <w:r>
              <w:t>the</w:t>
            </w:r>
            <w:r w:rsidRPr="00C201D4">
              <w:rPr>
                <w:spacing w:val="-7"/>
              </w:rPr>
              <w:t xml:space="preserve"> </w:t>
            </w:r>
            <w:r>
              <w:t>administration</w:t>
            </w:r>
            <w:r w:rsidRPr="00C201D4">
              <w:rPr>
                <w:spacing w:val="-8"/>
              </w:rPr>
              <w:t xml:space="preserve"> </w:t>
            </w:r>
            <w:r>
              <w:t>of</w:t>
            </w:r>
            <w:r w:rsidRPr="00C201D4">
              <w:rPr>
                <w:spacing w:val="-9"/>
              </w:rPr>
              <w:t xml:space="preserve"> </w:t>
            </w:r>
            <w:r>
              <w:t>funds</w:t>
            </w:r>
            <w:r w:rsidRPr="00C201D4">
              <w:rPr>
                <w:spacing w:val="-7"/>
              </w:rPr>
              <w:t xml:space="preserve"> </w:t>
            </w:r>
            <w:r>
              <w:t>transfers</w:t>
            </w:r>
            <w:r w:rsidRPr="00C201D4">
              <w:rPr>
                <w:spacing w:val="-9"/>
              </w:rPr>
              <w:t xml:space="preserve"> </w:t>
            </w:r>
            <w:r>
              <w:t>and</w:t>
            </w:r>
            <w:r w:rsidRPr="00C201D4">
              <w:rPr>
                <w:spacing w:val="-8"/>
              </w:rPr>
              <w:t xml:space="preserve"> </w:t>
            </w:r>
            <w:r>
              <w:t>allow</w:t>
            </w:r>
            <w:r w:rsidRPr="00C201D4">
              <w:rPr>
                <w:spacing w:val="-7"/>
              </w:rPr>
              <w:t xml:space="preserve"> </w:t>
            </w:r>
            <w:r>
              <w:t>for</w:t>
            </w:r>
            <w:r w:rsidRPr="00C201D4">
              <w:rPr>
                <w:spacing w:val="-9"/>
              </w:rPr>
              <w:t xml:space="preserve"> </w:t>
            </w:r>
            <w:r>
              <w:t>grants</w:t>
            </w:r>
            <w:r w:rsidRPr="00C201D4">
              <w:rPr>
                <w:spacing w:val="-7"/>
              </w:rPr>
              <w:t xml:space="preserve"> </w:t>
            </w:r>
            <w:r>
              <w:t>to</w:t>
            </w:r>
            <w:r w:rsidRPr="00C201D4">
              <w:rPr>
                <w:spacing w:val="-6"/>
              </w:rPr>
              <w:t xml:space="preserve"> </w:t>
            </w:r>
            <w:r>
              <w:t>be</w:t>
            </w:r>
            <w:r w:rsidRPr="00C201D4">
              <w:rPr>
                <w:spacing w:val="-7"/>
              </w:rPr>
              <w:t xml:space="preserve"> </w:t>
            </w:r>
            <w:r>
              <w:t>paid</w:t>
            </w:r>
            <w:r w:rsidRPr="00C201D4">
              <w:rPr>
                <w:spacing w:val="-8"/>
              </w:rPr>
              <w:t xml:space="preserve"> </w:t>
            </w:r>
            <w:r w:rsidRPr="00C201D4">
              <w:rPr>
                <w:spacing w:val="-5"/>
              </w:rPr>
              <w:t>in</w:t>
            </w:r>
            <w:r>
              <w:rPr>
                <w:spacing w:val="-5"/>
              </w:rPr>
              <w:t xml:space="preserve"> </w:t>
            </w:r>
            <w:r w:rsidRPr="00C201D4">
              <w:rPr>
                <w:spacing w:val="-2"/>
              </w:rPr>
              <w:t>instalments</w:t>
            </w:r>
            <w:r>
              <w:t>, and</w:t>
            </w:r>
          </w:p>
          <w:p w14:paraId="597AED22" w14:textId="77777777" w:rsidR="005B31AB" w:rsidRPr="00A84E43" w:rsidRDefault="005B31AB" w:rsidP="001834D0">
            <w:pPr>
              <w:pStyle w:val="BodyText"/>
              <w:numPr>
                <w:ilvl w:val="0"/>
                <w:numId w:val="28"/>
              </w:numPr>
              <w:tabs>
                <w:tab w:val="left" w:pos="821"/>
                <w:tab w:val="left" w:pos="823"/>
              </w:tabs>
              <w:spacing w:after="120"/>
              <w:ind w:left="822" w:right="357" w:hanging="357"/>
            </w:pPr>
            <w:r>
              <w:t>provide that funds credited</w:t>
            </w:r>
            <w:r w:rsidRPr="00C201D4">
              <w:rPr>
                <w:spacing w:val="-6"/>
              </w:rPr>
              <w:t xml:space="preserve"> </w:t>
            </w:r>
            <w:r>
              <w:t>to</w:t>
            </w:r>
            <w:r w:rsidRPr="00C201D4">
              <w:rPr>
                <w:spacing w:val="-6"/>
              </w:rPr>
              <w:t xml:space="preserve"> </w:t>
            </w:r>
            <w:r>
              <w:t>the</w:t>
            </w:r>
            <w:r w:rsidRPr="00C201D4">
              <w:rPr>
                <w:spacing w:val="-7"/>
              </w:rPr>
              <w:t xml:space="preserve"> </w:t>
            </w:r>
            <w:r>
              <w:t>Medical</w:t>
            </w:r>
            <w:r w:rsidRPr="00C201D4">
              <w:rPr>
                <w:spacing w:val="-5"/>
              </w:rPr>
              <w:t xml:space="preserve"> </w:t>
            </w:r>
            <w:r>
              <w:t>Research</w:t>
            </w:r>
            <w:r w:rsidRPr="00C201D4">
              <w:rPr>
                <w:spacing w:val="-6"/>
              </w:rPr>
              <w:t xml:space="preserve"> </w:t>
            </w:r>
            <w:r>
              <w:t>Future</w:t>
            </w:r>
            <w:r w:rsidRPr="00C201D4">
              <w:rPr>
                <w:spacing w:val="-4"/>
              </w:rPr>
              <w:t xml:space="preserve"> </w:t>
            </w:r>
            <w:r>
              <w:t>Fund</w:t>
            </w:r>
            <w:r w:rsidRPr="00C201D4">
              <w:rPr>
                <w:spacing w:val="-6"/>
              </w:rPr>
              <w:t xml:space="preserve"> </w:t>
            </w:r>
            <w:r>
              <w:t>Health</w:t>
            </w:r>
            <w:r w:rsidRPr="00C201D4">
              <w:rPr>
                <w:spacing w:val="-6"/>
              </w:rPr>
              <w:t xml:space="preserve"> </w:t>
            </w:r>
            <w:r>
              <w:t>Special</w:t>
            </w:r>
            <w:r w:rsidRPr="00C201D4">
              <w:rPr>
                <w:spacing w:val="-5"/>
              </w:rPr>
              <w:t xml:space="preserve"> </w:t>
            </w:r>
            <w:r>
              <w:t>Account as a result of debt recovery actions may be held in the Medical Research Future Fund Health Special Account for short durations and used to oﬀset the next funds transfer from the Medical Research Future Fund Special Account.</w:t>
            </w:r>
          </w:p>
        </w:tc>
      </w:tr>
    </w:tbl>
    <w:p w14:paraId="5090F270" w14:textId="77777777" w:rsidR="005B31AB" w:rsidRDefault="005B31AB" w:rsidP="001F50DA">
      <w:pPr>
        <w:pStyle w:val="Heading1"/>
        <w:spacing w:before="440" w:after="240"/>
      </w:pPr>
      <w:bookmarkStart w:id="19" w:name="_Toc185589241"/>
      <w:r>
        <w:t>Performance of the MRFF against the object of the MRFF Act</w:t>
      </w:r>
      <w:bookmarkEnd w:id="19"/>
    </w:p>
    <w:p w14:paraId="63B19D4F" w14:textId="77777777" w:rsidR="005B31AB" w:rsidRDefault="005B31AB" w:rsidP="005B31AB">
      <w:pPr>
        <w:pStyle w:val="CommentText"/>
        <w:rPr>
          <w:sz w:val="22"/>
          <w:szCs w:val="22"/>
        </w:rPr>
      </w:pPr>
      <w:r w:rsidRPr="00F81BCE">
        <w:rPr>
          <w:sz w:val="22"/>
          <w:szCs w:val="22"/>
        </w:rPr>
        <w:t xml:space="preserve">The Object of the MRFF Act provides strategic oversight and direction of the MRFF. </w:t>
      </w:r>
      <w:r>
        <w:rPr>
          <w:sz w:val="22"/>
          <w:szCs w:val="22"/>
        </w:rPr>
        <w:t>The Object of the MRFF Act is:</w:t>
      </w:r>
    </w:p>
    <w:p w14:paraId="2FECCBBF" w14:textId="13C080FF" w:rsidR="005B31AB" w:rsidRPr="004F6DB6" w:rsidRDefault="005B31AB" w:rsidP="001F50DA">
      <w:pPr>
        <w:ind w:left="360"/>
      </w:pPr>
      <w:r>
        <w:t>“to improve the health and wellbeing of Australians by establishing the Medical Research Future Fund to provide grants of financial assistance to support medical research and medical innovation”.</w:t>
      </w:r>
    </w:p>
    <w:p w14:paraId="2A513561" w14:textId="5B218276" w:rsidR="005B31AB" w:rsidRDefault="005B31AB" w:rsidP="005B31AB">
      <w:pPr>
        <w:spacing w:line="276" w:lineRule="auto"/>
        <w:rPr>
          <w:rFonts w:cstheme="minorHAnsi"/>
        </w:rPr>
      </w:pPr>
      <w:r>
        <w:rPr>
          <w:rFonts w:cstheme="minorHAnsi"/>
        </w:rPr>
        <w:t xml:space="preserve">The Department of Health and Aged Care monitors developments, discoveries and new technologies emerging from health and medical research. The department collaborates across government, including with the NHMRC, Department of Industry, Science and Resources, </w:t>
      </w:r>
      <w:proofErr w:type="spellStart"/>
      <w:r>
        <w:rPr>
          <w:rFonts w:cstheme="minorHAnsi"/>
        </w:rPr>
        <w:t>AusIndustry</w:t>
      </w:r>
      <w:proofErr w:type="spellEnd"/>
      <w:r>
        <w:rPr>
          <w:rFonts w:cstheme="minorHAnsi"/>
        </w:rPr>
        <w:t>, Department of Education and other stakeholders to promote knowledge exchange and translation, and evidence-based policy development.</w:t>
      </w:r>
    </w:p>
    <w:p w14:paraId="08799FA9" w14:textId="77777777" w:rsidR="005B31AB" w:rsidRDefault="005B31AB" w:rsidP="005B31AB">
      <w:pPr>
        <w:rPr>
          <w:rFonts w:cstheme="minorHAnsi"/>
        </w:rPr>
      </w:pPr>
      <w:r>
        <w:rPr>
          <w:rFonts w:cstheme="minorHAnsi"/>
        </w:rPr>
        <w:t>In its assessment of the performance of the MRFF against its legislated object, the Department of Health and Aged Care considered:</w:t>
      </w:r>
    </w:p>
    <w:p w14:paraId="3CEECC91" w14:textId="77777777" w:rsidR="005B31AB" w:rsidRDefault="005B31AB" w:rsidP="00F548BD">
      <w:pPr>
        <w:pStyle w:val="List"/>
      </w:pPr>
      <w:r>
        <w:t>financial data on disbursements from the MRFF towards grants of financial assistance,</w:t>
      </w:r>
    </w:p>
    <w:p w14:paraId="302ABD07" w14:textId="77777777" w:rsidR="005B31AB" w:rsidRDefault="005B31AB" w:rsidP="00F548BD">
      <w:pPr>
        <w:pStyle w:val="List"/>
      </w:pPr>
      <w:r>
        <w:t>delivery of the MRFF grant program against the 10-year Plan,</w:t>
      </w:r>
    </w:p>
    <w:p w14:paraId="72A29406" w14:textId="77777777" w:rsidR="005B31AB" w:rsidRDefault="005B31AB" w:rsidP="00F548BD">
      <w:pPr>
        <w:pStyle w:val="List"/>
      </w:pPr>
      <w:r>
        <w:t>the outcomes of independent evaluations and reviews of MRFF investments in research,</w:t>
      </w:r>
    </w:p>
    <w:p w14:paraId="6215AC41" w14:textId="77777777" w:rsidR="005B31AB" w:rsidRDefault="005B31AB" w:rsidP="00F548BD">
      <w:pPr>
        <w:pStyle w:val="List"/>
      </w:pPr>
      <w:r>
        <w:t xml:space="preserve">the findings and recommendations from the </w:t>
      </w:r>
      <w:hyperlink r:id="rId24" w:history="1">
        <w:r w:rsidRPr="00F0430E">
          <w:rPr>
            <w:rStyle w:val="Hyperlink"/>
            <w:rFonts w:cstheme="minorHAnsi"/>
          </w:rPr>
          <w:t>Australian National Audit Office’s independent performance audit of the MRFF</w:t>
        </w:r>
      </w:hyperlink>
      <w:r>
        <w:t>,</w:t>
      </w:r>
    </w:p>
    <w:p w14:paraId="747E200A" w14:textId="77777777" w:rsidR="005B31AB" w:rsidRDefault="005B31AB" w:rsidP="00F548BD">
      <w:pPr>
        <w:pStyle w:val="List"/>
      </w:pPr>
      <w:r>
        <w:t>the 2 yearly Financial Assistance Reports required under section 57A of the MRFF Act, and</w:t>
      </w:r>
    </w:p>
    <w:p w14:paraId="25A00516" w14:textId="77777777" w:rsidR="005B31AB" w:rsidRDefault="005B31AB" w:rsidP="00F548BD">
      <w:pPr>
        <w:pStyle w:val="List"/>
      </w:pPr>
      <w:r>
        <w:t>other regular monitoring and reporting activities consistent with the MRFF Monitoring, Evaluation and Learning Strategy.</w:t>
      </w:r>
      <w:r>
        <w:rPr>
          <w:rStyle w:val="FootnoteReference"/>
          <w:rFonts w:cstheme="minorHAnsi"/>
        </w:rPr>
        <w:footnoteReference w:id="18"/>
      </w:r>
      <w:r>
        <w:t xml:space="preserve"> </w:t>
      </w:r>
    </w:p>
    <w:p w14:paraId="06EFF4BD" w14:textId="77777777" w:rsidR="005B31AB" w:rsidRDefault="005B31AB" w:rsidP="005B31AB">
      <w:pPr>
        <w:pStyle w:val="Heading2"/>
      </w:pPr>
      <w:bookmarkStart w:id="20" w:name="_Toc185589242"/>
      <w:r>
        <w:lastRenderedPageBreak/>
        <w:t>Grants of financial assistance to support medical research and medical innovation</w:t>
      </w:r>
      <w:bookmarkEnd w:id="20"/>
    </w:p>
    <w:p w14:paraId="3E8C9EAC" w14:textId="77777777" w:rsidR="005B31AB" w:rsidRDefault="005B31AB" w:rsidP="005B31AB">
      <w:pPr>
        <w:spacing w:before="240"/>
      </w:pPr>
      <w:r>
        <w:t>MRFF disbursements commenced in 2016-17. As of 19 November 2024, the MRFF has awarded and announced 1,489 grants, valued at a total of $3.7 billion.</w:t>
      </w:r>
      <w:r>
        <w:rPr>
          <w:rStyle w:val="FootnoteReference"/>
        </w:rPr>
        <w:footnoteReference w:id="19"/>
      </w:r>
      <w:r>
        <w:t xml:space="preserve"> MRFF funding has increased over time as the MRFF has been capitalised and the amount available for grants has increased (see Chart 1 below).</w:t>
      </w:r>
    </w:p>
    <w:p w14:paraId="33B0062D" w14:textId="77777777" w:rsidR="005B31AB" w:rsidRPr="006B5FB7" w:rsidRDefault="005B31AB" w:rsidP="00593EA2">
      <w:pPr>
        <w:pStyle w:val="Caption"/>
      </w:pPr>
      <w:r>
        <w:t>Chart 1: MRFF grant funding over time</w:t>
      </w:r>
    </w:p>
    <w:p w14:paraId="02E9B016" w14:textId="77777777" w:rsidR="005B31AB" w:rsidRDefault="005B31AB" w:rsidP="005B31AB">
      <w:pPr>
        <w:keepNext/>
        <w:keepLines/>
        <w:spacing w:before="240"/>
      </w:pPr>
      <w:r>
        <w:t xml:space="preserve"> </w:t>
      </w:r>
      <w:r>
        <w:rPr>
          <w:noProof/>
        </w:rPr>
        <w:drawing>
          <wp:inline distT="0" distB="0" distL="0" distR="0" wp14:anchorId="1C6EBAA8" wp14:editId="1C8A6FB0">
            <wp:extent cx="5580000" cy="2386650"/>
            <wp:effectExtent l="0" t="0" r="0" b="0"/>
            <wp:docPr id="1966449886" name="Chart 1" descr="A graph illustrating the level of MRFF  funding from 2016-17 to 2023-24.">
              <a:extLst xmlns:a="http://schemas.openxmlformats.org/drawingml/2006/main">
                <a:ext uri="{FF2B5EF4-FFF2-40B4-BE49-F238E27FC236}">
                  <a16:creationId xmlns:a16="http://schemas.microsoft.com/office/drawing/2014/main" id="{D2F30BA5-BB8A-EC2C-E0C7-B77819944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14F742" w14:textId="77777777" w:rsidR="005B31AB" w:rsidRPr="00026F46" w:rsidRDefault="005B31AB" w:rsidP="005B31AB">
      <w:pPr>
        <w:keepNext/>
        <w:keepLines/>
        <w:jc w:val="both"/>
        <w:rPr>
          <w:sz w:val="20"/>
          <w:szCs w:val="20"/>
        </w:rPr>
      </w:pPr>
      <w:r>
        <w:rPr>
          <w:sz w:val="20"/>
          <w:szCs w:val="20"/>
        </w:rPr>
        <w:t xml:space="preserve">Source: </w:t>
      </w:r>
      <w:r w:rsidRPr="00EE7A3E">
        <w:rPr>
          <w:sz w:val="20"/>
          <w:szCs w:val="20"/>
        </w:rPr>
        <w:t>Health Portfolio Budget Statements and Health Portfolio Additional Estimates Statements</w:t>
      </w:r>
      <w:r>
        <w:rPr>
          <w:sz w:val="20"/>
          <w:szCs w:val="20"/>
        </w:rPr>
        <w:t xml:space="preserve"> (includes budget supplementation in 2021-22 and 2022-23)</w:t>
      </w:r>
    </w:p>
    <w:p w14:paraId="715E92D1" w14:textId="77777777" w:rsidR="005B31AB" w:rsidRDefault="005B31AB" w:rsidP="005B31AB">
      <w:pPr>
        <w:spacing w:before="240"/>
      </w:pPr>
      <w:r>
        <w:t>MRFF grants are designed and delivered consistent with policy requirements specified in the MRFF 10-year Plan. This includes delivery of funding for 75 grants under the MRFF Coronavirus Research Response between 2020 and 2021. Of the MRFF funding that has been awarded and announced (as at 19 November 2024):</w:t>
      </w:r>
    </w:p>
    <w:p w14:paraId="543345B9" w14:textId="77777777" w:rsidR="005B31AB" w:rsidRDefault="005B31AB" w:rsidP="00F11029">
      <w:pPr>
        <w:pStyle w:val="List"/>
      </w:pPr>
      <w:r>
        <w:t xml:space="preserve">32.9 per cent has been awarded under the </w:t>
      </w:r>
      <w:r w:rsidRPr="00BA7734">
        <w:rPr>
          <w:b/>
        </w:rPr>
        <w:t>Research Translation</w:t>
      </w:r>
      <w:r>
        <w:t xml:space="preserve"> theme, which aims to translate research outcomes into practice by building the evidence base to support the adoption of best practice care into health care delivery,</w:t>
      </w:r>
    </w:p>
    <w:p w14:paraId="4E06B654" w14:textId="77777777" w:rsidR="005B31AB" w:rsidRDefault="005B31AB" w:rsidP="00F11029">
      <w:pPr>
        <w:pStyle w:val="List"/>
      </w:pPr>
      <w:r>
        <w:t xml:space="preserve">26.4 per cent has been awarded under the </w:t>
      </w:r>
      <w:r w:rsidRPr="00BA7734">
        <w:rPr>
          <w:b/>
        </w:rPr>
        <w:t>Patients</w:t>
      </w:r>
      <w:r>
        <w:t xml:space="preserve"> theme, which aims to bring benefits to patients, including supporting life-changing clinical trials, funding innovative treatments and advanced health care and medical technologies,</w:t>
      </w:r>
    </w:p>
    <w:p w14:paraId="728D9279" w14:textId="77777777" w:rsidR="005B31AB" w:rsidRDefault="005B31AB" w:rsidP="00F11029">
      <w:pPr>
        <w:pStyle w:val="List"/>
      </w:pPr>
      <w:r w:rsidRPr="00A83412">
        <w:rPr>
          <w:rFonts w:cstheme="minorHAnsi"/>
        </w:rPr>
        <w:t>24</w:t>
      </w:r>
      <w:r>
        <w:t xml:space="preserve">.4 per cent has been awarded under the </w:t>
      </w:r>
      <w:r w:rsidRPr="00BA7734">
        <w:rPr>
          <w:b/>
        </w:rPr>
        <w:t>Research Missions</w:t>
      </w:r>
      <w:r>
        <w:t xml:space="preserve"> theme, which aims to tackle significant health challenges and enable the discovery of new medical interventions, diagnostic tools, treatments and devices, and</w:t>
      </w:r>
    </w:p>
    <w:p w14:paraId="3C39239E" w14:textId="77777777" w:rsidR="005B31AB" w:rsidRDefault="005B31AB" w:rsidP="00F11029">
      <w:pPr>
        <w:pStyle w:val="List"/>
      </w:pPr>
      <w:r>
        <w:t xml:space="preserve">16.2 per cent has been awarded under the </w:t>
      </w:r>
      <w:r w:rsidRPr="00BA7734">
        <w:rPr>
          <w:b/>
        </w:rPr>
        <w:t>Researchers</w:t>
      </w:r>
      <w:r>
        <w:t xml:space="preserve"> theme, which aims to support Australian researchers, including to help build their skills and capacity, support their research in priority areas and assist them to develop and bring new research discoveries to the market (Chart 2).</w:t>
      </w:r>
    </w:p>
    <w:p w14:paraId="77184162" w14:textId="77777777" w:rsidR="005B31AB" w:rsidRPr="004F6DB6" w:rsidRDefault="005B31AB" w:rsidP="001E182E">
      <w:pPr>
        <w:pStyle w:val="Bullet"/>
        <w:ind w:left="0" w:firstLine="0"/>
      </w:pPr>
      <w:r>
        <w:lastRenderedPageBreak/>
        <w:t>These trends reflect the relative proportions of funding provided to each theme under the MRFF 10-year Plan.</w:t>
      </w:r>
    </w:p>
    <w:p w14:paraId="78913666" w14:textId="77777777" w:rsidR="005B31AB" w:rsidRPr="000C50E3" w:rsidRDefault="005B31AB" w:rsidP="00593EA2">
      <w:pPr>
        <w:pStyle w:val="Caption"/>
      </w:pPr>
      <w:r>
        <w:t>Chart 2: Value of MRFF grants awarded by theme</w:t>
      </w:r>
    </w:p>
    <w:p w14:paraId="75E0D32C" w14:textId="77777777" w:rsidR="005B31AB" w:rsidRDefault="005B31AB" w:rsidP="005B31AB">
      <w:pPr>
        <w:keepNext/>
        <w:keepLines/>
        <w:spacing w:before="240"/>
      </w:pPr>
      <w:r>
        <w:rPr>
          <w:noProof/>
        </w:rPr>
        <w:drawing>
          <wp:inline distT="0" distB="0" distL="0" distR="0" wp14:anchorId="727293B8" wp14:editId="78451AF5">
            <wp:extent cx="5580000" cy="2389825"/>
            <wp:effectExtent l="0" t="0" r="1905" b="0"/>
            <wp:docPr id="106308389" name="Chart 1" descr="A graph illustrating the value of awarded grants by MRFF them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124362" w14:textId="77777777" w:rsidR="005B31AB" w:rsidRPr="00AF1367" w:rsidRDefault="005B31AB" w:rsidP="005B31AB">
      <w:pPr>
        <w:keepNext/>
        <w:keepLines/>
        <w:rPr>
          <w:sz w:val="20"/>
          <w:szCs w:val="20"/>
        </w:rPr>
      </w:pPr>
      <w:r w:rsidRPr="00AF1367">
        <w:rPr>
          <w:sz w:val="20"/>
          <w:szCs w:val="20"/>
        </w:rPr>
        <w:t xml:space="preserve">Source: </w:t>
      </w:r>
      <w:r>
        <w:rPr>
          <w:sz w:val="20"/>
          <w:szCs w:val="20"/>
        </w:rPr>
        <w:t xml:space="preserve">Data from the </w:t>
      </w:r>
      <w:r w:rsidRPr="00AF1367">
        <w:rPr>
          <w:sz w:val="20"/>
          <w:szCs w:val="20"/>
        </w:rPr>
        <w:t>Department of Health and Aged Care website</w:t>
      </w:r>
      <w:r w:rsidRPr="00AF1367">
        <w:rPr>
          <w:rStyle w:val="FootnoteReference"/>
          <w:sz w:val="20"/>
          <w:szCs w:val="20"/>
        </w:rPr>
        <w:footnoteReference w:id="20"/>
      </w:r>
      <w:r w:rsidRPr="00AF1367">
        <w:rPr>
          <w:sz w:val="20"/>
          <w:szCs w:val="20"/>
        </w:rPr>
        <w:t xml:space="preserve"> </w:t>
      </w:r>
    </w:p>
    <w:p w14:paraId="50AFDEF1" w14:textId="77777777" w:rsidR="005B31AB" w:rsidRDefault="005B31AB" w:rsidP="00BF35AC">
      <w:r>
        <w:t>Further details on</w:t>
      </w:r>
      <w:r w:rsidRPr="002C2D70">
        <w:t xml:space="preserve"> </w:t>
      </w:r>
      <w:r>
        <w:t xml:space="preserve">the allocation of funding across MRFF initiatives that have been funded are in </w:t>
      </w:r>
      <w:r w:rsidRPr="00466DC0">
        <w:t>Table 5.</w:t>
      </w:r>
    </w:p>
    <w:p w14:paraId="0608A350" w14:textId="77777777" w:rsidR="005B31AB" w:rsidRDefault="005B31AB" w:rsidP="00593EA2">
      <w:pPr>
        <w:pStyle w:val="Caption"/>
      </w:pPr>
      <w:r w:rsidRPr="00466DC0">
        <w:lastRenderedPageBreak/>
        <w:t>Table 5: Awarded</w:t>
      </w:r>
      <w:r>
        <w:t xml:space="preserve"> and announced MRFF grants by Theme and Initiative</w:t>
      </w:r>
    </w:p>
    <w:tbl>
      <w:tblPr>
        <w:tblW w:w="9393" w:type="dxa"/>
        <w:tblLook w:val="04A0" w:firstRow="1" w:lastRow="0" w:firstColumn="1" w:lastColumn="0" w:noHBand="0" w:noVBand="1"/>
      </w:tblPr>
      <w:tblGrid>
        <w:gridCol w:w="4957"/>
        <w:gridCol w:w="2409"/>
        <w:gridCol w:w="2027"/>
      </w:tblGrid>
      <w:tr w:rsidR="005B31AB" w:rsidRPr="00076576" w14:paraId="4ED27F7D" w14:textId="77777777" w:rsidTr="00593EA2">
        <w:trPr>
          <w:trHeight w:val="362"/>
          <w:tblHeader/>
        </w:trPr>
        <w:tc>
          <w:tcPr>
            <w:tcW w:w="495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46DECC9" w14:textId="77777777" w:rsidR="005B31AB" w:rsidRPr="00196193" w:rsidRDefault="005B31AB" w:rsidP="001834D0">
            <w:pPr>
              <w:keepNext/>
              <w:spacing w:after="0" w:line="240" w:lineRule="auto"/>
              <w:rPr>
                <w:rFonts w:ascii="Calibri" w:eastAsia="Times New Roman" w:hAnsi="Calibri" w:cs="Calibri"/>
                <w:b/>
                <w:bCs/>
                <w:color w:val="FFFFFF" w:themeColor="background1"/>
                <w:kern w:val="0"/>
                <w:sz w:val="20"/>
                <w:szCs w:val="20"/>
                <w:lang w:eastAsia="en-AU"/>
                <w14:ligatures w14:val="none"/>
              </w:rPr>
            </w:pPr>
            <w:r w:rsidRPr="00196193">
              <w:rPr>
                <w:rFonts w:ascii="Calibri" w:eastAsia="Times New Roman" w:hAnsi="Calibri" w:cs="Calibri"/>
                <w:b/>
                <w:bCs/>
                <w:color w:val="FFFFFF" w:themeColor="background1"/>
                <w:kern w:val="0"/>
                <w:sz w:val="20"/>
                <w:szCs w:val="20"/>
                <w:lang w:eastAsia="en-AU"/>
                <w14:ligatures w14:val="none"/>
              </w:rPr>
              <w:t>MRFF Theme and Initiative</w:t>
            </w:r>
          </w:p>
        </w:tc>
        <w:tc>
          <w:tcPr>
            <w:tcW w:w="2409" w:type="dxa"/>
            <w:tcBorders>
              <w:top w:val="single" w:sz="4" w:space="0" w:color="auto"/>
              <w:left w:val="nil"/>
              <w:bottom w:val="single" w:sz="4" w:space="0" w:color="auto"/>
              <w:right w:val="single" w:sz="4" w:space="0" w:color="auto"/>
            </w:tcBorders>
            <w:shd w:val="clear" w:color="auto" w:fill="0070C0"/>
            <w:noWrap/>
            <w:vAlign w:val="bottom"/>
            <w:hideMark/>
          </w:tcPr>
          <w:p w14:paraId="5821A1C0" w14:textId="77777777" w:rsidR="005B31AB" w:rsidRPr="00196193" w:rsidRDefault="005B31AB" w:rsidP="001834D0">
            <w:pPr>
              <w:keepNext/>
              <w:spacing w:after="0" w:line="240" w:lineRule="auto"/>
              <w:rPr>
                <w:rFonts w:ascii="Calibri" w:eastAsia="Times New Roman" w:hAnsi="Calibri" w:cs="Calibri"/>
                <w:b/>
                <w:bCs/>
                <w:color w:val="FFFFFF" w:themeColor="background1"/>
                <w:kern w:val="0"/>
                <w:sz w:val="20"/>
                <w:szCs w:val="20"/>
                <w:lang w:eastAsia="en-AU"/>
                <w14:ligatures w14:val="none"/>
              </w:rPr>
            </w:pPr>
            <w:r w:rsidRPr="00196193">
              <w:rPr>
                <w:rFonts w:ascii="Calibri" w:eastAsia="Times New Roman" w:hAnsi="Calibri" w:cs="Calibri"/>
                <w:b/>
                <w:bCs/>
                <w:color w:val="FFFFFF" w:themeColor="background1"/>
                <w:kern w:val="0"/>
                <w:sz w:val="20"/>
                <w:szCs w:val="20"/>
                <w:lang w:eastAsia="en-AU"/>
                <w14:ligatures w14:val="none"/>
              </w:rPr>
              <w:t>Number of grants</w:t>
            </w:r>
          </w:p>
        </w:tc>
        <w:tc>
          <w:tcPr>
            <w:tcW w:w="2027" w:type="dxa"/>
            <w:tcBorders>
              <w:top w:val="single" w:sz="4" w:space="0" w:color="auto"/>
              <w:left w:val="nil"/>
              <w:bottom w:val="single" w:sz="4" w:space="0" w:color="auto"/>
              <w:right w:val="single" w:sz="4" w:space="0" w:color="auto"/>
            </w:tcBorders>
            <w:shd w:val="clear" w:color="auto" w:fill="0070C0"/>
            <w:noWrap/>
            <w:vAlign w:val="bottom"/>
            <w:hideMark/>
          </w:tcPr>
          <w:p w14:paraId="1D472E93" w14:textId="77777777" w:rsidR="005B31AB" w:rsidRPr="00196193" w:rsidRDefault="005B31AB" w:rsidP="001834D0">
            <w:pPr>
              <w:keepNext/>
              <w:spacing w:after="0" w:line="240" w:lineRule="auto"/>
              <w:rPr>
                <w:rFonts w:ascii="Calibri" w:eastAsia="Times New Roman" w:hAnsi="Calibri" w:cs="Calibri"/>
                <w:b/>
                <w:bCs/>
                <w:color w:val="FFFFFF" w:themeColor="background1"/>
                <w:kern w:val="0"/>
                <w:sz w:val="20"/>
                <w:szCs w:val="20"/>
                <w:lang w:eastAsia="en-AU"/>
                <w14:ligatures w14:val="none"/>
              </w:rPr>
            </w:pPr>
            <w:r w:rsidRPr="00196193">
              <w:rPr>
                <w:rFonts w:ascii="Calibri" w:eastAsia="Times New Roman" w:hAnsi="Calibri" w:cs="Calibri"/>
                <w:b/>
                <w:bCs/>
                <w:color w:val="FFFFFF" w:themeColor="background1"/>
                <w:kern w:val="0"/>
                <w:sz w:val="20"/>
                <w:szCs w:val="20"/>
                <w:lang w:eastAsia="en-AU"/>
                <w14:ligatures w14:val="none"/>
              </w:rPr>
              <w:t>Value of grants ($)</w:t>
            </w:r>
          </w:p>
        </w:tc>
      </w:tr>
      <w:tr w:rsidR="005B31AB" w:rsidRPr="00076576" w14:paraId="32E6F337" w14:textId="77777777" w:rsidTr="001834D0">
        <w:trPr>
          <w:trHeight w:val="110"/>
        </w:trPr>
        <w:tc>
          <w:tcPr>
            <w:tcW w:w="9393" w:type="dxa"/>
            <w:gridSpan w:val="3"/>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bottom"/>
            <w:hideMark/>
          </w:tcPr>
          <w:p w14:paraId="7C71C030" w14:textId="77777777" w:rsidR="005B31AB" w:rsidRPr="00D211A9" w:rsidRDefault="005B31AB" w:rsidP="001834D0">
            <w:pPr>
              <w:keepNext/>
              <w:spacing w:after="0" w:line="240" w:lineRule="auto"/>
              <w:rPr>
                <w:rFonts w:ascii="Calibri" w:eastAsia="Times New Roman" w:hAnsi="Calibri" w:cs="Calibri"/>
                <w:b/>
                <w:bCs/>
                <w:color w:val="000000"/>
                <w:kern w:val="0"/>
                <w:sz w:val="20"/>
                <w:szCs w:val="20"/>
                <w:lang w:eastAsia="en-AU"/>
                <w14:ligatures w14:val="none"/>
              </w:rPr>
            </w:pPr>
            <w:r w:rsidRPr="00D211A9">
              <w:rPr>
                <w:rFonts w:ascii="Calibri" w:eastAsia="Times New Roman" w:hAnsi="Calibri" w:cs="Calibri"/>
                <w:b/>
                <w:bCs/>
                <w:color w:val="000000"/>
                <w:kern w:val="0"/>
                <w:sz w:val="20"/>
                <w:szCs w:val="20"/>
                <w:lang w:eastAsia="en-AU"/>
                <w14:ligatures w14:val="none"/>
              </w:rPr>
              <w:t>Patients</w:t>
            </w:r>
          </w:p>
        </w:tc>
      </w:tr>
      <w:tr w:rsidR="005B31AB" w:rsidRPr="00076576" w14:paraId="0BCA3C57" w14:textId="77777777" w:rsidTr="001834D0">
        <w:trPr>
          <w:trHeight w:val="11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10D4F88"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Clinical Trials Activity</w:t>
            </w:r>
          </w:p>
        </w:tc>
        <w:tc>
          <w:tcPr>
            <w:tcW w:w="2409" w:type="dxa"/>
            <w:tcBorders>
              <w:top w:val="nil"/>
              <w:left w:val="nil"/>
              <w:bottom w:val="single" w:sz="4" w:space="0" w:color="auto"/>
              <w:right w:val="single" w:sz="4" w:space="0" w:color="auto"/>
            </w:tcBorders>
            <w:shd w:val="clear" w:color="auto" w:fill="auto"/>
            <w:noWrap/>
            <w:vAlign w:val="bottom"/>
            <w:hideMark/>
          </w:tcPr>
          <w:p w14:paraId="56B10A58"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232</w:t>
            </w:r>
          </w:p>
        </w:tc>
        <w:tc>
          <w:tcPr>
            <w:tcW w:w="2027" w:type="dxa"/>
            <w:tcBorders>
              <w:top w:val="nil"/>
              <w:left w:val="nil"/>
              <w:bottom w:val="single" w:sz="4" w:space="0" w:color="auto"/>
              <w:right w:val="single" w:sz="4" w:space="0" w:color="auto"/>
            </w:tcBorders>
            <w:shd w:val="clear" w:color="auto" w:fill="auto"/>
            <w:noWrap/>
            <w:vAlign w:val="bottom"/>
            <w:hideMark/>
          </w:tcPr>
          <w:p w14:paraId="60E6A80F"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465,843,823.42</w:t>
            </w:r>
          </w:p>
        </w:tc>
      </w:tr>
      <w:tr w:rsidR="005B31AB" w:rsidRPr="00076576" w14:paraId="2ACDF652" w14:textId="77777777" w:rsidTr="001834D0">
        <w:trPr>
          <w:trHeight w:val="117"/>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87996DE"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Emerging Priorities and Consumer Driven Research</w:t>
            </w:r>
          </w:p>
        </w:tc>
        <w:tc>
          <w:tcPr>
            <w:tcW w:w="2409" w:type="dxa"/>
            <w:tcBorders>
              <w:top w:val="nil"/>
              <w:left w:val="nil"/>
              <w:bottom w:val="single" w:sz="4" w:space="0" w:color="auto"/>
              <w:right w:val="single" w:sz="4" w:space="0" w:color="auto"/>
            </w:tcBorders>
            <w:shd w:val="clear" w:color="auto" w:fill="auto"/>
            <w:noWrap/>
            <w:vAlign w:val="bottom"/>
            <w:hideMark/>
          </w:tcPr>
          <w:p w14:paraId="1B9DA482"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167</w:t>
            </w:r>
          </w:p>
        </w:tc>
        <w:tc>
          <w:tcPr>
            <w:tcW w:w="2027" w:type="dxa"/>
            <w:tcBorders>
              <w:top w:val="nil"/>
              <w:left w:val="nil"/>
              <w:bottom w:val="single" w:sz="4" w:space="0" w:color="auto"/>
              <w:right w:val="single" w:sz="4" w:space="0" w:color="auto"/>
            </w:tcBorders>
            <w:shd w:val="clear" w:color="auto" w:fill="auto"/>
            <w:noWrap/>
            <w:vAlign w:val="bottom"/>
            <w:hideMark/>
          </w:tcPr>
          <w:p w14:paraId="09BCCB3F"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482,856,742.69</w:t>
            </w:r>
          </w:p>
        </w:tc>
      </w:tr>
      <w:tr w:rsidR="005B31AB" w:rsidRPr="00076576" w14:paraId="47FA30FB" w14:textId="77777777" w:rsidTr="001834D0">
        <w:trPr>
          <w:trHeight w:val="121"/>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A6F77BD"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Global Health</w:t>
            </w:r>
          </w:p>
        </w:tc>
        <w:tc>
          <w:tcPr>
            <w:tcW w:w="2409" w:type="dxa"/>
            <w:tcBorders>
              <w:top w:val="nil"/>
              <w:left w:val="nil"/>
              <w:bottom w:val="single" w:sz="4" w:space="0" w:color="auto"/>
              <w:right w:val="single" w:sz="4" w:space="0" w:color="auto"/>
            </w:tcBorders>
            <w:shd w:val="clear" w:color="auto" w:fill="auto"/>
            <w:noWrap/>
            <w:vAlign w:val="bottom"/>
            <w:hideMark/>
          </w:tcPr>
          <w:p w14:paraId="6151603B"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12</w:t>
            </w:r>
          </w:p>
        </w:tc>
        <w:tc>
          <w:tcPr>
            <w:tcW w:w="2027" w:type="dxa"/>
            <w:tcBorders>
              <w:top w:val="nil"/>
              <w:left w:val="nil"/>
              <w:bottom w:val="single" w:sz="4" w:space="0" w:color="auto"/>
              <w:right w:val="single" w:sz="4" w:space="0" w:color="auto"/>
            </w:tcBorders>
            <w:shd w:val="clear" w:color="auto" w:fill="auto"/>
            <w:noWrap/>
            <w:vAlign w:val="bottom"/>
            <w:hideMark/>
          </w:tcPr>
          <w:p w14:paraId="09E597B8"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22,107,352.99</w:t>
            </w:r>
          </w:p>
        </w:tc>
      </w:tr>
      <w:tr w:rsidR="005B31AB" w:rsidRPr="00076576" w14:paraId="017CB369" w14:textId="77777777" w:rsidTr="001834D0">
        <w:trPr>
          <w:trHeight w:val="69"/>
        </w:trPr>
        <w:tc>
          <w:tcPr>
            <w:tcW w:w="9393" w:type="dxa"/>
            <w:gridSpan w:val="3"/>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bottom"/>
            <w:hideMark/>
          </w:tcPr>
          <w:p w14:paraId="6435DD6E" w14:textId="77777777" w:rsidR="005B31AB" w:rsidRPr="00740646" w:rsidRDefault="005B31AB" w:rsidP="001834D0">
            <w:pPr>
              <w:keepNext/>
              <w:spacing w:after="0" w:line="240" w:lineRule="auto"/>
              <w:rPr>
                <w:rFonts w:ascii="Calibri" w:eastAsia="Times New Roman" w:hAnsi="Calibri" w:cs="Calibri"/>
                <w:b/>
                <w:bCs/>
                <w:color w:val="000000"/>
                <w:kern w:val="0"/>
                <w:sz w:val="20"/>
                <w:szCs w:val="20"/>
                <w:lang w:eastAsia="en-AU"/>
                <w14:ligatures w14:val="none"/>
              </w:rPr>
            </w:pPr>
            <w:r w:rsidRPr="00740646">
              <w:rPr>
                <w:rFonts w:ascii="Calibri" w:eastAsia="Times New Roman" w:hAnsi="Calibri" w:cs="Calibri"/>
                <w:b/>
                <w:bCs/>
                <w:color w:val="000000"/>
                <w:kern w:val="0"/>
                <w:sz w:val="20"/>
                <w:szCs w:val="20"/>
                <w:lang w:eastAsia="en-AU"/>
                <w14:ligatures w14:val="none"/>
              </w:rPr>
              <w:t>Researchers</w:t>
            </w:r>
          </w:p>
        </w:tc>
      </w:tr>
      <w:tr w:rsidR="005B31AB" w:rsidRPr="00076576" w14:paraId="139705CC" w14:textId="77777777" w:rsidTr="001834D0">
        <w:trPr>
          <w:trHeight w:val="157"/>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7FB6C95"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Clinician Researchers</w:t>
            </w:r>
          </w:p>
        </w:tc>
        <w:tc>
          <w:tcPr>
            <w:tcW w:w="2409" w:type="dxa"/>
            <w:tcBorders>
              <w:top w:val="nil"/>
              <w:left w:val="nil"/>
              <w:bottom w:val="single" w:sz="4" w:space="0" w:color="auto"/>
              <w:right w:val="single" w:sz="4" w:space="0" w:color="auto"/>
            </w:tcBorders>
            <w:shd w:val="clear" w:color="auto" w:fill="auto"/>
            <w:noWrap/>
            <w:vAlign w:val="bottom"/>
            <w:hideMark/>
          </w:tcPr>
          <w:p w14:paraId="738154C3"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159</w:t>
            </w:r>
          </w:p>
        </w:tc>
        <w:tc>
          <w:tcPr>
            <w:tcW w:w="2027" w:type="dxa"/>
            <w:tcBorders>
              <w:top w:val="nil"/>
              <w:left w:val="nil"/>
              <w:bottom w:val="single" w:sz="4" w:space="0" w:color="auto"/>
              <w:right w:val="single" w:sz="4" w:space="0" w:color="auto"/>
            </w:tcBorders>
            <w:shd w:val="clear" w:color="auto" w:fill="auto"/>
            <w:noWrap/>
            <w:vAlign w:val="bottom"/>
            <w:hideMark/>
          </w:tcPr>
          <w:p w14:paraId="439DB0DE"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153,486,797.56</w:t>
            </w:r>
          </w:p>
        </w:tc>
      </w:tr>
      <w:tr w:rsidR="005B31AB" w:rsidRPr="00076576" w14:paraId="2AB9D6F2" w14:textId="77777777" w:rsidTr="001834D0">
        <w:trPr>
          <w:trHeight w:val="6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3C63216"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Early to Mid-Career Researchers</w:t>
            </w:r>
          </w:p>
        </w:tc>
        <w:tc>
          <w:tcPr>
            <w:tcW w:w="2409" w:type="dxa"/>
            <w:tcBorders>
              <w:top w:val="nil"/>
              <w:left w:val="nil"/>
              <w:bottom w:val="single" w:sz="4" w:space="0" w:color="auto"/>
              <w:right w:val="single" w:sz="4" w:space="0" w:color="auto"/>
            </w:tcBorders>
            <w:shd w:val="clear" w:color="auto" w:fill="auto"/>
            <w:noWrap/>
            <w:vAlign w:val="bottom"/>
            <w:hideMark/>
          </w:tcPr>
          <w:p w14:paraId="057C3AB5"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48</w:t>
            </w:r>
          </w:p>
        </w:tc>
        <w:tc>
          <w:tcPr>
            <w:tcW w:w="2027" w:type="dxa"/>
            <w:tcBorders>
              <w:top w:val="nil"/>
              <w:left w:val="nil"/>
              <w:bottom w:val="single" w:sz="4" w:space="0" w:color="auto"/>
              <w:right w:val="single" w:sz="4" w:space="0" w:color="auto"/>
            </w:tcBorders>
            <w:shd w:val="clear" w:color="auto" w:fill="auto"/>
            <w:noWrap/>
            <w:vAlign w:val="bottom"/>
            <w:hideMark/>
          </w:tcPr>
          <w:p w14:paraId="09E4D486"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85,136,565.07</w:t>
            </w:r>
          </w:p>
        </w:tc>
      </w:tr>
      <w:tr w:rsidR="005B31AB" w:rsidRPr="00076576" w14:paraId="56A1387D" w14:textId="77777777" w:rsidTr="001834D0">
        <w:trPr>
          <w:trHeight w:val="6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677D995"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Frontier Health and Medical Research</w:t>
            </w:r>
          </w:p>
        </w:tc>
        <w:tc>
          <w:tcPr>
            <w:tcW w:w="2409" w:type="dxa"/>
            <w:tcBorders>
              <w:top w:val="nil"/>
              <w:left w:val="nil"/>
              <w:bottom w:val="single" w:sz="4" w:space="0" w:color="auto"/>
              <w:right w:val="single" w:sz="4" w:space="0" w:color="auto"/>
            </w:tcBorders>
            <w:shd w:val="clear" w:color="auto" w:fill="auto"/>
            <w:noWrap/>
            <w:vAlign w:val="bottom"/>
            <w:hideMark/>
          </w:tcPr>
          <w:p w14:paraId="2EE2F089"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61</w:t>
            </w:r>
          </w:p>
        </w:tc>
        <w:tc>
          <w:tcPr>
            <w:tcW w:w="2027" w:type="dxa"/>
            <w:tcBorders>
              <w:top w:val="nil"/>
              <w:left w:val="nil"/>
              <w:bottom w:val="single" w:sz="4" w:space="0" w:color="auto"/>
              <w:right w:val="single" w:sz="4" w:space="0" w:color="auto"/>
            </w:tcBorders>
            <w:shd w:val="clear" w:color="auto" w:fill="auto"/>
            <w:noWrap/>
            <w:vAlign w:val="bottom"/>
            <w:hideMark/>
          </w:tcPr>
          <w:p w14:paraId="53329594"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325,030,464.73</w:t>
            </w:r>
          </w:p>
        </w:tc>
      </w:tr>
      <w:tr w:rsidR="005B31AB" w:rsidRPr="00076576" w14:paraId="174F438C" w14:textId="77777777" w:rsidTr="001834D0">
        <w:trPr>
          <w:trHeight w:val="362"/>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200F891"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Researcher Exchange and Development Within Industry</w:t>
            </w:r>
          </w:p>
        </w:tc>
        <w:tc>
          <w:tcPr>
            <w:tcW w:w="2409" w:type="dxa"/>
            <w:tcBorders>
              <w:top w:val="nil"/>
              <w:left w:val="nil"/>
              <w:bottom w:val="single" w:sz="4" w:space="0" w:color="auto"/>
              <w:right w:val="single" w:sz="4" w:space="0" w:color="auto"/>
            </w:tcBorders>
            <w:shd w:val="clear" w:color="auto" w:fill="auto"/>
            <w:noWrap/>
            <w:vAlign w:val="bottom"/>
            <w:hideMark/>
          </w:tcPr>
          <w:p w14:paraId="7A4C8E64"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1</w:t>
            </w:r>
          </w:p>
        </w:tc>
        <w:tc>
          <w:tcPr>
            <w:tcW w:w="2027" w:type="dxa"/>
            <w:tcBorders>
              <w:top w:val="nil"/>
              <w:left w:val="nil"/>
              <w:bottom w:val="single" w:sz="4" w:space="0" w:color="auto"/>
              <w:right w:val="single" w:sz="4" w:space="0" w:color="auto"/>
            </w:tcBorders>
            <w:shd w:val="clear" w:color="auto" w:fill="auto"/>
            <w:noWrap/>
            <w:vAlign w:val="bottom"/>
            <w:hideMark/>
          </w:tcPr>
          <w:p w14:paraId="65FF899D"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32,000,000.00</w:t>
            </w:r>
          </w:p>
        </w:tc>
      </w:tr>
      <w:tr w:rsidR="005B31AB" w:rsidRPr="00076576" w14:paraId="48FB7674" w14:textId="77777777" w:rsidTr="001834D0">
        <w:trPr>
          <w:trHeight w:val="69"/>
        </w:trPr>
        <w:tc>
          <w:tcPr>
            <w:tcW w:w="9393"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56DF20D5" w14:textId="77777777" w:rsidR="005B31AB" w:rsidRPr="00740646" w:rsidRDefault="005B31AB" w:rsidP="001834D0">
            <w:pPr>
              <w:keepNext/>
              <w:spacing w:after="0" w:line="240" w:lineRule="auto"/>
              <w:rPr>
                <w:rFonts w:ascii="Calibri" w:eastAsia="Times New Roman" w:hAnsi="Calibri" w:cs="Calibri"/>
                <w:b/>
                <w:bCs/>
                <w:color w:val="000000"/>
                <w:kern w:val="0"/>
                <w:sz w:val="20"/>
                <w:szCs w:val="20"/>
                <w:lang w:eastAsia="en-AU"/>
                <w14:ligatures w14:val="none"/>
              </w:rPr>
            </w:pPr>
            <w:r w:rsidRPr="00740646">
              <w:rPr>
                <w:rFonts w:ascii="Calibri" w:eastAsia="Times New Roman" w:hAnsi="Calibri" w:cs="Calibri"/>
                <w:b/>
                <w:bCs/>
                <w:color w:val="000000"/>
                <w:kern w:val="0"/>
                <w:sz w:val="20"/>
                <w:szCs w:val="20"/>
                <w:lang w:eastAsia="en-AU"/>
                <w14:ligatures w14:val="none"/>
              </w:rPr>
              <w:t>Research Missions</w:t>
            </w:r>
          </w:p>
        </w:tc>
      </w:tr>
      <w:tr w:rsidR="005B31AB" w:rsidRPr="00076576" w14:paraId="52CFD83B" w14:textId="77777777" w:rsidTr="001834D0">
        <w:trPr>
          <w:trHeight w:val="6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1FC0945"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Australian Brain Cancer Mission</w:t>
            </w:r>
          </w:p>
        </w:tc>
        <w:tc>
          <w:tcPr>
            <w:tcW w:w="2409" w:type="dxa"/>
            <w:tcBorders>
              <w:top w:val="nil"/>
              <w:left w:val="nil"/>
              <w:bottom w:val="single" w:sz="4" w:space="0" w:color="auto"/>
              <w:right w:val="single" w:sz="4" w:space="0" w:color="auto"/>
            </w:tcBorders>
            <w:shd w:val="clear" w:color="auto" w:fill="auto"/>
            <w:noWrap/>
            <w:vAlign w:val="bottom"/>
            <w:hideMark/>
          </w:tcPr>
          <w:p w14:paraId="6CFC80B1"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12</w:t>
            </w:r>
          </w:p>
        </w:tc>
        <w:tc>
          <w:tcPr>
            <w:tcW w:w="2027" w:type="dxa"/>
            <w:tcBorders>
              <w:top w:val="nil"/>
              <w:left w:val="nil"/>
              <w:bottom w:val="single" w:sz="4" w:space="0" w:color="auto"/>
              <w:right w:val="single" w:sz="4" w:space="0" w:color="auto"/>
            </w:tcBorders>
            <w:shd w:val="clear" w:color="auto" w:fill="auto"/>
            <w:noWrap/>
            <w:vAlign w:val="bottom"/>
            <w:hideMark/>
          </w:tcPr>
          <w:p w14:paraId="2DE20468"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33,244,938.94</w:t>
            </w:r>
          </w:p>
        </w:tc>
      </w:tr>
      <w:tr w:rsidR="005B31AB" w:rsidRPr="00076576" w14:paraId="1C823C6C" w14:textId="77777777" w:rsidTr="001834D0">
        <w:trPr>
          <w:trHeight w:val="8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AA73018"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Cardiovascular Health Mission</w:t>
            </w:r>
          </w:p>
        </w:tc>
        <w:tc>
          <w:tcPr>
            <w:tcW w:w="2409" w:type="dxa"/>
            <w:tcBorders>
              <w:top w:val="nil"/>
              <w:left w:val="nil"/>
              <w:bottom w:val="single" w:sz="4" w:space="0" w:color="auto"/>
              <w:right w:val="single" w:sz="4" w:space="0" w:color="auto"/>
            </w:tcBorders>
            <w:shd w:val="clear" w:color="auto" w:fill="auto"/>
            <w:noWrap/>
            <w:vAlign w:val="bottom"/>
            <w:hideMark/>
          </w:tcPr>
          <w:p w14:paraId="4AECC855"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96</w:t>
            </w:r>
          </w:p>
        </w:tc>
        <w:tc>
          <w:tcPr>
            <w:tcW w:w="2027" w:type="dxa"/>
            <w:tcBorders>
              <w:top w:val="nil"/>
              <w:left w:val="nil"/>
              <w:bottom w:val="single" w:sz="4" w:space="0" w:color="auto"/>
              <w:right w:val="single" w:sz="4" w:space="0" w:color="auto"/>
            </w:tcBorders>
            <w:shd w:val="clear" w:color="auto" w:fill="auto"/>
            <w:noWrap/>
            <w:vAlign w:val="bottom"/>
            <w:hideMark/>
          </w:tcPr>
          <w:p w14:paraId="78CE46E2"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138,029,304.43</w:t>
            </w:r>
          </w:p>
        </w:tc>
      </w:tr>
      <w:tr w:rsidR="005B31AB" w:rsidRPr="00076576" w14:paraId="5A41F25A" w14:textId="77777777" w:rsidTr="001834D0">
        <w:trPr>
          <w:trHeight w:val="7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B54B980"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Dementia, Ageing and Aged Care Mission</w:t>
            </w:r>
          </w:p>
        </w:tc>
        <w:tc>
          <w:tcPr>
            <w:tcW w:w="2409" w:type="dxa"/>
            <w:tcBorders>
              <w:top w:val="nil"/>
              <w:left w:val="nil"/>
              <w:bottom w:val="single" w:sz="4" w:space="0" w:color="auto"/>
              <w:right w:val="single" w:sz="4" w:space="0" w:color="auto"/>
            </w:tcBorders>
            <w:shd w:val="clear" w:color="auto" w:fill="auto"/>
            <w:noWrap/>
            <w:vAlign w:val="bottom"/>
            <w:hideMark/>
          </w:tcPr>
          <w:p w14:paraId="0C5D3B2B"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67</w:t>
            </w:r>
          </w:p>
        </w:tc>
        <w:tc>
          <w:tcPr>
            <w:tcW w:w="2027" w:type="dxa"/>
            <w:tcBorders>
              <w:top w:val="nil"/>
              <w:left w:val="nil"/>
              <w:bottom w:val="single" w:sz="4" w:space="0" w:color="auto"/>
              <w:right w:val="single" w:sz="4" w:space="0" w:color="auto"/>
            </w:tcBorders>
            <w:shd w:val="clear" w:color="auto" w:fill="auto"/>
            <w:noWrap/>
            <w:vAlign w:val="bottom"/>
            <w:hideMark/>
          </w:tcPr>
          <w:p w14:paraId="6FB3A806"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105,280,889.74</w:t>
            </w:r>
          </w:p>
        </w:tc>
      </w:tr>
      <w:tr w:rsidR="005B31AB" w:rsidRPr="00076576" w14:paraId="639DF156" w14:textId="77777777" w:rsidTr="001834D0">
        <w:trPr>
          <w:trHeight w:val="9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EFB506C"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Genomics Health Futures Mission</w:t>
            </w:r>
          </w:p>
        </w:tc>
        <w:tc>
          <w:tcPr>
            <w:tcW w:w="2409" w:type="dxa"/>
            <w:tcBorders>
              <w:top w:val="nil"/>
              <w:left w:val="nil"/>
              <w:bottom w:val="single" w:sz="4" w:space="0" w:color="auto"/>
              <w:right w:val="single" w:sz="4" w:space="0" w:color="auto"/>
            </w:tcBorders>
            <w:shd w:val="clear" w:color="auto" w:fill="auto"/>
            <w:noWrap/>
            <w:vAlign w:val="bottom"/>
            <w:hideMark/>
          </w:tcPr>
          <w:p w14:paraId="7A48FE05"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96</w:t>
            </w:r>
          </w:p>
        </w:tc>
        <w:tc>
          <w:tcPr>
            <w:tcW w:w="2027" w:type="dxa"/>
            <w:tcBorders>
              <w:top w:val="nil"/>
              <w:left w:val="nil"/>
              <w:bottom w:val="single" w:sz="4" w:space="0" w:color="auto"/>
              <w:right w:val="single" w:sz="4" w:space="0" w:color="auto"/>
            </w:tcBorders>
            <w:shd w:val="clear" w:color="auto" w:fill="auto"/>
            <w:noWrap/>
            <w:vAlign w:val="bottom"/>
            <w:hideMark/>
          </w:tcPr>
          <w:p w14:paraId="5D460E42"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300,285,751.33</w:t>
            </w:r>
          </w:p>
        </w:tc>
      </w:tr>
      <w:tr w:rsidR="005B31AB" w:rsidRPr="00076576" w14:paraId="2292CAB7" w14:textId="77777777" w:rsidTr="001834D0">
        <w:trPr>
          <w:trHeight w:val="97"/>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D4057A5"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Indigenous Health Research Fund</w:t>
            </w:r>
          </w:p>
        </w:tc>
        <w:tc>
          <w:tcPr>
            <w:tcW w:w="2409" w:type="dxa"/>
            <w:tcBorders>
              <w:top w:val="nil"/>
              <w:left w:val="nil"/>
              <w:bottom w:val="single" w:sz="4" w:space="0" w:color="auto"/>
              <w:right w:val="single" w:sz="4" w:space="0" w:color="auto"/>
            </w:tcBorders>
            <w:shd w:val="clear" w:color="auto" w:fill="auto"/>
            <w:noWrap/>
            <w:vAlign w:val="bottom"/>
            <w:hideMark/>
          </w:tcPr>
          <w:p w14:paraId="686F21E4"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63</w:t>
            </w:r>
          </w:p>
        </w:tc>
        <w:tc>
          <w:tcPr>
            <w:tcW w:w="2027" w:type="dxa"/>
            <w:tcBorders>
              <w:top w:val="nil"/>
              <w:left w:val="nil"/>
              <w:bottom w:val="single" w:sz="4" w:space="0" w:color="auto"/>
              <w:right w:val="single" w:sz="4" w:space="0" w:color="auto"/>
            </w:tcBorders>
            <w:shd w:val="clear" w:color="auto" w:fill="auto"/>
            <w:noWrap/>
            <w:vAlign w:val="bottom"/>
            <w:hideMark/>
          </w:tcPr>
          <w:p w14:paraId="0A741693"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118,051,312.57</w:t>
            </w:r>
          </w:p>
        </w:tc>
      </w:tr>
      <w:tr w:rsidR="005B31AB" w:rsidRPr="00076576" w14:paraId="30AADF15" w14:textId="77777777" w:rsidTr="001834D0">
        <w:trPr>
          <w:trHeight w:val="101"/>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47782A1"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Million Minds Mental Health Research Mission</w:t>
            </w:r>
          </w:p>
        </w:tc>
        <w:tc>
          <w:tcPr>
            <w:tcW w:w="2409" w:type="dxa"/>
            <w:tcBorders>
              <w:top w:val="nil"/>
              <w:left w:val="nil"/>
              <w:bottom w:val="single" w:sz="4" w:space="0" w:color="auto"/>
              <w:right w:val="single" w:sz="4" w:space="0" w:color="auto"/>
            </w:tcBorders>
            <w:shd w:val="clear" w:color="auto" w:fill="auto"/>
            <w:noWrap/>
            <w:vAlign w:val="bottom"/>
            <w:hideMark/>
          </w:tcPr>
          <w:p w14:paraId="27DB4483"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36</w:t>
            </w:r>
          </w:p>
        </w:tc>
        <w:tc>
          <w:tcPr>
            <w:tcW w:w="2027" w:type="dxa"/>
            <w:tcBorders>
              <w:top w:val="nil"/>
              <w:left w:val="nil"/>
              <w:bottom w:val="single" w:sz="4" w:space="0" w:color="auto"/>
              <w:right w:val="single" w:sz="4" w:space="0" w:color="auto"/>
            </w:tcBorders>
            <w:shd w:val="clear" w:color="auto" w:fill="auto"/>
            <w:noWrap/>
            <w:vAlign w:val="bottom"/>
            <w:hideMark/>
          </w:tcPr>
          <w:p w14:paraId="21E03055"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87,181,993.33</w:t>
            </w:r>
          </w:p>
        </w:tc>
      </w:tr>
      <w:tr w:rsidR="005B31AB" w:rsidRPr="00076576" w14:paraId="6C4BC8B7" w14:textId="77777777" w:rsidTr="001834D0">
        <w:trPr>
          <w:trHeight w:val="10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3CF6EE"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Stem Cell Therapies Mission</w:t>
            </w:r>
          </w:p>
        </w:tc>
        <w:tc>
          <w:tcPr>
            <w:tcW w:w="2409" w:type="dxa"/>
            <w:tcBorders>
              <w:top w:val="nil"/>
              <w:left w:val="nil"/>
              <w:bottom w:val="single" w:sz="4" w:space="0" w:color="auto"/>
              <w:right w:val="single" w:sz="4" w:space="0" w:color="auto"/>
            </w:tcBorders>
            <w:shd w:val="clear" w:color="auto" w:fill="auto"/>
            <w:noWrap/>
            <w:vAlign w:val="bottom"/>
            <w:hideMark/>
          </w:tcPr>
          <w:p w14:paraId="0BD9DB2F"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53</w:t>
            </w:r>
          </w:p>
        </w:tc>
        <w:tc>
          <w:tcPr>
            <w:tcW w:w="2027" w:type="dxa"/>
            <w:tcBorders>
              <w:top w:val="nil"/>
              <w:left w:val="nil"/>
              <w:bottom w:val="single" w:sz="4" w:space="0" w:color="auto"/>
              <w:right w:val="single" w:sz="4" w:space="0" w:color="auto"/>
            </w:tcBorders>
            <w:shd w:val="clear" w:color="auto" w:fill="auto"/>
            <w:noWrap/>
            <w:vAlign w:val="bottom"/>
            <w:hideMark/>
          </w:tcPr>
          <w:p w14:paraId="3FBA61EE"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94,598,510.81</w:t>
            </w:r>
          </w:p>
        </w:tc>
      </w:tr>
      <w:tr w:rsidR="005B31AB" w:rsidRPr="00076576" w14:paraId="0B8CCCFC" w14:textId="77777777" w:rsidTr="001834D0">
        <w:trPr>
          <w:trHeight w:val="10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2600BD8"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Traumatic Brain Injury Mission</w:t>
            </w:r>
          </w:p>
        </w:tc>
        <w:tc>
          <w:tcPr>
            <w:tcW w:w="2409" w:type="dxa"/>
            <w:tcBorders>
              <w:top w:val="nil"/>
              <w:left w:val="nil"/>
              <w:bottom w:val="single" w:sz="4" w:space="0" w:color="auto"/>
              <w:right w:val="single" w:sz="4" w:space="0" w:color="auto"/>
            </w:tcBorders>
            <w:shd w:val="clear" w:color="auto" w:fill="auto"/>
            <w:noWrap/>
            <w:vAlign w:val="bottom"/>
            <w:hideMark/>
          </w:tcPr>
          <w:p w14:paraId="29B31E95"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14</w:t>
            </w:r>
          </w:p>
        </w:tc>
        <w:tc>
          <w:tcPr>
            <w:tcW w:w="2027" w:type="dxa"/>
            <w:tcBorders>
              <w:top w:val="nil"/>
              <w:left w:val="nil"/>
              <w:bottom w:val="single" w:sz="4" w:space="0" w:color="auto"/>
              <w:right w:val="single" w:sz="4" w:space="0" w:color="auto"/>
            </w:tcBorders>
            <w:shd w:val="clear" w:color="auto" w:fill="auto"/>
            <w:noWrap/>
            <w:vAlign w:val="bottom"/>
            <w:hideMark/>
          </w:tcPr>
          <w:p w14:paraId="57A90E0C"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18,267,342.35</w:t>
            </w:r>
          </w:p>
        </w:tc>
      </w:tr>
      <w:tr w:rsidR="005B31AB" w:rsidRPr="00076576" w14:paraId="34EF9F6D" w14:textId="77777777" w:rsidTr="001834D0">
        <w:trPr>
          <w:trHeight w:val="217"/>
        </w:trPr>
        <w:tc>
          <w:tcPr>
            <w:tcW w:w="9393" w:type="dxa"/>
            <w:gridSpan w:val="3"/>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bottom"/>
            <w:hideMark/>
          </w:tcPr>
          <w:p w14:paraId="33A0A53B" w14:textId="77777777" w:rsidR="005B31AB" w:rsidRPr="00740646" w:rsidRDefault="005B31AB" w:rsidP="001834D0">
            <w:pPr>
              <w:keepNext/>
              <w:spacing w:after="0" w:line="240" w:lineRule="auto"/>
              <w:rPr>
                <w:rFonts w:ascii="Calibri" w:eastAsia="Times New Roman" w:hAnsi="Calibri" w:cs="Calibri"/>
                <w:b/>
                <w:bCs/>
                <w:color w:val="000000"/>
                <w:kern w:val="0"/>
                <w:sz w:val="20"/>
                <w:szCs w:val="20"/>
                <w:lang w:eastAsia="en-AU"/>
                <w14:ligatures w14:val="none"/>
              </w:rPr>
            </w:pPr>
            <w:r w:rsidRPr="00740646">
              <w:rPr>
                <w:rFonts w:ascii="Calibri" w:eastAsia="Times New Roman" w:hAnsi="Calibri" w:cs="Calibri"/>
                <w:b/>
                <w:bCs/>
                <w:color w:val="000000"/>
                <w:kern w:val="0"/>
                <w:sz w:val="20"/>
                <w:szCs w:val="20"/>
                <w:lang w:eastAsia="en-AU"/>
                <w14:ligatures w14:val="none"/>
              </w:rPr>
              <w:t>Research Translation</w:t>
            </w:r>
          </w:p>
        </w:tc>
      </w:tr>
      <w:tr w:rsidR="005B31AB" w:rsidRPr="00076576" w14:paraId="4221FBD3" w14:textId="77777777" w:rsidTr="001834D0">
        <w:trPr>
          <w:trHeight w:val="14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7C3EE04"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National Critical Research Infrastructure</w:t>
            </w:r>
          </w:p>
        </w:tc>
        <w:tc>
          <w:tcPr>
            <w:tcW w:w="2409" w:type="dxa"/>
            <w:tcBorders>
              <w:top w:val="nil"/>
              <w:left w:val="nil"/>
              <w:bottom w:val="single" w:sz="4" w:space="0" w:color="auto"/>
              <w:right w:val="single" w:sz="4" w:space="0" w:color="auto"/>
            </w:tcBorders>
            <w:shd w:val="clear" w:color="auto" w:fill="auto"/>
            <w:noWrap/>
            <w:vAlign w:val="bottom"/>
            <w:hideMark/>
          </w:tcPr>
          <w:p w14:paraId="628EEBFD"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64</w:t>
            </w:r>
          </w:p>
        </w:tc>
        <w:tc>
          <w:tcPr>
            <w:tcW w:w="2027" w:type="dxa"/>
            <w:tcBorders>
              <w:top w:val="nil"/>
              <w:left w:val="nil"/>
              <w:bottom w:val="single" w:sz="4" w:space="0" w:color="auto"/>
              <w:right w:val="single" w:sz="4" w:space="0" w:color="auto"/>
            </w:tcBorders>
            <w:shd w:val="clear" w:color="auto" w:fill="auto"/>
            <w:noWrap/>
            <w:vAlign w:val="bottom"/>
            <w:hideMark/>
          </w:tcPr>
          <w:p w14:paraId="20002F44"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351,407,120.40</w:t>
            </w:r>
          </w:p>
        </w:tc>
      </w:tr>
      <w:tr w:rsidR="005B31AB" w:rsidRPr="00076576" w14:paraId="3036C622" w14:textId="77777777" w:rsidTr="001834D0">
        <w:trPr>
          <w:trHeight w:val="15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CC6A95E"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Medical Research Commercialisation</w:t>
            </w:r>
          </w:p>
        </w:tc>
        <w:tc>
          <w:tcPr>
            <w:tcW w:w="2409" w:type="dxa"/>
            <w:tcBorders>
              <w:top w:val="nil"/>
              <w:left w:val="nil"/>
              <w:bottom w:val="single" w:sz="4" w:space="0" w:color="auto"/>
              <w:right w:val="single" w:sz="4" w:space="0" w:color="auto"/>
            </w:tcBorders>
            <w:shd w:val="clear" w:color="auto" w:fill="auto"/>
            <w:noWrap/>
            <w:vAlign w:val="bottom"/>
            <w:hideMark/>
          </w:tcPr>
          <w:p w14:paraId="5C5C3B36"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9</w:t>
            </w:r>
          </w:p>
        </w:tc>
        <w:tc>
          <w:tcPr>
            <w:tcW w:w="2027" w:type="dxa"/>
            <w:tcBorders>
              <w:top w:val="nil"/>
              <w:left w:val="nil"/>
              <w:bottom w:val="single" w:sz="4" w:space="0" w:color="auto"/>
              <w:right w:val="single" w:sz="4" w:space="0" w:color="auto"/>
            </w:tcBorders>
            <w:shd w:val="clear" w:color="auto" w:fill="auto"/>
            <w:noWrap/>
            <w:vAlign w:val="bottom"/>
            <w:hideMark/>
          </w:tcPr>
          <w:p w14:paraId="59586C12"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246,300,000.00</w:t>
            </w:r>
          </w:p>
        </w:tc>
      </w:tr>
      <w:tr w:rsidR="005B31AB" w:rsidRPr="00076576" w14:paraId="1573AFD3" w14:textId="77777777" w:rsidTr="001834D0">
        <w:trPr>
          <w:trHeight w:val="15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05BC6CA"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Preventive and Public Health Research</w:t>
            </w:r>
          </w:p>
        </w:tc>
        <w:tc>
          <w:tcPr>
            <w:tcW w:w="2409" w:type="dxa"/>
            <w:tcBorders>
              <w:top w:val="nil"/>
              <w:left w:val="nil"/>
              <w:bottom w:val="single" w:sz="4" w:space="0" w:color="auto"/>
              <w:right w:val="single" w:sz="4" w:space="0" w:color="auto"/>
            </w:tcBorders>
            <w:shd w:val="clear" w:color="auto" w:fill="auto"/>
            <w:noWrap/>
            <w:vAlign w:val="bottom"/>
            <w:hideMark/>
          </w:tcPr>
          <w:p w14:paraId="1BE61551"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204</w:t>
            </w:r>
          </w:p>
        </w:tc>
        <w:tc>
          <w:tcPr>
            <w:tcW w:w="2027" w:type="dxa"/>
            <w:tcBorders>
              <w:top w:val="nil"/>
              <w:left w:val="nil"/>
              <w:bottom w:val="single" w:sz="4" w:space="0" w:color="auto"/>
              <w:right w:val="single" w:sz="4" w:space="0" w:color="auto"/>
            </w:tcBorders>
            <w:shd w:val="clear" w:color="auto" w:fill="auto"/>
            <w:noWrap/>
            <w:vAlign w:val="bottom"/>
            <w:hideMark/>
          </w:tcPr>
          <w:p w14:paraId="64CC8769"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353,339,872.73</w:t>
            </w:r>
          </w:p>
        </w:tc>
      </w:tr>
      <w:tr w:rsidR="005B31AB" w:rsidRPr="00076576" w14:paraId="0766B37F" w14:textId="77777777" w:rsidTr="001834D0">
        <w:trPr>
          <w:trHeight w:val="6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22CDB9E"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Primary Health Care Research</w:t>
            </w:r>
          </w:p>
        </w:tc>
        <w:tc>
          <w:tcPr>
            <w:tcW w:w="2409" w:type="dxa"/>
            <w:tcBorders>
              <w:top w:val="nil"/>
              <w:left w:val="nil"/>
              <w:bottom w:val="single" w:sz="4" w:space="0" w:color="auto"/>
              <w:right w:val="single" w:sz="4" w:space="0" w:color="auto"/>
            </w:tcBorders>
            <w:shd w:val="clear" w:color="auto" w:fill="auto"/>
            <w:noWrap/>
            <w:vAlign w:val="bottom"/>
            <w:hideMark/>
          </w:tcPr>
          <w:p w14:paraId="5DF1E515"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30</w:t>
            </w:r>
          </w:p>
        </w:tc>
        <w:tc>
          <w:tcPr>
            <w:tcW w:w="2027" w:type="dxa"/>
            <w:tcBorders>
              <w:top w:val="nil"/>
              <w:left w:val="nil"/>
              <w:bottom w:val="single" w:sz="4" w:space="0" w:color="auto"/>
              <w:right w:val="single" w:sz="4" w:space="0" w:color="auto"/>
            </w:tcBorders>
            <w:shd w:val="clear" w:color="auto" w:fill="auto"/>
            <w:noWrap/>
            <w:vAlign w:val="bottom"/>
            <w:hideMark/>
          </w:tcPr>
          <w:p w14:paraId="23EE48AC"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51,014,648.49</w:t>
            </w:r>
          </w:p>
        </w:tc>
      </w:tr>
      <w:tr w:rsidR="005B31AB" w:rsidRPr="00076576" w14:paraId="4F0D5EE1" w14:textId="77777777" w:rsidTr="001834D0">
        <w:trPr>
          <w:trHeight w:val="6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A00CDC8"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Rapid Applied Research Translation</w:t>
            </w:r>
          </w:p>
        </w:tc>
        <w:tc>
          <w:tcPr>
            <w:tcW w:w="2409" w:type="dxa"/>
            <w:tcBorders>
              <w:top w:val="nil"/>
              <w:left w:val="nil"/>
              <w:bottom w:val="single" w:sz="4" w:space="0" w:color="auto"/>
              <w:right w:val="single" w:sz="4" w:space="0" w:color="auto"/>
            </w:tcBorders>
            <w:shd w:val="clear" w:color="auto" w:fill="auto"/>
            <w:noWrap/>
            <w:vAlign w:val="bottom"/>
            <w:hideMark/>
          </w:tcPr>
          <w:p w14:paraId="5BE31F70"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45</w:t>
            </w:r>
          </w:p>
        </w:tc>
        <w:tc>
          <w:tcPr>
            <w:tcW w:w="2027" w:type="dxa"/>
            <w:tcBorders>
              <w:top w:val="nil"/>
              <w:left w:val="nil"/>
              <w:bottom w:val="single" w:sz="4" w:space="0" w:color="auto"/>
              <w:right w:val="single" w:sz="4" w:space="0" w:color="auto"/>
            </w:tcBorders>
            <w:shd w:val="clear" w:color="auto" w:fill="auto"/>
            <w:noWrap/>
            <w:vAlign w:val="bottom"/>
            <w:hideMark/>
          </w:tcPr>
          <w:p w14:paraId="3339E4DA"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163,085,548.00</w:t>
            </w:r>
          </w:p>
        </w:tc>
      </w:tr>
      <w:tr w:rsidR="005B31AB" w:rsidRPr="00076576" w14:paraId="0BAE3CFB" w14:textId="77777777" w:rsidTr="001834D0">
        <w:trPr>
          <w:trHeight w:val="69"/>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EFDB5DA" w14:textId="77777777" w:rsidR="005B31AB" w:rsidRPr="00D211A9" w:rsidRDefault="005B31AB" w:rsidP="001834D0">
            <w:pPr>
              <w:keepNext/>
              <w:spacing w:after="0" w:line="240" w:lineRule="auto"/>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Research Data Infrastructure</w:t>
            </w:r>
          </w:p>
        </w:tc>
        <w:tc>
          <w:tcPr>
            <w:tcW w:w="2409" w:type="dxa"/>
            <w:tcBorders>
              <w:top w:val="nil"/>
              <w:left w:val="nil"/>
              <w:bottom w:val="single" w:sz="4" w:space="0" w:color="auto"/>
              <w:right w:val="single" w:sz="4" w:space="0" w:color="auto"/>
            </w:tcBorders>
            <w:shd w:val="clear" w:color="auto" w:fill="auto"/>
            <w:noWrap/>
            <w:vAlign w:val="bottom"/>
            <w:hideMark/>
          </w:tcPr>
          <w:p w14:paraId="76365D69" w14:textId="77777777" w:rsidR="005B31AB" w:rsidRPr="00D211A9"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D211A9">
              <w:rPr>
                <w:rFonts w:ascii="Calibri" w:eastAsia="Times New Roman" w:hAnsi="Calibri" w:cs="Calibri"/>
                <w:color w:val="000000"/>
                <w:kern w:val="0"/>
                <w:sz w:val="20"/>
                <w:szCs w:val="20"/>
                <w:lang w:eastAsia="en-AU"/>
                <w14:ligatures w14:val="none"/>
              </w:rPr>
              <w:t>20</w:t>
            </w:r>
          </w:p>
        </w:tc>
        <w:tc>
          <w:tcPr>
            <w:tcW w:w="2027" w:type="dxa"/>
            <w:tcBorders>
              <w:top w:val="nil"/>
              <w:left w:val="nil"/>
              <w:bottom w:val="single" w:sz="4" w:space="0" w:color="auto"/>
              <w:right w:val="single" w:sz="4" w:space="0" w:color="auto"/>
            </w:tcBorders>
            <w:shd w:val="clear" w:color="auto" w:fill="auto"/>
            <w:noWrap/>
            <w:vAlign w:val="bottom"/>
            <w:hideMark/>
          </w:tcPr>
          <w:p w14:paraId="1EAA7098" w14:textId="77777777" w:rsidR="005B31AB" w:rsidRPr="00740646" w:rsidRDefault="005B31AB" w:rsidP="001834D0">
            <w:pPr>
              <w:keepNext/>
              <w:spacing w:after="0" w:line="240" w:lineRule="auto"/>
              <w:jc w:val="right"/>
              <w:rPr>
                <w:rFonts w:ascii="Calibri" w:eastAsia="Times New Roman" w:hAnsi="Calibri" w:cs="Calibri"/>
                <w:color w:val="000000"/>
                <w:kern w:val="0"/>
                <w:sz w:val="20"/>
                <w:szCs w:val="20"/>
                <w:lang w:eastAsia="en-AU"/>
                <w14:ligatures w14:val="none"/>
              </w:rPr>
            </w:pPr>
            <w:r w:rsidRPr="00740646">
              <w:rPr>
                <w:rFonts w:ascii="Calibri" w:eastAsia="Times New Roman" w:hAnsi="Calibri" w:cs="Calibri"/>
                <w:color w:val="000000"/>
                <w:kern w:val="0"/>
                <w:sz w:val="20"/>
                <w:szCs w:val="20"/>
                <w:lang w:eastAsia="en-AU"/>
                <w14:ligatures w14:val="none"/>
              </w:rPr>
              <w:t>44,405,231.00</w:t>
            </w:r>
          </w:p>
        </w:tc>
      </w:tr>
      <w:tr w:rsidR="005B31AB" w:rsidRPr="00076576" w14:paraId="6D400E0D" w14:textId="77777777" w:rsidTr="001834D0">
        <w:trPr>
          <w:trHeight w:val="362"/>
        </w:trPr>
        <w:tc>
          <w:tcPr>
            <w:tcW w:w="4957" w:type="dxa"/>
            <w:tcBorders>
              <w:top w:val="nil"/>
              <w:left w:val="single" w:sz="4" w:space="0" w:color="auto"/>
              <w:bottom w:val="single" w:sz="4" w:space="0" w:color="auto"/>
              <w:right w:val="single" w:sz="4" w:space="0" w:color="auto"/>
            </w:tcBorders>
            <w:shd w:val="clear" w:color="000000" w:fill="F2F2F2"/>
            <w:noWrap/>
            <w:vAlign w:val="bottom"/>
            <w:hideMark/>
          </w:tcPr>
          <w:p w14:paraId="366620C8" w14:textId="77777777" w:rsidR="005B31AB" w:rsidRPr="00D211A9" w:rsidRDefault="005B31AB" w:rsidP="001834D0">
            <w:pPr>
              <w:keepNext/>
              <w:spacing w:after="0" w:line="240" w:lineRule="auto"/>
              <w:rPr>
                <w:rFonts w:ascii="Calibri" w:eastAsia="Times New Roman" w:hAnsi="Calibri" w:cs="Calibri"/>
                <w:b/>
                <w:bCs/>
                <w:color w:val="000000"/>
                <w:kern w:val="0"/>
                <w:sz w:val="20"/>
                <w:szCs w:val="20"/>
                <w:lang w:eastAsia="en-AU"/>
                <w14:ligatures w14:val="none"/>
              </w:rPr>
            </w:pPr>
            <w:r w:rsidRPr="00D211A9">
              <w:rPr>
                <w:rFonts w:ascii="Calibri" w:eastAsia="Times New Roman" w:hAnsi="Calibri" w:cs="Calibri"/>
                <w:b/>
                <w:bCs/>
                <w:color w:val="000000"/>
                <w:kern w:val="0"/>
                <w:sz w:val="20"/>
                <w:szCs w:val="20"/>
                <w:lang w:eastAsia="en-AU"/>
                <w14:ligatures w14:val="none"/>
              </w:rPr>
              <w:t>TOTAL</w:t>
            </w:r>
          </w:p>
        </w:tc>
        <w:tc>
          <w:tcPr>
            <w:tcW w:w="2409" w:type="dxa"/>
            <w:tcBorders>
              <w:top w:val="nil"/>
              <w:left w:val="nil"/>
              <w:bottom w:val="single" w:sz="4" w:space="0" w:color="auto"/>
              <w:right w:val="single" w:sz="4" w:space="0" w:color="auto"/>
            </w:tcBorders>
            <w:shd w:val="clear" w:color="000000" w:fill="F2F2F2"/>
            <w:noWrap/>
            <w:vAlign w:val="bottom"/>
            <w:hideMark/>
          </w:tcPr>
          <w:p w14:paraId="070469F5" w14:textId="77777777" w:rsidR="005B31AB" w:rsidRPr="00D211A9" w:rsidRDefault="005B31AB" w:rsidP="001834D0">
            <w:pPr>
              <w:keepNext/>
              <w:spacing w:after="0" w:line="240" w:lineRule="auto"/>
              <w:jc w:val="right"/>
              <w:rPr>
                <w:rFonts w:ascii="Calibri" w:eastAsia="Times New Roman" w:hAnsi="Calibri" w:cs="Calibri"/>
                <w:b/>
                <w:bCs/>
                <w:color w:val="000000"/>
                <w:kern w:val="0"/>
                <w:sz w:val="20"/>
                <w:szCs w:val="20"/>
                <w:lang w:eastAsia="en-AU"/>
                <w14:ligatures w14:val="none"/>
              </w:rPr>
            </w:pPr>
            <w:r w:rsidRPr="00D211A9">
              <w:rPr>
                <w:rFonts w:ascii="Calibri" w:eastAsia="Times New Roman" w:hAnsi="Calibri" w:cs="Calibri"/>
                <w:b/>
                <w:bCs/>
                <w:color w:val="000000"/>
                <w:kern w:val="0"/>
                <w:sz w:val="20"/>
                <w:szCs w:val="20"/>
                <w:lang w:eastAsia="en-AU"/>
                <w14:ligatures w14:val="none"/>
              </w:rPr>
              <w:t>1,489</w:t>
            </w:r>
          </w:p>
        </w:tc>
        <w:tc>
          <w:tcPr>
            <w:tcW w:w="2027" w:type="dxa"/>
            <w:tcBorders>
              <w:top w:val="nil"/>
              <w:left w:val="nil"/>
              <w:bottom w:val="single" w:sz="4" w:space="0" w:color="auto"/>
              <w:right w:val="single" w:sz="4" w:space="0" w:color="auto"/>
            </w:tcBorders>
            <w:shd w:val="clear" w:color="000000" w:fill="F2F2F2"/>
            <w:noWrap/>
            <w:vAlign w:val="bottom"/>
            <w:hideMark/>
          </w:tcPr>
          <w:p w14:paraId="4F61928D" w14:textId="77777777" w:rsidR="005B31AB" w:rsidRPr="00740646" w:rsidRDefault="005B31AB" w:rsidP="001834D0">
            <w:pPr>
              <w:keepNext/>
              <w:spacing w:after="0" w:line="240" w:lineRule="auto"/>
              <w:jc w:val="right"/>
              <w:rPr>
                <w:rFonts w:ascii="Calibri" w:eastAsia="Times New Roman" w:hAnsi="Calibri" w:cs="Calibri"/>
                <w:b/>
                <w:bCs/>
                <w:color w:val="000000"/>
                <w:kern w:val="0"/>
                <w:sz w:val="20"/>
                <w:szCs w:val="20"/>
                <w:lang w:eastAsia="en-AU"/>
                <w14:ligatures w14:val="none"/>
              </w:rPr>
            </w:pPr>
            <w:r w:rsidRPr="00740646">
              <w:rPr>
                <w:rFonts w:ascii="Calibri" w:eastAsia="Times New Roman" w:hAnsi="Calibri" w:cs="Calibri"/>
                <w:b/>
                <w:bCs/>
                <w:color w:val="000000"/>
                <w:kern w:val="0"/>
                <w:sz w:val="20"/>
                <w:szCs w:val="20"/>
                <w:lang w:eastAsia="en-AU"/>
                <w14:ligatures w14:val="none"/>
              </w:rPr>
              <w:t>3,670,954,210.58</w:t>
            </w:r>
          </w:p>
        </w:tc>
      </w:tr>
    </w:tbl>
    <w:p w14:paraId="4D67F8F7" w14:textId="77777777" w:rsidR="005B31AB" w:rsidRDefault="005B31AB" w:rsidP="005B31AB">
      <w:pPr>
        <w:rPr>
          <w:rFonts w:cstheme="minorHAnsi"/>
          <w:sz w:val="20"/>
          <w:szCs w:val="20"/>
        </w:rPr>
      </w:pPr>
      <w:r w:rsidRPr="00523C58">
        <w:rPr>
          <w:rFonts w:cstheme="minorHAnsi"/>
          <w:sz w:val="20"/>
          <w:szCs w:val="20"/>
        </w:rPr>
        <w:t xml:space="preserve">Source: </w:t>
      </w:r>
      <w:r w:rsidRPr="003569B1">
        <w:rPr>
          <w:sz w:val="20"/>
          <w:szCs w:val="20"/>
        </w:rPr>
        <w:t>Data</w:t>
      </w:r>
      <w:r>
        <w:rPr>
          <w:sz w:val="20"/>
          <w:szCs w:val="20"/>
        </w:rPr>
        <w:t xml:space="preserve"> from the </w:t>
      </w:r>
      <w:r w:rsidRPr="001070AE">
        <w:rPr>
          <w:sz w:val="20"/>
          <w:szCs w:val="20"/>
        </w:rPr>
        <w:t>Department of Health and Aged Care website</w:t>
      </w:r>
      <w:r w:rsidRPr="001070AE">
        <w:rPr>
          <w:rStyle w:val="FootnoteReference"/>
          <w:sz w:val="20"/>
          <w:szCs w:val="20"/>
        </w:rPr>
        <w:footnoteReference w:id="21"/>
      </w:r>
      <w:r w:rsidRPr="001070AE">
        <w:rPr>
          <w:sz w:val="20"/>
          <w:szCs w:val="20"/>
        </w:rPr>
        <w:t xml:space="preserve"> </w:t>
      </w:r>
    </w:p>
    <w:p w14:paraId="28C6F978" w14:textId="77777777" w:rsidR="005B31AB" w:rsidRPr="009E2A2B" w:rsidRDefault="005B31AB" w:rsidP="005B31AB">
      <w:pPr>
        <w:rPr>
          <w:rFonts w:cstheme="minorHAnsi"/>
          <w:sz w:val="20"/>
          <w:szCs w:val="20"/>
        </w:rPr>
      </w:pPr>
      <w:r w:rsidRPr="009E2A2B">
        <w:rPr>
          <w:rFonts w:cstheme="minorHAnsi"/>
          <w:sz w:val="20"/>
          <w:szCs w:val="20"/>
        </w:rPr>
        <w:t>Note: Data as at 19 November 2024. Note that the 3</w:t>
      </w:r>
      <w:r w:rsidRPr="00D211A9">
        <w:rPr>
          <w:rFonts w:cstheme="minorHAnsi"/>
          <w:sz w:val="20"/>
          <w:szCs w:val="20"/>
        </w:rPr>
        <w:t>rd</w:t>
      </w:r>
      <w:r w:rsidRPr="009E2A2B">
        <w:rPr>
          <w:rFonts w:cstheme="minorHAnsi"/>
          <w:sz w:val="20"/>
          <w:szCs w:val="20"/>
        </w:rPr>
        <w:t xml:space="preserve"> 10-year Investment Plan introduced two additional Research Missions (Low Survival Cancers Mission and Reducing Health Inequities Mission). Disbursements f</w:t>
      </w:r>
      <w:r>
        <w:rPr>
          <w:rFonts w:cstheme="minorHAnsi"/>
          <w:sz w:val="20"/>
          <w:szCs w:val="20"/>
        </w:rPr>
        <w:t xml:space="preserve">or </w:t>
      </w:r>
      <w:r w:rsidRPr="009E2A2B">
        <w:rPr>
          <w:rFonts w:cstheme="minorHAnsi"/>
          <w:sz w:val="20"/>
          <w:szCs w:val="20"/>
        </w:rPr>
        <w:t>these Missions will not commence before 2027-28.</w:t>
      </w:r>
    </w:p>
    <w:p w14:paraId="745D2CFC" w14:textId="77777777" w:rsidR="005B31AB" w:rsidRDefault="005B31AB" w:rsidP="005B31AB">
      <w:pPr>
        <w:pStyle w:val="Heading2"/>
        <w:spacing w:after="240"/>
      </w:pPr>
      <w:bookmarkStart w:id="21" w:name="_Toc185589243"/>
      <w:r>
        <w:t>Reviews of MRFF performance and impact</w:t>
      </w:r>
      <w:bookmarkEnd w:id="21"/>
    </w:p>
    <w:p w14:paraId="3593A8D2" w14:textId="77777777" w:rsidR="005B31AB" w:rsidRPr="003D0297" w:rsidRDefault="005B31AB" w:rsidP="005B31AB">
      <w:pPr>
        <w:pStyle w:val="Heading3"/>
      </w:pPr>
      <w:r w:rsidRPr="003D0297">
        <w:t>MRFF Monitoring, Evaluation and Learning Strategy</w:t>
      </w:r>
    </w:p>
    <w:p w14:paraId="7CC06211" w14:textId="77777777" w:rsidR="005B31AB" w:rsidRDefault="005B31AB" w:rsidP="005B31AB">
      <w:pPr>
        <w:rPr>
          <w:rFonts w:cstheme="minorHAnsi"/>
        </w:rPr>
      </w:pPr>
      <w:r w:rsidRPr="00E5666B">
        <w:rPr>
          <w:rFonts w:cstheme="minorHAnsi"/>
        </w:rPr>
        <w:t>The MRFF</w:t>
      </w:r>
      <w:r>
        <w:rPr>
          <w:rFonts w:cstheme="minorHAnsi"/>
        </w:rPr>
        <w:t xml:space="preserve"> MEL Strategy </w:t>
      </w:r>
      <w:r w:rsidRPr="00E5666B">
        <w:rPr>
          <w:rFonts w:cstheme="minorHAnsi"/>
        </w:rPr>
        <w:t xml:space="preserve">sets out the principles and approach used to monitor and evaluate </w:t>
      </w:r>
      <w:r>
        <w:rPr>
          <w:rFonts w:cstheme="minorHAnsi"/>
        </w:rPr>
        <w:t xml:space="preserve">grants awarded under </w:t>
      </w:r>
      <w:r w:rsidRPr="00E5666B">
        <w:rPr>
          <w:rFonts w:cstheme="minorHAnsi"/>
        </w:rPr>
        <w:t>the MRFF</w:t>
      </w:r>
      <w:r w:rsidRPr="00AC0180">
        <w:rPr>
          <w:rFonts w:cstheme="minorHAnsi"/>
        </w:rPr>
        <w:t xml:space="preserve"> </w:t>
      </w:r>
      <w:r w:rsidRPr="00E5666B">
        <w:rPr>
          <w:rFonts w:cstheme="minorHAnsi"/>
        </w:rPr>
        <w:t xml:space="preserve">evaluation and learning conceptual framework. </w:t>
      </w:r>
      <w:r>
        <w:rPr>
          <w:rFonts w:cstheme="minorHAnsi"/>
        </w:rPr>
        <w:t>Evaluations need to</w:t>
      </w:r>
      <w:r w:rsidRPr="00E5666B">
        <w:rPr>
          <w:rFonts w:cstheme="minorHAnsi"/>
        </w:rPr>
        <w:t xml:space="preserve"> be independent and impartial.</w:t>
      </w:r>
      <w:r>
        <w:rPr>
          <w:rFonts w:cstheme="minorHAnsi"/>
        </w:rPr>
        <w:t xml:space="preserve"> Researchers are expected to report on outcomes above outputs and processes.</w:t>
      </w:r>
    </w:p>
    <w:p w14:paraId="7B7F27F3" w14:textId="77777777" w:rsidR="005B31AB" w:rsidRDefault="005B31AB" w:rsidP="005B31AB">
      <w:r>
        <w:rPr>
          <w:rFonts w:cstheme="minorHAnsi"/>
        </w:rPr>
        <w:t xml:space="preserve">The MEL Strategy outlines five impact measures that are the focus of the MRFF (Figure 2). The MEL Strategy also articulates 8 MRFF measures of success to assess the contribution of the outcomes of MRFF-funded research to the impact measures. More recently, the MEL Strategy has incorporated a number of project-level performance indicators (Figure 2), to track progress towards achieving the MRFF measures of success. </w:t>
      </w:r>
      <w:r>
        <w:t xml:space="preserve">Impacts on health outcomes can be complex to measure. At this time, assessing the MRFF against these impacts is challenged further by the fact that MRFF-funded </w:t>
      </w:r>
      <w:r>
        <w:lastRenderedPageBreak/>
        <w:t>projects are still relatively early in the project life cycle, and only a small proportion of the research funded through the MRFF since inception have concluded. Even following completion of a project, it can take further time for research to be commercialised or implemented in the health system.</w:t>
      </w:r>
    </w:p>
    <w:p w14:paraId="582C8631" w14:textId="77777777" w:rsidR="005B31AB" w:rsidRPr="00117AE3" w:rsidRDefault="005B31AB" w:rsidP="005B31AB">
      <w:pPr>
        <w:pStyle w:val="Heading4"/>
      </w:pPr>
      <w:r w:rsidRPr="00117AE3">
        <w:t xml:space="preserve">Figure </w:t>
      </w:r>
      <w:r>
        <w:t>2:</w:t>
      </w:r>
      <w:r w:rsidRPr="00117AE3">
        <w:t xml:space="preserve"> MRFF monitoring, evaluation and learning conceptual framework</w:t>
      </w:r>
    </w:p>
    <w:p w14:paraId="3F24FBD0" w14:textId="77777777" w:rsidR="005B31AB" w:rsidRDefault="005B31AB" w:rsidP="005B31AB">
      <w:pPr>
        <w:rPr>
          <w:rFonts w:cstheme="minorHAnsi"/>
        </w:rPr>
      </w:pPr>
      <w:r w:rsidRPr="009046A9">
        <w:rPr>
          <w:rFonts w:cstheme="minorHAnsi"/>
          <w:noProof/>
        </w:rPr>
        <w:drawing>
          <wp:inline distT="0" distB="0" distL="0" distR="0" wp14:anchorId="1CC73F5E" wp14:editId="14068CF2">
            <wp:extent cx="5731510" cy="3509416"/>
            <wp:effectExtent l="0" t="0" r="2540" b="0"/>
            <wp:docPr id="1557436984" name="Picture 1" descr="An illustration of the MRFF monitoring, evaluation and learning conceptual framework with inputs, activities, outputs, outcome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36984" name="Picture 1" descr="An illustration of the MRFF monitoring, evaluation and learning conceptual framework with inputs, activities, outputs, outcomes and impacts."/>
                    <pic:cNvPicPr/>
                  </pic:nvPicPr>
                  <pic:blipFill rotWithShape="1">
                    <a:blip r:embed="rId27"/>
                    <a:srcRect t="5163"/>
                    <a:stretch/>
                  </pic:blipFill>
                  <pic:spPr bwMode="auto">
                    <a:xfrm>
                      <a:off x="0" y="0"/>
                      <a:ext cx="5731510" cy="3509416"/>
                    </a:xfrm>
                    <a:prstGeom prst="rect">
                      <a:avLst/>
                    </a:prstGeom>
                    <a:ln>
                      <a:noFill/>
                    </a:ln>
                    <a:extLst>
                      <a:ext uri="{53640926-AAD7-44D8-BBD7-CCE9431645EC}">
                        <a14:shadowObscured xmlns:a14="http://schemas.microsoft.com/office/drawing/2010/main"/>
                      </a:ext>
                    </a:extLst>
                  </pic:spPr>
                </pic:pic>
              </a:graphicData>
            </a:graphic>
          </wp:inline>
        </w:drawing>
      </w:r>
    </w:p>
    <w:p w14:paraId="08DD37A1" w14:textId="77777777" w:rsidR="005B31AB" w:rsidRPr="004F6DB6" w:rsidRDefault="005B31AB" w:rsidP="005B31AB">
      <w:pPr>
        <w:rPr>
          <w:rFonts w:cstheme="minorHAnsi"/>
          <w:sz w:val="20"/>
          <w:szCs w:val="20"/>
        </w:rPr>
      </w:pPr>
      <w:r w:rsidRPr="00AF1367">
        <w:rPr>
          <w:rFonts w:cstheme="minorHAnsi"/>
          <w:sz w:val="20"/>
          <w:szCs w:val="20"/>
        </w:rPr>
        <w:t xml:space="preserve">Source: </w:t>
      </w:r>
      <w:r w:rsidRPr="00AF1367">
        <w:rPr>
          <w:rFonts w:cstheme="minorHAnsi"/>
          <w:i/>
          <w:iCs/>
          <w:sz w:val="20"/>
          <w:szCs w:val="20"/>
        </w:rPr>
        <w:t>Performance indicators towards the impact of the Medical Research Future Fund</w:t>
      </w:r>
      <w:r>
        <w:rPr>
          <w:rFonts w:cstheme="minorHAnsi"/>
          <w:sz w:val="20"/>
          <w:szCs w:val="20"/>
        </w:rPr>
        <w:t>, Department of Health and Aged Care</w:t>
      </w:r>
      <w:r>
        <w:rPr>
          <w:rStyle w:val="FootnoteReference"/>
          <w:rFonts w:cstheme="minorHAnsi"/>
          <w:sz w:val="20"/>
          <w:szCs w:val="20"/>
        </w:rPr>
        <w:footnoteReference w:id="22"/>
      </w:r>
    </w:p>
    <w:p w14:paraId="29ABBF88" w14:textId="77777777" w:rsidR="005B31AB" w:rsidRPr="004E6598" w:rsidRDefault="005B31AB" w:rsidP="005B31AB">
      <w:pPr>
        <w:pStyle w:val="Heading3"/>
      </w:pPr>
      <w:r w:rsidRPr="004E6598">
        <w:t>Reviews</w:t>
      </w:r>
      <w:r>
        <w:t>,</w:t>
      </w:r>
      <w:r w:rsidRPr="004E6598">
        <w:t xml:space="preserve"> Evaluations </w:t>
      </w:r>
      <w:r>
        <w:t xml:space="preserve">and Reports </w:t>
      </w:r>
      <w:r w:rsidRPr="004E6598">
        <w:t>of MRFF-Funded Research</w:t>
      </w:r>
    </w:p>
    <w:p w14:paraId="3CDF860B" w14:textId="356940C7" w:rsidR="005B31AB" w:rsidRDefault="005B31AB" w:rsidP="005F6E78">
      <w:r>
        <w:t>Six independent, external reviews and evaluations of MRFF Initiatives have been completed to date. I</w:t>
      </w:r>
      <w:r w:rsidRPr="00DF5727">
        <w:t>n accordance with the MEL Strategy, they need to be:</w:t>
      </w:r>
    </w:p>
    <w:p w14:paraId="66263254" w14:textId="77777777" w:rsidR="005B31AB" w:rsidRDefault="005B31AB" w:rsidP="005F6E78">
      <w:pPr>
        <w:pStyle w:val="List"/>
      </w:pPr>
      <w:r w:rsidRPr="00005EF3">
        <w:t>independent from the policy areas responsible for administering the grant opportunities and from grant recipients</w:t>
      </w:r>
      <w:r>
        <w:t>,</w:t>
      </w:r>
    </w:p>
    <w:p w14:paraId="6265B4A7" w14:textId="77777777" w:rsidR="005B31AB" w:rsidRDefault="005B31AB" w:rsidP="005F6E78">
      <w:pPr>
        <w:pStyle w:val="List"/>
      </w:pPr>
      <w:r w:rsidRPr="00005EF3">
        <w:t>impartial</w:t>
      </w:r>
      <w:r>
        <w:t>,</w:t>
      </w:r>
    </w:p>
    <w:p w14:paraId="72D05956" w14:textId="1FA5ED6C" w:rsidR="005B31AB" w:rsidRDefault="005B31AB" w:rsidP="005F6E78">
      <w:pPr>
        <w:pStyle w:val="List"/>
      </w:pPr>
      <w:r w:rsidRPr="00005EF3">
        <w:t>transparent</w:t>
      </w:r>
      <w:r>
        <w:t>,</w:t>
      </w:r>
    </w:p>
    <w:p w14:paraId="3E001CF2" w14:textId="77777777" w:rsidR="005B31AB" w:rsidRDefault="005B31AB" w:rsidP="005F6E78">
      <w:pPr>
        <w:pStyle w:val="List"/>
      </w:pPr>
      <w:r w:rsidRPr="00005EF3">
        <w:t>inclusive of stakeholders</w:t>
      </w:r>
      <w:r>
        <w:t>,</w:t>
      </w:r>
    </w:p>
    <w:p w14:paraId="25634E8D" w14:textId="77777777" w:rsidR="005B31AB" w:rsidRDefault="005B31AB" w:rsidP="005F6E78">
      <w:pPr>
        <w:pStyle w:val="List"/>
      </w:pPr>
      <w:r w:rsidRPr="00005EF3">
        <w:t>future focused</w:t>
      </w:r>
      <w:r>
        <w:t>,</w:t>
      </w:r>
    </w:p>
    <w:p w14:paraId="6DC93A81" w14:textId="77777777" w:rsidR="005B31AB" w:rsidRDefault="005B31AB" w:rsidP="005F6E78">
      <w:pPr>
        <w:pStyle w:val="List"/>
      </w:pPr>
      <w:r w:rsidRPr="00005EF3">
        <w:t>regular and systematic</w:t>
      </w:r>
      <w:r>
        <w:t>,</w:t>
      </w:r>
      <w:r w:rsidRPr="00005EF3">
        <w:t xml:space="preserve"> and </w:t>
      </w:r>
    </w:p>
    <w:p w14:paraId="5BD66B69" w14:textId="48357321" w:rsidR="005B31AB" w:rsidRDefault="005B31AB" w:rsidP="005F6E78">
      <w:pPr>
        <w:pStyle w:val="List"/>
      </w:pPr>
      <w:r w:rsidRPr="00005EF3">
        <w:t>proportionate and fit for purpose for the program.</w:t>
      </w:r>
    </w:p>
    <w:p w14:paraId="4BE3816C" w14:textId="77777777" w:rsidR="005B31AB" w:rsidRDefault="005B31AB" w:rsidP="005B31AB">
      <w:pPr>
        <w:spacing w:before="240"/>
        <w:rPr>
          <w:rFonts w:cstheme="minorHAnsi"/>
        </w:rPr>
      </w:pPr>
      <w:r>
        <w:rPr>
          <w:rFonts w:cstheme="minorHAnsi"/>
        </w:rPr>
        <w:lastRenderedPageBreak/>
        <w:t>All MRFF Initiatives are subject to reviews and/or evaluations</w:t>
      </w:r>
      <w:r w:rsidRPr="00DF5727">
        <w:rPr>
          <w:rFonts w:cstheme="minorHAnsi"/>
        </w:rPr>
        <w:t>.</w:t>
      </w:r>
      <w:r w:rsidRPr="00BC2622">
        <w:rPr>
          <w:rFonts w:cstheme="minorHAnsi"/>
        </w:rPr>
        <w:t xml:space="preserve"> There have also been a number of additional </w:t>
      </w:r>
      <w:r>
        <w:rPr>
          <w:rFonts w:cstheme="minorHAnsi"/>
        </w:rPr>
        <w:t>reports</w:t>
      </w:r>
      <w:r w:rsidRPr="00BC2622">
        <w:rPr>
          <w:rFonts w:cstheme="minorHAnsi"/>
        </w:rPr>
        <w:t xml:space="preserve"> focused on key topics and the impact of MRFF-funded research.</w:t>
      </w:r>
    </w:p>
    <w:p w14:paraId="71E8E3BF" w14:textId="77777777" w:rsidR="005B31AB" w:rsidRDefault="005B31AB" w:rsidP="005B31AB">
      <w:pPr>
        <w:spacing w:before="240"/>
        <w:rPr>
          <w:rFonts w:cstheme="minorHAnsi"/>
        </w:rPr>
      </w:pPr>
      <w:r w:rsidRPr="00A26FE1">
        <w:rPr>
          <w:rFonts w:cstheme="minorHAnsi"/>
        </w:rPr>
        <w:t>For</w:t>
      </w:r>
      <w:r w:rsidRPr="0011137C">
        <w:rPr>
          <w:rFonts w:cstheme="minorHAnsi"/>
        </w:rPr>
        <w:t xml:space="preserve"> </w:t>
      </w:r>
      <w:r w:rsidRPr="00A26FE1">
        <w:rPr>
          <w:rFonts w:cstheme="minorHAnsi"/>
        </w:rPr>
        <w:t>the</w:t>
      </w:r>
      <w:r w:rsidRPr="0011137C">
        <w:rPr>
          <w:rFonts w:cstheme="minorHAnsi"/>
        </w:rPr>
        <w:t xml:space="preserve"> </w:t>
      </w:r>
      <w:r w:rsidRPr="00A26FE1">
        <w:rPr>
          <w:rFonts w:cstheme="minorHAnsi"/>
        </w:rPr>
        <w:t>Research</w:t>
      </w:r>
      <w:r w:rsidRPr="0011137C">
        <w:rPr>
          <w:rFonts w:cstheme="minorHAnsi"/>
        </w:rPr>
        <w:t xml:space="preserve"> </w:t>
      </w:r>
      <w:r w:rsidRPr="00A26FE1">
        <w:rPr>
          <w:rFonts w:cstheme="minorHAnsi"/>
        </w:rPr>
        <w:t>Missions</w:t>
      </w:r>
      <w:r w:rsidRPr="0011137C">
        <w:rPr>
          <w:rFonts w:cstheme="minorHAnsi"/>
        </w:rPr>
        <w:t xml:space="preserve"> </w:t>
      </w:r>
      <w:r w:rsidRPr="00A26FE1">
        <w:rPr>
          <w:rFonts w:cstheme="minorHAnsi"/>
        </w:rPr>
        <w:t>in</w:t>
      </w:r>
      <w:r w:rsidRPr="0011137C">
        <w:rPr>
          <w:rFonts w:cstheme="minorHAnsi"/>
        </w:rPr>
        <w:t xml:space="preserve"> </w:t>
      </w:r>
      <w:r w:rsidRPr="00A26FE1">
        <w:rPr>
          <w:rFonts w:cstheme="minorHAnsi"/>
        </w:rPr>
        <w:t>particular,</w:t>
      </w:r>
      <w:r w:rsidRPr="0011137C">
        <w:rPr>
          <w:rFonts w:cstheme="minorHAnsi"/>
        </w:rPr>
        <w:t xml:space="preserve"> </w:t>
      </w:r>
      <w:r w:rsidRPr="00A26FE1">
        <w:rPr>
          <w:rFonts w:cstheme="minorHAnsi"/>
        </w:rPr>
        <w:t>mid-term</w:t>
      </w:r>
      <w:r w:rsidRPr="0011137C">
        <w:rPr>
          <w:rFonts w:cstheme="minorHAnsi"/>
        </w:rPr>
        <w:t xml:space="preserve"> </w:t>
      </w:r>
      <w:r w:rsidRPr="00A26FE1">
        <w:rPr>
          <w:rFonts w:cstheme="minorHAnsi"/>
        </w:rPr>
        <w:t>reviews</w:t>
      </w:r>
      <w:r w:rsidRPr="0011137C">
        <w:rPr>
          <w:rFonts w:cstheme="minorHAnsi"/>
        </w:rPr>
        <w:t xml:space="preserve"> </w:t>
      </w:r>
      <w:r w:rsidRPr="00A26FE1">
        <w:rPr>
          <w:rFonts w:cstheme="minorHAnsi"/>
        </w:rPr>
        <w:t>have</w:t>
      </w:r>
      <w:r w:rsidRPr="0011137C">
        <w:rPr>
          <w:rFonts w:cstheme="minorHAnsi"/>
        </w:rPr>
        <w:t xml:space="preserve"> </w:t>
      </w:r>
      <w:r w:rsidRPr="00A26FE1">
        <w:rPr>
          <w:rFonts w:cstheme="minorHAnsi"/>
        </w:rPr>
        <w:t>been</w:t>
      </w:r>
      <w:r w:rsidRPr="0011137C">
        <w:rPr>
          <w:rFonts w:cstheme="minorHAnsi"/>
        </w:rPr>
        <w:t xml:space="preserve"> </w:t>
      </w:r>
      <w:r w:rsidRPr="00A26FE1">
        <w:rPr>
          <w:rFonts w:cstheme="minorHAnsi"/>
        </w:rPr>
        <w:t>scheduled</w:t>
      </w:r>
      <w:r w:rsidRPr="0011137C">
        <w:rPr>
          <w:rFonts w:cstheme="minorHAnsi"/>
        </w:rPr>
        <w:t xml:space="preserve"> </w:t>
      </w:r>
      <w:r w:rsidRPr="00A26FE1">
        <w:rPr>
          <w:rFonts w:cstheme="minorHAnsi"/>
        </w:rPr>
        <w:t>at</w:t>
      </w:r>
      <w:r w:rsidRPr="0011137C">
        <w:rPr>
          <w:rFonts w:cstheme="minorHAnsi"/>
        </w:rPr>
        <w:t xml:space="preserve"> </w:t>
      </w:r>
      <w:r w:rsidRPr="00A26FE1">
        <w:rPr>
          <w:rFonts w:cstheme="minorHAnsi"/>
        </w:rPr>
        <w:t>the</w:t>
      </w:r>
      <w:r w:rsidRPr="0011137C">
        <w:rPr>
          <w:rFonts w:cstheme="minorHAnsi"/>
        </w:rPr>
        <w:t xml:space="preserve"> </w:t>
      </w:r>
      <w:r w:rsidRPr="00A26FE1">
        <w:rPr>
          <w:rFonts w:cstheme="minorHAnsi"/>
        </w:rPr>
        <w:t>5-year</w:t>
      </w:r>
      <w:r w:rsidRPr="0011137C">
        <w:rPr>
          <w:rFonts w:cstheme="minorHAnsi"/>
        </w:rPr>
        <w:t xml:space="preserve"> </w:t>
      </w:r>
      <w:r w:rsidRPr="00A26FE1">
        <w:rPr>
          <w:rFonts w:cstheme="minorHAnsi"/>
        </w:rPr>
        <w:t>mark</w:t>
      </w:r>
      <w:r w:rsidRPr="0011137C">
        <w:rPr>
          <w:rFonts w:cstheme="minorHAnsi"/>
        </w:rPr>
        <w:t xml:space="preserve"> </w:t>
      </w:r>
      <w:r w:rsidRPr="00A26FE1">
        <w:rPr>
          <w:rFonts w:cstheme="minorHAnsi"/>
        </w:rPr>
        <w:t>to help</w:t>
      </w:r>
      <w:r w:rsidRPr="0011137C">
        <w:rPr>
          <w:rFonts w:cstheme="minorHAnsi"/>
        </w:rPr>
        <w:t xml:space="preserve"> </w:t>
      </w:r>
      <w:r w:rsidRPr="00A26FE1">
        <w:rPr>
          <w:rFonts w:cstheme="minorHAnsi"/>
        </w:rPr>
        <w:t>assess</w:t>
      </w:r>
      <w:r w:rsidRPr="0011137C">
        <w:rPr>
          <w:rFonts w:cstheme="minorHAnsi"/>
        </w:rPr>
        <w:t xml:space="preserve"> </w:t>
      </w:r>
      <w:r w:rsidRPr="00A26FE1">
        <w:rPr>
          <w:rFonts w:cstheme="minorHAnsi"/>
        </w:rPr>
        <w:t>alignment</w:t>
      </w:r>
      <w:r w:rsidRPr="0011137C">
        <w:rPr>
          <w:rFonts w:cstheme="minorHAnsi"/>
        </w:rPr>
        <w:t xml:space="preserve"> </w:t>
      </w:r>
      <w:r w:rsidRPr="00A26FE1">
        <w:rPr>
          <w:rFonts w:cstheme="minorHAnsi"/>
        </w:rPr>
        <w:t>of</w:t>
      </w:r>
      <w:r w:rsidRPr="0011137C">
        <w:rPr>
          <w:rFonts w:cstheme="minorHAnsi"/>
        </w:rPr>
        <w:t xml:space="preserve"> </w:t>
      </w:r>
      <w:r w:rsidRPr="00A26FE1">
        <w:rPr>
          <w:rFonts w:cstheme="minorHAnsi"/>
        </w:rPr>
        <w:t>investments</w:t>
      </w:r>
      <w:r w:rsidRPr="0011137C">
        <w:rPr>
          <w:rFonts w:cstheme="minorHAnsi"/>
        </w:rPr>
        <w:t xml:space="preserve"> </w:t>
      </w:r>
      <w:r w:rsidRPr="00A26FE1">
        <w:rPr>
          <w:rFonts w:cstheme="minorHAnsi"/>
        </w:rPr>
        <w:t>with</w:t>
      </w:r>
      <w:r w:rsidRPr="0011137C">
        <w:rPr>
          <w:rFonts w:cstheme="minorHAnsi"/>
        </w:rPr>
        <w:t xml:space="preserve"> </w:t>
      </w:r>
      <w:r w:rsidRPr="00A26FE1">
        <w:rPr>
          <w:rFonts w:cstheme="minorHAnsi"/>
        </w:rPr>
        <w:t>Mission</w:t>
      </w:r>
      <w:r w:rsidRPr="0011137C">
        <w:rPr>
          <w:rFonts w:cstheme="minorHAnsi"/>
        </w:rPr>
        <w:t xml:space="preserve"> </w:t>
      </w:r>
      <w:r w:rsidRPr="00A26FE1">
        <w:rPr>
          <w:rFonts w:cstheme="minorHAnsi"/>
        </w:rPr>
        <w:t>priorities</w:t>
      </w:r>
      <w:r w:rsidRPr="0011137C">
        <w:rPr>
          <w:rFonts w:cstheme="minorHAnsi"/>
        </w:rPr>
        <w:t xml:space="preserve"> </w:t>
      </w:r>
      <w:r w:rsidRPr="00A26FE1">
        <w:rPr>
          <w:rFonts w:cstheme="minorHAnsi"/>
        </w:rPr>
        <w:t>and</w:t>
      </w:r>
      <w:r w:rsidRPr="0011137C">
        <w:rPr>
          <w:rFonts w:cstheme="minorHAnsi"/>
        </w:rPr>
        <w:t xml:space="preserve"> </w:t>
      </w:r>
      <w:r w:rsidRPr="00A26FE1">
        <w:rPr>
          <w:rFonts w:cstheme="minorHAnsi"/>
        </w:rPr>
        <w:t>progress</w:t>
      </w:r>
      <w:r w:rsidRPr="0011137C">
        <w:rPr>
          <w:rFonts w:cstheme="minorHAnsi"/>
        </w:rPr>
        <w:t xml:space="preserve"> </w:t>
      </w:r>
      <w:r w:rsidRPr="00A26FE1">
        <w:rPr>
          <w:rFonts w:cstheme="minorHAnsi"/>
        </w:rPr>
        <w:t>towards</w:t>
      </w:r>
      <w:r w:rsidRPr="0011137C">
        <w:rPr>
          <w:rFonts w:cstheme="minorHAnsi"/>
        </w:rPr>
        <w:t xml:space="preserve"> </w:t>
      </w:r>
      <w:r w:rsidRPr="00A26FE1">
        <w:rPr>
          <w:rFonts w:cstheme="minorHAnsi"/>
        </w:rPr>
        <w:t>impact,</w:t>
      </w:r>
      <w:r w:rsidRPr="0011137C">
        <w:rPr>
          <w:rFonts w:cstheme="minorHAnsi"/>
        </w:rPr>
        <w:t xml:space="preserve"> </w:t>
      </w:r>
      <w:r w:rsidRPr="00A26FE1">
        <w:rPr>
          <w:rFonts w:cstheme="minorHAnsi"/>
        </w:rPr>
        <w:t>guided</w:t>
      </w:r>
      <w:r w:rsidRPr="0011137C">
        <w:rPr>
          <w:rFonts w:cstheme="minorHAnsi"/>
        </w:rPr>
        <w:t xml:space="preserve"> </w:t>
      </w:r>
      <w:r w:rsidRPr="00A26FE1">
        <w:rPr>
          <w:rFonts w:cstheme="minorHAnsi"/>
        </w:rPr>
        <w:t>by an independent Mission Review Panel comprising national and international experts, First Nations, consumer and industry representatives. These reviews have provided guidance on investments for the remaining 5 years of the Mission’s 10-year tenure. Furthermore, the extension of the Missions will be subject to evaluation at the end of the 10-year mark</w:t>
      </w:r>
      <w:r>
        <w:rPr>
          <w:rFonts w:cstheme="minorHAnsi"/>
        </w:rPr>
        <w:t>.</w:t>
      </w:r>
    </w:p>
    <w:p w14:paraId="0E761C96" w14:textId="77777777" w:rsidR="005B31AB" w:rsidRPr="00005EF3" w:rsidRDefault="005B31AB" w:rsidP="005B31AB">
      <w:pPr>
        <w:spacing w:before="240"/>
        <w:rPr>
          <w:rFonts w:cstheme="minorHAnsi"/>
        </w:rPr>
      </w:pPr>
      <w:r w:rsidRPr="00005EF3">
        <w:rPr>
          <w:rFonts w:cstheme="minorHAnsi"/>
        </w:rPr>
        <w:t xml:space="preserve">These </w:t>
      </w:r>
      <w:r>
        <w:rPr>
          <w:rFonts w:cstheme="minorHAnsi"/>
        </w:rPr>
        <w:t xml:space="preserve">reviews and </w:t>
      </w:r>
      <w:r w:rsidRPr="00005EF3">
        <w:rPr>
          <w:rFonts w:cstheme="minorHAnsi"/>
        </w:rPr>
        <w:t xml:space="preserve">evaluations </w:t>
      </w:r>
      <w:r>
        <w:rPr>
          <w:rFonts w:cstheme="minorHAnsi"/>
        </w:rPr>
        <w:t>identify</w:t>
      </w:r>
      <w:r w:rsidRPr="00005EF3">
        <w:rPr>
          <w:rFonts w:cstheme="minorHAnsi"/>
        </w:rPr>
        <w:t xml:space="preserve"> opportunities to improve MRFF initiatives, </w:t>
      </w:r>
      <w:r>
        <w:rPr>
          <w:rFonts w:cstheme="minorHAnsi"/>
        </w:rPr>
        <w:t>and</w:t>
      </w:r>
      <w:r w:rsidRPr="00005EF3">
        <w:rPr>
          <w:rFonts w:cstheme="minorHAnsi"/>
        </w:rPr>
        <w:t xml:space="preserve"> shape future priorities for grant funding for the sector. </w:t>
      </w:r>
      <w:r>
        <w:rPr>
          <w:rFonts w:cstheme="minorHAnsi"/>
        </w:rPr>
        <w:t xml:space="preserve">They assess </w:t>
      </w:r>
      <w:r w:rsidRPr="00005EF3">
        <w:rPr>
          <w:rFonts w:cstheme="minorHAnsi"/>
        </w:rPr>
        <w:t>whether the program is progressing as anticipated</w:t>
      </w:r>
      <w:r>
        <w:rPr>
          <w:rFonts w:cstheme="minorHAnsi"/>
        </w:rPr>
        <w:t xml:space="preserve"> </w:t>
      </w:r>
      <w:r>
        <w:t>and ensure they are aligned with their purpose. In addition</w:t>
      </w:r>
      <w:r w:rsidRPr="00005EF3">
        <w:rPr>
          <w:rFonts w:cstheme="minorHAnsi"/>
        </w:rPr>
        <w:t xml:space="preserve">, </w:t>
      </w:r>
      <w:r>
        <w:rPr>
          <w:rFonts w:cstheme="minorHAnsi"/>
        </w:rPr>
        <w:t>they</w:t>
      </w:r>
      <w:r w:rsidRPr="00005EF3">
        <w:rPr>
          <w:rFonts w:cstheme="minorHAnsi"/>
        </w:rPr>
        <w:t xml:space="preserve"> enable stakeholders to </w:t>
      </w:r>
      <w:r>
        <w:t>provide feedback on future</w:t>
      </w:r>
      <w:r w:rsidRPr="00DF5727">
        <w:t xml:space="preserve"> </w:t>
      </w:r>
      <w:r w:rsidRPr="00005EF3">
        <w:rPr>
          <w:rFonts w:cstheme="minorHAnsi"/>
        </w:rPr>
        <w:t>opportunities and unmet need.</w:t>
      </w:r>
    </w:p>
    <w:p w14:paraId="64336641" w14:textId="77777777" w:rsidR="005B31AB" w:rsidRDefault="005B31AB" w:rsidP="005B31AB">
      <w:pPr>
        <w:spacing w:before="240"/>
        <w:rPr>
          <w:rFonts w:cstheme="minorHAnsi"/>
        </w:rPr>
      </w:pPr>
      <w:r>
        <w:t>In addition to the completed evaluations, reviews and reports, this review considers the preliminary results of performance indicators survey conducted between March to May 2024 covering all MRFF grant recipients.</w:t>
      </w:r>
      <w:r>
        <w:rPr>
          <w:rStyle w:val="FootnoteReference"/>
        </w:rPr>
        <w:footnoteReference w:id="23"/>
      </w:r>
      <w:r>
        <w:t xml:space="preserve"> The survey collected data related to the MRFF performance indicators the measures of </w:t>
      </w:r>
      <w:r w:rsidRPr="00CC40F8">
        <w:t>success.</w:t>
      </w:r>
      <w:r w:rsidRPr="00CC40F8">
        <w:rPr>
          <w:rFonts w:cstheme="minorHAnsi"/>
        </w:rPr>
        <w:t xml:space="preserve"> </w:t>
      </w:r>
      <w:r>
        <w:rPr>
          <w:spacing w:val="-2"/>
        </w:rPr>
        <w:t>These results are unpublished at the time of writing, but will be made publicly available on the website of the Department of Health and Aged Care.</w:t>
      </w:r>
    </w:p>
    <w:p w14:paraId="22E6BB8F" w14:textId="77777777" w:rsidR="005B31AB" w:rsidRPr="00DF5727" w:rsidRDefault="005B31AB" w:rsidP="005B31AB">
      <w:pPr>
        <w:spacing w:before="240"/>
        <w:rPr>
          <w:rFonts w:cstheme="minorHAnsi"/>
        </w:rPr>
      </w:pPr>
      <w:r>
        <w:rPr>
          <w:rFonts w:cstheme="minorHAnsi"/>
        </w:rPr>
        <w:t>D</w:t>
      </w:r>
      <w:r w:rsidRPr="00DF5727">
        <w:rPr>
          <w:rFonts w:cstheme="minorHAnsi"/>
        </w:rPr>
        <w:t xml:space="preserve">etailed findings can be </w:t>
      </w:r>
      <w:r w:rsidRPr="00C52726">
        <w:rPr>
          <w:rFonts w:cstheme="minorHAnsi"/>
        </w:rPr>
        <w:t>found in Appendix A</w:t>
      </w:r>
      <w:r w:rsidRPr="00DF5727">
        <w:rPr>
          <w:rFonts w:cstheme="minorHAnsi"/>
        </w:rPr>
        <w:t xml:space="preserve">. </w:t>
      </w:r>
      <w:r>
        <w:rPr>
          <w:rFonts w:cstheme="minorHAnsi"/>
        </w:rPr>
        <w:t xml:space="preserve">These reviews and/or evaluations have generally found that the </w:t>
      </w:r>
      <w:r w:rsidRPr="00DF5727">
        <w:rPr>
          <w:rFonts w:cstheme="minorHAnsi"/>
        </w:rPr>
        <w:t>MRFF has made progress in:</w:t>
      </w:r>
    </w:p>
    <w:p w14:paraId="08B61EAA" w14:textId="049D408B" w:rsidR="005B31AB" w:rsidRPr="00DF5727" w:rsidRDefault="005B31AB" w:rsidP="001471F6">
      <w:pPr>
        <w:pStyle w:val="List"/>
      </w:pPr>
      <w:r>
        <w:t>a</w:t>
      </w:r>
      <w:r w:rsidRPr="00DF5727">
        <w:t>ddressing areas of unmet need</w:t>
      </w:r>
      <w:r>
        <w:t>,</w:t>
      </w:r>
    </w:p>
    <w:p w14:paraId="4DC31EB2" w14:textId="77777777" w:rsidR="005B31AB" w:rsidRPr="00DF5727" w:rsidRDefault="005B31AB" w:rsidP="001471F6">
      <w:pPr>
        <w:pStyle w:val="List"/>
      </w:pPr>
      <w:r>
        <w:t>e</w:t>
      </w:r>
      <w:r w:rsidRPr="00DF5727">
        <w:t>nsuring that more Australians have access to clinical trials</w:t>
      </w:r>
      <w:r>
        <w:t>, and</w:t>
      </w:r>
    </w:p>
    <w:p w14:paraId="517D82AE" w14:textId="1FC1BA90" w:rsidR="005B31AB" w:rsidRPr="004F6DB6" w:rsidRDefault="005B31AB" w:rsidP="001471F6">
      <w:pPr>
        <w:pStyle w:val="List"/>
      </w:pPr>
      <w:r>
        <w:t>r</w:t>
      </w:r>
      <w:r w:rsidRPr="00DF5727">
        <w:t>esearch community having greater capacity and capability to undertake translational research.</w:t>
      </w:r>
    </w:p>
    <w:p w14:paraId="570B3C41" w14:textId="661EE447" w:rsidR="005B31AB" w:rsidRPr="00DF5727" w:rsidRDefault="005B31AB" w:rsidP="005B31AB">
      <w:pPr>
        <w:spacing w:before="120"/>
        <w:rPr>
          <w:rFonts w:cstheme="minorHAnsi"/>
        </w:rPr>
      </w:pPr>
      <w:r>
        <w:rPr>
          <w:rFonts w:cstheme="minorHAnsi"/>
        </w:rPr>
        <w:t>However, a common finding is that m</w:t>
      </w:r>
      <w:r w:rsidRPr="00DF5727">
        <w:rPr>
          <w:rFonts w:cstheme="minorHAnsi"/>
        </w:rPr>
        <w:t xml:space="preserve">ore time is required for </w:t>
      </w:r>
      <w:r>
        <w:rPr>
          <w:rFonts w:cstheme="minorHAnsi"/>
        </w:rPr>
        <w:t xml:space="preserve">the </w:t>
      </w:r>
      <w:r w:rsidRPr="00DF5727">
        <w:rPr>
          <w:rFonts w:cstheme="minorHAnsi"/>
        </w:rPr>
        <w:t>MRFF</w:t>
      </w:r>
      <w:r>
        <w:rPr>
          <w:rFonts w:cstheme="minorHAnsi"/>
        </w:rPr>
        <w:t xml:space="preserve"> to</w:t>
      </w:r>
      <w:r w:rsidRPr="00DF5727">
        <w:rPr>
          <w:rFonts w:cstheme="minorHAnsi"/>
        </w:rPr>
        <w:t xml:space="preserve"> show progress in relation to:</w:t>
      </w:r>
    </w:p>
    <w:p w14:paraId="65136ACB" w14:textId="77777777" w:rsidR="005B31AB" w:rsidRPr="00DF5727" w:rsidRDefault="005B31AB" w:rsidP="001471F6">
      <w:pPr>
        <w:pStyle w:val="List"/>
      </w:pPr>
      <w:r>
        <w:t>h</w:t>
      </w:r>
      <w:r w:rsidRPr="00DF5727">
        <w:t>ealth professionals adopting best practices faster</w:t>
      </w:r>
      <w:r>
        <w:t>,</w:t>
      </w:r>
    </w:p>
    <w:p w14:paraId="34F4DE24" w14:textId="77777777" w:rsidR="005B31AB" w:rsidRPr="00DF5727" w:rsidRDefault="005B31AB" w:rsidP="001471F6">
      <w:pPr>
        <w:pStyle w:val="List"/>
      </w:pPr>
      <w:r>
        <w:t>n</w:t>
      </w:r>
      <w:r w:rsidRPr="00DF5727">
        <w:t>ew health technologies being embedded in health policy and practice</w:t>
      </w:r>
      <w:r>
        <w:t>,</w:t>
      </w:r>
    </w:p>
    <w:p w14:paraId="30FAD03D" w14:textId="77777777" w:rsidR="005B31AB" w:rsidRPr="00DF5727" w:rsidRDefault="005B31AB" w:rsidP="001471F6">
      <w:pPr>
        <w:pStyle w:val="List"/>
      </w:pPr>
      <w:r>
        <w:t>n</w:t>
      </w:r>
      <w:r w:rsidRPr="00DF5727">
        <w:t>ew health interventions being embedded in health policy and practice</w:t>
      </w:r>
      <w:r>
        <w:t>,</w:t>
      </w:r>
    </w:p>
    <w:p w14:paraId="211380BD" w14:textId="090F972C" w:rsidR="005B31AB" w:rsidRPr="00DF5727" w:rsidRDefault="005B31AB" w:rsidP="001471F6">
      <w:pPr>
        <w:pStyle w:val="List"/>
      </w:pPr>
      <w:r>
        <w:t>t</w:t>
      </w:r>
      <w:r w:rsidRPr="00DF5727">
        <w:t>he community engaging with and adopting new technologies, treatments and interventions</w:t>
      </w:r>
      <w:r>
        <w:t>, and</w:t>
      </w:r>
    </w:p>
    <w:p w14:paraId="043E9E91" w14:textId="77777777" w:rsidR="005B31AB" w:rsidRPr="00DF5727" w:rsidRDefault="005B31AB" w:rsidP="001471F6">
      <w:pPr>
        <w:pStyle w:val="List"/>
      </w:pPr>
      <w:r>
        <w:t>i</w:t>
      </w:r>
      <w:r w:rsidRPr="00DF5727">
        <w:t>ncreased commercialisation of health research outcomes.</w:t>
      </w:r>
    </w:p>
    <w:p w14:paraId="7155D439" w14:textId="77777777" w:rsidR="005B31AB" w:rsidRPr="00D53555" w:rsidRDefault="005B31AB" w:rsidP="005B31AB">
      <w:pPr>
        <w:pStyle w:val="Heading4"/>
      </w:pPr>
      <w:r w:rsidRPr="00D53555">
        <w:t>Increased focus of research on areas of unmet need</w:t>
      </w:r>
    </w:p>
    <w:p w14:paraId="04BB8DB7" w14:textId="77777777" w:rsidR="005B31AB" w:rsidRDefault="005B31AB" w:rsidP="005B31AB">
      <w:r>
        <w:t>Research into areas of unmet need includes priority populations, emerging challenges and rare diseases</w:t>
      </w:r>
      <w:r w:rsidRPr="00167AA3">
        <w:t xml:space="preserve">. </w:t>
      </w:r>
      <w:r>
        <w:t xml:space="preserve">The performance indicators survey found that 84 per cent of MRFF projects focused on priority populations and that 67 per cent of MRFF grants focused on emerging issues. An </w:t>
      </w:r>
      <w:r w:rsidRPr="00872B63">
        <w:t xml:space="preserve">evaluation of the </w:t>
      </w:r>
      <w:hyperlink r:id="rId28" w:history="1">
        <w:r w:rsidRPr="00156263">
          <w:rPr>
            <w:rStyle w:val="Hyperlink"/>
          </w:rPr>
          <w:t>Clinical Trials Activity Initiative</w:t>
        </w:r>
      </w:hyperlink>
      <w:r>
        <w:t xml:space="preserve"> found that the MRFF has become a dominant source of funding support for rare cancers that may not be fundable via other avenues. This is echoed in the Review of </w:t>
      </w:r>
      <w:r>
        <w:lastRenderedPageBreak/>
        <w:t>the Australian Brain Cancer Mission, which found that increased funding has encouraged</w:t>
      </w:r>
      <w:r w:rsidRPr="008257FF">
        <w:rPr>
          <w:rFonts w:cstheme="minorHAnsi"/>
        </w:rPr>
        <w:t xml:space="preserve"> more cancer researchers to move into the brain cancer field</w:t>
      </w:r>
      <w:r>
        <w:rPr>
          <w:rFonts w:cstheme="minorHAnsi"/>
        </w:rPr>
        <w:t>, and that there has been strong focus on the unmet need of improving survivorship among brain cancer patients.</w:t>
      </w:r>
      <w:r w:rsidRPr="001F05FB">
        <w:rPr>
          <w:rFonts w:cstheme="minorHAnsi"/>
        </w:rPr>
        <w:t xml:space="preserve"> </w:t>
      </w:r>
      <w:r>
        <w:rPr>
          <w:rFonts w:cstheme="minorHAnsi"/>
        </w:rPr>
        <w:t xml:space="preserve">The MRFF Report on Rural, Regional and Remote Health Research demonstrated that as at July 2023, </w:t>
      </w:r>
      <w:r w:rsidRPr="007D2132">
        <w:rPr>
          <w:rFonts w:cstheme="minorHAnsi"/>
        </w:rPr>
        <w:t>22</w:t>
      </w:r>
      <w:r>
        <w:rPr>
          <w:rFonts w:cstheme="minorHAnsi"/>
        </w:rPr>
        <w:t xml:space="preserve"> MRFF</w:t>
      </w:r>
      <w:r w:rsidRPr="007D2132">
        <w:rPr>
          <w:rFonts w:cstheme="minorHAnsi"/>
        </w:rPr>
        <w:t xml:space="preserve"> projects (total $49</w:t>
      </w:r>
      <w:r>
        <w:rPr>
          <w:rFonts w:cstheme="minorHAnsi"/>
        </w:rPr>
        <w:t xml:space="preserve"> million</w:t>
      </w:r>
      <w:r w:rsidRPr="007D2132">
        <w:rPr>
          <w:rFonts w:cstheme="minorHAnsi"/>
        </w:rPr>
        <w:t xml:space="preserve">) </w:t>
      </w:r>
      <w:r>
        <w:rPr>
          <w:rFonts w:cstheme="minorHAnsi"/>
        </w:rPr>
        <w:t>had</w:t>
      </w:r>
      <w:r w:rsidRPr="007D2132">
        <w:rPr>
          <w:rFonts w:cstheme="minorHAnsi"/>
        </w:rPr>
        <w:t xml:space="preserve"> a</w:t>
      </w:r>
      <w:r w:rsidRPr="0018236F">
        <w:rPr>
          <w:rFonts w:cstheme="minorHAnsi"/>
        </w:rPr>
        <w:t xml:space="preserve"> focus on Aboriginal and Torres Strait Islander health, and 40 proj</w:t>
      </w:r>
      <w:r w:rsidRPr="00F21011">
        <w:rPr>
          <w:rFonts w:cstheme="minorHAnsi"/>
        </w:rPr>
        <w:t>ects (</w:t>
      </w:r>
      <w:r w:rsidRPr="00EA76D9">
        <w:rPr>
          <w:rFonts w:cstheme="minorHAnsi"/>
        </w:rPr>
        <w:t>total $245</w:t>
      </w:r>
      <w:r>
        <w:rPr>
          <w:rFonts w:cstheme="minorHAnsi"/>
        </w:rPr>
        <w:t xml:space="preserve"> million</w:t>
      </w:r>
      <w:r w:rsidRPr="0018236F">
        <w:rPr>
          <w:rFonts w:cstheme="minorHAnsi"/>
        </w:rPr>
        <w:t xml:space="preserve">) </w:t>
      </w:r>
      <w:r>
        <w:rPr>
          <w:rFonts w:cstheme="minorHAnsi"/>
        </w:rPr>
        <w:t>had a focus on the health of rural, regional and remote</w:t>
      </w:r>
      <w:r w:rsidRPr="0018236F">
        <w:rPr>
          <w:rFonts w:cstheme="minorHAnsi"/>
        </w:rPr>
        <w:t xml:space="preserve"> communities</w:t>
      </w:r>
      <w:r>
        <w:rPr>
          <w:rFonts w:cstheme="minorHAnsi"/>
        </w:rPr>
        <w:t>.</w:t>
      </w:r>
    </w:p>
    <w:p w14:paraId="2A385476" w14:textId="77777777" w:rsidR="005B31AB" w:rsidRPr="00D53555" w:rsidRDefault="005B31AB" w:rsidP="005B31AB">
      <w:pPr>
        <w:pStyle w:val="Heading4"/>
      </w:pPr>
      <w:r w:rsidRPr="00D53555">
        <w:t>More Australians access clinical trials</w:t>
      </w:r>
    </w:p>
    <w:p w14:paraId="4E0D086F" w14:textId="77777777" w:rsidR="005B31AB" w:rsidRDefault="005B31AB" w:rsidP="005B31AB">
      <w:r>
        <w:t xml:space="preserve">The outcomes of the performance indicators survey indicated that as at May 2024, the MRFF has supported at least 744 clinical trials since its inception. Multiple reviews and reports, including of the </w:t>
      </w:r>
      <w:hyperlink r:id="rId29" w:history="1">
        <w:r w:rsidRPr="004E6598">
          <w:rPr>
            <w:rStyle w:val="Hyperlink"/>
          </w:rPr>
          <w:t>Million Minds Mental Health Research Mission</w:t>
        </w:r>
      </w:hyperlink>
      <w:r>
        <w:t xml:space="preserve">, the </w:t>
      </w:r>
      <w:hyperlink r:id="rId30" w:history="1">
        <w:r w:rsidRPr="004E6598">
          <w:rPr>
            <w:rStyle w:val="Hyperlink"/>
          </w:rPr>
          <w:t>Australian Brain Cancer Mission</w:t>
        </w:r>
      </w:hyperlink>
      <w:r>
        <w:t xml:space="preserve"> and the </w:t>
      </w:r>
      <w:hyperlink r:id="rId31" w:history="1">
        <w:r w:rsidRPr="004E6598">
          <w:rPr>
            <w:rStyle w:val="Hyperlink"/>
          </w:rPr>
          <w:t>MRFF Coronavirus Research Response</w:t>
        </w:r>
      </w:hyperlink>
      <w:r>
        <w:t>, found that the MRFF increased access for clinical trials. The review of the Australian Brain Cancer Mission also found that the MRFF has improved clinical trial infrastructure over time, enabling more clinical trials to be conducted in future, and the report on rural, regional and remote health research identified</w:t>
      </w:r>
      <w:r w:rsidRPr="00F52CC3">
        <w:t xml:space="preserve"> 11 projects (total $145 million) involving clinical trials and clinical trial-enabling infrastructure</w:t>
      </w:r>
      <w:r>
        <w:t xml:space="preserve"> outside of metropolitan areas, improving access for patients in those areas.</w:t>
      </w:r>
    </w:p>
    <w:p w14:paraId="650974CC" w14:textId="77777777" w:rsidR="005B31AB" w:rsidRPr="00D53555" w:rsidRDefault="005B31AB" w:rsidP="005B31AB">
      <w:pPr>
        <w:pStyle w:val="Heading4"/>
      </w:pPr>
      <w:r w:rsidRPr="00D53555">
        <w:t>New health technologies and health interventions are embedded in health practice</w:t>
      </w:r>
    </w:p>
    <w:p w14:paraId="36D29438" w14:textId="77777777" w:rsidR="005B31AB" w:rsidRDefault="005B31AB" w:rsidP="005B31AB">
      <w:r>
        <w:t xml:space="preserve">Reviews of the </w:t>
      </w:r>
      <w:hyperlink r:id="rId32" w:history="1">
        <w:r w:rsidRPr="004E6598">
          <w:rPr>
            <w:rStyle w:val="Hyperlink"/>
          </w:rPr>
          <w:t>Australian Brain Cancer Mission</w:t>
        </w:r>
      </w:hyperlink>
      <w:r>
        <w:t xml:space="preserve"> and the </w:t>
      </w:r>
      <w:hyperlink r:id="rId33" w:history="1">
        <w:r w:rsidRPr="00012A68">
          <w:rPr>
            <w:rStyle w:val="Hyperlink"/>
          </w:rPr>
          <w:t>Genomics Health Futures Mission</w:t>
        </w:r>
      </w:hyperlink>
      <w:r>
        <w:t xml:space="preserve"> found that limited progress had been made in embedding technologies and interventions into health practice. However, the report on the </w:t>
      </w:r>
      <w:hyperlink r:id="rId34" w:history="1">
        <w:r w:rsidRPr="004E6598">
          <w:rPr>
            <w:rStyle w:val="Hyperlink"/>
          </w:rPr>
          <w:t>MRFF Coronavirus Research Response</w:t>
        </w:r>
      </w:hyperlink>
      <w:r>
        <w:t xml:space="preserve"> found that MRFF grants supported research into novel antiviral treatments, as well as ways to repurpose current treatments.</w:t>
      </w:r>
    </w:p>
    <w:p w14:paraId="478D0794" w14:textId="77777777" w:rsidR="005B31AB" w:rsidRPr="00D53555" w:rsidRDefault="005B31AB" w:rsidP="005B31AB">
      <w:pPr>
        <w:pStyle w:val="Heading4"/>
      </w:pPr>
      <w:r w:rsidRPr="00D53555">
        <w:t>Research community has greater capacity and capability to undertake translational research</w:t>
      </w:r>
    </w:p>
    <w:p w14:paraId="08688D70" w14:textId="77777777" w:rsidR="005B31AB" w:rsidRPr="008D5036" w:rsidRDefault="005B31AB" w:rsidP="005B31AB">
      <w:r>
        <w:t xml:space="preserve">The MRFF performance indicators survey shows that since inception, the MRFF has supported more than 7527 research staff, and attracted $787 million in co-funding and $949 million in new funding. Reviews of MRFF Research Missions, including the </w:t>
      </w:r>
      <w:hyperlink r:id="rId35" w:history="1">
        <w:r w:rsidRPr="004E6598">
          <w:rPr>
            <w:rStyle w:val="Hyperlink"/>
          </w:rPr>
          <w:t>Million Minds Mental Health Research Mission</w:t>
        </w:r>
      </w:hyperlink>
      <w:r>
        <w:t xml:space="preserve">, the </w:t>
      </w:r>
      <w:hyperlink r:id="rId36" w:history="1">
        <w:r w:rsidRPr="004E6598">
          <w:rPr>
            <w:rStyle w:val="Hyperlink"/>
          </w:rPr>
          <w:t>Australian Brain Cancer Mission</w:t>
        </w:r>
      </w:hyperlink>
      <w:r>
        <w:t xml:space="preserve"> and the </w:t>
      </w:r>
      <w:hyperlink r:id="rId37" w:history="1">
        <w:r w:rsidRPr="00012A68">
          <w:rPr>
            <w:rStyle w:val="Hyperlink"/>
          </w:rPr>
          <w:t>Genomics Health Futures Mission</w:t>
        </w:r>
      </w:hyperlink>
      <w:r>
        <w:t xml:space="preserve"> have consistently found that the MRFF has increased the capacity of the sector to undertake translational research. These reviews identified that the MRFF has increased engagement between industry and researchers and provided training in research translation and knowledge mobilisation.</w:t>
      </w:r>
    </w:p>
    <w:p w14:paraId="2E06BEE8" w14:textId="77777777" w:rsidR="005B31AB" w:rsidRPr="00D53555" w:rsidRDefault="005B31AB" w:rsidP="005B31AB">
      <w:pPr>
        <w:pStyle w:val="Heading4"/>
      </w:pPr>
      <w:r w:rsidRPr="00D53555">
        <w:t>Health professionals adopt best practices faster</w:t>
      </w:r>
    </w:p>
    <w:p w14:paraId="53D68D1E" w14:textId="77777777" w:rsidR="005B31AB" w:rsidRDefault="005B31AB" w:rsidP="005B31AB">
      <w:r>
        <w:t xml:space="preserve">The MRFF performance indicators survey found that 42 per cent of MRFF projects have contributed to healthcare policy or guidelines and 35 per cent have changed health professional education. However, most reviews of MRFF Initiatives to date have found that it is too early to determine the impact of the MRFF on the behaviour of health professionals. The report on the </w:t>
      </w:r>
      <w:hyperlink r:id="rId38" w:history="1">
        <w:r w:rsidRPr="004E6598">
          <w:rPr>
            <w:rStyle w:val="Hyperlink"/>
          </w:rPr>
          <w:t>MRFF Coronavirus Research Response</w:t>
        </w:r>
      </w:hyperlink>
      <w:r>
        <w:t xml:space="preserve"> noted the success of “living guidelines” for clinical best practice that was funded through the MRFF.</w:t>
      </w:r>
    </w:p>
    <w:p w14:paraId="68F092A2" w14:textId="77777777" w:rsidR="005B31AB" w:rsidRPr="00D53555" w:rsidRDefault="005B31AB" w:rsidP="005B31AB">
      <w:pPr>
        <w:pStyle w:val="Heading4"/>
      </w:pPr>
      <w:r w:rsidRPr="00D53555">
        <w:t>The community engages with and adopts new technologies and treatments</w:t>
      </w:r>
    </w:p>
    <w:p w14:paraId="70364FC7" w14:textId="77777777" w:rsidR="005B31AB" w:rsidRDefault="005B31AB" w:rsidP="005B31AB">
      <w:r>
        <w:t xml:space="preserve">It is difficult to assess the ultimate impact of MRFF projects that have not yet concluded on adoption of technologies and treatments by the community. However engagement with consumers throughout the project life cycle including co-design prior to project commencement maximises the chances of successful adoption by the community. The evaluation of </w:t>
      </w:r>
      <w:r w:rsidRPr="00394FA7">
        <w:t xml:space="preserve">the </w:t>
      </w:r>
      <w:hyperlink r:id="rId39" w:history="1">
        <w:r w:rsidRPr="00156263">
          <w:rPr>
            <w:rStyle w:val="Hyperlink"/>
          </w:rPr>
          <w:t>Clinical Trials Activity Initiative</w:t>
        </w:r>
      </w:hyperlink>
      <w:r>
        <w:t xml:space="preserve"> found that 80 per cent MRFF-funded projects with clinical trials engaged with consumers in </w:t>
      </w:r>
      <w:r>
        <w:lastRenderedPageBreak/>
        <w:t>the design of their study. The performance indicators survey reports a similar figure (84 per cent)</w:t>
      </w:r>
      <w:r w:rsidRPr="007F0D6E">
        <w:t xml:space="preserve"> </w:t>
      </w:r>
      <w:r>
        <w:t>had meaningful engagement with consumers. More specifically:</w:t>
      </w:r>
    </w:p>
    <w:p w14:paraId="6E9F79F4" w14:textId="77777777" w:rsidR="005B31AB" w:rsidRDefault="005B31AB" w:rsidP="001471F6">
      <w:pPr>
        <w:pStyle w:val="List"/>
      </w:pPr>
      <w:r>
        <w:t>62 per cent involved consumer organisations as project partners or advisory groups,</w:t>
      </w:r>
    </w:p>
    <w:p w14:paraId="77167ECC" w14:textId="77777777" w:rsidR="005B31AB" w:rsidRDefault="005B31AB" w:rsidP="001471F6">
      <w:pPr>
        <w:pStyle w:val="List"/>
      </w:pPr>
      <w:r>
        <w:t>59 per cent involved consumers in priority setting and co-design,</w:t>
      </w:r>
    </w:p>
    <w:p w14:paraId="350B4D60" w14:textId="77777777" w:rsidR="005B31AB" w:rsidRDefault="005B31AB" w:rsidP="001471F6">
      <w:pPr>
        <w:pStyle w:val="List"/>
      </w:pPr>
      <w:r>
        <w:t>47 per cent involved consumers in project governance, and</w:t>
      </w:r>
    </w:p>
    <w:p w14:paraId="0DA419B2" w14:textId="148CD149" w:rsidR="005B31AB" w:rsidRPr="000A3EAC" w:rsidRDefault="005B31AB" w:rsidP="001471F6">
      <w:pPr>
        <w:pStyle w:val="List"/>
      </w:pPr>
      <w:r>
        <w:t>33 per cent involved consumers inputting into data gathering or analysis.</w:t>
      </w:r>
    </w:p>
    <w:p w14:paraId="6B7A6F85" w14:textId="77777777" w:rsidR="005B31AB" w:rsidRPr="00D53555" w:rsidRDefault="005B31AB" w:rsidP="005B31AB">
      <w:pPr>
        <w:pStyle w:val="Heading4"/>
      </w:pPr>
      <w:r w:rsidRPr="00D53555">
        <w:t>Increased commercialisation of health outcomes</w:t>
      </w:r>
    </w:p>
    <w:p w14:paraId="53152173" w14:textId="79459E08" w:rsidR="005B31AB" w:rsidRPr="002A667C" w:rsidRDefault="005B31AB" w:rsidP="005B31AB">
      <w:r>
        <w:t xml:space="preserve">The </w:t>
      </w:r>
      <w:hyperlink r:id="rId40" w:history="1">
        <w:r w:rsidRPr="00156263">
          <w:rPr>
            <w:rStyle w:val="Hyperlink"/>
          </w:rPr>
          <w:t>Medical Research Commercialisation Landscape Report</w:t>
        </w:r>
      </w:hyperlink>
      <w:r>
        <w:t xml:space="preserve"> highlighted that the MRFF has a positive </w:t>
      </w:r>
      <w:r w:rsidRPr="00105904">
        <w:t>impact on stimulating increased engagement between industry and researchers</w:t>
      </w:r>
      <w:r>
        <w:t>. However, it takes time for these impacts to occur, with the performance indicators survey and all reviews to date finding that less progress has been made on commercialisation, reflecting the early stages of the majority of MRFF-funded projects. Out of the 14 per cent of completed projects captured, the performance indicators survey did note that 19 per cent resulted in a health technology or product with improved technology maturity level, 13 per cent involved intellectual property disclosure, and 10 per cent led to a patent application or approval.</w:t>
      </w:r>
    </w:p>
    <w:p w14:paraId="6CB1146A" w14:textId="77777777" w:rsidR="005B31AB" w:rsidRPr="00A607BB" w:rsidRDefault="005B31AB" w:rsidP="005B31AB">
      <w:pPr>
        <w:pStyle w:val="Heading4"/>
      </w:pPr>
      <w:bookmarkStart w:id="22" w:name="_Toc182839239"/>
      <w:r>
        <w:t>Performance Audit</w:t>
      </w:r>
      <w:r w:rsidRPr="001474F0">
        <w:t xml:space="preserve"> of </w:t>
      </w:r>
      <w:r>
        <w:t>the</w:t>
      </w:r>
      <w:r w:rsidRPr="004E6598">
        <w:t xml:space="preserve"> </w:t>
      </w:r>
      <w:r w:rsidRPr="001474F0">
        <w:t>MRFF</w:t>
      </w:r>
    </w:p>
    <w:p w14:paraId="606905F7" w14:textId="77777777" w:rsidR="005B31AB" w:rsidRDefault="005B31AB" w:rsidP="005B31AB">
      <w:pPr>
        <w:rPr>
          <w:bCs/>
        </w:rPr>
      </w:pPr>
      <w:r w:rsidRPr="00FE1194">
        <w:rPr>
          <w:rFonts w:cstheme="minorHAnsi"/>
        </w:rPr>
        <w:t>In</w:t>
      </w:r>
      <w:r>
        <w:rPr>
          <w:bCs/>
        </w:rPr>
        <w:t xml:space="preserve"> 2021 the Australian National Audit Office (ANAO) conducted an independent performance audit of the administration of the MRFF. As part of the audit, the ANAO examined the following three criteria:</w:t>
      </w:r>
    </w:p>
    <w:p w14:paraId="3816BE75" w14:textId="77777777" w:rsidR="005B31AB" w:rsidRPr="00872B63" w:rsidRDefault="005B31AB" w:rsidP="00C53597">
      <w:pPr>
        <w:pStyle w:val="List"/>
      </w:pPr>
      <w:r w:rsidRPr="00872B63">
        <w:t>Are the MRFF governance arrangements effective?</w:t>
      </w:r>
    </w:p>
    <w:p w14:paraId="5B954D4B" w14:textId="77777777" w:rsidR="005B31AB" w:rsidRPr="00872B63" w:rsidRDefault="005B31AB" w:rsidP="00C53597">
      <w:pPr>
        <w:pStyle w:val="List"/>
      </w:pPr>
      <w:r w:rsidRPr="00872B63">
        <w:t>Are MRFF grants consistent with the requirements of relevant legislation and policy, including the MRFF Act?</w:t>
      </w:r>
    </w:p>
    <w:p w14:paraId="09C31855" w14:textId="77777777" w:rsidR="005B31AB" w:rsidRPr="004F6DB6" w:rsidRDefault="005B31AB" w:rsidP="00C53597">
      <w:pPr>
        <w:pStyle w:val="List"/>
      </w:pPr>
      <w:r w:rsidRPr="00872B63">
        <w:t>Has Health effectively reported</w:t>
      </w:r>
      <w:r w:rsidRPr="00D53555">
        <w:t xml:space="preserve"> on </w:t>
      </w:r>
      <w:r w:rsidRPr="00872B63">
        <w:t>the performance of the MRFF and evaluated the effectiveness of MRFF financial assistance?</w:t>
      </w:r>
    </w:p>
    <w:p w14:paraId="1C891F71" w14:textId="77777777" w:rsidR="005B31AB" w:rsidRDefault="005B31AB" w:rsidP="005B31AB">
      <w:pPr>
        <w:rPr>
          <w:bCs/>
        </w:rPr>
      </w:pPr>
      <w:r>
        <w:rPr>
          <w:bCs/>
        </w:rPr>
        <w:t xml:space="preserve">The audit made the following conclusions: </w:t>
      </w:r>
    </w:p>
    <w:p w14:paraId="5387EC1F" w14:textId="77777777" w:rsidR="005B31AB" w:rsidRPr="00FE1194" w:rsidRDefault="005B31AB" w:rsidP="00C53597">
      <w:pPr>
        <w:pStyle w:val="List"/>
      </w:pPr>
      <w:r>
        <w:t>t</w:t>
      </w:r>
      <w:r w:rsidRPr="00FE1194">
        <w:t xml:space="preserve">he Department of Health’s management of financial assistance </w:t>
      </w:r>
      <w:bookmarkEnd w:id="22"/>
      <w:r w:rsidRPr="00FE1194">
        <w:t>under the MRFF is largely effective</w:t>
      </w:r>
      <w:r>
        <w:t>,</w:t>
      </w:r>
    </w:p>
    <w:p w14:paraId="207A3256" w14:textId="77777777" w:rsidR="005B31AB" w:rsidRPr="00FE1194" w:rsidRDefault="005B31AB" w:rsidP="00C53597">
      <w:pPr>
        <w:pStyle w:val="List"/>
      </w:pPr>
      <w:r>
        <w:t>the</w:t>
      </w:r>
      <w:r w:rsidRPr="00FE1194">
        <w:t xml:space="preserve"> Department of Health’s governance arrangements for the management of the MRFF are largely effective</w:t>
      </w:r>
      <w:r>
        <w:t>,</w:t>
      </w:r>
    </w:p>
    <w:p w14:paraId="0AE9D540" w14:textId="77777777" w:rsidR="005B31AB" w:rsidRPr="00346324" w:rsidRDefault="005B31AB" w:rsidP="00C53597">
      <w:pPr>
        <w:pStyle w:val="List"/>
        <w:rPr>
          <w:color w:val="000000"/>
        </w:rPr>
      </w:pPr>
      <w:r>
        <w:t>t</w:t>
      </w:r>
      <w:r w:rsidRPr="00FE1194">
        <w:t xml:space="preserve">he Department of Health’s management of grants of financial assistance to support </w:t>
      </w:r>
      <w:r w:rsidRPr="00346324">
        <w:rPr>
          <w:rFonts w:eastAsia="Times New Roman"/>
          <w:kern w:val="0"/>
          <w:lang w:eastAsia="en-AU"/>
          <w14:ligatures w14:val="none"/>
        </w:rPr>
        <w:t>medical research and medical innovation</w:t>
      </w:r>
      <w:r w:rsidRPr="00FE1194">
        <w:t xml:space="preserve"> is largely consistent with the </w:t>
      </w:r>
      <w:r w:rsidRPr="00FE1194">
        <w:rPr>
          <w:i/>
          <w:iCs/>
        </w:rPr>
        <w:t>MRFF Act 2015</w:t>
      </w:r>
      <w:r w:rsidRPr="00FE1194">
        <w:t xml:space="preserve"> and the </w:t>
      </w:r>
      <w:r w:rsidRPr="00FE1194">
        <w:rPr>
          <w:i/>
          <w:iCs/>
        </w:rPr>
        <w:t>Commonwealth Grant Rules and Guidelines 2017</w:t>
      </w:r>
      <w:r w:rsidRPr="00FE1194">
        <w:t xml:space="preserve"> </w:t>
      </w:r>
      <w:r>
        <w:t>and</w:t>
      </w:r>
    </w:p>
    <w:p w14:paraId="47A6C115" w14:textId="77777777" w:rsidR="005B31AB" w:rsidRPr="00FE1194" w:rsidRDefault="005B31AB" w:rsidP="00C53597">
      <w:pPr>
        <w:pStyle w:val="List"/>
      </w:pPr>
      <w:r w:rsidRPr="00FE1194">
        <w:t>The Department of Health does not have adequate performance measures for the MRFF and has not effectively measured and reported on the performance of MRFF financial assistance in its annual performance statements.</w:t>
      </w:r>
    </w:p>
    <w:p w14:paraId="634A0B62" w14:textId="77777777" w:rsidR="005B31AB" w:rsidRPr="00A30E92" w:rsidRDefault="005B31AB" w:rsidP="005B31AB">
      <w:pPr>
        <w:rPr>
          <w:rFonts w:cstheme="minorHAnsi"/>
        </w:rPr>
      </w:pPr>
      <w:r w:rsidRPr="00BE61E0">
        <w:rPr>
          <w:rFonts w:cstheme="minorHAnsi"/>
        </w:rPr>
        <w:t xml:space="preserve">The audit </w:t>
      </w:r>
      <w:r>
        <w:rPr>
          <w:rFonts w:cstheme="minorHAnsi"/>
        </w:rPr>
        <w:t xml:space="preserve">also found that </w:t>
      </w:r>
      <w:r w:rsidRPr="00BE61E0">
        <w:rPr>
          <w:rFonts w:cstheme="minorHAnsi"/>
        </w:rPr>
        <w:t xml:space="preserve">Health has not formalised arrangements with NHMRC for coherent and consistent coordination of </w:t>
      </w:r>
      <w:r>
        <w:rPr>
          <w:rFonts w:cstheme="minorHAnsi"/>
        </w:rPr>
        <w:t xml:space="preserve">MRFF funding and NHMRC programs, and acknowledged that </w:t>
      </w:r>
      <w:r w:rsidRPr="00A30E92">
        <w:rPr>
          <w:rFonts w:cstheme="minorHAnsi"/>
        </w:rPr>
        <w:t xml:space="preserve">Health focuses on gaps in existing investments, research gaps, and areas of unmet need, and considers </w:t>
      </w:r>
      <w:r w:rsidRPr="00A30E92">
        <w:rPr>
          <w:rFonts w:cstheme="minorHAnsi"/>
        </w:rPr>
        <w:lastRenderedPageBreak/>
        <w:t>potential capacity within the sector when establishing the objectives and scope of MRFF grant opportunities.</w:t>
      </w:r>
    </w:p>
    <w:p w14:paraId="2AA396C1" w14:textId="77777777" w:rsidR="005B31AB" w:rsidRDefault="005B31AB" w:rsidP="005B31AB">
      <w:pPr>
        <w:rPr>
          <w:rFonts w:cstheme="minorHAnsi"/>
        </w:rPr>
      </w:pPr>
      <w:r w:rsidRPr="00A30E92">
        <w:rPr>
          <w:rFonts w:cstheme="minorHAnsi"/>
        </w:rPr>
        <w:t>In response, the Department of Health and Aged Care</w:t>
      </w:r>
      <w:r>
        <w:rPr>
          <w:rFonts w:cstheme="minorHAnsi"/>
        </w:rPr>
        <w:t xml:space="preserve"> has:</w:t>
      </w:r>
    </w:p>
    <w:p w14:paraId="60DB3005" w14:textId="77777777" w:rsidR="005B31AB" w:rsidRDefault="005B31AB" w:rsidP="00C53597">
      <w:pPr>
        <w:pStyle w:val="List"/>
      </w:pPr>
      <w:r>
        <w:t xml:space="preserve">updated its </w:t>
      </w:r>
      <w:r w:rsidRPr="00865A9B">
        <w:t>performance statements on the performance of MRFF financial assistance, with the intent to enable an assessment of the program’s performance for each financial year and consideration of outcomes and impact achieved</w:t>
      </w:r>
      <w:r>
        <w:t>, and</w:t>
      </w:r>
    </w:p>
    <w:p w14:paraId="53CE1BB6" w14:textId="77777777" w:rsidR="005B31AB" w:rsidRDefault="005B31AB" w:rsidP="00C53597">
      <w:pPr>
        <w:pStyle w:val="List"/>
      </w:pPr>
      <w:r w:rsidRPr="00A30E92">
        <w:t xml:space="preserve">conducted the consultation on </w:t>
      </w:r>
      <w:r w:rsidRPr="00A30E92">
        <w:rPr>
          <w:i/>
        </w:rPr>
        <w:t>Improving alignment and coordination between the Medical Research Future Fund and Medical Research Endowment Account</w:t>
      </w:r>
      <w:r w:rsidRPr="00A30E92">
        <w:t xml:space="preserve">. The outcomes of this consultation led to increased alignment work between the two agencies as described </w:t>
      </w:r>
      <w:r>
        <w:t xml:space="preserve">on </w:t>
      </w:r>
      <w:r w:rsidRPr="00C84AAB">
        <w:t xml:space="preserve">page </w:t>
      </w:r>
      <w:r>
        <w:t>34</w:t>
      </w:r>
      <w:r w:rsidRPr="00A30E92">
        <w:t>.</w:t>
      </w:r>
    </w:p>
    <w:p w14:paraId="250A048A" w14:textId="77777777" w:rsidR="005B31AB" w:rsidRPr="0057243B" w:rsidRDefault="005B31AB" w:rsidP="005B31AB">
      <w:pPr>
        <w:pStyle w:val="Heading4"/>
      </w:pPr>
      <w:r w:rsidRPr="006B23E8">
        <w:t>Financial Assistance Reports</w:t>
      </w:r>
    </w:p>
    <w:p w14:paraId="0C5CD96F" w14:textId="77777777" w:rsidR="005B31AB" w:rsidRPr="001474F0" w:rsidRDefault="005B31AB" w:rsidP="005B31AB">
      <w:r>
        <w:rPr>
          <w:rFonts w:cstheme="minorHAnsi"/>
        </w:rPr>
        <w:t xml:space="preserve">Section 57A of the MRFF Act requires that the Health Minister must, </w:t>
      </w:r>
      <w:r w:rsidRPr="00865A9B">
        <w:rPr>
          <w:rFonts w:cstheme="minorHAnsi"/>
        </w:rPr>
        <w:t xml:space="preserve">as soon as practicable after the most recent </w:t>
      </w:r>
      <w:r w:rsidRPr="006B23E8">
        <w:rPr>
          <w:rFonts w:cstheme="minorHAnsi"/>
          <w:i/>
        </w:rPr>
        <w:t>Australian Medical Research and Innovation Priorities</w:t>
      </w:r>
      <w:r w:rsidRPr="00865A9B">
        <w:rPr>
          <w:rFonts w:cstheme="minorHAnsi"/>
        </w:rPr>
        <w:t xml:space="preserve"> cease to be in force, prepare a report on the financial assistance provided </w:t>
      </w:r>
      <w:r w:rsidRPr="001474F0">
        <w:t>for medical research and medical innovation</w:t>
      </w:r>
      <w:r w:rsidRPr="00865A9B">
        <w:rPr>
          <w:rFonts w:cstheme="minorHAnsi"/>
        </w:rPr>
        <w:t xml:space="preserve"> from the </w:t>
      </w:r>
      <w:r>
        <w:rPr>
          <w:rFonts w:cstheme="minorHAnsi"/>
        </w:rPr>
        <w:t xml:space="preserve">MRFF </w:t>
      </w:r>
      <w:r w:rsidRPr="00865A9B">
        <w:rPr>
          <w:rFonts w:cstheme="minorHAnsi"/>
        </w:rPr>
        <w:t>Special Account during the period the Priorities were in force.</w:t>
      </w:r>
    </w:p>
    <w:p w14:paraId="610E2CBF" w14:textId="58F2C9F1" w:rsidR="005B31AB" w:rsidRDefault="005B31AB" w:rsidP="005B31AB">
      <w:pPr>
        <w:spacing w:before="240"/>
        <w:rPr>
          <w:rFonts w:cstheme="minorHAnsi"/>
          <w:iCs/>
        </w:rPr>
      </w:pPr>
      <w:r>
        <w:rPr>
          <w:rFonts w:cstheme="minorHAnsi"/>
        </w:rPr>
        <w:t>There have been three ‘</w:t>
      </w:r>
      <w:r w:rsidRPr="00EE4206">
        <w:rPr>
          <w:rFonts w:cstheme="minorHAnsi"/>
          <w:i/>
          <w:iCs/>
        </w:rPr>
        <w:t>Financial assistance to support the Australian Medical Research and Innovation Priorities</w:t>
      </w:r>
      <w:r>
        <w:rPr>
          <w:rFonts w:cstheme="minorHAnsi"/>
          <w:i/>
          <w:iCs/>
        </w:rPr>
        <w:t xml:space="preserve">’ </w:t>
      </w:r>
      <w:r w:rsidRPr="00AC11B2">
        <w:rPr>
          <w:rFonts w:cstheme="minorHAnsi"/>
          <w:iCs/>
        </w:rPr>
        <w:t>reports to date</w:t>
      </w:r>
      <w:r>
        <w:rPr>
          <w:rFonts w:cstheme="minorHAnsi"/>
          <w:iCs/>
        </w:rPr>
        <w:t>.</w:t>
      </w:r>
    </w:p>
    <w:p w14:paraId="77D788C7" w14:textId="753A0B99" w:rsidR="005B31AB" w:rsidRDefault="005B31AB" w:rsidP="005B31AB">
      <w:pPr>
        <w:spacing w:before="240"/>
      </w:pPr>
      <w:r>
        <w:rPr>
          <w:rFonts w:cstheme="minorHAnsi"/>
        </w:rPr>
        <w:t>The most recent report, ‘</w:t>
      </w:r>
      <w:r w:rsidRPr="00EE4206">
        <w:rPr>
          <w:rFonts w:cstheme="minorHAnsi"/>
          <w:i/>
          <w:iCs/>
        </w:rPr>
        <w:t>Financial assistance to support the Australian Medical Research and Innovation Priorities 2020–2022</w:t>
      </w:r>
      <w:r>
        <w:rPr>
          <w:rFonts w:cstheme="minorHAnsi"/>
          <w:i/>
          <w:iCs/>
        </w:rPr>
        <w:t>’</w:t>
      </w:r>
      <w:r>
        <w:rPr>
          <w:rStyle w:val="FootnoteReference"/>
          <w:rFonts w:cstheme="minorHAnsi"/>
          <w:color w:val="0563C1" w:themeColor="hyperlink"/>
          <w:u w:val="single"/>
        </w:rPr>
        <w:footnoteReference w:id="24"/>
      </w:r>
      <w:r>
        <w:rPr>
          <w:rFonts w:cstheme="minorHAnsi"/>
          <w:i/>
          <w:iCs/>
        </w:rPr>
        <w:t xml:space="preserve"> </w:t>
      </w:r>
      <w:r>
        <w:rPr>
          <w:rFonts w:cstheme="minorHAnsi"/>
        </w:rPr>
        <w:t xml:space="preserve">found that </w:t>
      </w:r>
      <w:r>
        <w:t>MRFF grants have increased support for medical research commercialisation and enabled clinical trials research, addressed unmet demand for research in rural health, and prioritised leadership of Aboriginal and/or Torres Strait Islander researchers and communities in research on First Nations health.</w:t>
      </w:r>
    </w:p>
    <w:p w14:paraId="22A741FD" w14:textId="77777777" w:rsidR="005B31AB" w:rsidRPr="001474F0" w:rsidRDefault="005B31AB" w:rsidP="005B31AB">
      <w:r>
        <w:t xml:space="preserve">All three reports have found that </w:t>
      </w:r>
      <w:r w:rsidRPr="00D46257">
        <w:t>MRFF funding has complemented and enhanced other financial assistance provided by the Commonwealth for medical research and medical innovation</w:t>
      </w:r>
      <w:r>
        <w:t>.</w:t>
      </w:r>
    </w:p>
    <w:tbl>
      <w:tblPr>
        <w:tblStyle w:val="TableGrid"/>
        <w:tblW w:w="0" w:type="auto"/>
        <w:tblLook w:val="04A0" w:firstRow="1" w:lastRow="0" w:firstColumn="1" w:lastColumn="0" w:noHBand="0" w:noVBand="1"/>
      </w:tblPr>
      <w:tblGrid>
        <w:gridCol w:w="9016"/>
      </w:tblGrid>
      <w:tr w:rsidR="005B31AB" w14:paraId="44E49A7C" w14:textId="77777777" w:rsidTr="001834D0">
        <w:tc>
          <w:tcPr>
            <w:tcW w:w="9016" w:type="dxa"/>
            <w:shd w:val="clear" w:color="auto" w:fill="E7E6E6" w:themeFill="background2"/>
          </w:tcPr>
          <w:p w14:paraId="059B5EF4" w14:textId="77777777" w:rsidR="005B31AB" w:rsidRPr="003163A6" w:rsidRDefault="005B31AB" w:rsidP="001834D0">
            <w:pPr>
              <w:pStyle w:val="Heading4"/>
            </w:pPr>
            <w:r>
              <w:t>Finding 5</w:t>
            </w:r>
          </w:p>
          <w:p w14:paraId="0BE75640" w14:textId="416FC296" w:rsidR="005B31AB" w:rsidRDefault="005B31AB" w:rsidP="00CA4434">
            <w:pPr>
              <w:spacing w:before="120" w:after="360"/>
            </w:pPr>
            <w:r>
              <w:t>The MRFF is meeting the object of the MRFF Act to ‘improve the health and wellbeing of Australians by establishing the MRFF to provide grants of financial assistance to support medical research and medical innovation’.</w:t>
            </w:r>
          </w:p>
        </w:tc>
      </w:tr>
    </w:tbl>
    <w:p w14:paraId="01896358" w14:textId="77777777" w:rsidR="002E5323" w:rsidRPr="002E5323" w:rsidRDefault="002E5323">
      <w:pPr>
        <w:rPr>
          <w:rFonts w:ascii="Calibri" w:eastAsia="Times New Roman" w:hAnsi="Calibri" w:cs="Arial"/>
          <w:color w:val="030509"/>
          <w:kern w:val="32"/>
          <w:sz w:val="24"/>
          <w:szCs w:val="24"/>
          <w:lang w:eastAsia="en-AU"/>
          <w14:ligatures w14:val="none"/>
        </w:rPr>
      </w:pPr>
      <w:bookmarkStart w:id="23" w:name="_Toc185589244"/>
      <w:r>
        <w:rPr>
          <w:b/>
        </w:rPr>
        <w:br w:type="page"/>
      </w:r>
    </w:p>
    <w:p w14:paraId="622B4100" w14:textId="1886AC36" w:rsidR="005B31AB" w:rsidRPr="00C3619F" w:rsidRDefault="005B31AB" w:rsidP="002E5323">
      <w:pPr>
        <w:pStyle w:val="Heading1"/>
        <w:spacing w:after="220"/>
        <w:rPr>
          <w:bCs/>
        </w:rPr>
      </w:pPr>
      <w:r w:rsidRPr="00C3619F">
        <w:rPr>
          <w:bCs/>
        </w:rPr>
        <w:lastRenderedPageBreak/>
        <w:t>Impact of MRFF on financial assistance for medical research and medical innovation</w:t>
      </w:r>
      <w:bookmarkEnd w:id="23"/>
    </w:p>
    <w:p w14:paraId="3069774A" w14:textId="31908704" w:rsidR="005B31AB" w:rsidRPr="00D46257" w:rsidRDefault="005B31AB" w:rsidP="005B31AB">
      <w:pPr>
        <w:keepNext/>
        <w:keepLines/>
      </w:pPr>
      <w:r>
        <w:rPr>
          <w:rFonts w:cstheme="minorHAnsi"/>
        </w:rPr>
        <w:t>In considering how the MRFF has complemented, enhanced or otherwise affected other financial assistance provided by the Commonwealth for medical research and medical innovation, this review considered</w:t>
      </w:r>
      <w:r w:rsidRPr="00D46257">
        <w:t>:</w:t>
      </w:r>
    </w:p>
    <w:p w14:paraId="59122700" w14:textId="197B1FE4" w:rsidR="005B31AB" w:rsidRPr="00EB1276" w:rsidRDefault="005B31AB" w:rsidP="003E112C">
      <w:pPr>
        <w:pStyle w:val="List"/>
      </w:pPr>
      <w:r w:rsidRPr="00EB1276">
        <w:t xml:space="preserve">the </w:t>
      </w:r>
      <w:r>
        <w:t>NHMRC</w:t>
      </w:r>
      <w:r w:rsidRPr="00EB1276">
        <w:t xml:space="preserve">, which </w:t>
      </w:r>
      <w:r>
        <w:t>disburses</w:t>
      </w:r>
      <w:r w:rsidRPr="00EB1276">
        <w:t xml:space="preserve"> health and medical research grants from the </w:t>
      </w:r>
      <w:r>
        <w:t>MREA towards investigator-led research,</w:t>
      </w:r>
    </w:p>
    <w:p w14:paraId="286F1207" w14:textId="77777777" w:rsidR="005B31AB" w:rsidRPr="00EB1276" w:rsidRDefault="005B31AB" w:rsidP="003E112C">
      <w:pPr>
        <w:pStyle w:val="List"/>
      </w:pPr>
      <w:r w:rsidRPr="00EB1276">
        <w:t>the Biomedical Translation Fund (BTF)</w:t>
      </w:r>
      <w:r>
        <w:t xml:space="preserve">, an equity co-investment venture capital program which provides matched funding </w:t>
      </w:r>
      <w:r w:rsidRPr="00EB1276">
        <w:t>to private sector fund managers to develop and commercialise biomedical discoveries in Australia</w:t>
      </w:r>
      <w:r>
        <w:t>, and</w:t>
      </w:r>
    </w:p>
    <w:p w14:paraId="48136704" w14:textId="77777777" w:rsidR="005B31AB" w:rsidRDefault="005B31AB" w:rsidP="003E112C">
      <w:pPr>
        <w:pStyle w:val="List"/>
        <w:rPr>
          <w:sz w:val="20"/>
          <w:szCs w:val="20"/>
        </w:rPr>
      </w:pPr>
      <w:r w:rsidRPr="00EB1276">
        <w:t xml:space="preserve">other financial assistance provided by the Commonwealth </w:t>
      </w:r>
      <w:r>
        <w:t xml:space="preserve">as captured in the </w:t>
      </w:r>
      <w:hyperlink r:id="rId41" w:history="1">
        <w:r w:rsidRPr="00A438F3">
          <w:rPr>
            <w:rStyle w:val="Hyperlink"/>
          </w:rPr>
          <w:t>Science Research and Innovation budget tables</w:t>
        </w:r>
      </w:hyperlink>
      <w:r>
        <w:t xml:space="preserve"> published by the Department of Industry, Science and Resources</w:t>
      </w:r>
      <w:r w:rsidRPr="00EB1276">
        <w:t>.</w:t>
      </w:r>
    </w:p>
    <w:p w14:paraId="2B63E171" w14:textId="77777777" w:rsidR="005B31AB" w:rsidRDefault="005B31AB" w:rsidP="001E182E">
      <w:pPr>
        <w:pStyle w:val="Bullet"/>
        <w:ind w:left="0" w:firstLine="0"/>
        <w:rPr>
          <w:b/>
        </w:rPr>
      </w:pPr>
      <w:r>
        <w:t>Chart 3 shows that since the introduction of the MRFF, Commonwealth funding for medical research and innovation has increased from $950 million in 2016-17 to $1.6 billion in 2021-22.</w:t>
      </w:r>
    </w:p>
    <w:p w14:paraId="0ADDD42C" w14:textId="5CC77D7F" w:rsidR="005B31AB" w:rsidRDefault="005B31AB" w:rsidP="00593EA2">
      <w:pPr>
        <w:pStyle w:val="Caption"/>
      </w:pPr>
      <w:r w:rsidRPr="00B9665E">
        <w:t xml:space="preserve">Chart </w:t>
      </w:r>
      <w:r>
        <w:t>3</w:t>
      </w:r>
      <w:r w:rsidRPr="00B9665E">
        <w:t>: Commonwealth funding for medical research and innovation over time</w:t>
      </w:r>
    </w:p>
    <w:p w14:paraId="7B215394" w14:textId="77777777" w:rsidR="005B31AB" w:rsidRPr="008A6E04" w:rsidRDefault="005B31AB" w:rsidP="005B31AB">
      <w:pPr>
        <w:rPr>
          <w:lang w:eastAsia="en-AU"/>
        </w:rPr>
      </w:pPr>
      <w:r>
        <w:rPr>
          <w:rFonts w:ascii="Calibri" w:eastAsia="Times New Roman" w:hAnsi="Calibri" w:cs="Arial"/>
          <w:noProof/>
          <w:color w:val="4472C4" w:themeColor="accent1"/>
          <w:kern w:val="32"/>
          <w:sz w:val="36"/>
          <w:szCs w:val="28"/>
          <w:lang w:eastAsia="en-AU"/>
          <w14:ligatures w14:val="none"/>
        </w:rPr>
        <w:drawing>
          <wp:inline distT="0" distB="0" distL="0" distR="0" wp14:anchorId="2585EFCD" wp14:editId="3DEF6742">
            <wp:extent cx="5580000" cy="2880000"/>
            <wp:effectExtent l="0" t="0" r="0" b="0"/>
            <wp:docPr id="1188332464" name="Chart 1" descr="A graph illustrating Commonwealth funding for medical research and innovation between 2016-17 and  2021-22.">
              <a:extLst xmlns:a="http://schemas.openxmlformats.org/drawingml/2006/main">
                <a:ext uri="{FF2B5EF4-FFF2-40B4-BE49-F238E27FC236}">
                  <a16:creationId xmlns:a16="http://schemas.microsoft.com/office/drawing/2014/main" id="{F9EC8536-9FA6-1FBA-080C-969F21452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904C6D" w14:textId="514C358E" w:rsidR="005B31AB" w:rsidRPr="007E51E4" w:rsidRDefault="005B31AB" w:rsidP="005B31AB">
      <w:pPr>
        <w:rPr>
          <w:sz w:val="20"/>
          <w:szCs w:val="20"/>
          <w:lang w:eastAsia="en-AU"/>
        </w:rPr>
      </w:pPr>
      <w:r w:rsidRPr="007E51E4">
        <w:rPr>
          <w:sz w:val="20"/>
          <w:szCs w:val="20"/>
          <w:lang w:eastAsia="en-AU"/>
        </w:rPr>
        <w:t xml:space="preserve">Source: </w:t>
      </w:r>
      <w:r w:rsidRPr="008314C2">
        <w:rPr>
          <w:i/>
          <w:iCs/>
          <w:sz w:val="20"/>
          <w:szCs w:val="20"/>
          <w:lang w:eastAsia="en-AU"/>
        </w:rPr>
        <w:t>Financial Assistance to support the Australian Medical Research and Innovation Priorities 2016-</w:t>
      </w:r>
      <w:r>
        <w:rPr>
          <w:i/>
          <w:iCs/>
          <w:sz w:val="20"/>
          <w:szCs w:val="20"/>
          <w:lang w:eastAsia="en-AU"/>
        </w:rPr>
        <w:t>20</w:t>
      </w:r>
      <w:r w:rsidRPr="008314C2">
        <w:rPr>
          <w:i/>
          <w:iCs/>
          <w:sz w:val="20"/>
          <w:szCs w:val="20"/>
          <w:lang w:eastAsia="en-AU"/>
        </w:rPr>
        <w:t>18</w:t>
      </w:r>
      <w:r>
        <w:rPr>
          <w:sz w:val="20"/>
          <w:szCs w:val="20"/>
          <w:lang w:eastAsia="en-AU"/>
        </w:rPr>
        <w:t xml:space="preserve">, </w:t>
      </w:r>
      <w:r w:rsidRPr="008314C2">
        <w:rPr>
          <w:i/>
          <w:iCs/>
          <w:sz w:val="20"/>
          <w:szCs w:val="20"/>
          <w:lang w:eastAsia="en-AU"/>
        </w:rPr>
        <w:t>2018-</w:t>
      </w:r>
      <w:r>
        <w:rPr>
          <w:i/>
          <w:iCs/>
          <w:sz w:val="20"/>
          <w:szCs w:val="20"/>
          <w:lang w:eastAsia="en-AU"/>
        </w:rPr>
        <w:t>20</w:t>
      </w:r>
      <w:r w:rsidRPr="008314C2">
        <w:rPr>
          <w:i/>
          <w:iCs/>
          <w:sz w:val="20"/>
          <w:szCs w:val="20"/>
          <w:lang w:eastAsia="en-AU"/>
        </w:rPr>
        <w:t>20</w:t>
      </w:r>
      <w:r>
        <w:rPr>
          <w:sz w:val="20"/>
          <w:szCs w:val="20"/>
          <w:lang w:eastAsia="en-AU"/>
        </w:rPr>
        <w:t xml:space="preserve"> and </w:t>
      </w:r>
      <w:r w:rsidRPr="008314C2">
        <w:rPr>
          <w:i/>
          <w:iCs/>
          <w:sz w:val="20"/>
          <w:szCs w:val="20"/>
          <w:lang w:eastAsia="en-AU"/>
        </w:rPr>
        <w:t>2020-</w:t>
      </w:r>
      <w:r>
        <w:rPr>
          <w:i/>
          <w:iCs/>
          <w:sz w:val="20"/>
          <w:szCs w:val="20"/>
          <w:lang w:eastAsia="en-AU"/>
        </w:rPr>
        <w:t>20</w:t>
      </w:r>
      <w:r w:rsidRPr="008314C2">
        <w:rPr>
          <w:i/>
          <w:iCs/>
          <w:sz w:val="20"/>
          <w:szCs w:val="20"/>
          <w:lang w:eastAsia="en-AU"/>
        </w:rPr>
        <w:t>22</w:t>
      </w:r>
      <w:r>
        <w:rPr>
          <w:sz w:val="20"/>
          <w:szCs w:val="20"/>
          <w:lang w:eastAsia="en-AU"/>
        </w:rPr>
        <w:t xml:space="preserve"> reports</w:t>
      </w:r>
    </w:p>
    <w:p w14:paraId="62D0CE95" w14:textId="77777777" w:rsidR="005B31AB" w:rsidRDefault="005B31AB" w:rsidP="005B31AB">
      <w:r w:rsidRPr="00C505E2">
        <w:rPr>
          <w:lang w:eastAsia="en-AU"/>
        </w:rPr>
        <w:t xml:space="preserve">There has been ongoing, significant sector feedback recommending that MRFF funding supports the full costs of research to keep up with increasing costs, demand and unmet need for health and medical research. This feedback has been provided by several stakeholders, including by Research Australia, the Australian Academy of Health and Medicine Sciences and the Association of Australian Medical Research Institutes. There are currently no funding mechanisms to support the indirect costs of research, such as organisation overhead costs that support research, nor for annual indexation of </w:t>
      </w:r>
      <w:r w:rsidRPr="00C505E2">
        <w:rPr>
          <w:lang w:eastAsia="en-AU"/>
        </w:rPr>
        <w:lastRenderedPageBreak/>
        <w:t>MRFF disbursements. Indirect research costs are estimated to be at least 63</w:t>
      </w:r>
      <w:r>
        <w:rPr>
          <w:lang w:eastAsia="en-AU"/>
        </w:rPr>
        <w:t xml:space="preserve"> cents</w:t>
      </w:r>
      <w:r w:rsidRPr="00C505E2">
        <w:rPr>
          <w:lang w:eastAsia="en-AU"/>
        </w:rPr>
        <w:t xml:space="preserve"> for every $1</w:t>
      </w:r>
      <w:r>
        <w:rPr>
          <w:lang w:eastAsia="en-AU"/>
        </w:rPr>
        <w:t> </w:t>
      </w:r>
      <w:r w:rsidRPr="00C505E2">
        <w:rPr>
          <w:lang w:eastAsia="en-AU"/>
        </w:rPr>
        <w:t>spent on research.</w:t>
      </w:r>
      <w:r>
        <w:rPr>
          <w:rStyle w:val="FootnoteReference"/>
          <w:lang w:eastAsia="en-AU"/>
        </w:rPr>
        <w:footnoteReference w:id="25"/>
      </w:r>
    </w:p>
    <w:p w14:paraId="7F9213ED" w14:textId="77777777" w:rsidR="005B31AB" w:rsidRDefault="005B31AB" w:rsidP="005B31AB">
      <w:pPr>
        <w:pStyle w:val="Heading2"/>
        <w:spacing w:before="240"/>
      </w:pPr>
      <w:bookmarkStart w:id="24" w:name="_Toc185589245"/>
      <w:r>
        <w:t>Role of MRFF in the Commonwealth’s health innovation ecosystem</w:t>
      </w:r>
      <w:bookmarkEnd w:id="24"/>
    </w:p>
    <w:p w14:paraId="22135739" w14:textId="77777777" w:rsidR="005B31AB" w:rsidRDefault="005B31AB" w:rsidP="005B31AB">
      <w:pPr>
        <w:spacing w:before="240"/>
      </w:pPr>
      <w:r>
        <w:t>Figure 3 describes how the MRFF aims to complement health and medical research funding provided through the NHMRC, BTF and private sector.</w:t>
      </w:r>
    </w:p>
    <w:p w14:paraId="5B05DD61" w14:textId="77777777" w:rsidR="005B31AB" w:rsidRPr="00C95303" w:rsidRDefault="005B31AB" w:rsidP="00593EA2">
      <w:pPr>
        <w:pStyle w:val="Caption"/>
      </w:pPr>
      <w:r>
        <w:t>Figure 3: Government support across the health innovation lifecycle</w:t>
      </w:r>
    </w:p>
    <w:p w14:paraId="0B0AAA82" w14:textId="77777777" w:rsidR="005B31AB" w:rsidRDefault="005B31AB" w:rsidP="005B31AB">
      <w:r>
        <w:rPr>
          <w:noProof/>
          <w:lang w:eastAsia="en-AU"/>
        </w:rPr>
        <w:drawing>
          <wp:inline distT="0" distB="0" distL="0" distR="0" wp14:anchorId="172F4287" wp14:editId="0B17E41A">
            <wp:extent cx="5730432" cy="2886075"/>
            <wp:effectExtent l="0" t="0" r="3810" b="0"/>
            <wp:docPr id="1" name="Picture 1" descr="cid:image001.png@01DB0AB2.24A34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id:image001.png@01DB0AB2.24A34D60"/>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b="10408"/>
                    <a:stretch/>
                  </pic:blipFill>
                  <pic:spPr bwMode="auto">
                    <a:xfrm>
                      <a:off x="0" y="0"/>
                      <a:ext cx="5731510" cy="2886618"/>
                    </a:xfrm>
                    <a:prstGeom prst="rect">
                      <a:avLst/>
                    </a:prstGeom>
                    <a:noFill/>
                    <a:ln>
                      <a:noFill/>
                    </a:ln>
                    <a:extLst>
                      <a:ext uri="{53640926-AAD7-44D8-BBD7-CCE9431645EC}">
                        <a14:shadowObscured xmlns:a14="http://schemas.microsoft.com/office/drawing/2010/main"/>
                      </a:ext>
                    </a:extLst>
                  </pic:spPr>
                </pic:pic>
              </a:graphicData>
            </a:graphic>
          </wp:inline>
        </w:drawing>
      </w:r>
    </w:p>
    <w:p w14:paraId="333BEFA8" w14:textId="77777777" w:rsidR="005B31AB" w:rsidRPr="009F0232" w:rsidRDefault="005B31AB" w:rsidP="005B31AB">
      <w:pPr>
        <w:rPr>
          <w:sz w:val="20"/>
          <w:szCs w:val="20"/>
          <w:lang w:eastAsia="en-AU"/>
        </w:rPr>
      </w:pPr>
      <w:bookmarkStart w:id="25" w:name="_Toc178329062"/>
      <w:r w:rsidRPr="007763B9">
        <w:rPr>
          <w:sz w:val="20"/>
          <w:szCs w:val="20"/>
        </w:rPr>
        <w:t>Source: Department of Health and Aged Care</w:t>
      </w:r>
    </w:p>
    <w:p w14:paraId="1D65BCE0" w14:textId="77777777" w:rsidR="005B31AB" w:rsidRPr="00065D75" w:rsidRDefault="005B31AB" w:rsidP="005B31AB">
      <w:pPr>
        <w:pStyle w:val="Heading2"/>
        <w:spacing w:before="240" w:after="120"/>
        <w:rPr>
          <w:b/>
          <w:bCs/>
          <w:sz w:val="28"/>
        </w:rPr>
      </w:pPr>
      <w:bookmarkStart w:id="26" w:name="_Toc185589246"/>
      <w:r w:rsidRPr="00065D75">
        <w:rPr>
          <w:b/>
          <w:bCs/>
          <w:sz w:val="28"/>
        </w:rPr>
        <w:t>MRFF and the NHMRC</w:t>
      </w:r>
      <w:bookmarkEnd w:id="25"/>
      <w:bookmarkEnd w:id="26"/>
      <w:r w:rsidRPr="00065D75">
        <w:rPr>
          <w:b/>
          <w:bCs/>
          <w:sz w:val="28"/>
        </w:rPr>
        <w:t xml:space="preserve"> </w:t>
      </w:r>
    </w:p>
    <w:p w14:paraId="630BA3BB" w14:textId="23163F5F" w:rsidR="005B31AB" w:rsidRPr="004F6DB6" w:rsidRDefault="005B31AB" w:rsidP="005B31AB">
      <w:pPr>
        <w:rPr>
          <w:lang w:val="en-US"/>
          <w14:ligatures w14:val="none"/>
        </w:rPr>
      </w:pPr>
      <w:r>
        <w:rPr>
          <w:lang w:val="en-US"/>
          <w14:ligatures w14:val="none"/>
        </w:rPr>
        <w:t>The following section considers, in accordance with section 62 of the MRFF Act, how the MRFF and NHMRC complement each other.</w:t>
      </w:r>
    </w:p>
    <w:p w14:paraId="50952C47" w14:textId="5951682C" w:rsidR="005B31AB" w:rsidRDefault="005B31AB" w:rsidP="005B31AB">
      <w:r>
        <w:t>The MRFF Act states that the MRFF is to provide grants to support medical research and medical innovation. Medical innovation includes the translation, application and commercialisation of research outcomes. The</w:t>
      </w:r>
      <w:r w:rsidRPr="00841F3B">
        <w:t xml:space="preserve"> </w:t>
      </w:r>
      <w:r>
        <w:t xml:space="preserve">NHMRC’s grant program is governed by the </w:t>
      </w:r>
      <w:r w:rsidRPr="00041DAB">
        <w:rPr>
          <w:i/>
        </w:rPr>
        <w:t>National Health and Medical Research Council Act 1992</w:t>
      </w:r>
      <w:r w:rsidRPr="005F2B03">
        <w:rPr>
          <w:iCs/>
        </w:rPr>
        <w:t>, which</w:t>
      </w:r>
      <w:r>
        <w:t xml:space="preserve"> makes no specific reference to the translation, application or commercialisation of medical research. </w:t>
      </w:r>
      <w:r>
        <w:rPr>
          <w:lang w:val="en-US"/>
          <w14:ligatures w14:val="none"/>
        </w:rPr>
        <w:t>These differences have helped support a research funding ecosystem in which the MRFF and NHMRC provide complementary funding.</w:t>
      </w:r>
    </w:p>
    <w:p w14:paraId="05D0767D" w14:textId="6E01E23E" w:rsidR="005B31AB" w:rsidRDefault="005B31AB" w:rsidP="005B31AB">
      <w:r>
        <w:t>The MRFF grant program is priority-led, in which topics for research funding aim to address identified and unmet needs and emerging health challenges. It has a particular focus on translational research and associated outcomes, which enables rapid and flexible disbursements to respond to emerging issues such as the COVID-19 pandemic.</w:t>
      </w:r>
    </w:p>
    <w:p w14:paraId="295E52F5" w14:textId="77777777" w:rsidR="005B31AB" w:rsidRDefault="005B31AB" w:rsidP="005B31AB">
      <w:r>
        <w:lastRenderedPageBreak/>
        <w:t>The NHMRC grant program comprises competitive funding schemes that call for investigator-initiated proposals in any field of human health. The NHMRC designs each grant scheme to achieve defined overall goals – such as capacity building, clinical trials, partnerships with health services and policy makers, and proof-of-concept research – while remaining agnostic about the health issues and priorities that are addressed in doing so. While some grant rounds are directed at a particular health issue or technology, most NHMRC schemes support research in any health-related field.</w:t>
      </w:r>
    </w:p>
    <w:p w14:paraId="22A147AA" w14:textId="77777777" w:rsidR="005B31AB" w:rsidRDefault="005B31AB" w:rsidP="005B31AB">
      <w:pPr>
        <w:rPr>
          <w:lang w:val="en-US"/>
          <w14:ligatures w14:val="none"/>
        </w:rPr>
      </w:pPr>
      <w:r>
        <w:rPr>
          <w:lang w:val="en-US"/>
          <w14:ligatures w14:val="none"/>
        </w:rPr>
        <w:t>This broad-based approach to funding ensures Australia is actively engaged in research to address our diverse health needs, well connected to international developments and ready to respond to emerging health challenges. In amplifying investment in priority areas, the MRFF deepens and builds on the knowledge, capacity and capability foundations supported by NHMRC. The broader NHMRC-funded grant program in turn benefits from the outcomes of MRFF-funded research to fill gaps and extend research effort in specific areas of need.</w:t>
      </w:r>
    </w:p>
    <w:p w14:paraId="20470340" w14:textId="77777777" w:rsidR="005B31AB" w:rsidRPr="0000364C" w:rsidRDefault="005B31AB" w:rsidP="005B31AB">
      <w:pPr>
        <w:spacing w:after="0" w:line="240" w:lineRule="auto"/>
        <w:rPr>
          <w:rFonts w:ascii="Aptos" w:eastAsia="Times New Roman" w:hAnsi="Aptos" w:cs="Times New Roman"/>
          <w:kern w:val="0"/>
          <w:sz w:val="24"/>
          <w:szCs w:val="24"/>
          <w14:ligatures w14:val="none"/>
        </w:rPr>
      </w:pPr>
      <w:r>
        <w:rPr>
          <w:lang w:val="en-US"/>
          <w14:ligatures w14:val="none"/>
        </w:rPr>
        <w:t xml:space="preserve">The 2023 Consultation Summary Report on improving Alignment and Coordination between the MRFF and NHMRC’s MREA contained comprehensive analysis of stakeholder feedback. Overall, </w:t>
      </w:r>
      <w:r w:rsidRPr="0000364C">
        <w:rPr>
          <w:rFonts w:eastAsia="Times New Roman" w:cstheme="minorHAnsi"/>
          <w:kern w:val="0"/>
          <w14:ligatures w14:val="none"/>
        </w:rPr>
        <w:t>stakeholders value</w:t>
      </w:r>
      <w:r>
        <w:rPr>
          <w:rFonts w:eastAsia="Times New Roman" w:cstheme="minorHAnsi"/>
          <w:kern w:val="0"/>
          <w14:ligatures w14:val="none"/>
        </w:rPr>
        <w:t>d</w:t>
      </w:r>
      <w:r w:rsidRPr="0000364C">
        <w:rPr>
          <w:rFonts w:eastAsia="Times New Roman" w:cstheme="minorHAnsi"/>
          <w:kern w:val="0"/>
          <w14:ligatures w14:val="none"/>
        </w:rPr>
        <w:t xml:space="preserve"> the distinctiveness of the two funds, which are seen as delivering benefits in different ways across the research ecosystem. The MRFF is valued for its </w:t>
      </w:r>
      <w:r>
        <w:rPr>
          <w:rFonts w:eastAsia="Times New Roman" w:cstheme="minorHAnsi"/>
          <w:kern w:val="0"/>
          <w14:ligatures w14:val="none"/>
        </w:rPr>
        <w:t>support for</w:t>
      </w:r>
      <w:r w:rsidRPr="0000364C">
        <w:rPr>
          <w:rFonts w:eastAsia="Times New Roman" w:cstheme="minorHAnsi"/>
          <w:kern w:val="0"/>
          <w14:ligatures w14:val="none"/>
        </w:rPr>
        <w:t xml:space="preserve"> research in areas of unmet need, with the priority-driven fund representing a ‘game-changer</w:t>
      </w:r>
      <w:r>
        <w:rPr>
          <w:rFonts w:eastAsia="Times New Roman" w:cstheme="minorHAnsi"/>
          <w:kern w:val="0"/>
          <w14:ligatures w14:val="none"/>
        </w:rPr>
        <w:t>’</w:t>
      </w:r>
      <w:r w:rsidRPr="0000364C">
        <w:rPr>
          <w:rFonts w:eastAsia="Times New Roman" w:cstheme="minorHAnsi"/>
          <w:kern w:val="0"/>
          <w14:ligatures w14:val="none"/>
        </w:rPr>
        <w:t xml:space="preserve"> for </w:t>
      </w:r>
      <w:r>
        <w:rPr>
          <w:rFonts w:eastAsia="Times New Roman" w:cstheme="minorHAnsi"/>
          <w:kern w:val="0"/>
          <w14:ligatures w14:val="none"/>
        </w:rPr>
        <w:t xml:space="preserve">individuals and communities experiencing worse health outcomes, including for </w:t>
      </w:r>
      <w:r w:rsidRPr="0000364C">
        <w:rPr>
          <w:rFonts w:eastAsia="Times New Roman" w:cstheme="minorHAnsi"/>
          <w:kern w:val="0"/>
          <w14:ligatures w14:val="none"/>
        </w:rPr>
        <w:t xml:space="preserve">First Nations, rare diseases, rural and remote </w:t>
      </w:r>
      <w:r>
        <w:rPr>
          <w:rFonts w:eastAsia="Times New Roman" w:cstheme="minorHAnsi"/>
          <w:kern w:val="0"/>
          <w14:ligatures w14:val="none"/>
        </w:rPr>
        <w:t xml:space="preserve">health </w:t>
      </w:r>
      <w:r w:rsidRPr="0000364C">
        <w:rPr>
          <w:rFonts w:eastAsia="Times New Roman" w:cstheme="minorHAnsi"/>
          <w:kern w:val="0"/>
          <w14:ligatures w14:val="none"/>
        </w:rPr>
        <w:t>and health services.</w:t>
      </w:r>
      <w:r w:rsidRPr="009507BB">
        <w:rPr>
          <w:rFonts w:eastAsia="Times New Roman" w:cstheme="minorHAnsi"/>
          <w:kern w:val="0"/>
          <w14:ligatures w14:val="none"/>
        </w:rPr>
        <w:t xml:space="preserve"> </w:t>
      </w:r>
      <w:r w:rsidRPr="0000364C">
        <w:rPr>
          <w:rFonts w:eastAsia="Times New Roman" w:cstheme="minorHAnsi"/>
          <w:kern w:val="0"/>
          <w14:ligatures w14:val="none"/>
        </w:rPr>
        <w:t xml:space="preserve">The </w:t>
      </w:r>
      <w:r>
        <w:rPr>
          <w:rFonts w:eastAsia="Times New Roman" w:cstheme="minorHAnsi"/>
          <w:kern w:val="0"/>
          <w14:ligatures w14:val="none"/>
        </w:rPr>
        <w:t xml:space="preserve">NHMRC </w:t>
      </w:r>
      <w:r w:rsidRPr="0000364C">
        <w:rPr>
          <w:rFonts w:eastAsia="Times New Roman" w:cstheme="minorHAnsi"/>
          <w:kern w:val="0"/>
          <w14:ligatures w14:val="none"/>
        </w:rPr>
        <w:t xml:space="preserve">is valued for its focus on </w:t>
      </w:r>
      <w:r>
        <w:rPr>
          <w:rFonts w:eastAsia="Times New Roman" w:cstheme="minorHAnsi"/>
          <w:kern w:val="0"/>
          <w14:ligatures w14:val="none"/>
        </w:rPr>
        <w:t>‘</w:t>
      </w:r>
      <w:r w:rsidRPr="0000364C">
        <w:rPr>
          <w:rFonts w:eastAsia="Times New Roman" w:cstheme="minorHAnsi"/>
          <w:kern w:val="0"/>
          <w14:ligatures w14:val="none"/>
        </w:rPr>
        <w:t>investigator-driven</w:t>
      </w:r>
      <w:r>
        <w:rPr>
          <w:rFonts w:eastAsia="Times New Roman" w:cstheme="minorHAnsi"/>
          <w:kern w:val="0"/>
          <w14:ligatures w14:val="none"/>
        </w:rPr>
        <w:t>’</w:t>
      </w:r>
      <w:r w:rsidRPr="0000364C">
        <w:rPr>
          <w:rFonts w:eastAsia="Times New Roman" w:cstheme="minorHAnsi"/>
          <w:kern w:val="0"/>
          <w14:ligatures w14:val="none"/>
        </w:rPr>
        <w:t xml:space="preserve"> research and </w:t>
      </w:r>
      <w:r>
        <w:rPr>
          <w:rFonts w:eastAsia="Times New Roman" w:cstheme="minorHAnsi"/>
          <w:kern w:val="0"/>
          <w14:ligatures w14:val="none"/>
        </w:rPr>
        <w:t>its focus on</w:t>
      </w:r>
      <w:r w:rsidRPr="0000364C">
        <w:rPr>
          <w:rFonts w:eastAsia="Times New Roman" w:cstheme="minorHAnsi"/>
          <w:kern w:val="0"/>
          <w14:ligatures w14:val="none"/>
        </w:rPr>
        <w:t xml:space="preserve"> build</w:t>
      </w:r>
      <w:r>
        <w:rPr>
          <w:rFonts w:eastAsia="Times New Roman" w:cstheme="minorHAnsi"/>
          <w:kern w:val="0"/>
          <w14:ligatures w14:val="none"/>
        </w:rPr>
        <w:t>ing</w:t>
      </w:r>
      <w:r w:rsidRPr="0000364C">
        <w:rPr>
          <w:rFonts w:eastAsia="Times New Roman" w:cstheme="minorHAnsi"/>
          <w:kern w:val="0"/>
          <w14:ligatures w14:val="none"/>
        </w:rPr>
        <w:t xml:space="preserve"> foundational research capacity.</w:t>
      </w:r>
      <w:r>
        <w:rPr>
          <w:rFonts w:eastAsia="Times New Roman" w:cstheme="minorHAnsi"/>
          <w:kern w:val="0"/>
          <w14:ligatures w14:val="none"/>
        </w:rPr>
        <w:br/>
      </w:r>
    </w:p>
    <w:p w14:paraId="5F547475" w14:textId="13F238D2" w:rsidR="005B31AB" w:rsidRDefault="005B31AB" w:rsidP="005B31AB">
      <w:pPr>
        <w:rPr>
          <w:lang w:val="en-US"/>
          <w14:ligatures w14:val="none"/>
        </w:rPr>
      </w:pPr>
      <w:r w:rsidRPr="00C84AAB">
        <w:rPr>
          <w:lang w:val="en-US"/>
          <w14:ligatures w14:val="none"/>
        </w:rPr>
        <w:t>Ongoing work arising from the outcomes of this consultation is described in is described in Appendix</w:t>
      </w:r>
      <w:r w:rsidR="0015229E">
        <w:rPr>
          <w:lang w:val="en-US"/>
          <w14:ligatures w14:val="none"/>
        </w:rPr>
        <w:t> </w:t>
      </w:r>
      <w:r w:rsidRPr="00C84AAB">
        <w:rPr>
          <w:lang w:val="en-US"/>
          <w14:ligatures w14:val="none"/>
        </w:rPr>
        <w:t>B.</w:t>
      </w:r>
    </w:p>
    <w:tbl>
      <w:tblPr>
        <w:tblStyle w:val="TableGrid"/>
        <w:tblW w:w="0" w:type="auto"/>
        <w:tblLook w:val="04A0" w:firstRow="1" w:lastRow="0" w:firstColumn="1" w:lastColumn="0" w:noHBand="0" w:noVBand="1"/>
      </w:tblPr>
      <w:tblGrid>
        <w:gridCol w:w="9016"/>
      </w:tblGrid>
      <w:tr w:rsidR="005B31AB" w14:paraId="1C00C6ED" w14:textId="77777777" w:rsidTr="001834D0">
        <w:tc>
          <w:tcPr>
            <w:tcW w:w="9016" w:type="dxa"/>
            <w:shd w:val="clear" w:color="auto" w:fill="E7E6E6" w:themeFill="background2"/>
          </w:tcPr>
          <w:p w14:paraId="46048DE9" w14:textId="77777777" w:rsidR="005B31AB" w:rsidRPr="003163A6" w:rsidRDefault="005B31AB" w:rsidP="001834D0">
            <w:pPr>
              <w:pStyle w:val="Heading4"/>
            </w:pPr>
            <w:r>
              <w:t>Finding 6</w:t>
            </w:r>
          </w:p>
          <w:p w14:paraId="37C50294" w14:textId="77777777" w:rsidR="005B31AB" w:rsidRDefault="005B31AB" w:rsidP="001834D0">
            <w:pPr>
              <w:spacing w:after="120"/>
            </w:pPr>
            <w:r w:rsidRPr="0079347B">
              <w:t>Financial assistance provided by the MRFF has complemented and enhanced other financial assistance provided by the Commonwealth for medical research and medical innovation, including through the National Health and Medical Research Council</w:t>
            </w:r>
            <w:r>
              <w:t>.</w:t>
            </w:r>
          </w:p>
        </w:tc>
      </w:tr>
    </w:tbl>
    <w:p w14:paraId="70885CCF" w14:textId="77777777" w:rsidR="005B31AB" w:rsidRDefault="005B31AB" w:rsidP="00644167">
      <w:pPr>
        <w:pStyle w:val="Heading1"/>
        <w:spacing w:before="440" w:after="220"/>
      </w:pPr>
      <w:bookmarkStart w:id="27" w:name="_Toc185589247"/>
      <w:r>
        <w:t>Governance and Reporting</w:t>
      </w:r>
      <w:bookmarkEnd w:id="27"/>
    </w:p>
    <w:p w14:paraId="2A537684" w14:textId="47257D10" w:rsidR="005B31AB" w:rsidRPr="00E22972" w:rsidRDefault="005B31AB" w:rsidP="00F21E68">
      <w:pPr>
        <w:pStyle w:val="Heading2"/>
        <w:spacing w:before="600"/>
      </w:pPr>
      <w:bookmarkStart w:id="28" w:name="_Toc185589248"/>
      <w:r w:rsidRPr="00E22972">
        <w:t>Investment Fund</w:t>
      </w:r>
      <w:r>
        <w:t xml:space="preserve"> Governance and </w:t>
      </w:r>
      <w:r>
        <w:softHyphen/>
      </w:r>
      <w:r w:rsidRPr="00E22972">
        <w:t>Reporting</w:t>
      </w:r>
      <w:bookmarkEnd w:id="28"/>
    </w:p>
    <w:p w14:paraId="5EF673BA" w14:textId="77777777" w:rsidR="005B31AB" w:rsidRDefault="005B31AB" w:rsidP="005B31AB">
      <w:pPr>
        <w:spacing w:before="240"/>
      </w:pPr>
      <w:r w:rsidDel="00877356">
        <w:t>T</w:t>
      </w:r>
      <w:r w:rsidRPr="004134D1" w:rsidDel="00877356">
        <w:t>he </w:t>
      </w:r>
      <w:r>
        <w:t>Future Fund Board</w:t>
      </w:r>
      <w:r w:rsidRPr="004134D1" w:rsidDel="00877356">
        <w:t xml:space="preserve"> manages the investments of the MRFF and reports to the</w:t>
      </w:r>
      <w:r>
        <w:t xml:space="preserve"> Treasurer and the</w:t>
      </w:r>
      <w:r w:rsidRPr="004134D1" w:rsidDel="00877356">
        <w:t xml:space="preserve"> </w:t>
      </w:r>
      <w:r w:rsidRPr="004134D1">
        <w:t>Finance Minister</w:t>
      </w:r>
      <w:r w:rsidRPr="004134D1" w:rsidDel="00877356">
        <w:t>.</w:t>
      </w:r>
    </w:p>
    <w:p w14:paraId="2FC2953E" w14:textId="77777777" w:rsidR="005B31AB" w:rsidDel="00877356" w:rsidRDefault="005B31AB" w:rsidP="005B31AB">
      <w:pPr>
        <w:spacing w:before="240"/>
      </w:pPr>
      <w:r w:rsidDel="00877356">
        <w:t xml:space="preserve">There is an overarching requirement under section 15 of the PGPA Act for an accountable authority to govern the affairs of </w:t>
      </w:r>
      <w:r>
        <w:t xml:space="preserve">an </w:t>
      </w:r>
      <w:r w:rsidDel="00877356">
        <w:t>entity in a way that promotes the proper use and management of public resources for which the authority is responsible.</w:t>
      </w:r>
      <w:r>
        <w:t xml:space="preserve"> The Chair of the Future Fund Board is the accountable authority of the Future Fund Management Agency.</w:t>
      </w:r>
    </w:p>
    <w:p w14:paraId="56E429DD" w14:textId="77777777" w:rsidR="005B31AB" w:rsidRDefault="005B31AB" w:rsidP="005B31AB">
      <w:r>
        <w:t xml:space="preserve">The reporting arrangements for the investment of the MRFF are consistent with the arrangements for other AGIFs. The Treasurer and the Finance Minister, as jointly responsible Ministers under the </w:t>
      </w:r>
      <w:r>
        <w:lastRenderedPageBreak/>
        <w:t>Act, are responsible for making credits into the MRFF, issuing investment mandates to the Future Fund Board and causing this review into the operation of the MRFF Act.</w:t>
      </w:r>
    </w:p>
    <w:p w14:paraId="0A26E1EC" w14:textId="77777777" w:rsidR="005B31AB" w:rsidRDefault="005B31AB" w:rsidP="005B31AB">
      <w:pPr>
        <w:spacing w:before="240"/>
      </w:pPr>
      <w:r>
        <w:t>Part 5 of the MRFF Act provides that:</w:t>
      </w:r>
    </w:p>
    <w:p w14:paraId="10B5DE06" w14:textId="77777777" w:rsidR="005B31AB" w:rsidRPr="006B651A" w:rsidRDefault="005B31AB" w:rsidP="00A36876">
      <w:pPr>
        <w:pStyle w:val="List"/>
      </w:pPr>
      <w:r w:rsidRPr="006B651A">
        <w:t>the Finance Minister may require the Future Fund Board to prepare and provide a report or document about the performance of the Future Fund Board’s functions under the MRFF Act,</w:t>
      </w:r>
      <w:r w:rsidRPr="0011137C">
        <w:rPr>
          <w:vertAlign w:val="superscript"/>
        </w:rPr>
        <w:footnoteReference w:id="26"/>
      </w:r>
    </w:p>
    <w:p w14:paraId="2C134401" w14:textId="77777777" w:rsidR="005B31AB" w:rsidRPr="006B651A" w:rsidRDefault="005B31AB" w:rsidP="00A36876">
      <w:pPr>
        <w:pStyle w:val="List"/>
      </w:pPr>
      <w:r w:rsidRPr="006B651A">
        <w:t>the Future Fund Board is required to keep the responsible Ministers informed of the operations of the Future Fund Board under the MRFF Act,</w:t>
      </w:r>
      <w:r w:rsidRPr="0011137C">
        <w:rPr>
          <w:vertAlign w:val="superscript"/>
        </w:rPr>
        <w:footnoteReference w:id="27"/>
      </w:r>
      <w:r w:rsidRPr="006B651A">
        <w:t xml:space="preserve"> and</w:t>
      </w:r>
    </w:p>
    <w:p w14:paraId="7A249A33" w14:textId="77777777" w:rsidR="005B31AB" w:rsidRPr="00782A83" w:rsidRDefault="005B31AB" w:rsidP="00A36876">
      <w:pPr>
        <w:pStyle w:val="List"/>
      </w:pPr>
      <w:r w:rsidRPr="006B651A">
        <w:t xml:space="preserve">the Finance Minister is permitted to provide reports or documents obtained under the MRFF Act </w:t>
      </w:r>
      <w:r w:rsidRPr="00782A83">
        <w:t>to other Ministers.</w:t>
      </w:r>
      <w:r w:rsidRPr="00782A83">
        <w:rPr>
          <w:vertAlign w:val="superscript"/>
        </w:rPr>
        <w:footnoteReference w:id="28"/>
      </w:r>
    </w:p>
    <w:p w14:paraId="693C8D70" w14:textId="77777777" w:rsidR="005B31AB" w:rsidRDefault="005B31AB" w:rsidP="005B31AB">
      <w:pPr>
        <w:spacing w:after="0" w:line="240" w:lineRule="auto"/>
        <w:rPr>
          <w:rFonts w:cstheme="minorHAnsi"/>
        </w:rPr>
      </w:pPr>
      <w:r w:rsidRPr="00782A83">
        <w:rPr>
          <w:rFonts w:cstheme="minorHAnsi"/>
        </w:rPr>
        <w:t>Box 4 identifies</w:t>
      </w:r>
      <w:r>
        <w:rPr>
          <w:rFonts w:cstheme="minorHAnsi"/>
        </w:rPr>
        <w:t xml:space="preserve"> other reporting and transparency measures that relate to reporting for the MRFF investment fund.</w:t>
      </w:r>
    </w:p>
    <w:tbl>
      <w:tblPr>
        <w:tblStyle w:val="TableGrid"/>
        <w:tblW w:w="0" w:type="auto"/>
        <w:tblLook w:val="04A0" w:firstRow="1" w:lastRow="0" w:firstColumn="1" w:lastColumn="0" w:noHBand="0" w:noVBand="1"/>
      </w:tblPr>
      <w:tblGrid>
        <w:gridCol w:w="9016"/>
      </w:tblGrid>
      <w:tr w:rsidR="005B31AB" w14:paraId="01C3621B" w14:textId="77777777" w:rsidTr="001834D0">
        <w:trPr>
          <w:trHeight w:val="8354"/>
        </w:trPr>
        <w:tc>
          <w:tcPr>
            <w:tcW w:w="9016" w:type="dxa"/>
          </w:tcPr>
          <w:p w14:paraId="530AE5B7" w14:textId="77777777" w:rsidR="005B31AB" w:rsidRDefault="005B31AB" w:rsidP="001834D0">
            <w:pPr>
              <w:pStyle w:val="Heading4"/>
            </w:pPr>
            <w:r>
              <w:lastRenderedPageBreak/>
              <w:t>Box 4: Investment Fund reporting and transparency</w:t>
            </w:r>
          </w:p>
          <w:p w14:paraId="641B8A20" w14:textId="77777777" w:rsidR="005B31AB" w:rsidRPr="003C5C4C" w:rsidRDefault="005B31AB" w:rsidP="001834D0">
            <w:pPr>
              <w:spacing w:before="120" w:after="120"/>
              <w:rPr>
                <w:rFonts w:cstheme="minorHAnsi"/>
              </w:rPr>
            </w:pPr>
            <w:r w:rsidRPr="003C5C4C">
              <w:rPr>
                <w:rFonts w:cstheme="minorHAnsi"/>
              </w:rPr>
              <w:t xml:space="preserve">In addition to the reporting and governance arrangements in the MRFF Act, there are </w:t>
            </w:r>
            <w:r>
              <w:rPr>
                <w:rFonts w:cstheme="minorHAnsi"/>
              </w:rPr>
              <w:t>a range of other</w:t>
            </w:r>
            <w:r w:rsidRPr="003C5C4C">
              <w:rPr>
                <w:rFonts w:cstheme="minorHAnsi"/>
              </w:rPr>
              <w:t xml:space="preserve"> reporting and transparency measures in place that relate to the MRFF</w:t>
            </w:r>
            <w:r>
              <w:rPr>
                <w:rFonts w:cstheme="minorHAnsi"/>
              </w:rPr>
              <w:t xml:space="preserve"> Investment Fund:</w:t>
            </w:r>
          </w:p>
          <w:p w14:paraId="0F8ED601" w14:textId="77777777" w:rsidR="005B31AB" w:rsidRPr="003C5C4C" w:rsidRDefault="005B31AB" w:rsidP="001F1E7E">
            <w:pPr>
              <w:pStyle w:val="List"/>
              <w:spacing w:after="160" w:line="259" w:lineRule="auto"/>
              <w:ind w:left="357" w:hanging="357"/>
            </w:pPr>
            <w:r>
              <w:t>a</w:t>
            </w:r>
            <w:r w:rsidRPr="003C5C4C">
              <w:t xml:space="preserve">n Annual Report covering both the </w:t>
            </w:r>
            <w:r>
              <w:t>Future Fund Board</w:t>
            </w:r>
            <w:r w:rsidRPr="003C5C4C">
              <w:t xml:space="preserve"> and the Future Fund Management Agency </w:t>
            </w:r>
            <w:r>
              <w:t>is</w:t>
            </w:r>
            <w:r w:rsidRPr="003C5C4C">
              <w:t xml:space="preserve"> provided to the Finance Minister and tabled in the Parliament, with detailed information on investment strategy, investment performance, governance and financial reporting, including for the MRFF</w:t>
            </w:r>
            <w:r>
              <w:t>,</w:t>
            </w:r>
            <w:r w:rsidRPr="00117FA9">
              <w:rPr>
                <w:vertAlign w:val="superscript"/>
              </w:rPr>
              <w:footnoteReference w:id="29"/>
            </w:r>
          </w:p>
          <w:p w14:paraId="75B498CF" w14:textId="77777777" w:rsidR="005B31AB" w:rsidRPr="003C5C4C" w:rsidRDefault="005B31AB" w:rsidP="001F1E7E">
            <w:pPr>
              <w:pStyle w:val="List"/>
              <w:spacing w:after="160" w:line="259" w:lineRule="auto"/>
              <w:ind w:left="357" w:hanging="357"/>
            </w:pPr>
            <w:r>
              <w:t>a</w:t>
            </w:r>
            <w:r w:rsidRPr="003C5C4C">
              <w:t>ppearance</w:t>
            </w:r>
            <w:r>
              <w:t>s</w:t>
            </w:r>
            <w:r w:rsidRPr="003C5C4C">
              <w:t xml:space="preserve"> at Senate Estimates hearings by Future Fund Management Agency officials</w:t>
            </w:r>
            <w:r>
              <w:t>,</w:t>
            </w:r>
          </w:p>
          <w:p w14:paraId="2C574319" w14:textId="77777777" w:rsidR="005B31AB" w:rsidRPr="003C5C4C" w:rsidRDefault="005B31AB" w:rsidP="001F1E7E">
            <w:pPr>
              <w:pStyle w:val="List"/>
              <w:spacing w:after="160" w:line="259" w:lineRule="auto"/>
              <w:ind w:left="357" w:hanging="357"/>
            </w:pPr>
            <w:r>
              <w:t>q</w:t>
            </w:r>
            <w:r w:rsidRPr="003C5C4C">
              <w:t xml:space="preserve">uarterly performance updates for all </w:t>
            </w:r>
            <w:r>
              <w:t>AGIFs</w:t>
            </w:r>
            <w:r w:rsidRPr="003C5C4C">
              <w:t xml:space="preserve">, including the MRFF </w:t>
            </w:r>
            <w:r>
              <w:t>are</w:t>
            </w:r>
            <w:r w:rsidRPr="003C5C4C">
              <w:t xml:space="preserve"> published on the Future Fund website</w:t>
            </w:r>
            <w:r>
              <w:t>,</w:t>
            </w:r>
          </w:p>
          <w:p w14:paraId="2AB5E056" w14:textId="77777777" w:rsidR="005B31AB" w:rsidRPr="003C5C4C" w:rsidRDefault="005B31AB" w:rsidP="001F1E7E">
            <w:pPr>
              <w:pStyle w:val="List"/>
              <w:spacing w:after="160" w:line="259" w:lineRule="auto"/>
              <w:ind w:left="357" w:hanging="357"/>
            </w:pPr>
            <w:r>
              <w:t>t</w:t>
            </w:r>
            <w:r w:rsidRPr="003C5C4C">
              <w:t xml:space="preserve">he Future Fund (Investment Funds Periodic Investment Report) Rules 2023 require the </w:t>
            </w:r>
            <w:r>
              <w:t>Future Fund Board</w:t>
            </w:r>
            <w:r w:rsidRPr="003C5C4C">
              <w:t xml:space="preserve"> to report on all investments twice each year</w:t>
            </w:r>
            <w:r>
              <w:t>, and</w:t>
            </w:r>
          </w:p>
          <w:p w14:paraId="1E6C1D4F" w14:textId="77777777" w:rsidR="005B31AB" w:rsidRPr="003C5C4C" w:rsidRDefault="005B31AB" w:rsidP="001F1E7E">
            <w:pPr>
              <w:pStyle w:val="List"/>
              <w:spacing w:after="160" w:line="259" w:lineRule="auto"/>
              <w:ind w:left="357" w:hanging="357"/>
            </w:pPr>
            <w:r>
              <w:t>a</w:t>
            </w:r>
            <w:r w:rsidRPr="003C5C4C">
              <w:t xml:space="preserve"> wide range of information is published online to assist accountability and transparency, including:</w:t>
            </w:r>
          </w:p>
          <w:p w14:paraId="34AD1FEA" w14:textId="77777777" w:rsidR="005B31AB" w:rsidRPr="003C5C4C" w:rsidRDefault="005B31AB" w:rsidP="00F63242">
            <w:pPr>
              <w:pStyle w:val="List3"/>
              <w:spacing w:after="0"/>
              <w:ind w:left="1163" w:hanging="425"/>
            </w:pPr>
            <w:r w:rsidRPr="003C5C4C">
              <w:t>a Statement of Investment Policies for each investment fund, including the MRFF</w:t>
            </w:r>
            <w:r w:rsidRPr="00784863">
              <w:t>,</w:t>
            </w:r>
            <w:r w:rsidRPr="00DA6281">
              <w:rPr>
                <w:vertAlign w:val="superscript"/>
              </w:rPr>
              <w:footnoteReference w:id="30"/>
            </w:r>
          </w:p>
          <w:p w14:paraId="70AE2108" w14:textId="77777777" w:rsidR="005B31AB" w:rsidRPr="003C5C4C" w:rsidRDefault="005B31AB" w:rsidP="00F63242">
            <w:pPr>
              <w:pStyle w:val="List3"/>
              <w:spacing w:after="0"/>
              <w:ind w:left="1163" w:hanging="425"/>
            </w:pPr>
            <w:r w:rsidRPr="003C5C4C">
              <w:t xml:space="preserve">investment policies of the </w:t>
            </w:r>
            <w:r>
              <w:t>Future Fund Board</w:t>
            </w:r>
            <w:r w:rsidRPr="003C5C4C">
              <w:t>, including its Environmental, Social and Governance (ESG) Policy</w:t>
            </w:r>
            <w:r w:rsidRPr="00784863">
              <w:t>,</w:t>
            </w:r>
            <w:r w:rsidRPr="00DA6281">
              <w:rPr>
                <w:vertAlign w:val="superscript"/>
              </w:rPr>
              <w:footnoteReference w:id="31"/>
            </w:r>
          </w:p>
          <w:p w14:paraId="6336259E" w14:textId="77777777" w:rsidR="005B31AB" w:rsidRPr="003C5C4C" w:rsidRDefault="005B31AB" w:rsidP="00F63242">
            <w:pPr>
              <w:pStyle w:val="List3"/>
              <w:spacing w:after="0"/>
              <w:ind w:left="1163" w:hanging="425"/>
            </w:pPr>
            <w:r w:rsidRPr="003C5C4C">
              <w:t xml:space="preserve">a list of all investment managers used by the </w:t>
            </w:r>
            <w:r>
              <w:t>Future Fund Board</w:t>
            </w:r>
            <w:r w:rsidRPr="00784863">
              <w:t>,</w:t>
            </w:r>
          </w:p>
          <w:p w14:paraId="2F4E0607" w14:textId="77777777" w:rsidR="005B31AB" w:rsidRPr="003C5C4C" w:rsidRDefault="005B31AB" w:rsidP="00F63242">
            <w:pPr>
              <w:pStyle w:val="List3"/>
              <w:spacing w:after="0"/>
              <w:ind w:left="1163" w:hanging="425"/>
            </w:pPr>
            <w:r w:rsidRPr="003C5C4C">
              <w:t>a</w:t>
            </w:r>
            <w:r>
              <w:t>n annual</w:t>
            </w:r>
            <w:r w:rsidRPr="003C5C4C">
              <w:t xml:space="preserve"> ‘Year in Review’</w:t>
            </w:r>
            <w:r w:rsidRPr="00DA6281">
              <w:rPr>
                <w:vertAlign w:val="superscript"/>
              </w:rPr>
              <w:footnoteReference w:id="32"/>
            </w:r>
            <w:r w:rsidRPr="00DA6281">
              <w:rPr>
                <w:vertAlign w:val="superscript"/>
              </w:rPr>
              <w:t xml:space="preserve"> </w:t>
            </w:r>
            <w:r w:rsidRPr="003C5C4C">
              <w:t>publication, which outlines investment performance, risk positioning and the investment outlook</w:t>
            </w:r>
            <w:r w:rsidRPr="00784863">
              <w:t>,</w:t>
            </w:r>
          </w:p>
          <w:p w14:paraId="5F49F609" w14:textId="77777777" w:rsidR="005B31AB" w:rsidRPr="003C5C4C" w:rsidRDefault="005B31AB" w:rsidP="00F63242">
            <w:pPr>
              <w:pStyle w:val="List3"/>
              <w:spacing w:after="0"/>
              <w:ind w:left="1163" w:right="-156" w:hanging="425"/>
            </w:pPr>
            <w:r w:rsidRPr="003C5C4C">
              <w:t>estimates of MRFF transfers and balances are reported in Finance portfolio budget statements (see, for example, Table 2.</w:t>
            </w:r>
            <w:r>
              <w:t>2</w:t>
            </w:r>
            <w:r w:rsidRPr="003C5C4C">
              <w:t>.1.2 on page 3</w:t>
            </w:r>
            <w:r>
              <w:t>5</w:t>
            </w:r>
            <w:r w:rsidRPr="003C5C4C">
              <w:t xml:space="preserve"> of the Finance Portfolio </w:t>
            </w:r>
            <w:r>
              <w:t>Budget</w:t>
            </w:r>
            <w:r w:rsidRPr="003C5C4C">
              <w:t xml:space="preserve"> Statements 202</w:t>
            </w:r>
            <w:r>
              <w:t>4-</w:t>
            </w:r>
            <w:r w:rsidRPr="003C5C4C">
              <w:t>2</w:t>
            </w:r>
            <w:r>
              <w:t>5</w:t>
            </w:r>
            <w:r w:rsidRPr="003C5C4C">
              <w:t>)</w:t>
            </w:r>
            <w:r w:rsidRPr="00784863">
              <w:t>,</w:t>
            </w:r>
            <w:r w:rsidRPr="003C5C4C">
              <w:t xml:space="preserve"> and</w:t>
            </w:r>
          </w:p>
          <w:p w14:paraId="337099A7" w14:textId="77777777" w:rsidR="005B31AB" w:rsidRDefault="005B31AB" w:rsidP="00F63242">
            <w:pPr>
              <w:pStyle w:val="List3"/>
              <w:spacing w:after="0"/>
              <w:ind w:left="1163" w:hanging="425"/>
            </w:pPr>
            <w:r w:rsidRPr="003C5C4C">
              <w:t>detailed disclosure and performance reports in the Department of Finance annual financial statements.</w:t>
            </w:r>
          </w:p>
        </w:tc>
      </w:tr>
    </w:tbl>
    <w:p w14:paraId="3F974F65" w14:textId="77777777" w:rsidR="005B31AB" w:rsidRPr="00F34676" w:rsidRDefault="005B31AB" w:rsidP="005B31AB">
      <w:pPr>
        <w:pStyle w:val="Heading2"/>
        <w:spacing w:before="240" w:after="240"/>
      </w:pPr>
      <w:bookmarkStart w:id="29" w:name="_Toc185589249"/>
      <w:r>
        <w:t>MRFF Grant Program Governance and Reporting</w:t>
      </w:r>
      <w:bookmarkEnd w:id="29"/>
    </w:p>
    <w:p w14:paraId="2ACDA844" w14:textId="77777777" w:rsidR="005B31AB" w:rsidRPr="00022FE7" w:rsidRDefault="005B31AB" w:rsidP="005B31AB">
      <w:pPr>
        <w:rPr>
          <w:rFonts w:cstheme="minorHAnsi"/>
        </w:rPr>
      </w:pPr>
      <w:r w:rsidRPr="00022FE7">
        <w:rPr>
          <w:rFonts w:cstheme="minorHAnsi"/>
        </w:rPr>
        <w:t xml:space="preserve">There are </w:t>
      </w:r>
      <w:r>
        <w:rPr>
          <w:rFonts w:cstheme="minorHAnsi"/>
        </w:rPr>
        <w:t>limited</w:t>
      </w:r>
      <w:r w:rsidRPr="00022FE7">
        <w:rPr>
          <w:rFonts w:cstheme="minorHAnsi"/>
        </w:rPr>
        <w:t xml:space="preserve"> provisions in the MRFF Act for governance and reporting in relation to the MRFF grant program (i.e. MRFF disbursements towards grants of financial assistance). As discussed </w:t>
      </w:r>
      <w:r>
        <w:rPr>
          <w:rFonts w:cstheme="minorHAnsi"/>
        </w:rPr>
        <w:t xml:space="preserve">on </w:t>
      </w:r>
      <w:r w:rsidRPr="00782A83">
        <w:rPr>
          <w:rFonts w:cstheme="minorHAnsi"/>
        </w:rPr>
        <w:t>page 18,</w:t>
      </w:r>
      <w:r w:rsidRPr="00022FE7">
        <w:rPr>
          <w:rFonts w:cstheme="minorHAnsi"/>
        </w:rPr>
        <w:t xml:space="preserve"> the Department of Health and Aged Care has put numerous policy frameworks in place since inception of the </w:t>
      </w:r>
      <w:r>
        <w:rPr>
          <w:rFonts w:cstheme="minorHAnsi"/>
        </w:rPr>
        <w:t>MRFF</w:t>
      </w:r>
      <w:r w:rsidRPr="00022FE7">
        <w:rPr>
          <w:rFonts w:cstheme="minorHAnsi"/>
        </w:rPr>
        <w:t xml:space="preserve"> to promote responsible grant </w:t>
      </w:r>
      <w:r>
        <w:rPr>
          <w:rFonts w:cstheme="minorHAnsi"/>
        </w:rPr>
        <w:t>design, delivery and management, including</w:t>
      </w:r>
      <w:r w:rsidRPr="00022FE7">
        <w:rPr>
          <w:rFonts w:cstheme="minorHAnsi"/>
        </w:rPr>
        <w:t xml:space="preserve"> the 10-year Plan</w:t>
      </w:r>
      <w:r>
        <w:rPr>
          <w:rFonts w:cstheme="minorHAnsi"/>
        </w:rPr>
        <w:t xml:space="preserve"> and the MEL Strategy</w:t>
      </w:r>
      <w:r w:rsidRPr="00022FE7">
        <w:rPr>
          <w:rFonts w:cstheme="minorHAnsi"/>
        </w:rPr>
        <w:t>.</w:t>
      </w:r>
    </w:p>
    <w:p w14:paraId="2EBD09A1" w14:textId="77777777" w:rsidR="005B31AB" w:rsidRDefault="005B31AB" w:rsidP="005B31AB">
      <w:pPr>
        <w:rPr>
          <w:rFonts w:cstheme="minorHAnsi"/>
        </w:rPr>
      </w:pPr>
      <w:r w:rsidRPr="00022FE7">
        <w:rPr>
          <w:rFonts w:cstheme="minorHAnsi"/>
        </w:rPr>
        <w:t>The Department of Health and Aged Care also draws on advice from AMRAB</w:t>
      </w:r>
      <w:r>
        <w:rPr>
          <w:rFonts w:cstheme="minorHAnsi"/>
        </w:rPr>
        <w:t xml:space="preserve"> (</w:t>
      </w:r>
      <w:r w:rsidRPr="00782A83">
        <w:rPr>
          <w:rFonts w:cstheme="minorHAnsi"/>
        </w:rPr>
        <w:t>see page 19),</w:t>
      </w:r>
      <w:r w:rsidRPr="00022FE7">
        <w:rPr>
          <w:rFonts w:cstheme="minorHAnsi"/>
        </w:rPr>
        <w:t xml:space="preserve"> and other internal and external governance and advisory bodies</w:t>
      </w:r>
      <w:r>
        <w:rPr>
          <w:rFonts w:cstheme="minorHAnsi"/>
        </w:rPr>
        <w:t>,</w:t>
      </w:r>
      <w:r w:rsidRPr="00022FE7">
        <w:rPr>
          <w:rFonts w:cstheme="minorHAnsi"/>
        </w:rPr>
        <w:t xml:space="preserve"> to inform MRFF </w:t>
      </w:r>
      <w:r>
        <w:rPr>
          <w:rFonts w:cstheme="minorHAnsi"/>
        </w:rPr>
        <w:t>grants</w:t>
      </w:r>
      <w:r w:rsidRPr="00022FE7">
        <w:rPr>
          <w:rFonts w:cstheme="minorHAnsi"/>
        </w:rPr>
        <w:t xml:space="preserve">. These were considered by the ANAO in its performance audit of the MRFF in 2021 as described </w:t>
      </w:r>
      <w:r w:rsidRPr="00782A83">
        <w:rPr>
          <w:rFonts w:cstheme="minorHAnsi"/>
        </w:rPr>
        <w:t>on page 31</w:t>
      </w:r>
      <w:r w:rsidRPr="00022FE7">
        <w:rPr>
          <w:rFonts w:cstheme="minorHAnsi"/>
        </w:rPr>
        <w:t>.</w:t>
      </w:r>
    </w:p>
    <w:p w14:paraId="25271F8F" w14:textId="77777777" w:rsidR="005B31AB" w:rsidRDefault="005B31AB" w:rsidP="005B31AB">
      <w:pPr>
        <w:rPr>
          <w:rFonts w:cstheme="minorHAnsi"/>
        </w:rPr>
      </w:pPr>
      <w:r>
        <w:rPr>
          <w:rFonts w:cstheme="minorHAnsi"/>
        </w:rPr>
        <w:t xml:space="preserve">Section 58 of the MRFF Act requires the Health Minister to publish information on the internet about MRFF grants. These have since become whole-of-government requirements for grants reporting </w:t>
      </w:r>
      <w:r w:rsidRPr="008A2D94">
        <w:rPr>
          <w:rFonts w:cstheme="minorHAnsi"/>
        </w:rPr>
        <w:lastRenderedPageBreak/>
        <w:t xml:space="preserve">under the </w:t>
      </w:r>
      <w:r w:rsidRPr="008A2D94">
        <w:rPr>
          <w:rFonts w:cstheme="minorHAnsi"/>
          <w:i/>
        </w:rPr>
        <w:t>Commonwealth Grants Rules and Guidelines 2017</w:t>
      </w:r>
      <w:r w:rsidRPr="008A2D94">
        <w:rPr>
          <w:rFonts w:cstheme="minorHAnsi"/>
        </w:rPr>
        <w:t xml:space="preserve"> (recently updated to the </w:t>
      </w:r>
      <w:r w:rsidRPr="008A2D94">
        <w:rPr>
          <w:rFonts w:cstheme="minorHAnsi"/>
          <w:i/>
        </w:rPr>
        <w:t>Commonwealth Grants Rules</w:t>
      </w:r>
      <w:r w:rsidRPr="00E4659B">
        <w:rPr>
          <w:rFonts w:cstheme="minorHAnsi"/>
          <w:i/>
        </w:rPr>
        <w:t xml:space="preserve"> and </w:t>
      </w:r>
      <w:r>
        <w:rPr>
          <w:rFonts w:cstheme="minorHAnsi"/>
          <w:i/>
        </w:rPr>
        <w:t>Principle</w:t>
      </w:r>
      <w:r w:rsidRPr="00E4659B">
        <w:rPr>
          <w:rFonts w:cstheme="minorHAnsi"/>
          <w:i/>
        </w:rPr>
        <w:t>s 2024</w:t>
      </w:r>
      <w:r>
        <w:rPr>
          <w:rFonts w:cstheme="minorHAnsi"/>
        </w:rPr>
        <w:t>) and senate orders 13 (Murray Motion) and 16 (Minchin Motion).</w:t>
      </w:r>
    </w:p>
    <w:p w14:paraId="68F28205" w14:textId="77777777" w:rsidR="005B31AB" w:rsidRDefault="005B31AB" w:rsidP="005B31AB">
      <w:pPr>
        <w:rPr>
          <w:rFonts w:cstheme="minorHAnsi"/>
        </w:rPr>
      </w:pPr>
      <w:r>
        <w:rPr>
          <w:rFonts w:cstheme="minorHAnsi"/>
        </w:rPr>
        <w:t xml:space="preserve">Section 57A of the MRFF Act also requires the Health Minister to report on the financial assistance provided for medical research and medical innovation from the MRFF Special Account as soon as practical after the most recent Priorities cease to be in force. These reports are discussed in detail on </w:t>
      </w:r>
      <w:r w:rsidRPr="00782A83">
        <w:rPr>
          <w:rFonts w:cstheme="minorHAnsi"/>
        </w:rPr>
        <w:t>page 32 and in Appendix A.</w:t>
      </w:r>
    </w:p>
    <w:p w14:paraId="3A72E830" w14:textId="77777777" w:rsidR="005B31AB" w:rsidRDefault="005B31AB" w:rsidP="005B31AB">
      <w:pPr>
        <w:spacing w:before="120" w:after="120"/>
        <w:rPr>
          <w:rFonts w:cstheme="minorHAnsi"/>
        </w:rPr>
      </w:pPr>
      <w:r>
        <w:rPr>
          <w:rFonts w:cstheme="minorHAnsi"/>
        </w:rPr>
        <w:t>The Department of Health and Aged Care also reports on delivery of the MRFF grant program through:</w:t>
      </w:r>
    </w:p>
    <w:p w14:paraId="65424244" w14:textId="77777777" w:rsidR="005B31AB" w:rsidRPr="006B651A" w:rsidRDefault="005B31AB" w:rsidP="0079608B">
      <w:pPr>
        <w:pStyle w:val="List"/>
        <w:rPr>
          <w:rFonts w:cstheme="minorHAnsi"/>
        </w:rPr>
      </w:pPr>
      <w:r>
        <w:rPr>
          <w:rFonts w:cstheme="minorHAnsi"/>
        </w:rPr>
        <w:t>i</w:t>
      </w:r>
      <w:r w:rsidRPr="006B651A">
        <w:rPr>
          <w:rFonts w:cstheme="minorHAnsi"/>
        </w:rPr>
        <w:t xml:space="preserve">ndependent </w:t>
      </w:r>
      <w:hyperlink r:id="rId45" w:history="1">
        <w:r w:rsidRPr="006B651A">
          <w:rPr>
            <w:rFonts w:cstheme="minorHAnsi"/>
          </w:rPr>
          <w:t>reviews and evaluations</w:t>
        </w:r>
      </w:hyperlink>
      <w:r w:rsidRPr="006B651A">
        <w:rPr>
          <w:rFonts w:cstheme="minorHAnsi"/>
        </w:rPr>
        <w:t xml:space="preserve"> of MRFF Initiatives and investments</w:t>
      </w:r>
      <w:r>
        <w:rPr>
          <w:rFonts w:cstheme="minorHAnsi"/>
        </w:rPr>
        <w:t>,</w:t>
      </w:r>
      <w:r w:rsidRPr="006B651A">
        <w:rPr>
          <w:rFonts w:cstheme="minorHAnsi"/>
        </w:rPr>
        <w:t xml:space="preserve"> </w:t>
      </w:r>
    </w:p>
    <w:p w14:paraId="39F519D3" w14:textId="77777777" w:rsidR="005B31AB" w:rsidRPr="006B651A" w:rsidRDefault="005B31AB" w:rsidP="0079608B">
      <w:pPr>
        <w:pStyle w:val="List"/>
      </w:pPr>
      <w:r>
        <w:t>r</w:t>
      </w:r>
      <w:r w:rsidRPr="006B651A">
        <w:t>egular and themed funding reports on special topics, e.g. gender, early-to-mid-career researchers, the MRFF coronavirus research response, rural, regional and remote health</w:t>
      </w:r>
      <w:r>
        <w:t>,</w:t>
      </w:r>
    </w:p>
    <w:p w14:paraId="0AEC7571" w14:textId="77777777" w:rsidR="005B31AB" w:rsidRPr="006B651A" w:rsidRDefault="005B31AB" w:rsidP="0079608B">
      <w:pPr>
        <w:pStyle w:val="List"/>
      </w:pPr>
      <w:r>
        <w:t>p</w:t>
      </w:r>
      <w:r w:rsidRPr="006B651A">
        <w:t xml:space="preserve">ublicly available records of MRFF recipients and funded rates, on the </w:t>
      </w:r>
      <w:r>
        <w:t xml:space="preserve">Department of </w:t>
      </w:r>
      <w:r w:rsidRPr="006B651A">
        <w:t>Health</w:t>
      </w:r>
      <w:r>
        <w:t xml:space="preserve"> and Aged Care</w:t>
      </w:r>
      <w:r w:rsidRPr="006B651A">
        <w:t xml:space="preserve"> website and through GrantConnect</w:t>
      </w:r>
      <w:r>
        <w:t>,</w:t>
      </w:r>
    </w:p>
    <w:p w14:paraId="2C6235F6" w14:textId="77777777" w:rsidR="005B31AB" w:rsidRPr="006B651A" w:rsidRDefault="005B31AB" w:rsidP="0079608B">
      <w:pPr>
        <w:pStyle w:val="List"/>
      </w:pPr>
      <w:r w:rsidRPr="006B651A">
        <w:t>Department of Health Portfolio Budget Statements, annual reports and corporate plans</w:t>
      </w:r>
      <w:r>
        <w:t>, and</w:t>
      </w:r>
    </w:p>
    <w:p w14:paraId="4EBCE3E6" w14:textId="77777777" w:rsidR="005B31AB" w:rsidRPr="006B651A" w:rsidRDefault="005B31AB" w:rsidP="0079608B">
      <w:pPr>
        <w:pStyle w:val="List"/>
      </w:pPr>
      <w:r>
        <w:t>d</w:t>
      </w:r>
      <w:r w:rsidRPr="006B651A">
        <w:t>etailed disclosure and performance reports in the Department of Health and Aged Care annual financial statements.</w:t>
      </w:r>
    </w:p>
    <w:p w14:paraId="3F7FDDF9" w14:textId="77777777" w:rsidR="005B31AB" w:rsidRDefault="005B31AB" w:rsidP="005B31AB">
      <w:pPr>
        <w:pStyle w:val="Heading2"/>
        <w:spacing w:before="240" w:after="240"/>
      </w:pPr>
      <w:bookmarkStart w:id="30" w:name="_Toc185589250"/>
      <w:r>
        <w:t>Future reviews of the MRFF Act</w:t>
      </w:r>
      <w:bookmarkEnd w:id="30"/>
    </w:p>
    <w:p w14:paraId="2773771F" w14:textId="2538D15F" w:rsidR="005B31AB" w:rsidRDefault="005B31AB" w:rsidP="005B31AB">
      <w:pPr>
        <w:spacing w:before="120"/>
      </w:pPr>
      <w:r>
        <w:t>The MRFF Act requires the responsible Ministers to initiate only one review of the operation of the MRFF Act.</w:t>
      </w:r>
      <w:r w:rsidRPr="00F16DD9">
        <w:t xml:space="preserve"> Given the ongoing and long-term nature of the MRFF, it would be appropriate to require further reviews of</w:t>
      </w:r>
      <w:r>
        <w:t xml:space="preserve"> the MRFF’s legislation and </w:t>
      </w:r>
      <w:r w:rsidRPr="00F16DD9">
        <w:t>operation.</w:t>
      </w:r>
    </w:p>
    <w:p w14:paraId="13AD95B0" w14:textId="77777777" w:rsidR="005B31AB" w:rsidRDefault="005B31AB" w:rsidP="005B31AB">
      <w:r w:rsidRPr="00F16DD9">
        <w:t xml:space="preserve">A legislated review </w:t>
      </w:r>
      <w:r>
        <w:t xml:space="preserve">at least </w:t>
      </w:r>
      <w:r w:rsidRPr="00F16DD9">
        <w:t>every 10 years</w:t>
      </w:r>
      <w:r>
        <w:t xml:space="preserve"> </w:t>
      </w:r>
      <w:r w:rsidRPr="00F16DD9">
        <w:t xml:space="preserve">would </w:t>
      </w:r>
      <w:r>
        <w:t>strengthen the governance and evaluation framework in the MRFF Act and ensure it can respond to the evolving health needs of Australians and the health and medical research sector. A number of AGIFs have been established since the MRFF that require regular statutory reviews of their establishing legislation.</w:t>
      </w:r>
      <w:r>
        <w:rPr>
          <w:rStyle w:val="FootnoteReference"/>
        </w:rPr>
        <w:footnoteReference w:id="33"/>
      </w:r>
    </w:p>
    <w:p w14:paraId="055447F9" w14:textId="0FC4FCD6" w:rsidR="005B31AB" w:rsidRDefault="005B31AB" w:rsidP="005B31AB">
      <w:r>
        <w:t xml:space="preserve">A focus of future reviews should be on the outcomes from grants funding provided from the MRFF (see section 26B of the </w:t>
      </w:r>
      <w:r w:rsidRPr="00C515A2">
        <w:rPr>
          <w:i/>
          <w:iCs/>
        </w:rPr>
        <w:t>Disaster Ready Fund Act 2019</w:t>
      </w:r>
      <w:r>
        <w:t>, for example), including the legislated process for determining priority areas for grants expenditure, as well as the performance of MRFF grants. Reviews should also include an assessment of MRFF grants funding and how it interacts with the broader health funding landscape.</w:t>
      </w:r>
    </w:p>
    <w:tbl>
      <w:tblPr>
        <w:tblStyle w:val="TableGrid"/>
        <w:tblW w:w="0" w:type="auto"/>
        <w:tblLook w:val="04A0" w:firstRow="1" w:lastRow="0" w:firstColumn="1" w:lastColumn="0" w:noHBand="0" w:noVBand="1"/>
      </w:tblPr>
      <w:tblGrid>
        <w:gridCol w:w="9016"/>
      </w:tblGrid>
      <w:tr w:rsidR="005B31AB" w14:paraId="7C007D2D" w14:textId="77777777" w:rsidTr="001834D0">
        <w:tc>
          <w:tcPr>
            <w:tcW w:w="9016" w:type="dxa"/>
            <w:shd w:val="clear" w:color="auto" w:fill="E7E6E6" w:themeFill="background2"/>
          </w:tcPr>
          <w:p w14:paraId="0D59D66E" w14:textId="77777777" w:rsidR="005B31AB" w:rsidRPr="00431548" w:rsidRDefault="005B31AB" w:rsidP="001834D0">
            <w:pPr>
              <w:pStyle w:val="Heading4"/>
              <w:rPr>
                <w:bCs w:val="0"/>
              </w:rPr>
            </w:pPr>
            <w:r w:rsidRPr="005F2B03">
              <w:rPr>
                <w:bCs w:val="0"/>
              </w:rPr>
              <w:lastRenderedPageBreak/>
              <w:t>Recommendation 5</w:t>
            </w:r>
          </w:p>
          <w:p w14:paraId="4A83EB90" w14:textId="77777777" w:rsidR="005B31AB" w:rsidRDefault="005B31AB" w:rsidP="001834D0">
            <w:pPr>
              <w:spacing w:after="120"/>
              <w:rPr>
                <w:rFonts w:eastAsia="Times New Roman"/>
              </w:rPr>
            </w:pPr>
            <w:r>
              <w:rPr>
                <w:rFonts w:eastAsia="Times New Roman"/>
              </w:rPr>
              <w:t>Amend the MRFF Act to require a review of its operation at least every 10 years and provide that the:</w:t>
            </w:r>
          </w:p>
          <w:p w14:paraId="41F0D698" w14:textId="77777777" w:rsidR="005B31AB" w:rsidRDefault="005B31AB" w:rsidP="001834D0">
            <w:pPr>
              <w:numPr>
                <w:ilvl w:val="0"/>
                <w:numId w:val="29"/>
              </w:numPr>
              <w:rPr>
                <w:rFonts w:eastAsia="Times New Roman"/>
              </w:rPr>
            </w:pPr>
            <w:r>
              <w:rPr>
                <w:rFonts w:eastAsia="Times New Roman"/>
              </w:rPr>
              <w:t>Health Minister is required to commission reviews of the management of financial assistance to support medical research and medical innovation, and</w:t>
            </w:r>
          </w:p>
          <w:p w14:paraId="4F65528B" w14:textId="77777777" w:rsidR="005B31AB" w:rsidRDefault="005B31AB" w:rsidP="001834D0">
            <w:pPr>
              <w:ind w:left="720"/>
              <w:rPr>
                <w:rFonts w:eastAsia="Times New Roman"/>
              </w:rPr>
            </w:pPr>
          </w:p>
          <w:p w14:paraId="7D1C89B7" w14:textId="77777777" w:rsidR="005B31AB" w:rsidRDefault="005B31AB" w:rsidP="001834D0">
            <w:pPr>
              <w:numPr>
                <w:ilvl w:val="0"/>
                <w:numId w:val="29"/>
              </w:numPr>
              <w:rPr>
                <w:rFonts w:eastAsia="Times New Roman"/>
              </w:rPr>
            </w:pPr>
            <w:r>
              <w:rPr>
                <w:rFonts w:eastAsia="Times New Roman"/>
              </w:rPr>
              <w:t>responsible Ministers are required to commission reviews of the investment and governance framework of the Fund.</w:t>
            </w:r>
          </w:p>
          <w:p w14:paraId="4ADC2EE9" w14:textId="77777777" w:rsidR="005B31AB" w:rsidRDefault="005B31AB" w:rsidP="001834D0">
            <w:pPr>
              <w:spacing w:after="120"/>
            </w:pPr>
          </w:p>
        </w:tc>
      </w:tr>
    </w:tbl>
    <w:p w14:paraId="5D0D2872" w14:textId="16FCAF97" w:rsidR="005B31AB" w:rsidRPr="00F435CA" w:rsidRDefault="005B31AB" w:rsidP="0079608B">
      <w:pPr>
        <w:pStyle w:val="Heading1"/>
        <w:spacing w:before="440" w:after="240"/>
      </w:pPr>
      <w:bookmarkStart w:id="31" w:name="_Toc185589251"/>
      <w:bookmarkStart w:id="32" w:name="_Toc181115708"/>
      <w:r>
        <w:t>T</w:t>
      </w:r>
      <w:r w:rsidRPr="00F435CA">
        <w:t>he MRFF as an Australian Government Investment Fund</w:t>
      </w:r>
      <w:bookmarkEnd w:id="31"/>
      <w:bookmarkEnd w:id="32"/>
    </w:p>
    <w:p w14:paraId="5CD58710" w14:textId="77777777" w:rsidR="005B31AB" w:rsidRDefault="005B31AB" w:rsidP="005B31AB">
      <w:pPr>
        <w:spacing w:after="120"/>
      </w:pPr>
      <w:r w:rsidRPr="003B71BC">
        <w:t xml:space="preserve">AGIFs </w:t>
      </w:r>
      <w:r>
        <w:t>invest capital in</w:t>
      </w:r>
      <w:r w:rsidRPr="003B71BC">
        <w:t xml:space="preserve"> financial assets</w:t>
      </w:r>
      <w:r>
        <w:t>, with returns</w:t>
      </w:r>
      <w:r w:rsidRPr="003B71BC">
        <w:t xml:space="preserve"> to </w:t>
      </w:r>
      <w:r>
        <w:t xml:space="preserve">provide a funding stream for </w:t>
      </w:r>
      <w:r w:rsidRPr="003B71BC">
        <w:t>a</w:t>
      </w:r>
      <w:r>
        <w:t>n identified policy area</w:t>
      </w:r>
      <w:r w:rsidRPr="003B71BC">
        <w:t>.</w:t>
      </w:r>
    </w:p>
    <w:p w14:paraId="06AB4F00" w14:textId="77777777" w:rsidR="005B31AB" w:rsidRDefault="005B31AB" w:rsidP="005B31AB">
      <w:pPr>
        <w:spacing w:after="120"/>
      </w:pPr>
      <w:r>
        <w:t>AGIFs are used to offset a liability that is both significant and long-term in nature (for example, the Future Fund) and/or to provide transparency and certainty that the Government is committed to providing funding over the long term (for example, the Aboriginal and Torres Strait Islander Land and Sea Future Fund).</w:t>
      </w:r>
    </w:p>
    <w:p w14:paraId="750272D6" w14:textId="77777777" w:rsidR="005B31AB" w:rsidRDefault="005B31AB" w:rsidP="005B31AB">
      <w:pPr>
        <w:spacing w:after="120"/>
      </w:pPr>
      <w:r>
        <w:t>AGIFs require an up-front capital commitment, which results in higher gross debt and interest costs. The risk</w:t>
      </w:r>
      <w:r>
        <w:noBreakHyphen/>
        <w:t>return profile of an AGIF should outweigh the costs of borrowing and administration over the long term. Where this occurs, the net earnings of an AGIF can provide additional funding for policy purposes over the long term.</w:t>
      </w:r>
    </w:p>
    <w:p w14:paraId="79FC72A6" w14:textId="77777777" w:rsidR="005B31AB" w:rsidRDefault="005B31AB" w:rsidP="005B31AB">
      <w:pPr>
        <w:pStyle w:val="Heading2"/>
        <w:spacing w:before="240" w:after="240"/>
      </w:pPr>
      <w:bookmarkStart w:id="33" w:name="_Toc185589252"/>
      <w:r>
        <w:t>Australian Government Investment Fund Principles</w:t>
      </w:r>
      <w:bookmarkEnd w:id="33"/>
    </w:p>
    <w:p w14:paraId="64C754B2" w14:textId="76E904DA" w:rsidR="005B31AB" w:rsidRPr="00E870BB" w:rsidRDefault="005B31AB" w:rsidP="005B31AB">
      <w:r>
        <w:t>The three AGIF Principles (listed below) provide a framework for assessing the appropriateness of an investment fund against funding alternatives.</w:t>
      </w:r>
    </w:p>
    <w:p w14:paraId="4E091D62" w14:textId="77777777" w:rsidR="005B31AB" w:rsidRDefault="005B31AB" w:rsidP="005B31AB">
      <w:pPr>
        <w:pStyle w:val="Heading3"/>
      </w:pPr>
      <w:r w:rsidRPr="00B9172B">
        <w:t>Principle 1: Is there a clear need to hypothecate funding outside the normal Budget process?</w:t>
      </w:r>
    </w:p>
    <w:p w14:paraId="4EB927F2" w14:textId="77777777" w:rsidR="005B31AB" w:rsidRDefault="005B31AB" w:rsidP="005B31AB">
      <w:r>
        <w:t xml:space="preserve">By allocating funds up-front and through separate legislation, the MRFF differs from the standard approach of funding grants programs through annual appropriations. The MRFF is enshrined in primary legislation which specifies a framework for the level of funding (via disbursements) and the purposes for which funding can be used. The Government cannot amend this framework without the agreement of the Parliament. </w:t>
      </w:r>
    </w:p>
    <w:p w14:paraId="303E459B" w14:textId="646C0698" w:rsidR="005B31AB" w:rsidRDefault="005B31AB" w:rsidP="005B31AB">
      <w:pPr>
        <w:spacing w:after="120"/>
      </w:pPr>
      <w:r w:rsidRPr="00501D82">
        <w:t>The</w:t>
      </w:r>
      <w:r>
        <w:t xml:space="preserve"> MRFF is a long-term commitment to invest in the enduring benefits of medical research and</w:t>
      </w:r>
      <w:r w:rsidRPr="00DF4247">
        <w:t xml:space="preserve"> </w:t>
      </w:r>
      <w:r>
        <w:t>medical innovation into the future. By funding MRFF grants from an AGIF, recipients have greater certainty that grants will be funded into the future. A legislated stream of income for health research can help attract and retain high-quality health researchers in Australia.</w:t>
      </w:r>
    </w:p>
    <w:p w14:paraId="60012B37" w14:textId="77777777" w:rsidR="005B31AB" w:rsidRDefault="005B31AB" w:rsidP="005B31AB">
      <w:pPr>
        <w:spacing w:after="120"/>
      </w:pPr>
      <w:r>
        <w:t>However, hypothecating funding to the MRFF in this way reduces the flexibility of the Government to reform the program and requires additional administration.</w:t>
      </w:r>
    </w:p>
    <w:p w14:paraId="27E3CA01" w14:textId="77777777" w:rsidR="005B31AB" w:rsidRDefault="005B31AB" w:rsidP="005B31AB">
      <w:pPr>
        <w:pStyle w:val="Heading3"/>
      </w:pPr>
      <w:r w:rsidRPr="00CA35C7">
        <w:lastRenderedPageBreak/>
        <w:t>Principle 2: Is there a clear need to hold financial assets (can a Special Account be used)?</w:t>
      </w:r>
    </w:p>
    <w:p w14:paraId="68C946DA" w14:textId="77777777" w:rsidR="005B31AB" w:rsidRDefault="005B31AB" w:rsidP="005B31AB">
      <w:pPr>
        <w:spacing w:after="240"/>
      </w:pPr>
      <w:r>
        <w:t xml:space="preserve">There are direct and indirect costs </w:t>
      </w:r>
      <w:r w:rsidRPr="009F5B83">
        <w:t xml:space="preserve">associated with </w:t>
      </w:r>
      <w:r>
        <w:t xml:space="preserve">investing in </w:t>
      </w:r>
      <w:r w:rsidRPr="009F5B83">
        <w:t>financial assets</w:t>
      </w:r>
      <w:r>
        <w:t>, as well as material risks. Financial markets can be volatile and short-term losses can directly impact the Government’s balance sheet.</w:t>
      </w:r>
    </w:p>
    <w:p w14:paraId="0CB005C5" w14:textId="77777777" w:rsidR="005B31AB" w:rsidRDefault="005B31AB" w:rsidP="005B31AB">
      <w:pPr>
        <w:spacing w:after="240"/>
      </w:pPr>
      <w:r>
        <w:t xml:space="preserve">To date MRFF returns have on average exceeded the cost of borrowing. This generates additional funding that can fund medical research. </w:t>
      </w:r>
      <w:r w:rsidRPr="00832607">
        <w:t>The MRFF has generated $</w:t>
      </w:r>
      <w:r w:rsidRPr="00D97E26">
        <w:t>6</w:t>
      </w:r>
      <w:r>
        <w:t>.</w:t>
      </w:r>
      <w:r w:rsidRPr="00D97E26">
        <w:t>4</w:t>
      </w:r>
      <w:r>
        <w:t xml:space="preserve"> billion</w:t>
      </w:r>
      <w:r>
        <w:rPr>
          <w:rStyle w:val="FootnoteReference"/>
        </w:rPr>
        <w:footnoteReference w:id="34"/>
      </w:r>
      <w:r w:rsidRPr="00832607">
        <w:t xml:space="preserve"> in net investment earnings since inception.</w:t>
      </w:r>
    </w:p>
    <w:p w14:paraId="57DA119C" w14:textId="77777777" w:rsidR="005B31AB" w:rsidRDefault="005B31AB" w:rsidP="005B31AB">
      <w:pPr>
        <w:spacing w:after="240"/>
      </w:pPr>
      <w:r>
        <w:t>However, volatility in MRFF returns and the current disbursement model have caused stakeholder concerns about the security of annual funding (</w:t>
      </w:r>
      <w:r w:rsidRPr="00782A83">
        <w:t>see pages 14</w:t>
      </w:r>
      <w:r>
        <w:t>-17). Long-term funding is constrained by long-term returns of the fund, and so grants cannot be indexed over time without running down the balance of the fund.</w:t>
      </w:r>
      <w:r w:rsidRPr="008F2721">
        <w:t xml:space="preserve"> </w:t>
      </w:r>
      <w:r>
        <w:t>NHMRC funding of health research uses a Special Account, rather than an AGIF.</w:t>
      </w:r>
    </w:p>
    <w:p w14:paraId="63E26C9B" w14:textId="77777777" w:rsidR="005B31AB" w:rsidRDefault="005B31AB" w:rsidP="005B31AB">
      <w:pPr>
        <w:pStyle w:val="Heading3"/>
      </w:pPr>
      <w:r w:rsidRPr="0027327E">
        <w:t>Principle 3: What is the most efficient management arrangement for investment of financial assets, and who is best placed to manage these arrangements, taking into account the investment horizon, liquidity needs and risk appetite?</w:t>
      </w:r>
    </w:p>
    <w:p w14:paraId="006D5579" w14:textId="1F45E889" w:rsidR="005B31AB" w:rsidRDefault="005B31AB" w:rsidP="005B31AB">
      <w:pPr>
        <w:spacing w:after="240"/>
      </w:pPr>
      <w:r>
        <w:t xml:space="preserve">If </w:t>
      </w:r>
      <w:r w:rsidRPr="00E22972">
        <w:t xml:space="preserve">Principles 1 and 2 are satisfied, Principle 3 is used to consider which entity is best placed to manage the investment in financial assets. </w:t>
      </w:r>
      <w:r w:rsidRPr="00E24DCA">
        <w:t>The acquisition and management of financial assets requires expertise, including risk and liquidity management expertise.</w:t>
      </w:r>
      <w:r>
        <w:t xml:space="preserve"> T</w:t>
      </w:r>
      <w:r w:rsidRPr="00E22972">
        <w:t xml:space="preserve">he </w:t>
      </w:r>
      <w:r>
        <w:t>Future Fund Board</w:t>
      </w:r>
      <w:r w:rsidRPr="00E22972">
        <w:t xml:space="preserve"> has responsibility for investing the </w:t>
      </w:r>
      <w:r>
        <w:t>MRFF</w:t>
      </w:r>
      <w:r w:rsidRPr="00E22972">
        <w:t xml:space="preserve">. The </w:t>
      </w:r>
      <w:r>
        <w:t>Future Fund Board</w:t>
      </w:r>
      <w:r w:rsidRPr="00E22972">
        <w:t xml:space="preserve"> has a proven track record of successfully investing AGIFs consistent with the legislative framework and the risk and return </w:t>
      </w:r>
      <w:r w:rsidRPr="00311190">
        <w:t>directions in</w:t>
      </w:r>
      <w:r>
        <w:t xml:space="preserve"> their</w:t>
      </w:r>
      <w:r w:rsidRPr="00311190">
        <w:t xml:space="preserve"> investment mandates.</w:t>
      </w:r>
    </w:p>
    <w:p w14:paraId="7D74AA4A" w14:textId="77777777" w:rsidR="005B31AB" w:rsidRDefault="005B31AB" w:rsidP="005B31AB">
      <w:pPr>
        <w:spacing w:after="240"/>
      </w:pPr>
      <w:r>
        <w:t>Box 5 discusses the MRFF Total Return Swap used by the Future Fund Board to reduce investment costs.</w:t>
      </w:r>
    </w:p>
    <w:tbl>
      <w:tblPr>
        <w:tblStyle w:val="TableGrid"/>
        <w:tblW w:w="0" w:type="auto"/>
        <w:tblLook w:val="04A0" w:firstRow="1" w:lastRow="0" w:firstColumn="1" w:lastColumn="0" w:noHBand="0" w:noVBand="1"/>
      </w:tblPr>
      <w:tblGrid>
        <w:gridCol w:w="9016"/>
      </w:tblGrid>
      <w:tr w:rsidR="005B31AB" w14:paraId="09A72031" w14:textId="77777777" w:rsidTr="001834D0">
        <w:tc>
          <w:tcPr>
            <w:tcW w:w="9016" w:type="dxa"/>
          </w:tcPr>
          <w:p w14:paraId="7FB5E6F2" w14:textId="77777777" w:rsidR="005B31AB" w:rsidRDefault="005B31AB" w:rsidP="001834D0">
            <w:pPr>
              <w:pStyle w:val="Heading4"/>
            </w:pPr>
            <w:bookmarkStart w:id="34" w:name="_Toc181115657"/>
            <w:r>
              <w:lastRenderedPageBreak/>
              <w:t xml:space="preserve">Box 5: </w:t>
            </w:r>
            <w:bookmarkEnd w:id="34"/>
            <w:r>
              <w:t>Medical Research Future Fund Total Return Swap</w:t>
            </w:r>
          </w:p>
          <w:p w14:paraId="0069C648" w14:textId="77777777" w:rsidR="005B31AB" w:rsidRDefault="005B31AB" w:rsidP="001834D0">
            <w:r>
              <w:t>The Future Fund Board manages four smaller AGIFs with long term investment horizons.</w:t>
            </w:r>
            <w:r w:rsidRPr="00492B25">
              <w:rPr>
                <w:rStyle w:val="FootnoteReference"/>
              </w:rPr>
              <w:footnoteReference w:id="35"/>
            </w:r>
            <w:r>
              <w:t xml:space="preserve"> Having to build and maintain standalone portfolios for each of these funds would take significant time and likely expose the portfolios to higher risk levels. In addition, the relatively small size of the portfolios would inhibit access to diversifying investment strategies and would not achieve the benefits of economies of scale.</w:t>
            </w:r>
          </w:p>
          <w:p w14:paraId="74E86F13" w14:textId="77777777" w:rsidR="005B31AB" w:rsidRDefault="005B31AB" w:rsidP="001834D0"/>
          <w:p w14:paraId="13FA3194" w14:textId="1BF73E7B" w:rsidR="005B31AB" w:rsidRDefault="005B31AB" w:rsidP="001834D0">
            <w:r>
              <w:t xml:space="preserve">To reduce costs and achieve the benefits of economies of scale, the Future Fund Board has set up </w:t>
            </w:r>
            <w:r w:rsidRPr="00492B25">
              <w:t>a co</w:t>
            </w:r>
            <w:r w:rsidRPr="00492B25">
              <w:noBreakHyphen/>
              <w:t>mingling investment arrangement</w:t>
            </w:r>
            <w:r>
              <w:t xml:space="preserve"> with the four smaller funds and</w:t>
            </w:r>
            <w:r w:rsidRPr="00492B25">
              <w:t xml:space="preserve"> the MRFF. This is achieved via a derivative contract between the smaller AGIFs and the MRFF, known as a Total Return Swap. Under this arrangement, the smaller AGIFs provide a portion of their capital to the MRFF, plus an agreed fixed payment, in exchange for a variable rate of return that reflects the performance of the return seeking and higher risk portion of the MRFF portfolio.</w:t>
            </w:r>
          </w:p>
          <w:p w14:paraId="004CBE6E" w14:textId="77777777" w:rsidR="005B31AB" w:rsidRDefault="005B31AB" w:rsidP="001834D0"/>
          <w:p w14:paraId="1B323643" w14:textId="77777777" w:rsidR="005B31AB" w:rsidRDefault="005B31AB" w:rsidP="001834D0">
            <w:r>
              <w:t>This co-mingling investment arrangement achieves benefits for the MRFF too. The additional capital available increases the ability of the MRFF to invest in further opportunities and secure services of high quality managers.</w:t>
            </w:r>
          </w:p>
          <w:p w14:paraId="705879F0" w14:textId="77777777" w:rsidR="005B31AB" w:rsidRDefault="005B31AB" w:rsidP="001834D0"/>
          <w:p w14:paraId="0D4ACD00" w14:textId="77777777" w:rsidR="005B31AB" w:rsidRPr="00522183" w:rsidRDefault="005B31AB" w:rsidP="001834D0">
            <w:r w:rsidRPr="00492B25">
              <w:t>If the Government decides to amend the investment arrangements for the MRFF</w:t>
            </w:r>
            <w:r>
              <w:t xml:space="preserve"> (such as liquidating the MRFF or transferring its investment management to another body)</w:t>
            </w:r>
            <w:r w:rsidRPr="00492B25">
              <w:t>, this could reduce</w:t>
            </w:r>
            <w:r>
              <w:t xml:space="preserve"> or remove</w:t>
            </w:r>
            <w:r w:rsidRPr="00492B25">
              <w:t xml:space="preserve"> the </w:t>
            </w:r>
            <w:r>
              <w:t>benefits of the Total Return Swap arrangement,</w:t>
            </w:r>
            <w:r w:rsidRPr="00492B25">
              <w:t xml:space="preserve"> given the economies of scale that currently exist. </w:t>
            </w:r>
          </w:p>
        </w:tc>
      </w:tr>
    </w:tbl>
    <w:p w14:paraId="41D6B498" w14:textId="77777777" w:rsidR="005B31AB" w:rsidRDefault="005B31AB" w:rsidP="00C36D69">
      <w:pPr>
        <w:pStyle w:val="Heading2"/>
        <w:spacing w:before="480"/>
      </w:pPr>
      <w:bookmarkStart w:id="35" w:name="_Toc185589253"/>
      <w:r>
        <w:t>Alternative options for funding health research grants</w:t>
      </w:r>
      <w:bookmarkEnd w:id="35"/>
    </w:p>
    <w:p w14:paraId="64DB08CD" w14:textId="77777777" w:rsidR="005B31AB" w:rsidRDefault="005B31AB" w:rsidP="005B31AB">
      <w:r>
        <w:t>While MRFF grants for health research are funded from AGIF returns, NHMRC grants for health research are funded via the MREA Special Account established by the</w:t>
      </w:r>
      <w:r w:rsidRPr="00B9172B">
        <w:rPr>
          <w:i/>
          <w:iCs/>
        </w:rPr>
        <w:t xml:space="preserve"> </w:t>
      </w:r>
      <w:r w:rsidRPr="005F2B03">
        <w:t>NHMRC Ac</w:t>
      </w:r>
      <w:r>
        <w:t>t</w:t>
      </w:r>
      <w:r w:rsidRPr="006E2F50">
        <w:t>.</w:t>
      </w:r>
    </w:p>
    <w:p w14:paraId="41ED9BA8" w14:textId="77777777" w:rsidR="005B31AB" w:rsidRDefault="005B31AB" w:rsidP="005B31AB">
      <w:r>
        <w:t>There are several options for providing the same level of funding for MRFF grants. Each option would require legislative change to implement.</w:t>
      </w:r>
    </w:p>
    <w:p w14:paraId="5379472F" w14:textId="77777777" w:rsidR="005B31AB" w:rsidRDefault="005B31AB" w:rsidP="005B31AB">
      <w:pPr>
        <w:pStyle w:val="Heading3"/>
        <w:numPr>
          <w:ilvl w:val="0"/>
          <w:numId w:val="30"/>
        </w:numPr>
      </w:pPr>
      <w:r>
        <w:t>Funding MRFF grants through annual appropriations</w:t>
      </w:r>
    </w:p>
    <w:p w14:paraId="6EACB707" w14:textId="77777777" w:rsidR="005B31AB" w:rsidRDefault="005B31AB" w:rsidP="005B31AB">
      <w:pPr>
        <w:rPr>
          <w:lang w:eastAsia="en-AU"/>
        </w:rPr>
      </w:pPr>
      <w:r>
        <w:rPr>
          <w:lang w:eastAsia="en-AU"/>
        </w:rPr>
        <w:t xml:space="preserve">MRFF grants could be funded through annual appropriation processes. </w:t>
      </w:r>
      <w:r>
        <w:t xml:space="preserve">This would remove administrative costs related to the running of an AGIF and increase flexibility for government. Processes </w:t>
      </w:r>
      <w:r w:rsidRPr="001C3534">
        <w:t>for grant payments would not be limited by the administrative procedures outlined on pages 18</w:t>
      </w:r>
      <w:r>
        <w:t xml:space="preserve">-22. </w:t>
      </w:r>
      <w:r>
        <w:rPr>
          <w:lang w:eastAsia="en-AU"/>
        </w:rPr>
        <w:t>However, this would reduce the level of certainty about ongoing funding.</w:t>
      </w:r>
    </w:p>
    <w:p w14:paraId="72F68964" w14:textId="77777777" w:rsidR="005B31AB" w:rsidRPr="00287835" w:rsidRDefault="005B31AB" w:rsidP="005B31AB">
      <w:r>
        <w:t>This option would require any uncommitted amounts to be returned to consolidated revenue at the end of each financial year, unless the government approves otherwise.</w:t>
      </w:r>
    </w:p>
    <w:p w14:paraId="7701B949" w14:textId="19E9B81E" w:rsidR="005B31AB" w:rsidRPr="00287835" w:rsidRDefault="005B31AB" w:rsidP="005B31AB">
      <w:r>
        <w:rPr>
          <w:lang w:eastAsia="en-AU"/>
        </w:rPr>
        <w:t>Under this option, the MRFF AGIF could be closed and the balance returned to budget to reduce gross debt and interest costs.</w:t>
      </w:r>
    </w:p>
    <w:p w14:paraId="182E1E62" w14:textId="77777777" w:rsidR="005B31AB" w:rsidRDefault="005B31AB" w:rsidP="00C36D69">
      <w:pPr>
        <w:pStyle w:val="Heading3"/>
        <w:keepLines/>
        <w:pageBreakBefore/>
        <w:numPr>
          <w:ilvl w:val="0"/>
          <w:numId w:val="30"/>
        </w:numPr>
        <w:ind w:left="714" w:hanging="357"/>
      </w:pPr>
      <w:r>
        <w:lastRenderedPageBreak/>
        <w:t>Funding MRFF grants through a special account</w:t>
      </w:r>
    </w:p>
    <w:p w14:paraId="3C5048A1" w14:textId="2617E0E1" w:rsidR="005B31AB" w:rsidRDefault="005B31AB" w:rsidP="005B31AB">
      <w:r>
        <w:t>MRFF grants could be funded through a special account that is enshrined in legislation to provide longer-term certainty for the research community. This would also remove administrative costs relating to the running of an AGIF and increase flexibility for government in the timing of grant payments.</w:t>
      </w:r>
    </w:p>
    <w:p w14:paraId="6EFF16B6" w14:textId="7D1ADFE4" w:rsidR="005B31AB" w:rsidRDefault="005B31AB" w:rsidP="005B31AB">
      <w:r>
        <w:t>While Special Accounts can provide additional certainty over future funding in some circumstances, these mechanisms are generally only appropriate as an alternative to annual appropriations in very specific circumstances.</w:t>
      </w:r>
    </w:p>
    <w:p w14:paraId="4B17363C" w14:textId="77777777" w:rsidR="005B31AB" w:rsidRDefault="005B31AB" w:rsidP="005B31AB">
      <w:r>
        <w:t>This option would require any uncommitted amounts to be returned to consolidated revenue at the end of each financial year, unless the government approves otherwise.</w:t>
      </w:r>
    </w:p>
    <w:p w14:paraId="548867D9" w14:textId="0B0C2AF6" w:rsidR="005B31AB" w:rsidRDefault="005B31AB" w:rsidP="005B31AB">
      <w:r>
        <w:rPr>
          <w:lang w:eastAsia="en-AU"/>
        </w:rPr>
        <w:t>As with the first option, the MRFF AGIF could be closed and the balance returned to budget to reduce gross debt.</w:t>
      </w:r>
    </w:p>
    <w:p w14:paraId="1004D7B0" w14:textId="6CD8E007" w:rsidR="005B31AB" w:rsidRPr="00B9172B" w:rsidRDefault="005B31AB" w:rsidP="005B31AB">
      <w:pPr>
        <w:pStyle w:val="Heading3"/>
        <w:numPr>
          <w:ilvl w:val="0"/>
          <w:numId w:val="30"/>
        </w:numPr>
      </w:pPr>
      <w:r>
        <w:t>Funding both MRFF and NHMRC grants from the MRFF AGIF</w:t>
      </w:r>
    </w:p>
    <w:p w14:paraId="24D324F9" w14:textId="77777777" w:rsidR="005B31AB" w:rsidRDefault="005B31AB" w:rsidP="005B31AB">
      <w:r>
        <w:t>Both MRFF and NHMRC grants could be funded from the MRFF AGIF. This would result in the MRFF AGIF being drawn down over time. MRFF and NHMRC grants could then be funded by annual appropriations or through a special account, as specified above.</w:t>
      </w:r>
    </w:p>
    <w:p w14:paraId="533E3A79" w14:textId="57176361" w:rsidR="005B31AB" w:rsidRPr="00B9172B" w:rsidRDefault="005B31AB" w:rsidP="005B31AB">
      <w:pPr>
        <w:pStyle w:val="Heading3"/>
        <w:numPr>
          <w:ilvl w:val="0"/>
          <w:numId w:val="30"/>
        </w:numPr>
      </w:pPr>
      <w:r>
        <w:t>Funding MRFF grants and part of the NHMRC grants from the MRFF AGIF</w:t>
      </w:r>
    </w:p>
    <w:p w14:paraId="245E7A20" w14:textId="2C4E3DC5" w:rsidR="005B31AB" w:rsidRPr="00DD129C" w:rsidRDefault="005B31AB" w:rsidP="005B31AB">
      <w:pPr>
        <w:rPr>
          <w:lang w:eastAsia="en-AU"/>
        </w:rPr>
      </w:pPr>
      <w:r>
        <w:rPr>
          <w:lang w:eastAsia="en-AU"/>
        </w:rPr>
        <w:t>The MRFF and part of the NHMRC grants could be funded from the MRFF AGIF. In years where returns from the AGIF exceed disbursements the excess</w:t>
      </w:r>
      <w:r w:rsidRPr="00C46027">
        <w:rPr>
          <w:lang w:eastAsia="en-AU"/>
        </w:rPr>
        <w:t xml:space="preserve"> </w:t>
      </w:r>
      <w:r>
        <w:rPr>
          <w:lang w:eastAsia="en-AU"/>
        </w:rPr>
        <w:t>returns could be drawn down into the</w:t>
      </w:r>
      <w:r w:rsidRPr="00C46027">
        <w:rPr>
          <w:lang w:eastAsia="en-AU"/>
        </w:rPr>
        <w:t xml:space="preserve"> MREA</w:t>
      </w:r>
      <w:r>
        <w:rPr>
          <w:lang w:eastAsia="en-AU"/>
        </w:rPr>
        <w:t>,</w:t>
      </w:r>
      <w:r w:rsidRPr="00C46027">
        <w:rPr>
          <w:lang w:eastAsia="en-AU"/>
        </w:rPr>
        <w:t xml:space="preserve"> reduc</w:t>
      </w:r>
      <w:r>
        <w:rPr>
          <w:lang w:eastAsia="en-AU"/>
        </w:rPr>
        <w:t>ing</w:t>
      </w:r>
      <w:r w:rsidRPr="00C46027">
        <w:rPr>
          <w:lang w:eastAsia="en-AU"/>
        </w:rPr>
        <w:t xml:space="preserve"> the </w:t>
      </w:r>
      <w:r>
        <w:rPr>
          <w:lang w:eastAsia="en-AU"/>
        </w:rPr>
        <w:t>need to issue debt to fund the NHMRC. I</w:t>
      </w:r>
      <w:r w:rsidRPr="00C46027">
        <w:rPr>
          <w:lang w:eastAsia="en-AU"/>
        </w:rPr>
        <w:t>n addition</w:t>
      </w:r>
      <w:r>
        <w:rPr>
          <w:lang w:eastAsia="en-AU"/>
        </w:rPr>
        <w:t>, this would still</w:t>
      </w:r>
      <w:r w:rsidRPr="00C46027">
        <w:rPr>
          <w:lang w:eastAsia="en-AU"/>
        </w:rPr>
        <w:t xml:space="preserve"> </w:t>
      </w:r>
      <w:r>
        <w:rPr>
          <w:lang w:eastAsia="en-AU"/>
        </w:rPr>
        <w:t>preserve the MRFF capital and</w:t>
      </w:r>
      <w:r w:rsidRPr="00C46027">
        <w:rPr>
          <w:lang w:eastAsia="en-AU"/>
        </w:rPr>
        <w:t xml:space="preserve"> provid</w:t>
      </w:r>
      <w:r>
        <w:rPr>
          <w:lang w:eastAsia="en-AU"/>
        </w:rPr>
        <w:t>e</w:t>
      </w:r>
      <w:r w:rsidRPr="00C46027">
        <w:rPr>
          <w:lang w:eastAsia="en-AU"/>
        </w:rPr>
        <w:t xml:space="preserve"> guaranteed funding </w:t>
      </w:r>
      <w:r>
        <w:rPr>
          <w:lang w:eastAsia="en-AU"/>
        </w:rPr>
        <w:t>to</w:t>
      </w:r>
      <w:r w:rsidRPr="00C46027">
        <w:rPr>
          <w:lang w:eastAsia="en-AU"/>
        </w:rPr>
        <w:t xml:space="preserve"> the MRFF.</w:t>
      </w:r>
      <w:r>
        <w:br w:type="page"/>
      </w:r>
    </w:p>
    <w:p w14:paraId="577FD8BE" w14:textId="77777777" w:rsidR="005B31AB" w:rsidRPr="008644C9" w:rsidRDefault="005B31AB" w:rsidP="00593EA2">
      <w:pPr>
        <w:pStyle w:val="Caption"/>
      </w:pPr>
      <w:r w:rsidRPr="00B9172B">
        <w:lastRenderedPageBreak/>
        <w:t xml:space="preserve">Table </w:t>
      </w:r>
      <w:r>
        <w:t>6</w:t>
      </w:r>
      <w:r w:rsidRPr="00B9172B">
        <w:t>: MRFF Funding options</w:t>
      </w:r>
    </w:p>
    <w:tbl>
      <w:tblPr>
        <w:tblStyle w:val="GridTable4-Accent1"/>
        <w:tblW w:w="0" w:type="auto"/>
        <w:tblLook w:val="04A0" w:firstRow="1" w:lastRow="0" w:firstColumn="1" w:lastColumn="0" w:noHBand="0" w:noVBand="1"/>
      </w:tblPr>
      <w:tblGrid>
        <w:gridCol w:w="2217"/>
        <w:gridCol w:w="2128"/>
        <w:gridCol w:w="2093"/>
        <w:gridCol w:w="2196"/>
      </w:tblGrid>
      <w:tr w:rsidR="005B31AB" w14:paraId="4EAA4A88" w14:textId="77777777" w:rsidTr="00593EA2">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2217" w:type="dxa"/>
          </w:tcPr>
          <w:p w14:paraId="5EAAD6ED" w14:textId="77777777" w:rsidR="005B31AB" w:rsidRDefault="005B31AB" w:rsidP="001834D0">
            <w:pPr>
              <w:keepNext/>
              <w:keepLines/>
            </w:pPr>
          </w:p>
        </w:tc>
        <w:tc>
          <w:tcPr>
            <w:tcW w:w="2128" w:type="dxa"/>
          </w:tcPr>
          <w:p w14:paraId="5B041D22" w14:textId="77777777" w:rsidR="005B31AB" w:rsidRDefault="005B31AB" w:rsidP="001834D0">
            <w:pPr>
              <w:keepNext/>
              <w:keepLines/>
              <w:cnfStyle w:val="100000000000" w:firstRow="1" w:lastRow="0" w:firstColumn="0" w:lastColumn="0" w:oddVBand="0" w:evenVBand="0" w:oddHBand="0" w:evenHBand="0" w:firstRowFirstColumn="0" w:firstRowLastColumn="0" w:lastRowFirstColumn="0" w:lastRowLastColumn="0"/>
            </w:pPr>
            <w:r>
              <w:t>AGIF</w:t>
            </w:r>
          </w:p>
        </w:tc>
        <w:tc>
          <w:tcPr>
            <w:tcW w:w="2093" w:type="dxa"/>
          </w:tcPr>
          <w:p w14:paraId="47DE95CA" w14:textId="77777777" w:rsidR="005B31AB" w:rsidRDefault="005B31AB" w:rsidP="001834D0">
            <w:pPr>
              <w:keepNext/>
              <w:keepLines/>
              <w:cnfStyle w:val="100000000000" w:firstRow="1" w:lastRow="0" w:firstColumn="0" w:lastColumn="0" w:oddVBand="0" w:evenVBand="0" w:oddHBand="0" w:evenHBand="0" w:firstRowFirstColumn="0" w:firstRowLastColumn="0" w:lastRowFirstColumn="0" w:lastRowLastColumn="0"/>
            </w:pPr>
            <w:r>
              <w:t>Special Account</w:t>
            </w:r>
          </w:p>
        </w:tc>
        <w:tc>
          <w:tcPr>
            <w:tcW w:w="2196" w:type="dxa"/>
          </w:tcPr>
          <w:p w14:paraId="41254A90" w14:textId="77777777" w:rsidR="005B31AB" w:rsidRDefault="005B31AB" w:rsidP="001834D0">
            <w:pPr>
              <w:keepNext/>
              <w:keepLines/>
              <w:cnfStyle w:val="100000000000" w:firstRow="1" w:lastRow="0" w:firstColumn="0" w:lastColumn="0" w:oddVBand="0" w:evenVBand="0" w:oddHBand="0" w:evenHBand="0" w:firstRowFirstColumn="0" w:firstRowLastColumn="0" w:lastRowFirstColumn="0" w:lastRowLastColumn="0"/>
            </w:pPr>
            <w:r>
              <w:t>Annual appropriations</w:t>
            </w:r>
          </w:p>
        </w:tc>
      </w:tr>
      <w:tr w:rsidR="005B31AB" w14:paraId="6993183E" w14:textId="77777777" w:rsidTr="001834D0">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2217" w:type="dxa"/>
            <w:shd w:val="clear" w:color="auto" w:fill="FFFFFF" w:themeFill="background1"/>
          </w:tcPr>
          <w:p w14:paraId="75FA2389" w14:textId="77777777" w:rsidR="005B31AB" w:rsidRDefault="005B31AB" w:rsidP="001834D0">
            <w:pPr>
              <w:keepNext/>
              <w:keepLines/>
            </w:pPr>
            <w:r>
              <w:t>Stakeholder certainty</w:t>
            </w:r>
          </w:p>
        </w:tc>
        <w:tc>
          <w:tcPr>
            <w:tcW w:w="2128" w:type="dxa"/>
            <w:shd w:val="clear" w:color="auto" w:fill="FFFFFF" w:themeFill="background1"/>
          </w:tcPr>
          <w:p w14:paraId="5AE8C54E" w14:textId="605D8967" w:rsidR="005B31AB" w:rsidRDefault="005B31AB" w:rsidP="001834D0">
            <w:pPr>
              <w:keepNext/>
              <w:keepLines/>
              <w:cnfStyle w:val="000000100000" w:firstRow="0" w:lastRow="0" w:firstColumn="0" w:lastColumn="0" w:oddVBand="0" w:evenVBand="0" w:oddHBand="1" w:evenHBand="0" w:firstRowFirstColumn="0" w:firstRowLastColumn="0" w:lastRowFirstColumn="0" w:lastRowLastColumn="0"/>
            </w:pPr>
            <w:r>
              <w:t>Enshrined in legislation and well-supported as a dedicated pool of capital for medical research.</w:t>
            </w:r>
          </w:p>
          <w:p w14:paraId="2EE6169B" w14:textId="77777777" w:rsidR="005B31AB" w:rsidRDefault="005B31AB" w:rsidP="00DD129C">
            <w:pPr>
              <w:keepNext/>
              <w:keepLines/>
              <w:spacing w:before="220"/>
              <w:cnfStyle w:val="000000100000" w:firstRow="0" w:lastRow="0" w:firstColumn="0" w:lastColumn="0" w:oddVBand="0" w:evenVBand="0" w:oddHBand="1" w:evenHBand="0" w:firstRowFirstColumn="0" w:firstRowLastColumn="0" w:lastRowFirstColumn="0" w:lastRowLastColumn="0"/>
            </w:pPr>
            <w:r>
              <w:t>Returns subject to annual volatility.</w:t>
            </w:r>
          </w:p>
        </w:tc>
        <w:tc>
          <w:tcPr>
            <w:tcW w:w="2093" w:type="dxa"/>
            <w:shd w:val="clear" w:color="auto" w:fill="FFFFFF" w:themeFill="background1"/>
          </w:tcPr>
          <w:p w14:paraId="4BFE06E8" w14:textId="77777777" w:rsidR="005B31AB" w:rsidRDefault="005B31AB" w:rsidP="001834D0">
            <w:pPr>
              <w:keepNext/>
              <w:keepLines/>
              <w:cnfStyle w:val="000000100000" w:firstRow="0" w:lastRow="0" w:firstColumn="0" w:lastColumn="0" w:oddVBand="0" w:evenVBand="0" w:oddHBand="1" w:evenHBand="0" w:firstRowFirstColumn="0" w:firstRowLastColumn="0" w:lastRowFirstColumn="0" w:lastRowLastColumn="0"/>
            </w:pPr>
            <w:r>
              <w:t>Enshrined in legislation but no dedicated pool of capital.</w:t>
            </w:r>
          </w:p>
          <w:p w14:paraId="3ECECF1C" w14:textId="77777777" w:rsidR="005B31AB" w:rsidRDefault="005B31AB" w:rsidP="00DD129C">
            <w:pPr>
              <w:keepNext/>
              <w:keepLines/>
              <w:spacing w:before="220"/>
              <w:cnfStyle w:val="000000100000" w:firstRow="0" w:lastRow="0" w:firstColumn="0" w:lastColumn="0" w:oddVBand="0" w:evenVBand="0" w:oddHBand="1" w:evenHBand="0" w:firstRowFirstColumn="0" w:firstRowLastColumn="0" w:lastRowFirstColumn="0" w:lastRowLastColumn="0"/>
            </w:pPr>
            <w:r>
              <w:t>Grants can be indexed as not constrained by investment returns.</w:t>
            </w:r>
          </w:p>
        </w:tc>
        <w:tc>
          <w:tcPr>
            <w:tcW w:w="2196" w:type="dxa"/>
            <w:shd w:val="clear" w:color="auto" w:fill="FFFFFF" w:themeFill="background1"/>
          </w:tcPr>
          <w:p w14:paraId="1EEC4801" w14:textId="77777777" w:rsidR="005B31AB" w:rsidRDefault="005B31AB" w:rsidP="001834D0">
            <w:pPr>
              <w:keepNext/>
              <w:keepLines/>
              <w:cnfStyle w:val="000000100000" w:firstRow="0" w:lastRow="0" w:firstColumn="0" w:lastColumn="0" w:oddVBand="0" w:evenVBand="0" w:oddHBand="1" w:evenHBand="0" w:firstRowFirstColumn="0" w:firstRowLastColumn="0" w:lastRowFirstColumn="0" w:lastRowLastColumn="0"/>
            </w:pPr>
            <w:r>
              <w:t>Grants can be indexed as not constrained by investment returns.</w:t>
            </w:r>
          </w:p>
        </w:tc>
      </w:tr>
      <w:tr w:rsidR="005B31AB" w14:paraId="665FBC20" w14:textId="77777777" w:rsidTr="001834D0">
        <w:trPr>
          <w:trHeight w:val="2044"/>
        </w:trPr>
        <w:tc>
          <w:tcPr>
            <w:cnfStyle w:val="001000000000" w:firstRow="0" w:lastRow="0" w:firstColumn="1" w:lastColumn="0" w:oddVBand="0" w:evenVBand="0" w:oddHBand="0" w:evenHBand="0" w:firstRowFirstColumn="0" w:firstRowLastColumn="0" w:lastRowFirstColumn="0" w:lastRowLastColumn="0"/>
            <w:tcW w:w="2217" w:type="dxa"/>
            <w:shd w:val="clear" w:color="auto" w:fill="FFFFFF" w:themeFill="background1"/>
          </w:tcPr>
          <w:p w14:paraId="4B15E01C" w14:textId="77777777" w:rsidR="005B31AB" w:rsidRDefault="005B31AB" w:rsidP="001834D0">
            <w:r>
              <w:t>Administration of funding</w:t>
            </w:r>
          </w:p>
        </w:tc>
        <w:tc>
          <w:tcPr>
            <w:tcW w:w="2128" w:type="dxa"/>
            <w:shd w:val="clear" w:color="auto" w:fill="FFFFFF" w:themeFill="background1"/>
          </w:tcPr>
          <w:p w14:paraId="214366FE" w14:textId="77777777" w:rsidR="005B31AB" w:rsidRDefault="005B31AB" w:rsidP="001834D0">
            <w:pPr>
              <w:cnfStyle w:val="000000000000" w:firstRow="0" w:lastRow="0" w:firstColumn="0" w:lastColumn="0" w:oddVBand="0" w:evenVBand="0" w:oddHBand="0" w:evenHBand="0" w:firstRowFirstColumn="0" w:firstRowLastColumn="0" w:lastRowFirstColumn="0" w:lastRowLastColumn="0"/>
            </w:pPr>
            <w:r>
              <w:t>Additional administrative processes required.</w:t>
            </w:r>
          </w:p>
          <w:p w14:paraId="0351DB8F" w14:textId="77777777" w:rsidR="005B31AB" w:rsidRDefault="005B31AB" w:rsidP="00DD129C">
            <w:pPr>
              <w:keepNext/>
              <w:keepLines/>
              <w:spacing w:before="220"/>
              <w:cnfStyle w:val="000000000000" w:firstRow="0" w:lastRow="0" w:firstColumn="0" w:lastColumn="0" w:oddVBand="0" w:evenVBand="0" w:oddHBand="0" w:evenHBand="0" w:firstRowFirstColumn="0" w:firstRowLastColumn="0" w:lastRowFirstColumn="0" w:lastRowLastColumn="0"/>
            </w:pPr>
            <w:r>
              <w:t>Less government flexibility in administration of grants.</w:t>
            </w:r>
          </w:p>
        </w:tc>
        <w:tc>
          <w:tcPr>
            <w:tcW w:w="2093" w:type="dxa"/>
            <w:shd w:val="clear" w:color="auto" w:fill="FFFFFF" w:themeFill="background1"/>
          </w:tcPr>
          <w:p w14:paraId="7660B212" w14:textId="77777777" w:rsidR="005B31AB" w:rsidRDefault="005B31AB" w:rsidP="001834D0">
            <w:pPr>
              <w:cnfStyle w:val="000000000000" w:firstRow="0" w:lastRow="0" w:firstColumn="0" w:lastColumn="0" w:oddVBand="0" w:evenVBand="0" w:oddHBand="0" w:evenHBand="0" w:firstRowFirstColumn="0" w:firstRowLastColumn="0" w:lastRowFirstColumn="0" w:lastRowLastColumn="0"/>
            </w:pPr>
            <w:r>
              <w:t>Minimal additional administrative processes required.</w:t>
            </w:r>
          </w:p>
        </w:tc>
        <w:tc>
          <w:tcPr>
            <w:tcW w:w="2196" w:type="dxa"/>
            <w:shd w:val="clear" w:color="auto" w:fill="FFFFFF" w:themeFill="background1"/>
          </w:tcPr>
          <w:p w14:paraId="769C546C" w14:textId="77777777" w:rsidR="005B31AB" w:rsidRDefault="005B31AB" w:rsidP="001834D0">
            <w:pPr>
              <w:cnfStyle w:val="000000000000" w:firstRow="0" w:lastRow="0" w:firstColumn="0" w:lastColumn="0" w:oddVBand="0" w:evenVBand="0" w:oddHBand="0" w:evenHBand="0" w:firstRowFirstColumn="0" w:firstRowLastColumn="0" w:lastRowFirstColumn="0" w:lastRowLastColumn="0"/>
            </w:pPr>
            <w:r>
              <w:t>No additional administrative processes.</w:t>
            </w:r>
          </w:p>
        </w:tc>
      </w:tr>
      <w:tr w:rsidR="005B31AB" w14:paraId="4CB9C461" w14:textId="77777777" w:rsidTr="001834D0">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2217" w:type="dxa"/>
            <w:shd w:val="clear" w:color="auto" w:fill="FFFFFF" w:themeFill="background1"/>
          </w:tcPr>
          <w:p w14:paraId="01C11270" w14:textId="77777777" w:rsidR="005B31AB" w:rsidRDefault="005B31AB" w:rsidP="001834D0">
            <w:r>
              <w:t>Financial impacts</w:t>
            </w:r>
          </w:p>
        </w:tc>
        <w:tc>
          <w:tcPr>
            <w:tcW w:w="2128" w:type="dxa"/>
            <w:shd w:val="clear" w:color="auto" w:fill="FFFFFF" w:themeFill="background1"/>
          </w:tcPr>
          <w:p w14:paraId="66ECFAFF" w14:textId="77777777" w:rsidR="005B31AB" w:rsidRDefault="005B31AB" w:rsidP="001834D0">
            <w:pPr>
              <w:cnfStyle w:val="000000100000" w:firstRow="0" w:lastRow="0" w:firstColumn="0" w:lastColumn="0" w:oddVBand="0" w:evenVBand="0" w:oddHBand="1" w:evenHBand="0" w:firstRowFirstColumn="0" w:firstRowLastColumn="0" w:lastRowFirstColumn="0" w:lastRowLastColumn="0"/>
            </w:pPr>
            <w:r>
              <w:t>Returns increase net financial worth.</w:t>
            </w:r>
          </w:p>
          <w:p w14:paraId="5FD5DB25" w14:textId="77777777" w:rsidR="005B31AB" w:rsidRDefault="005B31AB" w:rsidP="00DD129C">
            <w:pPr>
              <w:keepNext/>
              <w:keepLines/>
              <w:spacing w:before="220"/>
              <w:cnfStyle w:val="000000100000" w:firstRow="0" w:lastRow="0" w:firstColumn="0" w:lastColumn="0" w:oddVBand="0" w:evenVBand="0" w:oddHBand="1" w:evenHBand="0" w:firstRowFirstColumn="0" w:firstRowLastColumn="0" w:lastRowFirstColumn="0" w:lastRowLastColumn="0"/>
            </w:pPr>
            <w:r>
              <w:t>Net returns create additional funding for MRFF grants.</w:t>
            </w:r>
          </w:p>
        </w:tc>
        <w:tc>
          <w:tcPr>
            <w:tcW w:w="2093" w:type="dxa"/>
            <w:shd w:val="clear" w:color="auto" w:fill="FFFFFF" w:themeFill="background1"/>
          </w:tcPr>
          <w:p w14:paraId="3264DF71" w14:textId="3B04C991" w:rsidR="005B31AB" w:rsidRDefault="005B31AB" w:rsidP="00DD129C">
            <w:pPr>
              <w:spacing w:after="240"/>
              <w:cnfStyle w:val="000000100000" w:firstRow="0" w:lastRow="0" w:firstColumn="0" w:lastColumn="0" w:oddVBand="0" w:evenVBand="0" w:oddHBand="1" w:evenHBand="0" w:firstRowFirstColumn="0" w:firstRowLastColumn="0" w:lastRowFirstColumn="0" w:lastRowLastColumn="0"/>
            </w:pPr>
            <w:r>
              <w:t>Capital of AGIF can be used to pay off gross debt; decreases net financial worth over time.</w:t>
            </w:r>
          </w:p>
        </w:tc>
        <w:tc>
          <w:tcPr>
            <w:tcW w:w="2196" w:type="dxa"/>
            <w:shd w:val="clear" w:color="auto" w:fill="FFFFFF" w:themeFill="background1"/>
          </w:tcPr>
          <w:p w14:paraId="61CB3B96" w14:textId="6F95C754" w:rsidR="005B31AB" w:rsidRDefault="005B31AB" w:rsidP="001834D0">
            <w:pPr>
              <w:cnfStyle w:val="000000100000" w:firstRow="0" w:lastRow="0" w:firstColumn="0" w:lastColumn="0" w:oddVBand="0" w:evenVBand="0" w:oddHBand="1" w:evenHBand="0" w:firstRowFirstColumn="0" w:firstRowLastColumn="0" w:lastRowFirstColumn="0" w:lastRowLastColumn="0"/>
            </w:pPr>
            <w:r>
              <w:t>Capital of AGIF can be used to pay off gross debt; decreases net financial worth over time.</w:t>
            </w:r>
          </w:p>
        </w:tc>
      </w:tr>
    </w:tbl>
    <w:p w14:paraId="26297615" w14:textId="77777777" w:rsidR="005B31AB" w:rsidRPr="00492B25" w:rsidRDefault="005B31AB" w:rsidP="00726B40">
      <w:pPr>
        <w:spacing w:before="480" w:after="600"/>
      </w:pPr>
      <w:r w:rsidRPr="0022648E">
        <w:t xml:space="preserve">Drawing down the capital of the MRFF would improve gross debt but make net financial worth worse off and have minimal impact on </w:t>
      </w:r>
      <w:r>
        <w:t>the Underlying Cash Balance.</w:t>
      </w:r>
    </w:p>
    <w:tbl>
      <w:tblPr>
        <w:tblStyle w:val="TableGrid"/>
        <w:tblW w:w="0" w:type="auto"/>
        <w:tblLook w:val="04A0" w:firstRow="1" w:lastRow="0" w:firstColumn="1" w:lastColumn="0" w:noHBand="0" w:noVBand="1"/>
      </w:tblPr>
      <w:tblGrid>
        <w:gridCol w:w="9016"/>
      </w:tblGrid>
      <w:tr w:rsidR="005B31AB" w14:paraId="5ACFE34D" w14:textId="77777777" w:rsidTr="001834D0">
        <w:tc>
          <w:tcPr>
            <w:tcW w:w="9016" w:type="dxa"/>
            <w:shd w:val="clear" w:color="auto" w:fill="E7E6E6" w:themeFill="background2"/>
          </w:tcPr>
          <w:p w14:paraId="6B7FC142" w14:textId="77777777" w:rsidR="005B31AB" w:rsidRPr="005F2B03" w:rsidRDefault="005B31AB" w:rsidP="001834D0">
            <w:pPr>
              <w:spacing w:after="120"/>
              <w:rPr>
                <w:b/>
                <w:bCs/>
                <w:color w:val="000000" w:themeColor="text1"/>
                <w:sz w:val="24"/>
                <w:szCs w:val="24"/>
              </w:rPr>
            </w:pPr>
            <w:r w:rsidRPr="005F2B03">
              <w:rPr>
                <w:b/>
                <w:bCs/>
                <w:color w:val="000000" w:themeColor="text1"/>
                <w:sz w:val="24"/>
                <w:szCs w:val="24"/>
              </w:rPr>
              <w:t xml:space="preserve">Finding </w:t>
            </w:r>
            <w:r>
              <w:rPr>
                <w:b/>
                <w:bCs/>
                <w:color w:val="000000" w:themeColor="text1"/>
                <w:sz w:val="24"/>
                <w:szCs w:val="24"/>
              </w:rPr>
              <w:t>7</w:t>
            </w:r>
          </w:p>
          <w:p w14:paraId="0AF7ADB6" w14:textId="5BA19A55" w:rsidR="005B31AB" w:rsidRDefault="005B31AB" w:rsidP="00DD129C">
            <w:pPr>
              <w:spacing w:before="120" w:after="480"/>
            </w:pPr>
            <w:r w:rsidRPr="008E622D">
              <w:t>The current Australian Government Investment Fund model provides ongoing certainty of funding for grants but little</w:t>
            </w:r>
            <w:r>
              <w:t xml:space="preserve"> administrative and funding</w:t>
            </w:r>
            <w:r w:rsidRPr="008E622D">
              <w:t xml:space="preserve"> flexibility. There are alternative options for funding </w:t>
            </w:r>
            <w:r w:rsidRPr="00CB6C4C">
              <w:t>medical research grants using annual appropriations or a Special Account</w:t>
            </w:r>
            <w:r>
              <w:t>.</w:t>
            </w:r>
          </w:p>
        </w:tc>
      </w:tr>
    </w:tbl>
    <w:p w14:paraId="38395BD6" w14:textId="77777777" w:rsidR="005B31AB" w:rsidRDefault="005B31AB" w:rsidP="005B31AB">
      <w:r>
        <w:br w:type="page"/>
      </w:r>
    </w:p>
    <w:p w14:paraId="0B84F5CA" w14:textId="61AA91B5" w:rsidR="005B31AB" w:rsidRPr="00A331D5" w:rsidRDefault="005B31AB" w:rsidP="005B31AB">
      <w:pPr>
        <w:pStyle w:val="Heading1"/>
      </w:pPr>
      <w:bookmarkStart w:id="36" w:name="_Toc185589254"/>
      <w:r>
        <w:lastRenderedPageBreak/>
        <w:t>Appendix A: MRFF evaluations, reviews and reports</w:t>
      </w:r>
      <w:bookmarkEnd w:id="36"/>
    </w:p>
    <w:p w14:paraId="06D60015" w14:textId="4B984F62" w:rsidR="005B31AB" w:rsidRDefault="005B31AB" w:rsidP="005B31AB">
      <w:pPr>
        <w:pStyle w:val="Heading3"/>
      </w:pPr>
      <w:r w:rsidRPr="00C13AF1">
        <w:t>Medical Research Commercialisation Landscape Report 2020</w:t>
      </w:r>
      <w:r>
        <w:rPr>
          <w:rStyle w:val="FootnoteReference"/>
          <w:rFonts w:cstheme="minorHAnsi"/>
          <w:bCs/>
          <w:color w:val="0563C1" w:themeColor="hyperlink"/>
          <w:u w:val="single"/>
        </w:rPr>
        <w:footnoteReference w:id="36"/>
      </w:r>
    </w:p>
    <w:p w14:paraId="5ACDD3DC" w14:textId="77777777" w:rsidR="005B31AB" w:rsidRDefault="005B31AB" w:rsidP="005B31AB">
      <w:pPr>
        <w:rPr>
          <w:rFonts w:cstheme="minorHAnsi"/>
        </w:rPr>
      </w:pPr>
      <w:r>
        <w:rPr>
          <w:rFonts w:cstheme="minorHAnsi"/>
        </w:rPr>
        <w:t>This evaluation</w:t>
      </w:r>
      <w:r w:rsidRPr="008257FF">
        <w:rPr>
          <w:rFonts w:cstheme="minorHAnsi"/>
        </w:rPr>
        <w:t xml:space="preserve"> </w:t>
      </w:r>
      <w:r>
        <w:rPr>
          <w:rFonts w:cstheme="minorHAnsi"/>
        </w:rPr>
        <w:t xml:space="preserve">provided </w:t>
      </w:r>
      <w:r w:rsidRPr="008257FF">
        <w:rPr>
          <w:rFonts w:cstheme="minorHAnsi"/>
        </w:rPr>
        <w:t>an overview of public and private funding programs that support the commercialisation of medical research in Australia, a</w:t>
      </w:r>
      <w:r>
        <w:rPr>
          <w:rFonts w:cstheme="minorHAnsi"/>
        </w:rPr>
        <w:t>s well as</w:t>
      </w:r>
      <w:r w:rsidRPr="008257FF">
        <w:rPr>
          <w:rFonts w:cstheme="minorHAnsi"/>
        </w:rPr>
        <w:t xml:space="preserve"> sector views on the MRFF, existing support, funding gaps, barriers and opportunities in terms of commercialisation and translation.</w:t>
      </w:r>
      <w:r>
        <w:rPr>
          <w:rFonts w:cstheme="minorHAnsi"/>
        </w:rPr>
        <w:t xml:space="preserve"> </w:t>
      </w:r>
    </w:p>
    <w:p w14:paraId="25457B89" w14:textId="77777777" w:rsidR="005B31AB" w:rsidRPr="006716BB" w:rsidRDefault="005B31AB" w:rsidP="005B31AB">
      <w:r>
        <w:t xml:space="preserve">A key finding in relation to the MRFF was that it is seen as having a positive impact on sector capacity and capability through funding, facilitating and stimulating increased engagement between industry and researchers, and through improving clinical trial infrastructure. </w:t>
      </w:r>
      <w:r w:rsidRPr="00CE0DD5">
        <w:t>The Early</w:t>
      </w:r>
      <w:r>
        <w:t xml:space="preserve"> </w:t>
      </w:r>
      <w:r w:rsidRPr="00CE0DD5">
        <w:t>Stage Tra</w:t>
      </w:r>
      <w:r>
        <w:t>nslation and Commercialisation grant opportunity</w:t>
      </w:r>
      <w:r w:rsidRPr="00CE0DD5">
        <w:t xml:space="preserve"> was implemented as a result of this report, providing </w:t>
      </w:r>
      <w:r>
        <w:t>four</w:t>
      </w:r>
      <w:r w:rsidRPr="00CE0DD5">
        <w:t xml:space="preserve"> $19.75</w:t>
      </w:r>
      <w:r>
        <w:t xml:space="preserve"> </w:t>
      </w:r>
      <w:r w:rsidRPr="00CE0DD5">
        <w:t>m</w:t>
      </w:r>
      <w:r>
        <w:t>illion</w:t>
      </w:r>
      <w:r w:rsidRPr="00CE0DD5">
        <w:t xml:space="preserve"> grants ($79</w:t>
      </w:r>
      <w:r>
        <w:t xml:space="preserve"> </w:t>
      </w:r>
      <w:r w:rsidRPr="00CE0DD5">
        <w:t>m</w:t>
      </w:r>
      <w:r>
        <w:t>illion</w:t>
      </w:r>
      <w:r w:rsidRPr="00CE0DD5">
        <w:t xml:space="preserve"> total).</w:t>
      </w:r>
    </w:p>
    <w:p w14:paraId="75A0FDB9" w14:textId="2D2A3CE4" w:rsidR="005B31AB" w:rsidRDefault="005B31AB" w:rsidP="005B31AB">
      <w:pPr>
        <w:pStyle w:val="Heading3"/>
      </w:pPr>
      <w:r w:rsidRPr="00E5666B">
        <w:t>Rapid Applied Research Translation Initiative 2020</w:t>
      </w:r>
      <w:r>
        <w:rPr>
          <w:rStyle w:val="FootnoteReference"/>
          <w:rFonts w:cstheme="minorHAnsi"/>
          <w:bCs/>
          <w:color w:val="0563C1" w:themeColor="hyperlink"/>
          <w:u w:val="single"/>
        </w:rPr>
        <w:footnoteReference w:id="37"/>
      </w:r>
    </w:p>
    <w:p w14:paraId="3C32A2EF" w14:textId="77777777" w:rsidR="005B31AB" w:rsidRDefault="005B31AB" w:rsidP="005B31AB">
      <w:r>
        <w:rPr>
          <w:rFonts w:cstheme="minorHAnsi"/>
        </w:rPr>
        <w:t>T</w:t>
      </w:r>
      <w:r w:rsidRPr="008257FF">
        <w:rPr>
          <w:rFonts w:cstheme="minorHAnsi"/>
        </w:rPr>
        <w:t>his evaluation examined how the</w:t>
      </w:r>
      <w:r>
        <w:rPr>
          <w:rFonts w:cstheme="minorHAnsi"/>
        </w:rPr>
        <w:t xml:space="preserve"> MRFF’s</w:t>
      </w:r>
      <w:r w:rsidRPr="008257FF">
        <w:rPr>
          <w:rFonts w:cstheme="minorHAnsi"/>
        </w:rPr>
        <w:t xml:space="preserve"> </w:t>
      </w:r>
      <w:r w:rsidRPr="00CD126F">
        <w:rPr>
          <w:rFonts w:cstheme="minorHAnsi"/>
        </w:rPr>
        <w:t xml:space="preserve">Rapid Applied Research Translation </w:t>
      </w:r>
      <w:r>
        <w:rPr>
          <w:rFonts w:cstheme="minorHAnsi"/>
        </w:rPr>
        <w:t>(RART)</w:t>
      </w:r>
      <w:r w:rsidRPr="00CD126F">
        <w:rPr>
          <w:rFonts w:cstheme="minorHAnsi"/>
        </w:rPr>
        <w:t xml:space="preserve"> Initiative</w:t>
      </w:r>
      <w:r>
        <w:rPr>
          <w:rFonts w:cstheme="minorHAnsi"/>
        </w:rPr>
        <w:t xml:space="preserve"> </w:t>
      </w:r>
      <w:r w:rsidRPr="008257FF">
        <w:rPr>
          <w:rFonts w:cstheme="minorHAnsi"/>
        </w:rPr>
        <w:t>has been implemented by research translation centres, implementation models, alignment with Australian health research priorities, top-down and bottom</w:t>
      </w:r>
      <w:r>
        <w:rPr>
          <w:rFonts w:cstheme="minorHAnsi"/>
        </w:rPr>
        <w:t>-</w:t>
      </w:r>
      <w:r w:rsidRPr="008257FF">
        <w:rPr>
          <w:rFonts w:cstheme="minorHAnsi"/>
        </w:rPr>
        <w:t xml:space="preserve">up strategic planning, and international best practice. </w:t>
      </w:r>
      <w:r>
        <w:t>As the RART Initiative was in such early stages, the intent of this activity was to undertake a formative process evaluation to inform options for future investment. To this end, the evaluation found that:</w:t>
      </w:r>
    </w:p>
    <w:p w14:paraId="7DA1870F" w14:textId="77777777" w:rsidR="005B31AB" w:rsidRPr="006B651A" w:rsidRDefault="005B31AB" w:rsidP="00A605F2">
      <w:pPr>
        <w:pStyle w:val="List"/>
      </w:pPr>
      <w:r>
        <w:t>g</w:t>
      </w:r>
      <w:r w:rsidRPr="006B651A">
        <w:t>rant funding should continue to focus on funding research projects that can demonstrate the greatest potential for research translation and adoption in areas of prioritised need. There should be continued flexibility to fund both small scale and larger, more complex research projects</w:t>
      </w:r>
      <w:r>
        <w:t>,</w:t>
      </w:r>
    </w:p>
    <w:p w14:paraId="38C73B4B" w14:textId="77777777" w:rsidR="005B31AB" w:rsidRPr="006B651A" w:rsidRDefault="005B31AB" w:rsidP="00A605F2">
      <w:pPr>
        <w:pStyle w:val="List"/>
      </w:pPr>
      <w:r>
        <w:t>g</w:t>
      </w:r>
      <w:r w:rsidRPr="006B651A">
        <w:t>rant funding should be underpinned by evidence of engagement and involvement with all stakeholders relevant to the research and its translation. There must be consideration of national, state/territory and local community priorities</w:t>
      </w:r>
      <w:r>
        <w:t>, and</w:t>
      </w:r>
    </w:p>
    <w:p w14:paraId="4E3A7500" w14:textId="77777777" w:rsidR="005B31AB" w:rsidRPr="008A1332" w:rsidRDefault="005B31AB" w:rsidP="00A605F2">
      <w:pPr>
        <w:pStyle w:val="List"/>
      </w:pPr>
      <w:r>
        <w:t>a</w:t>
      </w:r>
      <w:r w:rsidRPr="006B651A">
        <w:t>ssessment of research outcomes and impact should be embedded in the RART Initiative and account for the diversity of research contexts including cultural, geographical, demographic and economic factors which can impact health outcomes.</w:t>
      </w:r>
    </w:p>
    <w:p w14:paraId="33A76927" w14:textId="217C0443" w:rsidR="005B31AB" w:rsidRDefault="005B31AB" w:rsidP="005B31AB">
      <w:pPr>
        <w:pStyle w:val="Heading3"/>
      </w:pPr>
      <w:r w:rsidRPr="00E5666B">
        <w:t>Review of the Million Minds Mental Health Research Mission 2021-22</w:t>
      </w:r>
      <w:r>
        <w:rPr>
          <w:rStyle w:val="FootnoteReference"/>
          <w:rFonts w:cstheme="minorHAnsi"/>
          <w:bCs/>
          <w:color w:val="0563C1" w:themeColor="hyperlink"/>
          <w:u w:val="single"/>
        </w:rPr>
        <w:footnoteReference w:id="38"/>
      </w:r>
    </w:p>
    <w:p w14:paraId="3879C314" w14:textId="77777777" w:rsidR="005B31AB" w:rsidRPr="008257FF" w:rsidRDefault="005B31AB" w:rsidP="005B31AB">
      <w:pPr>
        <w:rPr>
          <w:rFonts w:cstheme="minorHAnsi"/>
        </w:rPr>
      </w:pPr>
      <w:r>
        <w:rPr>
          <w:rFonts w:cstheme="minorHAnsi"/>
        </w:rPr>
        <w:t>T</w:t>
      </w:r>
      <w:r w:rsidRPr="008257FF">
        <w:rPr>
          <w:rFonts w:cstheme="minorHAnsi"/>
        </w:rPr>
        <w:t xml:space="preserve">his review examined </w:t>
      </w:r>
      <w:r>
        <w:rPr>
          <w:rFonts w:cstheme="minorHAnsi"/>
        </w:rPr>
        <w:t>18 MRFF grants</w:t>
      </w:r>
      <w:r w:rsidRPr="008257FF">
        <w:rPr>
          <w:rFonts w:cstheme="minorHAnsi"/>
        </w:rPr>
        <w:t xml:space="preserve"> </w:t>
      </w:r>
      <w:r>
        <w:rPr>
          <w:rFonts w:cstheme="minorHAnsi"/>
        </w:rPr>
        <w:t xml:space="preserve">related to mental health </w:t>
      </w:r>
      <w:r w:rsidRPr="008257FF">
        <w:rPr>
          <w:rFonts w:cstheme="minorHAnsi"/>
        </w:rPr>
        <w:t xml:space="preserve">made through the </w:t>
      </w:r>
      <w:r w:rsidRPr="00222BC0">
        <w:rPr>
          <w:rFonts w:cstheme="minorHAnsi"/>
        </w:rPr>
        <w:t xml:space="preserve">Million Minds Mental Health Research Mission </w:t>
      </w:r>
      <w:r w:rsidRPr="008257FF">
        <w:rPr>
          <w:rFonts w:cstheme="minorHAnsi"/>
        </w:rPr>
        <w:t>and other MRFF initiatives</w:t>
      </w:r>
      <w:r>
        <w:rPr>
          <w:rFonts w:cstheme="minorHAnsi"/>
        </w:rPr>
        <w:t>, amounting to</w:t>
      </w:r>
      <w:r w:rsidRPr="008257FF">
        <w:rPr>
          <w:rFonts w:cstheme="minorHAnsi"/>
        </w:rPr>
        <w:t xml:space="preserve"> </w:t>
      </w:r>
      <w:r>
        <w:rPr>
          <w:rFonts w:cstheme="minorHAnsi"/>
        </w:rPr>
        <w:t>almost $65 million</w:t>
      </w:r>
      <w:r w:rsidRPr="008257FF">
        <w:rPr>
          <w:rFonts w:cstheme="minorHAnsi"/>
        </w:rPr>
        <w:t xml:space="preserve">. </w:t>
      </w:r>
      <w:r>
        <w:rPr>
          <w:rFonts w:cstheme="minorHAnsi"/>
        </w:rPr>
        <w:t>It</w:t>
      </w:r>
      <w:r w:rsidRPr="008257FF">
        <w:rPr>
          <w:rFonts w:cstheme="minorHAnsi"/>
        </w:rPr>
        <w:t xml:space="preserve"> found:</w:t>
      </w:r>
    </w:p>
    <w:p w14:paraId="323D9BCD" w14:textId="77777777" w:rsidR="005B31AB" w:rsidRPr="008257FF" w:rsidRDefault="005B31AB" w:rsidP="007D4CEF">
      <w:pPr>
        <w:pStyle w:val="List"/>
      </w:pPr>
      <w:r>
        <w:t>s</w:t>
      </w:r>
      <w:r w:rsidRPr="006B651A">
        <w:t>trong</w:t>
      </w:r>
      <w:r w:rsidRPr="008257FF">
        <w:t xml:space="preserve"> alignment between the Mission investments to date and the Mission Roadmap in terms of addressing the origins of mental health, mental health of priority populations such as Aboriginal </w:t>
      </w:r>
      <w:r w:rsidRPr="008257FF">
        <w:lastRenderedPageBreak/>
        <w:t>and Torres Strait Islander peoples and children and youth, other critical and</w:t>
      </w:r>
      <w:r>
        <w:t> </w:t>
      </w:r>
      <w:r w:rsidRPr="008257FF">
        <w:t>emerging priorities, and research capacity and resources</w:t>
      </w:r>
      <w:r>
        <w:t>,</w:t>
      </w:r>
    </w:p>
    <w:p w14:paraId="008ED088" w14:textId="77777777" w:rsidR="005B31AB" w:rsidRPr="008257FF" w:rsidRDefault="005B31AB" w:rsidP="007D4CEF">
      <w:pPr>
        <w:pStyle w:val="List"/>
      </w:pPr>
      <w:r>
        <w:t>e</w:t>
      </w:r>
      <w:r w:rsidRPr="008257FF">
        <w:t>nablers for mental health research funded by the MRFF included strong leadership and governance, a collaborative approach to research, and genuine co-design with community</w:t>
      </w:r>
      <w:r>
        <w:t> </w:t>
      </w:r>
      <w:r w:rsidRPr="008257FF">
        <w:t>members and people with lived experience</w:t>
      </w:r>
      <w:r>
        <w:t>, and</w:t>
      </w:r>
    </w:p>
    <w:p w14:paraId="01E2A8B5" w14:textId="77777777" w:rsidR="005B31AB" w:rsidRDefault="005B31AB" w:rsidP="007D4CEF">
      <w:pPr>
        <w:pStyle w:val="List"/>
      </w:pPr>
      <w:r>
        <w:t>b</w:t>
      </w:r>
      <w:r w:rsidRPr="008257FF">
        <w:t xml:space="preserve">arriers included the COVID-19 pandemic, administrative burden particularly when involving multiple institutions, and persistent social stigma and limited mental health literacy in the population with implications </w:t>
      </w:r>
      <w:r>
        <w:t>for</w:t>
      </w:r>
      <w:r w:rsidRPr="008257FF">
        <w:t xml:space="preserve"> access to consumers and research progress.</w:t>
      </w:r>
    </w:p>
    <w:p w14:paraId="6F6EDD2D" w14:textId="77777777" w:rsidR="005B31AB" w:rsidRDefault="005B31AB" w:rsidP="005B31AB">
      <w:pPr>
        <w:rPr>
          <w:rFonts w:cstheme="minorHAnsi"/>
        </w:rPr>
      </w:pPr>
      <w:r>
        <w:rPr>
          <w:rFonts w:cstheme="minorHAnsi"/>
        </w:rPr>
        <w:t>In relation to the Measures of Success, the review found:</w:t>
      </w:r>
    </w:p>
    <w:p w14:paraId="0B28003F" w14:textId="77777777" w:rsidR="005B31AB" w:rsidRPr="006B651A" w:rsidRDefault="005B31AB" w:rsidP="007D4CEF">
      <w:pPr>
        <w:pStyle w:val="List"/>
      </w:pPr>
      <w:r w:rsidRPr="00FD7147">
        <w:t>Mission</w:t>
      </w:r>
      <w:r w:rsidRPr="006B651A">
        <w:t xml:space="preserve"> projects were making significant contributions to addressing unmet needs, not only by conducting research and clinical trials in areas that have been previously underfunded and by encouraging research collaborations, but also by shifting the emphasis from individualised academic models of research to ones that are grounded in practice, consume</w:t>
      </w:r>
      <w:r>
        <w:t>r</w:t>
      </w:r>
      <w:r w:rsidRPr="006B651A">
        <w:t> engagement and co-design</w:t>
      </w:r>
      <w:r>
        <w:t>,</w:t>
      </w:r>
    </w:p>
    <w:p w14:paraId="189E239E" w14:textId="77777777" w:rsidR="005B31AB" w:rsidRPr="001F32AF" w:rsidRDefault="005B31AB" w:rsidP="007D4CEF">
      <w:pPr>
        <w:pStyle w:val="List"/>
      </w:pPr>
      <w:r>
        <w:t>t</w:t>
      </w:r>
      <w:r w:rsidRPr="001F32AF">
        <w:t xml:space="preserve">he </w:t>
      </w:r>
      <w:r w:rsidRPr="00FD7147">
        <w:t>Mission</w:t>
      </w:r>
      <w:r w:rsidRPr="001F32AF">
        <w:t xml:space="preserve"> was providing more opportunities for Australians to access clinical trials. While the exact number of research participants and beneficiaries could not be quantified at that stage, many Mission and non-Mission MRFF projects are using innovative approaches to encourage research participation from the wider community and amongst population groups and in locations which have previously been under-serviced</w:t>
      </w:r>
      <w:r>
        <w:t>,</w:t>
      </w:r>
    </w:p>
    <w:p w14:paraId="05C916C1" w14:textId="77777777" w:rsidR="005B31AB" w:rsidRPr="001F32AF" w:rsidRDefault="005B31AB" w:rsidP="007D4CEF">
      <w:pPr>
        <w:pStyle w:val="List"/>
      </w:pPr>
      <w:r>
        <w:t>s</w:t>
      </w:r>
      <w:r w:rsidRPr="00FD7147">
        <w:t>everal</w:t>
      </w:r>
      <w:r w:rsidRPr="001F32AF">
        <w:t xml:space="preserve"> new technological solutions and interventions were being developed or trialled through the Mission. The projects are too early in their implementation to assess whether these technologies will be successfully embedded into health practice</w:t>
      </w:r>
      <w:r>
        <w:t>,</w:t>
      </w:r>
    </w:p>
    <w:p w14:paraId="0E7A9FFD" w14:textId="77777777" w:rsidR="005B31AB" w:rsidRPr="006B651A" w:rsidRDefault="005B31AB" w:rsidP="007D4CEF">
      <w:pPr>
        <w:pStyle w:val="List"/>
      </w:pPr>
      <w:r w:rsidRPr="001F32AF">
        <w:t>Mission projects were found to have contributed to building the capacity and capability of the</w:t>
      </w:r>
      <w:r w:rsidRPr="006B651A">
        <w:t xml:space="preserve"> research community to undertake translational research through: (1) the establishment of cross - disciplinary partnerships across institutions and sectors</w:t>
      </w:r>
      <w:r>
        <w:t>,</w:t>
      </w:r>
      <w:r w:rsidRPr="006B651A">
        <w:t xml:space="preserve"> and (2) developing the capabilities of individual researchers</w:t>
      </w:r>
      <w:r>
        <w:t>, and</w:t>
      </w:r>
    </w:p>
    <w:p w14:paraId="11587764" w14:textId="77777777" w:rsidR="005B31AB" w:rsidRPr="006B651A" w:rsidRDefault="005B31AB" w:rsidP="007D4CEF">
      <w:pPr>
        <w:pStyle w:val="List"/>
      </w:pPr>
      <w:r>
        <w:t>i</w:t>
      </w:r>
      <w:r w:rsidRPr="006B651A">
        <w:t>t was too early to assess whether Mission projects would support the adoption of new technologies, treatments and best practices, though there were early indications to suggest that the MRFF was supporting these goals. It was also too early to assess progress towards increasing the commercialisation of research outcomes.</w:t>
      </w:r>
    </w:p>
    <w:p w14:paraId="09E8FFF0" w14:textId="77777777" w:rsidR="005B31AB" w:rsidRDefault="005B31AB" w:rsidP="005B31AB">
      <w:pPr>
        <w:pStyle w:val="Heading3"/>
      </w:pPr>
      <w:r w:rsidRPr="00E5666B">
        <w:t xml:space="preserve">Evaluation of the MRFF Clinical Trials Activity </w:t>
      </w:r>
      <w:r>
        <w:t xml:space="preserve">Initiative </w:t>
      </w:r>
      <w:r w:rsidRPr="00E5666B">
        <w:t>2021-2023</w:t>
      </w:r>
      <w:r>
        <w:rPr>
          <w:rStyle w:val="FootnoteReference"/>
          <w:rFonts w:cstheme="minorHAnsi"/>
          <w:bCs/>
          <w:color w:val="0563C1" w:themeColor="hyperlink"/>
          <w:u w:val="single"/>
        </w:rPr>
        <w:footnoteReference w:id="39"/>
      </w:r>
    </w:p>
    <w:p w14:paraId="4AAF4E0A" w14:textId="77777777" w:rsidR="005B31AB" w:rsidRPr="008257FF" w:rsidRDefault="005B31AB" w:rsidP="005B31AB">
      <w:pPr>
        <w:rPr>
          <w:rFonts w:cstheme="minorHAnsi"/>
        </w:rPr>
      </w:pPr>
      <w:r>
        <w:rPr>
          <w:rFonts w:cstheme="minorHAnsi"/>
        </w:rPr>
        <w:t>T</w:t>
      </w:r>
      <w:r w:rsidRPr="008257FF">
        <w:rPr>
          <w:rFonts w:cstheme="minorHAnsi"/>
        </w:rPr>
        <w:t xml:space="preserve">his evaluation examined all existing </w:t>
      </w:r>
      <w:r>
        <w:rPr>
          <w:rFonts w:cstheme="minorHAnsi"/>
        </w:rPr>
        <w:t>MRFF grants for</w:t>
      </w:r>
      <w:r w:rsidRPr="008257FF">
        <w:rPr>
          <w:rFonts w:cstheme="minorHAnsi"/>
        </w:rPr>
        <w:t xml:space="preserve"> clinical trials</w:t>
      </w:r>
      <w:r>
        <w:rPr>
          <w:rFonts w:cstheme="minorHAnsi"/>
        </w:rPr>
        <w:t xml:space="preserve"> (a total of</w:t>
      </w:r>
      <w:r w:rsidRPr="008257FF">
        <w:rPr>
          <w:rFonts w:cstheme="minorHAnsi"/>
        </w:rPr>
        <w:t xml:space="preserve"> 167 clinical trials funded between 2017 and 2021 inclusive</w:t>
      </w:r>
      <w:r>
        <w:rPr>
          <w:rFonts w:cstheme="minorHAnsi"/>
        </w:rPr>
        <w:t>)</w:t>
      </w:r>
      <w:r w:rsidRPr="008257FF">
        <w:rPr>
          <w:rFonts w:cstheme="minorHAnsi"/>
        </w:rPr>
        <w:t xml:space="preserve">. </w:t>
      </w:r>
      <w:r>
        <w:rPr>
          <w:rFonts w:cstheme="minorHAnsi"/>
        </w:rPr>
        <w:t>It</w:t>
      </w:r>
      <w:r w:rsidRPr="008257FF">
        <w:rPr>
          <w:rFonts w:cstheme="minorHAnsi"/>
        </w:rPr>
        <w:t xml:space="preserve"> found that</w:t>
      </w:r>
      <w:r>
        <w:rPr>
          <w:rFonts w:cstheme="minorHAnsi"/>
        </w:rPr>
        <w:t xml:space="preserve"> </w:t>
      </w:r>
      <w:r w:rsidRPr="008257FF">
        <w:rPr>
          <w:rFonts w:cstheme="minorHAnsi"/>
        </w:rPr>
        <w:t>MRFF-funded trials are broadly comparable or better in design and quality to other national and international funders</w:t>
      </w:r>
      <w:r>
        <w:rPr>
          <w:rFonts w:cstheme="minorHAnsi"/>
        </w:rPr>
        <w:t>.</w:t>
      </w:r>
    </w:p>
    <w:p w14:paraId="4251A3C9" w14:textId="77777777" w:rsidR="005B31AB" w:rsidRDefault="005B31AB" w:rsidP="005B31AB">
      <w:pPr>
        <w:rPr>
          <w:rFonts w:cstheme="minorHAnsi"/>
        </w:rPr>
      </w:pPr>
      <w:r>
        <w:rPr>
          <w:rFonts w:cstheme="minorHAnsi"/>
        </w:rPr>
        <w:t>In relation to the Measures of Success, it found:</w:t>
      </w:r>
    </w:p>
    <w:p w14:paraId="51051ACE" w14:textId="77777777" w:rsidR="005B31AB" w:rsidRDefault="005B31AB" w:rsidP="007D4CEF">
      <w:pPr>
        <w:pStyle w:val="List"/>
      </w:pPr>
      <w:r>
        <w:t xml:space="preserve">the </w:t>
      </w:r>
      <w:r w:rsidRPr="008257FF">
        <w:t xml:space="preserve">MRFF has allowed increased research into unmet need as a dominant source of funding support for clinical trials in Australia, particularly in rare cancers which may not be fundable via other avenues. It has also allowed more Australians access to clinical trials, and significant </w:t>
      </w:r>
      <w:r w:rsidRPr="008257FF">
        <w:lastRenderedPageBreak/>
        <w:t>involvement of key stakeholders such as consumers and professional bodies in trials, which is recognised to enhance research translation</w:t>
      </w:r>
      <w:r>
        <w:t>,</w:t>
      </w:r>
    </w:p>
    <w:p w14:paraId="4BE220EF" w14:textId="77777777" w:rsidR="005B31AB" w:rsidRPr="006B651A" w:rsidRDefault="005B31AB" w:rsidP="007D4CEF">
      <w:pPr>
        <w:pStyle w:val="List"/>
      </w:pPr>
      <w:r>
        <w:t>t</w:t>
      </w:r>
      <w:r w:rsidRPr="006B651A">
        <w:t xml:space="preserve">he MRFF was promoting community engagement through the involvement of consumers in grant opportunity guidelines and assessment processes, and there is further evidence of community engagement through the co-funding of projects by health services, pharmaceutical and device </w:t>
      </w:r>
      <w:r w:rsidRPr="00FD7147">
        <w:t>companies</w:t>
      </w:r>
      <w:r w:rsidRPr="006B651A">
        <w:t>, and other research funders</w:t>
      </w:r>
      <w:r>
        <w:t>,</w:t>
      </w:r>
    </w:p>
    <w:p w14:paraId="3D165155" w14:textId="77777777" w:rsidR="005B31AB" w:rsidRPr="00C70233" w:rsidRDefault="005B31AB" w:rsidP="007D4CEF">
      <w:pPr>
        <w:pStyle w:val="List"/>
      </w:pPr>
      <w:r>
        <w:t>i</w:t>
      </w:r>
      <w:r w:rsidRPr="009E46CC">
        <w:t>n relation to these Measures of Success: ‘</w:t>
      </w:r>
      <w:r w:rsidRPr="00CB7136">
        <w:rPr>
          <w:i/>
        </w:rPr>
        <w:t>New health technologies and interventions are embedded in health practice</w:t>
      </w:r>
      <w:r w:rsidRPr="009E46CC">
        <w:t>’, ‘</w:t>
      </w:r>
      <w:r w:rsidRPr="00CB7136">
        <w:rPr>
          <w:i/>
        </w:rPr>
        <w:t>Health professionals adopt best practices faster</w:t>
      </w:r>
      <w:r w:rsidRPr="009E46CC">
        <w:t>’ and ‘</w:t>
      </w:r>
      <w:r w:rsidRPr="00CB7136">
        <w:rPr>
          <w:i/>
        </w:rPr>
        <w:t>Increased commercialisation of health research outcomes</w:t>
      </w:r>
      <w:r w:rsidRPr="009E46CC">
        <w:t>,’ the evaluation found that as clinical trials typically have a long lead-time until results are available, and few MRFF trials have completed, assessment of these Measures was difficult at the time the evaluation was</w:t>
      </w:r>
      <w:r>
        <w:t> </w:t>
      </w:r>
      <w:r w:rsidRPr="009E46CC">
        <w:t>completed</w:t>
      </w:r>
      <w:r>
        <w:t>, and</w:t>
      </w:r>
    </w:p>
    <w:p w14:paraId="1C3B01EC" w14:textId="77777777" w:rsidR="005B31AB" w:rsidRDefault="005B31AB" w:rsidP="007D4CEF">
      <w:pPr>
        <w:pStyle w:val="List"/>
      </w:pPr>
      <w:r>
        <w:t>i</w:t>
      </w:r>
      <w:r w:rsidRPr="008257FF">
        <w:t xml:space="preserve">mprovement opportunities </w:t>
      </w:r>
      <w:r>
        <w:t xml:space="preserve">existed, </w:t>
      </w:r>
      <w:r w:rsidRPr="008257FF">
        <w:t>includ</w:t>
      </w:r>
      <w:r>
        <w:t>ing</w:t>
      </w:r>
      <w:r w:rsidRPr="008257FF">
        <w:t xml:space="preserve"> encouraging more efficient or innovative trial designs, exploring specific priority setting methodologies, and encouraging trial registration and protocol availability</w:t>
      </w:r>
      <w:r>
        <w:t xml:space="preserve">. Supported by these findings, </w:t>
      </w:r>
      <w:r w:rsidRPr="008257FF">
        <w:t xml:space="preserve">the Department </w:t>
      </w:r>
      <w:r>
        <w:t xml:space="preserve">of Health and Aged Care launched the 2023 Innovative Trials grant opportunity under the MRFF National Critical Research Infrastructure initiative to </w:t>
      </w:r>
      <w:r w:rsidRPr="00D0224F">
        <w:t xml:space="preserve">promote </w:t>
      </w:r>
      <w:r>
        <w:t xml:space="preserve">the </w:t>
      </w:r>
      <w:r w:rsidRPr="00D0224F">
        <w:t>development and implementation of 'adaptive platform' and 'registry based' clinical trial methodologies in areas of unmet medical need</w:t>
      </w:r>
      <w:r w:rsidRPr="008257FF">
        <w:t>.</w:t>
      </w:r>
    </w:p>
    <w:p w14:paraId="1EC57E9F" w14:textId="77777777" w:rsidR="005B31AB" w:rsidRDefault="005B31AB" w:rsidP="005B31AB">
      <w:pPr>
        <w:pStyle w:val="Heading3"/>
      </w:pPr>
      <w:r w:rsidRPr="00E5666B">
        <w:t>Review of the MRFF Australian Brain Cancer Mission 2021-2023</w:t>
      </w:r>
      <w:r>
        <w:rPr>
          <w:rStyle w:val="FootnoteReference"/>
          <w:rFonts w:cstheme="minorHAnsi"/>
          <w:bCs/>
          <w:color w:val="0563C1" w:themeColor="hyperlink"/>
          <w:u w:val="single"/>
        </w:rPr>
        <w:footnoteReference w:id="40"/>
      </w:r>
    </w:p>
    <w:p w14:paraId="199762F8" w14:textId="0DBC3113" w:rsidR="005B31AB" w:rsidRPr="008257FF" w:rsidRDefault="005B31AB" w:rsidP="005B31AB">
      <w:pPr>
        <w:rPr>
          <w:rFonts w:cstheme="minorHAnsi"/>
        </w:rPr>
      </w:pPr>
      <w:r>
        <w:rPr>
          <w:rFonts w:cstheme="minorHAnsi"/>
        </w:rPr>
        <w:t>T</w:t>
      </w:r>
      <w:r w:rsidRPr="008257FF">
        <w:rPr>
          <w:rFonts w:cstheme="minorHAnsi"/>
        </w:rPr>
        <w:t xml:space="preserve">his review examined </w:t>
      </w:r>
      <w:r>
        <w:rPr>
          <w:rFonts w:cstheme="minorHAnsi"/>
        </w:rPr>
        <w:t xml:space="preserve">19 </w:t>
      </w:r>
      <w:r w:rsidRPr="008257FF">
        <w:rPr>
          <w:rFonts w:cstheme="minorHAnsi"/>
        </w:rPr>
        <w:t xml:space="preserve">MRFF </w:t>
      </w:r>
      <w:r>
        <w:rPr>
          <w:rFonts w:cstheme="minorHAnsi"/>
        </w:rPr>
        <w:t>grants for</w:t>
      </w:r>
      <w:r w:rsidRPr="008257FF">
        <w:rPr>
          <w:rFonts w:cstheme="minorHAnsi"/>
        </w:rPr>
        <w:t xml:space="preserve"> brain cancer research through the </w:t>
      </w:r>
      <w:r w:rsidRPr="00827ACA">
        <w:rPr>
          <w:rFonts w:cstheme="minorHAnsi"/>
        </w:rPr>
        <w:t>Australian Brain Cancer Mission</w:t>
      </w:r>
      <w:r>
        <w:rPr>
          <w:rFonts w:cstheme="minorHAnsi"/>
        </w:rPr>
        <w:t xml:space="preserve"> (ABCM) plus</w:t>
      </w:r>
      <w:r w:rsidRPr="008257FF">
        <w:rPr>
          <w:rFonts w:cstheme="minorHAnsi"/>
        </w:rPr>
        <w:t xml:space="preserve"> other MRFF initiatives and partner funding, representing $30.6</w:t>
      </w:r>
      <w:r>
        <w:rPr>
          <w:rFonts w:cstheme="minorHAnsi"/>
        </w:rPr>
        <w:t xml:space="preserve"> million</w:t>
      </w:r>
      <w:r w:rsidRPr="008257FF">
        <w:rPr>
          <w:rFonts w:cstheme="minorHAnsi"/>
        </w:rPr>
        <w:t xml:space="preserve"> in funding. The report found that:</w:t>
      </w:r>
    </w:p>
    <w:p w14:paraId="5FBC8953" w14:textId="77777777" w:rsidR="005B31AB" w:rsidRPr="008257FF" w:rsidRDefault="005B31AB" w:rsidP="007D4CEF">
      <w:pPr>
        <w:pStyle w:val="List"/>
      </w:pPr>
      <w:r w:rsidRPr="000241DA">
        <w:t>t</w:t>
      </w:r>
      <w:r w:rsidRPr="008257FF">
        <w:t xml:space="preserve">he </w:t>
      </w:r>
      <w:r>
        <w:t xml:space="preserve">ABCM </w:t>
      </w:r>
      <w:r w:rsidRPr="008257FF">
        <w:t>Mission has fostered greater investment in brain cancer among funders</w:t>
      </w:r>
      <w:r>
        <w:t xml:space="preserve"> and provided increased financial certainty to support further research</w:t>
      </w:r>
      <w:r w:rsidRPr="008257FF">
        <w:t xml:space="preserve">, </w:t>
      </w:r>
      <w:r>
        <w:t>including</w:t>
      </w:r>
      <w:r w:rsidRPr="008257FF">
        <w:t xml:space="preserve"> encouraging more cancer researchers to move into the brain cancer field</w:t>
      </w:r>
      <w:r>
        <w:t>,</w:t>
      </w:r>
    </w:p>
    <w:p w14:paraId="5EED2F0F" w14:textId="77777777" w:rsidR="005B31AB" w:rsidRPr="008A1332" w:rsidRDefault="005B31AB" w:rsidP="007D4CEF">
      <w:pPr>
        <w:pStyle w:val="List"/>
      </w:pPr>
      <w:r>
        <w:t>t</w:t>
      </w:r>
      <w:r w:rsidRPr="008257FF">
        <w:t xml:space="preserve">he </w:t>
      </w:r>
      <w:r>
        <w:t xml:space="preserve">ABCM </w:t>
      </w:r>
      <w:r w:rsidRPr="008257FF">
        <w:t>Mission also built capacity for clinical trials and translational research, and addressed a gap in survivorship research</w:t>
      </w:r>
      <w:r>
        <w:t>, and</w:t>
      </w:r>
    </w:p>
    <w:p w14:paraId="4C334098" w14:textId="77777777" w:rsidR="005B31AB" w:rsidRDefault="005B31AB" w:rsidP="007D4CEF">
      <w:pPr>
        <w:pStyle w:val="List"/>
      </w:pPr>
      <w:r>
        <w:t>t</w:t>
      </w:r>
      <w:r w:rsidRPr="008257FF">
        <w:t>here is a need for better coordination and communication with co-</w:t>
      </w:r>
      <w:proofErr w:type="spellStart"/>
      <w:r w:rsidRPr="008257FF">
        <w:t>funders</w:t>
      </w:r>
      <w:proofErr w:type="spellEnd"/>
      <w:r w:rsidRPr="008257FF">
        <w:t xml:space="preserve"> of the </w:t>
      </w:r>
      <w:r>
        <w:t xml:space="preserve">ABCM </w:t>
      </w:r>
      <w:r w:rsidRPr="008257FF">
        <w:t>Mission, more strategic engagement with consumers and industry, and use of innovative grant models to: provide support for basic/discovery research, early-to-mid career researchers, as well as high risk research that go</w:t>
      </w:r>
      <w:r>
        <w:t>es</w:t>
      </w:r>
      <w:r w:rsidRPr="008257FF">
        <w:t xml:space="preserve"> beyond incremental advances. </w:t>
      </w:r>
    </w:p>
    <w:p w14:paraId="6541E181" w14:textId="77777777" w:rsidR="005B31AB" w:rsidRDefault="005B31AB" w:rsidP="005B31AB">
      <w:pPr>
        <w:rPr>
          <w:rFonts w:cstheme="minorHAnsi"/>
        </w:rPr>
      </w:pPr>
      <w:r>
        <w:rPr>
          <w:rFonts w:cstheme="minorHAnsi"/>
        </w:rPr>
        <w:t>The Measures of Success, the review found:</w:t>
      </w:r>
    </w:p>
    <w:p w14:paraId="2B750D59" w14:textId="77777777" w:rsidR="005B31AB" w:rsidRPr="00C70233" w:rsidRDefault="005B31AB" w:rsidP="00141CB5">
      <w:pPr>
        <w:pStyle w:val="List"/>
      </w:pPr>
      <w:r>
        <w:t>t</w:t>
      </w:r>
      <w:r w:rsidRPr="00C70233">
        <w:t xml:space="preserve">he </w:t>
      </w:r>
      <w:r>
        <w:t xml:space="preserve">ABCM </w:t>
      </w:r>
      <w:r w:rsidRPr="00C70233">
        <w:t>Mission’s key areas of impact in addressing unmet need include increasing the amount of funding for Australian brain cancer research, and investing in survivorship to improve patient quality of life</w:t>
      </w:r>
      <w:r>
        <w:t>,</w:t>
      </w:r>
      <w:r w:rsidRPr="00C70233">
        <w:t xml:space="preserve"> </w:t>
      </w:r>
    </w:p>
    <w:p w14:paraId="448DCFFF" w14:textId="77777777" w:rsidR="005B31AB" w:rsidRPr="00B7695B" w:rsidRDefault="005B31AB" w:rsidP="00141CB5">
      <w:pPr>
        <w:pStyle w:val="List"/>
      </w:pPr>
      <w:r>
        <w:t>t</w:t>
      </w:r>
      <w:r w:rsidRPr="00C70233">
        <w:t xml:space="preserve">he </w:t>
      </w:r>
      <w:r>
        <w:t xml:space="preserve">ABCM </w:t>
      </w:r>
      <w:r w:rsidRPr="00C70233">
        <w:t>Mission has provided more Australians with access to clinical trials and has built additional capacity that will lead to more clinical trials in the future</w:t>
      </w:r>
      <w:r>
        <w:t>,</w:t>
      </w:r>
    </w:p>
    <w:p w14:paraId="0F713A1D" w14:textId="77777777" w:rsidR="005B31AB" w:rsidRPr="000F1FDE" w:rsidRDefault="005B31AB" w:rsidP="00141CB5">
      <w:pPr>
        <w:pStyle w:val="List"/>
      </w:pPr>
      <w:r>
        <w:lastRenderedPageBreak/>
        <w:t>i</w:t>
      </w:r>
      <w:r w:rsidRPr="000F1FDE">
        <w:t>t is too early to be definitive about what impact MRFF brain cancer research grants have</w:t>
      </w:r>
      <w:r>
        <w:t xml:space="preserve"> achieved</w:t>
      </w:r>
      <w:r w:rsidRPr="000F1FDE">
        <w:t>, or will, achieve regarding new health technologies and new health interventions, although the prospects for both are positive</w:t>
      </w:r>
      <w:r>
        <w:t>,</w:t>
      </w:r>
    </w:p>
    <w:p w14:paraId="05CF2129" w14:textId="77777777" w:rsidR="005B31AB" w:rsidRPr="000F1FDE" w:rsidRDefault="005B31AB" w:rsidP="00141CB5">
      <w:pPr>
        <w:pStyle w:val="List"/>
      </w:pPr>
      <w:r>
        <w:t>t</w:t>
      </w:r>
      <w:r w:rsidRPr="000F1FDE">
        <w:t xml:space="preserve">he </w:t>
      </w:r>
      <w:r>
        <w:t xml:space="preserve">ABCM </w:t>
      </w:r>
      <w:r w:rsidRPr="000F1FDE">
        <w:t>Mission has already had a positive impact on building capacity for translational research in terms of attracting researchers into the brain cancer field, and funding shared infrastructure</w:t>
      </w:r>
      <w:r>
        <w:t>,</w:t>
      </w:r>
    </w:p>
    <w:p w14:paraId="7637E554" w14:textId="77777777" w:rsidR="005B31AB" w:rsidRPr="008C17FD" w:rsidRDefault="005B31AB" w:rsidP="00141CB5">
      <w:pPr>
        <w:pStyle w:val="List"/>
      </w:pPr>
      <w:r w:rsidRPr="008C17FD">
        <w:t>MRFF brain cancer research grantees expect that interventions developed through research grants will contribute to health professionals adopting best practices faster than they otherwise would, although there are outstanding concerns regarding the standardisation of care, particularly for adult patients</w:t>
      </w:r>
      <w:r>
        <w:t>,</w:t>
      </w:r>
    </w:p>
    <w:p w14:paraId="5965B3A3" w14:textId="77777777" w:rsidR="005B31AB" w:rsidRPr="008C17FD" w:rsidRDefault="005B31AB" w:rsidP="00141CB5">
      <w:pPr>
        <w:pStyle w:val="List"/>
      </w:pPr>
      <w:r>
        <w:t>t</w:t>
      </w:r>
      <w:r w:rsidRPr="008C17FD">
        <w:t>he</w:t>
      </w:r>
      <w:r>
        <w:t xml:space="preserve"> ABCM</w:t>
      </w:r>
      <w:r w:rsidRPr="008C17FD">
        <w:t xml:space="preserve"> Mission has made some progress in community engagement by facilitating a move towards more consumer involvement in brain cancer research</w:t>
      </w:r>
      <w:r>
        <w:t>, and</w:t>
      </w:r>
    </w:p>
    <w:p w14:paraId="2DA95240" w14:textId="77777777" w:rsidR="005B31AB" w:rsidRPr="008C17FD" w:rsidRDefault="005B31AB" w:rsidP="00141CB5">
      <w:pPr>
        <w:pStyle w:val="List"/>
      </w:pPr>
      <w:r>
        <w:t>t</w:t>
      </w:r>
      <w:r w:rsidRPr="008C17FD">
        <w:t xml:space="preserve">he </w:t>
      </w:r>
      <w:r>
        <w:t xml:space="preserve">ABCM </w:t>
      </w:r>
      <w:r w:rsidRPr="008C17FD">
        <w:t>Mission is not yet believed to have had an impact on commercialisation, with minimal impact on encouraging industry to collaborate, engage, and support the Australian brain cancer research sector, or otherwise contribute to other aspects of the commercialisation environment.</w:t>
      </w:r>
    </w:p>
    <w:p w14:paraId="53C53984" w14:textId="77777777" w:rsidR="005B31AB" w:rsidRPr="009A5CAB" w:rsidRDefault="005B31AB" w:rsidP="005B31AB">
      <w:pPr>
        <w:pStyle w:val="Heading3"/>
      </w:pPr>
      <w:r w:rsidRPr="009A5CAB">
        <w:t>Review of the Genomics Health Futures Mission 2023-2024</w:t>
      </w:r>
      <w:r>
        <w:rPr>
          <w:rStyle w:val="FootnoteReference"/>
        </w:rPr>
        <w:footnoteReference w:id="41"/>
      </w:r>
    </w:p>
    <w:p w14:paraId="503C55BE" w14:textId="77777777" w:rsidR="005B31AB" w:rsidRPr="00A331D5" w:rsidRDefault="005B31AB" w:rsidP="005B31AB">
      <w:pPr>
        <w:rPr>
          <w:rFonts w:ascii="Calibri" w:eastAsia="Calibri" w:hAnsi="Calibri" w:cs="Calibri"/>
          <w:kern w:val="0"/>
        </w:rPr>
      </w:pPr>
      <w:r w:rsidRPr="00A331D5">
        <w:rPr>
          <w:rFonts w:ascii="Calibri" w:eastAsia="Calibri" w:hAnsi="Calibri" w:cs="Calibri"/>
          <w:kern w:val="0"/>
        </w:rPr>
        <w:t xml:space="preserve">Key findings of the </w:t>
      </w:r>
      <w:r>
        <w:rPr>
          <w:rFonts w:ascii="Calibri" w:eastAsia="Calibri" w:hAnsi="Calibri" w:cs="Calibri"/>
          <w:kern w:val="0"/>
        </w:rPr>
        <w:t>Genomics Health Futures Mission (</w:t>
      </w:r>
      <w:r w:rsidRPr="00A331D5">
        <w:rPr>
          <w:rFonts w:ascii="Calibri" w:eastAsia="Calibri" w:hAnsi="Calibri" w:cs="Calibri"/>
          <w:kern w:val="0"/>
        </w:rPr>
        <w:t>GHFM</w:t>
      </w:r>
      <w:r>
        <w:rPr>
          <w:rFonts w:ascii="Calibri" w:eastAsia="Calibri" w:hAnsi="Calibri" w:cs="Calibri"/>
          <w:kern w:val="0"/>
        </w:rPr>
        <w:t>)</w:t>
      </w:r>
      <w:r w:rsidRPr="00A331D5">
        <w:rPr>
          <w:rFonts w:ascii="Calibri" w:eastAsia="Calibri" w:hAnsi="Calibri" w:cs="Calibri"/>
          <w:kern w:val="0"/>
        </w:rPr>
        <w:t xml:space="preserve"> Review include:</w:t>
      </w:r>
    </w:p>
    <w:p w14:paraId="35B23D3B" w14:textId="77777777" w:rsidR="005B31AB" w:rsidRPr="00A331D5" w:rsidRDefault="005B31AB" w:rsidP="00141CB5">
      <w:pPr>
        <w:pStyle w:val="List"/>
      </w:pPr>
      <w:r>
        <w:rPr>
          <w:rFonts w:cstheme="minorHAnsi"/>
        </w:rPr>
        <w:t>t</w:t>
      </w:r>
      <w:r w:rsidRPr="00DB62E1">
        <w:rPr>
          <w:rFonts w:cstheme="minorHAnsi"/>
        </w:rPr>
        <w:t>he</w:t>
      </w:r>
      <w:r w:rsidRPr="00A331D5">
        <w:t xml:space="preserve"> MRFF has made a significant contribution to the Australian genomics research landscape, being </w:t>
      </w:r>
      <w:r w:rsidRPr="00FD7147">
        <w:rPr>
          <w:rFonts w:cstheme="minorHAnsi"/>
        </w:rPr>
        <w:t>the</w:t>
      </w:r>
      <w:r w:rsidRPr="00A331D5">
        <w:t xml:space="preserve"> second largest funder of genomics research. Greatest progress has been made in the priority area of genomic diagnoses, prevention and early interventions, though much of this research is yet to be commercialised or implemented in the health system</w:t>
      </w:r>
      <w:r>
        <w:t>,</w:t>
      </w:r>
    </w:p>
    <w:p w14:paraId="11E3C6CB" w14:textId="77777777" w:rsidR="005B31AB" w:rsidRPr="00A331D5" w:rsidRDefault="005B31AB" w:rsidP="00141CB5">
      <w:pPr>
        <w:pStyle w:val="List"/>
      </w:pPr>
      <w:r>
        <w:t>t</w:t>
      </w:r>
      <w:r w:rsidRPr="00A331D5">
        <w:t xml:space="preserve">he </w:t>
      </w:r>
      <w:r w:rsidRPr="00FD7147">
        <w:rPr>
          <w:rFonts w:cstheme="minorHAnsi"/>
        </w:rPr>
        <w:t>GHFM</w:t>
      </w:r>
      <w:r w:rsidRPr="00A331D5">
        <w:t xml:space="preserve"> is unique nationally in its funding of translational research for genetics and genomics, particularly to improve diagnosis of rare disease and cancer</w:t>
      </w:r>
      <w:r>
        <w:t>,</w:t>
      </w:r>
    </w:p>
    <w:p w14:paraId="6A4E22B9" w14:textId="77777777" w:rsidR="005B31AB" w:rsidRDefault="005B31AB" w:rsidP="00141CB5">
      <w:pPr>
        <w:pStyle w:val="List"/>
      </w:pPr>
      <w:r>
        <w:rPr>
          <w:rFonts w:cstheme="minorHAnsi"/>
        </w:rPr>
        <w:t>f</w:t>
      </w:r>
      <w:r w:rsidRPr="00DB62E1">
        <w:rPr>
          <w:rFonts w:cstheme="minorHAnsi"/>
        </w:rPr>
        <w:t>unding</w:t>
      </w:r>
      <w:r w:rsidRPr="00A331D5">
        <w:t xml:space="preserve"> has bolstered a consistent pipeline of activity, generated employment opportunities, </w:t>
      </w:r>
      <w:r w:rsidRPr="00FD7147">
        <w:rPr>
          <w:rFonts w:cstheme="minorHAnsi"/>
        </w:rPr>
        <w:t>facilitated</w:t>
      </w:r>
      <w:r w:rsidRPr="00A331D5">
        <w:t xml:space="preserve"> collaboration between national networks and generated non-government investment in genomics</w:t>
      </w:r>
      <w:r>
        <w:t>, and</w:t>
      </w:r>
    </w:p>
    <w:p w14:paraId="52971043" w14:textId="77777777" w:rsidR="005B31AB" w:rsidRDefault="005B31AB" w:rsidP="00141CB5">
      <w:pPr>
        <w:pStyle w:val="List"/>
      </w:pPr>
      <w:r>
        <w:t xml:space="preserve">in </w:t>
      </w:r>
      <w:r w:rsidRPr="00DB62E1">
        <w:rPr>
          <w:rFonts w:cstheme="minorHAnsi"/>
        </w:rPr>
        <w:t>relation</w:t>
      </w:r>
      <w:r>
        <w:t xml:space="preserve"> to the MRFF Measures of Success, the GHFM has increased the focus of research on areas of unmet need, increased the number of Australians accessing clinical trials, and increased the research community’s capacity and capability to undertake translational research. Less progress is being made in Measures of Success generally associated with later-stage translation activities and health system implementation.</w:t>
      </w:r>
    </w:p>
    <w:p w14:paraId="0857BA40" w14:textId="77777777" w:rsidR="005B31AB" w:rsidRDefault="005B31AB" w:rsidP="005B31AB">
      <w:pPr>
        <w:pStyle w:val="Heading3"/>
      </w:pPr>
      <w:r w:rsidRPr="00727F11">
        <w:t>The MRFF Report on the Coronavirus Research Response</w:t>
      </w:r>
      <w:r w:rsidRPr="00727F11">
        <w:rPr>
          <w:rStyle w:val="FootnoteReference"/>
          <w:rFonts w:cstheme="minorHAnsi"/>
          <w:color w:val="0563C1" w:themeColor="hyperlink"/>
        </w:rPr>
        <w:footnoteReference w:id="42"/>
      </w:r>
      <w:r>
        <w:t xml:space="preserve"> (May 2023)</w:t>
      </w:r>
    </w:p>
    <w:p w14:paraId="2890EFE9" w14:textId="77777777" w:rsidR="005B31AB" w:rsidRDefault="005B31AB" w:rsidP="005B31AB">
      <w:pPr>
        <w:rPr>
          <w:rFonts w:cstheme="minorHAnsi"/>
        </w:rPr>
      </w:pPr>
      <w:r>
        <w:rPr>
          <w:rFonts w:cstheme="minorHAnsi"/>
        </w:rPr>
        <w:t xml:space="preserve">This report found that the MRFF’s Coronavirus research response was able to </w:t>
      </w:r>
      <w:r w:rsidRPr="0037328F">
        <w:rPr>
          <w:rFonts w:cstheme="minorHAnsi"/>
        </w:rPr>
        <w:t>provide timely and responsive funding to the health and medical research sector for COVID-19 research and leveraged the significant expertise of Australian researchers in responding to the pandemic. To date, $130</w:t>
      </w:r>
      <w:r>
        <w:rPr>
          <w:rFonts w:cstheme="minorHAnsi"/>
        </w:rPr>
        <w:t> </w:t>
      </w:r>
      <w:r w:rsidRPr="0037328F">
        <w:rPr>
          <w:rFonts w:cstheme="minorHAnsi"/>
        </w:rPr>
        <w:t xml:space="preserve">million </w:t>
      </w:r>
      <w:r>
        <w:rPr>
          <w:rFonts w:cstheme="minorHAnsi"/>
        </w:rPr>
        <w:t xml:space="preserve">in grants </w:t>
      </w:r>
      <w:r w:rsidRPr="0037328F">
        <w:rPr>
          <w:rFonts w:cstheme="minorHAnsi"/>
        </w:rPr>
        <w:t xml:space="preserve">has been </w:t>
      </w:r>
      <w:r>
        <w:rPr>
          <w:rFonts w:cstheme="minorHAnsi"/>
        </w:rPr>
        <w:t>provided through</w:t>
      </w:r>
      <w:r w:rsidRPr="0037328F">
        <w:rPr>
          <w:rFonts w:cstheme="minorHAnsi"/>
        </w:rPr>
        <w:t xml:space="preserve"> 80 projects across 24 grant opportunities/rounds. </w:t>
      </w:r>
      <w:r w:rsidRPr="0037328F">
        <w:rPr>
          <w:rFonts w:cstheme="minorHAnsi"/>
        </w:rPr>
        <w:lastRenderedPageBreak/>
        <w:t>These grant opportunities cover a variety of themes, including vaccine development, antiviral treatments, public health and prevention.</w:t>
      </w:r>
    </w:p>
    <w:p w14:paraId="5B507C22" w14:textId="77777777" w:rsidR="005B31AB" w:rsidRPr="0037328F" w:rsidRDefault="005B31AB" w:rsidP="005B31AB">
      <w:pPr>
        <w:rPr>
          <w:rFonts w:cstheme="minorHAnsi"/>
        </w:rPr>
      </w:pPr>
      <w:r w:rsidRPr="0037328F">
        <w:rPr>
          <w:rFonts w:cstheme="minorHAnsi"/>
        </w:rPr>
        <w:t>It is too early to draw meaningful conclusions on longer-term impacts, but there are strong examples of MRFF-funded projects:</w:t>
      </w:r>
    </w:p>
    <w:p w14:paraId="39B710EC" w14:textId="77777777" w:rsidR="005B31AB" w:rsidRPr="0037328F" w:rsidRDefault="005B31AB" w:rsidP="00141CB5">
      <w:pPr>
        <w:pStyle w:val="List"/>
      </w:pPr>
      <w:r w:rsidRPr="0037328F">
        <w:t>contributing to vaccine development in Australia</w:t>
      </w:r>
      <w:r>
        <w:t xml:space="preserve"> (‘</w:t>
      </w:r>
      <w:r w:rsidRPr="00955A97">
        <w:rPr>
          <w:i/>
        </w:rPr>
        <w:t>The community adopts new technologies’</w:t>
      </w:r>
      <w:r>
        <w:t>),</w:t>
      </w:r>
    </w:p>
    <w:p w14:paraId="3F110F24" w14:textId="77777777" w:rsidR="005B31AB" w:rsidRPr="0037328F" w:rsidRDefault="005B31AB" w:rsidP="00141CB5">
      <w:pPr>
        <w:pStyle w:val="List"/>
      </w:pPr>
      <w:r w:rsidRPr="0037328F">
        <w:t>developing novel treatments</w:t>
      </w:r>
      <w:r>
        <w:t xml:space="preserve"> (‘</w:t>
      </w:r>
      <w:r w:rsidRPr="00955A97">
        <w:rPr>
          <w:i/>
        </w:rPr>
        <w:t>New health interventions to be embedded in health practice’, ‘Increased commercialisation of health research outcomes’</w:t>
      </w:r>
      <w:r>
        <w:t>),</w:t>
      </w:r>
    </w:p>
    <w:p w14:paraId="0C7EB704" w14:textId="77777777" w:rsidR="005B31AB" w:rsidRPr="0037328F" w:rsidRDefault="005B31AB" w:rsidP="00141CB5">
      <w:pPr>
        <w:pStyle w:val="List"/>
      </w:pPr>
      <w:r w:rsidRPr="0037328F">
        <w:t xml:space="preserve">informing </w:t>
      </w:r>
      <w:r>
        <w:t xml:space="preserve">‘living’ </w:t>
      </w:r>
      <w:r w:rsidRPr="0037328F">
        <w:t>treatment guidelines</w:t>
      </w:r>
      <w:r>
        <w:t xml:space="preserve"> (‘</w:t>
      </w:r>
      <w:r w:rsidRPr="00955A97">
        <w:t>Health professionals adopt best practices faster’</w:t>
      </w:r>
      <w:r>
        <w:t>),</w:t>
      </w:r>
    </w:p>
    <w:p w14:paraId="743FCD3F" w14:textId="77777777" w:rsidR="005B31AB" w:rsidRPr="0037328F" w:rsidRDefault="005B31AB" w:rsidP="00141CB5">
      <w:pPr>
        <w:pStyle w:val="List"/>
      </w:pPr>
      <w:r w:rsidRPr="0037328F">
        <w:t>gaining knowledge that has led, or may lead, to new research</w:t>
      </w:r>
      <w:r>
        <w:t xml:space="preserve"> (‘</w:t>
      </w:r>
      <w:r w:rsidRPr="00EB1276">
        <w:rPr>
          <w:i/>
        </w:rPr>
        <w:t>Increased focus on unmet need’</w:t>
      </w:r>
      <w:r>
        <w:t>), and</w:t>
      </w:r>
    </w:p>
    <w:p w14:paraId="4EB1DDF3" w14:textId="77777777" w:rsidR="005B31AB" w:rsidRPr="0037328F" w:rsidRDefault="005B31AB" w:rsidP="00141CB5">
      <w:pPr>
        <w:pStyle w:val="List"/>
      </w:pPr>
      <w:r w:rsidRPr="0037328F">
        <w:t>promoting collaborative and innovat</w:t>
      </w:r>
      <w:r>
        <w:t>iv</w:t>
      </w:r>
      <w:r w:rsidRPr="0037328F">
        <w:t>e trial designs</w:t>
      </w:r>
      <w:r>
        <w:t xml:space="preserve"> (‘</w:t>
      </w:r>
      <w:r w:rsidRPr="00EB1276">
        <w:t>More Australians have access to clinical trials’, ‘Research community have greater capacity and capability to undertake translation research</w:t>
      </w:r>
      <w:r w:rsidRPr="00955A97">
        <w:t>’</w:t>
      </w:r>
      <w:r>
        <w:t>).</w:t>
      </w:r>
    </w:p>
    <w:p w14:paraId="189C9B0E" w14:textId="07B07331" w:rsidR="005B31AB" w:rsidRDefault="005B31AB" w:rsidP="005B31AB">
      <w:pPr>
        <w:pStyle w:val="Heading3"/>
        <w:spacing w:after="120"/>
      </w:pPr>
      <w:r w:rsidRPr="00727F11">
        <w:t>The MRFF Report on Funding for Rural, Regional and Remote Health Research</w:t>
      </w:r>
      <w:r>
        <w:rPr>
          <w:rStyle w:val="FootnoteReference"/>
          <w:rFonts w:cstheme="minorHAnsi"/>
          <w:color w:val="0563C1" w:themeColor="hyperlink"/>
          <w:u w:val="single"/>
        </w:rPr>
        <w:footnoteReference w:id="43"/>
      </w:r>
      <w:r>
        <w:t xml:space="preserve"> (July 2023)</w:t>
      </w:r>
    </w:p>
    <w:p w14:paraId="4AF53184" w14:textId="77777777" w:rsidR="005B31AB" w:rsidRDefault="005B31AB" w:rsidP="005B31AB">
      <w:pPr>
        <w:rPr>
          <w:rFonts w:cstheme="minorHAnsi"/>
        </w:rPr>
      </w:pPr>
      <w:r>
        <w:rPr>
          <w:rFonts w:cstheme="minorHAnsi"/>
        </w:rPr>
        <w:t xml:space="preserve">This Report found that the MRFF has supported rural, regional and remote (RRR) communities by increasing investment in research that addresses the specific health and healthcare needs that are a priority for people in RRR communities, including consumers, patients, researchers and the health workforce. This </w:t>
      </w:r>
      <w:r w:rsidRPr="00A75A7F">
        <w:rPr>
          <w:rFonts w:cstheme="minorHAnsi"/>
        </w:rPr>
        <w:t>includes supporting RRR research into specific health and healthcare needs to improve diagnosis, treatment and care to meet the needs of individuals and communities</w:t>
      </w:r>
      <w:r>
        <w:rPr>
          <w:rFonts w:cstheme="minorHAnsi"/>
        </w:rPr>
        <w:t xml:space="preserve"> and</w:t>
      </w:r>
      <w:r w:rsidRPr="00A75A7F">
        <w:rPr>
          <w:rFonts w:cstheme="minorHAnsi"/>
        </w:rPr>
        <w:t xml:space="preserve"> to improve quality of life (as per the Priorities).</w:t>
      </w:r>
    </w:p>
    <w:p w14:paraId="3B796F18" w14:textId="77777777" w:rsidR="005B31AB" w:rsidRDefault="005B31AB" w:rsidP="005B31AB">
      <w:pPr>
        <w:rPr>
          <w:rFonts w:cstheme="minorHAnsi"/>
        </w:rPr>
      </w:pPr>
      <w:r>
        <w:rPr>
          <w:rFonts w:cstheme="minorHAnsi"/>
        </w:rPr>
        <w:t>In mapping projects that focus on RRR health to the Measures of Success:</w:t>
      </w:r>
    </w:p>
    <w:p w14:paraId="3CA7B2E7" w14:textId="77777777" w:rsidR="005B31AB" w:rsidRPr="00EA76D9" w:rsidRDefault="005B31AB" w:rsidP="00141CB5">
      <w:pPr>
        <w:pStyle w:val="List"/>
      </w:pPr>
      <w:r>
        <w:t>‘</w:t>
      </w:r>
      <w:r w:rsidRPr="00EB1276">
        <w:rPr>
          <w:i/>
        </w:rPr>
        <w:t>Increased focus on areas of unmet need’</w:t>
      </w:r>
      <w:r w:rsidRPr="007D2132">
        <w:t>: 22 projects (total $49</w:t>
      </w:r>
      <w:r>
        <w:t xml:space="preserve"> million</w:t>
      </w:r>
      <w:r w:rsidRPr="007D2132">
        <w:t>) with a</w:t>
      </w:r>
      <w:r w:rsidRPr="0018236F">
        <w:t xml:space="preserve"> focus on Aboriginal and Torres Strait Islander health, and 40 proj</w:t>
      </w:r>
      <w:r w:rsidRPr="00F21011">
        <w:t>ects (</w:t>
      </w:r>
      <w:r w:rsidRPr="00EA76D9">
        <w:t>total $245</w:t>
      </w:r>
      <w:r>
        <w:t xml:space="preserve"> million</w:t>
      </w:r>
      <w:r w:rsidRPr="0018236F">
        <w:t>) on RRR communities</w:t>
      </w:r>
      <w:r>
        <w:t>,</w:t>
      </w:r>
    </w:p>
    <w:p w14:paraId="088710D4" w14:textId="77777777" w:rsidR="005B31AB" w:rsidRDefault="005B31AB" w:rsidP="00141CB5">
      <w:pPr>
        <w:pStyle w:val="List"/>
      </w:pPr>
      <w:r>
        <w:t>‘</w:t>
      </w:r>
      <w:r w:rsidRPr="00EB1276">
        <w:rPr>
          <w:i/>
        </w:rPr>
        <w:t>More Australians have access to clinical trials’</w:t>
      </w:r>
      <w:r w:rsidRPr="0018236F">
        <w:t>: 11 projects (total $14</w:t>
      </w:r>
      <w:r>
        <w:t>5 million</w:t>
      </w:r>
      <w:r w:rsidRPr="0018236F">
        <w:t>) involv</w:t>
      </w:r>
      <w:r>
        <w:t>ed</w:t>
      </w:r>
      <w:r w:rsidRPr="0018236F">
        <w:t xml:space="preserve"> clinic</w:t>
      </w:r>
      <w:r w:rsidRPr="00EA76D9">
        <w:t>al trials and clinical trial-enabling infrastructure</w:t>
      </w:r>
      <w:r>
        <w:t>,</w:t>
      </w:r>
    </w:p>
    <w:p w14:paraId="409D3E60" w14:textId="77777777" w:rsidR="005B31AB" w:rsidRPr="007D2132" w:rsidRDefault="005B31AB" w:rsidP="00141CB5">
      <w:pPr>
        <w:pStyle w:val="List"/>
      </w:pPr>
      <w:r>
        <w:t>‘</w:t>
      </w:r>
      <w:r w:rsidRPr="00EB1276">
        <w:rPr>
          <w:i/>
        </w:rPr>
        <w:t>New health technologies/interventions are embedded in practice’</w:t>
      </w:r>
      <w:r w:rsidRPr="007D2132">
        <w:t>: 40 projects (total $245</w:t>
      </w:r>
      <w:r>
        <w:t> million</w:t>
      </w:r>
      <w:r w:rsidRPr="007D2132">
        <w:t xml:space="preserve">) </w:t>
      </w:r>
      <w:r w:rsidRPr="0018236F">
        <w:t>deployed strategies to support better access to health inter</w:t>
      </w:r>
      <w:r w:rsidRPr="00F21011">
        <w:t>ventions or technologies</w:t>
      </w:r>
      <w:r>
        <w:t>,</w:t>
      </w:r>
    </w:p>
    <w:p w14:paraId="6B6ECCE7" w14:textId="77777777" w:rsidR="005B31AB" w:rsidRPr="00EB1276" w:rsidRDefault="005B31AB" w:rsidP="005B31AB">
      <w:pPr>
        <w:numPr>
          <w:ilvl w:val="0"/>
          <w:numId w:val="2"/>
        </w:numPr>
        <w:rPr>
          <w:rFonts w:cstheme="minorHAnsi"/>
        </w:rPr>
      </w:pPr>
      <w:r w:rsidRPr="00EB1276">
        <w:rPr>
          <w:rFonts w:cstheme="minorHAnsi"/>
          <w:i/>
        </w:rPr>
        <w:t>‘Research community has greater capacity and capability to undertake translational research’</w:t>
      </w:r>
      <w:r w:rsidRPr="00EB1276">
        <w:rPr>
          <w:rFonts w:cstheme="minorHAnsi"/>
        </w:rPr>
        <w:t>: 6 projects (total $119 million) involved training in research translation and knowledge mobilisation</w:t>
      </w:r>
      <w:r>
        <w:rPr>
          <w:rFonts w:cstheme="minorHAnsi"/>
        </w:rPr>
        <w:t>, and</w:t>
      </w:r>
    </w:p>
    <w:p w14:paraId="14B7A691" w14:textId="77777777" w:rsidR="005B31AB" w:rsidRPr="00EB1276" w:rsidRDefault="005B31AB" w:rsidP="00141CB5">
      <w:pPr>
        <w:pStyle w:val="List"/>
      </w:pPr>
      <w:r w:rsidRPr="00EB1276">
        <w:t>‘</w:t>
      </w:r>
      <w:r w:rsidRPr="00EB1276">
        <w:rPr>
          <w:i/>
        </w:rPr>
        <w:t>The community engages with and adopts new technologies and treatments’</w:t>
      </w:r>
      <w:r w:rsidRPr="00EB1276">
        <w:t>: 15 projects (total $29 million) involved consumers in setting study.</w:t>
      </w:r>
    </w:p>
    <w:p w14:paraId="647DCAD6" w14:textId="77777777" w:rsidR="005B31AB" w:rsidRDefault="005B31AB" w:rsidP="005B31AB">
      <w:pPr>
        <w:pStyle w:val="Heading3"/>
        <w:spacing w:after="120"/>
      </w:pPr>
      <w:r w:rsidRPr="00727F11">
        <w:lastRenderedPageBreak/>
        <w:t>Financial Assistance to support the Australian medical research and innovation priorities 2020</w:t>
      </w:r>
      <w:r>
        <w:t> - 2022</w:t>
      </w:r>
    </w:p>
    <w:p w14:paraId="48DB5C7E" w14:textId="05470D34" w:rsidR="005B31AB" w:rsidRPr="00727F11" w:rsidRDefault="005B31AB" w:rsidP="005B31AB">
      <w:pPr>
        <w:rPr>
          <w:rFonts w:cstheme="minorHAnsi"/>
          <w:b/>
        </w:rPr>
      </w:pPr>
      <w:r w:rsidRPr="00727F11">
        <w:rPr>
          <w:rFonts w:cstheme="minorHAnsi"/>
        </w:rPr>
        <w:t xml:space="preserve">In addition to reporting </w:t>
      </w:r>
      <w:r>
        <w:rPr>
          <w:rFonts w:cstheme="minorHAnsi"/>
        </w:rPr>
        <w:t>funding that goes</w:t>
      </w:r>
      <w:r w:rsidRPr="00727F11">
        <w:rPr>
          <w:rFonts w:cstheme="minorHAnsi"/>
        </w:rPr>
        <w:t xml:space="preserve"> towards the Australian medical research and innovation priorities, the 2020-2022 report includes the following observations that demonstrate success against the Measures of Success:</w:t>
      </w:r>
    </w:p>
    <w:p w14:paraId="22782511" w14:textId="77777777" w:rsidR="005B31AB" w:rsidRPr="000271E1" w:rsidRDefault="005B31AB" w:rsidP="00614F15">
      <w:pPr>
        <w:pStyle w:val="ListParagraph"/>
        <w:numPr>
          <w:ilvl w:val="0"/>
          <w:numId w:val="5"/>
        </w:numPr>
        <w:rPr>
          <w:u w:val="single"/>
        </w:rPr>
      </w:pPr>
      <w:r w:rsidRPr="000271E1">
        <w:rPr>
          <w:u w:val="single"/>
        </w:rPr>
        <w:t>Increasing support for medical research commercialisation</w:t>
      </w:r>
    </w:p>
    <w:p w14:paraId="15337FDD" w14:textId="77777777" w:rsidR="005B31AB" w:rsidRPr="004B5DC0" w:rsidRDefault="005B31AB" w:rsidP="000271E1">
      <w:pPr>
        <w:ind w:left="360"/>
      </w:pPr>
      <w:r w:rsidRPr="004B5DC0">
        <w:t xml:space="preserve">MRFF grants have been provided to a range of recipients seeking to support projects with commercial potential, particularly from Small to Medium Enterprises (SMEs), </w:t>
      </w:r>
      <w:r>
        <w:t>towards the ‘</w:t>
      </w:r>
      <w:r w:rsidRPr="002C4E2D">
        <w:rPr>
          <w:i/>
        </w:rPr>
        <w:t>Increased commercialisation of health research outcomes</w:t>
      </w:r>
      <w:r>
        <w:t>’ Measure of Success</w:t>
      </w:r>
      <w:r w:rsidRPr="004B5DC0">
        <w:t>.</w:t>
      </w:r>
    </w:p>
    <w:p w14:paraId="73BD02D8" w14:textId="77777777" w:rsidR="005B31AB" w:rsidRDefault="005B31AB" w:rsidP="005B31AB">
      <w:pPr>
        <w:ind w:left="360"/>
        <w:rPr>
          <w:rFonts w:cstheme="minorHAnsi"/>
        </w:rPr>
      </w:pPr>
      <w:r>
        <w:rPr>
          <w:rFonts w:cstheme="minorHAnsi"/>
        </w:rPr>
        <w:t>The reported identified that from November 2020 to November 2022 when the 2020-2022 Priorities were in force, $146 million (now updated to $246.3 million out of an allocation of $345.4 million) of MRFF funding has been awarded through the Medical Research Commercialisation initiative, which has included:</w:t>
      </w:r>
    </w:p>
    <w:p w14:paraId="35231633" w14:textId="77777777" w:rsidR="005B31AB" w:rsidRDefault="005B31AB" w:rsidP="00614F15">
      <w:pPr>
        <w:pStyle w:val="ListParagraph"/>
        <w:numPr>
          <w:ilvl w:val="1"/>
          <w:numId w:val="5"/>
        </w:numPr>
      </w:pPr>
      <w:r w:rsidRPr="007D2132">
        <w:t xml:space="preserve">$45 million through the BioMedTech Horizons program which </w:t>
      </w:r>
      <w:r>
        <w:t xml:space="preserve">has </w:t>
      </w:r>
      <w:r w:rsidRPr="007D2132">
        <w:t>supported the development of 49 biomedical and medical technologies from proof-of-concept to commercial develo</w:t>
      </w:r>
      <w:r w:rsidRPr="0018236F">
        <w:t>pment</w:t>
      </w:r>
      <w:r>
        <w:t>,</w:t>
      </w:r>
    </w:p>
    <w:p w14:paraId="1E177494" w14:textId="77777777" w:rsidR="005B31AB" w:rsidRDefault="005B31AB" w:rsidP="00614F15">
      <w:pPr>
        <w:pStyle w:val="ListParagraph"/>
        <w:numPr>
          <w:ilvl w:val="1"/>
          <w:numId w:val="5"/>
        </w:numPr>
      </w:pPr>
      <w:r w:rsidRPr="00EA76D9">
        <w:t xml:space="preserve">$22.3 million through the Biomedical Translation Bridge which </w:t>
      </w:r>
      <w:r>
        <w:t xml:space="preserve">has </w:t>
      </w:r>
      <w:r w:rsidRPr="00EA76D9">
        <w:t>nurtured the translation of 21 projects through to the proof-of-concept stage with expert industry support and mentoring</w:t>
      </w:r>
      <w:r>
        <w:t>,</w:t>
      </w:r>
    </w:p>
    <w:p w14:paraId="04E00146" w14:textId="77777777" w:rsidR="005B31AB" w:rsidRPr="007908AC" w:rsidRDefault="005B31AB" w:rsidP="00614F15">
      <w:pPr>
        <w:pStyle w:val="ListParagraph"/>
        <w:numPr>
          <w:ilvl w:val="1"/>
          <w:numId w:val="5"/>
        </w:numPr>
      </w:pPr>
      <w:r w:rsidRPr="007908AC">
        <w:t>$79 million through the Early Stage Translation and Commercialisat</w:t>
      </w:r>
      <w:r>
        <w:t>ion Support program which has</w:t>
      </w:r>
      <w:r w:rsidRPr="00EA76D9">
        <w:t xml:space="preserve"> supported</w:t>
      </w:r>
      <w:r>
        <w:t xml:space="preserve"> 33 Australian SMEs (now updated to</w:t>
      </w:r>
      <w:r w:rsidRPr="0018236F">
        <w:t xml:space="preserve"> 74</w:t>
      </w:r>
      <w:r w:rsidRPr="00F21011">
        <w:t xml:space="preserve"> Australian </w:t>
      </w:r>
      <w:r w:rsidRPr="00EA76D9">
        <w:t>SMEs</w:t>
      </w:r>
      <w:r>
        <w:t>)</w:t>
      </w:r>
      <w:r w:rsidRPr="0018236F">
        <w:t xml:space="preserve"> undertaking early</w:t>
      </w:r>
      <w:r>
        <w:t xml:space="preserve"> </w:t>
      </w:r>
      <w:r w:rsidRPr="0018236F">
        <w:t xml:space="preserve">stage medical research and innovation projects with commercial potential, across 4 streams: Early Stage Digital Health, Early Clinical Medical Devices, Early Clinical Drugs, </w:t>
      </w:r>
      <w:r w:rsidRPr="00EA76D9">
        <w:t>and Pre-Clinical Research or Medical innovation</w:t>
      </w:r>
      <w:r>
        <w:t>, and</w:t>
      </w:r>
      <w:r w:rsidRPr="00EA76D9">
        <w:t xml:space="preserve"> </w:t>
      </w:r>
    </w:p>
    <w:p w14:paraId="209D940D" w14:textId="77777777" w:rsidR="005B31AB" w:rsidRDefault="005B31AB" w:rsidP="00614F15">
      <w:pPr>
        <w:pStyle w:val="ListParagraph"/>
        <w:numPr>
          <w:ilvl w:val="1"/>
          <w:numId w:val="5"/>
        </w:numPr>
      </w:pPr>
      <w:r>
        <w:t>t</w:t>
      </w:r>
      <w:r w:rsidRPr="0018236F">
        <w:t xml:space="preserve">he remainder </w:t>
      </w:r>
      <w:r>
        <w:t>allocated/</w:t>
      </w:r>
      <w:r w:rsidRPr="0018236F">
        <w:t>to be allocated to the BioMedTech Incubator program intended</w:t>
      </w:r>
      <w:r w:rsidRPr="00F21011">
        <w:t xml:space="preserve"> to increase the number of innovations, novel drugs, novel uses for existing drugs, innovative medical devices and/or digital hea</w:t>
      </w:r>
      <w:r w:rsidRPr="00EA76D9">
        <w:t xml:space="preserve">lth technologies that have progressed through the early stages of research and development to the point where they are ‘de-risked’ and attractive to private investment or commercialisation. </w:t>
      </w:r>
    </w:p>
    <w:p w14:paraId="58458459" w14:textId="16FBF929" w:rsidR="005B31AB" w:rsidRPr="000271E1" w:rsidRDefault="005B31AB" w:rsidP="00614F15">
      <w:pPr>
        <w:pStyle w:val="ListParagraph"/>
        <w:numPr>
          <w:ilvl w:val="0"/>
          <w:numId w:val="5"/>
        </w:numPr>
        <w:rPr>
          <w:u w:val="single"/>
        </w:rPr>
      </w:pPr>
      <w:r w:rsidRPr="000271E1">
        <w:rPr>
          <w:u w:val="single"/>
        </w:rPr>
        <w:t>Enabling clinical trials research</w:t>
      </w:r>
    </w:p>
    <w:p w14:paraId="74C7F1C1" w14:textId="77777777" w:rsidR="005B31AB" w:rsidRDefault="005B31AB" w:rsidP="000271E1">
      <w:pPr>
        <w:ind w:left="360"/>
      </w:pPr>
      <w:r w:rsidRPr="000F1FDE">
        <w:t>Clinical trials are an essential component of health and medical research, playing an important role in validating new treatments and approaches for the prevention, management, detection and diagnosis of health conditions.</w:t>
      </w:r>
    </w:p>
    <w:p w14:paraId="35927D83" w14:textId="77777777" w:rsidR="005B31AB" w:rsidRDefault="005B31AB" w:rsidP="000271E1">
      <w:pPr>
        <w:ind w:left="360"/>
      </w:pPr>
      <w:r w:rsidRPr="009A3A5C">
        <w:t>Through a range of its initiatives, the MRFF has funded Australian clinical trials across many different health conditions</w:t>
      </w:r>
      <w:r>
        <w:t>.</w:t>
      </w:r>
      <w:r w:rsidRPr="009A3A5C">
        <w:t xml:space="preserve"> </w:t>
      </w:r>
      <w:r>
        <w:t xml:space="preserve">In addition, </w:t>
      </w:r>
      <w:r w:rsidRPr="009A3A5C">
        <w:t xml:space="preserve">MRFF-funded projects bring researchers, medical specialists and patients together to promote clinical innovation, improve patient outcomes and support jobs and economic growth </w:t>
      </w:r>
      <w:r>
        <w:t>in</w:t>
      </w:r>
      <w:r w:rsidRPr="009A3A5C">
        <w:t xml:space="preserve"> the health and medical research sector.</w:t>
      </w:r>
    </w:p>
    <w:p w14:paraId="4FE5E2EE" w14:textId="77777777" w:rsidR="005B31AB" w:rsidRPr="00162C0B" w:rsidRDefault="005B31AB" w:rsidP="000271E1">
      <w:pPr>
        <w:ind w:left="360"/>
      </w:pPr>
      <w:r w:rsidRPr="005F5206">
        <w:t xml:space="preserve">As indicated above, the MRFF Clinical Trials Activity initiative evaluation also reported the MRFF increased research into unmet need as a dominant source of funding support for clinical trials in </w:t>
      </w:r>
      <w:r w:rsidRPr="005F5206">
        <w:lastRenderedPageBreak/>
        <w:t>Australia, particularly in rare cancers which may not be fundable via other avenues. It has also allowed more Australians access to clinical trials, and significant engagement with key stakeholders such as consumers and professional bodies in trials, which is recognised to enhance research translation (The community engages with and adopts new technologies and treatments’).</w:t>
      </w:r>
    </w:p>
    <w:p w14:paraId="5E9483A2" w14:textId="77777777" w:rsidR="000271E1" w:rsidRPr="000271E1" w:rsidRDefault="005B31AB" w:rsidP="000271E1">
      <w:pPr>
        <w:pStyle w:val="ListParagraph"/>
        <w:numPr>
          <w:ilvl w:val="0"/>
          <w:numId w:val="5"/>
        </w:numPr>
        <w:ind w:left="357" w:hanging="357"/>
        <w:contextualSpacing/>
      </w:pPr>
      <w:r w:rsidRPr="000271E1">
        <w:rPr>
          <w:u w:val="single"/>
        </w:rPr>
        <w:t>Prioritised leadership of Aboriginal and/or Torres Strait Islander researchers and communities in research on First Nations health</w:t>
      </w:r>
    </w:p>
    <w:p w14:paraId="418BD76E" w14:textId="1343FDBA" w:rsidR="005B31AB" w:rsidRPr="006A0FF7" w:rsidRDefault="005B31AB" w:rsidP="000271E1">
      <w:pPr>
        <w:ind w:left="357"/>
      </w:pPr>
      <w:r w:rsidRPr="00026E37">
        <w:t xml:space="preserve">Although the impacts of many First Nations health projects are yet to be realised at this stage, </w:t>
      </w:r>
      <w:r w:rsidRPr="006A0FF7">
        <w:t>the Indigenous Health Research Fund (IHRF) recognises that supporting First Nations-led research ensures that the research tackles health issues that are of importance to Aboriginal and Torres Strait Islander people, and is best placed to generate evidence-based structural changes in health practice and outcomes.</w:t>
      </w:r>
    </w:p>
    <w:p w14:paraId="2CD45DB2" w14:textId="77777777" w:rsidR="005B31AB" w:rsidRPr="008C17FD" w:rsidRDefault="005B31AB" w:rsidP="000271E1">
      <w:pPr>
        <w:ind w:left="357"/>
      </w:pPr>
      <w:r w:rsidRPr="00461D71">
        <w:t xml:space="preserve">MRFF First Nations health research grants acknowledge, prioritise and promote First Nations leadership in research practice, governance, and knowledge translation. </w:t>
      </w:r>
      <w:r w:rsidRPr="000F1FDE">
        <w:t>I</w:t>
      </w:r>
      <w:r>
        <w:t>n doing so i</w:t>
      </w:r>
      <w:r w:rsidRPr="000F1FDE">
        <w:t>t aims to improve health outcomes and contribute to closing the gap on health mortality and morbidity of Aboriginal and Torres Strait Islander people.</w:t>
      </w:r>
    </w:p>
    <w:p w14:paraId="6A1B3B1F" w14:textId="70BC5B85" w:rsidR="005B31AB" w:rsidRPr="00461D71" w:rsidRDefault="005B31AB" w:rsidP="000271E1">
      <w:pPr>
        <w:ind w:left="357"/>
      </w:pPr>
      <w:r>
        <w:t>The MRFF has been able to increase the</w:t>
      </w:r>
      <w:r w:rsidRPr="00461D71">
        <w:t xml:space="preserve"> percentage of grants led by an Aboriginal and/or Torres Strait Islander Chief Investigator</w:t>
      </w:r>
      <w:r>
        <w:t xml:space="preserve"> </w:t>
      </w:r>
      <w:r w:rsidRPr="00461D71">
        <w:t>over time following progressive modification to the assessment process for IHRF grant opportunities</w:t>
      </w:r>
      <w:r>
        <w:t>, going from 22% grants led by an Aboriginal and/or Torres Strait Islander researcher in 2019, to 57% in 2020, to 64% in 2021</w:t>
      </w:r>
      <w:r w:rsidRPr="00461D71">
        <w:t>.</w:t>
      </w:r>
      <w:r>
        <w:t xml:space="preserve"> Since the publication of the 2020-2022 report this number has continued on a positive trajectory.</w:t>
      </w:r>
    </w:p>
    <w:p w14:paraId="7A66B3E5" w14:textId="6B8B22E1" w:rsidR="005B31AB" w:rsidRDefault="005B31AB" w:rsidP="000271E1">
      <w:pPr>
        <w:ind w:left="357"/>
      </w:pPr>
      <w:r w:rsidRPr="00461D71">
        <w:t xml:space="preserve">In addition to the IHRF, First Nations leadership was prioritised in </w:t>
      </w:r>
      <w:r>
        <w:t xml:space="preserve">the </w:t>
      </w:r>
      <w:r w:rsidRPr="00461D71">
        <w:t xml:space="preserve">2021 Improving the Health and Wellbeing of Aboriginal and Torres Strait Islander Mothers and Babies grant opportunity. Five projects totalling $18.4 million have been supported to undertake </w:t>
      </w:r>
      <w:r w:rsidRPr="00026E37">
        <w:t>increased research into unmet need</w:t>
      </w:r>
      <w:r>
        <w:t xml:space="preserve">, in terms of </w:t>
      </w:r>
      <w:r w:rsidRPr="00461D71">
        <w:t>improv</w:t>
      </w:r>
      <w:r>
        <w:t>ing</w:t>
      </w:r>
      <w:r w:rsidRPr="00461D71">
        <w:t xml:space="preserve"> access to culturally safe care during pregnancy, birthing and the post-natal period </w:t>
      </w:r>
      <w:r>
        <w:t>(</w:t>
      </w:r>
      <w:r w:rsidRPr="00461D71">
        <w:t>for example</w:t>
      </w:r>
      <w:r>
        <w:t>,</w:t>
      </w:r>
      <w:r w:rsidRPr="00461D71">
        <w:t xml:space="preserve"> on-country birthing and continuity of family and midwifery care</w:t>
      </w:r>
      <w:r>
        <w:t>)</w:t>
      </w:r>
      <w:r w:rsidRPr="00461D71">
        <w:t>.</w:t>
      </w:r>
      <w:r>
        <w:rPr>
          <w:lang w:eastAsia="en-AU"/>
        </w:rPr>
        <w:br w:type="page"/>
      </w:r>
    </w:p>
    <w:p w14:paraId="511059F7" w14:textId="77777777" w:rsidR="005B31AB" w:rsidRPr="003B2CFB" w:rsidRDefault="005B31AB" w:rsidP="005B31AB">
      <w:pPr>
        <w:pStyle w:val="Heading1"/>
      </w:pPr>
      <w:bookmarkStart w:id="37" w:name="_Toc185589255"/>
      <w:r>
        <w:lastRenderedPageBreak/>
        <w:t>Appendix B: Work to improve alignment and coordination of the MRFF and MREA</w:t>
      </w:r>
      <w:bookmarkEnd w:id="37"/>
      <w:r w:rsidRPr="003B2CFB">
        <w:t xml:space="preserve"> </w:t>
      </w:r>
    </w:p>
    <w:p w14:paraId="7B5849A5" w14:textId="77777777" w:rsidR="005B31AB" w:rsidRPr="00426CAB" w:rsidRDefault="005B31AB" w:rsidP="005B31AB">
      <w:pPr>
        <w:pStyle w:val="Heading3"/>
        <w:spacing w:after="120"/>
      </w:pPr>
      <w:r>
        <w:t xml:space="preserve">Governance of </w:t>
      </w:r>
      <w:r w:rsidRPr="00426CAB">
        <w:t xml:space="preserve">MRFF and </w:t>
      </w:r>
      <w:r>
        <w:t>MREA</w:t>
      </w:r>
    </w:p>
    <w:p w14:paraId="050E34E2" w14:textId="77777777" w:rsidR="005B31AB" w:rsidRDefault="005B31AB" w:rsidP="005B31AB">
      <w:pPr>
        <w:rPr>
          <w:rFonts w:cstheme="minorHAnsi"/>
        </w:rPr>
      </w:pPr>
      <w:r>
        <w:rPr>
          <w:rFonts w:cstheme="minorHAnsi"/>
        </w:rPr>
        <w:t>Governance arrangements for the MRFF and the NHMRC’s MREA differ, reflecting their discrete legislative frameworks and funding objectives.</w:t>
      </w:r>
      <w:r w:rsidRPr="00735D4E">
        <w:rPr>
          <w:rFonts w:cstheme="minorHAnsi"/>
        </w:rPr>
        <w:t xml:space="preserve"> </w:t>
      </w:r>
      <w:r>
        <w:rPr>
          <w:rFonts w:cstheme="minorHAnsi"/>
        </w:rPr>
        <w:t>The MRFF and the MREA cumulatively award more than $1.5 billion in research grants each year.</w:t>
      </w:r>
    </w:p>
    <w:p w14:paraId="0D0F71FC" w14:textId="77777777" w:rsidR="005B31AB" w:rsidRPr="00735D4E" w:rsidRDefault="005B31AB" w:rsidP="005B31AB">
      <w:pPr>
        <w:pStyle w:val="Heading4"/>
      </w:pPr>
      <w:r w:rsidRPr="00735D4E">
        <w:t>MRFF</w:t>
      </w:r>
    </w:p>
    <w:p w14:paraId="249486A6" w14:textId="050FEB51" w:rsidR="005B31AB" w:rsidRDefault="005B31AB" w:rsidP="005B31AB">
      <w:pPr>
        <w:rPr>
          <w:rFonts w:cstheme="minorHAnsi"/>
        </w:rPr>
      </w:pPr>
      <w:r>
        <w:t xml:space="preserve">The Department of Health and Aged Care has overall policy responsibility for the governance and administration of MRFF grants. Funding through the MRFF is overseen by the Health Minister and the Departmental Executive. </w:t>
      </w:r>
      <w:r w:rsidRPr="00341D68">
        <w:rPr>
          <w:rFonts w:cstheme="minorHAnsi"/>
        </w:rPr>
        <w:t xml:space="preserve">The MRFF </w:t>
      </w:r>
      <w:r>
        <w:rPr>
          <w:rFonts w:cstheme="minorHAnsi"/>
        </w:rPr>
        <w:t>funds priority-driven</w:t>
      </w:r>
      <w:r w:rsidRPr="00341D68">
        <w:rPr>
          <w:rFonts w:cstheme="minorHAnsi"/>
        </w:rPr>
        <w:t xml:space="preserve"> research</w:t>
      </w:r>
      <w:r>
        <w:rPr>
          <w:rFonts w:cstheme="minorHAnsi"/>
        </w:rPr>
        <w:t xml:space="preserve">, including </w:t>
      </w:r>
      <w:r w:rsidRPr="00341D68">
        <w:rPr>
          <w:rFonts w:cstheme="minorHAnsi"/>
        </w:rPr>
        <w:t>in areas of unmet need</w:t>
      </w:r>
      <w:r>
        <w:rPr>
          <w:rFonts w:cstheme="minorHAnsi"/>
        </w:rPr>
        <w:t xml:space="preserve"> such as</w:t>
      </w:r>
      <w:r w:rsidRPr="00341D68">
        <w:rPr>
          <w:rFonts w:cstheme="minorHAnsi"/>
        </w:rPr>
        <w:t xml:space="preserve"> First Nations</w:t>
      </w:r>
      <w:r>
        <w:rPr>
          <w:rFonts w:cstheme="minorHAnsi"/>
        </w:rPr>
        <w:t xml:space="preserve"> health research</w:t>
      </w:r>
      <w:r w:rsidRPr="00341D68">
        <w:rPr>
          <w:rFonts w:cstheme="minorHAnsi"/>
        </w:rPr>
        <w:t>, rare diseases</w:t>
      </w:r>
      <w:r w:rsidRPr="00735D4E">
        <w:rPr>
          <w:rFonts w:cstheme="minorHAnsi"/>
        </w:rPr>
        <w:t xml:space="preserve"> </w:t>
      </w:r>
      <w:r>
        <w:rPr>
          <w:rFonts w:cstheme="minorHAnsi"/>
        </w:rPr>
        <w:t>research</w:t>
      </w:r>
      <w:r w:rsidRPr="00341D68">
        <w:rPr>
          <w:rFonts w:cstheme="minorHAnsi"/>
        </w:rPr>
        <w:t xml:space="preserve">, rural and remote </w:t>
      </w:r>
      <w:r>
        <w:rPr>
          <w:rFonts w:cstheme="minorHAnsi"/>
        </w:rPr>
        <w:t>health research</w:t>
      </w:r>
      <w:r w:rsidRPr="00341D68">
        <w:rPr>
          <w:rFonts w:cstheme="minorHAnsi"/>
        </w:rPr>
        <w:t xml:space="preserve"> and health services research.</w:t>
      </w:r>
    </w:p>
    <w:p w14:paraId="70FE4753" w14:textId="77777777" w:rsidR="005B31AB" w:rsidRDefault="005B31AB" w:rsidP="005B31AB">
      <w:r>
        <w:t xml:space="preserve">Under the 10-year Plan, the MRFF provides $650 million per annum for research. The Department of Health and Aged Care draws on a range of internal and external advisory bodies to inform MRFF funding as </w:t>
      </w:r>
      <w:r w:rsidRPr="00421A10">
        <w:t>described on pages 18-</w:t>
      </w:r>
      <w:r>
        <w:t>22. Depending on the specific policy and administrative requirements of each grant opportunity, the Department of Health and Aged Care administers MRFF grants through the Business Grants Hub or the NHMRC (which in this case acts in the capacity of grants hub for the MRFF).</w:t>
      </w:r>
    </w:p>
    <w:p w14:paraId="66031DC2" w14:textId="77777777" w:rsidR="005B31AB" w:rsidRDefault="005B31AB" w:rsidP="005B31AB">
      <w:r>
        <w:t>Consistent with the MRFF Act, the Health Minister has powers to approve MRFF funding decisions. Since 2018 the powers to commit funds and enter into agreements under sections 24 and 26 of the MRFF Act have also been delegated to senior officials within the Department of Health and Aged Care and the NHMRC.</w:t>
      </w:r>
    </w:p>
    <w:p w14:paraId="209976D1" w14:textId="77777777" w:rsidR="005B31AB" w:rsidRDefault="005B31AB" w:rsidP="005B31AB">
      <w:pPr>
        <w:pStyle w:val="Heading4"/>
      </w:pPr>
      <w:r>
        <w:t>NHMRC</w:t>
      </w:r>
    </w:p>
    <w:p w14:paraId="3A6FF383" w14:textId="77777777" w:rsidR="005B31AB" w:rsidRDefault="005B31AB" w:rsidP="005B31AB">
      <w:r>
        <w:t>The NHMRC is an independent statutory agency within the Health and Ageing portfolio, operating under the NHMRC Act. The NHMRC is led by a Chief Executive Officer (CEO), supported by an Executive Team.</w:t>
      </w:r>
      <w:r w:rsidRPr="00020302">
        <w:t xml:space="preserve"> </w:t>
      </w:r>
      <w:r>
        <w:t>Investments through the MREA are overseen by the NHMRC.</w:t>
      </w:r>
      <w:r w:rsidRPr="00735D4E">
        <w:rPr>
          <w:rFonts w:cstheme="minorHAnsi"/>
        </w:rPr>
        <w:t xml:space="preserve"> </w:t>
      </w:r>
      <w:r w:rsidRPr="008A3A1D">
        <w:rPr>
          <w:rFonts w:cstheme="minorHAnsi"/>
        </w:rPr>
        <w:t xml:space="preserve">The MREA </w:t>
      </w:r>
      <w:r>
        <w:rPr>
          <w:rFonts w:cstheme="minorHAnsi"/>
        </w:rPr>
        <w:t>focuses on</w:t>
      </w:r>
      <w:r w:rsidRPr="008A3A1D">
        <w:rPr>
          <w:rFonts w:cstheme="minorHAnsi"/>
        </w:rPr>
        <w:t xml:space="preserve"> investigator-driven research to address </w:t>
      </w:r>
      <w:r w:rsidRPr="00341D68">
        <w:rPr>
          <w:rFonts w:cstheme="minorHAnsi"/>
        </w:rPr>
        <w:t>a wide range of health needs and to build foundational research capacity.</w:t>
      </w:r>
    </w:p>
    <w:p w14:paraId="73DDBC48" w14:textId="4EC3286A" w:rsidR="005B31AB" w:rsidRPr="00884594" w:rsidRDefault="005B31AB" w:rsidP="005B31AB">
      <w:pPr>
        <w:rPr>
          <w:rFonts w:cstheme="minorHAnsi"/>
        </w:rPr>
      </w:pPr>
      <w:r w:rsidRPr="00C95303">
        <w:rPr>
          <w:rFonts w:cstheme="minorHAnsi"/>
        </w:rPr>
        <w:t xml:space="preserve">The MREA is a special account that </w:t>
      </w:r>
      <w:r>
        <w:rPr>
          <w:rFonts w:cstheme="minorHAnsi"/>
        </w:rPr>
        <w:t xml:space="preserve">provides </w:t>
      </w:r>
      <w:r w:rsidRPr="008A3A1D">
        <w:rPr>
          <w:rFonts w:cstheme="minorHAnsi"/>
        </w:rPr>
        <w:t>approximately $900 million per annum</w:t>
      </w:r>
      <w:r w:rsidRPr="00C95303">
        <w:rPr>
          <w:rFonts w:cstheme="minorHAnsi"/>
        </w:rPr>
        <w:t xml:space="preserve"> </w:t>
      </w:r>
      <w:r>
        <w:rPr>
          <w:rFonts w:cstheme="minorHAnsi"/>
        </w:rPr>
        <w:t xml:space="preserve">to </w:t>
      </w:r>
      <w:r w:rsidRPr="00C95303">
        <w:rPr>
          <w:rFonts w:cstheme="minorHAnsi"/>
        </w:rPr>
        <w:t xml:space="preserve">support NHMRC’s investigator-initiated grants in all fields of health and medical research from </w:t>
      </w:r>
      <w:r w:rsidRPr="008A3A1D">
        <w:rPr>
          <w:rFonts w:cstheme="minorHAnsi"/>
        </w:rPr>
        <w:t>discovery to clinical, public health and health services research.</w:t>
      </w:r>
      <w:r w:rsidRPr="006C0B7F">
        <w:rPr>
          <w:rFonts w:cstheme="minorHAnsi"/>
        </w:rPr>
        <w:t xml:space="preserve"> </w:t>
      </w:r>
      <w:r>
        <w:rPr>
          <w:rFonts w:cstheme="minorHAnsi"/>
        </w:rPr>
        <w:t xml:space="preserve">The MREA was established by subsection 5 of the </w:t>
      </w:r>
      <w:r>
        <w:rPr>
          <w:rFonts w:cstheme="minorHAnsi"/>
          <w:i/>
        </w:rPr>
        <w:t>Financial Management Legislation Amendment Act 1999</w:t>
      </w:r>
      <w:r>
        <w:rPr>
          <w:rFonts w:cstheme="minorHAnsi"/>
        </w:rPr>
        <w:t xml:space="preserve"> and is reflected in Section 49 of the NHMRC Act</w:t>
      </w:r>
      <w:r>
        <w:rPr>
          <w:rFonts w:cstheme="minorHAnsi"/>
          <w:i/>
        </w:rPr>
        <w:t>.</w:t>
      </w:r>
    </w:p>
    <w:p w14:paraId="27ABD2DF" w14:textId="39104C32" w:rsidR="000271E1" w:rsidRDefault="005B31AB">
      <w:r>
        <w:t>The NHMRC CEO is required to articulate a strategy for health and medical research and identify major health issues likely to arise (referred to as health priorities in the NHMRC’s Corporate Plan) in consultation with the Health Minister and the NHMRC Council each year. The strategy and priorities are reviewed every 3 years to align with the term of membership for the NHMRC Council.</w:t>
      </w:r>
      <w:r w:rsidR="000271E1">
        <w:br w:type="page"/>
      </w:r>
    </w:p>
    <w:p w14:paraId="26D55066" w14:textId="2D476542" w:rsidR="005B31AB" w:rsidRDefault="005B31AB" w:rsidP="005B31AB">
      <w:r>
        <w:lastRenderedPageBreak/>
        <w:t>The NHMRC CEO is the NHMRC’s accountable authority who makes recommendations to the Health Minister on the application of the MREA. The NHMRC Council is established under the NHMRC Act to advise the NHMRC CEO on the performance of their functions, including expenditure on health and medical research.</w:t>
      </w:r>
    </w:p>
    <w:p w14:paraId="607A0E41" w14:textId="27047064" w:rsidR="005B31AB" w:rsidRDefault="005B31AB" w:rsidP="005B31AB">
      <w:r>
        <w:t xml:space="preserve">The </w:t>
      </w:r>
      <w:r w:rsidRPr="001474F0">
        <w:t>Research Committee is established under the NHMRC Act as a Principal Committee of</w:t>
      </w:r>
      <w:r>
        <w:t xml:space="preserve"> the</w:t>
      </w:r>
      <w:r w:rsidRPr="001474F0">
        <w:t xml:space="preserve"> NHMRC Council and has specific functions to advise and make recommendations to </w:t>
      </w:r>
      <w:r>
        <w:t xml:space="preserve">the </w:t>
      </w:r>
      <w:r w:rsidRPr="001474F0">
        <w:t>NHMRC Council on the application of the MREA, the use of financial assistance provided by the MREA, and other matters such as the quality and scope of health and medical research in Australia.</w:t>
      </w:r>
    </w:p>
    <w:p w14:paraId="4581AC1B" w14:textId="77777777" w:rsidR="005B31AB" w:rsidRDefault="005B31AB" w:rsidP="005B31AB">
      <w:pPr>
        <w:pStyle w:val="Heading3"/>
        <w:spacing w:after="120"/>
      </w:pPr>
      <w:r w:rsidRPr="00137E33">
        <w:rPr>
          <w:rFonts w:eastAsiaTheme="minorHAnsi"/>
        </w:rPr>
        <w:t>National Consultation on alignment of MRFF and NHMRC’s MREA</w:t>
      </w:r>
    </w:p>
    <w:p w14:paraId="1AB44F25" w14:textId="77777777" w:rsidR="005B31AB" w:rsidRPr="00C67990" w:rsidRDefault="005B31AB" w:rsidP="005B31AB">
      <w:pPr>
        <w:pStyle w:val="Heading4"/>
      </w:pPr>
      <w:r w:rsidRPr="007E51E4">
        <w:t xml:space="preserve">Improving </w:t>
      </w:r>
      <w:r>
        <w:t>alignment</w:t>
      </w:r>
    </w:p>
    <w:p w14:paraId="124CEEEC" w14:textId="77777777" w:rsidR="005B31AB" w:rsidRDefault="005B31AB" w:rsidP="005B31AB">
      <w:pPr>
        <w:rPr>
          <w:lang w:val="en-US" w:eastAsia="en-AU"/>
          <w14:ligatures w14:val="none"/>
        </w:rPr>
      </w:pPr>
      <w:r>
        <w:t xml:space="preserve">In May 2023 the Australian Government released a discussion paper on improving alignment and coordination between the MRFF and the NHMRC’s MREA to improve Australia’s healthcare system for the future, including by investing in health and medical research and innovation to improve lives, build the economy and ensure the sustainability of the health system. The discussion paper commenced sector-wide consultation on </w:t>
      </w:r>
      <w:r>
        <w:rPr>
          <w:lang w:val="en-US" w:eastAsia="en-AU"/>
          <w14:ligatures w14:val="none"/>
        </w:rPr>
        <w:t>whether, and if so how, to reform the governance and administration of the MRFF and the MREA to ensure the Australian community obtains the greatest benefit from Commonwealth investment in health and medical research.</w:t>
      </w:r>
    </w:p>
    <w:p w14:paraId="2C769B38" w14:textId="77777777" w:rsidR="005B31AB" w:rsidRDefault="005B31AB" w:rsidP="005B31AB">
      <w:pPr>
        <w:rPr>
          <w:lang w:eastAsia="en-AU"/>
          <w14:ligatures w14:val="none"/>
        </w:rPr>
      </w:pPr>
      <w:r>
        <w:t>During 2023, the Department of Health and Aged Care co-ordinated a series of</w:t>
      </w:r>
      <w:r w:rsidRPr="001474F0">
        <w:t xml:space="preserve"> </w:t>
      </w:r>
      <w:r>
        <w:rPr>
          <w:lang w:eastAsia="en-AU"/>
          <w14:ligatures w14:val="none"/>
        </w:rPr>
        <w:t>national consultations on strategies for optimising the government’s funding arrangements for health and medical research through the MRFF and the NHMRC’s MREA. The consultation highlighted</w:t>
      </w:r>
      <w:r w:rsidRPr="004C2103">
        <w:rPr>
          <w:lang w:val="en-US" w:eastAsia="en-AU"/>
          <w14:ligatures w14:val="none"/>
        </w:rPr>
        <w:t xml:space="preserve"> </w:t>
      </w:r>
      <w:r>
        <w:rPr>
          <w:lang w:val="en-US" w:eastAsia="en-AU"/>
          <w14:ligatures w14:val="none"/>
        </w:rPr>
        <w:t>the need to develop an overarching strategy for Commonwealth-funded health and medical research that takes advantage of the complementary purposes and characteristics of the two funds.</w:t>
      </w:r>
    </w:p>
    <w:p w14:paraId="5D2D71C2" w14:textId="705876E1" w:rsidR="005B31AB" w:rsidRDefault="005B31AB" w:rsidP="005B31AB">
      <w:pPr>
        <w:rPr>
          <w:rFonts w:cstheme="minorHAnsi"/>
        </w:rPr>
      </w:pPr>
      <w:r>
        <w:rPr>
          <w:rFonts w:cstheme="minorHAnsi"/>
        </w:rPr>
        <w:t>Box 1 provides more detail on the process and findings of this consultation.</w:t>
      </w:r>
    </w:p>
    <w:tbl>
      <w:tblPr>
        <w:tblStyle w:val="TableGrid"/>
        <w:tblW w:w="0" w:type="auto"/>
        <w:tblLook w:val="04A0" w:firstRow="1" w:lastRow="0" w:firstColumn="1" w:lastColumn="0" w:noHBand="0" w:noVBand="1"/>
      </w:tblPr>
      <w:tblGrid>
        <w:gridCol w:w="9016"/>
      </w:tblGrid>
      <w:tr w:rsidR="005B31AB" w14:paraId="1A67CED4" w14:textId="77777777" w:rsidTr="001834D0">
        <w:tc>
          <w:tcPr>
            <w:tcW w:w="9016" w:type="dxa"/>
          </w:tcPr>
          <w:p w14:paraId="33720515" w14:textId="77777777" w:rsidR="005B31AB" w:rsidRDefault="005B31AB" w:rsidP="001834D0">
            <w:pPr>
              <w:pStyle w:val="Heading4"/>
            </w:pPr>
            <w:r>
              <w:lastRenderedPageBreak/>
              <w:t>Box 1: consultation on governance of MRFF and MREA</w:t>
            </w:r>
          </w:p>
          <w:p w14:paraId="3839B5CB" w14:textId="77777777" w:rsidR="005B31AB" w:rsidRDefault="005B31AB" w:rsidP="001834D0">
            <w:pPr>
              <w:rPr>
                <w:rFonts w:cstheme="minorHAnsi"/>
              </w:rPr>
            </w:pPr>
            <w:r>
              <w:rPr>
                <w:rFonts w:cstheme="minorHAnsi"/>
              </w:rPr>
              <w:t xml:space="preserve">The consultation process presented stakeholders with three potential options for improving alignment and coordination between the </w:t>
            </w:r>
            <w:r w:rsidRPr="00341D68">
              <w:rPr>
                <w:rFonts w:cstheme="minorHAnsi"/>
              </w:rPr>
              <w:t>MRFF and</w:t>
            </w:r>
            <w:r>
              <w:rPr>
                <w:rFonts w:cstheme="minorHAnsi"/>
              </w:rPr>
              <w:t xml:space="preserve"> the MREA.</w:t>
            </w:r>
            <w:r>
              <w:rPr>
                <w:rStyle w:val="FootnoteReference"/>
                <w:rFonts w:cstheme="minorHAnsi"/>
              </w:rPr>
              <w:footnoteReference w:id="44"/>
            </w:r>
            <w:r>
              <w:rPr>
                <w:rFonts w:cstheme="minorHAnsi"/>
              </w:rPr>
              <w:t xml:space="preserve"> </w:t>
            </w:r>
            <w:r>
              <w:rPr>
                <w:rFonts w:cstheme="minorHAnsi"/>
              </w:rPr>
              <w:br/>
            </w:r>
          </w:p>
          <w:p w14:paraId="19000B4F" w14:textId="77777777" w:rsidR="005B31AB" w:rsidRPr="0057005D" w:rsidRDefault="005B31AB" w:rsidP="001834D0">
            <w:pPr>
              <w:ind w:left="720"/>
              <w:rPr>
                <w:rFonts w:cstheme="minorHAnsi"/>
                <w:u w:val="single"/>
              </w:rPr>
            </w:pPr>
            <w:r w:rsidRPr="0057005D">
              <w:rPr>
                <w:rFonts w:cstheme="minorHAnsi"/>
                <w:u w:val="single"/>
              </w:rPr>
              <w:t>Model 1: Better alignment through coordination</w:t>
            </w:r>
          </w:p>
          <w:p w14:paraId="31BE9205" w14:textId="1CE07EDF" w:rsidR="005B31AB" w:rsidRDefault="005B31AB" w:rsidP="00F16FF2">
            <w:pPr>
              <w:spacing w:after="220"/>
              <w:ind w:left="720"/>
              <w:rPr>
                <w:rFonts w:cstheme="minorHAnsi"/>
              </w:rPr>
            </w:pPr>
            <w:r w:rsidRPr="0057005D">
              <w:rPr>
                <w:rFonts w:cstheme="minorHAnsi"/>
              </w:rPr>
              <w:t>The MRFF and MREA continue to be separately managed (by the Department of Health and Aged Care and by the NHMRC respectively), with a new coordination mechanism established to embed and facilitate collaboration and alignment of investment and policy between the two funds.</w:t>
            </w:r>
          </w:p>
          <w:p w14:paraId="76F485C2" w14:textId="77777777" w:rsidR="005B31AB" w:rsidRPr="0057005D" w:rsidRDefault="005B31AB" w:rsidP="001834D0">
            <w:pPr>
              <w:ind w:left="720"/>
              <w:rPr>
                <w:rFonts w:cstheme="minorHAnsi"/>
                <w:u w:val="single"/>
              </w:rPr>
            </w:pPr>
            <w:r w:rsidRPr="0057005D">
              <w:rPr>
                <w:rFonts w:cstheme="minorHAnsi"/>
                <w:u w:val="single"/>
              </w:rPr>
              <w:t>Model 2: Management of both funds by NHMRC</w:t>
            </w:r>
          </w:p>
          <w:p w14:paraId="326D6571" w14:textId="77777777" w:rsidR="00F16FF2" w:rsidRDefault="005B31AB" w:rsidP="00F16FF2">
            <w:pPr>
              <w:spacing w:after="220"/>
              <w:ind w:left="720"/>
              <w:rPr>
                <w:rFonts w:cstheme="minorHAnsi"/>
              </w:rPr>
            </w:pPr>
            <w:r w:rsidRPr="0057005D">
              <w:rPr>
                <w:rFonts w:cstheme="minorHAnsi"/>
              </w:rPr>
              <w:t xml:space="preserve">The management of MRFF </w:t>
            </w:r>
            <w:r>
              <w:rPr>
                <w:rFonts w:cstheme="minorHAnsi"/>
              </w:rPr>
              <w:t>grants</w:t>
            </w:r>
            <w:r w:rsidRPr="0057005D">
              <w:rPr>
                <w:rFonts w:cstheme="minorHAnsi"/>
              </w:rPr>
              <w:t xml:space="preserve"> is transitioned to NHMRC, which maintains the two separate funding streams with distinct funding responsibilities under unified governance and administrative arrangements.</w:t>
            </w:r>
          </w:p>
          <w:p w14:paraId="5B55097B" w14:textId="77777777" w:rsidR="005B31AB" w:rsidRPr="0057005D" w:rsidRDefault="005B31AB" w:rsidP="001834D0">
            <w:pPr>
              <w:ind w:left="720"/>
              <w:rPr>
                <w:rFonts w:cstheme="minorHAnsi"/>
                <w:u w:val="single"/>
              </w:rPr>
            </w:pPr>
            <w:r w:rsidRPr="0057005D">
              <w:rPr>
                <w:rFonts w:cstheme="minorHAnsi"/>
                <w:u w:val="single"/>
              </w:rPr>
              <w:t>Model 3: Merge the two funds with new governance arrangements*</w:t>
            </w:r>
          </w:p>
          <w:p w14:paraId="68598CD9" w14:textId="77777777" w:rsidR="005B31AB" w:rsidRDefault="005B31AB" w:rsidP="001834D0">
            <w:pPr>
              <w:ind w:left="720"/>
              <w:rPr>
                <w:rFonts w:cstheme="minorHAnsi"/>
              </w:rPr>
            </w:pPr>
            <w:r w:rsidRPr="00CF1445">
              <w:rPr>
                <w:rFonts w:cstheme="minorHAnsi"/>
              </w:rPr>
              <w:t xml:space="preserve">The two funds are merged and disbursed as a single grant program (managed by NHMRC) to maximise flexibility and facilitate complementarity. This approach would require the careful design of new governance arrangements to preserve the unique value of the MRFF and MREA investment streams. </w:t>
            </w:r>
          </w:p>
          <w:p w14:paraId="4E7D4084" w14:textId="77777777" w:rsidR="005B31AB" w:rsidRDefault="005B31AB" w:rsidP="001834D0">
            <w:pPr>
              <w:ind w:left="1440"/>
              <w:rPr>
                <w:rFonts w:cstheme="minorHAnsi"/>
              </w:rPr>
            </w:pPr>
            <w:r w:rsidRPr="00CF1445">
              <w:rPr>
                <w:rFonts w:cstheme="minorHAnsi"/>
              </w:rPr>
              <w:t>*</w:t>
            </w:r>
            <w:r w:rsidRPr="00E427B1">
              <w:rPr>
                <w:rFonts w:cstheme="minorHAnsi"/>
                <w:sz w:val="20"/>
              </w:rPr>
              <w:t>The MRFF as a separate investment vehicle would continue to exist, with returns directed to the MREA, instead of the MRFF Health Special Account</w:t>
            </w:r>
          </w:p>
          <w:p w14:paraId="3620E012" w14:textId="77777777" w:rsidR="005B31AB" w:rsidRPr="00341D68" w:rsidRDefault="005B31AB" w:rsidP="001834D0">
            <w:pPr>
              <w:spacing w:before="240"/>
              <w:rPr>
                <w:rFonts w:cstheme="minorHAnsi"/>
              </w:rPr>
            </w:pPr>
            <w:r>
              <w:rPr>
                <w:rFonts w:cstheme="minorHAnsi"/>
              </w:rPr>
              <w:t>Overall, stakeholders expressed the view that they wanted to see reform where</w:t>
            </w:r>
            <w:r w:rsidRPr="00341D68">
              <w:rPr>
                <w:rFonts w:cstheme="minorHAnsi"/>
              </w:rPr>
              <w:t>:</w:t>
            </w:r>
          </w:p>
          <w:p w14:paraId="2640DD65" w14:textId="77777777" w:rsidR="005B31AB" w:rsidRPr="00260243" w:rsidRDefault="005B31AB" w:rsidP="00661077">
            <w:pPr>
              <w:pStyle w:val="List"/>
              <w:spacing w:before="120"/>
            </w:pPr>
            <w:r w:rsidRPr="00260243">
              <w:t>the distinctive priority-led focus of the MRFF is retained (as compared to the investigator-led focus of the MREA), and</w:t>
            </w:r>
          </w:p>
          <w:p w14:paraId="217A30C7" w14:textId="14FC86D6" w:rsidR="005B31AB" w:rsidRDefault="005B31AB" w:rsidP="00661077">
            <w:pPr>
              <w:pStyle w:val="List"/>
              <w:spacing w:before="120" w:after="220"/>
            </w:pPr>
            <w:r w:rsidRPr="00260243">
              <w:t>there is better strategic coordination and alignment between the MRFF and the MREA using a ‘seamless but not homogenous’ model.</w:t>
            </w:r>
          </w:p>
          <w:p w14:paraId="67AE07E6" w14:textId="77777777" w:rsidR="005B31AB" w:rsidRDefault="005B31AB" w:rsidP="001834D0">
            <w:r>
              <w:t>While there was support for models 2 and 3, stakeholders were concerned about model 3 resulting in a loss of the current system’s strengths, including the distinct focuses for the two funds. Respondents also expressed concerns that merging the two funds could result in reduced total funding over time, or preferential funding for one part of the research system over another (</w:t>
            </w:r>
            <w:proofErr w:type="spellStart"/>
            <w:r>
              <w:t>eg.</w:t>
            </w:r>
            <w:proofErr w:type="spellEnd"/>
            <w:r>
              <w:t xml:space="preserve"> basic science vs. translation/commercialisation).</w:t>
            </w:r>
          </w:p>
          <w:p w14:paraId="1A71F8F2" w14:textId="77777777" w:rsidR="005B31AB" w:rsidRDefault="005B31AB" w:rsidP="001834D0"/>
          <w:p w14:paraId="21680F18" w14:textId="77777777" w:rsidR="005B31AB" w:rsidRDefault="005B31AB" w:rsidP="001834D0">
            <w:r>
              <w:t>For models 2 and 3, stakeholders also raised concerns about the NHMRC’s capability and capacity to deliver the full breadth of the MRFF grant program, particularly commercialisation and the commissioning aspects of research design (</w:t>
            </w:r>
            <w:proofErr w:type="spellStart"/>
            <w:r>
              <w:t>eg.</w:t>
            </w:r>
            <w:proofErr w:type="spellEnd"/>
            <w:r>
              <w:t xml:space="preserve"> for health technology assessment, the Research Missions, or for priority populations). Some stakeholders considered that the NHMRC would require a substantial increase in resourcing and to acquire staff with specific skills and experiences under these models.</w:t>
            </w:r>
          </w:p>
          <w:p w14:paraId="3017C185" w14:textId="77777777" w:rsidR="005B31AB" w:rsidRPr="005869AC" w:rsidRDefault="005B31AB" w:rsidP="001834D0">
            <w:pPr>
              <w:spacing w:before="240"/>
              <w:rPr>
                <w:rFonts w:cstheme="minorHAnsi"/>
              </w:rPr>
            </w:pPr>
            <w:r>
              <w:rPr>
                <w:rFonts w:cstheme="minorHAnsi"/>
              </w:rPr>
              <w:t xml:space="preserve">Overall, stakeholders supported improved coordination of a cohesive, integrated and fit-for-purpose system, targeted at improving the health of all Australians. </w:t>
            </w:r>
            <w:r w:rsidRPr="00657BC2">
              <w:rPr>
                <w:rFonts w:cstheme="minorHAnsi"/>
              </w:rPr>
              <w:t>Stakeholders want health and medical research funding to benefit the community and broader healthcare system, with impact being the focus of funding delivery and evaluation. All stakeholders wanted a funding system that provide</w:t>
            </w:r>
            <w:r>
              <w:rPr>
                <w:rFonts w:cstheme="minorHAnsi"/>
              </w:rPr>
              <w:t>s</w:t>
            </w:r>
            <w:r w:rsidRPr="00657BC2">
              <w:rPr>
                <w:rFonts w:cstheme="minorHAnsi"/>
              </w:rPr>
              <w:t xml:space="preserve"> robust and well-balanced support and infrastructure for health and medical research across the entire pipeline.</w:t>
            </w:r>
            <w:r>
              <w:rPr>
                <w:rStyle w:val="FootnoteReference"/>
                <w:rFonts w:cstheme="minorHAnsi"/>
              </w:rPr>
              <w:footnoteReference w:id="45"/>
            </w:r>
          </w:p>
        </w:tc>
      </w:tr>
    </w:tbl>
    <w:p w14:paraId="1B7667BF" w14:textId="77777777" w:rsidR="005B31AB" w:rsidRDefault="005B31AB" w:rsidP="005B31AB">
      <w:pPr>
        <w:rPr>
          <w:rFonts w:cstheme="minorHAnsi"/>
        </w:rPr>
      </w:pPr>
    </w:p>
    <w:p w14:paraId="2876BDDD" w14:textId="77777777" w:rsidR="005B31AB" w:rsidRPr="0076334E" w:rsidRDefault="005B31AB" w:rsidP="005B31AB">
      <w:pPr>
        <w:pStyle w:val="Heading4"/>
      </w:pPr>
      <w:r>
        <w:lastRenderedPageBreak/>
        <w:t>Reforms</w:t>
      </w:r>
    </w:p>
    <w:p w14:paraId="6E5E98F4" w14:textId="77777777" w:rsidR="005B31AB" w:rsidRDefault="005B31AB" w:rsidP="005B31AB">
      <w:pPr>
        <w:rPr>
          <w:rFonts w:cstheme="minorHAnsi"/>
        </w:rPr>
      </w:pPr>
      <w:r>
        <w:rPr>
          <w:rFonts w:cstheme="minorHAnsi"/>
        </w:rPr>
        <w:t>I</w:t>
      </w:r>
      <w:r w:rsidRPr="0082286E">
        <w:rPr>
          <w:rFonts w:cstheme="minorHAnsi"/>
        </w:rPr>
        <w:t xml:space="preserve">n response to the </w:t>
      </w:r>
      <w:r>
        <w:rPr>
          <w:rFonts w:cstheme="minorHAnsi"/>
        </w:rPr>
        <w:t xml:space="preserve">outcomes of the </w:t>
      </w:r>
      <w:r w:rsidRPr="0082286E">
        <w:rPr>
          <w:rFonts w:cstheme="minorHAnsi"/>
        </w:rPr>
        <w:t>consultation</w:t>
      </w:r>
      <w:r>
        <w:rPr>
          <w:rFonts w:cstheme="minorHAnsi"/>
        </w:rPr>
        <w:t>, t</w:t>
      </w:r>
      <w:r w:rsidRPr="0082286E">
        <w:rPr>
          <w:rFonts w:cstheme="minorHAnsi"/>
        </w:rPr>
        <w:t>he government has</w:t>
      </w:r>
      <w:r>
        <w:rPr>
          <w:rFonts w:cstheme="minorHAnsi"/>
        </w:rPr>
        <w:t xml:space="preserve"> </w:t>
      </w:r>
      <w:r w:rsidRPr="0082286E">
        <w:rPr>
          <w:rFonts w:cstheme="minorHAnsi"/>
        </w:rPr>
        <w:t xml:space="preserve">initiated </w:t>
      </w:r>
      <w:r>
        <w:rPr>
          <w:rFonts w:cstheme="minorHAnsi"/>
        </w:rPr>
        <w:t>the following reforms</w:t>
      </w:r>
      <w:r w:rsidRPr="0082286E">
        <w:rPr>
          <w:rFonts w:cstheme="minorHAnsi"/>
        </w:rPr>
        <w:t>:</w:t>
      </w:r>
    </w:p>
    <w:p w14:paraId="3E1EC865" w14:textId="77777777" w:rsidR="005B31AB" w:rsidRDefault="005B31AB" w:rsidP="00F60AB5">
      <w:pPr>
        <w:pStyle w:val="List"/>
      </w:pPr>
      <w:r>
        <w:t>establishment of j</w:t>
      </w:r>
      <w:r w:rsidRPr="0082286E">
        <w:t>oint NHMRC-MRFF advisory committees</w:t>
      </w:r>
      <w:r>
        <w:t>, and</w:t>
      </w:r>
    </w:p>
    <w:p w14:paraId="3DFA98FE" w14:textId="77777777" w:rsidR="005B31AB" w:rsidRPr="0082286E" w:rsidRDefault="005B31AB" w:rsidP="00F60AB5">
      <w:pPr>
        <w:pStyle w:val="List"/>
      </w:pPr>
      <w:r>
        <w:t>d</w:t>
      </w:r>
      <w:r w:rsidRPr="0082286E">
        <w:t xml:space="preserve">evelopment of a National Health and Medical Research Strategy. </w:t>
      </w:r>
    </w:p>
    <w:p w14:paraId="51CC1AFE" w14:textId="5D92D98E" w:rsidR="005B31AB" w:rsidRPr="003B2CFB" w:rsidRDefault="005B31AB" w:rsidP="005B31AB">
      <w:pPr>
        <w:rPr>
          <w:rFonts w:cstheme="minorHAnsi"/>
        </w:rPr>
      </w:pPr>
      <w:r>
        <w:rPr>
          <w:rFonts w:cstheme="minorHAnsi"/>
        </w:rPr>
        <w:t>T</w:t>
      </w:r>
      <w:r w:rsidRPr="003B2CFB">
        <w:rPr>
          <w:rFonts w:cstheme="minorHAnsi"/>
        </w:rPr>
        <w:t xml:space="preserve">he following </w:t>
      </w:r>
      <w:r>
        <w:rPr>
          <w:rFonts w:cstheme="minorHAnsi"/>
        </w:rPr>
        <w:t>joint</w:t>
      </w:r>
      <w:r w:rsidRPr="003B2CFB">
        <w:rPr>
          <w:rFonts w:cstheme="minorHAnsi"/>
        </w:rPr>
        <w:t xml:space="preserve"> advisory committees </w:t>
      </w:r>
      <w:r>
        <w:rPr>
          <w:rFonts w:cstheme="minorHAnsi"/>
        </w:rPr>
        <w:t xml:space="preserve">have been established </w:t>
      </w:r>
      <w:r w:rsidRPr="003B2CFB">
        <w:rPr>
          <w:rFonts w:cstheme="minorHAnsi"/>
        </w:rPr>
        <w:t xml:space="preserve">to advise on research strategies and funding policies for the </w:t>
      </w:r>
      <w:r>
        <w:rPr>
          <w:rFonts w:cstheme="minorHAnsi"/>
        </w:rPr>
        <w:t>MRFF and NHMRC</w:t>
      </w:r>
      <w:r w:rsidRPr="003B2CFB">
        <w:rPr>
          <w:rFonts w:cstheme="minorHAnsi"/>
        </w:rPr>
        <w:t>:</w:t>
      </w:r>
    </w:p>
    <w:p w14:paraId="1E34707F" w14:textId="77777777" w:rsidR="005B31AB" w:rsidRPr="003B2CFB" w:rsidRDefault="005B31AB" w:rsidP="00F60AB5">
      <w:pPr>
        <w:pStyle w:val="List"/>
      </w:pPr>
      <w:r w:rsidRPr="003B2CFB">
        <w:t>NHMRC-MRFF Consumer Advisory Group – to advise on consumer and community involvement in health and medical research, including on strengthening consumer involvement in MREA and MRFF grant programs</w:t>
      </w:r>
      <w:r>
        <w:t>,</w:t>
      </w:r>
    </w:p>
    <w:p w14:paraId="5CCC7307" w14:textId="77777777" w:rsidR="005B31AB" w:rsidRPr="003B2CFB" w:rsidRDefault="005B31AB" w:rsidP="00F60AB5">
      <w:pPr>
        <w:pStyle w:val="List"/>
      </w:pPr>
      <w:r w:rsidRPr="003B2CFB">
        <w:t>NHMRC-MRFF Industry, Philanthropy and Commercialisation Committee – to advise on industry and philanthropic involvement in health and medical research and strategies to foster greater research commercialisation</w:t>
      </w:r>
      <w:r>
        <w:t>,</w:t>
      </w:r>
    </w:p>
    <w:p w14:paraId="2A65CAE8" w14:textId="77777777" w:rsidR="005B31AB" w:rsidRPr="003B2CFB" w:rsidRDefault="005B31AB" w:rsidP="00F60AB5">
      <w:pPr>
        <w:pStyle w:val="List"/>
      </w:pPr>
      <w:r w:rsidRPr="003B2CFB">
        <w:t>NHMRC-MRFF Public Health and Health Systems Committee – to advise on strategies for strengthening preventive health, public health, primary care and health services, and for embedding research translation in the Australian health system</w:t>
      </w:r>
      <w:r>
        <w:t>, and</w:t>
      </w:r>
    </w:p>
    <w:p w14:paraId="1E25E752" w14:textId="77777777" w:rsidR="005B31AB" w:rsidRPr="003B2CFB" w:rsidRDefault="005B31AB" w:rsidP="00F60AB5">
      <w:pPr>
        <w:pStyle w:val="List"/>
      </w:pPr>
      <w:r w:rsidRPr="003B2CFB">
        <w:t>NHMRC-MRFF Indigenous Advisory Group – to advise on health research involving Aboriginal and Torres Strait Islander communities and capacity building for health researchers who identify as Aboriginal or Torres Strait Islander.</w:t>
      </w:r>
    </w:p>
    <w:p w14:paraId="2F2801BE" w14:textId="77777777" w:rsidR="005B31AB" w:rsidRPr="003B2CFB" w:rsidRDefault="005B31AB" w:rsidP="005B31AB">
      <w:pPr>
        <w:rPr>
          <w:rFonts w:cstheme="minorHAnsi"/>
        </w:rPr>
      </w:pPr>
      <w:r>
        <w:rPr>
          <w:rFonts w:cstheme="minorHAnsi"/>
        </w:rPr>
        <w:t xml:space="preserve">NHMRC </w:t>
      </w:r>
      <w:r w:rsidRPr="003B2CFB">
        <w:rPr>
          <w:rFonts w:cstheme="minorHAnsi"/>
        </w:rPr>
        <w:t>Research Committee (which is established as an NHMRC Principal Committee under the NHMRC Act) is also expected to be asked to support both NHMRC and the Department</w:t>
      </w:r>
      <w:r w:rsidRPr="00664A96">
        <w:rPr>
          <w:rFonts w:cstheme="minorHAnsi"/>
        </w:rPr>
        <w:t xml:space="preserve"> </w:t>
      </w:r>
      <w:r w:rsidRPr="003B2CFB">
        <w:rPr>
          <w:rFonts w:cstheme="minorHAnsi"/>
        </w:rPr>
        <w:t>of Health and Aged Care, including advising on alignment between the funding policies and processes for the MREA and the MRFF.</w:t>
      </w:r>
    </w:p>
    <w:p w14:paraId="2CD79E68" w14:textId="77777777" w:rsidR="005B31AB" w:rsidRPr="00E9565B" w:rsidRDefault="005B31AB" w:rsidP="005B31AB">
      <w:pPr>
        <w:rPr>
          <w:rFonts w:cstheme="minorHAnsi"/>
        </w:rPr>
      </w:pPr>
      <w:r w:rsidRPr="00E9565B">
        <w:rPr>
          <w:rFonts w:cstheme="minorHAnsi"/>
        </w:rPr>
        <w:t>The Department</w:t>
      </w:r>
      <w:r>
        <w:rPr>
          <w:rFonts w:cstheme="minorHAnsi"/>
        </w:rPr>
        <w:t xml:space="preserve"> </w:t>
      </w:r>
      <w:r w:rsidRPr="003B2CFB">
        <w:rPr>
          <w:rFonts w:cstheme="minorHAnsi"/>
        </w:rPr>
        <w:t>of Health and Aged Care</w:t>
      </w:r>
      <w:r w:rsidRPr="00E9565B">
        <w:rPr>
          <w:rFonts w:cstheme="minorHAnsi"/>
        </w:rPr>
        <w:t xml:space="preserve"> and the NHMRC are also working together to identify and develop joint policies and procedures, and potential grant opportunities, consistent with feedback from the consultation. </w:t>
      </w:r>
    </w:p>
    <w:p w14:paraId="66E4C116" w14:textId="441ACE99" w:rsidR="005B31AB" w:rsidRDefault="005B31AB" w:rsidP="005B31AB">
      <w:pPr>
        <w:rPr>
          <w:rFonts w:eastAsia="Times New Roman" w:cstheme="minorHAnsi"/>
        </w:rPr>
      </w:pPr>
      <w:r>
        <w:rPr>
          <w:rFonts w:eastAsia="Times New Roman" w:cstheme="minorHAnsi"/>
        </w:rPr>
        <w:t>Joint internal w</w:t>
      </w:r>
      <w:r w:rsidRPr="00E9565B">
        <w:rPr>
          <w:rFonts w:eastAsia="Times New Roman" w:cstheme="minorHAnsi"/>
        </w:rPr>
        <w:t>orking groups have</w:t>
      </w:r>
      <w:r>
        <w:rPr>
          <w:rFonts w:eastAsia="Times New Roman" w:cstheme="minorHAnsi"/>
        </w:rPr>
        <w:t xml:space="preserve"> also</w:t>
      </w:r>
      <w:r w:rsidRPr="00E9565B">
        <w:rPr>
          <w:rFonts w:eastAsia="Times New Roman" w:cstheme="minorHAnsi"/>
        </w:rPr>
        <w:t xml:space="preserve"> been established to identify overlaps and to work towards synergy</w:t>
      </w:r>
      <w:r>
        <w:rPr>
          <w:rFonts w:eastAsia="Times New Roman" w:cstheme="minorHAnsi"/>
        </w:rPr>
        <w:t>,</w:t>
      </w:r>
      <w:r w:rsidRPr="00E9565B">
        <w:rPr>
          <w:rFonts w:eastAsia="Times New Roman" w:cstheme="minorHAnsi"/>
        </w:rPr>
        <w:t xml:space="preserve"> </w:t>
      </w:r>
      <w:r w:rsidRPr="005A4222">
        <w:rPr>
          <w:rFonts w:eastAsia="Times New Roman" w:cstheme="minorHAnsi"/>
        </w:rPr>
        <w:t xml:space="preserve">with oversight from both </w:t>
      </w:r>
      <w:r>
        <w:rPr>
          <w:rFonts w:eastAsia="Times New Roman" w:cstheme="minorHAnsi"/>
        </w:rPr>
        <w:t>the Department of Health and Aged Care executive</w:t>
      </w:r>
      <w:r w:rsidRPr="005A4222">
        <w:rPr>
          <w:rFonts w:eastAsia="Times New Roman" w:cstheme="minorHAnsi"/>
        </w:rPr>
        <w:t xml:space="preserve"> and </w:t>
      </w:r>
      <w:r>
        <w:rPr>
          <w:rFonts w:eastAsia="Times New Roman" w:cstheme="minorHAnsi"/>
        </w:rPr>
        <w:t xml:space="preserve">the </w:t>
      </w:r>
      <w:r w:rsidRPr="005A4222">
        <w:rPr>
          <w:rFonts w:eastAsia="Times New Roman" w:cstheme="minorHAnsi"/>
        </w:rPr>
        <w:t>NHMRC CEO.</w:t>
      </w:r>
    </w:p>
    <w:p w14:paraId="1FABA1C6" w14:textId="48B3E29E" w:rsidR="009A5CAB" w:rsidRPr="005B31AB" w:rsidRDefault="005B31AB" w:rsidP="005B31AB">
      <w:r>
        <w:rPr>
          <w:rFonts w:eastAsia="Times New Roman" w:cstheme="minorHAnsi"/>
        </w:rPr>
        <w:t>The Government is developing a National Health and Medical Research Strategy to p</w:t>
      </w:r>
      <w:r w:rsidRPr="00803180">
        <w:rPr>
          <w:rFonts w:eastAsia="Times New Roman" w:cstheme="minorHAnsi"/>
        </w:rPr>
        <w:t>rovide national direction, build on Australia’s strengths in the health and medical research sector, fill any gaps, and continue to attract researchers and investors to Australia.</w:t>
      </w:r>
    </w:p>
    <w:sectPr w:rsidR="009A5CAB" w:rsidRPr="005B31AB" w:rsidSect="003B57AF">
      <w:headerReference w:type="even" r:id="rId46"/>
      <w:headerReference w:type="default" r:id="rId47"/>
      <w:footerReference w:type="even" r:id="rId48"/>
      <w:footerReference w:type="default" r:id="rId49"/>
      <w:headerReference w:type="first" r:id="rId50"/>
      <w:footerReference w:type="first" r:id="rId51"/>
      <w:footnotePr>
        <w:numStart w:val="10"/>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78750" w14:textId="77777777" w:rsidR="0080783F" w:rsidRDefault="0080783F" w:rsidP="004175A0">
      <w:pPr>
        <w:spacing w:after="0" w:line="240" w:lineRule="auto"/>
      </w:pPr>
      <w:r>
        <w:separator/>
      </w:r>
    </w:p>
  </w:endnote>
  <w:endnote w:type="continuationSeparator" w:id="0">
    <w:p w14:paraId="731F5417" w14:textId="77777777" w:rsidR="0080783F" w:rsidRDefault="0080783F" w:rsidP="004175A0">
      <w:pPr>
        <w:spacing w:after="0" w:line="240" w:lineRule="auto"/>
      </w:pPr>
      <w:r>
        <w:continuationSeparator/>
      </w:r>
    </w:p>
  </w:endnote>
  <w:endnote w:type="continuationNotice" w:id="1">
    <w:p w14:paraId="10430D88" w14:textId="77777777" w:rsidR="0080783F" w:rsidRDefault="008078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9F4C" w14:textId="77777777" w:rsidR="005B31AB" w:rsidRDefault="005B31AB">
    <w:pPr>
      <w:pStyle w:val="Footer"/>
    </w:pPr>
    <w:r>
      <w:rPr>
        <w:noProof/>
        <w:lang w:eastAsia="en-AU"/>
      </w:rPr>
      <mc:AlternateContent>
        <mc:Choice Requires="wps">
          <w:drawing>
            <wp:anchor distT="0" distB="0" distL="0" distR="0" simplePos="0" relativeHeight="251663369" behindDoc="0" locked="0" layoutInCell="1" allowOverlap="1" wp14:anchorId="5E03626E" wp14:editId="42E3FB1D">
              <wp:simplePos x="635" y="635"/>
              <wp:positionH relativeFrom="page">
                <wp:align>center</wp:align>
              </wp:positionH>
              <wp:positionV relativeFrom="page">
                <wp:align>bottom</wp:align>
              </wp:positionV>
              <wp:extent cx="443865" cy="443865"/>
              <wp:effectExtent l="0" t="0" r="6985" b="0"/>
              <wp:wrapNone/>
              <wp:docPr id="1666382148" name="Text Box 5"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DD056" w14:textId="77777777" w:rsidR="005B31AB" w:rsidRPr="00513044" w:rsidRDefault="005B31AB"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03626E" id="_x0000_t202" coordsize="21600,21600" o:spt="202" path="m,l,21600r21600,l21600,xe">
              <v:stroke joinstyle="miter"/>
              <v:path gradientshapeok="t" o:connecttype="rect"/>
            </v:shapetype>
            <v:shape id="Text Box 5" o:spid="_x0000_s1027" type="#_x0000_t202" alt="PROTECTED//CABINET" style="position:absolute;margin-left:0;margin-top:0;width:34.95pt;height:34.95pt;z-index:251663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A4DD056" w14:textId="77777777" w:rsidR="005B31AB" w:rsidRPr="00513044" w:rsidRDefault="005B31AB"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779816"/>
      <w:docPartObj>
        <w:docPartGallery w:val="Page Numbers (Bottom of Page)"/>
        <w:docPartUnique/>
      </w:docPartObj>
    </w:sdtPr>
    <w:sdtEndPr>
      <w:rPr>
        <w:noProof/>
      </w:rPr>
    </w:sdtEndPr>
    <w:sdtContent>
      <w:p w14:paraId="638FF6A1" w14:textId="77777777" w:rsidR="005B31AB" w:rsidRDefault="005B31AB" w:rsidP="001E182E">
        <w:pPr>
          <w:pStyle w:val="Footer"/>
          <w:spacing w:after="24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3883" w14:textId="77777777" w:rsidR="005B31AB" w:rsidRDefault="005B31AB">
    <w:pPr>
      <w:pStyle w:val="Footer"/>
      <w:jc w:val="right"/>
    </w:pPr>
  </w:p>
  <w:p w14:paraId="3448BE4D" w14:textId="77777777" w:rsidR="005B31AB" w:rsidRDefault="005B31AB" w:rsidP="005F2B0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C40D" w14:textId="77777777" w:rsidR="00A040EE" w:rsidRDefault="00A040EE">
    <w:pPr>
      <w:pStyle w:val="Footer"/>
    </w:pPr>
    <w:r>
      <w:rPr>
        <w:noProof/>
        <w:lang w:eastAsia="en-AU"/>
      </w:rPr>
      <mc:AlternateContent>
        <mc:Choice Requires="wps">
          <w:drawing>
            <wp:anchor distT="0" distB="0" distL="0" distR="0" simplePos="0" relativeHeight="251658249" behindDoc="0" locked="0" layoutInCell="1" allowOverlap="1" wp14:anchorId="3ED1DD72" wp14:editId="14292A18">
              <wp:simplePos x="635" y="635"/>
              <wp:positionH relativeFrom="page">
                <wp:align>center</wp:align>
              </wp:positionH>
              <wp:positionV relativeFrom="page">
                <wp:align>bottom</wp:align>
              </wp:positionV>
              <wp:extent cx="443865" cy="443865"/>
              <wp:effectExtent l="0" t="0" r="6985" b="0"/>
              <wp:wrapNone/>
              <wp:docPr id="1440247750" name="Text Box 5"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9486F" w14:textId="77777777" w:rsidR="00A040EE" w:rsidRPr="00513044" w:rsidRDefault="00A040EE"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1DD72" id="_x0000_t202" coordsize="21600,21600" o:spt="202" path="m,l,21600r21600,l21600,xe">
              <v:stroke joinstyle="miter"/>
              <v:path gradientshapeok="t" o:connecttype="rect"/>
            </v:shapetype>
            <v:shape id="_x0000_s1029" type="#_x0000_t202" alt="PROTECTED//CABINET"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0D9486F" w14:textId="77777777" w:rsidR="00A040EE" w:rsidRPr="00513044" w:rsidRDefault="00A040EE"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645586"/>
      <w:docPartObj>
        <w:docPartGallery w:val="Page Numbers (Bottom of Page)"/>
        <w:docPartUnique/>
      </w:docPartObj>
    </w:sdtPr>
    <w:sdtEndPr>
      <w:rPr>
        <w:noProof/>
      </w:rPr>
    </w:sdtEndPr>
    <w:sdtContent>
      <w:p w14:paraId="7BBAF453" w14:textId="51FA7CCA" w:rsidR="00A040EE" w:rsidRDefault="00321DE7" w:rsidP="00651A77">
        <w:pPr>
          <w:pStyle w:val="Footer"/>
          <w:spacing w:before="220" w:after="22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HAnsi" w:hAnsiTheme="minorHAnsi" w:cstheme="minorBidi"/>
        <w:kern w:val="2"/>
        <w:lang w:eastAsia="en-US"/>
        <w14:ligatures w14:val="standardContextual"/>
      </w:rPr>
      <w:id w:val="1758867591"/>
      <w:docPartObj>
        <w:docPartGallery w:val="Page Numbers (Bottom of Page)"/>
        <w:docPartUnique/>
      </w:docPartObj>
    </w:sdtPr>
    <w:sdtEndPr>
      <w:rPr>
        <w:noProof/>
      </w:rPr>
    </w:sdtEndPr>
    <w:sdtContent>
      <w:p w14:paraId="60C3D85C" w14:textId="2C036EFF" w:rsidR="00102110" w:rsidRDefault="00D23D4B" w:rsidP="003B57AF">
        <w:pPr>
          <w:pStyle w:val="AdviceNumLevel1"/>
        </w:pPr>
        <w:r>
          <w:t>9</w:t>
        </w:r>
      </w:p>
      <w:p w14:paraId="057785A7" w14:textId="147828D9" w:rsidR="00365410" w:rsidRDefault="00000000" w:rsidP="005F2B03">
        <w:pPr>
          <w:pStyle w:val="Footer"/>
          <w:jc w:val="center"/>
        </w:pPr>
      </w:p>
    </w:sdtContent>
  </w:sdt>
  <w:p w14:paraId="3F4DB25D" w14:textId="77777777" w:rsidR="00A040EE" w:rsidRDefault="00A04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A672B" w14:textId="77777777" w:rsidR="0080783F" w:rsidRDefault="0080783F" w:rsidP="004175A0">
      <w:pPr>
        <w:spacing w:after="0" w:line="240" w:lineRule="auto"/>
      </w:pPr>
      <w:r>
        <w:separator/>
      </w:r>
    </w:p>
  </w:footnote>
  <w:footnote w:type="continuationSeparator" w:id="0">
    <w:p w14:paraId="0F3C7105" w14:textId="77777777" w:rsidR="0080783F" w:rsidRDefault="0080783F" w:rsidP="004175A0">
      <w:pPr>
        <w:spacing w:after="0" w:line="240" w:lineRule="auto"/>
      </w:pPr>
      <w:r>
        <w:continuationSeparator/>
      </w:r>
    </w:p>
  </w:footnote>
  <w:footnote w:type="continuationNotice" w:id="1">
    <w:p w14:paraId="53F14347" w14:textId="77777777" w:rsidR="0080783F" w:rsidRDefault="0080783F">
      <w:pPr>
        <w:spacing w:after="0" w:line="240" w:lineRule="auto"/>
      </w:pPr>
    </w:p>
  </w:footnote>
  <w:footnote w:id="2">
    <w:p w14:paraId="2E966F9F" w14:textId="77777777" w:rsidR="005B31AB" w:rsidRDefault="005B31AB" w:rsidP="005B31AB">
      <w:pPr>
        <w:pStyle w:val="FootnoteText"/>
      </w:pPr>
      <w:r>
        <w:rPr>
          <w:rStyle w:val="FootnoteReference"/>
        </w:rPr>
        <w:footnoteRef/>
      </w:r>
      <w:r>
        <w:t xml:space="preserve"> Strategic Review of Health and Medical Research, Summary Report, February 2013, page 12.</w:t>
      </w:r>
    </w:p>
  </w:footnote>
  <w:footnote w:id="3">
    <w:p w14:paraId="5C44E6C0" w14:textId="77777777" w:rsidR="005B31AB" w:rsidRDefault="005B31AB" w:rsidP="005B31AB">
      <w:pPr>
        <w:pStyle w:val="FootnoteText"/>
      </w:pPr>
      <w:r>
        <w:rPr>
          <w:rStyle w:val="FootnoteReference"/>
        </w:rPr>
        <w:footnoteRef/>
      </w:r>
      <w:r>
        <w:t xml:space="preserve"> </w:t>
      </w:r>
    </w:p>
  </w:footnote>
  <w:footnote w:id="4">
    <w:p w14:paraId="5A55323C" w14:textId="77777777" w:rsidR="005B31AB" w:rsidRDefault="005B31AB" w:rsidP="005B31AB">
      <w:pPr>
        <w:pStyle w:val="FootnoteText"/>
      </w:pPr>
      <w:r>
        <w:rPr>
          <w:rStyle w:val="FootnoteReference"/>
        </w:rPr>
        <w:footnoteRef/>
      </w:r>
      <w:r>
        <w:t xml:space="preserve"> Section 39 of the MRFF Act.</w:t>
      </w:r>
    </w:p>
  </w:footnote>
  <w:footnote w:id="5">
    <w:p w14:paraId="11750383" w14:textId="77777777" w:rsidR="005B31AB" w:rsidRDefault="005B31AB" w:rsidP="005B31AB">
      <w:pPr>
        <w:pStyle w:val="FootnoteText"/>
      </w:pPr>
      <w:r>
        <w:rPr>
          <w:rStyle w:val="FootnoteReference"/>
        </w:rPr>
        <w:footnoteRef/>
      </w:r>
      <w:r>
        <w:t xml:space="preserve"> Section 41 of the MRFF Act.</w:t>
      </w:r>
    </w:p>
  </w:footnote>
  <w:footnote w:id="6">
    <w:p w14:paraId="511478A7" w14:textId="77777777" w:rsidR="005B31AB" w:rsidRDefault="005B31AB" w:rsidP="005B31AB">
      <w:pPr>
        <w:pStyle w:val="FootnoteText"/>
      </w:pPr>
      <w:r>
        <w:rPr>
          <w:rStyle w:val="FootnoteReference"/>
        </w:rPr>
        <w:footnoteRef/>
      </w:r>
      <w:r>
        <w:t xml:space="preserve"> </w:t>
      </w:r>
      <w:r w:rsidRPr="00C4676E">
        <w:t>Medical Research Future Fund Investment Mandate Direction 2015</w:t>
      </w:r>
      <w:r>
        <w:t>.</w:t>
      </w:r>
    </w:p>
  </w:footnote>
  <w:footnote w:id="7">
    <w:p w14:paraId="19658420" w14:textId="77777777" w:rsidR="005B31AB" w:rsidRDefault="005B31AB" w:rsidP="005B31AB">
      <w:pPr>
        <w:pStyle w:val="FootnoteText"/>
      </w:pPr>
      <w:r>
        <w:rPr>
          <w:rStyle w:val="FootnoteReference"/>
        </w:rPr>
        <w:footnoteRef/>
      </w:r>
      <w:r>
        <w:t xml:space="preserve"> A</w:t>
      </w:r>
      <w:r w:rsidRPr="00E45E60">
        <w:t xml:space="preserve">s of </w:t>
      </w:r>
      <w:r>
        <w:t>30 September 2024.</w:t>
      </w:r>
    </w:p>
  </w:footnote>
  <w:footnote w:id="8">
    <w:p w14:paraId="668A70DA" w14:textId="77777777" w:rsidR="005B31AB" w:rsidRDefault="005B31AB" w:rsidP="005B31AB">
      <w:pPr>
        <w:pStyle w:val="FootnoteText"/>
      </w:pPr>
      <w:r>
        <w:rPr>
          <w:rStyle w:val="FootnoteReference"/>
        </w:rPr>
        <w:footnoteRef/>
      </w:r>
      <w:r>
        <w:t xml:space="preserve"> A</w:t>
      </w:r>
      <w:r w:rsidRPr="00E45E60">
        <w:t xml:space="preserve">s of </w:t>
      </w:r>
      <w:r>
        <w:t>30 September 2024.</w:t>
      </w:r>
    </w:p>
  </w:footnote>
  <w:footnote w:id="9">
    <w:p w14:paraId="681841FF" w14:textId="77777777" w:rsidR="005B31AB" w:rsidRDefault="005B31AB" w:rsidP="005B31AB">
      <w:pPr>
        <w:pStyle w:val="FootnoteText"/>
      </w:pPr>
      <w:r>
        <w:rPr>
          <w:rStyle w:val="FootnoteReference"/>
        </w:rPr>
        <w:footnoteRef/>
      </w:r>
      <w:r>
        <w:t xml:space="preserve"> </w:t>
      </w:r>
      <w:r w:rsidRPr="00003D88">
        <w:t>Earnings are net of investment and administration fees incurred by the Future Fund Board</w:t>
      </w:r>
      <w:r>
        <w:t>.</w:t>
      </w:r>
    </w:p>
  </w:footnote>
  <w:footnote w:id="10">
    <w:p w14:paraId="05A8B592" w14:textId="281118DB" w:rsidR="005B31AB" w:rsidRDefault="005B31AB" w:rsidP="005B31AB">
      <w:pPr>
        <w:pStyle w:val="FootnoteText"/>
      </w:pPr>
      <w:r>
        <w:rPr>
          <w:rStyle w:val="FootnoteReference"/>
        </w:rPr>
        <w:footnoteRef/>
      </w:r>
      <w:r>
        <w:t xml:space="preserve"> </w:t>
      </w:r>
      <w:hyperlink r:id="rId1" w:history="1">
        <w:r>
          <w:rPr>
            <w:rStyle w:val="Hyperlink"/>
          </w:rPr>
          <w:t>https://futurefund.gov.au/</w:t>
        </w:r>
      </w:hyperlink>
    </w:p>
  </w:footnote>
  <w:footnote w:id="11">
    <w:p w14:paraId="344A6507" w14:textId="77777777" w:rsidR="005B31AB" w:rsidRDefault="005B31AB" w:rsidP="005B31AB">
      <w:pPr>
        <w:pStyle w:val="FootnoteText"/>
      </w:pPr>
      <w:r>
        <w:rPr>
          <w:rStyle w:val="FootnoteReference"/>
        </w:rPr>
        <w:footnoteRef/>
      </w:r>
      <w:r>
        <w:t xml:space="preserve"> See subsections 20(1), 25(1) and 29(1) of the MRFF Act.</w:t>
      </w:r>
    </w:p>
  </w:footnote>
  <w:footnote w:id="12">
    <w:p w14:paraId="25127FDB" w14:textId="77777777" w:rsidR="005B31AB" w:rsidRDefault="005B31AB" w:rsidP="005B31AB">
      <w:pPr>
        <w:pStyle w:val="FootnoteText"/>
      </w:pPr>
      <w:r>
        <w:rPr>
          <w:rStyle w:val="FootnoteReference"/>
        </w:rPr>
        <w:footnoteRef/>
      </w:r>
      <w:r>
        <w:t xml:space="preserve"> See subsections 20(4), 25(4) and 29(3) of the MRFF Act.</w:t>
      </w:r>
    </w:p>
  </w:footnote>
  <w:footnote w:id="13">
    <w:p w14:paraId="51BFC4E2" w14:textId="77777777" w:rsidR="005B31AB" w:rsidRDefault="005B31AB" w:rsidP="005B31AB">
      <w:pPr>
        <w:pStyle w:val="FootnoteText"/>
      </w:pPr>
      <w:r>
        <w:rPr>
          <w:rStyle w:val="FootnoteReference"/>
        </w:rPr>
        <w:footnoteRef/>
      </w:r>
      <w:r>
        <w:t xml:space="preserve"> See subsections 20(5), 25(5) and 29(4) of the MRFF Act.</w:t>
      </w:r>
    </w:p>
  </w:footnote>
  <w:footnote w:id="14">
    <w:p w14:paraId="44F0E127" w14:textId="77777777" w:rsidR="005B31AB" w:rsidRDefault="005B31AB" w:rsidP="005B31AB">
      <w:pPr>
        <w:pStyle w:val="FootnoteText"/>
      </w:pPr>
      <w:r>
        <w:rPr>
          <w:rStyle w:val="FootnoteReference"/>
        </w:rPr>
        <w:footnoteRef/>
      </w:r>
      <w:r>
        <w:t xml:space="preserve"> See section 15A </w:t>
      </w:r>
      <w:r>
        <w:rPr>
          <w:iCs/>
        </w:rPr>
        <w:t>of the MRFF Act</w:t>
      </w:r>
      <w:r>
        <w:t>.</w:t>
      </w:r>
    </w:p>
  </w:footnote>
  <w:footnote w:id="15">
    <w:p w14:paraId="67FA60D8" w14:textId="77777777" w:rsidR="005B31AB" w:rsidRDefault="005B31AB" w:rsidP="005B31AB">
      <w:pPr>
        <w:pStyle w:val="FootnoteText"/>
      </w:pPr>
      <w:r w:rsidRPr="00943ECB">
        <w:rPr>
          <w:rStyle w:val="FootnoteReference"/>
        </w:rPr>
        <w:footnoteRef/>
      </w:r>
      <w:r w:rsidRPr="00943ECB">
        <w:t xml:space="preserve"> Available at: </w:t>
      </w:r>
      <w:hyperlink r:id="rId2" w:history="1">
        <w:r w:rsidRPr="00943ECB">
          <w:rPr>
            <w:rStyle w:val="Hyperlink"/>
          </w:rPr>
          <w:t>https://www.health.gov.au/resources/publications/mrff-3rd-10-year-investment-plan-2024-25-to-2033-34?language=en</w:t>
        </w:r>
      </w:hyperlink>
    </w:p>
  </w:footnote>
  <w:footnote w:id="16">
    <w:p w14:paraId="0B6229D8" w14:textId="77777777" w:rsidR="005B31AB" w:rsidRDefault="005B31AB" w:rsidP="005B31AB">
      <w:pPr>
        <w:pStyle w:val="FootnoteText"/>
      </w:pPr>
      <w:r>
        <w:rPr>
          <w:rStyle w:val="FootnoteReference"/>
        </w:rPr>
        <w:footnoteRef/>
      </w:r>
      <w:r>
        <w:t xml:space="preserve"> This function is delegated to senior officials consistent with section 61A of the MRFF Act.</w:t>
      </w:r>
    </w:p>
  </w:footnote>
  <w:footnote w:id="17">
    <w:p w14:paraId="4FEC021C" w14:textId="77777777" w:rsidR="005B31AB" w:rsidRDefault="005B31AB" w:rsidP="005B31AB">
      <w:pPr>
        <w:pStyle w:val="FootnoteText"/>
      </w:pPr>
      <w:r>
        <w:rPr>
          <w:rStyle w:val="FootnoteReference"/>
        </w:rPr>
        <w:footnoteRef/>
      </w:r>
      <w:r>
        <w:t xml:space="preserve"> See subsections 21(2) and 26(2) of the MRFF Act.</w:t>
      </w:r>
    </w:p>
  </w:footnote>
  <w:footnote w:id="18">
    <w:p w14:paraId="2C19C051" w14:textId="77777777" w:rsidR="005B31AB" w:rsidRDefault="005B31AB" w:rsidP="005B31AB">
      <w:pPr>
        <w:pStyle w:val="FootnoteText"/>
      </w:pPr>
      <w:r>
        <w:rPr>
          <w:rStyle w:val="FootnoteReference"/>
        </w:rPr>
        <w:footnoteRef/>
      </w:r>
      <w:r>
        <w:t xml:space="preserve"> </w:t>
      </w:r>
      <w:hyperlink r:id="rId3" w:history="1">
        <w:r w:rsidRPr="00F246C3">
          <w:rPr>
            <w:rStyle w:val="Hyperlink"/>
          </w:rPr>
          <w:t>www.health.gov.au/our-work/mrff/about/monitoring-evaluation-learning</w:t>
        </w:r>
      </w:hyperlink>
    </w:p>
  </w:footnote>
  <w:footnote w:id="19">
    <w:p w14:paraId="72F3BC96" w14:textId="77777777" w:rsidR="005B31AB" w:rsidRDefault="005B31AB" w:rsidP="005B31AB">
      <w:pPr>
        <w:pStyle w:val="FootnoteText"/>
      </w:pPr>
      <w:r>
        <w:rPr>
          <w:rStyle w:val="FootnoteReference"/>
        </w:rPr>
        <w:footnoteRef/>
      </w:r>
      <w:r>
        <w:t xml:space="preserve"> T</w:t>
      </w:r>
      <w:r w:rsidRPr="00891A8F">
        <w:t xml:space="preserve">his amount includes </w:t>
      </w:r>
      <w:r>
        <w:t>MRFF drawdowns and budget</w:t>
      </w:r>
      <w:r w:rsidRPr="00891A8F">
        <w:t xml:space="preserve"> supplementation</w:t>
      </w:r>
      <w:r>
        <w:t>.</w:t>
      </w:r>
    </w:p>
  </w:footnote>
  <w:footnote w:id="20">
    <w:p w14:paraId="0B96CC8B" w14:textId="77777777" w:rsidR="005B31AB" w:rsidRDefault="005B31AB" w:rsidP="005B31AB">
      <w:pPr>
        <w:pStyle w:val="FootnoteText"/>
      </w:pPr>
      <w:r>
        <w:rPr>
          <w:rStyle w:val="FootnoteReference"/>
        </w:rPr>
        <w:footnoteRef/>
      </w:r>
      <w:r>
        <w:t xml:space="preserve"> Available at: </w:t>
      </w:r>
      <w:hyperlink r:id="rId4" w:history="1">
        <w:r w:rsidRPr="0088040E">
          <w:rPr>
            <w:rStyle w:val="Hyperlink"/>
          </w:rPr>
          <w:t>https://www.health.gov.au/resources/publications/medical-research-future-fund-mrff-grant-recipients?language=en</w:t>
        </w:r>
      </w:hyperlink>
      <w:r>
        <w:t xml:space="preserve"> </w:t>
      </w:r>
    </w:p>
  </w:footnote>
  <w:footnote w:id="21">
    <w:p w14:paraId="3331A253" w14:textId="77777777" w:rsidR="005B31AB" w:rsidRDefault="005B31AB" w:rsidP="005B31AB">
      <w:pPr>
        <w:pStyle w:val="FootnoteText"/>
      </w:pPr>
      <w:r>
        <w:rPr>
          <w:rStyle w:val="FootnoteReference"/>
        </w:rPr>
        <w:footnoteRef/>
      </w:r>
      <w:r>
        <w:t xml:space="preserve"> Available at: </w:t>
      </w:r>
      <w:hyperlink r:id="rId5" w:history="1">
        <w:r w:rsidRPr="0088040E">
          <w:rPr>
            <w:rStyle w:val="Hyperlink"/>
          </w:rPr>
          <w:t>https://www.health.gov.au/resources/publications/medical-research-future-fund-mrff-grant-recipients?language=en</w:t>
        </w:r>
      </w:hyperlink>
      <w:r>
        <w:t xml:space="preserve"> </w:t>
      </w:r>
    </w:p>
  </w:footnote>
  <w:footnote w:id="22">
    <w:p w14:paraId="122D1BFA" w14:textId="77777777" w:rsidR="005B31AB" w:rsidRDefault="005B31AB" w:rsidP="005B31AB">
      <w:pPr>
        <w:pStyle w:val="FootnoteText"/>
      </w:pPr>
      <w:r>
        <w:rPr>
          <w:rStyle w:val="FootnoteReference"/>
        </w:rPr>
        <w:footnoteRef/>
      </w:r>
      <w:r>
        <w:t xml:space="preserve"> </w:t>
      </w:r>
      <w:hyperlink r:id="rId6" w:history="1">
        <w:r w:rsidRPr="00CA2782">
          <w:rPr>
            <w:rStyle w:val="Hyperlink"/>
          </w:rPr>
          <w:t>Performance indicators towards the impact of the Medical Research Future Fund</w:t>
        </w:r>
      </w:hyperlink>
      <w:r>
        <w:t>, page 5</w:t>
      </w:r>
    </w:p>
  </w:footnote>
  <w:footnote w:id="23">
    <w:p w14:paraId="679706C8" w14:textId="77777777" w:rsidR="005B31AB" w:rsidRDefault="005B31AB" w:rsidP="005B31AB">
      <w:pPr>
        <w:pStyle w:val="FootnoteText"/>
      </w:pPr>
      <w:r>
        <w:rPr>
          <w:rStyle w:val="FootnoteReference"/>
        </w:rPr>
        <w:footnoteRef/>
      </w:r>
      <w:r w:rsidRPr="00D211A9">
        <w:t>The response rate was 7</w:t>
      </w:r>
      <w:r>
        <w:t>5.5</w:t>
      </w:r>
      <w:r w:rsidRPr="00D211A9">
        <w:t xml:space="preserve"> per cent, corresponding to 1002 projects.</w:t>
      </w:r>
    </w:p>
  </w:footnote>
  <w:footnote w:id="24">
    <w:p w14:paraId="27EC1301" w14:textId="77777777" w:rsidR="005B31AB" w:rsidRDefault="005B31AB" w:rsidP="005B31AB">
      <w:pPr>
        <w:pStyle w:val="FootnoteText"/>
      </w:pPr>
      <w:r>
        <w:rPr>
          <w:rStyle w:val="FootnoteReference"/>
        </w:rPr>
        <w:footnoteRef/>
      </w:r>
      <w:r>
        <w:t xml:space="preserve"> </w:t>
      </w:r>
      <w:hyperlink r:id="rId7" w:history="1">
        <w:r w:rsidRPr="003A1F5C">
          <w:rPr>
            <w:rStyle w:val="Hyperlink"/>
          </w:rPr>
          <w:t>www.health.gov.au/resources/publications/mrff-financial-assistance-to-support-the-australian-medical-research-and-innovation-priorities-2020-2022</w:t>
        </w:r>
      </w:hyperlink>
      <w:r>
        <w:t xml:space="preserve"> </w:t>
      </w:r>
    </w:p>
  </w:footnote>
  <w:footnote w:id="25">
    <w:p w14:paraId="26A1D9DE" w14:textId="77777777" w:rsidR="005B31AB" w:rsidRDefault="005B31AB" w:rsidP="005B31AB">
      <w:pPr>
        <w:pStyle w:val="FootnoteText"/>
      </w:pPr>
      <w:r>
        <w:rPr>
          <w:rStyle w:val="FootnoteReference"/>
        </w:rPr>
        <w:footnoteRef/>
      </w:r>
      <w:r>
        <w:t xml:space="preserve"> </w:t>
      </w:r>
      <w:r w:rsidRPr="00C505E2">
        <w:rPr>
          <w:lang w:eastAsia="en-AU"/>
        </w:rPr>
        <w:t xml:space="preserve">The AAMRI Report 2022. </w:t>
      </w:r>
      <w:r w:rsidRPr="00C505E2">
        <w:rPr>
          <w:i/>
          <w:iCs/>
          <w:lang w:eastAsia="en-AU"/>
        </w:rPr>
        <w:t>Australian Medical Research Institute and the early days of the COVID-19 pandemic</w:t>
      </w:r>
      <w:r w:rsidRPr="00C505E2">
        <w:rPr>
          <w:lang w:eastAsia="en-AU"/>
        </w:rPr>
        <w:t>.</w:t>
      </w:r>
    </w:p>
  </w:footnote>
  <w:footnote w:id="26">
    <w:p w14:paraId="2A2FDE96" w14:textId="77777777" w:rsidR="005B31AB" w:rsidRDefault="005B31AB" w:rsidP="005B31AB">
      <w:pPr>
        <w:pStyle w:val="FootnoteText"/>
      </w:pPr>
      <w:r>
        <w:rPr>
          <w:rStyle w:val="FootnoteReference"/>
        </w:rPr>
        <w:footnoteRef/>
      </w:r>
      <w:r>
        <w:t xml:space="preserve"> Section 55 of the MRFF Act.</w:t>
      </w:r>
    </w:p>
  </w:footnote>
  <w:footnote w:id="27">
    <w:p w14:paraId="097AD82B" w14:textId="77777777" w:rsidR="005B31AB" w:rsidRDefault="005B31AB" w:rsidP="005B31AB">
      <w:pPr>
        <w:pStyle w:val="FootnoteText"/>
      </w:pPr>
      <w:r>
        <w:rPr>
          <w:rStyle w:val="FootnoteReference"/>
        </w:rPr>
        <w:footnoteRef/>
      </w:r>
      <w:r>
        <w:t xml:space="preserve"> Section 56 of the MRFF Act.</w:t>
      </w:r>
    </w:p>
  </w:footnote>
  <w:footnote w:id="28">
    <w:p w14:paraId="48C39B86" w14:textId="77777777" w:rsidR="005B31AB" w:rsidRDefault="005B31AB" w:rsidP="005B31AB">
      <w:pPr>
        <w:pStyle w:val="FootnoteText"/>
      </w:pPr>
      <w:r>
        <w:rPr>
          <w:rStyle w:val="FootnoteReference"/>
        </w:rPr>
        <w:footnoteRef/>
      </w:r>
      <w:r>
        <w:t xml:space="preserve"> Section 57 of the MRFF Act.</w:t>
      </w:r>
    </w:p>
  </w:footnote>
  <w:footnote w:id="29">
    <w:p w14:paraId="13323C79" w14:textId="77777777" w:rsidR="005B31AB" w:rsidRDefault="005B31AB" w:rsidP="005B31AB">
      <w:pPr>
        <w:pStyle w:val="FootnoteText"/>
      </w:pPr>
      <w:r>
        <w:rPr>
          <w:rStyle w:val="FootnoteReference"/>
        </w:rPr>
        <w:footnoteRef/>
      </w:r>
      <w:r>
        <w:t xml:space="preserve"> </w:t>
      </w:r>
      <w:r w:rsidRPr="00EA36DB">
        <w:t xml:space="preserve">Section 46 of the PGPA Act (supported by sections 80 and 81 of the </w:t>
      </w:r>
      <w:r w:rsidRPr="00EA36DB">
        <w:rPr>
          <w:i/>
          <w:iCs/>
        </w:rPr>
        <w:t>Future Fund Act 2006</w:t>
      </w:r>
      <w:r w:rsidRPr="00EA36DB">
        <w:t>)</w:t>
      </w:r>
      <w:r>
        <w:t>.</w:t>
      </w:r>
    </w:p>
  </w:footnote>
  <w:footnote w:id="30">
    <w:p w14:paraId="0946AACD" w14:textId="77777777" w:rsidR="005B31AB" w:rsidRPr="00675E4A" w:rsidRDefault="005B31AB" w:rsidP="005B31AB">
      <w:pPr>
        <w:pStyle w:val="FootnoteText"/>
      </w:pPr>
      <w:r w:rsidRPr="00675E4A">
        <w:rPr>
          <w:rStyle w:val="FootnoteReference"/>
        </w:rPr>
        <w:footnoteRef/>
      </w:r>
      <w:r w:rsidRPr="00675E4A">
        <w:t xml:space="preserve"> See website: </w:t>
      </w:r>
      <w:hyperlink r:id="rId8" w:history="1">
        <w:r w:rsidRPr="003A1F5C">
          <w:rPr>
            <w:rStyle w:val="Hyperlink"/>
          </w:rPr>
          <w:t>www.futurefund.gov.au/investment/how-we-invest/investment-policies</w:t>
        </w:r>
      </w:hyperlink>
    </w:p>
  </w:footnote>
  <w:footnote w:id="31">
    <w:p w14:paraId="771340D4" w14:textId="77777777" w:rsidR="005B31AB" w:rsidRPr="00675E4A" w:rsidRDefault="005B31AB" w:rsidP="005B31AB">
      <w:pPr>
        <w:pStyle w:val="FootnoteText"/>
      </w:pPr>
      <w:r w:rsidRPr="00675E4A">
        <w:rPr>
          <w:rStyle w:val="FootnoteReference"/>
        </w:rPr>
        <w:footnoteRef/>
      </w:r>
      <w:r w:rsidRPr="00675E4A">
        <w:t xml:space="preserve"> See website: </w:t>
      </w:r>
      <w:hyperlink r:id="rId9" w:history="1">
        <w:r w:rsidRPr="003A1F5C">
          <w:rPr>
            <w:rStyle w:val="Hyperlink"/>
          </w:rPr>
          <w:t>www.futurefund.gov.au/investment/how-we-invest/esg</w:t>
        </w:r>
      </w:hyperlink>
    </w:p>
  </w:footnote>
  <w:footnote w:id="32">
    <w:p w14:paraId="38AAF45C" w14:textId="77777777" w:rsidR="005B31AB" w:rsidRPr="00E80C45" w:rsidRDefault="005B31AB" w:rsidP="005B31AB">
      <w:pPr>
        <w:pStyle w:val="FootnoteText"/>
        <w:rPr>
          <w:highlight w:val="yellow"/>
        </w:rPr>
      </w:pPr>
      <w:r w:rsidRPr="00675E4A">
        <w:rPr>
          <w:rStyle w:val="FootnoteReference"/>
        </w:rPr>
        <w:footnoteRef/>
      </w:r>
      <w:r w:rsidRPr="00675E4A">
        <w:t xml:space="preserve"> See website: </w:t>
      </w:r>
      <w:hyperlink r:id="rId10" w:history="1">
        <w:r w:rsidRPr="003A1F5C">
          <w:rPr>
            <w:rStyle w:val="Hyperlink"/>
          </w:rPr>
          <w:t>www.futurefund.gov.au/about-us/publications</w:t>
        </w:r>
      </w:hyperlink>
    </w:p>
  </w:footnote>
  <w:footnote w:id="33">
    <w:p w14:paraId="116D4444" w14:textId="77777777" w:rsidR="005B31AB" w:rsidRPr="00722DA6" w:rsidRDefault="005B31AB" w:rsidP="005B31AB">
      <w:pPr>
        <w:pStyle w:val="FootnoteText"/>
      </w:pPr>
      <w:r>
        <w:rPr>
          <w:rStyle w:val="FootnoteReference"/>
        </w:rPr>
        <w:footnoteRef/>
      </w:r>
      <w:r>
        <w:t xml:space="preserve"> See </w:t>
      </w:r>
      <w:r>
        <w:rPr>
          <w:i/>
          <w:iCs/>
        </w:rPr>
        <w:t>Aboriginal and Torres Strait Islander Land and Sea Future Fund Act 2018</w:t>
      </w:r>
      <w:r>
        <w:t xml:space="preserve"> s.55, </w:t>
      </w:r>
      <w:r w:rsidRPr="00555CBB">
        <w:rPr>
          <w:i/>
          <w:iCs/>
        </w:rPr>
        <w:t>Disaster Ready Fund Act 2019</w:t>
      </w:r>
      <w:r>
        <w:t xml:space="preserve"> s.63, and </w:t>
      </w:r>
      <w:r>
        <w:rPr>
          <w:i/>
          <w:iCs/>
        </w:rPr>
        <w:t>Housing Australia Future Fund Act 2023</w:t>
      </w:r>
      <w:r>
        <w:t xml:space="preserve"> s.65.</w:t>
      </w:r>
    </w:p>
  </w:footnote>
  <w:footnote w:id="34">
    <w:p w14:paraId="27E0AC30" w14:textId="77777777" w:rsidR="005B31AB" w:rsidRDefault="005B31AB" w:rsidP="005B31AB">
      <w:pPr>
        <w:pStyle w:val="FootnoteText"/>
      </w:pPr>
      <w:r>
        <w:rPr>
          <w:rStyle w:val="FootnoteReference"/>
        </w:rPr>
        <w:footnoteRef/>
      </w:r>
      <w:r>
        <w:t xml:space="preserve"> As at 30 September 2024.</w:t>
      </w:r>
    </w:p>
  </w:footnote>
  <w:footnote w:id="35">
    <w:p w14:paraId="713A6BDA" w14:textId="77777777" w:rsidR="005B31AB" w:rsidRDefault="005B31AB" w:rsidP="005B31AB">
      <w:pPr>
        <w:pStyle w:val="FootnoteText"/>
      </w:pPr>
      <w:r>
        <w:rPr>
          <w:rStyle w:val="FootnoteReference"/>
        </w:rPr>
        <w:footnoteRef/>
      </w:r>
      <w:r>
        <w:t xml:space="preserve"> The Aboriginal and Torres Strait Islander Land and Sea Future Fund, the Future Drought Fund, the Disaster Ready Fund and the Housing Australia Future Fund. </w:t>
      </w:r>
    </w:p>
  </w:footnote>
  <w:footnote w:id="36">
    <w:p w14:paraId="69486FCC" w14:textId="77777777" w:rsidR="005B31AB" w:rsidRDefault="005B31AB" w:rsidP="005B31AB">
      <w:pPr>
        <w:pStyle w:val="FootnoteText"/>
      </w:pPr>
      <w:r>
        <w:rPr>
          <w:rStyle w:val="FootnoteReference"/>
        </w:rPr>
        <w:footnoteRef/>
      </w:r>
      <w:r>
        <w:t xml:space="preserve"> </w:t>
      </w:r>
      <w:hyperlink r:id="rId11" w:history="1">
        <w:r w:rsidRPr="003A1F5C">
          <w:rPr>
            <w:rStyle w:val="Hyperlink"/>
          </w:rPr>
          <w:t>www.health.gov.au/resources/publications/medical-research-commercialisation-landscape-report</w:t>
        </w:r>
      </w:hyperlink>
      <w:r>
        <w:t xml:space="preserve"> </w:t>
      </w:r>
    </w:p>
  </w:footnote>
  <w:footnote w:id="37">
    <w:p w14:paraId="1AF5CAA4" w14:textId="77777777" w:rsidR="005B31AB" w:rsidRDefault="005B31AB" w:rsidP="005B31AB">
      <w:pPr>
        <w:pStyle w:val="FootnoteText"/>
      </w:pPr>
      <w:r>
        <w:rPr>
          <w:rStyle w:val="FootnoteReference"/>
        </w:rPr>
        <w:footnoteRef/>
      </w:r>
      <w:r>
        <w:t xml:space="preserve"> </w:t>
      </w:r>
      <w:hyperlink r:id="rId12" w:history="1">
        <w:r w:rsidRPr="003A1F5C">
          <w:rPr>
            <w:rStyle w:val="Hyperlink"/>
          </w:rPr>
          <w:t>www.health.gov.au/resources/publications/evaluation-of-the-rapid-applied-research-translation-initiative</w:t>
        </w:r>
      </w:hyperlink>
      <w:r>
        <w:t xml:space="preserve"> </w:t>
      </w:r>
    </w:p>
  </w:footnote>
  <w:footnote w:id="38">
    <w:p w14:paraId="626BADC6" w14:textId="77777777" w:rsidR="005B31AB" w:rsidRDefault="005B31AB" w:rsidP="005B31AB">
      <w:pPr>
        <w:pStyle w:val="FootnoteText"/>
      </w:pPr>
      <w:r>
        <w:rPr>
          <w:rStyle w:val="FootnoteReference"/>
        </w:rPr>
        <w:footnoteRef/>
      </w:r>
      <w:r>
        <w:t xml:space="preserve"> </w:t>
      </w:r>
      <w:hyperlink r:id="rId13" w:history="1">
        <w:r w:rsidRPr="003A1F5C">
          <w:rPr>
            <w:rStyle w:val="Hyperlink"/>
          </w:rPr>
          <w:t>www.health.gov.au/resources/publications/million-minds-mental-health-research-mission-review</w:t>
        </w:r>
      </w:hyperlink>
      <w:r>
        <w:t xml:space="preserve"> </w:t>
      </w:r>
    </w:p>
  </w:footnote>
  <w:footnote w:id="39">
    <w:p w14:paraId="57F6679C" w14:textId="77777777" w:rsidR="005B31AB" w:rsidRDefault="005B31AB" w:rsidP="005B31AB">
      <w:pPr>
        <w:pStyle w:val="FootnoteText"/>
      </w:pPr>
      <w:r>
        <w:rPr>
          <w:rStyle w:val="FootnoteReference"/>
        </w:rPr>
        <w:footnoteRef/>
      </w:r>
      <w:r>
        <w:t xml:space="preserve"> </w:t>
      </w:r>
      <w:hyperlink r:id="rId14" w:history="1">
        <w:r w:rsidRPr="003A1F5C">
          <w:rPr>
            <w:rStyle w:val="Hyperlink"/>
          </w:rPr>
          <w:t>www.health.gov.au/resources/publications/evaluation-of-the-medical-research-future-fund-clinical-trials-activity?language=en</w:t>
        </w:r>
      </w:hyperlink>
      <w:r>
        <w:t xml:space="preserve"> </w:t>
      </w:r>
    </w:p>
  </w:footnote>
  <w:footnote w:id="40">
    <w:p w14:paraId="22F1ADFB" w14:textId="467EF3ED" w:rsidR="005B31AB" w:rsidRDefault="005B31AB" w:rsidP="005B31AB">
      <w:pPr>
        <w:pStyle w:val="FootnoteText"/>
      </w:pPr>
      <w:r>
        <w:rPr>
          <w:rStyle w:val="FootnoteReference"/>
        </w:rPr>
        <w:footnoteRef/>
      </w:r>
      <w:r>
        <w:t xml:space="preserve"> </w:t>
      </w:r>
      <w:hyperlink r:id="rId15" w:history="1">
        <w:r w:rsidRPr="003A1F5C">
          <w:rPr>
            <w:rStyle w:val="Hyperlink"/>
          </w:rPr>
          <w:t>www.health.gov.au/resources/publications/review-of-the-australian-brain-cancer-mission?language=en</w:t>
        </w:r>
      </w:hyperlink>
    </w:p>
  </w:footnote>
  <w:footnote w:id="41">
    <w:p w14:paraId="2CAC35A6" w14:textId="77777777" w:rsidR="005B31AB" w:rsidRDefault="005B31AB" w:rsidP="005B31AB">
      <w:pPr>
        <w:pStyle w:val="FootnoteText"/>
      </w:pPr>
      <w:r>
        <w:rPr>
          <w:rStyle w:val="FootnoteReference"/>
        </w:rPr>
        <w:footnoteRef/>
      </w:r>
      <w:r>
        <w:t xml:space="preserve"> </w:t>
      </w:r>
      <w:hyperlink r:id="rId16" w:history="1">
        <w:r w:rsidRPr="003B52F0">
          <w:rPr>
            <w:rStyle w:val="Hyperlink"/>
          </w:rPr>
          <w:t>https://www.health.gov.au/sites/default/files/2024-09/review-of-the-genomics-health-futures-mission.pdf</w:t>
        </w:r>
      </w:hyperlink>
    </w:p>
    <w:p w14:paraId="6592F55F" w14:textId="77777777" w:rsidR="005B31AB" w:rsidRDefault="005B31AB" w:rsidP="005B31AB">
      <w:pPr>
        <w:pStyle w:val="FootnoteText"/>
      </w:pPr>
    </w:p>
  </w:footnote>
  <w:footnote w:id="42">
    <w:p w14:paraId="51DC3612" w14:textId="77777777" w:rsidR="005B31AB" w:rsidRDefault="005B31AB" w:rsidP="005B31AB">
      <w:pPr>
        <w:pStyle w:val="FootnoteText"/>
      </w:pPr>
      <w:r>
        <w:rPr>
          <w:rStyle w:val="FootnoteReference"/>
        </w:rPr>
        <w:footnoteRef/>
      </w:r>
      <w:r>
        <w:t xml:space="preserve"> </w:t>
      </w:r>
      <w:hyperlink r:id="rId17" w:history="1">
        <w:r w:rsidRPr="003A1F5C">
          <w:rPr>
            <w:rStyle w:val="Hyperlink"/>
          </w:rPr>
          <w:t>www.health.gov.au/resources/publications/medical-research-future-fund-report-on-the-coronavirus-research-response?language=en</w:t>
        </w:r>
      </w:hyperlink>
      <w:r>
        <w:t xml:space="preserve"> </w:t>
      </w:r>
    </w:p>
  </w:footnote>
  <w:footnote w:id="43">
    <w:p w14:paraId="08133459" w14:textId="0B666D02" w:rsidR="005B31AB" w:rsidRDefault="005B31AB" w:rsidP="005B31AB">
      <w:pPr>
        <w:pStyle w:val="FootnoteText"/>
      </w:pPr>
      <w:r>
        <w:rPr>
          <w:rStyle w:val="FootnoteReference"/>
        </w:rPr>
        <w:footnoteRef/>
      </w:r>
      <w:r>
        <w:t xml:space="preserve"> </w:t>
      </w:r>
      <w:hyperlink r:id="rId18" w:history="1">
        <w:r w:rsidRPr="003A1F5C">
          <w:rPr>
            <w:rStyle w:val="Hyperlink"/>
          </w:rPr>
          <w:t>www.health.gov.au/resources/publications/medical-research-future-fund-report-on-funding-for-rural-regional-and-remote-health-research</w:t>
        </w:r>
      </w:hyperlink>
    </w:p>
  </w:footnote>
  <w:footnote w:id="44">
    <w:p w14:paraId="63CBEBB5" w14:textId="77777777" w:rsidR="005B31AB" w:rsidRDefault="005B31AB" w:rsidP="005B31AB">
      <w:pPr>
        <w:pStyle w:val="FootnoteText"/>
      </w:pPr>
      <w:r>
        <w:rPr>
          <w:rStyle w:val="FootnoteReference"/>
        </w:rPr>
        <w:footnoteRef/>
      </w:r>
      <w:r>
        <w:t xml:space="preserve"> As outlined within ‘Purpose’, Discussion Paper: Improving alignment and coordination between the Medical Research Future Fund and NHMRC’s Medical, Research Endowment Account Page 5, </w:t>
      </w:r>
      <w:hyperlink r:id="rId19" w:history="1">
        <w:r w:rsidRPr="00402513">
          <w:rPr>
            <w:rStyle w:val="Hyperlink"/>
          </w:rPr>
          <w:t>www.health.gov.au/sites/default/files/2024-05/improving-alignment-and-coordination-between-the-medical-research-future-fund-and-nhmrc-s-medical-research-endowment-account-consultation.pdf</w:t>
        </w:r>
      </w:hyperlink>
      <w:r>
        <w:t xml:space="preserve">  </w:t>
      </w:r>
    </w:p>
  </w:footnote>
  <w:footnote w:id="45">
    <w:p w14:paraId="211E737F" w14:textId="77777777" w:rsidR="005B31AB" w:rsidRDefault="005B31AB" w:rsidP="005B31AB">
      <w:pPr>
        <w:pStyle w:val="FootnoteText"/>
      </w:pPr>
      <w:r>
        <w:rPr>
          <w:rStyle w:val="FootnoteReference"/>
        </w:rPr>
        <w:footnoteRef/>
      </w:r>
      <w:r>
        <w:t xml:space="preserve"> </w:t>
      </w:r>
      <w:hyperlink r:id="rId20" w:history="1">
        <w:r w:rsidRPr="00430664">
          <w:rPr>
            <w:rStyle w:val="Hyperlink"/>
            <w:rFonts w:cstheme="minorHAnsi"/>
          </w:rPr>
          <w:t>www.health.gov.au/resources/publications/improving-alignment-and-coordination-between-the-medical-research-future-fund-and-nhmrcs-medical-research-endowment-account-consultation?language=en</w:t>
        </w:r>
      </w:hyperlink>
      <w:r w:rsidRPr="00C90EDD">
        <w:rPr>
          <w:rFonts w:cstheme="minorHAnsi"/>
        </w:rPr>
        <w:t>.</w:t>
      </w:r>
      <w:r>
        <w:rPr>
          <w:rFonts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FF04D" w14:textId="77777777" w:rsidR="005B31AB" w:rsidRDefault="005B31AB">
    <w:pPr>
      <w:pStyle w:val="Header"/>
    </w:pPr>
    <w:r>
      <w:rPr>
        <w:noProof/>
        <w:lang w:eastAsia="en-AU"/>
      </w:rPr>
      <mc:AlternateContent>
        <mc:Choice Requires="wps">
          <w:drawing>
            <wp:anchor distT="0" distB="0" distL="0" distR="0" simplePos="0" relativeHeight="251661321" behindDoc="0" locked="0" layoutInCell="1" allowOverlap="1" wp14:anchorId="129C1F14" wp14:editId="0A60F392">
              <wp:simplePos x="635" y="635"/>
              <wp:positionH relativeFrom="page">
                <wp:align>center</wp:align>
              </wp:positionH>
              <wp:positionV relativeFrom="page">
                <wp:align>top</wp:align>
              </wp:positionV>
              <wp:extent cx="443865" cy="443865"/>
              <wp:effectExtent l="0" t="0" r="6985" b="8890"/>
              <wp:wrapNone/>
              <wp:docPr id="700970343" name="Text Box 2"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6D2F6" w14:textId="77777777" w:rsidR="005B31AB" w:rsidRPr="00513044" w:rsidRDefault="005B31AB"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9C1F14" id="_x0000_t202" coordsize="21600,21600" o:spt="202" path="m,l,21600r21600,l21600,xe">
              <v:stroke joinstyle="miter"/>
              <v:path gradientshapeok="t" o:connecttype="rect"/>
            </v:shapetype>
            <v:shape id="Text Box 2" o:spid="_x0000_s1026" type="#_x0000_t202" alt="PROTECTED//CABINET" style="position:absolute;margin-left:0;margin-top:0;width:34.95pt;height:34.95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436D2F6" w14:textId="77777777" w:rsidR="005B31AB" w:rsidRPr="00513044" w:rsidRDefault="005B31AB"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E991C" w14:textId="77777777" w:rsidR="00A040EE" w:rsidRDefault="00A040EE">
    <w:pPr>
      <w:pStyle w:val="Header"/>
    </w:pPr>
    <w:r>
      <w:rPr>
        <w:noProof/>
        <w:lang w:eastAsia="en-AU"/>
      </w:rPr>
      <mc:AlternateContent>
        <mc:Choice Requires="wps">
          <w:drawing>
            <wp:anchor distT="0" distB="0" distL="0" distR="0" simplePos="0" relativeHeight="251658247" behindDoc="0" locked="0" layoutInCell="1" allowOverlap="1" wp14:anchorId="4B7F9A0A" wp14:editId="79454B9E">
              <wp:simplePos x="635" y="635"/>
              <wp:positionH relativeFrom="page">
                <wp:align>center</wp:align>
              </wp:positionH>
              <wp:positionV relativeFrom="page">
                <wp:align>top</wp:align>
              </wp:positionV>
              <wp:extent cx="443865" cy="443865"/>
              <wp:effectExtent l="0" t="0" r="6985" b="8890"/>
              <wp:wrapNone/>
              <wp:docPr id="1473585984" name="Text Box 2"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9482" w14:textId="77777777" w:rsidR="00A040EE" w:rsidRPr="00513044" w:rsidRDefault="00A040EE"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7F9A0A" id="_x0000_t202" coordsize="21600,21600" o:spt="202" path="m,l,21600r21600,l21600,xe">
              <v:stroke joinstyle="miter"/>
              <v:path gradientshapeok="t" o:connecttype="rect"/>
            </v:shapetype>
            <v:shape id="_x0000_s1028" type="#_x0000_t202" alt="PROTECTED//CABINET"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3D69482" w14:textId="77777777" w:rsidR="00A040EE" w:rsidRPr="00513044" w:rsidRDefault="00A040EE" w:rsidP="00513044">
                    <w:pPr>
                      <w:spacing w:after="0"/>
                      <w:rPr>
                        <w:rFonts w:ascii="Calibri" w:eastAsia="Calibri" w:hAnsi="Calibri" w:cs="Calibri"/>
                        <w:noProof/>
                        <w:color w:val="FF0000"/>
                        <w:sz w:val="24"/>
                        <w:szCs w:val="24"/>
                      </w:rPr>
                    </w:pPr>
                    <w:r w:rsidRPr="00513044">
                      <w:rPr>
                        <w:rFonts w:ascii="Calibri" w:eastAsia="Calibri" w:hAnsi="Calibri" w:cs="Calibri"/>
                        <w:noProof/>
                        <w:color w:val="FF0000"/>
                        <w:sz w:val="24"/>
                        <w:szCs w:val="24"/>
                      </w:rPr>
                      <w:t>PROTECTED//CABINET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20B5" w14:textId="476A8D27" w:rsidR="00A040EE" w:rsidRDefault="00A040EE" w:rsidP="00651A77">
    <w:pPr>
      <w:pStyle w:val="Header"/>
      <w:tabs>
        <w:tab w:val="clear" w:pos="4513"/>
        <w:tab w:val="clear" w:pos="9026"/>
        <w:tab w:val="left" w:pos="800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83740" w14:textId="1A1F0098" w:rsidR="00A040EE" w:rsidRDefault="00000000">
    <w:pPr>
      <w:pStyle w:val="Header"/>
    </w:pPr>
    <w:sdt>
      <w:sdtPr>
        <w:id w:val="1821224496"/>
        <w:docPartObj>
          <w:docPartGallery w:val="Watermarks"/>
          <w:docPartUnique/>
        </w:docPartObj>
      </w:sdtPr>
      <w:sdtContent>
        <w:r w:rsidR="005B31AB">
          <w:rPr>
            <w:noProof/>
          </w:rPr>
          <mc:AlternateContent>
            <mc:Choice Requires="wps">
              <w:drawing>
                <wp:anchor distT="0" distB="0" distL="114300" distR="114300" simplePos="0" relativeHeight="251658245" behindDoc="1" locked="0" layoutInCell="0" allowOverlap="1" wp14:anchorId="43D087CD" wp14:editId="63ADB5A9">
                  <wp:simplePos x="0" y="0"/>
                  <wp:positionH relativeFrom="margin">
                    <wp:align>center</wp:align>
                  </wp:positionH>
                  <wp:positionV relativeFrom="margin">
                    <wp:align>center</wp:align>
                  </wp:positionV>
                  <wp:extent cx="5237480" cy="3142615"/>
                  <wp:effectExtent l="0" t="1143000" r="0" b="657860"/>
                  <wp:wrapNone/>
                  <wp:docPr id="1501987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35AB99" w14:textId="77777777" w:rsidR="005B31AB" w:rsidRDefault="005B31AB" w:rsidP="005B31AB">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D087CD" id="_x0000_t202" coordsize="21600,21600" o:spt="202" path="m,l,21600r21600,l21600,xe">
                  <v:stroke joinstyle="miter"/>
                  <v:path gradientshapeok="t" o:connecttype="rect"/>
                </v:shapetype>
                <v:shape id="Text Box 1" o:spid="_x0000_s1030" type="#_x0000_t202" style="position:absolute;margin-left:0;margin-top:0;width:412.4pt;height:247.4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235AB99" w14:textId="77777777" w:rsidR="005B31AB" w:rsidRDefault="005B31AB" w:rsidP="005B31AB">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A040EE">
      <w:rPr>
        <w:noProof/>
        <w:lang w:eastAsia="en-AU"/>
      </w:rPr>
      <mc:AlternateContent>
        <mc:Choice Requires="wps">
          <w:drawing>
            <wp:anchor distT="0" distB="0" distL="0" distR="0" simplePos="0" relativeHeight="251658246" behindDoc="0" locked="0" layoutInCell="1" allowOverlap="1" wp14:anchorId="6929E68B" wp14:editId="077E621A">
              <wp:simplePos x="915035" y="450215"/>
              <wp:positionH relativeFrom="page">
                <wp:align>center</wp:align>
              </wp:positionH>
              <wp:positionV relativeFrom="page">
                <wp:align>top</wp:align>
              </wp:positionV>
              <wp:extent cx="443865" cy="443865"/>
              <wp:effectExtent l="0" t="0" r="6985" b="8890"/>
              <wp:wrapNone/>
              <wp:docPr id="1375174597" name="Text Box 1"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C8C371" w14:textId="7ADE4FB2" w:rsidR="00A040EE" w:rsidRPr="00513044" w:rsidRDefault="00A040EE" w:rsidP="00513044">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929E68B" id="_x0000_s1031" type="#_x0000_t202" alt="PROTECTED//CABINET"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AC8C371" w14:textId="7ADE4FB2" w:rsidR="00A040EE" w:rsidRPr="00513044" w:rsidRDefault="00A040EE" w:rsidP="00513044">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29CD216"/>
    <w:lvl w:ilvl="0">
      <w:start w:val="1"/>
      <w:numFmt w:val="decimal"/>
      <w:lvlText w:val="%1."/>
      <w:lvlJc w:val="left"/>
      <w:pPr>
        <w:tabs>
          <w:tab w:val="num" w:pos="926"/>
        </w:tabs>
        <w:ind w:left="926" w:hanging="360"/>
      </w:pPr>
    </w:lvl>
  </w:abstractNum>
  <w:abstractNum w:abstractNumId="1" w15:restartNumberingAfterBreak="0">
    <w:nsid w:val="04FD1597"/>
    <w:multiLevelType w:val="hybridMultilevel"/>
    <w:tmpl w:val="FBDCF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D00FC4"/>
    <w:multiLevelType w:val="hybridMultilevel"/>
    <w:tmpl w:val="91A031C2"/>
    <w:lvl w:ilvl="0" w:tplc="505C677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2E92C3C"/>
    <w:multiLevelType w:val="hybridMultilevel"/>
    <w:tmpl w:val="D5B2A6F8"/>
    <w:lvl w:ilvl="0" w:tplc="0C090019">
      <w:start w:val="1"/>
      <w:numFmt w:val="lowerLetter"/>
      <w:lvlText w:val="%1."/>
      <w:lvlJc w:val="left"/>
      <w:pPr>
        <w:ind w:left="823" w:hanging="360"/>
      </w:pPr>
      <w:rPr>
        <w:rFonts w:hint="default"/>
        <w:b w:val="0"/>
        <w:bCs w:val="0"/>
        <w:i w:val="0"/>
        <w:iCs w:val="0"/>
        <w:spacing w:val="0"/>
        <w:w w:val="100"/>
        <w:sz w:val="22"/>
        <w:szCs w:val="22"/>
        <w:lang w:val="en-US" w:eastAsia="en-US" w:bidi="ar-SA"/>
      </w:rPr>
    </w:lvl>
    <w:lvl w:ilvl="1" w:tplc="FFFFFFFF">
      <w:start w:val="1"/>
      <w:numFmt w:val="lowerLetter"/>
      <w:lvlText w:val="%2."/>
      <w:lvlJc w:val="left"/>
      <w:pPr>
        <w:ind w:left="1543" w:hanging="360"/>
      </w:pPr>
      <w:rPr>
        <w:rFonts w:ascii="Calibri" w:eastAsia="Calibri" w:hAnsi="Calibri" w:cs="Calibri" w:hint="default"/>
        <w:b w:val="0"/>
        <w:bCs w:val="0"/>
        <w:i w:val="0"/>
        <w:iCs w:val="0"/>
        <w:spacing w:val="-1"/>
        <w:w w:val="100"/>
        <w:sz w:val="22"/>
        <w:szCs w:val="22"/>
        <w:lang w:val="en-US" w:eastAsia="en-US" w:bidi="ar-SA"/>
      </w:rPr>
    </w:lvl>
    <w:lvl w:ilvl="2" w:tplc="FFFFFFFF">
      <w:numFmt w:val="bullet"/>
      <w:lvlText w:val="•"/>
      <w:lvlJc w:val="left"/>
      <w:pPr>
        <w:ind w:left="2369" w:hanging="360"/>
      </w:pPr>
      <w:rPr>
        <w:rFonts w:hint="default"/>
        <w:lang w:val="en-US" w:eastAsia="en-US" w:bidi="ar-SA"/>
      </w:rPr>
    </w:lvl>
    <w:lvl w:ilvl="3" w:tplc="FFFFFFFF">
      <w:numFmt w:val="bullet"/>
      <w:lvlText w:val="•"/>
      <w:lvlJc w:val="left"/>
      <w:pPr>
        <w:ind w:left="3199" w:hanging="360"/>
      </w:pPr>
      <w:rPr>
        <w:rFonts w:hint="default"/>
        <w:lang w:val="en-US" w:eastAsia="en-US" w:bidi="ar-SA"/>
      </w:rPr>
    </w:lvl>
    <w:lvl w:ilvl="4" w:tplc="FFFFFFFF">
      <w:numFmt w:val="bullet"/>
      <w:lvlText w:val="•"/>
      <w:lvlJc w:val="left"/>
      <w:pPr>
        <w:ind w:left="4029" w:hanging="360"/>
      </w:pPr>
      <w:rPr>
        <w:rFonts w:hint="default"/>
        <w:lang w:val="en-US" w:eastAsia="en-US" w:bidi="ar-SA"/>
      </w:rPr>
    </w:lvl>
    <w:lvl w:ilvl="5" w:tplc="FFFFFFFF">
      <w:numFmt w:val="bullet"/>
      <w:lvlText w:val="•"/>
      <w:lvlJc w:val="left"/>
      <w:pPr>
        <w:ind w:left="4858" w:hanging="360"/>
      </w:pPr>
      <w:rPr>
        <w:rFonts w:hint="default"/>
        <w:lang w:val="en-US" w:eastAsia="en-US" w:bidi="ar-SA"/>
      </w:rPr>
    </w:lvl>
    <w:lvl w:ilvl="6" w:tplc="FFFFFFFF">
      <w:numFmt w:val="bullet"/>
      <w:lvlText w:val="•"/>
      <w:lvlJc w:val="left"/>
      <w:pPr>
        <w:ind w:left="5688" w:hanging="360"/>
      </w:pPr>
      <w:rPr>
        <w:rFonts w:hint="default"/>
        <w:lang w:val="en-US" w:eastAsia="en-US" w:bidi="ar-SA"/>
      </w:rPr>
    </w:lvl>
    <w:lvl w:ilvl="7" w:tplc="FFFFFFFF">
      <w:numFmt w:val="bullet"/>
      <w:lvlText w:val="•"/>
      <w:lvlJc w:val="left"/>
      <w:pPr>
        <w:ind w:left="6518" w:hanging="360"/>
      </w:pPr>
      <w:rPr>
        <w:rFonts w:hint="default"/>
        <w:lang w:val="en-US" w:eastAsia="en-US" w:bidi="ar-SA"/>
      </w:rPr>
    </w:lvl>
    <w:lvl w:ilvl="8" w:tplc="FFFFFFFF">
      <w:numFmt w:val="bullet"/>
      <w:lvlText w:val="•"/>
      <w:lvlJc w:val="left"/>
      <w:pPr>
        <w:ind w:left="7347" w:hanging="360"/>
      </w:pPr>
      <w:rPr>
        <w:rFonts w:hint="default"/>
        <w:lang w:val="en-US" w:eastAsia="en-US" w:bidi="ar-SA"/>
      </w:rPr>
    </w:lvl>
  </w:abstractNum>
  <w:abstractNum w:abstractNumId="4" w15:restartNumberingAfterBreak="0">
    <w:nsid w:val="181512F4"/>
    <w:multiLevelType w:val="hybridMultilevel"/>
    <w:tmpl w:val="B14C5D1C"/>
    <w:lvl w:ilvl="0" w:tplc="0C090001">
      <w:start w:val="1"/>
      <w:numFmt w:val="bullet"/>
      <w:lvlText w:val=""/>
      <w:lvlJc w:val="left"/>
      <w:pPr>
        <w:ind w:left="720" w:hanging="360"/>
      </w:pPr>
      <w:rPr>
        <w:rFonts w:ascii="Symbol" w:hAnsi="Symbol" w:hint="default"/>
        <w:b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327664"/>
    <w:multiLevelType w:val="multilevel"/>
    <w:tmpl w:val="3338791E"/>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6" w15:restartNumberingAfterBreak="0">
    <w:nsid w:val="197B2A3A"/>
    <w:multiLevelType w:val="hybridMultilevel"/>
    <w:tmpl w:val="DBD07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22633"/>
    <w:multiLevelType w:val="hybridMultilevel"/>
    <w:tmpl w:val="1068EA48"/>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7D1323"/>
    <w:multiLevelType w:val="hybridMultilevel"/>
    <w:tmpl w:val="BF409BF0"/>
    <w:lvl w:ilvl="0" w:tplc="EB443D78">
      <w:start w:val="1"/>
      <w:numFmt w:val="bullet"/>
      <w:pStyle w:val="Lis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F617CD6"/>
    <w:multiLevelType w:val="hybridMultilevel"/>
    <w:tmpl w:val="F26A6C10"/>
    <w:lvl w:ilvl="0" w:tplc="0C090003">
      <w:start w:val="1"/>
      <w:numFmt w:val="bullet"/>
      <w:lvlText w:val="o"/>
      <w:lvlJc w:val="left"/>
      <w:pPr>
        <w:ind w:left="1316" w:hanging="360"/>
      </w:pPr>
      <w:rPr>
        <w:rFonts w:ascii="Courier New" w:hAnsi="Courier New" w:cs="Courier New" w:hint="default"/>
      </w:rPr>
    </w:lvl>
    <w:lvl w:ilvl="1" w:tplc="0C090003" w:tentative="1">
      <w:start w:val="1"/>
      <w:numFmt w:val="bullet"/>
      <w:lvlText w:val="o"/>
      <w:lvlJc w:val="left"/>
      <w:pPr>
        <w:ind w:left="2036" w:hanging="360"/>
      </w:pPr>
      <w:rPr>
        <w:rFonts w:ascii="Courier New" w:hAnsi="Courier New" w:cs="Courier New" w:hint="default"/>
      </w:rPr>
    </w:lvl>
    <w:lvl w:ilvl="2" w:tplc="0C090005" w:tentative="1">
      <w:start w:val="1"/>
      <w:numFmt w:val="bullet"/>
      <w:lvlText w:val=""/>
      <w:lvlJc w:val="left"/>
      <w:pPr>
        <w:ind w:left="2756" w:hanging="360"/>
      </w:pPr>
      <w:rPr>
        <w:rFonts w:ascii="Wingdings" w:hAnsi="Wingdings" w:hint="default"/>
      </w:rPr>
    </w:lvl>
    <w:lvl w:ilvl="3" w:tplc="0C090001" w:tentative="1">
      <w:start w:val="1"/>
      <w:numFmt w:val="bullet"/>
      <w:lvlText w:val=""/>
      <w:lvlJc w:val="left"/>
      <w:pPr>
        <w:ind w:left="3476" w:hanging="360"/>
      </w:pPr>
      <w:rPr>
        <w:rFonts w:ascii="Symbol" w:hAnsi="Symbol" w:hint="default"/>
      </w:rPr>
    </w:lvl>
    <w:lvl w:ilvl="4" w:tplc="0C090003" w:tentative="1">
      <w:start w:val="1"/>
      <w:numFmt w:val="bullet"/>
      <w:lvlText w:val="o"/>
      <w:lvlJc w:val="left"/>
      <w:pPr>
        <w:ind w:left="4196" w:hanging="360"/>
      </w:pPr>
      <w:rPr>
        <w:rFonts w:ascii="Courier New" w:hAnsi="Courier New" w:cs="Courier New" w:hint="default"/>
      </w:rPr>
    </w:lvl>
    <w:lvl w:ilvl="5" w:tplc="0C090005" w:tentative="1">
      <w:start w:val="1"/>
      <w:numFmt w:val="bullet"/>
      <w:lvlText w:val=""/>
      <w:lvlJc w:val="left"/>
      <w:pPr>
        <w:ind w:left="4916" w:hanging="360"/>
      </w:pPr>
      <w:rPr>
        <w:rFonts w:ascii="Wingdings" w:hAnsi="Wingdings" w:hint="default"/>
      </w:rPr>
    </w:lvl>
    <w:lvl w:ilvl="6" w:tplc="0C090001" w:tentative="1">
      <w:start w:val="1"/>
      <w:numFmt w:val="bullet"/>
      <w:lvlText w:val=""/>
      <w:lvlJc w:val="left"/>
      <w:pPr>
        <w:ind w:left="5636" w:hanging="360"/>
      </w:pPr>
      <w:rPr>
        <w:rFonts w:ascii="Symbol" w:hAnsi="Symbol" w:hint="default"/>
      </w:rPr>
    </w:lvl>
    <w:lvl w:ilvl="7" w:tplc="0C090003" w:tentative="1">
      <w:start w:val="1"/>
      <w:numFmt w:val="bullet"/>
      <w:lvlText w:val="o"/>
      <w:lvlJc w:val="left"/>
      <w:pPr>
        <w:ind w:left="6356" w:hanging="360"/>
      </w:pPr>
      <w:rPr>
        <w:rFonts w:ascii="Courier New" w:hAnsi="Courier New" w:cs="Courier New" w:hint="default"/>
      </w:rPr>
    </w:lvl>
    <w:lvl w:ilvl="8" w:tplc="0C090005" w:tentative="1">
      <w:start w:val="1"/>
      <w:numFmt w:val="bullet"/>
      <w:lvlText w:val=""/>
      <w:lvlJc w:val="left"/>
      <w:pPr>
        <w:ind w:left="7076" w:hanging="360"/>
      </w:pPr>
      <w:rPr>
        <w:rFonts w:ascii="Wingdings" w:hAnsi="Wingdings" w:hint="default"/>
      </w:rPr>
    </w:lvl>
  </w:abstractNum>
  <w:abstractNum w:abstractNumId="10" w15:restartNumberingAfterBreak="0">
    <w:nsid w:val="212D6F8E"/>
    <w:multiLevelType w:val="hybridMultilevel"/>
    <w:tmpl w:val="E684F9C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2C84754C"/>
    <w:multiLevelType w:val="hybridMultilevel"/>
    <w:tmpl w:val="66380BA0"/>
    <w:lvl w:ilvl="0" w:tplc="3C74A1FA">
      <w:start w:val="4"/>
      <w:numFmt w:val="decimal"/>
      <w:lvlText w:val="%1."/>
      <w:lvlJc w:val="left"/>
      <w:pPr>
        <w:ind w:left="823" w:hanging="360"/>
      </w:pPr>
      <w:rPr>
        <w:rFonts w:ascii="Calibri" w:eastAsia="Calibri" w:hAnsi="Calibri" w:cs="Calibri" w:hint="default"/>
        <w:b w:val="0"/>
        <w:bCs w:val="0"/>
        <w:i w:val="0"/>
        <w:iCs w:val="0"/>
        <w:spacing w:val="0"/>
        <w:w w:val="100"/>
        <w:sz w:val="22"/>
        <w:szCs w:val="22"/>
        <w:lang w:val="en-US" w:eastAsia="en-US" w:bidi="ar-SA"/>
      </w:rPr>
    </w:lvl>
    <w:lvl w:ilvl="1" w:tplc="629C9266">
      <w:start w:val="1"/>
      <w:numFmt w:val="lowerLetter"/>
      <w:lvlText w:val="%2."/>
      <w:lvlJc w:val="left"/>
      <w:pPr>
        <w:ind w:left="1543" w:hanging="360"/>
      </w:pPr>
      <w:rPr>
        <w:rFonts w:ascii="Calibri" w:eastAsia="Calibri" w:hAnsi="Calibri" w:cs="Calibri" w:hint="default"/>
        <w:b w:val="0"/>
        <w:bCs w:val="0"/>
        <w:i w:val="0"/>
        <w:iCs w:val="0"/>
        <w:spacing w:val="-1"/>
        <w:w w:val="100"/>
        <w:sz w:val="22"/>
        <w:szCs w:val="22"/>
        <w:lang w:val="en-US" w:eastAsia="en-US" w:bidi="ar-SA"/>
      </w:rPr>
    </w:lvl>
    <w:lvl w:ilvl="2" w:tplc="D38AF6CA">
      <w:numFmt w:val="bullet"/>
      <w:lvlText w:val="•"/>
      <w:lvlJc w:val="left"/>
      <w:pPr>
        <w:ind w:left="2369" w:hanging="360"/>
      </w:pPr>
      <w:rPr>
        <w:rFonts w:hint="default"/>
        <w:lang w:val="en-US" w:eastAsia="en-US" w:bidi="ar-SA"/>
      </w:rPr>
    </w:lvl>
    <w:lvl w:ilvl="3" w:tplc="2F2AED2E">
      <w:numFmt w:val="bullet"/>
      <w:lvlText w:val="•"/>
      <w:lvlJc w:val="left"/>
      <w:pPr>
        <w:ind w:left="3199" w:hanging="360"/>
      </w:pPr>
      <w:rPr>
        <w:rFonts w:hint="default"/>
        <w:lang w:val="en-US" w:eastAsia="en-US" w:bidi="ar-SA"/>
      </w:rPr>
    </w:lvl>
    <w:lvl w:ilvl="4" w:tplc="A6D00A94">
      <w:numFmt w:val="bullet"/>
      <w:lvlText w:val="•"/>
      <w:lvlJc w:val="left"/>
      <w:pPr>
        <w:ind w:left="4029" w:hanging="360"/>
      </w:pPr>
      <w:rPr>
        <w:rFonts w:hint="default"/>
        <w:lang w:val="en-US" w:eastAsia="en-US" w:bidi="ar-SA"/>
      </w:rPr>
    </w:lvl>
    <w:lvl w:ilvl="5" w:tplc="2F763304">
      <w:numFmt w:val="bullet"/>
      <w:lvlText w:val="•"/>
      <w:lvlJc w:val="left"/>
      <w:pPr>
        <w:ind w:left="4858" w:hanging="360"/>
      </w:pPr>
      <w:rPr>
        <w:rFonts w:hint="default"/>
        <w:lang w:val="en-US" w:eastAsia="en-US" w:bidi="ar-SA"/>
      </w:rPr>
    </w:lvl>
    <w:lvl w:ilvl="6" w:tplc="66B45E3E">
      <w:numFmt w:val="bullet"/>
      <w:lvlText w:val="•"/>
      <w:lvlJc w:val="left"/>
      <w:pPr>
        <w:ind w:left="5688" w:hanging="360"/>
      </w:pPr>
      <w:rPr>
        <w:rFonts w:hint="default"/>
        <w:lang w:val="en-US" w:eastAsia="en-US" w:bidi="ar-SA"/>
      </w:rPr>
    </w:lvl>
    <w:lvl w:ilvl="7" w:tplc="FC723C00">
      <w:numFmt w:val="bullet"/>
      <w:lvlText w:val="•"/>
      <w:lvlJc w:val="left"/>
      <w:pPr>
        <w:ind w:left="6518" w:hanging="360"/>
      </w:pPr>
      <w:rPr>
        <w:rFonts w:hint="default"/>
        <w:lang w:val="en-US" w:eastAsia="en-US" w:bidi="ar-SA"/>
      </w:rPr>
    </w:lvl>
    <w:lvl w:ilvl="8" w:tplc="4896274A">
      <w:numFmt w:val="bullet"/>
      <w:lvlText w:val="•"/>
      <w:lvlJc w:val="left"/>
      <w:pPr>
        <w:ind w:left="7347" w:hanging="360"/>
      </w:pPr>
      <w:rPr>
        <w:rFonts w:hint="default"/>
        <w:lang w:val="en-US" w:eastAsia="en-US" w:bidi="ar-SA"/>
      </w:rPr>
    </w:lvl>
  </w:abstractNum>
  <w:abstractNum w:abstractNumId="12" w15:restartNumberingAfterBreak="0">
    <w:nsid w:val="36AD4375"/>
    <w:multiLevelType w:val="hybridMultilevel"/>
    <w:tmpl w:val="2A58CA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B625B8"/>
    <w:multiLevelType w:val="hybridMultilevel"/>
    <w:tmpl w:val="B330C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A50FEC"/>
    <w:multiLevelType w:val="hybridMultilevel"/>
    <w:tmpl w:val="46604E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DD3021"/>
    <w:multiLevelType w:val="hybridMultilevel"/>
    <w:tmpl w:val="D9343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4E252E"/>
    <w:multiLevelType w:val="hybridMultilevel"/>
    <w:tmpl w:val="09AC5930"/>
    <w:lvl w:ilvl="0" w:tplc="13D8CB80">
      <w:start w:val="1"/>
      <w:numFmt w:val="lowerLetter"/>
      <w:pStyle w:val="List2"/>
      <w:lvlText w:val="%1."/>
      <w:lvlJc w:val="left"/>
      <w:pPr>
        <w:ind w:left="1381" w:hanging="360"/>
      </w:pPr>
      <w:rPr>
        <w:rFonts w:hint="default"/>
      </w:rPr>
    </w:lvl>
    <w:lvl w:ilvl="1" w:tplc="FFFFFFFF">
      <w:start w:val="1"/>
      <w:numFmt w:val="bullet"/>
      <w:lvlText w:val="o"/>
      <w:lvlJc w:val="left"/>
      <w:pPr>
        <w:ind w:left="2101" w:hanging="360"/>
      </w:pPr>
      <w:rPr>
        <w:rFonts w:ascii="Courier New" w:hAnsi="Courier New" w:cs="Courier New" w:hint="default"/>
      </w:rPr>
    </w:lvl>
    <w:lvl w:ilvl="2" w:tplc="FFFFFFFF">
      <w:start w:val="1"/>
      <w:numFmt w:val="bullet"/>
      <w:lvlText w:val=""/>
      <w:lvlJc w:val="left"/>
      <w:pPr>
        <w:ind w:left="2821" w:hanging="360"/>
      </w:pPr>
      <w:rPr>
        <w:rFonts w:ascii="Wingdings" w:hAnsi="Wingdings" w:hint="default"/>
      </w:rPr>
    </w:lvl>
    <w:lvl w:ilvl="3" w:tplc="FFFFFFFF">
      <w:start w:val="1"/>
      <w:numFmt w:val="bullet"/>
      <w:lvlText w:val=""/>
      <w:lvlJc w:val="left"/>
      <w:pPr>
        <w:ind w:left="3541" w:hanging="360"/>
      </w:pPr>
      <w:rPr>
        <w:rFonts w:ascii="Symbol" w:hAnsi="Symbol" w:hint="default"/>
      </w:rPr>
    </w:lvl>
    <w:lvl w:ilvl="4" w:tplc="FFFFFFFF">
      <w:start w:val="1"/>
      <w:numFmt w:val="bullet"/>
      <w:lvlText w:val="o"/>
      <w:lvlJc w:val="left"/>
      <w:pPr>
        <w:ind w:left="4261" w:hanging="360"/>
      </w:pPr>
      <w:rPr>
        <w:rFonts w:ascii="Courier New" w:hAnsi="Courier New" w:cs="Courier New" w:hint="default"/>
      </w:rPr>
    </w:lvl>
    <w:lvl w:ilvl="5" w:tplc="FFFFFFFF">
      <w:start w:val="1"/>
      <w:numFmt w:val="bullet"/>
      <w:lvlText w:val=""/>
      <w:lvlJc w:val="left"/>
      <w:pPr>
        <w:ind w:left="4981" w:hanging="360"/>
      </w:pPr>
      <w:rPr>
        <w:rFonts w:ascii="Wingdings" w:hAnsi="Wingdings" w:hint="default"/>
      </w:rPr>
    </w:lvl>
    <w:lvl w:ilvl="6" w:tplc="FFFFFFFF">
      <w:start w:val="1"/>
      <w:numFmt w:val="bullet"/>
      <w:lvlText w:val=""/>
      <w:lvlJc w:val="left"/>
      <w:pPr>
        <w:ind w:left="5701" w:hanging="360"/>
      </w:pPr>
      <w:rPr>
        <w:rFonts w:ascii="Symbol" w:hAnsi="Symbol" w:hint="default"/>
      </w:rPr>
    </w:lvl>
    <w:lvl w:ilvl="7" w:tplc="FFFFFFFF">
      <w:start w:val="1"/>
      <w:numFmt w:val="bullet"/>
      <w:lvlText w:val="o"/>
      <w:lvlJc w:val="left"/>
      <w:pPr>
        <w:ind w:left="6421" w:hanging="360"/>
      </w:pPr>
      <w:rPr>
        <w:rFonts w:ascii="Courier New" w:hAnsi="Courier New" w:cs="Courier New" w:hint="default"/>
      </w:rPr>
    </w:lvl>
    <w:lvl w:ilvl="8" w:tplc="FFFFFFFF">
      <w:start w:val="1"/>
      <w:numFmt w:val="bullet"/>
      <w:lvlText w:val=""/>
      <w:lvlJc w:val="left"/>
      <w:pPr>
        <w:ind w:left="7141" w:hanging="360"/>
      </w:pPr>
      <w:rPr>
        <w:rFonts w:ascii="Wingdings" w:hAnsi="Wingdings" w:hint="default"/>
      </w:rPr>
    </w:lvl>
  </w:abstractNum>
  <w:abstractNum w:abstractNumId="17" w15:restartNumberingAfterBreak="0">
    <w:nsid w:val="40B50F51"/>
    <w:multiLevelType w:val="hybridMultilevel"/>
    <w:tmpl w:val="DE5A9D9E"/>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161E60"/>
    <w:multiLevelType w:val="hybridMultilevel"/>
    <w:tmpl w:val="B31A95EA"/>
    <w:lvl w:ilvl="0" w:tplc="44F6EAF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DC2F6F"/>
    <w:multiLevelType w:val="hybridMultilevel"/>
    <w:tmpl w:val="EF90F156"/>
    <w:lvl w:ilvl="0" w:tplc="0C090015">
      <w:start w:val="1"/>
      <w:numFmt w:val="upperLetter"/>
      <w:pStyle w:val="AdviceNumLevel1"/>
      <w:lvlText w:val="%1."/>
      <w:lvlJc w:val="left"/>
      <w:pPr>
        <w:ind w:left="360" w:hanging="360"/>
      </w:pPr>
      <w:rPr>
        <w:rFonts w:hint="default"/>
        <w:b w:val="0"/>
        <w:color w:val="auto"/>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B5A7669"/>
    <w:multiLevelType w:val="hybridMultilevel"/>
    <w:tmpl w:val="E8DC0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DE6F6B"/>
    <w:multiLevelType w:val="hybridMultilevel"/>
    <w:tmpl w:val="3692D44E"/>
    <w:lvl w:ilvl="0" w:tplc="32BA8A0A">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BE75B8"/>
    <w:multiLevelType w:val="hybridMultilevel"/>
    <w:tmpl w:val="B6D0F68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24484E"/>
    <w:multiLevelType w:val="hybridMultilevel"/>
    <w:tmpl w:val="66380BA0"/>
    <w:lvl w:ilvl="0" w:tplc="FFFFFFFF">
      <w:start w:val="4"/>
      <w:numFmt w:val="decimal"/>
      <w:lvlText w:val="%1."/>
      <w:lvlJc w:val="left"/>
      <w:pPr>
        <w:ind w:left="823" w:hanging="360"/>
      </w:pPr>
      <w:rPr>
        <w:rFonts w:ascii="Calibri" w:eastAsia="Calibri" w:hAnsi="Calibri" w:cs="Calibri" w:hint="default"/>
        <w:b w:val="0"/>
        <w:bCs w:val="0"/>
        <w:i w:val="0"/>
        <w:iCs w:val="0"/>
        <w:spacing w:val="0"/>
        <w:w w:val="100"/>
        <w:sz w:val="22"/>
        <w:szCs w:val="22"/>
        <w:lang w:val="en-US" w:eastAsia="en-US" w:bidi="ar-SA"/>
      </w:rPr>
    </w:lvl>
    <w:lvl w:ilvl="1" w:tplc="FFFFFFFF">
      <w:start w:val="1"/>
      <w:numFmt w:val="lowerLetter"/>
      <w:lvlText w:val="%2."/>
      <w:lvlJc w:val="left"/>
      <w:pPr>
        <w:ind w:left="1543" w:hanging="360"/>
      </w:pPr>
      <w:rPr>
        <w:rFonts w:ascii="Calibri" w:eastAsia="Calibri" w:hAnsi="Calibri" w:cs="Calibri" w:hint="default"/>
        <w:b w:val="0"/>
        <w:bCs w:val="0"/>
        <w:i w:val="0"/>
        <w:iCs w:val="0"/>
        <w:spacing w:val="-1"/>
        <w:w w:val="100"/>
        <w:sz w:val="22"/>
        <w:szCs w:val="22"/>
        <w:lang w:val="en-US" w:eastAsia="en-US" w:bidi="ar-SA"/>
      </w:rPr>
    </w:lvl>
    <w:lvl w:ilvl="2" w:tplc="FFFFFFFF">
      <w:numFmt w:val="bullet"/>
      <w:lvlText w:val="•"/>
      <w:lvlJc w:val="left"/>
      <w:pPr>
        <w:ind w:left="2369" w:hanging="360"/>
      </w:pPr>
      <w:rPr>
        <w:rFonts w:hint="default"/>
        <w:lang w:val="en-US" w:eastAsia="en-US" w:bidi="ar-SA"/>
      </w:rPr>
    </w:lvl>
    <w:lvl w:ilvl="3" w:tplc="FFFFFFFF">
      <w:numFmt w:val="bullet"/>
      <w:lvlText w:val="•"/>
      <w:lvlJc w:val="left"/>
      <w:pPr>
        <w:ind w:left="3199" w:hanging="360"/>
      </w:pPr>
      <w:rPr>
        <w:rFonts w:hint="default"/>
        <w:lang w:val="en-US" w:eastAsia="en-US" w:bidi="ar-SA"/>
      </w:rPr>
    </w:lvl>
    <w:lvl w:ilvl="4" w:tplc="FFFFFFFF">
      <w:numFmt w:val="bullet"/>
      <w:lvlText w:val="•"/>
      <w:lvlJc w:val="left"/>
      <w:pPr>
        <w:ind w:left="4029" w:hanging="360"/>
      </w:pPr>
      <w:rPr>
        <w:rFonts w:hint="default"/>
        <w:lang w:val="en-US" w:eastAsia="en-US" w:bidi="ar-SA"/>
      </w:rPr>
    </w:lvl>
    <w:lvl w:ilvl="5" w:tplc="FFFFFFFF">
      <w:numFmt w:val="bullet"/>
      <w:lvlText w:val="•"/>
      <w:lvlJc w:val="left"/>
      <w:pPr>
        <w:ind w:left="4858" w:hanging="360"/>
      </w:pPr>
      <w:rPr>
        <w:rFonts w:hint="default"/>
        <w:lang w:val="en-US" w:eastAsia="en-US" w:bidi="ar-SA"/>
      </w:rPr>
    </w:lvl>
    <w:lvl w:ilvl="6" w:tplc="FFFFFFFF">
      <w:numFmt w:val="bullet"/>
      <w:lvlText w:val="•"/>
      <w:lvlJc w:val="left"/>
      <w:pPr>
        <w:ind w:left="5688" w:hanging="360"/>
      </w:pPr>
      <w:rPr>
        <w:rFonts w:hint="default"/>
        <w:lang w:val="en-US" w:eastAsia="en-US" w:bidi="ar-SA"/>
      </w:rPr>
    </w:lvl>
    <w:lvl w:ilvl="7" w:tplc="FFFFFFFF">
      <w:numFmt w:val="bullet"/>
      <w:lvlText w:val="•"/>
      <w:lvlJc w:val="left"/>
      <w:pPr>
        <w:ind w:left="6518" w:hanging="360"/>
      </w:pPr>
      <w:rPr>
        <w:rFonts w:hint="default"/>
        <w:lang w:val="en-US" w:eastAsia="en-US" w:bidi="ar-SA"/>
      </w:rPr>
    </w:lvl>
    <w:lvl w:ilvl="8" w:tplc="FFFFFFFF">
      <w:numFmt w:val="bullet"/>
      <w:lvlText w:val="•"/>
      <w:lvlJc w:val="left"/>
      <w:pPr>
        <w:ind w:left="7347" w:hanging="360"/>
      </w:pPr>
      <w:rPr>
        <w:rFonts w:hint="default"/>
        <w:lang w:val="en-US" w:eastAsia="en-US" w:bidi="ar-SA"/>
      </w:rPr>
    </w:lvl>
  </w:abstractNum>
  <w:abstractNum w:abstractNumId="24" w15:restartNumberingAfterBreak="0">
    <w:nsid w:val="57826087"/>
    <w:multiLevelType w:val="hybridMultilevel"/>
    <w:tmpl w:val="D3D05DC4"/>
    <w:lvl w:ilvl="0" w:tplc="0902071E">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097C6A"/>
    <w:multiLevelType w:val="hybridMultilevel"/>
    <w:tmpl w:val="46884F62"/>
    <w:lvl w:ilvl="0" w:tplc="0C09000F">
      <w:start w:val="1"/>
      <w:numFmt w:val="decimal"/>
      <w:lvlText w:val="%1."/>
      <w:lvlJc w:val="left"/>
      <w:pPr>
        <w:ind w:left="720" w:hanging="360"/>
      </w:pPr>
      <w:rPr>
        <w:rFonts w:hint="default"/>
      </w:rPr>
    </w:lvl>
    <w:lvl w:ilvl="1" w:tplc="F5A20E9C">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5F491E"/>
    <w:multiLevelType w:val="hybridMultilevel"/>
    <w:tmpl w:val="624C863C"/>
    <w:lvl w:ilvl="0" w:tplc="54E671E4">
      <w:start w:val="1"/>
      <w:numFmt w:val="lowerLetter"/>
      <w:lvlText w:val="%1)"/>
      <w:lvlJc w:val="left"/>
      <w:pPr>
        <w:ind w:left="720" w:hanging="360"/>
      </w:pPr>
      <w:rPr>
        <w:b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E27E14"/>
    <w:multiLevelType w:val="hybridMultilevel"/>
    <w:tmpl w:val="4B6C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3656DF"/>
    <w:multiLevelType w:val="hybridMultilevel"/>
    <w:tmpl w:val="C8063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712568"/>
    <w:multiLevelType w:val="hybridMultilevel"/>
    <w:tmpl w:val="7E0E646A"/>
    <w:lvl w:ilvl="0" w:tplc="0C090001">
      <w:start w:val="1"/>
      <w:numFmt w:val="bullet"/>
      <w:lvlText w:val=""/>
      <w:lvlJc w:val="left"/>
      <w:pPr>
        <w:ind w:left="720" w:hanging="360"/>
      </w:pPr>
      <w:rPr>
        <w:rFonts w:ascii="Symbol" w:hAnsi="Symbol" w:hint="default"/>
      </w:rPr>
    </w:lvl>
    <w:lvl w:ilvl="1" w:tplc="966E718A">
      <w:start w:val="1"/>
      <w:numFmt w:val="bullet"/>
      <w:pStyle w:val="ListNumber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23081B"/>
    <w:multiLevelType w:val="multilevel"/>
    <w:tmpl w:val="4C445616"/>
    <w:name w:val="StandardBulletedList"/>
    <w:lvl w:ilvl="0">
      <w:start w:val="1"/>
      <w:numFmt w:val="bullet"/>
      <w:lvlText w:val="•"/>
      <w:lvlJc w:val="left"/>
      <w:pPr>
        <w:tabs>
          <w:tab w:val="num" w:pos="520"/>
        </w:tabs>
        <w:ind w:left="520" w:hanging="520"/>
      </w:pPr>
      <w:rPr>
        <w:rFonts w:ascii="Times New Roman" w:hAnsi="Times New Roman" w:cs="Times New Roman" w:hint="default"/>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8A63976"/>
    <w:multiLevelType w:val="hybridMultilevel"/>
    <w:tmpl w:val="0C6E2038"/>
    <w:lvl w:ilvl="0" w:tplc="0C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4005511">
    <w:abstractNumId w:val="18"/>
  </w:num>
  <w:num w:numId="2" w16cid:durableId="2082407832">
    <w:abstractNumId w:val="10"/>
  </w:num>
  <w:num w:numId="3" w16cid:durableId="1178350245">
    <w:abstractNumId w:val="2"/>
  </w:num>
  <w:num w:numId="4" w16cid:durableId="1615210804">
    <w:abstractNumId w:val="20"/>
  </w:num>
  <w:num w:numId="5" w16cid:durableId="197470659">
    <w:abstractNumId w:val="14"/>
  </w:num>
  <w:num w:numId="6" w16cid:durableId="861866616">
    <w:abstractNumId w:val="6"/>
  </w:num>
  <w:num w:numId="7" w16cid:durableId="414792005">
    <w:abstractNumId w:val="15"/>
  </w:num>
  <w:num w:numId="8" w16cid:durableId="1694265038">
    <w:abstractNumId w:val="19"/>
  </w:num>
  <w:num w:numId="9" w16cid:durableId="877282505">
    <w:abstractNumId w:val="28"/>
  </w:num>
  <w:num w:numId="10" w16cid:durableId="1323578426">
    <w:abstractNumId w:val="5"/>
  </w:num>
  <w:num w:numId="11" w16cid:durableId="255485072">
    <w:abstractNumId w:val="30"/>
  </w:num>
  <w:num w:numId="12" w16cid:durableId="433281891">
    <w:abstractNumId w:val="22"/>
  </w:num>
  <w:num w:numId="13" w16cid:durableId="1179928965">
    <w:abstractNumId w:val="27"/>
  </w:num>
  <w:num w:numId="14" w16cid:durableId="1238243497">
    <w:abstractNumId w:val="26"/>
  </w:num>
  <w:num w:numId="15" w16cid:durableId="1053625507">
    <w:abstractNumId w:val="29"/>
  </w:num>
  <w:num w:numId="16" w16cid:durableId="923219746">
    <w:abstractNumId w:val="13"/>
  </w:num>
  <w:num w:numId="17" w16cid:durableId="53116523">
    <w:abstractNumId w:val="24"/>
  </w:num>
  <w:num w:numId="18" w16cid:durableId="774056521">
    <w:abstractNumId w:val="25"/>
  </w:num>
  <w:num w:numId="19" w16cid:durableId="2020695304">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2216461">
    <w:abstractNumId w:val="17"/>
  </w:num>
  <w:num w:numId="21" w16cid:durableId="641429724">
    <w:abstractNumId w:val="7"/>
  </w:num>
  <w:num w:numId="22" w16cid:durableId="325862641">
    <w:abstractNumId w:val="12"/>
  </w:num>
  <w:num w:numId="23" w16cid:durableId="1405882650">
    <w:abstractNumId w:val="4"/>
  </w:num>
  <w:num w:numId="24" w16cid:durableId="551426219">
    <w:abstractNumId w:val="9"/>
  </w:num>
  <w:num w:numId="25" w16cid:durableId="697388011">
    <w:abstractNumId w:val="11"/>
  </w:num>
  <w:num w:numId="26" w16cid:durableId="1854688201">
    <w:abstractNumId w:val="1"/>
  </w:num>
  <w:num w:numId="27" w16cid:durableId="657222707">
    <w:abstractNumId w:val="23"/>
  </w:num>
  <w:num w:numId="28" w16cid:durableId="647125787">
    <w:abstractNumId w:val="3"/>
  </w:num>
  <w:num w:numId="29" w16cid:durableId="711687129">
    <w:abstractNumId w:val="31"/>
  </w:num>
  <w:num w:numId="30" w16cid:durableId="709720572">
    <w:abstractNumId w:val="21"/>
  </w:num>
  <w:num w:numId="31" w16cid:durableId="1597707384">
    <w:abstractNumId w:val="24"/>
    <w:lvlOverride w:ilvl="0">
      <w:startOverride w:val="4"/>
    </w:lvlOverride>
  </w:num>
  <w:num w:numId="32" w16cid:durableId="1968123598">
    <w:abstractNumId w:val="0"/>
  </w:num>
  <w:num w:numId="33" w16cid:durableId="7604253">
    <w:abstractNumId w:val="16"/>
  </w:num>
  <w:num w:numId="34" w16cid:durableId="1805347454">
    <w:abstractNumId w:val="8"/>
  </w:num>
  <w:num w:numId="35" w16cid:durableId="1350908942">
    <w:abstractNumId w:val="16"/>
    <w:lvlOverride w:ilvl="0">
      <w:startOverride w:val="1"/>
    </w:lvlOverride>
  </w:num>
  <w:num w:numId="36" w16cid:durableId="1890531559">
    <w:abstractNumId w:val="16"/>
  </w:num>
  <w:num w:numId="37" w16cid:durableId="1370718167">
    <w:abstractNumId w:val="1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A0"/>
    <w:rsid w:val="0000061D"/>
    <w:rsid w:val="0000165E"/>
    <w:rsid w:val="00001B40"/>
    <w:rsid w:val="00001F37"/>
    <w:rsid w:val="00001F60"/>
    <w:rsid w:val="00002104"/>
    <w:rsid w:val="00002502"/>
    <w:rsid w:val="00002916"/>
    <w:rsid w:val="00002E27"/>
    <w:rsid w:val="0000364C"/>
    <w:rsid w:val="000037C8"/>
    <w:rsid w:val="000038EB"/>
    <w:rsid w:val="00003DEE"/>
    <w:rsid w:val="00003FE9"/>
    <w:rsid w:val="00004375"/>
    <w:rsid w:val="0000442C"/>
    <w:rsid w:val="0000444E"/>
    <w:rsid w:val="00004630"/>
    <w:rsid w:val="00004A13"/>
    <w:rsid w:val="00004AB2"/>
    <w:rsid w:val="00004F30"/>
    <w:rsid w:val="0000512C"/>
    <w:rsid w:val="0000544F"/>
    <w:rsid w:val="000055BC"/>
    <w:rsid w:val="0000585F"/>
    <w:rsid w:val="00005BD7"/>
    <w:rsid w:val="00005EF3"/>
    <w:rsid w:val="00006075"/>
    <w:rsid w:val="000061F7"/>
    <w:rsid w:val="000062A8"/>
    <w:rsid w:val="0000685D"/>
    <w:rsid w:val="00006A7F"/>
    <w:rsid w:val="00006CC1"/>
    <w:rsid w:val="00006EA4"/>
    <w:rsid w:val="00006EB4"/>
    <w:rsid w:val="00007030"/>
    <w:rsid w:val="00007180"/>
    <w:rsid w:val="000073BC"/>
    <w:rsid w:val="0000746A"/>
    <w:rsid w:val="0000763C"/>
    <w:rsid w:val="00007BE4"/>
    <w:rsid w:val="00007BE6"/>
    <w:rsid w:val="00007C49"/>
    <w:rsid w:val="0001005B"/>
    <w:rsid w:val="000107A7"/>
    <w:rsid w:val="00010860"/>
    <w:rsid w:val="00010B24"/>
    <w:rsid w:val="0001126C"/>
    <w:rsid w:val="000112D7"/>
    <w:rsid w:val="000116CC"/>
    <w:rsid w:val="0001177F"/>
    <w:rsid w:val="00011D23"/>
    <w:rsid w:val="00012242"/>
    <w:rsid w:val="00012557"/>
    <w:rsid w:val="00012700"/>
    <w:rsid w:val="00012D26"/>
    <w:rsid w:val="00012E50"/>
    <w:rsid w:val="00012F82"/>
    <w:rsid w:val="00013A96"/>
    <w:rsid w:val="00013B3C"/>
    <w:rsid w:val="00013BD5"/>
    <w:rsid w:val="000145DB"/>
    <w:rsid w:val="00014789"/>
    <w:rsid w:val="00014C3E"/>
    <w:rsid w:val="00015035"/>
    <w:rsid w:val="00015734"/>
    <w:rsid w:val="000157D5"/>
    <w:rsid w:val="000158CF"/>
    <w:rsid w:val="000159F2"/>
    <w:rsid w:val="00015D81"/>
    <w:rsid w:val="00015D8C"/>
    <w:rsid w:val="00016403"/>
    <w:rsid w:val="00016C19"/>
    <w:rsid w:val="00016FCC"/>
    <w:rsid w:val="0001750D"/>
    <w:rsid w:val="00017543"/>
    <w:rsid w:val="00017569"/>
    <w:rsid w:val="0001790D"/>
    <w:rsid w:val="00017B54"/>
    <w:rsid w:val="00017C1D"/>
    <w:rsid w:val="00017EA1"/>
    <w:rsid w:val="00017F52"/>
    <w:rsid w:val="0002028A"/>
    <w:rsid w:val="00020302"/>
    <w:rsid w:val="00020904"/>
    <w:rsid w:val="00020908"/>
    <w:rsid w:val="00020CC3"/>
    <w:rsid w:val="00020DC8"/>
    <w:rsid w:val="00021163"/>
    <w:rsid w:val="00021456"/>
    <w:rsid w:val="0002168B"/>
    <w:rsid w:val="00021930"/>
    <w:rsid w:val="00021CC1"/>
    <w:rsid w:val="00021F43"/>
    <w:rsid w:val="0002201C"/>
    <w:rsid w:val="00022967"/>
    <w:rsid w:val="00022975"/>
    <w:rsid w:val="00022A63"/>
    <w:rsid w:val="00022DA4"/>
    <w:rsid w:val="00022F50"/>
    <w:rsid w:val="00022F6F"/>
    <w:rsid w:val="000230AE"/>
    <w:rsid w:val="000238FE"/>
    <w:rsid w:val="00023A4B"/>
    <w:rsid w:val="00023C02"/>
    <w:rsid w:val="000241DA"/>
    <w:rsid w:val="000245A3"/>
    <w:rsid w:val="00024714"/>
    <w:rsid w:val="00024DC5"/>
    <w:rsid w:val="00024E6A"/>
    <w:rsid w:val="00024E8E"/>
    <w:rsid w:val="00025160"/>
    <w:rsid w:val="00025276"/>
    <w:rsid w:val="00025546"/>
    <w:rsid w:val="00025967"/>
    <w:rsid w:val="000259E6"/>
    <w:rsid w:val="00025B99"/>
    <w:rsid w:val="00025CB6"/>
    <w:rsid w:val="000260BE"/>
    <w:rsid w:val="000260D6"/>
    <w:rsid w:val="000264CE"/>
    <w:rsid w:val="00026595"/>
    <w:rsid w:val="00026E37"/>
    <w:rsid w:val="00026F46"/>
    <w:rsid w:val="000270D1"/>
    <w:rsid w:val="000271E1"/>
    <w:rsid w:val="000272EC"/>
    <w:rsid w:val="000276ED"/>
    <w:rsid w:val="00027913"/>
    <w:rsid w:val="0002796B"/>
    <w:rsid w:val="000279CA"/>
    <w:rsid w:val="00027D37"/>
    <w:rsid w:val="00027E7A"/>
    <w:rsid w:val="00030010"/>
    <w:rsid w:val="0003010A"/>
    <w:rsid w:val="000306C9"/>
    <w:rsid w:val="00030882"/>
    <w:rsid w:val="000308C7"/>
    <w:rsid w:val="00030958"/>
    <w:rsid w:val="00030959"/>
    <w:rsid w:val="00030A2B"/>
    <w:rsid w:val="00030DE6"/>
    <w:rsid w:val="00030EA2"/>
    <w:rsid w:val="0003110F"/>
    <w:rsid w:val="000314A1"/>
    <w:rsid w:val="00031B5F"/>
    <w:rsid w:val="00031B99"/>
    <w:rsid w:val="00031D46"/>
    <w:rsid w:val="00031D7C"/>
    <w:rsid w:val="00031F12"/>
    <w:rsid w:val="000320D9"/>
    <w:rsid w:val="000320FA"/>
    <w:rsid w:val="000326D4"/>
    <w:rsid w:val="00032707"/>
    <w:rsid w:val="00032990"/>
    <w:rsid w:val="00032C8A"/>
    <w:rsid w:val="00032D75"/>
    <w:rsid w:val="00032DD4"/>
    <w:rsid w:val="00033064"/>
    <w:rsid w:val="00033206"/>
    <w:rsid w:val="00033F65"/>
    <w:rsid w:val="00034403"/>
    <w:rsid w:val="00034473"/>
    <w:rsid w:val="000347EA"/>
    <w:rsid w:val="00034CD4"/>
    <w:rsid w:val="000357E7"/>
    <w:rsid w:val="00035819"/>
    <w:rsid w:val="00035B31"/>
    <w:rsid w:val="00035CFA"/>
    <w:rsid w:val="00035EBF"/>
    <w:rsid w:val="00036015"/>
    <w:rsid w:val="000360A6"/>
    <w:rsid w:val="0003624A"/>
    <w:rsid w:val="000362EC"/>
    <w:rsid w:val="0003653E"/>
    <w:rsid w:val="0003659A"/>
    <w:rsid w:val="0003680F"/>
    <w:rsid w:val="00036FBA"/>
    <w:rsid w:val="00037147"/>
    <w:rsid w:val="000373A0"/>
    <w:rsid w:val="0003767E"/>
    <w:rsid w:val="000378BF"/>
    <w:rsid w:val="000402EB"/>
    <w:rsid w:val="00040430"/>
    <w:rsid w:val="0004046E"/>
    <w:rsid w:val="000404BD"/>
    <w:rsid w:val="00040AF5"/>
    <w:rsid w:val="000418E5"/>
    <w:rsid w:val="000419EB"/>
    <w:rsid w:val="00041CBF"/>
    <w:rsid w:val="00041CD1"/>
    <w:rsid w:val="00041D23"/>
    <w:rsid w:val="00041DAB"/>
    <w:rsid w:val="00041EE4"/>
    <w:rsid w:val="000424C5"/>
    <w:rsid w:val="0004274D"/>
    <w:rsid w:val="00042B51"/>
    <w:rsid w:val="00042D84"/>
    <w:rsid w:val="000433DD"/>
    <w:rsid w:val="0004357F"/>
    <w:rsid w:val="0004383E"/>
    <w:rsid w:val="0004394B"/>
    <w:rsid w:val="00043CCD"/>
    <w:rsid w:val="00043E49"/>
    <w:rsid w:val="000442F7"/>
    <w:rsid w:val="000446AD"/>
    <w:rsid w:val="0004476D"/>
    <w:rsid w:val="00044C62"/>
    <w:rsid w:val="00044E89"/>
    <w:rsid w:val="00044F79"/>
    <w:rsid w:val="000452F6"/>
    <w:rsid w:val="000456AA"/>
    <w:rsid w:val="000459CA"/>
    <w:rsid w:val="000459D8"/>
    <w:rsid w:val="00045AE8"/>
    <w:rsid w:val="00045C95"/>
    <w:rsid w:val="00045CDB"/>
    <w:rsid w:val="000463F7"/>
    <w:rsid w:val="0004647D"/>
    <w:rsid w:val="0004657C"/>
    <w:rsid w:val="00046791"/>
    <w:rsid w:val="00046835"/>
    <w:rsid w:val="00046886"/>
    <w:rsid w:val="000468A0"/>
    <w:rsid w:val="0004720D"/>
    <w:rsid w:val="0004738F"/>
    <w:rsid w:val="000475D9"/>
    <w:rsid w:val="00047975"/>
    <w:rsid w:val="000479F0"/>
    <w:rsid w:val="00047C93"/>
    <w:rsid w:val="00047CA0"/>
    <w:rsid w:val="000500BD"/>
    <w:rsid w:val="00050178"/>
    <w:rsid w:val="000508DC"/>
    <w:rsid w:val="00050BF9"/>
    <w:rsid w:val="00050CCC"/>
    <w:rsid w:val="00050E5B"/>
    <w:rsid w:val="00050E74"/>
    <w:rsid w:val="00050F2E"/>
    <w:rsid w:val="00050F5D"/>
    <w:rsid w:val="000516BF"/>
    <w:rsid w:val="00051A97"/>
    <w:rsid w:val="00051DFD"/>
    <w:rsid w:val="00051F37"/>
    <w:rsid w:val="00051FB3"/>
    <w:rsid w:val="0005222D"/>
    <w:rsid w:val="0005224E"/>
    <w:rsid w:val="00052580"/>
    <w:rsid w:val="00052895"/>
    <w:rsid w:val="00053166"/>
    <w:rsid w:val="00053290"/>
    <w:rsid w:val="000534C2"/>
    <w:rsid w:val="00054106"/>
    <w:rsid w:val="000543E2"/>
    <w:rsid w:val="00054557"/>
    <w:rsid w:val="00054874"/>
    <w:rsid w:val="0005530F"/>
    <w:rsid w:val="0005531C"/>
    <w:rsid w:val="0005573C"/>
    <w:rsid w:val="00055760"/>
    <w:rsid w:val="00055F62"/>
    <w:rsid w:val="000560C4"/>
    <w:rsid w:val="000562F6"/>
    <w:rsid w:val="00056377"/>
    <w:rsid w:val="000566F8"/>
    <w:rsid w:val="00056717"/>
    <w:rsid w:val="000573CE"/>
    <w:rsid w:val="000579D7"/>
    <w:rsid w:val="00057A46"/>
    <w:rsid w:val="00057CC0"/>
    <w:rsid w:val="00057CDF"/>
    <w:rsid w:val="000607E2"/>
    <w:rsid w:val="00060C38"/>
    <w:rsid w:val="00061251"/>
    <w:rsid w:val="00061515"/>
    <w:rsid w:val="000619F2"/>
    <w:rsid w:val="00061EF6"/>
    <w:rsid w:val="00062224"/>
    <w:rsid w:val="000624C0"/>
    <w:rsid w:val="00062861"/>
    <w:rsid w:val="00062D63"/>
    <w:rsid w:val="000632A1"/>
    <w:rsid w:val="00063617"/>
    <w:rsid w:val="00063CF6"/>
    <w:rsid w:val="00063E70"/>
    <w:rsid w:val="0006429E"/>
    <w:rsid w:val="000643E3"/>
    <w:rsid w:val="000647E1"/>
    <w:rsid w:val="000649D0"/>
    <w:rsid w:val="00064DD2"/>
    <w:rsid w:val="00064E16"/>
    <w:rsid w:val="00064E5B"/>
    <w:rsid w:val="00064EF7"/>
    <w:rsid w:val="00065029"/>
    <w:rsid w:val="00065345"/>
    <w:rsid w:val="000653D1"/>
    <w:rsid w:val="0006574C"/>
    <w:rsid w:val="000659E3"/>
    <w:rsid w:val="00065BD2"/>
    <w:rsid w:val="00065D75"/>
    <w:rsid w:val="00065EC1"/>
    <w:rsid w:val="00066277"/>
    <w:rsid w:val="00066479"/>
    <w:rsid w:val="000664E7"/>
    <w:rsid w:val="00066676"/>
    <w:rsid w:val="00066CD0"/>
    <w:rsid w:val="00067024"/>
    <w:rsid w:val="000672F6"/>
    <w:rsid w:val="00067379"/>
    <w:rsid w:val="0006751E"/>
    <w:rsid w:val="000676B3"/>
    <w:rsid w:val="00067A82"/>
    <w:rsid w:val="00067CD1"/>
    <w:rsid w:val="000700D4"/>
    <w:rsid w:val="00070BD5"/>
    <w:rsid w:val="00070C4A"/>
    <w:rsid w:val="00070D25"/>
    <w:rsid w:val="00070ED0"/>
    <w:rsid w:val="0007101C"/>
    <w:rsid w:val="00071164"/>
    <w:rsid w:val="0007165F"/>
    <w:rsid w:val="00071669"/>
    <w:rsid w:val="000717A9"/>
    <w:rsid w:val="00071A88"/>
    <w:rsid w:val="00072214"/>
    <w:rsid w:val="00072395"/>
    <w:rsid w:val="000725CB"/>
    <w:rsid w:val="00072B05"/>
    <w:rsid w:val="00072B1E"/>
    <w:rsid w:val="00072E3F"/>
    <w:rsid w:val="000730D4"/>
    <w:rsid w:val="000733A3"/>
    <w:rsid w:val="000734DD"/>
    <w:rsid w:val="0007369F"/>
    <w:rsid w:val="00073834"/>
    <w:rsid w:val="00073C84"/>
    <w:rsid w:val="00073D25"/>
    <w:rsid w:val="00073D53"/>
    <w:rsid w:val="00073FC0"/>
    <w:rsid w:val="00074142"/>
    <w:rsid w:val="00074437"/>
    <w:rsid w:val="00074703"/>
    <w:rsid w:val="00074CC0"/>
    <w:rsid w:val="0007506C"/>
    <w:rsid w:val="00075BD9"/>
    <w:rsid w:val="00075D3B"/>
    <w:rsid w:val="00075E26"/>
    <w:rsid w:val="00075E93"/>
    <w:rsid w:val="000762DA"/>
    <w:rsid w:val="000762EF"/>
    <w:rsid w:val="00076604"/>
    <w:rsid w:val="000766E0"/>
    <w:rsid w:val="0007673E"/>
    <w:rsid w:val="00076A96"/>
    <w:rsid w:val="00076CC6"/>
    <w:rsid w:val="00077226"/>
    <w:rsid w:val="00077403"/>
    <w:rsid w:val="00077936"/>
    <w:rsid w:val="0007793E"/>
    <w:rsid w:val="00077A38"/>
    <w:rsid w:val="00077D3A"/>
    <w:rsid w:val="00077D62"/>
    <w:rsid w:val="00080059"/>
    <w:rsid w:val="00080230"/>
    <w:rsid w:val="0008024A"/>
    <w:rsid w:val="00080576"/>
    <w:rsid w:val="00080AA2"/>
    <w:rsid w:val="00080C49"/>
    <w:rsid w:val="000811E2"/>
    <w:rsid w:val="000814A4"/>
    <w:rsid w:val="000816E5"/>
    <w:rsid w:val="00081BE4"/>
    <w:rsid w:val="00081D48"/>
    <w:rsid w:val="00082549"/>
    <w:rsid w:val="000828BF"/>
    <w:rsid w:val="000828E4"/>
    <w:rsid w:val="00082E76"/>
    <w:rsid w:val="0008317F"/>
    <w:rsid w:val="00083346"/>
    <w:rsid w:val="000835A9"/>
    <w:rsid w:val="0008370B"/>
    <w:rsid w:val="00083742"/>
    <w:rsid w:val="00083ABA"/>
    <w:rsid w:val="00083BA1"/>
    <w:rsid w:val="00084089"/>
    <w:rsid w:val="00084214"/>
    <w:rsid w:val="000845E8"/>
    <w:rsid w:val="00085157"/>
    <w:rsid w:val="00085438"/>
    <w:rsid w:val="00085956"/>
    <w:rsid w:val="00085C30"/>
    <w:rsid w:val="00085C61"/>
    <w:rsid w:val="00085E94"/>
    <w:rsid w:val="00085F1D"/>
    <w:rsid w:val="0008675B"/>
    <w:rsid w:val="000869F7"/>
    <w:rsid w:val="00086BFA"/>
    <w:rsid w:val="000876FA"/>
    <w:rsid w:val="00087975"/>
    <w:rsid w:val="00087A50"/>
    <w:rsid w:val="00087D0F"/>
    <w:rsid w:val="00090883"/>
    <w:rsid w:val="00090A9C"/>
    <w:rsid w:val="00090D88"/>
    <w:rsid w:val="00090D90"/>
    <w:rsid w:val="00091175"/>
    <w:rsid w:val="00091203"/>
    <w:rsid w:val="000912C0"/>
    <w:rsid w:val="00091BD9"/>
    <w:rsid w:val="00091C89"/>
    <w:rsid w:val="00091D93"/>
    <w:rsid w:val="000921C3"/>
    <w:rsid w:val="00092823"/>
    <w:rsid w:val="00092860"/>
    <w:rsid w:val="00092AE6"/>
    <w:rsid w:val="00092C67"/>
    <w:rsid w:val="0009304F"/>
    <w:rsid w:val="000931DF"/>
    <w:rsid w:val="00093485"/>
    <w:rsid w:val="000937E9"/>
    <w:rsid w:val="00093D5F"/>
    <w:rsid w:val="00094124"/>
    <w:rsid w:val="0009455C"/>
    <w:rsid w:val="00094ABB"/>
    <w:rsid w:val="00094B04"/>
    <w:rsid w:val="00094D6F"/>
    <w:rsid w:val="00094D76"/>
    <w:rsid w:val="00095225"/>
    <w:rsid w:val="00095302"/>
    <w:rsid w:val="000956D5"/>
    <w:rsid w:val="0009571A"/>
    <w:rsid w:val="000960E2"/>
    <w:rsid w:val="000965B5"/>
    <w:rsid w:val="000967F1"/>
    <w:rsid w:val="00096DFC"/>
    <w:rsid w:val="00096F81"/>
    <w:rsid w:val="0009728A"/>
    <w:rsid w:val="00097320"/>
    <w:rsid w:val="000975AE"/>
    <w:rsid w:val="00097652"/>
    <w:rsid w:val="0009781F"/>
    <w:rsid w:val="000978CB"/>
    <w:rsid w:val="00097CEC"/>
    <w:rsid w:val="00097FAA"/>
    <w:rsid w:val="000A00FB"/>
    <w:rsid w:val="000A021D"/>
    <w:rsid w:val="000A0326"/>
    <w:rsid w:val="000A039A"/>
    <w:rsid w:val="000A050E"/>
    <w:rsid w:val="000A08C5"/>
    <w:rsid w:val="000A08E7"/>
    <w:rsid w:val="000A095B"/>
    <w:rsid w:val="000A0A91"/>
    <w:rsid w:val="000A0B80"/>
    <w:rsid w:val="000A0E2C"/>
    <w:rsid w:val="000A15DF"/>
    <w:rsid w:val="000A179B"/>
    <w:rsid w:val="000A1819"/>
    <w:rsid w:val="000A1F51"/>
    <w:rsid w:val="000A21D2"/>
    <w:rsid w:val="000A221E"/>
    <w:rsid w:val="000A2222"/>
    <w:rsid w:val="000A2239"/>
    <w:rsid w:val="000A26A1"/>
    <w:rsid w:val="000A2844"/>
    <w:rsid w:val="000A2A22"/>
    <w:rsid w:val="000A2C3C"/>
    <w:rsid w:val="000A3190"/>
    <w:rsid w:val="000A36CF"/>
    <w:rsid w:val="000A386C"/>
    <w:rsid w:val="000A3CA8"/>
    <w:rsid w:val="000A3D20"/>
    <w:rsid w:val="000A3EE9"/>
    <w:rsid w:val="000A3F0C"/>
    <w:rsid w:val="000A4ABE"/>
    <w:rsid w:val="000A4C87"/>
    <w:rsid w:val="000A4ED2"/>
    <w:rsid w:val="000A51D1"/>
    <w:rsid w:val="000A5688"/>
    <w:rsid w:val="000A5C58"/>
    <w:rsid w:val="000A6ECD"/>
    <w:rsid w:val="000A6F80"/>
    <w:rsid w:val="000A702E"/>
    <w:rsid w:val="000A7098"/>
    <w:rsid w:val="000A75B7"/>
    <w:rsid w:val="000A7612"/>
    <w:rsid w:val="000A76A2"/>
    <w:rsid w:val="000A7D54"/>
    <w:rsid w:val="000A7F72"/>
    <w:rsid w:val="000A7FE7"/>
    <w:rsid w:val="000B0166"/>
    <w:rsid w:val="000B08FF"/>
    <w:rsid w:val="000B093B"/>
    <w:rsid w:val="000B094A"/>
    <w:rsid w:val="000B0DD0"/>
    <w:rsid w:val="000B1477"/>
    <w:rsid w:val="000B1D59"/>
    <w:rsid w:val="000B2035"/>
    <w:rsid w:val="000B2596"/>
    <w:rsid w:val="000B2693"/>
    <w:rsid w:val="000B2E50"/>
    <w:rsid w:val="000B33BC"/>
    <w:rsid w:val="000B33CA"/>
    <w:rsid w:val="000B3519"/>
    <w:rsid w:val="000B38C5"/>
    <w:rsid w:val="000B393C"/>
    <w:rsid w:val="000B3AD2"/>
    <w:rsid w:val="000B3AD5"/>
    <w:rsid w:val="000B3B2D"/>
    <w:rsid w:val="000B3CEE"/>
    <w:rsid w:val="000B406E"/>
    <w:rsid w:val="000B441F"/>
    <w:rsid w:val="000B4B83"/>
    <w:rsid w:val="000B4ECB"/>
    <w:rsid w:val="000B4F94"/>
    <w:rsid w:val="000B50EA"/>
    <w:rsid w:val="000B5619"/>
    <w:rsid w:val="000B5AED"/>
    <w:rsid w:val="000B5F91"/>
    <w:rsid w:val="000B630F"/>
    <w:rsid w:val="000B750A"/>
    <w:rsid w:val="000B791D"/>
    <w:rsid w:val="000B7CA8"/>
    <w:rsid w:val="000B7E2B"/>
    <w:rsid w:val="000C00B3"/>
    <w:rsid w:val="000C016D"/>
    <w:rsid w:val="000C0330"/>
    <w:rsid w:val="000C05FB"/>
    <w:rsid w:val="000C0A10"/>
    <w:rsid w:val="000C0B00"/>
    <w:rsid w:val="000C0C2D"/>
    <w:rsid w:val="000C0EA8"/>
    <w:rsid w:val="000C1562"/>
    <w:rsid w:val="000C190B"/>
    <w:rsid w:val="000C2402"/>
    <w:rsid w:val="000C26F5"/>
    <w:rsid w:val="000C273F"/>
    <w:rsid w:val="000C2A5F"/>
    <w:rsid w:val="000C2ABB"/>
    <w:rsid w:val="000C2EAF"/>
    <w:rsid w:val="000C31D7"/>
    <w:rsid w:val="000C3741"/>
    <w:rsid w:val="000C3878"/>
    <w:rsid w:val="000C3B34"/>
    <w:rsid w:val="000C3F41"/>
    <w:rsid w:val="000C44D8"/>
    <w:rsid w:val="000C47EA"/>
    <w:rsid w:val="000C4979"/>
    <w:rsid w:val="000C4BFF"/>
    <w:rsid w:val="000C4F52"/>
    <w:rsid w:val="000C5017"/>
    <w:rsid w:val="000C5069"/>
    <w:rsid w:val="000C50E3"/>
    <w:rsid w:val="000C5332"/>
    <w:rsid w:val="000C5AB5"/>
    <w:rsid w:val="000C5CE5"/>
    <w:rsid w:val="000C5D63"/>
    <w:rsid w:val="000C5D88"/>
    <w:rsid w:val="000C6217"/>
    <w:rsid w:val="000C641B"/>
    <w:rsid w:val="000C6435"/>
    <w:rsid w:val="000C6741"/>
    <w:rsid w:val="000C6769"/>
    <w:rsid w:val="000C6B1D"/>
    <w:rsid w:val="000C6CB9"/>
    <w:rsid w:val="000C6D2F"/>
    <w:rsid w:val="000C72A6"/>
    <w:rsid w:val="000C7307"/>
    <w:rsid w:val="000C7530"/>
    <w:rsid w:val="000C7584"/>
    <w:rsid w:val="000C786C"/>
    <w:rsid w:val="000C7B16"/>
    <w:rsid w:val="000C7CA8"/>
    <w:rsid w:val="000C7F4F"/>
    <w:rsid w:val="000C7FCA"/>
    <w:rsid w:val="000D04CB"/>
    <w:rsid w:val="000D07CA"/>
    <w:rsid w:val="000D087C"/>
    <w:rsid w:val="000D0AEE"/>
    <w:rsid w:val="000D0E43"/>
    <w:rsid w:val="000D0E6B"/>
    <w:rsid w:val="000D110F"/>
    <w:rsid w:val="000D133B"/>
    <w:rsid w:val="000D151C"/>
    <w:rsid w:val="000D19A9"/>
    <w:rsid w:val="000D1A55"/>
    <w:rsid w:val="000D2035"/>
    <w:rsid w:val="000D20FC"/>
    <w:rsid w:val="000D220D"/>
    <w:rsid w:val="000D23FD"/>
    <w:rsid w:val="000D265D"/>
    <w:rsid w:val="000D26EB"/>
    <w:rsid w:val="000D28B0"/>
    <w:rsid w:val="000D291A"/>
    <w:rsid w:val="000D2ABF"/>
    <w:rsid w:val="000D3113"/>
    <w:rsid w:val="000D32BB"/>
    <w:rsid w:val="000D34B8"/>
    <w:rsid w:val="000D3597"/>
    <w:rsid w:val="000D37EF"/>
    <w:rsid w:val="000D38B3"/>
    <w:rsid w:val="000D3B7C"/>
    <w:rsid w:val="000D3F10"/>
    <w:rsid w:val="000D40B3"/>
    <w:rsid w:val="000D40C4"/>
    <w:rsid w:val="000D4442"/>
    <w:rsid w:val="000D469F"/>
    <w:rsid w:val="000D5039"/>
    <w:rsid w:val="000D5934"/>
    <w:rsid w:val="000D5CE9"/>
    <w:rsid w:val="000D5E3E"/>
    <w:rsid w:val="000D5E8F"/>
    <w:rsid w:val="000D6772"/>
    <w:rsid w:val="000D68FD"/>
    <w:rsid w:val="000D693C"/>
    <w:rsid w:val="000D6A73"/>
    <w:rsid w:val="000D727B"/>
    <w:rsid w:val="000D760E"/>
    <w:rsid w:val="000D7F68"/>
    <w:rsid w:val="000E0352"/>
    <w:rsid w:val="000E044C"/>
    <w:rsid w:val="000E0C5F"/>
    <w:rsid w:val="000E0C7C"/>
    <w:rsid w:val="000E0CAA"/>
    <w:rsid w:val="000E0DA4"/>
    <w:rsid w:val="000E0DF1"/>
    <w:rsid w:val="000E0E37"/>
    <w:rsid w:val="000E13AB"/>
    <w:rsid w:val="000E13F7"/>
    <w:rsid w:val="000E1774"/>
    <w:rsid w:val="000E17F7"/>
    <w:rsid w:val="000E19AA"/>
    <w:rsid w:val="000E1A27"/>
    <w:rsid w:val="000E21F9"/>
    <w:rsid w:val="000E22C5"/>
    <w:rsid w:val="000E2D07"/>
    <w:rsid w:val="000E2EB0"/>
    <w:rsid w:val="000E30A6"/>
    <w:rsid w:val="000E32B5"/>
    <w:rsid w:val="000E34E0"/>
    <w:rsid w:val="000E3AED"/>
    <w:rsid w:val="000E3E3D"/>
    <w:rsid w:val="000E40F3"/>
    <w:rsid w:val="000E413C"/>
    <w:rsid w:val="000E428C"/>
    <w:rsid w:val="000E4D97"/>
    <w:rsid w:val="000E4EBC"/>
    <w:rsid w:val="000E5524"/>
    <w:rsid w:val="000E5C17"/>
    <w:rsid w:val="000E5C9A"/>
    <w:rsid w:val="000E6000"/>
    <w:rsid w:val="000E60FB"/>
    <w:rsid w:val="000E6123"/>
    <w:rsid w:val="000E6589"/>
    <w:rsid w:val="000E67DB"/>
    <w:rsid w:val="000E6FB8"/>
    <w:rsid w:val="000E7130"/>
    <w:rsid w:val="000E7213"/>
    <w:rsid w:val="000E7351"/>
    <w:rsid w:val="000E7A43"/>
    <w:rsid w:val="000E7A5B"/>
    <w:rsid w:val="000E7B83"/>
    <w:rsid w:val="000E7BA0"/>
    <w:rsid w:val="000F086B"/>
    <w:rsid w:val="000F08E3"/>
    <w:rsid w:val="000F0B3C"/>
    <w:rsid w:val="000F0BC5"/>
    <w:rsid w:val="000F0C57"/>
    <w:rsid w:val="000F1515"/>
    <w:rsid w:val="000F180E"/>
    <w:rsid w:val="000F1885"/>
    <w:rsid w:val="000F1CDA"/>
    <w:rsid w:val="000F1FDE"/>
    <w:rsid w:val="000F2300"/>
    <w:rsid w:val="000F236D"/>
    <w:rsid w:val="000F23BE"/>
    <w:rsid w:val="000F2519"/>
    <w:rsid w:val="000F253B"/>
    <w:rsid w:val="000F25C0"/>
    <w:rsid w:val="000F25C8"/>
    <w:rsid w:val="000F2672"/>
    <w:rsid w:val="000F27C6"/>
    <w:rsid w:val="000F2EA5"/>
    <w:rsid w:val="000F2EE7"/>
    <w:rsid w:val="000F3037"/>
    <w:rsid w:val="000F30D1"/>
    <w:rsid w:val="000F310B"/>
    <w:rsid w:val="000F3127"/>
    <w:rsid w:val="000F3316"/>
    <w:rsid w:val="000F332C"/>
    <w:rsid w:val="000F3A00"/>
    <w:rsid w:val="000F3B44"/>
    <w:rsid w:val="000F3D41"/>
    <w:rsid w:val="000F47E9"/>
    <w:rsid w:val="000F4899"/>
    <w:rsid w:val="000F4972"/>
    <w:rsid w:val="000F4A82"/>
    <w:rsid w:val="000F4B04"/>
    <w:rsid w:val="000F4CDB"/>
    <w:rsid w:val="000F4D4F"/>
    <w:rsid w:val="000F4DE5"/>
    <w:rsid w:val="000F50C3"/>
    <w:rsid w:val="000F52AF"/>
    <w:rsid w:val="000F537A"/>
    <w:rsid w:val="000F54AD"/>
    <w:rsid w:val="000F54FD"/>
    <w:rsid w:val="000F5736"/>
    <w:rsid w:val="000F6675"/>
    <w:rsid w:val="000F66B6"/>
    <w:rsid w:val="000F66F8"/>
    <w:rsid w:val="000F6757"/>
    <w:rsid w:val="000F6EAB"/>
    <w:rsid w:val="000F7276"/>
    <w:rsid w:val="000F768D"/>
    <w:rsid w:val="000F79BD"/>
    <w:rsid w:val="000F7EBE"/>
    <w:rsid w:val="001003EE"/>
    <w:rsid w:val="00100689"/>
    <w:rsid w:val="0010068E"/>
    <w:rsid w:val="00100851"/>
    <w:rsid w:val="00100854"/>
    <w:rsid w:val="00100ACF"/>
    <w:rsid w:val="00100E42"/>
    <w:rsid w:val="00100EC3"/>
    <w:rsid w:val="00100FF2"/>
    <w:rsid w:val="001011F6"/>
    <w:rsid w:val="0010168A"/>
    <w:rsid w:val="00101A29"/>
    <w:rsid w:val="00101FBC"/>
    <w:rsid w:val="00102110"/>
    <w:rsid w:val="00102A22"/>
    <w:rsid w:val="00103780"/>
    <w:rsid w:val="00103864"/>
    <w:rsid w:val="00103ABA"/>
    <w:rsid w:val="00103F74"/>
    <w:rsid w:val="0010432F"/>
    <w:rsid w:val="001048D1"/>
    <w:rsid w:val="00104B72"/>
    <w:rsid w:val="00104C83"/>
    <w:rsid w:val="00104D48"/>
    <w:rsid w:val="00104D66"/>
    <w:rsid w:val="00104F6B"/>
    <w:rsid w:val="00105153"/>
    <w:rsid w:val="00105274"/>
    <w:rsid w:val="0010527E"/>
    <w:rsid w:val="00105882"/>
    <w:rsid w:val="00106498"/>
    <w:rsid w:val="00106BF6"/>
    <w:rsid w:val="00107100"/>
    <w:rsid w:val="00107274"/>
    <w:rsid w:val="001074D8"/>
    <w:rsid w:val="00107734"/>
    <w:rsid w:val="00107961"/>
    <w:rsid w:val="00107A07"/>
    <w:rsid w:val="00107B10"/>
    <w:rsid w:val="00107B81"/>
    <w:rsid w:val="00107E68"/>
    <w:rsid w:val="001100AE"/>
    <w:rsid w:val="001103E9"/>
    <w:rsid w:val="001104B7"/>
    <w:rsid w:val="001107C3"/>
    <w:rsid w:val="0011089B"/>
    <w:rsid w:val="00110906"/>
    <w:rsid w:val="0011137C"/>
    <w:rsid w:val="00111801"/>
    <w:rsid w:val="001119CA"/>
    <w:rsid w:val="00111A77"/>
    <w:rsid w:val="00111CC1"/>
    <w:rsid w:val="00111D28"/>
    <w:rsid w:val="00111E7D"/>
    <w:rsid w:val="00111F7A"/>
    <w:rsid w:val="00112C37"/>
    <w:rsid w:val="00112C8A"/>
    <w:rsid w:val="00113138"/>
    <w:rsid w:val="00113696"/>
    <w:rsid w:val="00113A7F"/>
    <w:rsid w:val="00113AC5"/>
    <w:rsid w:val="00113F17"/>
    <w:rsid w:val="00113FE8"/>
    <w:rsid w:val="00114340"/>
    <w:rsid w:val="001148C6"/>
    <w:rsid w:val="00115628"/>
    <w:rsid w:val="00115DCC"/>
    <w:rsid w:val="00116011"/>
    <w:rsid w:val="0011601F"/>
    <w:rsid w:val="0011615F"/>
    <w:rsid w:val="001165EE"/>
    <w:rsid w:val="00116663"/>
    <w:rsid w:val="00116B91"/>
    <w:rsid w:val="00116CCB"/>
    <w:rsid w:val="00116D52"/>
    <w:rsid w:val="0011714D"/>
    <w:rsid w:val="0011728B"/>
    <w:rsid w:val="0011798B"/>
    <w:rsid w:val="00117AE3"/>
    <w:rsid w:val="00117B3F"/>
    <w:rsid w:val="00117D26"/>
    <w:rsid w:val="00117EFC"/>
    <w:rsid w:val="00117FA9"/>
    <w:rsid w:val="0012002F"/>
    <w:rsid w:val="0012026C"/>
    <w:rsid w:val="0012030C"/>
    <w:rsid w:val="0012044A"/>
    <w:rsid w:val="00120537"/>
    <w:rsid w:val="00120AEB"/>
    <w:rsid w:val="00120E28"/>
    <w:rsid w:val="00121140"/>
    <w:rsid w:val="0012166E"/>
    <w:rsid w:val="00122052"/>
    <w:rsid w:val="001221FA"/>
    <w:rsid w:val="0012257D"/>
    <w:rsid w:val="001226C4"/>
    <w:rsid w:val="0012287F"/>
    <w:rsid w:val="00122B80"/>
    <w:rsid w:val="00122BA9"/>
    <w:rsid w:val="00122CC1"/>
    <w:rsid w:val="00122DD6"/>
    <w:rsid w:val="00122F15"/>
    <w:rsid w:val="0012379D"/>
    <w:rsid w:val="00123833"/>
    <w:rsid w:val="001238A8"/>
    <w:rsid w:val="00123C41"/>
    <w:rsid w:val="00123DB0"/>
    <w:rsid w:val="0012448A"/>
    <w:rsid w:val="001244E8"/>
    <w:rsid w:val="00124596"/>
    <w:rsid w:val="001246DA"/>
    <w:rsid w:val="001249A0"/>
    <w:rsid w:val="00124B88"/>
    <w:rsid w:val="00124E36"/>
    <w:rsid w:val="001253A9"/>
    <w:rsid w:val="0012552C"/>
    <w:rsid w:val="0012593B"/>
    <w:rsid w:val="00125CFD"/>
    <w:rsid w:val="001264FC"/>
    <w:rsid w:val="001269E7"/>
    <w:rsid w:val="00126A0D"/>
    <w:rsid w:val="001275B5"/>
    <w:rsid w:val="001305B1"/>
    <w:rsid w:val="001309B1"/>
    <w:rsid w:val="00130A5F"/>
    <w:rsid w:val="00130E51"/>
    <w:rsid w:val="001310A1"/>
    <w:rsid w:val="0013186A"/>
    <w:rsid w:val="001318DB"/>
    <w:rsid w:val="001318E0"/>
    <w:rsid w:val="001324CB"/>
    <w:rsid w:val="001325F6"/>
    <w:rsid w:val="00132F36"/>
    <w:rsid w:val="00133012"/>
    <w:rsid w:val="001333D0"/>
    <w:rsid w:val="00133BB0"/>
    <w:rsid w:val="001345E5"/>
    <w:rsid w:val="001345FA"/>
    <w:rsid w:val="0013466B"/>
    <w:rsid w:val="00134BFC"/>
    <w:rsid w:val="00134F29"/>
    <w:rsid w:val="00135436"/>
    <w:rsid w:val="00135852"/>
    <w:rsid w:val="00135C3F"/>
    <w:rsid w:val="00135D1E"/>
    <w:rsid w:val="00136135"/>
    <w:rsid w:val="00136227"/>
    <w:rsid w:val="00136D2F"/>
    <w:rsid w:val="00136DF3"/>
    <w:rsid w:val="0013700C"/>
    <w:rsid w:val="001371C5"/>
    <w:rsid w:val="00137784"/>
    <w:rsid w:val="00137FB3"/>
    <w:rsid w:val="00140726"/>
    <w:rsid w:val="0014079F"/>
    <w:rsid w:val="00140C6E"/>
    <w:rsid w:val="0014114E"/>
    <w:rsid w:val="00141164"/>
    <w:rsid w:val="00141784"/>
    <w:rsid w:val="00141B6D"/>
    <w:rsid w:val="00141BBD"/>
    <w:rsid w:val="00141CB5"/>
    <w:rsid w:val="0014202A"/>
    <w:rsid w:val="001420B9"/>
    <w:rsid w:val="00142604"/>
    <w:rsid w:val="00142653"/>
    <w:rsid w:val="00142A41"/>
    <w:rsid w:val="00142D15"/>
    <w:rsid w:val="00143239"/>
    <w:rsid w:val="0014333F"/>
    <w:rsid w:val="001433BE"/>
    <w:rsid w:val="00143701"/>
    <w:rsid w:val="00143B06"/>
    <w:rsid w:val="00143BE9"/>
    <w:rsid w:val="00143CF4"/>
    <w:rsid w:val="00143EDE"/>
    <w:rsid w:val="00144647"/>
    <w:rsid w:val="001447F9"/>
    <w:rsid w:val="001453C8"/>
    <w:rsid w:val="0014598B"/>
    <w:rsid w:val="00145A23"/>
    <w:rsid w:val="00145DCA"/>
    <w:rsid w:val="0014652D"/>
    <w:rsid w:val="001466C0"/>
    <w:rsid w:val="001466EF"/>
    <w:rsid w:val="001467DF"/>
    <w:rsid w:val="0014698D"/>
    <w:rsid w:val="00146D1A"/>
    <w:rsid w:val="00146D4C"/>
    <w:rsid w:val="001471F6"/>
    <w:rsid w:val="00147BD8"/>
    <w:rsid w:val="00147CBB"/>
    <w:rsid w:val="00147D3E"/>
    <w:rsid w:val="00147DD9"/>
    <w:rsid w:val="00150427"/>
    <w:rsid w:val="0015046B"/>
    <w:rsid w:val="001504D4"/>
    <w:rsid w:val="001506C5"/>
    <w:rsid w:val="00150729"/>
    <w:rsid w:val="001507EB"/>
    <w:rsid w:val="001508E6"/>
    <w:rsid w:val="001509BD"/>
    <w:rsid w:val="001509C9"/>
    <w:rsid w:val="00150B1B"/>
    <w:rsid w:val="001510E8"/>
    <w:rsid w:val="00151228"/>
    <w:rsid w:val="0015151B"/>
    <w:rsid w:val="00151ADE"/>
    <w:rsid w:val="00151D1B"/>
    <w:rsid w:val="00151D52"/>
    <w:rsid w:val="001520A3"/>
    <w:rsid w:val="0015213E"/>
    <w:rsid w:val="00152147"/>
    <w:rsid w:val="0015229E"/>
    <w:rsid w:val="00152441"/>
    <w:rsid w:val="0015244F"/>
    <w:rsid w:val="00152874"/>
    <w:rsid w:val="001529F9"/>
    <w:rsid w:val="00152A13"/>
    <w:rsid w:val="00152A36"/>
    <w:rsid w:val="00152BF9"/>
    <w:rsid w:val="00152CB8"/>
    <w:rsid w:val="00153176"/>
    <w:rsid w:val="00153480"/>
    <w:rsid w:val="00153F98"/>
    <w:rsid w:val="00154452"/>
    <w:rsid w:val="0015481B"/>
    <w:rsid w:val="00154CD7"/>
    <w:rsid w:val="00154D32"/>
    <w:rsid w:val="001554A2"/>
    <w:rsid w:val="00155B7E"/>
    <w:rsid w:val="00155FC6"/>
    <w:rsid w:val="0015653B"/>
    <w:rsid w:val="001567D8"/>
    <w:rsid w:val="00156856"/>
    <w:rsid w:val="00156A18"/>
    <w:rsid w:val="00157176"/>
    <w:rsid w:val="00157206"/>
    <w:rsid w:val="001574C1"/>
    <w:rsid w:val="0015752E"/>
    <w:rsid w:val="00157568"/>
    <w:rsid w:val="00157849"/>
    <w:rsid w:val="00157A68"/>
    <w:rsid w:val="00157E21"/>
    <w:rsid w:val="00157E91"/>
    <w:rsid w:val="001606E4"/>
    <w:rsid w:val="00160E9D"/>
    <w:rsid w:val="00160F1C"/>
    <w:rsid w:val="0016104A"/>
    <w:rsid w:val="00161402"/>
    <w:rsid w:val="00161478"/>
    <w:rsid w:val="001616F6"/>
    <w:rsid w:val="001618E8"/>
    <w:rsid w:val="00161E1D"/>
    <w:rsid w:val="00162238"/>
    <w:rsid w:val="00162273"/>
    <w:rsid w:val="0016254C"/>
    <w:rsid w:val="0016269D"/>
    <w:rsid w:val="00162A10"/>
    <w:rsid w:val="00162B25"/>
    <w:rsid w:val="00162C0B"/>
    <w:rsid w:val="00163174"/>
    <w:rsid w:val="001639C1"/>
    <w:rsid w:val="00163BCF"/>
    <w:rsid w:val="00163F6D"/>
    <w:rsid w:val="001642C7"/>
    <w:rsid w:val="001646CC"/>
    <w:rsid w:val="00164A30"/>
    <w:rsid w:val="00164B6D"/>
    <w:rsid w:val="00164CFA"/>
    <w:rsid w:val="001654E1"/>
    <w:rsid w:val="0016553F"/>
    <w:rsid w:val="00165773"/>
    <w:rsid w:val="00165E24"/>
    <w:rsid w:val="001660BB"/>
    <w:rsid w:val="001661D1"/>
    <w:rsid w:val="00166485"/>
    <w:rsid w:val="0016659D"/>
    <w:rsid w:val="001666F2"/>
    <w:rsid w:val="0016676F"/>
    <w:rsid w:val="0016692F"/>
    <w:rsid w:val="0016697B"/>
    <w:rsid w:val="00166B20"/>
    <w:rsid w:val="001671D5"/>
    <w:rsid w:val="001671F9"/>
    <w:rsid w:val="001672F5"/>
    <w:rsid w:val="00167490"/>
    <w:rsid w:val="001676C1"/>
    <w:rsid w:val="00167AB7"/>
    <w:rsid w:val="00167D4A"/>
    <w:rsid w:val="00170070"/>
    <w:rsid w:val="001702DD"/>
    <w:rsid w:val="001705CE"/>
    <w:rsid w:val="001706D5"/>
    <w:rsid w:val="0017078F"/>
    <w:rsid w:val="001712C6"/>
    <w:rsid w:val="001716CC"/>
    <w:rsid w:val="0017187C"/>
    <w:rsid w:val="00172846"/>
    <w:rsid w:val="001728BA"/>
    <w:rsid w:val="001729CC"/>
    <w:rsid w:val="00172A7A"/>
    <w:rsid w:val="00172B48"/>
    <w:rsid w:val="00172BE6"/>
    <w:rsid w:val="00172CBB"/>
    <w:rsid w:val="00173165"/>
    <w:rsid w:val="00173602"/>
    <w:rsid w:val="00173781"/>
    <w:rsid w:val="00173A7E"/>
    <w:rsid w:val="00173E22"/>
    <w:rsid w:val="001740EB"/>
    <w:rsid w:val="001741B0"/>
    <w:rsid w:val="001742D5"/>
    <w:rsid w:val="001742F7"/>
    <w:rsid w:val="0017450B"/>
    <w:rsid w:val="001748D1"/>
    <w:rsid w:val="00174EB8"/>
    <w:rsid w:val="00175082"/>
    <w:rsid w:val="00175B71"/>
    <w:rsid w:val="0017636B"/>
    <w:rsid w:val="00176609"/>
    <w:rsid w:val="00176BCD"/>
    <w:rsid w:val="00176C92"/>
    <w:rsid w:val="00176F52"/>
    <w:rsid w:val="0017713D"/>
    <w:rsid w:val="00177487"/>
    <w:rsid w:val="00177C8E"/>
    <w:rsid w:val="00177D74"/>
    <w:rsid w:val="00177DCE"/>
    <w:rsid w:val="00177EA2"/>
    <w:rsid w:val="001807BD"/>
    <w:rsid w:val="00180FC0"/>
    <w:rsid w:val="0018137A"/>
    <w:rsid w:val="00181AB3"/>
    <w:rsid w:val="00181F13"/>
    <w:rsid w:val="0018204A"/>
    <w:rsid w:val="0018236F"/>
    <w:rsid w:val="0018246B"/>
    <w:rsid w:val="0018247B"/>
    <w:rsid w:val="001827B9"/>
    <w:rsid w:val="00182CE7"/>
    <w:rsid w:val="00182DB0"/>
    <w:rsid w:val="00183135"/>
    <w:rsid w:val="001831F5"/>
    <w:rsid w:val="0018356A"/>
    <w:rsid w:val="0018356F"/>
    <w:rsid w:val="001835EB"/>
    <w:rsid w:val="00183707"/>
    <w:rsid w:val="0018394C"/>
    <w:rsid w:val="00183A8C"/>
    <w:rsid w:val="00183C5D"/>
    <w:rsid w:val="00183E6A"/>
    <w:rsid w:val="0018436D"/>
    <w:rsid w:val="001845F3"/>
    <w:rsid w:val="00184718"/>
    <w:rsid w:val="00184FB2"/>
    <w:rsid w:val="00185001"/>
    <w:rsid w:val="001856FC"/>
    <w:rsid w:val="00185809"/>
    <w:rsid w:val="00185A00"/>
    <w:rsid w:val="00185A59"/>
    <w:rsid w:val="00185BEB"/>
    <w:rsid w:val="00185FAC"/>
    <w:rsid w:val="00186388"/>
    <w:rsid w:val="001863FE"/>
    <w:rsid w:val="00186628"/>
    <w:rsid w:val="00186854"/>
    <w:rsid w:val="00186B57"/>
    <w:rsid w:val="0018705F"/>
    <w:rsid w:val="00187091"/>
    <w:rsid w:val="00187C2F"/>
    <w:rsid w:val="00190153"/>
    <w:rsid w:val="0019027F"/>
    <w:rsid w:val="00190465"/>
    <w:rsid w:val="00191037"/>
    <w:rsid w:val="001912E1"/>
    <w:rsid w:val="00191605"/>
    <w:rsid w:val="00191A9C"/>
    <w:rsid w:val="00191B28"/>
    <w:rsid w:val="00191B53"/>
    <w:rsid w:val="00192010"/>
    <w:rsid w:val="00192119"/>
    <w:rsid w:val="00192386"/>
    <w:rsid w:val="00192782"/>
    <w:rsid w:val="00192860"/>
    <w:rsid w:val="001932E7"/>
    <w:rsid w:val="001934AA"/>
    <w:rsid w:val="00193629"/>
    <w:rsid w:val="001939ED"/>
    <w:rsid w:val="00193A0E"/>
    <w:rsid w:val="00193CBB"/>
    <w:rsid w:val="00194024"/>
    <w:rsid w:val="001943E1"/>
    <w:rsid w:val="00194718"/>
    <w:rsid w:val="00194B69"/>
    <w:rsid w:val="00195009"/>
    <w:rsid w:val="001950BE"/>
    <w:rsid w:val="001950E3"/>
    <w:rsid w:val="00195583"/>
    <w:rsid w:val="00195903"/>
    <w:rsid w:val="00195980"/>
    <w:rsid w:val="00195BE0"/>
    <w:rsid w:val="00195BEF"/>
    <w:rsid w:val="0019617B"/>
    <w:rsid w:val="00196193"/>
    <w:rsid w:val="001961BE"/>
    <w:rsid w:val="00196350"/>
    <w:rsid w:val="001968D3"/>
    <w:rsid w:val="001969EA"/>
    <w:rsid w:val="00196B87"/>
    <w:rsid w:val="00196DC2"/>
    <w:rsid w:val="00196F36"/>
    <w:rsid w:val="00197582"/>
    <w:rsid w:val="00197774"/>
    <w:rsid w:val="00197AEE"/>
    <w:rsid w:val="00197EF8"/>
    <w:rsid w:val="001A02FB"/>
    <w:rsid w:val="001A0391"/>
    <w:rsid w:val="001A0607"/>
    <w:rsid w:val="001A09B0"/>
    <w:rsid w:val="001A0A19"/>
    <w:rsid w:val="001A0E31"/>
    <w:rsid w:val="001A1072"/>
    <w:rsid w:val="001A1241"/>
    <w:rsid w:val="001A133F"/>
    <w:rsid w:val="001A13A7"/>
    <w:rsid w:val="001A15A1"/>
    <w:rsid w:val="001A17B2"/>
    <w:rsid w:val="001A1B07"/>
    <w:rsid w:val="001A1B13"/>
    <w:rsid w:val="001A1E7A"/>
    <w:rsid w:val="001A2863"/>
    <w:rsid w:val="001A28CD"/>
    <w:rsid w:val="001A2A1D"/>
    <w:rsid w:val="001A3CC5"/>
    <w:rsid w:val="001A3DDE"/>
    <w:rsid w:val="001A3F82"/>
    <w:rsid w:val="001A3FBC"/>
    <w:rsid w:val="001A400B"/>
    <w:rsid w:val="001A4343"/>
    <w:rsid w:val="001A48B3"/>
    <w:rsid w:val="001A4A78"/>
    <w:rsid w:val="001A5231"/>
    <w:rsid w:val="001A5A0F"/>
    <w:rsid w:val="001A5DC5"/>
    <w:rsid w:val="001A62A9"/>
    <w:rsid w:val="001A6486"/>
    <w:rsid w:val="001A6B0A"/>
    <w:rsid w:val="001A6B7C"/>
    <w:rsid w:val="001A6F72"/>
    <w:rsid w:val="001A7203"/>
    <w:rsid w:val="001A7491"/>
    <w:rsid w:val="001A7959"/>
    <w:rsid w:val="001A7F68"/>
    <w:rsid w:val="001A7F94"/>
    <w:rsid w:val="001B00E0"/>
    <w:rsid w:val="001B0ABA"/>
    <w:rsid w:val="001B0C2E"/>
    <w:rsid w:val="001B0CA6"/>
    <w:rsid w:val="001B0D93"/>
    <w:rsid w:val="001B0F34"/>
    <w:rsid w:val="001B11AD"/>
    <w:rsid w:val="001B1939"/>
    <w:rsid w:val="001B1DA9"/>
    <w:rsid w:val="001B20F1"/>
    <w:rsid w:val="001B2192"/>
    <w:rsid w:val="001B22A4"/>
    <w:rsid w:val="001B2862"/>
    <w:rsid w:val="001B28AD"/>
    <w:rsid w:val="001B2B9C"/>
    <w:rsid w:val="001B2CA4"/>
    <w:rsid w:val="001B31D6"/>
    <w:rsid w:val="001B32C2"/>
    <w:rsid w:val="001B3370"/>
    <w:rsid w:val="001B33F1"/>
    <w:rsid w:val="001B3402"/>
    <w:rsid w:val="001B3416"/>
    <w:rsid w:val="001B359D"/>
    <w:rsid w:val="001B36B7"/>
    <w:rsid w:val="001B3713"/>
    <w:rsid w:val="001B3E3E"/>
    <w:rsid w:val="001B3E9E"/>
    <w:rsid w:val="001B41EE"/>
    <w:rsid w:val="001B4296"/>
    <w:rsid w:val="001B438F"/>
    <w:rsid w:val="001B44AF"/>
    <w:rsid w:val="001B4546"/>
    <w:rsid w:val="001B4BA5"/>
    <w:rsid w:val="001B4D24"/>
    <w:rsid w:val="001B5124"/>
    <w:rsid w:val="001B5352"/>
    <w:rsid w:val="001B54CE"/>
    <w:rsid w:val="001B5511"/>
    <w:rsid w:val="001B562A"/>
    <w:rsid w:val="001B5DEA"/>
    <w:rsid w:val="001B6487"/>
    <w:rsid w:val="001B685E"/>
    <w:rsid w:val="001B687D"/>
    <w:rsid w:val="001B68CA"/>
    <w:rsid w:val="001B691D"/>
    <w:rsid w:val="001B693C"/>
    <w:rsid w:val="001B6E73"/>
    <w:rsid w:val="001B6FB3"/>
    <w:rsid w:val="001B7122"/>
    <w:rsid w:val="001B7429"/>
    <w:rsid w:val="001B775F"/>
    <w:rsid w:val="001B7A68"/>
    <w:rsid w:val="001B7B84"/>
    <w:rsid w:val="001C00A8"/>
    <w:rsid w:val="001C03F0"/>
    <w:rsid w:val="001C0479"/>
    <w:rsid w:val="001C06A4"/>
    <w:rsid w:val="001C0712"/>
    <w:rsid w:val="001C073E"/>
    <w:rsid w:val="001C0C6A"/>
    <w:rsid w:val="001C0C8E"/>
    <w:rsid w:val="001C0D11"/>
    <w:rsid w:val="001C0DC8"/>
    <w:rsid w:val="001C0FA6"/>
    <w:rsid w:val="001C1A14"/>
    <w:rsid w:val="001C1C31"/>
    <w:rsid w:val="001C1CE2"/>
    <w:rsid w:val="001C1F23"/>
    <w:rsid w:val="001C2196"/>
    <w:rsid w:val="001C23FC"/>
    <w:rsid w:val="001C275F"/>
    <w:rsid w:val="001C29C4"/>
    <w:rsid w:val="001C3534"/>
    <w:rsid w:val="001C405A"/>
    <w:rsid w:val="001C4C03"/>
    <w:rsid w:val="001C4C0B"/>
    <w:rsid w:val="001C4D49"/>
    <w:rsid w:val="001C4DEF"/>
    <w:rsid w:val="001C5246"/>
    <w:rsid w:val="001C53BD"/>
    <w:rsid w:val="001C5683"/>
    <w:rsid w:val="001C5779"/>
    <w:rsid w:val="001C599F"/>
    <w:rsid w:val="001C59A0"/>
    <w:rsid w:val="001C5ACC"/>
    <w:rsid w:val="001C5FD0"/>
    <w:rsid w:val="001C6A20"/>
    <w:rsid w:val="001C6D19"/>
    <w:rsid w:val="001C7684"/>
    <w:rsid w:val="001C7AC0"/>
    <w:rsid w:val="001C7C4C"/>
    <w:rsid w:val="001C7E6E"/>
    <w:rsid w:val="001D0018"/>
    <w:rsid w:val="001D0146"/>
    <w:rsid w:val="001D016E"/>
    <w:rsid w:val="001D0AE3"/>
    <w:rsid w:val="001D13C8"/>
    <w:rsid w:val="001D195B"/>
    <w:rsid w:val="001D1A6B"/>
    <w:rsid w:val="001D1AD3"/>
    <w:rsid w:val="001D1D51"/>
    <w:rsid w:val="001D1D77"/>
    <w:rsid w:val="001D2D53"/>
    <w:rsid w:val="001D30E1"/>
    <w:rsid w:val="001D30E6"/>
    <w:rsid w:val="001D3415"/>
    <w:rsid w:val="001D3526"/>
    <w:rsid w:val="001D3ABC"/>
    <w:rsid w:val="001D3C29"/>
    <w:rsid w:val="001D41C1"/>
    <w:rsid w:val="001D41C4"/>
    <w:rsid w:val="001D4494"/>
    <w:rsid w:val="001D4550"/>
    <w:rsid w:val="001D490B"/>
    <w:rsid w:val="001D49AE"/>
    <w:rsid w:val="001D4AD2"/>
    <w:rsid w:val="001D4CB7"/>
    <w:rsid w:val="001D4F9B"/>
    <w:rsid w:val="001D52EE"/>
    <w:rsid w:val="001D5537"/>
    <w:rsid w:val="001D56FD"/>
    <w:rsid w:val="001D58B2"/>
    <w:rsid w:val="001D58BE"/>
    <w:rsid w:val="001D5B66"/>
    <w:rsid w:val="001D5BFF"/>
    <w:rsid w:val="001D5FBD"/>
    <w:rsid w:val="001D6117"/>
    <w:rsid w:val="001D631D"/>
    <w:rsid w:val="001D6EBD"/>
    <w:rsid w:val="001D702D"/>
    <w:rsid w:val="001D737B"/>
    <w:rsid w:val="001D7817"/>
    <w:rsid w:val="001D7AFF"/>
    <w:rsid w:val="001D7EFA"/>
    <w:rsid w:val="001D7F47"/>
    <w:rsid w:val="001E014C"/>
    <w:rsid w:val="001E0405"/>
    <w:rsid w:val="001E0685"/>
    <w:rsid w:val="001E13F7"/>
    <w:rsid w:val="001E182E"/>
    <w:rsid w:val="001E1915"/>
    <w:rsid w:val="001E1DC7"/>
    <w:rsid w:val="001E23A3"/>
    <w:rsid w:val="001E246D"/>
    <w:rsid w:val="001E2567"/>
    <w:rsid w:val="001E27BA"/>
    <w:rsid w:val="001E2A07"/>
    <w:rsid w:val="001E2AEB"/>
    <w:rsid w:val="001E2BAE"/>
    <w:rsid w:val="001E323E"/>
    <w:rsid w:val="001E3289"/>
    <w:rsid w:val="001E34CF"/>
    <w:rsid w:val="001E368D"/>
    <w:rsid w:val="001E386A"/>
    <w:rsid w:val="001E3EDF"/>
    <w:rsid w:val="001E3EFB"/>
    <w:rsid w:val="001E3FA1"/>
    <w:rsid w:val="001E4543"/>
    <w:rsid w:val="001E4549"/>
    <w:rsid w:val="001E492F"/>
    <w:rsid w:val="001E494C"/>
    <w:rsid w:val="001E53A6"/>
    <w:rsid w:val="001E58AC"/>
    <w:rsid w:val="001E593B"/>
    <w:rsid w:val="001E5E29"/>
    <w:rsid w:val="001E5FC5"/>
    <w:rsid w:val="001E617A"/>
    <w:rsid w:val="001E6709"/>
    <w:rsid w:val="001E671B"/>
    <w:rsid w:val="001E68D4"/>
    <w:rsid w:val="001E6A46"/>
    <w:rsid w:val="001E7121"/>
    <w:rsid w:val="001E7227"/>
    <w:rsid w:val="001E780D"/>
    <w:rsid w:val="001E784B"/>
    <w:rsid w:val="001E789A"/>
    <w:rsid w:val="001E78A1"/>
    <w:rsid w:val="001E7944"/>
    <w:rsid w:val="001E7D3C"/>
    <w:rsid w:val="001E7FF1"/>
    <w:rsid w:val="001F02F8"/>
    <w:rsid w:val="001F05E5"/>
    <w:rsid w:val="001F090C"/>
    <w:rsid w:val="001F0D52"/>
    <w:rsid w:val="001F0E37"/>
    <w:rsid w:val="001F1152"/>
    <w:rsid w:val="001F14A9"/>
    <w:rsid w:val="001F1773"/>
    <w:rsid w:val="001F18D8"/>
    <w:rsid w:val="001F1B2A"/>
    <w:rsid w:val="001F1D92"/>
    <w:rsid w:val="001F1E60"/>
    <w:rsid w:val="001F1E7E"/>
    <w:rsid w:val="001F2122"/>
    <w:rsid w:val="001F213B"/>
    <w:rsid w:val="001F28E0"/>
    <w:rsid w:val="001F2BE5"/>
    <w:rsid w:val="001F2CC5"/>
    <w:rsid w:val="001F2D40"/>
    <w:rsid w:val="001F2F90"/>
    <w:rsid w:val="001F3207"/>
    <w:rsid w:val="001F32AF"/>
    <w:rsid w:val="001F3BBC"/>
    <w:rsid w:val="001F3D89"/>
    <w:rsid w:val="001F410B"/>
    <w:rsid w:val="001F429F"/>
    <w:rsid w:val="001F4E4F"/>
    <w:rsid w:val="001F50DA"/>
    <w:rsid w:val="001F53AE"/>
    <w:rsid w:val="001F56F4"/>
    <w:rsid w:val="001F592E"/>
    <w:rsid w:val="001F5AE6"/>
    <w:rsid w:val="001F5E17"/>
    <w:rsid w:val="001F5E3E"/>
    <w:rsid w:val="001F607D"/>
    <w:rsid w:val="001F638E"/>
    <w:rsid w:val="001F69FF"/>
    <w:rsid w:val="001F6C03"/>
    <w:rsid w:val="001F6F54"/>
    <w:rsid w:val="001F7008"/>
    <w:rsid w:val="001F741B"/>
    <w:rsid w:val="001F74FB"/>
    <w:rsid w:val="001F75C1"/>
    <w:rsid w:val="001F7A36"/>
    <w:rsid w:val="001F7B5A"/>
    <w:rsid w:val="001F7C1A"/>
    <w:rsid w:val="001F7D5C"/>
    <w:rsid w:val="00200101"/>
    <w:rsid w:val="0020172A"/>
    <w:rsid w:val="00201795"/>
    <w:rsid w:val="002018BB"/>
    <w:rsid w:val="00201966"/>
    <w:rsid w:val="00201C1D"/>
    <w:rsid w:val="00201E90"/>
    <w:rsid w:val="00202D7D"/>
    <w:rsid w:val="00202E3E"/>
    <w:rsid w:val="0020309F"/>
    <w:rsid w:val="0020327A"/>
    <w:rsid w:val="00203830"/>
    <w:rsid w:val="00203A78"/>
    <w:rsid w:val="00203C6B"/>
    <w:rsid w:val="00203E05"/>
    <w:rsid w:val="00204097"/>
    <w:rsid w:val="0020420A"/>
    <w:rsid w:val="00204289"/>
    <w:rsid w:val="0020460A"/>
    <w:rsid w:val="00204C67"/>
    <w:rsid w:val="00204FAF"/>
    <w:rsid w:val="00205078"/>
    <w:rsid w:val="00205387"/>
    <w:rsid w:val="00205656"/>
    <w:rsid w:val="00205E2D"/>
    <w:rsid w:val="00205FF9"/>
    <w:rsid w:val="00206038"/>
    <w:rsid w:val="00206116"/>
    <w:rsid w:val="0020678C"/>
    <w:rsid w:val="00206AED"/>
    <w:rsid w:val="00206F0D"/>
    <w:rsid w:val="002071B0"/>
    <w:rsid w:val="00207345"/>
    <w:rsid w:val="00207374"/>
    <w:rsid w:val="0020766D"/>
    <w:rsid w:val="0020780B"/>
    <w:rsid w:val="00207A6E"/>
    <w:rsid w:val="00207ACA"/>
    <w:rsid w:val="00207B01"/>
    <w:rsid w:val="00207C83"/>
    <w:rsid w:val="00207DA6"/>
    <w:rsid w:val="00207F19"/>
    <w:rsid w:val="00207FA7"/>
    <w:rsid w:val="00210108"/>
    <w:rsid w:val="002108CE"/>
    <w:rsid w:val="00210DC3"/>
    <w:rsid w:val="00210DF6"/>
    <w:rsid w:val="00211453"/>
    <w:rsid w:val="00211742"/>
    <w:rsid w:val="00211DD8"/>
    <w:rsid w:val="00211FD1"/>
    <w:rsid w:val="00212D76"/>
    <w:rsid w:val="00212EF2"/>
    <w:rsid w:val="002130BD"/>
    <w:rsid w:val="002130D2"/>
    <w:rsid w:val="00213216"/>
    <w:rsid w:val="002135A2"/>
    <w:rsid w:val="002137BB"/>
    <w:rsid w:val="00213BF2"/>
    <w:rsid w:val="00213FA8"/>
    <w:rsid w:val="00214653"/>
    <w:rsid w:val="002146A9"/>
    <w:rsid w:val="002146DE"/>
    <w:rsid w:val="00214C58"/>
    <w:rsid w:val="00214F99"/>
    <w:rsid w:val="00215315"/>
    <w:rsid w:val="002157C0"/>
    <w:rsid w:val="00215990"/>
    <w:rsid w:val="002159C3"/>
    <w:rsid w:val="00215A79"/>
    <w:rsid w:val="00215D1C"/>
    <w:rsid w:val="002161C0"/>
    <w:rsid w:val="00216320"/>
    <w:rsid w:val="002164E6"/>
    <w:rsid w:val="002166CA"/>
    <w:rsid w:val="00216CAB"/>
    <w:rsid w:val="00217320"/>
    <w:rsid w:val="00217338"/>
    <w:rsid w:val="00217529"/>
    <w:rsid w:val="0021752B"/>
    <w:rsid w:val="0021778A"/>
    <w:rsid w:val="00217AC8"/>
    <w:rsid w:val="00217C9C"/>
    <w:rsid w:val="00217D2D"/>
    <w:rsid w:val="002205A1"/>
    <w:rsid w:val="002205D0"/>
    <w:rsid w:val="0022096F"/>
    <w:rsid w:val="00220B0A"/>
    <w:rsid w:val="00220CB4"/>
    <w:rsid w:val="00221273"/>
    <w:rsid w:val="0022138C"/>
    <w:rsid w:val="00221557"/>
    <w:rsid w:val="00221661"/>
    <w:rsid w:val="00221702"/>
    <w:rsid w:val="00221C84"/>
    <w:rsid w:val="00221D0B"/>
    <w:rsid w:val="002223AE"/>
    <w:rsid w:val="002224E7"/>
    <w:rsid w:val="00222789"/>
    <w:rsid w:val="00222990"/>
    <w:rsid w:val="00222BC0"/>
    <w:rsid w:val="00222E80"/>
    <w:rsid w:val="00223241"/>
    <w:rsid w:val="002233D3"/>
    <w:rsid w:val="002233F7"/>
    <w:rsid w:val="00223494"/>
    <w:rsid w:val="00223849"/>
    <w:rsid w:val="0022436D"/>
    <w:rsid w:val="00224607"/>
    <w:rsid w:val="00224733"/>
    <w:rsid w:val="0022473D"/>
    <w:rsid w:val="00224755"/>
    <w:rsid w:val="002248E1"/>
    <w:rsid w:val="00224D90"/>
    <w:rsid w:val="00224E09"/>
    <w:rsid w:val="002250A4"/>
    <w:rsid w:val="0022513A"/>
    <w:rsid w:val="002251AB"/>
    <w:rsid w:val="0022526A"/>
    <w:rsid w:val="0022569E"/>
    <w:rsid w:val="00225938"/>
    <w:rsid w:val="00225EE3"/>
    <w:rsid w:val="00226025"/>
    <w:rsid w:val="002260CD"/>
    <w:rsid w:val="0022624B"/>
    <w:rsid w:val="0022648E"/>
    <w:rsid w:val="00226514"/>
    <w:rsid w:val="00226556"/>
    <w:rsid w:val="002265B8"/>
    <w:rsid w:val="00226ABE"/>
    <w:rsid w:val="00226BFA"/>
    <w:rsid w:val="002273AD"/>
    <w:rsid w:val="002275C7"/>
    <w:rsid w:val="00227A51"/>
    <w:rsid w:val="00227AB5"/>
    <w:rsid w:val="00227C32"/>
    <w:rsid w:val="00227CBA"/>
    <w:rsid w:val="00227D3E"/>
    <w:rsid w:val="002302AD"/>
    <w:rsid w:val="002303E6"/>
    <w:rsid w:val="00230763"/>
    <w:rsid w:val="00230929"/>
    <w:rsid w:val="00230E5F"/>
    <w:rsid w:val="002313DA"/>
    <w:rsid w:val="002317CA"/>
    <w:rsid w:val="0023191A"/>
    <w:rsid w:val="00232FD1"/>
    <w:rsid w:val="00233158"/>
    <w:rsid w:val="00233664"/>
    <w:rsid w:val="00233F20"/>
    <w:rsid w:val="00233F8F"/>
    <w:rsid w:val="0023416E"/>
    <w:rsid w:val="002342D9"/>
    <w:rsid w:val="00234574"/>
    <w:rsid w:val="0023469C"/>
    <w:rsid w:val="0023480C"/>
    <w:rsid w:val="0023576A"/>
    <w:rsid w:val="00235E69"/>
    <w:rsid w:val="00235FCF"/>
    <w:rsid w:val="00236471"/>
    <w:rsid w:val="002366C1"/>
    <w:rsid w:val="00236737"/>
    <w:rsid w:val="00236B72"/>
    <w:rsid w:val="00236C95"/>
    <w:rsid w:val="00236DFF"/>
    <w:rsid w:val="00237024"/>
    <w:rsid w:val="00237EC8"/>
    <w:rsid w:val="00237F56"/>
    <w:rsid w:val="00240440"/>
    <w:rsid w:val="002404D2"/>
    <w:rsid w:val="002405C7"/>
    <w:rsid w:val="0024067C"/>
    <w:rsid w:val="00240F8F"/>
    <w:rsid w:val="0024144D"/>
    <w:rsid w:val="00241879"/>
    <w:rsid w:val="00241A43"/>
    <w:rsid w:val="00241C9D"/>
    <w:rsid w:val="00241DED"/>
    <w:rsid w:val="00241F42"/>
    <w:rsid w:val="00241FB6"/>
    <w:rsid w:val="00242128"/>
    <w:rsid w:val="00242748"/>
    <w:rsid w:val="00242BE4"/>
    <w:rsid w:val="00242C6D"/>
    <w:rsid w:val="00242D8D"/>
    <w:rsid w:val="002435D5"/>
    <w:rsid w:val="002436E5"/>
    <w:rsid w:val="002437D7"/>
    <w:rsid w:val="00243BD2"/>
    <w:rsid w:val="00243C8C"/>
    <w:rsid w:val="00243D6C"/>
    <w:rsid w:val="00243FC8"/>
    <w:rsid w:val="00244044"/>
    <w:rsid w:val="00244116"/>
    <w:rsid w:val="00244188"/>
    <w:rsid w:val="002442FF"/>
    <w:rsid w:val="0024460F"/>
    <w:rsid w:val="0024483C"/>
    <w:rsid w:val="00244A21"/>
    <w:rsid w:val="00244AE8"/>
    <w:rsid w:val="00244F86"/>
    <w:rsid w:val="0024526E"/>
    <w:rsid w:val="00245D48"/>
    <w:rsid w:val="00245ECD"/>
    <w:rsid w:val="002460BB"/>
    <w:rsid w:val="00246215"/>
    <w:rsid w:val="00246700"/>
    <w:rsid w:val="002469C8"/>
    <w:rsid w:val="002469EC"/>
    <w:rsid w:val="00246FFF"/>
    <w:rsid w:val="00247B5A"/>
    <w:rsid w:val="00247F3A"/>
    <w:rsid w:val="00247FB9"/>
    <w:rsid w:val="002502A2"/>
    <w:rsid w:val="00250556"/>
    <w:rsid w:val="0025070D"/>
    <w:rsid w:val="002511A4"/>
    <w:rsid w:val="002512C7"/>
    <w:rsid w:val="0025161E"/>
    <w:rsid w:val="0025161F"/>
    <w:rsid w:val="00251930"/>
    <w:rsid w:val="00251C02"/>
    <w:rsid w:val="00251D65"/>
    <w:rsid w:val="00251DF8"/>
    <w:rsid w:val="00251EA9"/>
    <w:rsid w:val="00252060"/>
    <w:rsid w:val="002521E5"/>
    <w:rsid w:val="002523C3"/>
    <w:rsid w:val="002536FF"/>
    <w:rsid w:val="00253B30"/>
    <w:rsid w:val="00253D1E"/>
    <w:rsid w:val="00253EF7"/>
    <w:rsid w:val="002540A3"/>
    <w:rsid w:val="00254310"/>
    <w:rsid w:val="002544CE"/>
    <w:rsid w:val="00254671"/>
    <w:rsid w:val="00254943"/>
    <w:rsid w:val="00254C41"/>
    <w:rsid w:val="00254C90"/>
    <w:rsid w:val="00254FB1"/>
    <w:rsid w:val="00255084"/>
    <w:rsid w:val="002550AD"/>
    <w:rsid w:val="00255177"/>
    <w:rsid w:val="00255AF1"/>
    <w:rsid w:val="00255FBD"/>
    <w:rsid w:val="0025607D"/>
    <w:rsid w:val="00256AA0"/>
    <w:rsid w:val="00256E5C"/>
    <w:rsid w:val="0025711A"/>
    <w:rsid w:val="002573A4"/>
    <w:rsid w:val="00257468"/>
    <w:rsid w:val="002576D9"/>
    <w:rsid w:val="0025778B"/>
    <w:rsid w:val="00257825"/>
    <w:rsid w:val="0025794A"/>
    <w:rsid w:val="00260243"/>
    <w:rsid w:val="00260A9D"/>
    <w:rsid w:val="00260E71"/>
    <w:rsid w:val="00261051"/>
    <w:rsid w:val="00261119"/>
    <w:rsid w:val="002614B0"/>
    <w:rsid w:val="00261715"/>
    <w:rsid w:val="00262100"/>
    <w:rsid w:val="0026214B"/>
    <w:rsid w:val="002621E8"/>
    <w:rsid w:val="00262213"/>
    <w:rsid w:val="002626D4"/>
    <w:rsid w:val="0026287B"/>
    <w:rsid w:val="00262C91"/>
    <w:rsid w:val="002637A8"/>
    <w:rsid w:val="002637EC"/>
    <w:rsid w:val="00264588"/>
    <w:rsid w:val="002646C3"/>
    <w:rsid w:val="00264CB1"/>
    <w:rsid w:val="00264F6A"/>
    <w:rsid w:val="002653C4"/>
    <w:rsid w:val="0026546E"/>
    <w:rsid w:val="00265A7D"/>
    <w:rsid w:val="00265DF6"/>
    <w:rsid w:val="00265F52"/>
    <w:rsid w:val="002663E2"/>
    <w:rsid w:val="002665E9"/>
    <w:rsid w:val="00266615"/>
    <w:rsid w:val="002668E4"/>
    <w:rsid w:val="0026715D"/>
    <w:rsid w:val="0026723C"/>
    <w:rsid w:val="002678A0"/>
    <w:rsid w:val="00267B5B"/>
    <w:rsid w:val="00267B8D"/>
    <w:rsid w:val="00267C97"/>
    <w:rsid w:val="00267CE0"/>
    <w:rsid w:val="0027024B"/>
    <w:rsid w:val="0027045F"/>
    <w:rsid w:val="00270DAA"/>
    <w:rsid w:val="0027150B"/>
    <w:rsid w:val="00271748"/>
    <w:rsid w:val="002720FC"/>
    <w:rsid w:val="0027223B"/>
    <w:rsid w:val="002724DB"/>
    <w:rsid w:val="00273049"/>
    <w:rsid w:val="0027327E"/>
    <w:rsid w:val="002732EA"/>
    <w:rsid w:val="00273C32"/>
    <w:rsid w:val="00273CF5"/>
    <w:rsid w:val="00274393"/>
    <w:rsid w:val="002748D0"/>
    <w:rsid w:val="00274D42"/>
    <w:rsid w:val="00275120"/>
    <w:rsid w:val="00275493"/>
    <w:rsid w:val="00275501"/>
    <w:rsid w:val="00275E69"/>
    <w:rsid w:val="00276020"/>
    <w:rsid w:val="00276255"/>
    <w:rsid w:val="002762AE"/>
    <w:rsid w:val="00276656"/>
    <w:rsid w:val="00276769"/>
    <w:rsid w:val="00276845"/>
    <w:rsid w:val="00276859"/>
    <w:rsid w:val="00276F22"/>
    <w:rsid w:val="00276F50"/>
    <w:rsid w:val="00276FDF"/>
    <w:rsid w:val="00277052"/>
    <w:rsid w:val="002770D7"/>
    <w:rsid w:val="00277245"/>
    <w:rsid w:val="00277AA4"/>
    <w:rsid w:val="00277C80"/>
    <w:rsid w:val="00277C94"/>
    <w:rsid w:val="00277D04"/>
    <w:rsid w:val="00280239"/>
    <w:rsid w:val="0028079A"/>
    <w:rsid w:val="00280EA9"/>
    <w:rsid w:val="00280F30"/>
    <w:rsid w:val="0028129F"/>
    <w:rsid w:val="002813AE"/>
    <w:rsid w:val="002813D1"/>
    <w:rsid w:val="002813E0"/>
    <w:rsid w:val="002817C3"/>
    <w:rsid w:val="00282510"/>
    <w:rsid w:val="0028294B"/>
    <w:rsid w:val="0028299C"/>
    <w:rsid w:val="00282A4A"/>
    <w:rsid w:val="00282ADD"/>
    <w:rsid w:val="00282B86"/>
    <w:rsid w:val="00282E1E"/>
    <w:rsid w:val="002832CA"/>
    <w:rsid w:val="002833A3"/>
    <w:rsid w:val="002833AF"/>
    <w:rsid w:val="002834B5"/>
    <w:rsid w:val="00283805"/>
    <w:rsid w:val="00283B53"/>
    <w:rsid w:val="00283CA6"/>
    <w:rsid w:val="00284027"/>
    <w:rsid w:val="0028407C"/>
    <w:rsid w:val="00284450"/>
    <w:rsid w:val="00284888"/>
    <w:rsid w:val="00284B6C"/>
    <w:rsid w:val="00284FCD"/>
    <w:rsid w:val="00285176"/>
    <w:rsid w:val="00285FF5"/>
    <w:rsid w:val="0028601D"/>
    <w:rsid w:val="00286BB5"/>
    <w:rsid w:val="00286FAA"/>
    <w:rsid w:val="00287122"/>
    <w:rsid w:val="002877A6"/>
    <w:rsid w:val="002878B1"/>
    <w:rsid w:val="00290A43"/>
    <w:rsid w:val="00290DBB"/>
    <w:rsid w:val="00290E1A"/>
    <w:rsid w:val="00290FA0"/>
    <w:rsid w:val="0029128D"/>
    <w:rsid w:val="002914F6"/>
    <w:rsid w:val="00291CB2"/>
    <w:rsid w:val="00291F79"/>
    <w:rsid w:val="00292247"/>
    <w:rsid w:val="00292301"/>
    <w:rsid w:val="0029288F"/>
    <w:rsid w:val="00292A14"/>
    <w:rsid w:val="0029336A"/>
    <w:rsid w:val="002934F0"/>
    <w:rsid w:val="002934F1"/>
    <w:rsid w:val="00293A04"/>
    <w:rsid w:val="00293B3A"/>
    <w:rsid w:val="00293C7A"/>
    <w:rsid w:val="00293FC8"/>
    <w:rsid w:val="00294113"/>
    <w:rsid w:val="002941C5"/>
    <w:rsid w:val="002941FA"/>
    <w:rsid w:val="0029442A"/>
    <w:rsid w:val="00294626"/>
    <w:rsid w:val="00294852"/>
    <w:rsid w:val="002948A2"/>
    <w:rsid w:val="002949DB"/>
    <w:rsid w:val="00294BC1"/>
    <w:rsid w:val="002951B7"/>
    <w:rsid w:val="0029528C"/>
    <w:rsid w:val="002953FF"/>
    <w:rsid w:val="002959B3"/>
    <w:rsid w:val="00295EC1"/>
    <w:rsid w:val="00295F4E"/>
    <w:rsid w:val="002960A7"/>
    <w:rsid w:val="00296128"/>
    <w:rsid w:val="00296283"/>
    <w:rsid w:val="0029697A"/>
    <w:rsid w:val="00296D11"/>
    <w:rsid w:val="00297060"/>
    <w:rsid w:val="00297507"/>
    <w:rsid w:val="00297626"/>
    <w:rsid w:val="00297A51"/>
    <w:rsid w:val="00297B73"/>
    <w:rsid w:val="00297EA4"/>
    <w:rsid w:val="002A00EC"/>
    <w:rsid w:val="002A0CAA"/>
    <w:rsid w:val="002A0CBF"/>
    <w:rsid w:val="002A1164"/>
    <w:rsid w:val="002A1611"/>
    <w:rsid w:val="002A18CE"/>
    <w:rsid w:val="002A210D"/>
    <w:rsid w:val="002A21A9"/>
    <w:rsid w:val="002A2954"/>
    <w:rsid w:val="002A2C0A"/>
    <w:rsid w:val="002A315C"/>
    <w:rsid w:val="002A32DA"/>
    <w:rsid w:val="002A3392"/>
    <w:rsid w:val="002A36EC"/>
    <w:rsid w:val="002A3A0D"/>
    <w:rsid w:val="002A3A5C"/>
    <w:rsid w:val="002A3CD7"/>
    <w:rsid w:val="002A418E"/>
    <w:rsid w:val="002A46D1"/>
    <w:rsid w:val="002A484B"/>
    <w:rsid w:val="002A5106"/>
    <w:rsid w:val="002A51ED"/>
    <w:rsid w:val="002A56B6"/>
    <w:rsid w:val="002A585D"/>
    <w:rsid w:val="002A5FF0"/>
    <w:rsid w:val="002A61CB"/>
    <w:rsid w:val="002A638E"/>
    <w:rsid w:val="002A670F"/>
    <w:rsid w:val="002A68AC"/>
    <w:rsid w:val="002A6965"/>
    <w:rsid w:val="002A6BF7"/>
    <w:rsid w:val="002A6C64"/>
    <w:rsid w:val="002A6CEC"/>
    <w:rsid w:val="002A72DF"/>
    <w:rsid w:val="002A76EF"/>
    <w:rsid w:val="002A7737"/>
    <w:rsid w:val="002A77F4"/>
    <w:rsid w:val="002A78C0"/>
    <w:rsid w:val="002A7E3E"/>
    <w:rsid w:val="002B09F5"/>
    <w:rsid w:val="002B0A34"/>
    <w:rsid w:val="002B0CCD"/>
    <w:rsid w:val="002B0CE5"/>
    <w:rsid w:val="002B0D65"/>
    <w:rsid w:val="002B0E15"/>
    <w:rsid w:val="002B10EE"/>
    <w:rsid w:val="002B115A"/>
    <w:rsid w:val="002B142F"/>
    <w:rsid w:val="002B16C0"/>
    <w:rsid w:val="002B1761"/>
    <w:rsid w:val="002B1797"/>
    <w:rsid w:val="002B182D"/>
    <w:rsid w:val="002B19ED"/>
    <w:rsid w:val="002B1A8B"/>
    <w:rsid w:val="002B1ADB"/>
    <w:rsid w:val="002B1F0F"/>
    <w:rsid w:val="002B235F"/>
    <w:rsid w:val="002B3C15"/>
    <w:rsid w:val="002B3DD3"/>
    <w:rsid w:val="002B3F33"/>
    <w:rsid w:val="002B4010"/>
    <w:rsid w:val="002B4805"/>
    <w:rsid w:val="002B49DE"/>
    <w:rsid w:val="002B4BFE"/>
    <w:rsid w:val="002B4D03"/>
    <w:rsid w:val="002B50B2"/>
    <w:rsid w:val="002B5292"/>
    <w:rsid w:val="002B5A5D"/>
    <w:rsid w:val="002B5C55"/>
    <w:rsid w:val="002B608E"/>
    <w:rsid w:val="002B60A5"/>
    <w:rsid w:val="002B60C8"/>
    <w:rsid w:val="002B61C7"/>
    <w:rsid w:val="002B623C"/>
    <w:rsid w:val="002B6771"/>
    <w:rsid w:val="002B67F6"/>
    <w:rsid w:val="002B6E95"/>
    <w:rsid w:val="002B7156"/>
    <w:rsid w:val="002B77DD"/>
    <w:rsid w:val="002B7A1D"/>
    <w:rsid w:val="002B7A74"/>
    <w:rsid w:val="002B7B6E"/>
    <w:rsid w:val="002B7D7F"/>
    <w:rsid w:val="002B7F6A"/>
    <w:rsid w:val="002C03A1"/>
    <w:rsid w:val="002C0D19"/>
    <w:rsid w:val="002C141A"/>
    <w:rsid w:val="002C16FE"/>
    <w:rsid w:val="002C1851"/>
    <w:rsid w:val="002C1BD8"/>
    <w:rsid w:val="002C1C72"/>
    <w:rsid w:val="002C1DF2"/>
    <w:rsid w:val="002C20B7"/>
    <w:rsid w:val="002C2441"/>
    <w:rsid w:val="002C2A73"/>
    <w:rsid w:val="002C2C1E"/>
    <w:rsid w:val="002C2D70"/>
    <w:rsid w:val="002C2F4D"/>
    <w:rsid w:val="002C3AEF"/>
    <w:rsid w:val="002C3C14"/>
    <w:rsid w:val="002C3FF5"/>
    <w:rsid w:val="002C411C"/>
    <w:rsid w:val="002C41DE"/>
    <w:rsid w:val="002C476C"/>
    <w:rsid w:val="002C4AA3"/>
    <w:rsid w:val="002C4E2D"/>
    <w:rsid w:val="002C50A8"/>
    <w:rsid w:val="002C529C"/>
    <w:rsid w:val="002C5524"/>
    <w:rsid w:val="002C5596"/>
    <w:rsid w:val="002C599F"/>
    <w:rsid w:val="002C5B00"/>
    <w:rsid w:val="002C5D37"/>
    <w:rsid w:val="002C5D6A"/>
    <w:rsid w:val="002C5E4A"/>
    <w:rsid w:val="002C64DA"/>
    <w:rsid w:val="002C6A7A"/>
    <w:rsid w:val="002C6B83"/>
    <w:rsid w:val="002C7162"/>
    <w:rsid w:val="002C736C"/>
    <w:rsid w:val="002C757B"/>
    <w:rsid w:val="002C75EE"/>
    <w:rsid w:val="002C77C7"/>
    <w:rsid w:val="002C7DBB"/>
    <w:rsid w:val="002D01CC"/>
    <w:rsid w:val="002D0388"/>
    <w:rsid w:val="002D03DF"/>
    <w:rsid w:val="002D05C4"/>
    <w:rsid w:val="002D05D1"/>
    <w:rsid w:val="002D0B0D"/>
    <w:rsid w:val="002D0D99"/>
    <w:rsid w:val="002D1275"/>
    <w:rsid w:val="002D129E"/>
    <w:rsid w:val="002D13D6"/>
    <w:rsid w:val="002D1531"/>
    <w:rsid w:val="002D2143"/>
    <w:rsid w:val="002D2649"/>
    <w:rsid w:val="002D29A1"/>
    <w:rsid w:val="002D2DEC"/>
    <w:rsid w:val="002D2F57"/>
    <w:rsid w:val="002D338F"/>
    <w:rsid w:val="002D3395"/>
    <w:rsid w:val="002D35F0"/>
    <w:rsid w:val="002D3674"/>
    <w:rsid w:val="002D394F"/>
    <w:rsid w:val="002D3991"/>
    <w:rsid w:val="002D3B1E"/>
    <w:rsid w:val="002D3D5A"/>
    <w:rsid w:val="002D3ED0"/>
    <w:rsid w:val="002D3ED5"/>
    <w:rsid w:val="002D4075"/>
    <w:rsid w:val="002D423D"/>
    <w:rsid w:val="002D4956"/>
    <w:rsid w:val="002D4B21"/>
    <w:rsid w:val="002D4E16"/>
    <w:rsid w:val="002D5370"/>
    <w:rsid w:val="002D567F"/>
    <w:rsid w:val="002D5D9A"/>
    <w:rsid w:val="002D5E76"/>
    <w:rsid w:val="002D5E7C"/>
    <w:rsid w:val="002D5EBA"/>
    <w:rsid w:val="002D61ED"/>
    <w:rsid w:val="002D6332"/>
    <w:rsid w:val="002D63B6"/>
    <w:rsid w:val="002D65D2"/>
    <w:rsid w:val="002D66EC"/>
    <w:rsid w:val="002D6950"/>
    <w:rsid w:val="002D6A6C"/>
    <w:rsid w:val="002D75BA"/>
    <w:rsid w:val="002D7634"/>
    <w:rsid w:val="002D76BE"/>
    <w:rsid w:val="002D7A68"/>
    <w:rsid w:val="002D7C5C"/>
    <w:rsid w:val="002D7D56"/>
    <w:rsid w:val="002D7D9B"/>
    <w:rsid w:val="002D7DE2"/>
    <w:rsid w:val="002E0575"/>
    <w:rsid w:val="002E0731"/>
    <w:rsid w:val="002E0788"/>
    <w:rsid w:val="002E09A8"/>
    <w:rsid w:val="002E0B6D"/>
    <w:rsid w:val="002E0B9C"/>
    <w:rsid w:val="002E144E"/>
    <w:rsid w:val="002E15A2"/>
    <w:rsid w:val="002E18BE"/>
    <w:rsid w:val="002E19A5"/>
    <w:rsid w:val="002E1BFA"/>
    <w:rsid w:val="002E1E8C"/>
    <w:rsid w:val="002E1FEC"/>
    <w:rsid w:val="002E2567"/>
    <w:rsid w:val="002E2700"/>
    <w:rsid w:val="002E2AF9"/>
    <w:rsid w:val="002E2D51"/>
    <w:rsid w:val="002E346A"/>
    <w:rsid w:val="002E3AD9"/>
    <w:rsid w:val="002E3E62"/>
    <w:rsid w:val="002E403C"/>
    <w:rsid w:val="002E4100"/>
    <w:rsid w:val="002E4119"/>
    <w:rsid w:val="002E415B"/>
    <w:rsid w:val="002E4363"/>
    <w:rsid w:val="002E47E9"/>
    <w:rsid w:val="002E485E"/>
    <w:rsid w:val="002E48EB"/>
    <w:rsid w:val="002E4B8E"/>
    <w:rsid w:val="002E4C10"/>
    <w:rsid w:val="002E4D83"/>
    <w:rsid w:val="002E4F30"/>
    <w:rsid w:val="002E4F4F"/>
    <w:rsid w:val="002E5323"/>
    <w:rsid w:val="002E5690"/>
    <w:rsid w:val="002E5A5F"/>
    <w:rsid w:val="002E62E0"/>
    <w:rsid w:val="002E63B6"/>
    <w:rsid w:val="002E63C5"/>
    <w:rsid w:val="002E64B0"/>
    <w:rsid w:val="002E68AA"/>
    <w:rsid w:val="002E6980"/>
    <w:rsid w:val="002E6A45"/>
    <w:rsid w:val="002E6EEC"/>
    <w:rsid w:val="002E7087"/>
    <w:rsid w:val="002E70CC"/>
    <w:rsid w:val="002E740A"/>
    <w:rsid w:val="002E77C9"/>
    <w:rsid w:val="002E7F19"/>
    <w:rsid w:val="002F003D"/>
    <w:rsid w:val="002F045E"/>
    <w:rsid w:val="002F0494"/>
    <w:rsid w:val="002F08B1"/>
    <w:rsid w:val="002F092D"/>
    <w:rsid w:val="002F09B7"/>
    <w:rsid w:val="002F0F1B"/>
    <w:rsid w:val="002F1199"/>
    <w:rsid w:val="002F11C2"/>
    <w:rsid w:val="002F128C"/>
    <w:rsid w:val="002F15B1"/>
    <w:rsid w:val="002F181F"/>
    <w:rsid w:val="002F1C11"/>
    <w:rsid w:val="002F2460"/>
    <w:rsid w:val="002F28E2"/>
    <w:rsid w:val="002F2CAC"/>
    <w:rsid w:val="002F2E00"/>
    <w:rsid w:val="002F34AB"/>
    <w:rsid w:val="002F3813"/>
    <w:rsid w:val="002F387A"/>
    <w:rsid w:val="002F3A6C"/>
    <w:rsid w:val="002F44D6"/>
    <w:rsid w:val="002F4A9A"/>
    <w:rsid w:val="002F4F49"/>
    <w:rsid w:val="002F50F3"/>
    <w:rsid w:val="002F51B4"/>
    <w:rsid w:val="002F51D2"/>
    <w:rsid w:val="002F577F"/>
    <w:rsid w:val="002F5985"/>
    <w:rsid w:val="002F59F6"/>
    <w:rsid w:val="002F5B20"/>
    <w:rsid w:val="002F62DA"/>
    <w:rsid w:val="002F65BF"/>
    <w:rsid w:val="002F697C"/>
    <w:rsid w:val="002F6B05"/>
    <w:rsid w:val="002F6EF7"/>
    <w:rsid w:val="002F752E"/>
    <w:rsid w:val="002F77ED"/>
    <w:rsid w:val="002F78A9"/>
    <w:rsid w:val="002F7973"/>
    <w:rsid w:val="0030095F"/>
    <w:rsid w:val="00300A1A"/>
    <w:rsid w:val="00300A3E"/>
    <w:rsid w:val="00300B85"/>
    <w:rsid w:val="00300E73"/>
    <w:rsid w:val="00301418"/>
    <w:rsid w:val="003014A7"/>
    <w:rsid w:val="0030151D"/>
    <w:rsid w:val="00301D84"/>
    <w:rsid w:val="00302034"/>
    <w:rsid w:val="003020E9"/>
    <w:rsid w:val="00302146"/>
    <w:rsid w:val="00302289"/>
    <w:rsid w:val="00302414"/>
    <w:rsid w:val="003024B9"/>
    <w:rsid w:val="003029DF"/>
    <w:rsid w:val="00302B71"/>
    <w:rsid w:val="00302C87"/>
    <w:rsid w:val="00302D96"/>
    <w:rsid w:val="00302F56"/>
    <w:rsid w:val="00303042"/>
    <w:rsid w:val="003033A6"/>
    <w:rsid w:val="003036AF"/>
    <w:rsid w:val="003037C1"/>
    <w:rsid w:val="003038FE"/>
    <w:rsid w:val="003039AD"/>
    <w:rsid w:val="00303EA2"/>
    <w:rsid w:val="0030438E"/>
    <w:rsid w:val="003044AA"/>
    <w:rsid w:val="0030480C"/>
    <w:rsid w:val="003049B1"/>
    <w:rsid w:val="00305040"/>
    <w:rsid w:val="0030519D"/>
    <w:rsid w:val="00305692"/>
    <w:rsid w:val="0030595A"/>
    <w:rsid w:val="00305AAF"/>
    <w:rsid w:val="00305AB9"/>
    <w:rsid w:val="00305BDB"/>
    <w:rsid w:val="00305CD9"/>
    <w:rsid w:val="00306235"/>
    <w:rsid w:val="00306288"/>
    <w:rsid w:val="0030660E"/>
    <w:rsid w:val="00306E8B"/>
    <w:rsid w:val="00306F03"/>
    <w:rsid w:val="00306F59"/>
    <w:rsid w:val="00306F78"/>
    <w:rsid w:val="0030738D"/>
    <w:rsid w:val="0030778A"/>
    <w:rsid w:val="00307861"/>
    <w:rsid w:val="003078D1"/>
    <w:rsid w:val="003079F5"/>
    <w:rsid w:val="00307E7F"/>
    <w:rsid w:val="00307E8B"/>
    <w:rsid w:val="00307EDA"/>
    <w:rsid w:val="003101E3"/>
    <w:rsid w:val="00310F37"/>
    <w:rsid w:val="00310FF5"/>
    <w:rsid w:val="003110CF"/>
    <w:rsid w:val="00311119"/>
    <w:rsid w:val="003113E2"/>
    <w:rsid w:val="00311D68"/>
    <w:rsid w:val="00312579"/>
    <w:rsid w:val="00312595"/>
    <w:rsid w:val="003128F1"/>
    <w:rsid w:val="00312EEA"/>
    <w:rsid w:val="00312F02"/>
    <w:rsid w:val="00312F6E"/>
    <w:rsid w:val="00313042"/>
    <w:rsid w:val="003131D1"/>
    <w:rsid w:val="003138D5"/>
    <w:rsid w:val="00313A16"/>
    <w:rsid w:val="00313CBF"/>
    <w:rsid w:val="00313D53"/>
    <w:rsid w:val="00313D9F"/>
    <w:rsid w:val="0031419F"/>
    <w:rsid w:val="003142E2"/>
    <w:rsid w:val="00314832"/>
    <w:rsid w:val="0031485A"/>
    <w:rsid w:val="00314B02"/>
    <w:rsid w:val="00314BD2"/>
    <w:rsid w:val="0031525E"/>
    <w:rsid w:val="00315432"/>
    <w:rsid w:val="003156A0"/>
    <w:rsid w:val="00315A25"/>
    <w:rsid w:val="00315D12"/>
    <w:rsid w:val="00316256"/>
    <w:rsid w:val="003163A6"/>
    <w:rsid w:val="003166EA"/>
    <w:rsid w:val="00316774"/>
    <w:rsid w:val="003168F8"/>
    <w:rsid w:val="0031699F"/>
    <w:rsid w:val="00316C55"/>
    <w:rsid w:val="00316E34"/>
    <w:rsid w:val="00316FBE"/>
    <w:rsid w:val="00317055"/>
    <w:rsid w:val="0031719A"/>
    <w:rsid w:val="003172D3"/>
    <w:rsid w:val="00317461"/>
    <w:rsid w:val="00317845"/>
    <w:rsid w:val="00317B55"/>
    <w:rsid w:val="00320470"/>
    <w:rsid w:val="003205E9"/>
    <w:rsid w:val="00320845"/>
    <w:rsid w:val="00320A0B"/>
    <w:rsid w:val="00320AD6"/>
    <w:rsid w:val="00321257"/>
    <w:rsid w:val="00321913"/>
    <w:rsid w:val="00321D3A"/>
    <w:rsid w:val="00321DBF"/>
    <w:rsid w:val="00321DE7"/>
    <w:rsid w:val="00322212"/>
    <w:rsid w:val="0032279B"/>
    <w:rsid w:val="00322860"/>
    <w:rsid w:val="0032297A"/>
    <w:rsid w:val="00322B11"/>
    <w:rsid w:val="00322B95"/>
    <w:rsid w:val="00322E15"/>
    <w:rsid w:val="00323393"/>
    <w:rsid w:val="003235C7"/>
    <w:rsid w:val="003238D4"/>
    <w:rsid w:val="003239BD"/>
    <w:rsid w:val="00324572"/>
    <w:rsid w:val="00324682"/>
    <w:rsid w:val="00324686"/>
    <w:rsid w:val="00324909"/>
    <w:rsid w:val="00324A1C"/>
    <w:rsid w:val="00324A8F"/>
    <w:rsid w:val="00324E3E"/>
    <w:rsid w:val="00325176"/>
    <w:rsid w:val="00325229"/>
    <w:rsid w:val="00325769"/>
    <w:rsid w:val="003257F1"/>
    <w:rsid w:val="00325B84"/>
    <w:rsid w:val="00325B97"/>
    <w:rsid w:val="00325D06"/>
    <w:rsid w:val="00325E3E"/>
    <w:rsid w:val="0032623D"/>
    <w:rsid w:val="003267E5"/>
    <w:rsid w:val="00326811"/>
    <w:rsid w:val="003269B8"/>
    <w:rsid w:val="00326ABF"/>
    <w:rsid w:val="00326AE7"/>
    <w:rsid w:val="00326AF9"/>
    <w:rsid w:val="00326D68"/>
    <w:rsid w:val="00326FAB"/>
    <w:rsid w:val="00327282"/>
    <w:rsid w:val="0032743E"/>
    <w:rsid w:val="00327493"/>
    <w:rsid w:val="003276B9"/>
    <w:rsid w:val="003276E5"/>
    <w:rsid w:val="00327985"/>
    <w:rsid w:val="00327DF1"/>
    <w:rsid w:val="00327EC1"/>
    <w:rsid w:val="003305FA"/>
    <w:rsid w:val="0033060C"/>
    <w:rsid w:val="00330D22"/>
    <w:rsid w:val="00330FAE"/>
    <w:rsid w:val="003320E8"/>
    <w:rsid w:val="003322B0"/>
    <w:rsid w:val="00332836"/>
    <w:rsid w:val="003328A0"/>
    <w:rsid w:val="003328AE"/>
    <w:rsid w:val="003329D7"/>
    <w:rsid w:val="00332A50"/>
    <w:rsid w:val="00332B83"/>
    <w:rsid w:val="00332E7D"/>
    <w:rsid w:val="0033379D"/>
    <w:rsid w:val="003338E9"/>
    <w:rsid w:val="00333A31"/>
    <w:rsid w:val="00333B5D"/>
    <w:rsid w:val="00333F56"/>
    <w:rsid w:val="0033419F"/>
    <w:rsid w:val="00334669"/>
    <w:rsid w:val="0033492E"/>
    <w:rsid w:val="00334AAF"/>
    <w:rsid w:val="00334CCF"/>
    <w:rsid w:val="00334D92"/>
    <w:rsid w:val="00334F0B"/>
    <w:rsid w:val="00334F17"/>
    <w:rsid w:val="0033533A"/>
    <w:rsid w:val="0033565A"/>
    <w:rsid w:val="00335AEB"/>
    <w:rsid w:val="00335DBB"/>
    <w:rsid w:val="00335EC1"/>
    <w:rsid w:val="0033601D"/>
    <w:rsid w:val="003360ED"/>
    <w:rsid w:val="00336282"/>
    <w:rsid w:val="00336526"/>
    <w:rsid w:val="00336650"/>
    <w:rsid w:val="003366EE"/>
    <w:rsid w:val="00336A69"/>
    <w:rsid w:val="00336B7A"/>
    <w:rsid w:val="00336DB2"/>
    <w:rsid w:val="00336F02"/>
    <w:rsid w:val="00336FF0"/>
    <w:rsid w:val="0033731C"/>
    <w:rsid w:val="00337B86"/>
    <w:rsid w:val="00337E2A"/>
    <w:rsid w:val="00337F19"/>
    <w:rsid w:val="003403BE"/>
    <w:rsid w:val="003404F6"/>
    <w:rsid w:val="0034054A"/>
    <w:rsid w:val="00340A7C"/>
    <w:rsid w:val="00340D0E"/>
    <w:rsid w:val="00340F5E"/>
    <w:rsid w:val="003411C2"/>
    <w:rsid w:val="00341282"/>
    <w:rsid w:val="0034129F"/>
    <w:rsid w:val="003413E6"/>
    <w:rsid w:val="003415BC"/>
    <w:rsid w:val="003415C0"/>
    <w:rsid w:val="00341D68"/>
    <w:rsid w:val="00341DB6"/>
    <w:rsid w:val="00341F86"/>
    <w:rsid w:val="003422DE"/>
    <w:rsid w:val="003424E2"/>
    <w:rsid w:val="003426E4"/>
    <w:rsid w:val="003428D7"/>
    <w:rsid w:val="0034299F"/>
    <w:rsid w:val="00342C76"/>
    <w:rsid w:val="00342F85"/>
    <w:rsid w:val="0034310E"/>
    <w:rsid w:val="00343910"/>
    <w:rsid w:val="00343A76"/>
    <w:rsid w:val="00343A85"/>
    <w:rsid w:val="0034453B"/>
    <w:rsid w:val="0034476A"/>
    <w:rsid w:val="00344782"/>
    <w:rsid w:val="00344C0A"/>
    <w:rsid w:val="00344EBE"/>
    <w:rsid w:val="00344F4A"/>
    <w:rsid w:val="003454C6"/>
    <w:rsid w:val="00345A84"/>
    <w:rsid w:val="00345DDF"/>
    <w:rsid w:val="00345F32"/>
    <w:rsid w:val="00346324"/>
    <w:rsid w:val="00346682"/>
    <w:rsid w:val="00347006"/>
    <w:rsid w:val="003476D4"/>
    <w:rsid w:val="003479E4"/>
    <w:rsid w:val="00347A9F"/>
    <w:rsid w:val="00347C21"/>
    <w:rsid w:val="00347C6B"/>
    <w:rsid w:val="0035014F"/>
    <w:rsid w:val="003501A8"/>
    <w:rsid w:val="003501B3"/>
    <w:rsid w:val="003501EF"/>
    <w:rsid w:val="003503B8"/>
    <w:rsid w:val="003505B0"/>
    <w:rsid w:val="003505DA"/>
    <w:rsid w:val="00350A91"/>
    <w:rsid w:val="0035124F"/>
    <w:rsid w:val="00351290"/>
    <w:rsid w:val="003513E2"/>
    <w:rsid w:val="00351514"/>
    <w:rsid w:val="003517A0"/>
    <w:rsid w:val="00351938"/>
    <w:rsid w:val="0035193B"/>
    <w:rsid w:val="003519B0"/>
    <w:rsid w:val="00351A84"/>
    <w:rsid w:val="00351B95"/>
    <w:rsid w:val="003522C7"/>
    <w:rsid w:val="00352487"/>
    <w:rsid w:val="003529B8"/>
    <w:rsid w:val="00352CD4"/>
    <w:rsid w:val="00352D27"/>
    <w:rsid w:val="00353168"/>
    <w:rsid w:val="003535CE"/>
    <w:rsid w:val="00353C9D"/>
    <w:rsid w:val="00353CF7"/>
    <w:rsid w:val="00353E11"/>
    <w:rsid w:val="003542BE"/>
    <w:rsid w:val="003543F3"/>
    <w:rsid w:val="00354AB6"/>
    <w:rsid w:val="00354AE8"/>
    <w:rsid w:val="00355076"/>
    <w:rsid w:val="003551D1"/>
    <w:rsid w:val="00355275"/>
    <w:rsid w:val="00355294"/>
    <w:rsid w:val="00355934"/>
    <w:rsid w:val="00355A15"/>
    <w:rsid w:val="00355AB5"/>
    <w:rsid w:val="00355C26"/>
    <w:rsid w:val="00355EFB"/>
    <w:rsid w:val="00355F45"/>
    <w:rsid w:val="0035602C"/>
    <w:rsid w:val="003561CB"/>
    <w:rsid w:val="003565EA"/>
    <w:rsid w:val="003569B1"/>
    <w:rsid w:val="00356FF2"/>
    <w:rsid w:val="003570C2"/>
    <w:rsid w:val="00357129"/>
    <w:rsid w:val="0035761F"/>
    <w:rsid w:val="00357800"/>
    <w:rsid w:val="00357B93"/>
    <w:rsid w:val="0036073B"/>
    <w:rsid w:val="003608B9"/>
    <w:rsid w:val="00360A5D"/>
    <w:rsid w:val="00360A73"/>
    <w:rsid w:val="003611D9"/>
    <w:rsid w:val="003616A6"/>
    <w:rsid w:val="0036186D"/>
    <w:rsid w:val="00361B99"/>
    <w:rsid w:val="00361F19"/>
    <w:rsid w:val="00362154"/>
    <w:rsid w:val="003627FB"/>
    <w:rsid w:val="0036322A"/>
    <w:rsid w:val="00363BE9"/>
    <w:rsid w:val="00363C6D"/>
    <w:rsid w:val="00363D33"/>
    <w:rsid w:val="00363F44"/>
    <w:rsid w:val="003640E8"/>
    <w:rsid w:val="00364137"/>
    <w:rsid w:val="003653F0"/>
    <w:rsid w:val="00365410"/>
    <w:rsid w:val="00365516"/>
    <w:rsid w:val="00365AA6"/>
    <w:rsid w:val="00365D3C"/>
    <w:rsid w:val="00365DC7"/>
    <w:rsid w:val="00365F1A"/>
    <w:rsid w:val="00365F29"/>
    <w:rsid w:val="00366084"/>
    <w:rsid w:val="003660AD"/>
    <w:rsid w:val="00366348"/>
    <w:rsid w:val="00366E19"/>
    <w:rsid w:val="0036734C"/>
    <w:rsid w:val="0036761A"/>
    <w:rsid w:val="00367A6C"/>
    <w:rsid w:val="00367CCA"/>
    <w:rsid w:val="00367D87"/>
    <w:rsid w:val="003704DD"/>
    <w:rsid w:val="00370BC3"/>
    <w:rsid w:val="00370FA1"/>
    <w:rsid w:val="00371129"/>
    <w:rsid w:val="00371297"/>
    <w:rsid w:val="00371590"/>
    <w:rsid w:val="0037163A"/>
    <w:rsid w:val="003727DE"/>
    <w:rsid w:val="00372DDA"/>
    <w:rsid w:val="00372EA1"/>
    <w:rsid w:val="00373628"/>
    <w:rsid w:val="00373705"/>
    <w:rsid w:val="0037379B"/>
    <w:rsid w:val="00374016"/>
    <w:rsid w:val="0037418E"/>
    <w:rsid w:val="003742C9"/>
    <w:rsid w:val="003743F8"/>
    <w:rsid w:val="00374807"/>
    <w:rsid w:val="00374A6C"/>
    <w:rsid w:val="00374EB9"/>
    <w:rsid w:val="00374F5B"/>
    <w:rsid w:val="003755D7"/>
    <w:rsid w:val="0037588F"/>
    <w:rsid w:val="003758ED"/>
    <w:rsid w:val="003760E1"/>
    <w:rsid w:val="0037611B"/>
    <w:rsid w:val="0037665A"/>
    <w:rsid w:val="0037670C"/>
    <w:rsid w:val="003775E2"/>
    <w:rsid w:val="0037784E"/>
    <w:rsid w:val="003778D8"/>
    <w:rsid w:val="00377E3F"/>
    <w:rsid w:val="00377F65"/>
    <w:rsid w:val="00380344"/>
    <w:rsid w:val="00380720"/>
    <w:rsid w:val="00380B84"/>
    <w:rsid w:val="00381410"/>
    <w:rsid w:val="00381774"/>
    <w:rsid w:val="0038181C"/>
    <w:rsid w:val="00381879"/>
    <w:rsid w:val="00381922"/>
    <w:rsid w:val="00381AAC"/>
    <w:rsid w:val="0038206E"/>
    <w:rsid w:val="00382123"/>
    <w:rsid w:val="003822B9"/>
    <w:rsid w:val="0038240C"/>
    <w:rsid w:val="00382932"/>
    <w:rsid w:val="00382BB2"/>
    <w:rsid w:val="00382BBD"/>
    <w:rsid w:val="00382D05"/>
    <w:rsid w:val="00382D13"/>
    <w:rsid w:val="00383105"/>
    <w:rsid w:val="003831CE"/>
    <w:rsid w:val="003837C7"/>
    <w:rsid w:val="00383C98"/>
    <w:rsid w:val="00384105"/>
    <w:rsid w:val="00384288"/>
    <w:rsid w:val="0038483A"/>
    <w:rsid w:val="00384A84"/>
    <w:rsid w:val="00384F11"/>
    <w:rsid w:val="003851E1"/>
    <w:rsid w:val="00385607"/>
    <w:rsid w:val="0038568D"/>
    <w:rsid w:val="00385748"/>
    <w:rsid w:val="003859EF"/>
    <w:rsid w:val="00385C82"/>
    <w:rsid w:val="00385D02"/>
    <w:rsid w:val="00385D0C"/>
    <w:rsid w:val="00385F02"/>
    <w:rsid w:val="00386020"/>
    <w:rsid w:val="003862C7"/>
    <w:rsid w:val="003863FB"/>
    <w:rsid w:val="0038686E"/>
    <w:rsid w:val="00386BE9"/>
    <w:rsid w:val="00386D04"/>
    <w:rsid w:val="0038727C"/>
    <w:rsid w:val="0038749B"/>
    <w:rsid w:val="00387931"/>
    <w:rsid w:val="003879E8"/>
    <w:rsid w:val="00387A56"/>
    <w:rsid w:val="00390466"/>
    <w:rsid w:val="003905A0"/>
    <w:rsid w:val="00390F10"/>
    <w:rsid w:val="00391110"/>
    <w:rsid w:val="0039114D"/>
    <w:rsid w:val="00391297"/>
    <w:rsid w:val="0039147D"/>
    <w:rsid w:val="003917B2"/>
    <w:rsid w:val="00391D58"/>
    <w:rsid w:val="0039222E"/>
    <w:rsid w:val="0039222F"/>
    <w:rsid w:val="00392290"/>
    <w:rsid w:val="003926F4"/>
    <w:rsid w:val="00392938"/>
    <w:rsid w:val="00392BDE"/>
    <w:rsid w:val="00392C4C"/>
    <w:rsid w:val="0039304A"/>
    <w:rsid w:val="0039313B"/>
    <w:rsid w:val="003936A8"/>
    <w:rsid w:val="00393745"/>
    <w:rsid w:val="00393767"/>
    <w:rsid w:val="00393779"/>
    <w:rsid w:val="0039380E"/>
    <w:rsid w:val="00393F71"/>
    <w:rsid w:val="003940FE"/>
    <w:rsid w:val="003946E3"/>
    <w:rsid w:val="00394782"/>
    <w:rsid w:val="00394A22"/>
    <w:rsid w:val="00394A41"/>
    <w:rsid w:val="00394E9E"/>
    <w:rsid w:val="00395770"/>
    <w:rsid w:val="00395916"/>
    <w:rsid w:val="003959D8"/>
    <w:rsid w:val="00396246"/>
    <w:rsid w:val="0039632C"/>
    <w:rsid w:val="00396753"/>
    <w:rsid w:val="00396A72"/>
    <w:rsid w:val="00396DA4"/>
    <w:rsid w:val="00396EE3"/>
    <w:rsid w:val="003970A5"/>
    <w:rsid w:val="003971B0"/>
    <w:rsid w:val="003972F2"/>
    <w:rsid w:val="00397660"/>
    <w:rsid w:val="00397D24"/>
    <w:rsid w:val="00397E43"/>
    <w:rsid w:val="00397FB5"/>
    <w:rsid w:val="003A00C2"/>
    <w:rsid w:val="003A06D1"/>
    <w:rsid w:val="003A07C3"/>
    <w:rsid w:val="003A0B36"/>
    <w:rsid w:val="003A0CA1"/>
    <w:rsid w:val="003A0EB3"/>
    <w:rsid w:val="003A131F"/>
    <w:rsid w:val="003A1734"/>
    <w:rsid w:val="003A1774"/>
    <w:rsid w:val="003A19B8"/>
    <w:rsid w:val="003A1BA9"/>
    <w:rsid w:val="003A1E60"/>
    <w:rsid w:val="003A2049"/>
    <w:rsid w:val="003A2410"/>
    <w:rsid w:val="003A24E9"/>
    <w:rsid w:val="003A28AE"/>
    <w:rsid w:val="003A2916"/>
    <w:rsid w:val="003A2CFE"/>
    <w:rsid w:val="003A2DB7"/>
    <w:rsid w:val="003A2F6B"/>
    <w:rsid w:val="003A2FFF"/>
    <w:rsid w:val="003A33C9"/>
    <w:rsid w:val="003A3411"/>
    <w:rsid w:val="003A3901"/>
    <w:rsid w:val="003A3A9E"/>
    <w:rsid w:val="003A3AFF"/>
    <w:rsid w:val="003A3D19"/>
    <w:rsid w:val="003A4879"/>
    <w:rsid w:val="003A4B7A"/>
    <w:rsid w:val="003A518B"/>
    <w:rsid w:val="003A5776"/>
    <w:rsid w:val="003A5B93"/>
    <w:rsid w:val="003A5D8D"/>
    <w:rsid w:val="003A5E81"/>
    <w:rsid w:val="003A60A3"/>
    <w:rsid w:val="003A61C7"/>
    <w:rsid w:val="003A632B"/>
    <w:rsid w:val="003A65FF"/>
    <w:rsid w:val="003A6758"/>
    <w:rsid w:val="003A6804"/>
    <w:rsid w:val="003A69C7"/>
    <w:rsid w:val="003A6B53"/>
    <w:rsid w:val="003A73AE"/>
    <w:rsid w:val="003A74A9"/>
    <w:rsid w:val="003A74C1"/>
    <w:rsid w:val="003A7542"/>
    <w:rsid w:val="003A7EB7"/>
    <w:rsid w:val="003A7F93"/>
    <w:rsid w:val="003B047C"/>
    <w:rsid w:val="003B086F"/>
    <w:rsid w:val="003B13E8"/>
    <w:rsid w:val="003B1468"/>
    <w:rsid w:val="003B14C7"/>
    <w:rsid w:val="003B1541"/>
    <w:rsid w:val="003B19D2"/>
    <w:rsid w:val="003B1A5D"/>
    <w:rsid w:val="003B1E8C"/>
    <w:rsid w:val="003B21A5"/>
    <w:rsid w:val="003B22A9"/>
    <w:rsid w:val="003B2CFB"/>
    <w:rsid w:val="003B3584"/>
    <w:rsid w:val="003B3F42"/>
    <w:rsid w:val="003B3F65"/>
    <w:rsid w:val="003B3FEA"/>
    <w:rsid w:val="003B4300"/>
    <w:rsid w:val="003B4901"/>
    <w:rsid w:val="003B4E44"/>
    <w:rsid w:val="003B4EC5"/>
    <w:rsid w:val="003B4F51"/>
    <w:rsid w:val="003B507C"/>
    <w:rsid w:val="003B50B0"/>
    <w:rsid w:val="003B5352"/>
    <w:rsid w:val="003B5598"/>
    <w:rsid w:val="003B55E0"/>
    <w:rsid w:val="003B57AF"/>
    <w:rsid w:val="003B5A75"/>
    <w:rsid w:val="003B5BDF"/>
    <w:rsid w:val="003B5DAD"/>
    <w:rsid w:val="003B5E63"/>
    <w:rsid w:val="003B5F14"/>
    <w:rsid w:val="003B61A7"/>
    <w:rsid w:val="003B6597"/>
    <w:rsid w:val="003B67C1"/>
    <w:rsid w:val="003B6B90"/>
    <w:rsid w:val="003B6F1E"/>
    <w:rsid w:val="003B71A2"/>
    <w:rsid w:val="003B739B"/>
    <w:rsid w:val="003B739E"/>
    <w:rsid w:val="003B77A4"/>
    <w:rsid w:val="003B7B7C"/>
    <w:rsid w:val="003B7DA7"/>
    <w:rsid w:val="003C0034"/>
    <w:rsid w:val="003C0338"/>
    <w:rsid w:val="003C084C"/>
    <w:rsid w:val="003C089D"/>
    <w:rsid w:val="003C09F7"/>
    <w:rsid w:val="003C0CA7"/>
    <w:rsid w:val="003C0E27"/>
    <w:rsid w:val="003C12E0"/>
    <w:rsid w:val="003C1917"/>
    <w:rsid w:val="003C1946"/>
    <w:rsid w:val="003C1C33"/>
    <w:rsid w:val="003C1DD4"/>
    <w:rsid w:val="003C1E07"/>
    <w:rsid w:val="003C2072"/>
    <w:rsid w:val="003C20E1"/>
    <w:rsid w:val="003C221B"/>
    <w:rsid w:val="003C2679"/>
    <w:rsid w:val="003C268C"/>
    <w:rsid w:val="003C2725"/>
    <w:rsid w:val="003C274C"/>
    <w:rsid w:val="003C2AAA"/>
    <w:rsid w:val="003C2AF4"/>
    <w:rsid w:val="003C2CF0"/>
    <w:rsid w:val="003C2D36"/>
    <w:rsid w:val="003C3D85"/>
    <w:rsid w:val="003C3EA3"/>
    <w:rsid w:val="003C3FAA"/>
    <w:rsid w:val="003C4036"/>
    <w:rsid w:val="003C444E"/>
    <w:rsid w:val="003C4858"/>
    <w:rsid w:val="003C4997"/>
    <w:rsid w:val="003C4A7E"/>
    <w:rsid w:val="003C4B1C"/>
    <w:rsid w:val="003C4D5F"/>
    <w:rsid w:val="003C4FA1"/>
    <w:rsid w:val="003C5B9E"/>
    <w:rsid w:val="003C5C4C"/>
    <w:rsid w:val="003C5E04"/>
    <w:rsid w:val="003C6125"/>
    <w:rsid w:val="003C6152"/>
    <w:rsid w:val="003C66BD"/>
    <w:rsid w:val="003C674F"/>
    <w:rsid w:val="003C6C25"/>
    <w:rsid w:val="003C6C3E"/>
    <w:rsid w:val="003C6D14"/>
    <w:rsid w:val="003C6F02"/>
    <w:rsid w:val="003C6F0A"/>
    <w:rsid w:val="003C6F71"/>
    <w:rsid w:val="003C746F"/>
    <w:rsid w:val="003C76A4"/>
    <w:rsid w:val="003C7909"/>
    <w:rsid w:val="003D0207"/>
    <w:rsid w:val="003D0297"/>
    <w:rsid w:val="003D02F7"/>
    <w:rsid w:val="003D0528"/>
    <w:rsid w:val="003D05A3"/>
    <w:rsid w:val="003D05C1"/>
    <w:rsid w:val="003D0F56"/>
    <w:rsid w:val="003D125A"/>
    <w:rsid w:val="003D142D"/>
    <w:rsid w:val="003D144C"/>
    <w:rsid w:val="003D14C0"/>
    <w:rsid w:val="003D1F12"/>
    <w:rsid w:val="003D2127"/>
    <w:rsid w:val="003D22B8"/>
    <w:rsid w:val="003D262A"/>
    <w:rsid w:val="003D29C3"/>
    <w:rsid w:val="003D2A73"/>
    <w:rsid w:val="003D2BA4"/>
    <w:rsid w:val="003D2C29"/>
    <w:rsid w:val="003D2DE1"/>
    <w:rsid w:val="003D31C2"/>
    <w:rsid w:val="003D39BD"/>
    <w:rsid w:val="003D3B5E"/>
    <w:rsid w:val="003D3D0B"/>
    <w:rsid w:val="003D47AA"/>
    <w:rsid w:val="003D49E6"/>
    <w:rsid w:val="003D4F4C"/>
    <w:rsid w:val="003D539A"/>
    <w:rsid w:val="003D555F"/>
    <w:rsid w:val="003D5774"/>
    <w:rsid w:val="003D5DFA"/>
    <w:rsid w:val="003D5F8D"/>
    <w:rsid w:val="003D64D9"/>
    <w:rsid w:val="003D67AB"/>
    <w:rsid w:val="003D6874"/>
    <w:rsid w:val="003D6C6F"/>
    <w:rsid w:val="003D7262"/>
    <w:rsid w:val="003D74FE"/>
    <w:rsid w:val="003D7851"/>
    <w:rsid w:val="003D7CD1"/>
    <w:rsid w:val="003D7D2C"/>
    <w:rsid w:val="003D7D5A"/>
    <w:rsid w:val="003E0085"/>
    <w:rsid w:val="003E0399"/>
    <w:rsid w:val="003E03BD"/>
    <w:rsid w:val="003E0681"/>
    <w:rsid w:val="003E0B43"/>
    <w:rsid w:val="003E0D96"/>
    <w:rsid w:val="003E0F0C"/>
    <w:rsid w:val="003E103A"/>
    <w:rsid w:val="003E10CD"/>
    <w:rsid w:val="003E112C"/>
    <w:rsid w:val="003E125C"/>
    <w:rsid w:val="003E13B8"/>
    <w:rsid w:val="003E1881"/>
    <w:rsid w:val="003E18FD"/>
    <w:rsid w:val="003E264A"/>
    <w:rsid w:val="003E264C"/>
    <w:rsid w:val="003E279C"/>
    <w:rsid w:val="003E2845"/>
    <w:rsid w:val="003E298D"/>
    <w:rsid w:val="003E2A46"/>
    <w:rsid w:val="003E3057"/>
    <w:rsid w:val="003E30BD"/>
    <w:rsid w:val="003E36EE"/>
    <w:rsid w:val="003E3A75"/>
    <w:rsid w:val="003E4092"/>
    <w:rsid w:val="003E437B"/>
    <w:rsid w:val="003E44B9"/>
    <w:rsid w:val="003E472F"/>
    <w:rsid w:val="003E4F1C"/>
    <w:rsid w:val="003E5110"/>
    <w:rsid w:val="003E515B"/>
    <w:rsid w:val="003E543C"/>
    <w:rsid w:val="003E5486"/>
    <w:rsid w:val="003E55A7"/>
    <w:rsid w:val="003E6244"/>
    <w:rsid w:val="003E6457"/>
    <w:rsid w:val="003E66B4"/>
    <w:rsid w:val="003E67DE"/>
    <w:rsid w:val="003E6AEB"/>
    <w:rsid w:val="003E6B49"/>
    <w:rsid w:val="003E6C00"/>
    <w:rsid w:val="003E72CA"/>
    <w:rsid w:val="003E7400"/>
    <w:rsid w:val="003E7596"/>
    <w:rsid w:val="003E760A"/>
    <w:rsid w:val="003E788D"/>
    <w:rsid w:val="003F0772"/>
    <w:rsid w:val="003F0923"/>
    <w:rsid w:val="003F12D2"/>
    <w:rsid w:val="003F1482"/>
    <w:rsid w:val="003F16A5"/>
    <w:rsid w:val="003F2112"/>
    <w:rsid w:val="003F27F4"/>
    <w:rsid w:val="003F37B6"/>
    <w:rsid w:val="003F3BE3"/>
    <w:rsid w:val="003F3C4F"/>
    <w:rsid w:val="003F3D64"/>
    <w:rsid w:val="003F4295"/>
    <w:rsid w:val="003F4588"/>
    <w:rsid w:val="003F45E6"/>
    <w:rsid w:val="003F4AC5"/>
    <w:rsid w:val="003F4B01"/>
    <w:rsid w:val="003F4CE1"/>
    <w:rsid w:val="003F4D98"/>
    <w:rsid w:val="003F4DBA"/>
    <w:rsid w:val="003F4ED0"/>
    <w:rsid w:val="003F51A6"/>
    <w:rsid w:val="003F5C6A"/>
    <w:rsid w:val="003F5CE5"/>
    <w:rsid w:val="003F6112"/>
    <w:rsid w:val="003F6135"/>
    <w:rsid w:val="003F64F4"/>
    <w:rsid w:val="003F6501"/>
    <w:rsid w:val="003F66B9"/>
    <w:rsid w:val="003F6B04"/>
    <w:rsid w:val="003F75A7"/>
    <w:rsid w:val="003F7629"/>
    <w:rsid w:val="003F7713"/>
    <w:rsid w:val="003F7844"/>
    <w:rsid w:val="003F7C37"/>
    <w:rsid w:val="003F7DE4"/>
    <w:rsid w:val="003F7E1B"/>
    <w:rsid w:val="003F7EA9"/>
    <w:rsid w:val="004004F9"/>
    <w:rsid w:val="00400587"/>
    <w:rsid w:val="00400672"/>
    <w:rsid w:val="00400AB4"/>
    <w:rsid w:val="00400E4F"/>
    <w:rsid w:val="004010AB"/>
    <w:rsid w:val="004012E8"/>
    <w:rsid w:val="004017E6"/>
    <w:rsid w:val="004019BF"/>
    <w:rsid w:val="00401D70"/>
    <w:rsid w:val="00402105"/>
    <w:rsid w:val="004025B9"/>
    <w:rsid w:val="00402AB7"/>
    <w:rsid w:val="00402B52"/>
    <w:rsid w:val="00402CDA"/>
    <w:rsid w:val="00402FF4"/>
    <w:rsid w:val="00403030"/>
    <w:rsid w:val="004030AA"/>
    <w:rsid w:val="004030B5"/>
    <w:rsid w:val="004036BB"/>
    <w:rsid w:val="00403A61"/>
    <w:rsid w:val="00403AA2"/>
    <w:rsid w:val="00403AE2"/>
    <w:rsid w:val="00404188"/>
    <w:rsid w:val="0040440E"/>
    <w:rsid w:val="00404443"/>
    <w:rsid w:val="0040444E"/>
    <w:rsid w:val="00404B81"/>
    <w:rsid w:val="00404CAA"/>
    <w:rsid w:val="00404E91"/>
    <w:rsid w:val="004053F7"/>
    <w:rsid w:val="004056CB"/>
    <w:rsid w:val="004056CD"/>
    <w:rsid w:val="00405797"/>
    <w:rsid w:val="004067D9"/>
    <w:rsid w:val="00406C22"/>
    <w:rsid w:val="00406C8E"/>
    <w:rsid w:val="00406E33"/>
    <w:rsid w:val="0040757E"/>
    <w:rsid w:val="00407666"/>
    <w:rsid w:val="00407914"/>
    <w:rsid w:val="00407C58"/>
    <w:rsid w:val="00407D5A"/>
    <w:rsid w:val="00407E45"/>
    <w:rsid w:val="00407E77"/>
    <w:rsid w:val="00410021"/>
    <w:rsid w:val="0041003C"/>
    <w:rsid w:val="00410BAC"/>
    <w:rsid w:val="00410E78"/>
    <w:rsid w:val="0041118E"/>
    <w:rsid w:val="004111E3"/>
    <w:rsid w:val="0041125A"/>
    <w:rsid w:val="00411419"/>
    <w:rsid w:val="004116DA"/>
    <w:rsid w:val="004118D7"/>
    <w:rsid w:val="00411B43"/>
    <w:rsid w:val="00411D59"/>
    <w:rsid w:val="00411DBC"/>
    <w:rsid w:val="00411E98"/>
    <w:rsid w:val="00411FC4"/>
    <w:rsid w:val="004124A1"/>
    <w:rsid w:val="0041259D"/>
    <w:rsid w:val="00412C58"/>
    <w:rsid w:val="00412EB9"/>
    <w:rsid w:val="00412F08"/>
    <w:rsid w:val="00412F6A"/>
    <w:rsid w:val="00413208"/>
    <w:rsid w:val="00413368"/>
    <w:rsid w:val="004134D1"/>
    <w:rsid w:val="004134E6"/>
    <w:rsid w:val="00413506"/>
    <w:rsid w:val="0041369A"/>
    <w:rsid w:val="004138EE"/>
    <w:rsid w:val="00413F42"/>
    <w:rsid w:val="004143FB"/>
    <w:rsid w:val="004144B4"/>
    <w:rsid w:val="00414555"/>
    <w:rsid w:val="00414B39"/>
    <w:rsid w:val="00414B7C"/>
    <w:rsid w:val="00414E4C"/>
    <w:rsid w:val="00414F63"/>
    <w:rsid w:val="00414FA7"/>
    <w:rsid w:val="004150C2"/>
    <w:rsid w:val="00415432"/>
    <w:rsid w:val="004154CC"/>
    <w:rsid w:val="00415573"/>
    <w:rsid w:val="00415861"/>
    <w:rsid w:val="0041587E"/>
    <w:rsid w:val="0041589B"/>
    <w:rsid w:val="00416128"/>
    <w:rsid w:val="00416229"/>
    <w:rsid w:val="0041630E"/>
    <w:rsid w:val="0041641E"/>
    <w:rsid w:val="00416658"/>
    <w:rsid w:val="00416A64"/>
    <w:rsid w:val="00416C25"/>
    <w:rsid w:val="00416D0B"/>
    <w:rsid w:val="00416DC4"/>
    <w:rsid w:val="00416E12"/>
    <w:rsid w:val="00417076"/>
    <w:rsid w:val="00417473"/>
    <w:rsid w:val="004175A0"/>
    <w:rsid w:val="004179ED"/>
    <w:rsid w:val="00417F5C"/>
    <w:rsid w:val="0042050B"/>
    <w:rsid w:val="004207C0"/>
    <w:rsid w:val="004208F9"/>
    <w:rsid w:val="004209B6"/>
    <w:rsid w:val="00420F2A"/>
    <w:rsid w:val="0042120F"/>
    <w:rsid w:val="0042129E"/>
    <w:rsid w:val="0042149D"/>
    <w:rsid w:val="00421610"/>
    <w:rsid w:val="00421724"/>
    <w:rsid w:val="00421A10"/>
    <w:rsid w:val="00421A30"/>
    <w:rsid w:val="00421D73"/>
    <w:rsid w:val="00421DD5"/>
    <w:rsid w:val="00421DE2"/>
    <w:rsid w:val="00421E83"/>
    <w:rsid w:val="00422317"/>
    <w:rsid w:val="004225CA"/>
    <w:rsid w:val="00422BC8"/>
    <w:rsid w:val="00422BD2"/>
    <w:rsid w:val="00422E57"/>
    <w:rsid w:val="0042340D"/>
    <w:rsid w:val="00423B28"/>
    <w:rsid w:val="00423D89"/>
    <w:rsid w:val="00423D9C"/>
    <w:rsid w:val="004241A7"/>
    <w:rsid w:val="004243A0"/>
    <w:rsid w:val="0042485E"/>
    <w:rsid w:val="004248D6"/>
    <w:rsid w:val="00424B39"/>
    <w:rsid w:val="00424C75"/>
    <w:rsid w:val="00424FB2"/>
    <w:rsid w:val="004252DF"/>
    <w:rsid w:val="0042599D"/>
    <w:rsid w:val="00426080"/>
    <w:rsid w:val="004262B3"/>
    <w:rsid w:val="00426A60"/>
    <w:rsid w:val="00426BD2"/>
    <w:rsid w:val="00426CAB"/>
    <w:rsid w:val="00426DD2"/>
    <w:rsid w:val="00427082"/>
    <w:rsid w:val="004273C4"/>
    <w:rsid w:val="004278D2"/>
    <w:rsid w:val="00427CA8"/>
    <w:rsid w:val="00430003"/>
    <w:rsid w:val="0043012F"/>
    <w:rsid w:val="004308EE"/>
    <w:rsid w:val="00430FB1"/>
    <w:rsid w:val="004313F7"/>
    <w:rsid w:val="00431548"/>
    <w:rsid w:val="004317F7"/>
    <w:rsid w:val="0043183B"/>
    <w:rsid w:val="00431ACA"/>
    <w:rsid w:val="0043211F"/>
    <w:rsid w:val="004322F5"/>
    <w:rsid w:val="0043266F"/>
    <w:rsid w:val="0043289D"/>
    <w:rsid w:val="004328BC"/>
    <w:rsid w:val="00432EAD"/>
    <w:rsid w:val="00433524"/>
    <w:rsid w:val="004337DF"/>
    <w:rsid w:val="0043383F"/>
    <w:rsid w:val="0043388B"/>
    <w:rsid w:val="004339C0"/>
    <w:rsid w:val="00433D88"/>
    <w:rsid w:val="00434153"/>
    <w:rsid w:val="00434338"/>
    <w:rsid w:val="00434998"/>
    <w:rsid w:val="004349B1"/>
    <w:rsid w:val="00434E9D"/>
    <w:rsid w:val="00434F1F"/>
    <w:rsid w:val="004355A0"/>
    <w:rsid w:val="0043589C"/>
    <w:rsid w:val="00435905"/>
    <w:rsid w:val="0043595E"/>
    <w:rsid w:val="00435C8F"/>
    <w:rsid w:val="00435DDC"/>
    <w:rsid w:val="004368E4"/>
    <w:rsid w:val="004369BE"/>
    <w:rsid w:val="00436F66"/>
    <w:rsid w:val="00437030"/>
    <w:rsid w:val="00437062"/>
    <w:rsid w:val="004372E1"/>
    <w:rsid w:val="00437355"/>
    <w:rsid w:val="00437A2D"/>
    <w:rsid w:val="00437B42"/>
    <w:rsid w:val="00437C5F"/>
    <w:rsid w:val="00437EE9"/>
    <w:rsid w:val="0044020C"/>
    <w:rsid w:val="00440449"/>
    <w:rsid w:val="00440451"/>
    <w:rsid w:val="0044047C"/>
    <w:rsid w:val="004404ED"/>
    <w:rsid w:val="004406E5"/>
    <w:rsid w:val="004408D2"/>
    <w:rsid w:val="00440942"/>
    <w:rsid w:val="004409DB"/>
    <w:rsid w:val="00440A43"/>
    <w:rsid w:val="00440E1D"/>
    <w:rsid w:val="00440E60"/>
    <w:rsid w:val="00441172"/>
    <w:rsid w:val="004413AD"/>
    <w:rsid w:val="004414BB"/>
    <w:rsid w:val="00441760"/>
    <w:rsid w:val="00441C29"/>
    <w:rsid w:val="00441C6A"/>
    <w:rsid w:val="0044205A"/>
    <w:rsid w:val="0044210E"/>
    <w:rsid w:val="00442220"/>
    <w:rsid w:val="0044250F"/>
    <w:rsid w:val="00442A0B"/>
    <w:rsid w:val="00442C0A"/>
    <w:rsid w:val="00442CBA"/>
    <w:rsid w:val="00443076"/>
    <w:rsid w:val="004431FC"/>
    <w:rsid w:val="00443297"/>
    <w:rsid w:val="004434DA"/>
    <w:rsid w:val="004436D4"/>
    <w:rsid w:val="00443BC8"/>
    <w:rsid w:val="00443BF9"/>
    <w:rsid w:val="00443F6B"/>
    <w:rsid w:val="00444381"/>
    <w:rsid w:val="0044454B"/>
    <w:rsid w:val="004449A0"/>
    <w:rsid w:val="00444B7C"/>
    <w:rsid w:val="004452BD"/>
    <w:rsid w:val="004454E1"/>
    <w:rsid w:val="004455DB"/>
    <w:rsid w:val="0044582F"/>
    <w:rsid w:val="0044588D"/>
    <w:rsid w:val="00445A63"/>
    <w:rsid w:val="00445B05"/>
    <w:rsid w:val="00445BF8"/>
    <w:rsid w:val="00445C10"/>
    <w:rsid w:val="00446235"/>
    <w:rsid w:val="004464BA"/>
    <w:rsid w:val="004465AA"/>
    <w:rsid w:val="00446908"/>
    <w:rsid w:val="00446AF6"/>
    <w:rsid w:val="00446DF4"/>
    <w:rsid w:val="00446F00"/>
    <w:rsid w:val="00447013"/>
    <w:rsid w:val="004472EB"/>
    <w:rsid w:val="004474A9"/>
    <w:rsid w:val="004475E5"/>
    <w:rsid w:val="004477FB"/>
    <w:rsid w:val="004478BA"/>
    <w:rsid w:val="00447C33"/>
    <w:rsid w:val="00447DFE"/>
    <w:rsid w:val="00447E9B"/>
    <w:rsid w:val="00447F18"/>
    <w:rsid w:val="00447F6A"/>
    <w:rsid w:val="00447FB1"/>
    <w:rsid w:val="004503B2"/>
    <w:rsid w:val="00451789"/>
    <w:rsid w:val="00451990"/>
    <w:rsid w:val="004519C4"/>
    <w:rsid w:val="004522CB"/>
    <w:rsid w:val="004524D0"/>
    <w:rsid w:val="00452BAB"/>
    <w:rsid w:val="00452F18"/>
    <w:rsid w:val="00453092"/>
    <w:rsid w:val="004539F7"/>
    <w:rsid w:val="00453A12"/>
    <w:rsid w:val="00453A64"/>
    <w:rsid w:val="00454122"/>
    <w:rsid w:val="0045414A"/>
    <w:rsid w:val="004543AD"/>
    <w:rsid w:val="00454868"/>
    <w:rsid w:val="00454A1F"/>
    <w:rsid w:val="00454A3E"/>
    <w:rsid w:val="00454A58"/>
    <w:rsid w:val="00455038"/>
    <w:rsid w:val="00455427"/>
    <w:rsid w:val="00455A93"/>
    <w:rsid w:val="00455CE1"/>
    <w:rsid w:val="00456140"/>
    <w:rsid w:val="00456635"/>
    <w:rsid w:val="00457260"/>
    <w:rsid w:val="0045729E"/>
    <w:rsid w:val="004575D4"/>
    <w:rsid w:val="0045783F"/>
    <w:rsid w:val="00457C67"/>
    <w:rsid w:val="00457DE6"/>
    <w:rsid w:val="00457EA3"/>
    <w:rsid w:val="00457EC5"/>
    <w:rsid w:val="004600C4"/>
    <w:rsid w:val="00460330"/>
    <w:rsid w:val="00460600"/>
    <w:rsid w:val="00460736"/>
    <w:rsid w:val="00460AC9"/>
    <w:rsid w:val="00460B86"/>
    <w:rsid w:val="00460C99"/>
    <w:rsid w:val="00460EFA"/>
    <w:rsid w:val="004610EF"/>
    <w:rsid w:val="004613C8"/>
    <w:rsid w:val="00461621"/>
    <w:rsid w:val="00461F02"/>
    <w:rsid w:val="00461FDD"/>
    <w:rsid w:val="00462164"/>
    <w:rsid w:val="0046228C"/>
    <w:rsid w:val="0046267D"/>
    <w:rsid w:val="00462C07"/>
    <w:rsid w:val="00462EB1"/>
    <w:rsid w:val="004632AC"/>
    <w:rsid w:val="004632C6"/>
    <w:rsid w:val="0046330D"/>
    <w:rsid w:val="004634B1"/>
    <w:rsid w:val="00463875"/>
    <w:rsid w:val="00463CC8"/>
    <w:rsid w:val="00463E52"/>
    <w:rsid w:val="00463E7F"/>
    <w:rsid w:val="00464502"/>
    <w:rsid w:val="00464710"/>
    <w:rsid w:val="004649A5"/>
    <w:rsid w:val="00465314"/>
    <w:rsid w:val="004654D0"/>
    <w:rsid w:val="004655B8"/>
    <w:rsid w:val="004656DD"/>
    <w:rsid w:val="0046579C"/>
    <w:rsid w:val="00465A9E"/>
    <w:rsid w:val="00465D72"/>
    <w:rsid w:val="00465EAC"/>
    <w:rsid w:val="00466701"/>
    <w:rsid w:val="00466849"/>
    <w:rsid w:val="00466A91"/>
    <w:rsid w:val="00466DC0"/>
    <w:rsid w:val="0046717A"/>
    <w:rsid w:val="004675F4"/>
    <w:rsid w:val="00467B31"/>
    <w:rsid w:val="00467EFA"/>
    <w:rsid w:val="004701F8"/>
    <w:rsid w:val="0047043E"/>
    <w:rsid w:val="004707CC"/>
    <w:rsid w:val="0047099F"/>
    <w:rsid w:val="00470BE2"/>
    <w:rsid w:val="00470C7D"/>
    <w:rsid w:val="00470CF8"/>
    <w:rsid w:val="00470D8F"/>
    <w:rsid w:val="00470E5D"/>
    <w:rsid w:val="00470FD9"/>
    <w:rsid w:val="004711BC"/>
    <w:rsid w:val="004712C6"/>
    <w:rsid w:val="00471349"/>
    <w:rsid w:val="004717D3"/>
    <w:rsid w:val="004719AF"/>
    <w:rsid w:val="00471FEE"/>
    <w:rsid w:val="00472101"/>
    <w:rsid w:val="00472128"/>
    <w:rsid w:val="004728DB"/>
    <w:rsid w:val="00472E26"/>
    <w:rsid w:val="00472E51"/>
    <w:rsid w:val="00473179"/>
    <w:rsid w:val="00473463"/>
    <w:rsid w:val="004735CA"/>
    <w:rsid w:val="0047382D"/>
    <w:rsid w:val="004738CF"/>
    <w:rsid w:val="00473A58"/>
    <w:rsid w:val="00473A84"/>
    <w:rsid w:val="00473ABD"/>
    <w:rsid w:val="00473C38"/>
    <w:rsid w:val="00473F59"/>
    <w:rsid w:val="00473F70"/>
    <w:rsid w:val="0047475E"/>
    <w:rsid w:val="00474DEC"/>
    <w:rsid w:val="00474ECF"/>
    <w:rsid w:val="00474EEF"/>
    <w:rsid w:val="00474F33"/>
    <w:rsid w:val="00475561"/>
    <w:rsid w:val="00475706"/>
    <w:rsid w:val="00475B0F"/>
    <w:rsid w:val="00475B7A"/>
    <w:rsid w:val="00475BF5"/>
    <w:rsid w:val="00475FF5"/>
    <w:rsid w:val="004760E2"/>
    <w:rsid w:val="00476128"/>
    <w:rsid w:val="00476566"/>
    <w:rsid w:val="004765F6"/>
    <w:rsid w:val="00476688"/>
    <w:rsid w:val="00476985"/>
    <w:rsid w:val="00476C2F"/>
    <w:rsid w:val="00476D25"/>
    <w:rsid w:val="00476E34"/>
    <w:rsid w:val="00476EDC"/>
    <w:rsid w:val="00477336"/>
    <w:rsid w:val="0047759D"/>
    <w:rsid w:val="0047796C"/>
    <w:rsid w:val="004779AF"/>
    <w:rsid w:val="004779D8"/>
    <w:rsid w:val="004779F0"/>
    <w:rsid w:val="00477C72"/>
    <w:rsid w:val="00477D47"/>
    <w:rsid w:val="00477EC4"/>
    <w:rsid w:val="00477F38"/>
    <w:rsid w:val="00480161"/>
    <w:rsid w:val="004802C1"/>
    <w:rsid w:val="0048068A"/>
    <w:rsid w:val="00480DB2"/>
    <w:rsid w:val="0048114A"/>
    <w:rsid w:val="004812D9"/>
    <w:rsid w:val="00481592"/>
    <w:rsid w:val="0048169A"/>
    <w:rsid w:val="0048193F"/>
    <w:rsid w:val="004819DF"/>
    <w:rsid w:val="00482442"/>
    <w:rsid w:val="004824AD"/>
    <w:rsid w:val="004824B2"/>
    <w:rsid w:val="0048259B"/>
    <w:rsid w:val="0048270D"/>
    <w:rsid w:val="00482741"/>
    <w:rsid w:val="0048294D"/>
    <w:rsid w:val="00482CF6"/>
    <w:rsid w:val="00483299"/>
    <w:rsid w:val="004840EC"/>
    <w:rsid w:val="00484C54"/>
    <w:rsid w:val="00484E64"/>
    <w:rsid w:val="00484F7E"/>
    <w:rsid w:val="00485A47"/>
    <w:rsid w:val="00485B11"/>
    <w:rsid w:val="00485C8E"/>
    <w:rsid w:val="00485FEB"/>
    <w:rsid w:val="0048612C"/>
    <w:rsid w:val="00486261"/>
    <w:rsid w:val="00486442"/>
    <w:rsid w:val="004865CC"/>
    <w:rsid w:val="0048699E"/>
    <w:rsid w:val="00486ECC"/>
    <w:rsid w:val="0048726E"/>
    <w:rsid w:val="00487420"/>
    <w:rsid w:val="00487474"/>
    <w:rsid w:val="00487E91"/>
    <w:rsid w:val="0049031B"/>
    <w:rsid w:val="00490575"/>
    <w:rsid w:val="00490B04"/>
    <w:rsid w:val="00490EB4"/>
    <w:rsid w:val="00490F5C"/>
    <w:rsid w:val="004910BB"/>
    <w:rsid w:val="00491AAF"/>
    <w:rsid w:val="0049207B"/>
    <w:rsid w:val="004922A4"/>
    <w:rsid w:val="00492341"/>
    <w:rsid w:val="0049248B"/>
    <w:rsid w:val="004924EC"/>
    <w:rsid w:val="004929F1"/>
    <w:rsid w:val="00492B25"/>
    <w:rsid w:val="00492BBA"/>
    <w:rsid w:val="00493192"/>
    <w:rsid w:val="00493416"/>
    <w:rsid w:val="00493781"/>
    <w:rsid w:val="00493811"/>
    <w:rsid w:val="00493D31"/>
    <w:rsid w:val="00493E87"/>
    <w:rsid w:val="0049440C"/>
    <w:rsid w:val="004947B7"/>
    <w:rsid w:val="004948BA"/>
    <w:rsid w:val="00494EE0"/>
    <w:rsid w:val="0049504D"/>
    <w:rsid w:val="004956EB"/>
    <w:rsid w:val="00495C00"/>
    <w:rsid w:val="00495CCF"/>
    <w:rsid w:val="00495D26"/>
    <w:rsid w:val="00495E38"/>
    <w:rsid w:val="004966FA"/>
    <w:rsid w:val="0049688B"/>
    <w:rsid w:val="00496921"/>
    <w:rsid w:val="00496EFA"/>
    <w:rsid w:val="0049730E"/>
    <w:rsid w:val="00497569"/>
    <w:rsid w:val="004979E5"/>
    <w:rsid w:val="00497ACE"/>
    <w:rsid w:val="004A0006"/>
    <w:rsid w:val="004A0431"/>
    <w:rsid w:val="004A04B4"/>
    <w:rsid w:val="004A05DE"/>
    <w:rsid w:val="004A0627"/>
    <w:rsid w:val="004A08DB"/>
    <w:rsid w:val="004A0CB2"/>
    <w:rsid w:val="004A12DE"/>
    <w:rsid w:val="004A1396"/>
    <w:rsid w:val="004A1497"/>
    <w:rsid w:val="004A1C99"/>
    <w:rsid w:val="004A1CD0"/>
    <w:rsid w:val="004A1E95"/>
    <w:rsid w:val="004A1FF2"/>
    <w:rsid w:val="004A22A6"/>
    <w:rsid w:val="004A23B0"/>
    <w:rsid w:val="004A241A"/>
    <w:rsid w:val="004A2756"/>
    <w:rsid w:val="004A2956"/>
    <w:rsid w:val="004A2DFF"/>
    <w:rsid w:val="004A2EC5"/>
    <w:rsid w:val="004A349A"/>
    <w:rsid w:val="004A36AF"/>
    <w:rsid w:val="004A3794"/>
    <w:rsid w:val="004A39C4"/>
    <w:rsid w:val="004A3A6A"/>
    <w:rsid w:val="004A40E1"/>
    <w:rsid w:val="004A4410"/>
    <w:rsid w:val="004A45E0"/>
    <w:rsid w:val="004A478A"/>
    <w:rsid w:val="004A4AB0"/>
    <w:rsid w:val="004A4B5C"/>
    <w:rsid w:val="004A51A4"/>
    <w:rsid w:val="004A523D"/>
    <w:rsid w:val="004A5BB8"/>
    <w:rsid w:val="004A5CAA"/>
    <w:rsid w:val="004A5E63"/>
    <w:rsid w:val="004A6108"/>
    <w:rsid w:val="004A660E"/>
    <w:rsid w:val="004A6698"/>
    <w:rsid w:val="004A670B"/>
    <w:rsid w:val="004A6AB1"/>
    <w:rsid w:val="004A6CC8"/>
    <w:rsid w:val="004A6F9E"/>
    <w:rsid w:val="004A7C9F"/>
    <w:rsid w:val="004A7D13"/>
    <w:rsid w:val="004A7FF3"/>
    <w:rsid w:val="004B009E"/>
    <w:rsid w:val="004B0211"/>
    <w:rsid w:val="004B0340"/>
    <w:rsid w:val="004B05BD"/>
    <w:rsid w:val="004B0F28"/>
    <w:rsid w:val="004B11A0"/>
    <w:rsid w:val="004B153A"/>
    <w:rsid w:val="004B18A8"/>
    <w:rsid w:val="004B2927"/>
    <w:rsid w:val="004B332C"/>
    <w:rsid w:val="004B3533"/>
    <w:rsid w:val="004B362B"/>
    <w:rsid w:val="004B382D"/>
    <w:rsid w:val="004B389E"/>
    <w:rsid w:val="004B4058"/>
    <w:rsid w:val="004B4175"/>
    <w:rsid w:val="004B41D6"/>
    <w:rsid w:val="004B4451"/>
    <w:rsid w:val="004B45FB"/>
    <w:rsid w:val="004B47A3"/>
    <w:rsid w:val="004B54A8"/>
    <w:rsid w:val="004B55D6"/>
    <w:rsid w:val="004B585B"/>
    <w:rsid w:val="004B5895"/>
    <w:rsid w:val="004B5A36"/>
    <w:rsid w:val="004B5A61"/>
    <w:rsid w:val="004B5DB0"/>
    <w:rsid w:val="004B5DC0"/>
    <w:rsid w:val="004B5E3F"/>
    <w:rsid w:val="004B5ECA"/>
    <w:rsid w:val="004B5FC7"/>
    <w:rsid w:val="004B60F6"/>
    <w:rsid w:val="004B6418"/>
    <w:rsid w:val="004B6614"/>
    <w:rsid w:val="004B68F9"/>
    <w:rsid w:val="004B6F10"/>
    <w:rsid w:val="004B7104"/>
    <w:rsid w:val="004B76BF"/>
    <w:rsid w:val="004B7883"/>
    <w:rsid w:val="004B7B5B"/>
    <w:rsid w:val="004B7C82"/>
    <w:rsid w:val="004C0716"/>
    <w:rsid w:val="004C0EAC"/>
    <w:rsid w:val="004C1FB0"/>
    <w:rsid w:val="004C2103"/>
    <w:rsid w:val="004C2120"/>
    <w:rsid w:val="004C21EF"/>
    <w:rsid w:val="004C2311"/>
    <w:rsid w:val="004C2C6B"/>
    <w:rsid w:val="004C2DDA"/>
    <w:rsid w:val="004C2EC3"/>
    <w:rsid w:val="004C3376"/>
    <w:rsid w:val="004C376B"/>
    <w:rsid w:val="004C39D9"/>
    <w:rsid w:val="004C3B83"/>
    <w:rsid w:val="004C441F"/>
    <w:rsid w:val="004C4634"/>
    <w:rsid w:val="004C4822"/>
    <w:rsid w:val="004C4CDC"/>
    <w:rsid w:val="004C4F1C"/>
    <w:rsid w:val="004C4FD6"/>
    <w:rsid w:val="004C50BF"/>
    <w:rsid w:val="004C50DF"/>
    <w:rsid w:val="004C5220"/>
    <w:rsid w:val="004C56F9"/>
    <w:rsid w:val="004C59C1"/>
    <w:rsid w:val="004C5A04"/>
    <w:rsid w:val="004C5B69"/>
    <w:rsid w:val="004C5C16"/>
    <w:rsid w:val="004C612E"/>
    <w:rsid w:val="004C643A"/>
    <w:rsid w:val="004C67C8"/>
    <w:rsid w:val="004C6AFB"/>
    <w:rsid w:val="004C6D60"/>
    <w:rsid w:val="004C6F46"/>
    <w:rsid w:val="004C6F9A"/>
    <w:rsid w:val="004C73B6"/>
    <w:rsid w:val="004C7540"/>
    <w:rsid w:val="004C75D3"/>
    <w:rsid w:val="004C761A"/>
    <w:rsid w:val="004C777A"/>
    <w:rsid w:val="004D0445"/>
    <w:rsid w:val="004D08D0"/>
    <w:rsid w:val="004D0B44"/>
    <w:rsid w:val="004D0EA4"/>
    <w:rsid w:val="004D0F71"/>
    <w:rsid w:val="004D139B"/>
    <w:rsid w:val="004D146F"/>
    <w:rsid w:val="004D1AB1"/>
    <w:rsid w:val="004D1F70"/>
    <w:rsid w:val="004D2154"/>
    <w:rsid w:val="004D23DA"/>
    <w:rsid w:val="004D26C7"/>
    <w:rsid w:val="004D27B5"/>
    <w:rsid w:val="004D297B"/>
    <w:rsid w:val="004D2EA3"/>
    <w:rsid w:val="004D3405"/>
    <w:rsid w:val="004D340D"/>
    <w:rsid w:val="004D3497"/>
    <w:rsid w:val="004D3DAB"/>
    <w:rsid w:val="004D3DEB"/>
    <w:rsid w:val="004D404C"/>
    <w:rsid w:val="004D47B0"/>
    <w:rsid w:val="004D4EE8"/>
    <w:rsid w:val="004D51E9"/>
    <w:rsid w:val="004D53AF"/>
    <w:rsid w:val="004D568E"/>
    <w:rsid w:val="004D56B9"/>
    <w:rsid w:val="004D5855"/>
    <w:rsid w:val="004D5AC7"/>
    <w:rsid w:val="004D5CBD"/>
    <w:rsid w:val="004D5FA5"/>
    <w:rsid w:val="004D6455"/>
    <w:rsid w:val="004D6631"/>
    <w:rsid w:val="004D6F45"/>
    <w:rsid w:val="004D6F6B"/>
    <w:rsid w:val="004D72F5"/>
    <w:rsid w:val="004D7976"/>
    <w:rsid w:val="004D7C75"/>
    <w:rsid w:val="004E0524"/>
    <w:rsid w:val="004E0884"/>
    <w:rsid w:val="004E0950"/>
    <w:rsid w:val="004E0B38"/>
    <w:rsid w:val="004E0F1B"/>
    <w:rsid w:val="004E123D"/>
    <w:rsid w:val="004E145C"/>
    <w:rsid w:val="004E1A06"/>
    <w:rsid w:val="004E1A79"/>
    <w:rsid w:val="004E1B3B"/>
    <w:rsid w:val="004E1EE5"/>
    <w:rsid w:val="004E2933"/>
    <w:rsid w:val="004E2BF8"/>
    <w:rsid w:val="004E2DCD"/>
    <w:rsid w:val="004E2DF6"/>
    <w:rsid w:val="004E3974"/>
    <w:rsid w:val="004E3CE2"/>
    <w:rsid w:val="004E3DF7"/>
    <w:rsid w:val="004E4022"/>
    <w:rsid w:val="004E4149"/>
    <w:rsid w:val="004E44A6"/>
    <w:rsid w:val="004E4D80"/>
    <w:rsid w:val="004E537E"/>
    <w:rsid w:val="004E5548"/>
    <w:rsid w:val="004E581F"/>
    <w:rsid w:val="004E5920"/>
    <w:rsid w:val="004E5C08"/>
    <w:rsid w:val="004E5CB2"/>
    <w:rsid w:val="004E6127"/>
    <w:rsid w:val="004E61D5"/>
    <w:rsid w:val="004E655D"/>
    <w:rsid w:val="004E6754"/>
    <w:rsid w:val="004E68DB"/>
    <w:rsid w:val="004E6900"/>
    <w:rsid w:val="004E6AA0"/>
    <w:rsid w:val="004E6D9E"/>
    <w:rsid w:val="004E7844"/>
    <w:rsid w:val="004E78C6"/>
    <w:rsid w:val="004E7B58"/>
    <w:rsid w:val="004E7CD6"/>
    <w:rsid w:val="004E7D7D"/>
    <w:rsid w:val="004F0292"/>
    <w:rsid w:val="004F0489"/>
    <w:rsid w:val="004F0982"/>
    <w:rsid w:val="004F0A7B"/>
    <w:rsid w:val="004F0D28"/>
    <w:rsid w:val="004F0D2B"/>
    <w:rsid w:val="004F1854"/>
    <w:rsid w:val="004F21EF"/>
    <w:rsid w:val="004F225C"/>
    <w:rsid w:val="004F22EC"/>
    <w:rsid w:val="004F2650"/>
    <w:rsid w:val="004F2843"/>
    <w:rsid w:val="004F293D"/>
    <w:rsid w:val="004F2D29"/>
    <w:rsid w:val="004F364F"/>
    <w:rsid w:val="004F3823"/>
    <w:rsid w:val="004F3926"/>
    <w:rsid w:val="004F3B59"/>
    <w:rsid w:val="004F3D64"/>
    <w:rsid w:val="004F3E19"/>
    <w:rsid w:val="004F3EF2"/>
    <w:rsid w:val="004F40FD"/>
    <w:rsid w:val="004F43A0"/>
    <w:rsid w:val="004F4A43"/>
    <w:rsid w:val="004F52EA"/>
    <w:rsid w:val="004F5584"/>
    <w:rsid w:val="004F5A84"/>
    <w:rsid w:val="004F6135"/>
    <w:rsid w:val="004F6285"/>
    <w:rsid w:val="004F6496"/>
    <w:rsid w:val="004F654E"/>
    <w:rsid w:val="004F6B12"/>
    <w:rsid w:val="004F6D82"/>
    <w:rsid w:val="004F6DB6"/>
    <w:rsid w:val="004F6F85"/>
    <w:rsid w:val="004F6FBD"/>
    <w:rsid w:val="004F7166"/>
    <w:rsid w:val="004F7358"/>
    <w:rsid w:val="004F7B29"/>
    <w:rsid w:val="004F7EE9"/>
    <w:rsid w:val="00500075"/>
    <w:rsid w:val="005000D2"/>
    <w:rsid w:val="00500EDF"/>
    <w:rsid w:val="00500F3D"/>
    <w:rsid w:val="00500F88"/>
    <w:rsid w:val="0050100C"/>
    <w:rsid w:val="005014CE"/>
    <w:rsid w:val="00501542"/>
    <w:rsid w:val="0050155E"/>
    <w:rsid w:val="00501D0C"/>
    <w:rsid w:val="00501EB8"/>
    <w:rsid w:val="00501F22"/>
    <w:rsid w:val="0050204C"/>
    <w:rsid w:val="005027B6"/>
    <w:rsid w:val="0050298A"/>
    <w:rsid w:val="005032F5"/>
    <w:rsid w:val="00503344"/>
    <w:rsid w:val="005038FC"/>
    <w:rsid w:val="0050410D"/>
    <w:rsid w:val="00504808"/>
    <w:rsid w:val="005049A8"/>
    <w:rsid w:val="00504E29"/>
    <w:rsid w:val="00505070"/>
    <w:rsid w:val="005051CE"/>
    <w:rsid w:val="00505745"/>
    <w:rsid w:val="00505B1D"/>
    <w:rsid w:val="005060A6"/>
    <w:rsid w:val="005066DA"/>
    <w:rsid w:val="005069D7"/>
    <w:rsid w:val="005072CB"/>
    <w:rsid w:val="0050756B"/>
    <w:rsid w:val="005078E8"/>
    <w:rsid w:val="00507F5D"/>
    <w:rsid w:val="00510427"/>
    <w:rsid w:val="0051092E"/>
    <w:rsid w:val="00510B71"/>
    <w:rsid w:val="00511242"/>
    <w:rsid w:val="005115D5"/>
    <w:rsid w:val="00511772"/>
    <w:rsid w:val="0051196A"/>
    <w:rsid w:val="00511BF9"/>
    <w:rsid w:val="00511E4A"/>
    <w:rsid w:val="0051201A"/>
    <w:rsid w:val="00512089"/>
    <w:rsid w:val="00512629"/>
    <w:rsid w:val="00512653"/>
    <w:rsid w:val="00512D57"/>
    <w:rsid w:val="00513044"/>
    <w:rsid w:val="00513393"/>
    <w:rsid w:val="0051359A"/>
    <w:rsid w:val="005138E3"/>
    <w:rsid w:val="00513CA1"/>
    <w:rsid w:val="00513E46"/>
    <w:rsid w:val="0051403C"/>
    <w:rsid w:val="00514044"/>
    <w:rsid w:val="005143BD"/>
    <w:rsid w:val="005144BE"/>
    <w:rsid w:val="005144D1"/>
    <w:rsid w:val="0051454D"/>
    <w:rsid w:val="005147C8"/>
    <w:rsid w:val="0051493D"/>
    <w:rsid w:val="0051495E"/>
    <w:rsid w:val="00514B7F"/>
    <w:rsid w:val="00514C33"/>
    <w:rsid w:val="00514C9F"/>
    <w:rsid w:val="00515304"/>
    <w:rsid w:val="005155DF"/>
    <w:rsid w:val="0051569F"/>
    <w:rsid w:val="00515ACB"/>
    <w:rsid w:val="00515FE3"/>
    <w:rsid w:val="005163CB"/>
    <w:rsid w:val="0051676E"/>
    <w:rsid w:val="00516892"/>
    <w:rsid w:val="00516A82"/>
    <w:rsid w:val="00516DBC"/>
    <w:rsid w:val="0051704C"/>
    <w:rsid w:val="00517444"/>
    <w:rsid w:val="0051762C"/>
    <w:rsid w:val="00517891"/>
    <w:rsid w:val="00517A35"/>
    <w:rsid w:val="00517B93"/>
    <w:rsid w:val="005201B3"/>
    <w:rsid w:val="00520418"/>
    <w:rsid w:val="005204BD"/>
    <w:rsid w:val="00520AA1"/>
    <w:rsid w:val="00520D45"/>
    <w:rsid w:val="00520DCB"/>
    <w:rsid w:val="0052123E"/>
    <w:rsid w:val="00521456"/>
    <w:rsid w:val="005219D5"/>
    <w:rsid w:val="00521CD2"/>
    <w:rsid w:val="00522306"/>
    <w:rsid w:val="005228D3"/>
    <w:rsid w:val="0052293B"/>
    <w:rsid w:val="005229BB"/>
    <w:rsid w:val="00522AAC"/>
    <w:rsid w:val="00522CCB"/>
    <w:rsid w:val="00523038"/>
    <w:rsid w:val="00523388"/>
    <w:rsid w:val="00523C58"/>
    <w:rsid w:val="00524141"/>
    <w:rsid w:val="005245BE"/>
    <w:rsid w:val="00524F66"/>
    <w:rsid w:val="00525151"/>
    <w:rsid w:val="005253EA"/>
    <w:rsid w:val="005259DC"/>
    <w:rsid w:val="00525A32"/>
    <w:rsid w:val="00525B63"/>
    <w:rsid w:val="00525B68"/>
    <w:rsid w:val="0052619D"/>
    <w:rsid w:val="005262D2"/>
    <w:rsid w:val="00526510"/>
    <w:rsid w:val="00526742"/>
    <w:rsid w:val="005269F9"/>
    <w:rsid w:val="00526A88"/>
    <w:rsid w:val="00526F1E"/>
    <w:rsid w:val="005271DE"/>
    <w:rsid w:val="00527DC2"/>
    <w:rsid w:val="00527EC6"/>
    <w:rsid w:val="00530231"/>
    <w:rsid w:val="00530479"/>
    <w:rsid w:val="00530C1F"/>
    <w:rsid w:val="00530FF9"/>
    <w:rsid w:val="005311BB"/>
    <w:rsid w:val="005312DE"/>
    <w:rsid w:val="00531726"/>
    <w:rsid w:val="005317A6"/>
    <w:rsid w:val="005317DB"/>
    <w:rsid w:val="00531E13"/>
    <w:rsid w:val="00531E53"/>
    <w:rsid w:val="00531F0A"/>
    <w:rsid w:val="005322A9"/>
    <w:rsid w:val="00532305"/>
    <w:rsid w:val="005325EB"/>
    <w:rsid w:val="0053283C"/>
    <w:rsid w:val="0053288D"/>
    <w:rsid w:val="00532A62"/>
    <w:rsid w:val="00533C20"/>
    <w:rsid w:val="00533C5D"/>
    <w:rsid w:val="00533EE7"/>
    <w:rsid w:val="00533EEB"/>
    <w:rsid w:val="00534222"/>
    <w:rsid w:val="00534464"/>
    <w:rsid w:val="00534735"/>
    <w:rsid w:val="005348B7"/>
    <w:rsid w:val="005348F6"/>
    <w:rsid w:val="005348FC"/>
    <w:rsid w:val="00534909"/>
    <w:rsid w:val="00534925"/>
    <w:rsid w:val="00534C09"/>
    <w:rsid w:val="00534D6E"/>
    <w:rsid w:val="0053529D"/>
    <w:rsid w:val="00535656"/>
    <w:rsid w:val="00535666"/>
    <w:rsid w:val="00535D6D"/>
    <w:rsid w:val="00535FF9"/>
    <w:rsid w:val="005361FA"/>
    <w:rsid w:val="005367CE"/>
    <w:rsid w:val="005368E3"/>
    <w:rsid w:val="00537062"/>
    <w:rsid w:val="005371B7"/>
    <w:rsid w:val="005374AA"/>
    <w:rsid w:val="0053760D"/>
    <w:rsid w:val="00537767"/>
    <w:rsid w:val="00537B04"/>
    <w:rsid w:val="00537F6E"/>
    <w:rsid w:val="00537F95"/>
    <w:rsid w:val="005405D8"/>
    <w:rsid w:val="00540601"/>
    <w:rsid w:val="005406A9"/>
    <w:rsid w:val="005406C3"/>
    <w:rsid w:val="00540711"/>
    <w:rsid w:val="0054089A"/>
    <w:rsid w:val="00540AE7"/>
    <w:rsid w:val="00540E55"/>
    <w:rsid w:val="00541177"/>
    <w:rsid w:val="005413C1"/>
    <w:rsid w:val="00541BFE"/>
    <w:rsid w:val="00541CF7"/>
    <w:rsid w:val="00541E1C"/>
    <w:rsid w:val="00541FBE"/>
    <w:rsid w:val="00542293"/>
    <w:rsid w:val="005428A1"/>
    <w:rsid w:val="00542951"/>
    <w:rsid w:val="00542B77"/>
    <w:rsid w:val="00543016"/>
    <w:rsid w:val="00543507"/>
    <w:rsid w:val="0054363F"/>
    <w:rsid w:val="005441F4"/>
    <w:rsid w:val="005444BA"/>
    <w:rsid w:val="005444CC"/>
    <w:rsid w:val="00544758"/>
    <w:rsid w:val="00544AC6"/>
    <w:rsid w:val="00544B20"/>
    <w:rsid w:val="00544E33"/>
    <w:rsid w:val="00545140"/>
    <w:rsid w:val="005451E3"/>
    <w:rsid w:val="005451EE"/>
    <w:rsid w:val="005454E2"/>
    <w:rsid w:val="00545623"/>
    <w:rsid w:val="005456E3"/>
    <w:rsid w:val="005464BA"/>
    <w:rsid w:val="00546B54"/>
    <w:rsid w:val="00546BCC"/>
    <w:rsid w:val="00546BDA"/>
    <w:rsid w:val="00546CA1"/>
    <w:rsid w:val="00546E82"/>
    <w:rsid w:val="00546F0E"/>
    <w:rsid w:val="005472DD"/>
    <w:rsid w:val="005477C7"/>
    <w:rsid w:val="00547937"/>
    <w:rsid w:val="00547962"/>
    <w:rsid w:val="0054798B"/>
    <w:rsid w:val="00547E31"/>
    <w:rsid w:val="00550008"/>
    <w:rsid w:val="00550026"/>
    <w:rsid w:val="00550099"/>
    <w:rsid w:val="00550F65"/>
    <w:rsid w:val="005510E9"/>
    <w:rsid w:val="0055113E"/>
    <w:rsid w:val="0055147E"/>
    <w:rsid w:val="00551712"/>
    <w:rsid w:val="005517E3"/>
    <w:rsid w:val="00552082"/>
    <w:rsid w:val="005521FB"/>
    <w:rsid w:val="00552535"/>
    <w:rsid w:val="005528F0"/>
    <w:rsid w:val="00552AEE"/>
    <w:rsid w:val="00553A0C"/>
    <w:rsid w:val="00553D3A"/>
    <w:rsid w:val="00553F15"/>
    <w:rsid w:val="00553FB7"/>
    <w:rsid w:val="00554776"/>
    <w:rsid w:val="005547AA"/>
    <w:rsid w:val="0055486F"/>
    <w:rsid w:val="00554C5A"/>
    <w:rsid w:val="00554C89"/>
    <w:rsid w:val="00554FEE"/>
    <w:rsid w:val="005550E0"/>
    <w:rsid w:val="005551C7"/>
    <w:rsid w:val="00555273"/>
    <w:rsid w:val="0055567B"/>
    <w:rsid w:val="0055578A"/>
    <w:rsid w:val="00555B60"/>
    <w:rsid w:val="00555BD6"/>
    <w:rsid w:val="00555CBB"/>
    <w:rsid w:val="00555DD3"/>
    <w:rsid w:val="00556054"/>
    <w:rsid w:val="005562B9"/>
    <w:rsid w:val="00556393"/>
    <w:rsid w:val="00556D8C"/>
    <w:rsid w:val="00557117"/>
    <w:rsid w:val="005577CD"/>
    <w:rsid w:val="005579FB"/>
    <w:rsid w:val="00557A56"/>
    <w:rsid w:val="00557C40"/>
    <w:rsid w:val="00557E5E"/>
    <w:rsid w:val="00560070"/>
    <w:rsid w:val="00560560"/>
    <w:rsid w:val="005607C4"/>
    <w:rsid w:val="00560BB9"/>
    <w:rsid w:val="00560EF9"/>
    <w:rsid w:val="00561704"/>
    <w:rsid w:val="00561A0D"/>
    <w:rsid w:val="00561A39"/>
    <w:rsid w:val="00561B54"/>
    <w:rsid w:val="00561C64"/>
    <w:rsid w:val="00561D98"/>
    <w:rsid w:val="005626D3"/>
    <w:rsid w:val="00562AB4"/>
    <w:rsid w:val="00562E19"/>
    <w:rsid w:val="0056317A"/>
    <w:rsid w:val="005633AD"/>
    <w:rsid w:val="0056342D"/>
    <w:rsid w:val="005635A2"/>
    <w:rsid w:val="005635D4"/>
    <w:rsid w:val="00563962"/>
    <w:rsid w:val="00563970"/>
    <w:rsid w:val="00563E09"/>
    <w:rsid w:val="00563E80"/>
    <w:rsid w:val="0056409C"/>
    <w:rsid w:val="005641BA"/>
    <w:rsid w:val="00564324"/>
    <w:rsid w:val="00564491"/>
    <w:rsid w:val="005645D1"/>
    <w:rsid w:val="00564694"/>
    <w:rsid w:val="005647A4"/>
    <w:rsid w:val="005647E6"/>
    <w:rsid w:val="00564CD4"/>
    <w:rsid w:val="00565424"/>
    <w:rsid w:val="005654EB"/>
    <w:rsid w:val="00565602"/>
    <w:rsid w:val="00565AFF"/>
    <w:rsid w:val="00565F3C"/>
    <w:rsid w:val="005660EE"/>
    <w:rsid w:val="0056635F"/>
    <w:rsid w:val="00566384"/>
    <w:rsid w:val="0056682E"/>
    <w:rsid w:val="00566851"/>
    <w:rsid w:val="00566F15"/>
    <w:rsid w:val="00567040"/>
    <w:rsid w:val="0056704F"/>
    <w:rsid w:val="00567879"/>
    <w:rsid w:val="00567DE0"/>
    <w:rsid w:val="0057005D"/>
    <w:rsid w:val="00570149"/>
    <w:rsid w:val="005702EE"/>
    <w:rsid w:val="00570463"/>
    <w:rsid w:val="005705EA"/>
    <w:rsid w:val="005709B0"/>
    <w:rsid w:val="00570A48"/>
    <w:rsid w:val="00571061"/>
    <w:rsid w:val="0057123B"/>
    <w:rsid w:val="0057152D"/>
    <w:rsid w:val="005717C4"/>
    <w:rsid w:val="0057190B"/>
    <w:rsid w:val="005723D1"/>
    <w:rsid w:val="005723DA"/>
    <w:rsid w:val="0057243B"/>
    <w:rsid w:val="00572856"/>
    <w:rsid w:val="005728F5"/>
    <w:rsid w:val="00572ABA"/>
    <w:rsid w:val="00572E05"/>
    <w:rsid w:val="00572F20"/>
    <w:rsid w:val="005731AD"/>
    <w:rsid w:val="0057322B"/>
    <w:rsid w:val="00573508"/>
    <w:rsid w:val="0057433F"/>
    <w:rsid w:val="005744B0"/>
    <w:rsid w:val="00574773"/>
    <w:rsid w:val="00574A7D"/>
    <w:rsid w:val="00574BB2"/>
    <w:rsid w:val="00574EAB"/>
    <w:rsid w:val="005751F9"/>
    <w:rsid w:val="00575477"/>
    <w:rsid w:val="005757FD"/>
    <w:rsid w:val="005758F3"/>
    <w:rsid w:val="00575926"/>
    <w:rsid w:val="00575B05"/>
    <w:rsid w:val="00575DAD"/>
    <w:rsid w:val="005760F5"/>
    <w:rsid w:val="00576244"/>
    <w:rsid w:val="00576506"/>
    <w:rsid w:val="005766F8"/>
    <w:rsid w:val="00576766"/>
    <w:rsid w:val="00576CEF"/>
    <w:rsid w:val="00576F52"/>
    <w:rsid w:val="005772E6"/>
    <w:rsid w:val="00577493"/>
    <w:rsid w:val="0057779B"/>
    <w:rsid w:val="005779DE"/>
    <w:rsid w:val="00577FBF"/>
    <w:rsid w:val="00580A5A"/>
    <w:rsid w:val="00580CDE"/>
    <w:rsid w:val="00580D5F"/>
    <w:rsid w:val="00580E7E"/>
    <w:rsid w:val="00580F5A"/>
    <w:rsid w:val="0058167E"/>
    <w:rsid w:val="0058175A"/>
    <w:rsid w:val="00581979"/>
    <w:rsid w:val="005826F1"/>
    <w:rsid w:val="00582714"/>
    <w:rsid w:val="005827C5"/>
    <w:rsid w:val="00582993"/>
    <w:rsid w:val="00582B39"/>
    <w:rsid w:val="00582F1F"/>
    <w:rsid w:val="00582F5F"/>
    <w:rsid w:val="005831F7"/>
    <w:rsid w:val="00583356"/>
    <w:rsid w:val="005835ED"/>
    <w:rsid w:val="0058381B"/>
    <w:rsid w:val="00583DEA"/>
    <w:rsid w:val="00583F40"/>
    <w:rsid w:val="00584155"/>
    <w:rsid w:val="005847DC"/>
    <w:rsid w:val="00584846"/>
    <w:rsid w:val="00584BFA"/>
    <w:rsid w:val="00585375"/>
    <w:rsid w:val="00585C2E"/>
    <w:rsid w:val="00585D86"/>
    <w:rsid w:val="00585F5E"/>
    <w:rsid w:val="0058611D"/>
    <w:rsid w:val="005867B4"/>
    <w:rsid w:val="005869AC"/>
    <w:rsid w:val="00586DBD"/>
    <w:rsid w:val="00586E60"/>
    <w:rsid w:val="00586FFD"/>
    <w:rsid w:val="0058709A"/>
    <w:rsid w:val="00587388"/>
    <w:rsid w:val="00587414"/>
    <w:rsid w:val="00587483"/>
    <w:rsid w:val="0058748D"/>
    <w:rsid w:val="00587AD9"/>
    <w:rsid w:val="00587BB2"/>
    <w:rsid w:val="00587C66"/>
    <w:rsid w:val="00590143"/>
    <w:rsid w:val="005903A9"/>
    <w:rsid w:val="0059042E"/>
    <w:rsid w:val="0059062C"/>
    <w:rsid w:val="005906BA"/>
    <w:rsid w:val="005907F7"/>
    <w:rsid w:val="005909B1"/>
    <w:rsid w:val="00590AAA"/>
    <w:rsid w:val="00591281"/>
    <w:rsid w:val="005912A1"/>
    <w:rsid w:val="00591632"/>
    <w:rsid w:val="0059201F"/>
    <w:rsid w:val="005925CC"/>
    <w:rsid w:val="00592FFF"/>
    <w:rsid w:val="0059311A"/>
    <w:rsid w:val="00593342"/>
    <w:rsid w:val="0059364C"/>
    <w:rsid w:val="005937D8"/>
    <w:rsid w:val="00593E56"/>
    <w:rsid w:val="00593EA2"/>
    <w:rsid w:val="00594223"/>
    <w:rsid w:val="00594295"/>
    <w:rsid w:val="0059434F"/>
    <w:rsid w:val="005945EB"/>
    <w:rsid w:val="005946D1"/>
    <w:rsid w:val="00594BB9"/>
    <w:rsid w:val="00594D8A"/>
    <w:rsid w:val="00594E19"/>
    <w:rsid w:val="00595149"/>
    <w:rsid w:val="00596085"/>
    <w:rsid w:val="005962AB"/>
    <w:rsid w:val="00596491"/>
    <w:rsid w:val="00596952"/>
    <w:rsid w:val="00596ACC"/>
    <w:rsid w:val="00597119"/>
    <w:rsid w:val="00597512"/>
    <w:rsid w:val="005976CF"/>
    <w:rsid w:val="00597DD6"/>
    <w:rsid w:val="00597E36"/>
    <w:rsid w:val="005A00EF"/>
    <w:rsid w:val="005A067F"/>
    <w:rsid w:val="005A07D1"/>
    <w:rsid w:val="005A0956"/>
    <w:rsid w:val="005A0989"/>
    <w:rsid w:val="005A1DC6"/>
    <w:rsid w:val="005A224D"/>
    <w:rsid w:val="005A254E"/>
    <w:rsid w:val="005A2949"/>
    <w:rsid w:val="005A2973"/>
    <w:rsid w:val="005A2A3E"/>
    <w:rsid w:val="005A30B1"/>
    <w:rsid w:val="005A31CA"/>
    <w:rsid w:val="005A33A6"/>
    <w:rsid w:val="005A3B47"/>
    <w:rsid w:val="005A3D91"/>
    <w:rsid w:val="005A3ECC"/>
    <w:rsid w:val="005A3FB4"/>
    <w:rsid w:val="005A4171"/>
    <w:rsid w:val="005A4222"/>
    <w:rsid w:val="005A4258"/>
    <w:rsid w:val="005A449C"/>
    <w:rsid w:val="005A5424"/>
    <w:rsid w:val="005A59EE"/>
    <w:rsid w:val="005A5AAF"/>
    <w:rsid w:val="005A5D3F"/>
    <w:rsid w:val="005A5F23"/>
    <w:rsid w:val="005A5F90"/>
    <w:rsid w:val="005A60DE"/>
    <w:rsid w:val="005A60E3"/>
    <w:rsid w:val="005A6650"/>
    <w:rsid w:val="005A68FF"/>
    <w:rsid w:val="005A699E"/>
    <w:rsid w:val="005A69FF"/>
    <w:rsid w:val="005A6A91"/>
    <w:rsid w:val="005A6B49"/>
    <w:rsid w:val="005A6CDC"/>
    <w:rsid w:val="005A6ED9"/>
    <w:rsid w:val="005A7057"/>
    <w:rsid w:val="005A7277"/>
    <w:rsid w:val="005A7563"/>
    <w:rsid w:val="005A7BFD"/>
    <w:rsid w:val="005A7CA5"/>
    <w:rsid w:val="005A7E49"/>
    <w:rsid w:val="005B0161"/>
    <w:rsid w:val="005B05E4"/>
    <w:rsid w:val="005B05F1"/>
    <w:rsid w:val="005B062D"/>
    <w:rsid w:val="005B07C3"/>
    <w:rsid w:val="005B08D6"/>
    <w:rsid w:val="005B08FB"/>
    <w:rsid w:val="005B09B4"/>
    <w:rsid w:val="005B0B4D"/>
    <w:rsid w:val="005B0F38"/>
    <w:rsid w:val="005B28BF"/>
    <w:rsid w:val="005B2A04"/>
    <w:rsid w:val="005B300A"/>
    <w:rsid w:val="005B31AB"/>
    <w:rsid w:val="005B332F"/>
    <w:rsid w:val="005B3365"/>
    <w:rsid w:val="005B3628"/>
    <w:rsid w:val="005B36CA"/>
    <w:rsid w:val="005B37CF"/>
    <w:rsid w:val="005B3E0F"/>
    <w:rsid w:val="005B3EB7"/>
    <w:rsid w:val="005B3ECD"/>
    <w:rsid w:val="005B3F17"/>
    <w:rsid w:val="005B40FA"/>
    <w:rsid w:val="005B410D"/>
    <w:rsid w:val="005B41F9"/>
    <w:rsid w:val="005B4A03"/>
    <w:rsid w:val="005B4C85"/>
    <w:rsid w:val="005B4CD5"/>
    <w:rsid w:val="005B5169"/>
    <w:rsid w:val="005B5289"/>
    <w:rsid w:val="005B530B"/>
    <w:rsid w:val="005B5578"/>
    <w:rsid w:val="005B562E"/>
    <w:rsid w:val="005B5634"/>
    <w:rsid w:val="005B563D"/>
    <w:rsid w:val="005B5F1C"/>
    <w:rsid w:val="005B61A3"/>
    <w:rsid w:val="005B61D9"/>
    <w:rsid w:val="005B6471"/>
    <w:rsid w:val="005B69E2"/>
    <w:rsid w:val="005B6F07"/>
    <w:rsid w:val="005B719B"/>
    <w:rsid w:val="005B71B2"/>
    <w:rsid w:val="005B71E7"/>
    <w:rsid w:val="005B7331"/>
    <w:rsid w:val="005B7AD1"/>
    <w:rsid w:val="005B7B27"/>
    <w:rsid w:val="005C03BD"/>
    <w:rsid w:val="005C0A56"/>
    <w:rsid w:val="005C0B79"/>
    <w:rsid w:val="005C214B"/>
    <w:rsid w:val="005C291D"/>
    <w:rsid w:val="005C2972"/>
    <w:rsid w:val="005C2ABA"/>
    <w:rsid w:val="005C2C39"/>
    <w:rsid w:val="005C2F35"/>
    <w:rsid w:val="005C315A"/>
    <w:rsid w:val="005C33D6"/>
    <w:rsid w:val="005C349C"/>
    <w:rsid w:val="005C3841"/>
    <w:rsid w:val="005C3A08"/>
    <w:rsid w:val="005C3DA8"/>
    <w:rsid w:val="005C4732"/>
    <w:rsid w:val="005C4933"/>
    <w:rsid w:val="005C4B63"/>
    <w:rsid w:val="005C5B24"/>
    <w:rsid w:val="005C5B91"/>
    <w:rsid w:val="005C5C9F"/>
    <w:rsid w:val="005C6446"/>
    <w:rsid w:val="005C6AE2"/>
    <w:rsid w:val="005C6BDA"/>
    <w:rsid w:val="005C710D"/>
    <w:rsid w:val="005C72E8"/>
    <w:rsid w:val="005C76AF"/>
    <w:rsid w:val="005C796C"/>
    <w:rsid w:val="005C7FC7"/>
    <w:rsid w:val="005D0004"/>
    <w:rsid w:val="005D0123"/>
    <w:rsid w:val="005D05A2"/>
    <w:rsid w:val="005D05A3"/>
    <w:rsid w:val="005D06D1"/>
    <w:rsid w:val="005D1275"/>
    <w:rsid w:val="005D1286"/>
    <w:rsid w:val="005D1710"/>
    <w:rsid w:val="005D17F1"/>
    <w:rsid w:val="005D1E18"/>
    <w:rsid w:val="005D2583"/>
    <w:rsid w:val="005D2AF5"/>
    <w:rsid w:val="005D2EC3"/>
    <w:rsid w:val="005D3744"/>
    <w:rsid w:val="005D3EE4"/>
    <w:rsid w:val="005D548F"/>
    <w:rsid w:val="005D5C55"/>
    <w:rsid w:val="005D5CDF"/>
    <w:rsid w:val="005D5CFF"/>
    <w:rsid w:val="005D61BB"/>
    <w:rsid w:val="005D66DD"/>
    <w:rsid w:val="005D69E9"/>
    <w:rsid w:val="005D6BF8"/>
    <w:rsid w:val="005D6E2C"/>
    <w:rsid w:val="005D6EA1"/>
    <w:rsid w:val="005D70E8"/>
    <w:rsid w:val="005D7205"/>
    <w:rsid w:val="005D7452"/>
    <w:rsid w:val="005D7738"/>
    <w:rsid w:val="005D7905"/>
    <w:rsid w:val="005D7AFD"/>
    <w:rsid w:val="005D7EE2"/>
    <w:rsid w:val="005D7F90"/>
    <w:rsid w:val="005E01DF"/>
    <w:rsid w:val="005E048E"/>
    <w:rsid w:val="005E1467"/>
    <w:rsid w:val="005E15CA"/>
    <w:rsid w:val="005E1DCE"/>
    <w:rsid w:val="005E1E8C"/>
    <w:rsid w:val="005E20CF"/>
    <w:rsid w:val="005E21BA"/>
    <w:rsid w:val="005E230A"/>
    <w:rsid w:val="005E253C"/>
    <w:rsid w:val="005E27E6"/>
    <w:rsid w:val="005E2B1E"/>
    <w:rsid w:val="005E3025"/>
    <w:rsid w:val="005E302E"/>
    <w:rsid w:val="005E33FF"/>
    <w:rsid w:val="005E3679"/>
    <w:rsid w:val="005E36F1"/>
    <w:rsid w:val="005E3F2A"/>
    <w:rsid w:val="005E400C"/>
    <w:rsid w:val="005E4251"/>
    <w:rsid w:val="005E4325"/>
    <w:rsid w:val="005E446B"/>
    <w:rsid w:val="005E44BB"/>
    <w:rsid w:val="005E4575"/>
    <w:rsid w:val="005E46BD"/>
    <w:rsid w:val="005E4991"/>
    <w:rsid w:val="005E4A7F"/>
    <w:rsid w:val="005E51F0"/>
    <w:rsid w:val="005E59FB"/>
    <w:rsid w:val="005E5A16"/>
    <w:rsid w:val="005E5E5E"/>
    <w:rsid w:val="005E6188"/>
    <w:rsid w:val="005E6638"/>
    <w:rsid w:val="005E69C8"/>
    <w:rsid w:val="005E6B17"/>
    <w:rsid w:val="005E6D93"/>
    <w:rsid w:val="005E7452"/>
    <w:rsid w:val="005E76D7"/>
    <w:rsid w:val="005E779D"/>
    <w:rsid w:val="005E7A46"/>
    <w:rsid w:val="005E7D3B"/>
    <w:rsid w:val="005E7D99"/>
    <w:rsid w:val="005F009D"/>
    <w:rsid w:val="005F014F"/>
    <w:rsid w:val="005F081D"/>
    <w:rsid w:val="005F0B8E"/>
    <w:rsid w:val="005F0F50"/>
    <w:rsid w:val="005F1C47"/>
    <w:rsid w:val="005F1C7D"/>
    <w:rsid w:val="005F2444"/>
    <w:rsid w:val="005F26DA"/>
    <w:rsid w:val="005F27FE"/>
    <w:rsid w:val="005F2B03"/>
    <w:rsid w:val="005F2D0C"/>
    <w:rsid w:val="005F2DF2"/>
    <w:rsid w:val="005F2E13"/>
    <w:rsid w:val="005F3219"/>
    <w:rsid w:val="005F33BF"/>
    <w:rsid w:val="005F37D9"/>
    <w:rsid w:val="005F398B"/>
    <w:rsid w:val="005F41FD"/>
    <w:rsid w:val="005F43BB"/>
    <w:rsid w:val="005F479B"/>
    <w:rsid w:val="005F484C"/>
    <w:rsid w:val="005F4BB0"/>
    <w:rsid w:val="005F5051"/>
    <w:rsid w:val="005F51B1"/>
    <w:rsid w:val="005F51D7"/>
    <w:rsid w:val="005F51DE"/>
    <w:rsid w:val="005F51F6"/>
    <w:rsid w:val="005F5206"/>
    <w:rsid w:val="005F5748"/>
    <w:rsid w:val="005F57E6"/>
    <w:rsid w:val="005F5B16"/>
    <w:rsid w:val="005F5BA6"/>
    <w:rsid w:val="005F5D31"/>
    <w:rsid w:val="005F5DD6"/>
    <w:rsid w:val="005F60C9"/>
    <w:rsid w:val="005F61F8"/>
    <w:rsid w:val="005F641E"/>
    <w:rsid w:val="005F64E4"/>
    <w:rsid w:val="005F66F7"/>
    <w:rsid w:val="005F69B4"/>
    <w:rsid w:val="005F6ACE"/>
    <w:rsid w:val="005F6B96"/>
    <w:rsid w:val="005F6E78"/>
    <w:rsid w:val="005F6EF8"/>
    <w:rsid w:val="005F6FBF"/>
    <w:rsid w:val="005F7045"/>
    <w:rsid w:val="005F744B"/>
    <w:rsid w:val="005F7597"/>
    <w:rsid w:val="005F7C81"/>
    <w:rsid w:val="005F7D8E"/>
    <w:rsid w:val="0060005B"/>
    <w:rsid w:val="006000D6"/>
    <w:rsid w:val="0060037C"/>
    <w:rsid w:val="0060086A"/>
    <w:rsid w:val="00600C83"/>
    <w:rsid w:val="00601038"/>
    <w:rsid w:val="006012BD"/>
    <w:rsid w:val="006013F6"/>
    <w:rsid w:val="006014EE"/>
    <w:rsid w:val="00601527"/>
    <w:rsid w:val="00601602"/>
    <w:rsid w:val="00601C64"/>
    <w:rsid w:val="00601E25"/>
    <w:rsid w:val="00601E5C"/>
    <w:rsid w:val="00602235"/>
    <w:rsid w:val="006024D3"/>
    <w:rsid w:val="00602B11"/>
    <w:rsid w:val="00602C16"/>
    <w:rsid w:val="0060316C"/>
    <w:rsid w:val="00603655"/>
    <w:rsid w:val="006039F0"/>
    <w:rsid w:val="00603B49"/>
    <w:rsid w:val="006041B8"/>
    <w:rsid w:val="006041DA"/>
    <w:rsid w:val="006045EF"/>
    <w:rsid w:val="0060489E"/>
    <w:rsid w:val="00604CDA"/>
    <w:rsid w:val="0060539D"/>
    <w:rsid w:val="006058C1"/>
    <w:rsid w:val="0060596F"/>
    <w:rsid w:val="00605C28"/>
    <w:rsid w:val="00605CEB"/>
    <w:rsid w:val="00605DD6"/>
    <w:rsid w:val="006062C2"/>
    <w:rsid w:val="0060632A"/>
    <w:rsid w:val="0060632B"/>
    <w:rsid w:val="0060638E"/>
    <w:rsid w:val="00606530"/>
    <w:rsid w:val="0060659A"/>
    <w:rsid w:val="006065CA"/>
    <w:rsid w:val="00607229"/>
    <w:rsid w:val="00607A2D"/>
    <w:rsid w:val="00607B39"/>
    <w:rsid w:val="00607B7F"/>
    <w:rsid w:val="00607C7D"/>
    <w:rsid w:val="00607DF1"/>
    <w:rsid w:val="00610059"/>
    <w:rsid w:val="00610237"/>
    <w:rsid w:val="00610A2D"/>
    <w:rsid w:val="00611022"/>
    <w:rsid w:val="006110BD"/>
    <w:rsid w:val="006110EE"/>
    <w:rsid w:val="00611439"/>
    <w:rsid w:val="00611543"/>
    <w:rsid w:val="006116F0"/>
    <w:rsid w:val="00611824"/>
    <w:rsid w:val="00611C97"/>
    <w:rsid w:val="00611F2D"/>
    <w:rsid w:val="00612186"/>
    <w:rsid w:val="00612507"/>
    <w:rsid w:val="006126C3"/>
    <w:rsid w:val="006127AE"/>
    <w:rsid w:val="00612B58"/>
    <w:rsid w:val="00612B93"/>
    <w:rsid w:val="00612F18"/>
    <w:rsid w:val="006135FF"/>
    <w:rsid w:val="00613AEE"/>
    <w:rsid w:val="00613B28"/>
    <w:rsid w:val="00613BD1"/>
    <w:rsid w:val="00613DCE"/>
    <w:rsid w:val="00613E7B"/>
    <w:rsid w:val="00613FC4"/>
    <w:rsid w:val="00614220"/>
    <w:rsid w:val="00614626"/>
    <w:rsid w:val="00614B2D"/>
    <w:rsid w:val="00614F15"/>
    <w:rsid w:val="0061525A"/>
    <w:rsid w:val="006153A9"/>
    <w:rsid w:val="0061553F"/>
    <w:rsid w:val="00615598"/>
    <w:rsid w:val="00615FCF"/>
    <w:rsid w:val="00616239"/>
    <w:rsid w:val="006162CE"/>
    <w:rsid w:val="006163C5"/>
    <w:rsid w:val="00616F18"/>
    <w:rsid w:val="00616F7D"/>
    <w:rsid w:val="00616F8A"/>
    <w:rsid w:val="00617411"/>
    <w:rsid w:val="0061764B"/>
    <w:rsid w:val="00617BC7"/>
    <w:rsid w:val="00617C8C"/>
    <w:rsid w:val="0062005E"/>
    <w:rsid w:val="00620626"/>
    <w:rsid w:val="00620916"/>
    <w:rsid w:val="00621782"/>
    <w:rsid w:val="0062189A"/>
    <w:rsid w:val="00621BB3"/>
    <w:rsid w:val="00621D1B"/>
    <w:rsid w:val="0062247D"/>
    <w:rsid w:val="00622580"/>
    <w:rsid w:val="00622659"/>
    <w:rsid w:val="0062284F"/>
    <w:rsid w:val="00622A70"/>
    <w:rsid w:val="00622BF4"/>
    <w:rsid w:val="00622FFA"/>
    <w:rsid w:val="00623086"/>
    <w:rsid w:val="006234BC"/>
    <w:rsid w:val="0062363A"/>
    <w:rsid w:val="00623645"/>
    <w:rsid w:val="00623776"/>
    <w:rsid w:val="006239BB"/>
    <w:rsid w:val="006239D5"/>
    <w:rsid w:val="00623E9C"/>
    <w:rsid w:val="0062416E"/>
    <w:rsid w:val="00624379"/>
    <w:rsid w:val="006244C2"/>
    <w:rsid w:val="0062456B"/>
    <w:rsid w:val="00624635"/>
    <w:rsid w:val="0062465B"/>
    <w:rsid w:val="00624740"/>
    <w:rsid w:val="00625163"/>
    <w:rsid w:val="0062520F"/>
    <w:rsid w:val="00625726"/>
    <w:rsid w:val="006257CA"/>
    <w:rsid w:val="006257E0"/>
    <w:rsid w:val="00625940"/>
    <w:rsid w:val="00626188"/>
    <w:rsid w:val="00626472"/>
    <w:rsid w:val="00626CEF"/>
    <w:rsid w:val="00626D6B"/>
    <w:rsid w:val="00627069"/>
    <w:rsid w:val="00627227"/>
    <w:rsid w:val="00627392"/>
    <w:rsid w:val="006273A7"/>
    <w:rsid w:val="006273BA"/>
    <w:rsid w:val="00627BBB"/>
    <w:rsid w:val="00627D3F"/>
    <w:rsid w:val="00627E00"/>
    <w:rsid w:val="00630651"/>
    <w:rsid w:val="00630DFD"/>
    <w:rsid w:val="0063125A"/>
    <w:rsid w:val="006315DE"/>
    <w:rsid w:val="006317DD"/>
    <w:rsid w:val="00631859"/>
    <w:rsid w:val="00631897"/>
    <w:rsid w:val="00631A77"/>
    <w:rsid w:val="00631C87"/>
    <w:rsid w:val="00631E09"/>
    <w:rsid w:val="00631E45"/>
    <w:rsid w:val="006321E6"/>
    <w:rsid w:val="0063230B"/>
    <w:rsid w:val="0063244E"/>
    <w:rsid w:val="00632861"/>
    <w:rsid w:val="00632CCA"/>
    <w:rsid w:val="00632E4B"/>
    <w:rsid w:val="00632F51"/>
    <w:rsid w:val="00632FB5"/>
    <w:rsid w:val="00632FCB"/>
    <w:rsid w:val="006331FB"/>
    <w:rsid w:val="00633384"/>
    <w:rsid w:val="00633441"/>
    <w:rsid w:val="0063375D"/>
    <w:rsid w:val="00633E10"/>
    <w:rsid w:val="00634001"/>
    <w:rsid w:val="0063402F"/>
    <w:rsid w:val="00634189"/>
    <w:rsid w:val="006342BA"/>
    <w:rsid w:val="006349D8"/>
    <w:rsid w:val="00634AA9"/>
    <w:rsid w:val="00634F75"/>
    <w:rsid w:val="006350CB"/>
    <w:rsid w:val="006351D0"/>
    <w:rsid w:val="006354D0"/>
    <w:rsid w:val="0063580A"/>
    <w:rsid w:val="006358EA"/>
    <w:rsid w:val="00635DB4"/>
    <w:rsid w:val="00635F74"/>
    <w:rsid w:val="00636039"/>
    <w:rsid w:val="006360EF"/>
    <w:rsid w:val="00636264"/>
    <w:rsid w:val="006362BB"/>
    <w:rsid w:val="00636357"/>
    <w:rsid w:val="0063656E"/>
    <w:rsid w:val="00636760"/>
    <w:rsid w:val="0063676F"/>
    <w:rsid w:val="006367D9"/>
    <w:rsid w:val="006368F9"/>
    <w:rsid w:val="006369E8"/>
    <w:rsid w:val="00636AA9"/>
    <w:rsid w:val="00636F53"/>
    <w:rsid w:val="006371D7"/>
    <w:rsid w:val="00637A4C"/>
    <w:rsid w:val="00637BB3"/>
    <w:rsid w:val="00637E2D"/>
    <w:rsid w:val="006400F6"/>
    <w:rsid w:val="0064086A"/>
    <w:rsid w:val="00640D19"/>
    <w:rsid w:val="0064144A"/>
    <w:rsid w:val="0064150D"/>
    <w:rsid w:val="00641CB1"/>
    <w:rsid w:val="00641D25"/>
    <w:rsid w:val="00641D65"/>
    <w:rsid w:val="00641E48"/>
    <w:rsid w:val="006421D7"/>
    <w:rsid w:val="006425EC"/>
    <w:rsid w:val="006429FF"/>
    <w:rsid w:val="00642A41"/>
    <w:rsid w:val="00642B3B"/>
    <w:rsid w:val="00642CF5"/>
    <w:rsid w:val="00642E95"/>
    <w:rsid w:val="00642FB4"/>
    <w:rsid w:val="0064307C"/>
    <w:rsid w:val="0064313A"/>
    <w:rsid w:val="00643354"/>
    <w:rsid w:val="00643376"/>
    <w:rsid w:val="0064367F"/>
    <w:rsid w:val="00644167"/>
    <w:rsid w:val="00644E65"/>
    <w:rsid w:val="006451A9"/>
    <w:rsid w:val="00645801"/>
    <w:rsid w:val="00645ABE"/>
    <w:rsid w:val="00646672"/>
    <w:rsid w:val="006468D3"/>
    <w:rsid w:val="00646C5D"/>
    <w:rsid w:val="00646F61"/>
    <w:rsid w:val="00647007"/>
    <w:rsid w:val="006471DE"/>
    <w:rsid w:val="006477C2"/>
    <w:rsid w:val="006479CA"/>
    <w:rsid w:val="006479F9"/>
    <w:rsid w:val="00647BC1"/>
    <w:rsid w:val="00647C42"/>
    <w:rsid w:val="00647F2A"/>
    <w:rsid w:val="00647F54"/>
    <w:rsid w:val="00650411"/>
    <w:rsid w:val="00650597"/>
    <w:rsid w:val="006506DB"/>
    <w:rsid w:val="006507ED"/>
    <w:rsid w:val="0065177F"/>
    <w:rsid w:val="00651A77"/>
    <w:rsid w:val="00651BD9"/>
    <w:rsid w:val="00651E8F"/>
    <w:rsid w:val="00652231"/>
    <w:rsid w:val="0065230A"/>
    <w:rsid w:val="006527E1"/>
    <w:rsid w:val="0065294A"/>
    <w:rsid w:val="0065298C"/>
    <w:rsid w:val="00652B8E"/>
    <w:rsid w:val="00652BAD"/>
    <w:rsid w:val="00652D89"/>
    <w:rsid w:val="0065364A"/>
    <w:rsid w:val="00653ACE"/>
    <w:rsid w:val="0065420C"/>
    <w:rsid w:val="006543FA"/>
    <w:rsid w:val="00654DA6"/>
    <w:rsid w:val="00654FFD"/>
    <w:rsid w:val="00655063"/>
    <w:rsid w:val="00655197"/>
    <w:rsid w:val="00655538"/>
    <w:rsid w:val="0065589E"/>
    <w:rsid w:val="00655916"/>
    <w:rsid w:val="00655FB5"/>
    <w:rsid w:val="006561BE"/>
    <w:rsid w:val="00656480"/>
    <w:rsid w:val="00656581"/>
    <w:rsid w:val="00656AD1"/>
    <w:rsid w:val="00656F5C"/>
    <w:rsid w:val="00656FDF"/>
    <w:rsid w:val="006575D3"/>
    <w:rsid w:val="006578EC"/>
    <w:rsid w:val="00657B5B"/>
    <w:rsid w:val="00657BCE"/>
    <w:rsid w:val="0066006A"/>
    <w:rsid w:val="006603F1"/>
    <w:rsid w:val="0066063A"/>
    <w:rsid w:val="0066072C"/>
    <w:rsid w:val="00660770"/>
    <w:rsid w:val="0066085B"/>
    <w:rsid w:val="00660DAD"/>
    <w:rsid w:val="00660EAA"/>
    <w:rsid w:val="00661077"/>
    <w:rsid w:val="00661529"/>
    <w:rsid w:val="0066176D"/>
    <w:rsid w:val="00661901"/>
    <w:rsid w:val="00661FCF"/>
    <w:rsid w:val="0066246C"/>
    <w:rsid w:val="006624A2"/>
    <w:rsid w:val="00662D84"/>
    <w:rsid w:val="00663941"/>
    <w:rsid w:val="00663B61"/>
    <w:rsid w:val="006643FD"/>
    <w:rsid w:val="00664770"/>
    <w:rsid w:val="00664A96"/>
    <w:rsid w:val="00664D96"/>
    <w:rsid w:val="00664D9E"/>
    <w:rsid w:val="00664F24"/>
    <w:rsid w:val="006655B4"/>
    <w:rsid w:val="006656FA"/>
    <w:rsid w:val="006658AD"/>
    <w:rsid w:val="00665AB7"/>
    <w:rsid w:val="00665ED8"/>
    <w:rsid w:val="00665FF7"/>
    <w:rsid w:val="006666D2"/>
    <w:rsid w:val="006667B3"/>
    <w:rsid w:val="0066698F"/>
    <w:rsid w:val="00666B07"/>
    <w:rsid w:val="00666BE0"/>
    <w:rsid w:val="00666EA7"/>
    <w:rsid w:val="00666EE3"/>
    <w:rsid w:val="006672DD"/>
    <w:rsid w:val="00667369"/>
    <w:rsid w:val="00667B60"/>
    <w:rsid w:val="00667C69"/>
    <w:rsid w:val="0067018A"/>
    <w:rsid w:val="00670583"/>
    <w:rsid w:val="006707D7"/>
    <w:rsid w:val="006708DB"/>
    <w:rsid w:val="00670A6C"/>
    <w:rsid w:val="00670D3E"/>
    <w:rsid w:val="00670F79"/>
    <w:rsid w:val="00670FC3"/>
    <w:rsid w:val="0067108E"/>
    <w:rsid w:val="006714AF"/>
    <w:rsid w:val="0067155E"/>
    <w:rsid w:val="006716BB"/>
    <w:rsid w:val="006716FF"/>
    <w:rsid w:val="00671777"/>
    <w:rsid w:val="00671904"/>
    <w:rsid w:val="006719BA"/>
    <w:rsid w:val="00671D6E"/>
    <w:rsid w:val="00671F4D"/>
    <w:rsid w:val="00671F7E"/>
    <w:rsid w:val="0067228F"/>
    <w:rsid w:val="006725A2"/>
    <w:rsid w:val="006727F6"/>
    <w:rsid w:val="00672BD0"/>
    <w:rsid w:val="00672CF4"/>
    <w:rsid w:val="0067353A"/>
    <w:rsid w:val="006740DA"/>
    <w:rsid w:val="006744B7"/>
    <w:rsid w:val="00674A48"/>
    <w:rsid w:val="00674BFF"/>
    <w:rsid w:val="00674D1D"/>
    <w:rsid w:val="00674D96"/>
    <w:rsid w:val="00675174"/>
    <w:rsid w:val="006751EC"/>
    <w:rsid w:val="006755BD"/>
    <w:rsid w:val="00675C36"/>
    <w:rsid w:val="00675C58"/>
    <w:rsid w:val="00675D22"/>
    <w:rsid w:val="00675E46"/>
    <w:rsid w:val="00676007"/>
    <w:rsid w:val="006761FF"/>
    <w:rsid w:val="0067654D"/>
    <w:rsid w:val="00676639"/>
    <w:rsid w:val="00676BF8"/>
    <w:rsid w:val="00676D79"/>
    <w:rsid w:val="00676FC1"/>
    <w:rsid w:val="00677132"/>
    <w:rsid w:val="006774B6"/>
    <w:rsid w:val="006775DC"/>
    <w:rsid w:val="00677942"/>
    <w:rsid w:val="006779E2"/>
    <w:rsid w:val="00677A91"/>
    <w:rsid w:val="00680039"/>
    <w:rsid w:val="0068037F"/>
    <w:rsid w:val="0068041E"/>
    <w:rsid w:val="006807E2"/>
    <w:rsid w:val="00680894"/>
    <w:rsid w:val="00680C4F"/>
    <w:rsid w:val="006816D2"/>
    <w:rsid w:val="00681E16"/>
    <w:rsid w:val="00682192"/>
    <w:rsid w:val="00682715"/>
    <w:rsid w:val="0068300A"/>
    <w:rsid w:val="00683044"/>
    <w:rsid w:val="00683256"/>
    <w:rsid w:val="006832E7"/>
    <w:rsid w:val="00683302"/>
    <w:rsid w:val="006834D7"/>
    <w:rsid w:val="00683555"/>
    <w:rsid w:val="00683708"/>
    <w:rsid w:val="00683CE7"/>
    <w:rsid w:val="00683F33"/>
    <w:rsid w:val="00684587"/>
    <w:rsid w:val="00684B49"/>
    <w:rsid w:val="00685101"/>
    <w:rsid w:val="0068597E"/>
    <w:rsid w:val="00685A67"/>
    <w:rsid w:val="00685B60"/>
    <w:rsid w:val="00685EE7"/>
    <w:rsid w:val="00686028"/>
    <w:rsid w:val="0068625C"/>
    <w:rsid w:val="0068633C"/>
    <w:rsid w:val="00686477"/>
    <w:rsid w:val="00686593"/>
    <w:rsid w:val="00686DDA"/>
    <w:rsid w:val="00687125"/>
    <w:rsid w:val="00687191"/>
    <w:rsid w:val="0068722E"/>
    <w:rsid w:val="0068767A"/>
    <w:rsid w:val="00687696"/>
    <w:rsid w:val="006876C6"/>
    <w:rsid w:val="0068794F"/>
    <w:rsid w:val="00687F81"/>
    <w:rsid w:val="006903F0"/>
    <w:rsid w:val="0069042B"/>
    <w:rsid w:val="00690502"/>
    <w:rsid w:val="00690785"/>
    <w:rsid w:val="006907AC"/>
    <w:rsid w:val="00690C43"/>
    <w:rsid w:val="00690DD8"/>
    <w:rsid w:val="00691901"/>
    <w:rsid w:val="00691F3C"/>
    <w:rsid w:val="006923CA"/>
    <w:rsid w:val="00692B85"/>
    <w:rsid w:val="00692D96"/>
    <w:rsid w:val="00692DFF"/>
    <w:rsid w:val="00693034"/>
    <w:rsid w:val="00693037"/>
    <w:rsid w:val="00693259"/>
    <w:rsid w:val="0069326E"/>
    <w:rsid w:val="006933B2"/>
    <w:rsid w:val="006936D2"/>
    <w:rsid w:val="00693E55"/>
    <w:rsid w:val="00693FD9"/>
    <w:rsid w:val="0069412A"/>
    <w:rsid w:val="00694216"/>
    <w:rsid w:val="0069425B"/>
    <w:rsid w:val="00694356"/>
    <w:rsid w:val="0069459A"/>
    <w:rsid w:val="00694842"/>
    <w:rsid w:val="006949AE"/>
    <w:rsid w:val="00694A02"/>
    <w:rsid w:val="00694DCD"/>
    <w:rsid w:val="00694EDB"/>
    <w:rsid w:val="00694F57"/>
    <w:rsid w:val="0069514D"/>
    <w:rsid w:val="00695CF3"/>
    <w:rsid w:val="00695FCB"/>
    <w:rsid w:val="0069613C"/>
    <w:rsid w:val="006962D1"/>
    <w:rsid w:val="00696566"/>
    <w:rsid w:val="0069668C"/>
    <w:rsid w:val="00696827"/>
    <w:rsid w:val="00696AC1"/>
    <w:rsid w:val="00696B3E"/>
    <w:rsid w:val="00696C37"/>
    <w:rsid w:val="00696E41"/>
    <w:rsid w:val="00697307"/>
    <w:rsid w:val="00697AED"/>
    <w:rsid w:val="00697E20"/>
    <w:rsid w:val="006A059D"/>
    <w:rsid w:val="006A075E"/>
    <w:rsid w:val="006A07C7"/>
    <w:rsid w:val="006A0BB6"/>
    <w:rsid w:val="006A0D24"/>
    <w:rsid w:val="006A0D8E"/>
    <w:rsid w:val="006A0FF7"/>
    <w:rsid w:val="006A1BEB"/>
    <w:rsid w:val="006A1F92"/>
    <w:rsid w:val="006A1FBD"/>
    <w:rsid w:val="006A223A"/>
    <w:rsid w:val="006A2416"/>
    <w:rsid w:val="006A2552"/>
    <w:rsid w:val="006A255C"/>
    <w:rsid w:val="006A28BD"/>
    <w:rsid w:val="006A2A31"/>
    <w:rsid w:val="006A2ADB"/>
    <w:rsid w:val="006A2F1E"/>
    <w:rsid w:val="006A35C5"/>
    <w:rsid w:val="006A361E"/>
    <w:rsid w:val="006A3A4A"/>
    <w:rsid w:val="006A4D9D"/>
    <w:rsid w:val="006A522F"/>
    <w:rsid w:val="006A5318"/>
    <w:rsid w:val="006A53EC"/>
    <w:rsid w:val="006A553C"/>
    <w:rsid w:val="006A55EF"/>
    <w:rsid w:val="006A561B"/>
    <w:rsid w:val="006A57D8"/>
    <w:rsid w:val="006A5967"/>
    <w:rsid w:val="006A5AD9"/>
    <w:rsid w:val="006A5CEF"/>
    <w:rsid w:val="006A6012"/>
    <w:rsid w:val="006A607E"/>
    <w:rsid w:val="006A6115"/>
    <w:rsid w:val="006A631F"/>
    <w:rsid w:val="006A638E"/>
    <w:rsid w:val="006A66DC"/>
    <w:rsid w:val="006A6BD1"/>
    <w:rsid w:val="006A7840"/>
    <w:rsid w:val="006A7923"/>
    <w:rsid w:val="006A7D4F"/>
    <w:rsid w:val="006A7E09"/>
    <w:rsid w:val="006B00AC"/>
    <w:rsid w:val="006B0B79"/>
    <w:rsid w:val="006B122A"/>
    <w:rsid w:val="006B134E"/>
    <w:rsid w:val="006B14F9"/>
    <w:rsid w:val="006B1A5F"/>
    <w:rsid w:val="006B1F0D"/>
    <w:rsid w:val="006B1F37"/>
    <w:rsid w:val="006B21ED"/>
    <w:rsid w:val="006B22CE"/>
    <w:rsid w:val="006B233D"/>
    <w:rsid w:val="006B27D2"/>
    <w:rsid w:val="006B29AC"/>
    <w:rsid w:val="006B2F29"/>
    <w:rsid w:val="006B2FEB"/>
    <w:rsid w:val="006B3203"/>
    <w:rsid w:val="006B3355"/>
    <w:rsid w:val="006B3626"/>
    <w:rsid w:val="006B3748"/>
    <w:rsid w:val="006B376A"/>
    <w:rsid w:val="006B3D95"/>
    <w:rsid w:val="006B3E26"/>
    <w:rsid w:val="006B3F96"/>
    <w:rsid w:val="006B44E0"/>
    <w:rsid w:val="006B46BF"/>
    <w:rsid w:val="006B510C"/>
    <w:rsid w:val="006B515D"/>
    <w:rsid w:val="006B5FB7"/>
    <w:rsid w:val="006B60C1"/>
    <w:rsid w:val="006B61ED"/>
    <w:rsid w:val="006B651A"/>
    <w:rsid w:val="006B6E75"/>
    <w:rsid w:val="006B7059"/>
    <w:rsid w:val="006B74C7"/>
    <w:rsid w:val="006B7781"/>
    <w:rsid w:val="006B7A06"/>
    <w:rsid w:val="006B7BA2"/>
    <w:rsid w:val="006B7DCE"/>
    <w:rsid w:val="006C00A3"/>
    <w:rsid w:val="006C0606"/>
    <w:rsid w:val="006C0660"/>
    <w:rsid w:val="006C0B57"/>
    <w:rsid w:val="006C0B7F"/>
    <w:rsid w:val="006C0CF5"/>
    <w:rsid w:val="006C0FE1"/>
    <w:rsid w:val="006C140D"/>
    <w:rsid w:val="006C1E3E"/>
    <w:rsid w:val="006C1EE9"/>
    <w:rsid w:val="006C217E"/>
    <w:rsid w:val="006C245C"/>
    <w:rsid w:val="006C27E3"/>
    <w:rsid w:val="006C285A"/>
    <w:rsid w:val="006C2C9C"/>
    <w:rsid w:val="006C2FC6"/>
    <w:rsid w:val="006C35BD"/>
    <w:rsid w:val="006C3851"/>
    <w:rsid w:val="006C3ED9"/>
    <w:rsid w:val="006C3F40"/>
    <w:rsid w:val="006C427F"/>
    <w:rsid w:val="006C46BE"/>
    <w:rsid w:val="006C4720"/>
    <w:rsid w:val="006C47B8"/>
    <w:rsid w:val="006C4A47"/>
    <w:rsid w:val="006C55CA"/>
    <w:rsid w:val="006C567D"/>
    <w:rsid w:val="006C574B"/>
    <w:rsid w:val="006C5777"/>
    <w:rsid w:val="006C577F"/>
    <w:rsid w:val="006C5970"/>
    <w:rsid w:val="006C5CD0"/>
    <w:rsid w:val="006C5EF1"/>
    <w:rsid w:val="006C6227"/>
    <w:rsid w:val="006C69AD"/>
    <w:rsid w:val="006C69B1"/>
    <w:rsid w:val="006C6E13"/>
    <w:rsid w:val="006C7A05"/>
    <w:rsid w:val="006D035F"/>
    <w:rsid w:val="006D058F"/>
    <w:rsid w:val="006D0A05"/>
    <w:rsid w:val="006D0A56"/>
    <w:rsid w:val="006D105E"/>
    <w:rsid w:val="006D1217"/>
    <w:rsid w:val="006D15D6"/>
    <w:rsid w:val="006D166F"/>
    <w:rsid w:val="006D16D1"/>
    <w:rsid w:val="006D2261"/>
    <w:rsid w:val="006D2B58"/>
    <w:rsid w:val="006D2BE9"/>
    <w:rsid w:val="006D2E1F"/>
    <w:rsid w:val="006D3326"/>
    <w:rsid w:val="006D33B8"/>
    <w:rsid w:val="006D37BA"/>
    <w:rsid w:val="006D37E1"/>
    <w:rsid w:val="006D3D59"/>
    <w:rsid w:val="006D3E95"/>
    <w:rsid w:val="006D3ED1"/>
    <w:rsid w:val="006D4163"/>
    <w:rsid w:val="006D47CE"/>
    <w:rsid w:val="006D47D3"/>
    <w:rsid w:val="006D4960"/>
    <w:rsid w:val="006D4995"/>
    <w:rsid w:val="006D4CA2"/>
    <w:rsid w:val="006D4D42"/>
    <w:rsid w:val="006D4E39"/>
    <w:rsid w:val="006D519F"/>
    <w:rsid w:val="006D54AD"/>
    <w:rsid w:val="006D5680"/>
    <w:rsid w:val="006D5B2E"/>
    <w:rsid w:val="006D5BC3"/>
    <w:rsid w:val="006D5EE7"/>
    <w:rsid w:val="006D5F74"/>
    <w:rsid w:val="006D5FF3"/>
    <w:rsid w:val="006D6135"/>
    <w:rsid w:val="006D6380"/>
    <w:rsid w:val="006D69AF"/>
    <w:rsid w:val="006D6DB1"/>
    <w:rsid w:val="006D74E0"/>
    <w:rsid w:val="006D771A"/>
    <w:rsid w:val="006D7825"/>
    <w:rsid w:val="006D7AFD"/>
    <w:rsid w:val="006D7B28"/>
    <w:rsid w:val="006E0157"/>
    <w:rsid w:val="006E0283"/>
    <w:rsid w:val="006E0B4F"/>
    <w:rsid w:val="006E0D5B"/>
    <w:rsid w:val="006E0E07"/>
    <w:rsid w:val="006E0EC0"/>
    <w:rsid w:val="006E0ECB"/>
    <w:rsid w:val="006E1206"/>
    <w:rsid w:val="006E1D04"/>
    <w:rsid w:val="006E1F02"/>
    <w:rsid w:val="006E1F49"/>
    <w:rsid w:val="006E1F9B"/>
    <w:rsid w:val="006E2084"/>
    <w:rsid w:val="006E21A2"/>
    <w:rsid w:val="006E2B61"/>
    <w:rsid w:val="006E2CA4"/>
    <w:rsid w:val="006E2DA0"/>
    <w:rsid w:val="006E2F50"/>
    <w:rsid w:val="006E3237"/>
    <w:rsid w:val="006E3413"/>
    <w:rsid w:val="006E3755"/>
    <w:rsid w:val="006E3BF5"/>
    <w:rsid w:val="006E3BFD"/>
    <w:rsid w:val="006E3CE4"/>
    <w:rsid w:val="006E406C"/>
    <w:rsid w:val="006E40F9"/>
    <w:rsid w:val="006E425C"/>
    <w:rsid w:val="006E42D8"/>
    <w:rsid w:val="006E5413"/>
    <w:rsid w:val="006E59C4"/>
    <w:rsid w:val="006E5D7F"/>
    <w:rsid w:val="006E5DBE"/>
    <w:rsid w:val="006E5E1A"/>
    <w:rsid w:val="006E628E"/>
    <w:rsid w:val="006E6792"/>
    <w:rsid w:val="006E6C44"/>
    <w:rsid w:val="006E6DE0"/>
    <w:rsid w:val="006E7056"/>
    <w:rsid w:val="006E75B4"/>
    <w:rsid w:val="006E7689"/>
    <w:rsid w:val="006E7793"/>
    <w:rsid w:val="006E77BE"/>
    <w:rsid w:val="006E7B6F"/>
    <w:rsid w:val="006E7B85"/>
    <w:rsid w:val="006E7D1C"/>
    <w:rsid w:val="006E7DE3"/>
    <w:rsid w:val="006E7ED3"/>
    <w:rsid w:val="006F0368"/>
    <w:rsid w:val="006F050D"/>
    <w:rsid w:val="006F05CA"/>
    <w:rsid w:val="006F06A5"/>
    <w:rsid w:val="006F0BA5"/>
    <w:rsid w:val="006F0C3D"/>
    <w:rsid w:val="006F0F0F"/>
    <w:rsid w:val="006F16AF"/>
    <w:rsid w:val="006F1720"/>
    <w:rsid w:val="006F197E"/>
    <w:rsid w:val="006F19EC"/>
    <w:rsid w:val="006F1C5E"/>
    <w:rsid w:val="006F20F3"/>
    <w:rsid w:val="006F28F0"/>
    <w:rsid w:val="006F2B1C"/>
    <w:rsid w:val="006F2B46"/>
    <w:rsid w:val="006F2BB2"/>
    <w:rsid w:val="006F2DC8"/>
    <w:rsid w:val="006F3684"/>
    <w:rsid w:val="006F36D9"/>
    <w:rsid w:val="006F3940"/>
    <w:rsid w:val="006F3B96"/>
    <w:rsid w:val="006F3BFE"/>
    <w:rsid w:val="006F3DDD"/>
    <w:rsid w:val="006F424C"/>
    <w:rsid w:val="006F44DF"/>
    <w:rsid w:val="006F44F5"/>
    <w:rsid w:val="006F4DF2"/>
    <w:rsid w:val="006F51FE"/>
    <w:rsid w:val="006F5531"/>
    <w:rsid w:val="006F5647"/>
    <w:rsid w:val="006F5A27"/>
    <w:rsid w:val="006F5A99"/>
    <w:rsid w:val="006F5E0B"/>
    <w:rsid w:val="006F5EAB"/>
    <w:rsid w:val="006F636F"/>
    <w:rsid w:val="006F6A32"/>
    <w:rsid w:val="006F702E"/>
    <w:rsid w:val="006F75E8"/>
    <w:rsid w:val="006F773A"/>
    <w:rsid w:val="007006B2"/>
    <w:rsid w:val="00700C38"/>
    <w:rsid w:val="00700C42"/>
    <w:rsid w:val="00701B58"/>
    <w:rsid w:val="00701CA5"/>
    <w:rsid w:val="00701E35"/>
    <w:rsid w:val="00701F3A"/>
    <w:rsid w:val="0070210D"/>
    <w:rsid w:val="0070226F"/>
    <w:rsid w:val="007023B2"/>
    <w:rsid w:val="0070241F"/>
    <w:rsid w:val="00702971"/>
    <w:rsid w:val="007029F8"/>
    <w:rsid w:val="00702B60"/>
    <w:rsid w:val="00702CED"/>
    <w:rsid w:val="00702EF4"/>
    <w:rsid w:val="0070304A"/>
    <w:rsid w:val="00703184"/>
    <w:rsid w:val="00703493"/>
    <w:rsid w:val="007036D8"/>
    <w:rsid w:val="00703810"/>
    <w:rsid w:val="00703963"/>
    <w:rsid w:val="00703D3C"/>
    <w:rsid w:val="00703DF9"/>
    <w:rsid w:val="00704B79"/>
    <w:rsid w:val="00704E3D"/>
    <w:rsid w:val="00704E7C"/>
    <w:rsid w:val="007050B8"/>
    <w:rsid w:val="007050FA"/>
    <w:rsid w:val="0070525A"/>
    <w:rsid w:val="00705498"/>
    <w:rsid w:val="007058B3"/>
    <w:rsid w:val="00705B9E"/>
    <w:rsid w:val="00705C03"/>
    <w:rsid w:val="00705D53"/>
    <w:rsid w:val="0070600A"/>
    <w:rsid w:val="007068AC"/>
    <w:rsid w:val="00706D3E"/>
    <w:rsid w:val="00707262"/>
    <w:rsid w:val="00707806"/>
    <w:rsid w:val="00707C22"/>
    <w:rsid w:val="00710344"/>
    <w:rsid w:val="007104BA"/>
    <w:rsid w:val="0071072B"/>
    <w:rsid w:val="00710BEC"/>
    <w:rsid w:val="00711609"/>
    <w:rsid w:val="00711638"/>
    <w:rsid w:val="0071186F"/>
    <w:rsid w:val="00711AA3"/>
    <w:rsid w:val="00711C4D"/>
    <w:rsid w:val="00711F28"/>
    <w:rsid w:val="00711FCF"/>
    <w:rsid w:val="0071245A"/>
    <w:rsid w:val="007127D5"/>
    <w:rsid w:val="00712912"/>
    <w:rsid w:val="007129E5"/>
    <w:rsid w:val="00712E2D"/>
    <w:rsid w:val="00712FC8"/>
    <w:rsid w:val="00712FF6"/>
    <w:rsid w:val="00713170"/>
    <w:rsid w:val="00713244"/>
    <w:rsid w:val="00713423"/>
    <w:rsid w:val="007135BF"/>
    <w:rsid w:val="00713952"/>
    <w:rsid w:val="00713A33"/>
    <w:rsid w:val="00713A53"/>
    <w:rsid w:val="00713B1C"/>
    <w:rsid w:val="00713BB7"/>
    <w:rsid w:val="00714079"/>
    <w:rsid w:val="00714155"/>
    <w:rsid w:val="007141FE"/>
    <w:rsid w:val="007143FC"/>
    <w:rsid w:val="00715DB7"/>
    <w:rsid w:val="00715FDE"/>
    <w:rsid w:val="007165A3"/>
    <w:rsid w:val="00716CB4"/>
    <w:rsid w:val="00717093"/>
    <w:rsid w:val="007170EE"/>
    <w:rsid w:val="007170F2"/>
    <w:rsid w:val="00717295"/>
    <w:rsid w:val="0071730E"/>
    <w:rsid w:val="00720168"/>
    <w:rsid w:val="007202BA"/>
    <w:rsid w:val="00720518"/>
    <w:rsid w:val="007206AC"/>
    <w:rsid w:val="007207A2"/>
    <w:rsid w:val="00720ADB"/>
    <w:rsid w:val="00720B52"/>
    <w:rsid w:val="00720B6B"/>
    <w:rsid w:val="00720F1C"/>
    <w:rsid w:val="007220B6"/>
    <w:rsid w:val="007225F8"/>
    <w:rsid w:val="00722832"/>
    <w:rsid w:val="00722A42"/>
    <w:rsid w:val="00722CE2"/>
    <w:rsid w:val="00722DA6"/>
    <w:rsid w:val="00723251"/>
    <w:rsid w:val="00723343"/>
    <w:rsid w:val="00723AD6"/>
    <w:rsid w:val="00723C37"/>
    <w:rsid w:val="00724120"/>
    <w:rsid w:val="0072487A"/>
    <w:rsid w:val="007248AB"/>
    <w:rsid w:val="007249BD"/>
    <w:rsid w:val="007251B8"/>
    <w:rsid w:val="00725D01"/>
    <w:rsid w:val="00725E8A"/>
    <w:rsid w:val="007260CB"/>
    <w:rsid w:val="007264FC"/>
    <w:rsid w:val="0072678D"/>
    <w:rsid w:val="007267B4"/>
    <w:rsid w:val="00726B40"/>
    <w:rsid w:val="00727076"/>
    <w:rsid w:val="0072714A"/>
    <w:rsid w:val="00727224"/>
    <w:rsid w:val="007272B1"/>
    <w:rsid w:val="007273FC"/>
    <w:rsid w:val="007274CB"/>
    <w:rsid w:val="0072783F"/>
    <w:rsid w:val="007278CD"/>
    <w:rsid w:val="00727F11"/>
    <w:rsid w:val="00727F6B"/>
    <w:rsid w:val="0073011C"/>
    <w:rsid w:val="00730217"/>
    <w:rsid w:val="0073036A"/>
    <w:rsid w:val="00730429"/>
    <w:rsid w:val="007308BB"/>
    <w:rsid w:val="0073092C"/>
    <w:rsid w:val="00730A44"/>
    <w:rsid w:val="00730AFF"/>
    <w:rsid w:val="00730D45"/>
    <w:rsid w:val="007311B0"/>
    <w:rsid w:val="007311C1"/>
    <w:rsid w:val="00731493"/>
    <w:rsid w:val="0073184D"/>
    <w:rsid w:val="007320F7"/>
    <w:rsid w:val="0073249E"/>
    <w:rsid w:val="00732896"/>
    <w:rsid w:val="00732B78"/>
    <w:rsid w:val="00732CC0"/>
    <w:rsid w:val="00732CCA"/>
    <w:rsid w:val="00732F3C"/>
    <w:rsid w:val="007330F8"/>
    <w:rsid w:val="0073341D"/>
    <w:rsid w:val="0073395B"/>
    <w:rsid w:val="00733F97"/>
    <w:rsid w:val="007340F4"/>
    <w:rsid w:val="00734378"/>
    <w:rsid w:val="007347FE"/>
    <w:rsid w:val="007348AA"/>
    <w:rsid w:val="00734943"/>
    <w:rsid w:val="00734A4E"/>
    <w:rsid w:val="00734A8D"/>
    <w:rsid w:val="00734E80"/>
    <w:rsid w:val="00735280"/>
    <w:rsid w:val="0073552D"/>
    <w:rsid w:val="00735718"/>
    <w:rsid w:val="007364F1"/>
    <w:rsid w:val="0073651F"/>
    <w:rsid w:val="007365CB"/>
    <w:rsid w:val="00736909"/>
    <w:rsid w:val="00736A5B"/>
    <w:rsid w:val="00736B17"/>
    <w:rsid w:val="00736B6B"/>
    <w:rsid w:val="00736E6F"/>
    <w:rsid w:val="00736FAF"/>
    <w:rsid w:val="007371A5"/>
    <w:rsid w:val="007372A6"/>
    <w:rsid w:val="0073775D"/>
    <w:rsid w:val="00737D6D"/>
    <w:rsid w:val="00737DC8"/>
    <w:rsid w:val="00737E3A"/>
    <w:rsid w:val="00740027"/>
    <w:rsid w:val="0074022A"/>
    <w:rsid w:val="00740397"/>
    <w:rsid w:val="00740646"/>
    <w:rsid w:val="0074081C"/>
    <w:rsid w:val="00740AD4"/>
    <w:rsid w:val="00740CAD"/>
    <w:rsid w:val="0074139D"/>
    <w:rsid w:val="00741445"/>
    <w:rsid w:val="007414F1"/>
    <w:rsid w:val="0074173D"/>
    <w:rsid w:val="007418EE"/>
    <w:rsid w:val="00742433"/>
    <w:rsid w:val="0074277D"/>
    <w:rsid w:val="007428D3"/>
    <w:rsid w:val="00742923"/>
    <w:rsid w:val="007429B8"/>
    <w:rsid w:val="00742B09"/>
    <w:rsid w:val="0074340F"/>
    <w:rsid w:val="007434FB"/>
    <w:rsid w:val="00743704"/>
    <w:rsid w:val="00743721"/>
    <w:rsid w:val="00743F5B"/>
    <w:rsid w:val="0074403E"/>
    <w:rsid w:val="0074412D"/>
    <w:rsid w:val="0074461D"/>
    <w:rsid w:val="007448FE"/>
    <w:rsid w:val="007449C4"/>
    <w:rsid w:val="00744BDD"/>
    <w:rsid w:val="00744DBA"/>
    <w:rsid w:val="00744E27"/>
    <w:rsid w:val="00745392"/>
    <w:rsid w:val="00745645"/>
    <w:rsid w:val="00746B46"/>
    <w:rsid w:val="007471F4"/>
    <w:rsid w:val="00747BDD"/>
    <w:rsid w:val="00747D3B"/>
    <w:rsid w:val="00747F9A"/>
    <w:rsid w:val="007503EB"/>
    <w:rsid w:val="00750473"/>
    <w:rsid w:val="0075053F"/>
    <w:rsid w:val="0075063E"/>
    <w:rsid w:val="0075088C"/>
    <w:rsid w:val="00750D7D"/>
    <w:rsid w:val="00750F43"/>
    <w:rsid w:val="00750F54"/>
    <w:rsid w:val="00751584"/>
    <w:rsid w:val="00751ED6"/>
    <w:rsid w:val="00751EE9"/>
    <w:rsid w:val="00752461"/>
    <w:rsid w:val="00752527"/>
    <w:rsid w:val="0075293F"/>
    <w:rsid w:val="00752BDD"/>
    <w:rsid w:val="007530A1"/>
    <w:rsid w:val="007530F7"/>
    <w:rsid w:val="00753331"/>
    <w:rsid w:val="0075340A"/>
    <w:rsid w:val="00753781"/>
    <w:rsid w:val="007538DA"/>
    <w:rsid w:val="00753AA4"/>
    <w:rsid w:val="00753D17"/>
    <w:rsid w:val="007541E1"/>
    <w:rsid w:val="007541F4"/>
    <w:rsid w:val="00754610"/>
    <w:rsid w:val="007547BF"/>
    <w:rsid w:val="00754B57"/>
    <w:rsid w:val="00755374"/>
    <w:rsid w:val="0075593D"/>
    <w:rsid w:val="007559C7"/>
    <w:rsid w:val="00755B45"/>
    <w:rsid w:val="00755E68"/>
    <w:rsid w:val="0075640B"/>
    <w:rsid w:val="007564C9"/>
    <w:rsid w:val="007566A2"/>
    <w:rsid w:val="00756AA2"/>
    <w:rsid w:val="00756CDB"/>
    <w:rsid w:val="0075713F"/>
    <w:rsid w:val="0075757E"/>
    <w:rsid w:val="0075780C"/>
    <w:rsid w:val="00757AA1"/>
    <w:rsid w:val="00757ACB"/>
    <w:rsid w:val="00757ACE"/>
    <w:rsid w:val="00757B6C"/>
    <w:rsid w:val="0076002A"/>
    <w:rsid w:val="007600F3"/>
    <w:rsid w:val="0076021E"/>
    <w:rsid w:val="00760605"/>
    <w:rsid w:val="0076106C"/>
    <w:rsid w:val="0076142A"/>
    <w:rsid w:val="0076155E"/>
    <w:rsid w:val="0076164F"/>
    <w:rsid w:val="00761C68"/>
    <w:rsid w:val="00761DB0"/>
    <w:rsid w:val="00761FEE"/>
    <w:rsid w:val="007626F6"/>
    <w:rsid w:val="00762AB1"/>
    <w:rsid w:val="00762B79"/>
    <w:rsid w:val="0076334E"/>
    <w:rsid w:val="00763E82"/>
    <w:rsid w:val="00763FEC"/>
    <w:rsid w:val="007642C9"/>
    <w:rsid w:val="007643BA"/>
    <w:rsid w:val="007644CB"/>
    <w:rsid w:val="00764581"/>
    <w:rsid w:val="00764607"/>
    <w:rsid w:val="00764644"/>
    <w:rsid w:val="0076474F"/>
    <w:rsid w:val="00764BC4"/>
    <w:rsid w:val="00764DC7"/>
    <w:rsid w:val="0076543F"/>
    <w:rsid w:val="00765AED"/>
    <w:rsid w:val="00765B0C"/>
    <w:rsid w:val="00765BAE"/>
    <w:rsid w:val="00765C85"/>
    <w:rsid w:val="00765E73"/>
    <w:rsid w:val="0076632D"/>
    <w:rsid w:val="0076683C"/>
    <w:rsid w:val="00766927"/>
    <w:rsid w:val="00766BE9"/>
    <w:rsid w:val="007672BD"/>
    <w:rsid w:val="0076762C"/>
    <w:rsid w:val="007676DD"/>
    <w:rsid w:val="00767995"/>
    <w:rsid w:val="00767A92"/>
    <w:rsid w:val="00770244"/>
    <w:rsid w:val="00770CC1"/>
    <w:rsid w:val="007711B0"/>
    <w:rsid w:val="00771B21"/>
    <w:rsid w:val="00771D2A"/>
    <w:rsid w:val="00771DBF"/>
    <w:rsid w:val="007720A2"/>
    <w:rsid w:val="00772652"/>
    <w:rsid w:val="00772D98"/>
    <w:rsid w:val="00772FB1"/>
    <w:rsid w:val="00773210"/>
    <w:rsid w:val="0077328E"/>
    <w:rsid w:val="00773444"/>
    <w:rsid w:val="00773623"/>
    <w:rsid w:val="007737AE"/>
    <w:rsid w:val="0077386F"/>
    <w:rsid w:val="00773C37"/>
    <w:rsid w:val="00773D6C"/>
    <w:rsid w:val="00773E96"/>
    <w:rsid w:val="00774300"/>
    <w:rsid w:val="0077488B"/>
    <w:rsid w:val="007751A9"/>
    <w:rsid w:val="00775497"/>
    <w:rsid w:val="007754AA"/>
    <w:rsid w:val="00775C3C"/>
    <w:rsid w:val="00775C7D"/>
    <w:rsid w:val="007761DF"/>
    <w:rsid w:val="007763B9"/>
    <w:rsid w:val="007764B6"/>
    <w:rsid w:val="007765C8"/>
    <w:rsid w:val="00776EB4"/>
    <w:rsid w:val="00777014"/>
    <w:rsid w:val="00777384"/>
    <w:rsid w:val="00777803"/>
    <w:rsid w:val="00780488"/>
    <w:rsid w:val="00780934"/>
    <w:rsid w:val="0078095E"/>
    <w:rsid w:val="00780D69"/>
    <w:rsid w:val="00780D85"/>
    <w:rsid w:val="00780E5B"/>
    <w:rsid w:val="0078114B"/>
    <w:rsid w:val="00781346"/>
    <w:rsid w:val="0078144C"/>
    <w:rsid w:val="00781458"/>
    <w:rsid w:val="007814B4"/>
    <w:rsid w:val="00781543"/>
    <w:rsid w:val="007817F9"/>
    <w:rsid w:val="00781DB4"/>
    <w:rsid w:val="00782042"/>
    <w:rsid w:val="00782095"/>
    <w:rsid w:val="007822E9"/>
    <w:rsid w:val="00782619"/>
    <w:rsid w:val="0078298A"/>
    <w:rsid w:val="00782A83"/>
    <w:rsid w:val="007838EC"/>
    <w:rsid w:val="00783EF2"/>
    <w:rsid w:val="00784863"/>
    <w:rsid w:val="0078498A"/>
    <w:rsid w:val="00784A04"/>
    <w:rsid w:val="00784D2B"/>
    <w:rsid w:val="00784D93"/>
    <w:rsid w:val="00784F83"/>
    <w:rsid w:val="00785138"/>
    <w:rsid w:val="00785233"/>
    <w:rsid w:val="00785524"/>
    <w:rsid w:val="007861BB"/>
    <w:rsid w:val="007863B7"/>
    <w:rsid w:val="007864C9"/>
    <w:rsid w:val="007865D8"/>
    <w:rsid w:val="00786AB7"/>
    <w:rsid w:val="00786CEC"/>
    <w:rsid w:val="00786D64"/>
    <w:rsid w:val="00786F9F"/>
    <w:rsid w:val="00786FCA"/>
    <w:rsid w:val="007870A3"/>
    <w:rsid w:val="007870C8"/>
    <w:rsid w:val="00787191"/>
    <w:rsid w:val="007871F9"/>
    <w:rsid w:val="0078763E"/>
    <w:rsid w:val="007877E0"/>
    <w:rsid w:val="00787CA9"/>
    <w:rsid w:val="0079087F"/>
    <w:rsid w:val="007908AC"/>
    <w:rsid w:val="00791509"/>
    <w:rsid w:val="00791A65"/>
    <w:rsid w:val="00791CC5"/>
    <w:rsid w:val="00791D08"/>
    <w:rsid w:val="00791F42"/>
    <w:rsid w:val="007926CC"/>
    <w:rsid w:val="00792A63"/>
    <w:rsid w:val="00792BAD"/>
    <w:rsid w:val="00792BBF"/>
    <w:rsid w:val="0079318D"/>
    <w:rsid w:val="0079347B"/>
    <w:rsid w:val="007935AC"/>
    <w:rsid w:val="00793676"/>
    <w:rsid w:val="00793734"/>
    <w:rsid w:val="00793B7B"/>
    <w:rsid w:val="00794166"/>
    <w:rsid w:val="007942B2"/>
    <w:rsid w:val="00794A2C"/>
    <w:rsid w:val="00794BE3"/>
    <w:rsid w:val="00795457"/>
    <w:rsid w:val="007954A6"/>
    <w:rsid w:val="0079555C"/>
    <w:rsid w:val="007957ED"/>
    <w:rsid w:val="00795BBA"/>
    <w:rsid w:val="0079608B"/>
    <w:rsid w:val="007960C3"/>
    <w:rsid w:val="0079614E"/>
    <w:rsid w:val="00796248"/>
    <w:rsid w:val="0079628B"/>
    <w:rsid w:val="007962FB"/>
    <w:rsid w:val="007965DF"/>
    <w:rsid w:val="0079664F"/>
    <w:rsid w:val="00796A78"/>
    <w:rsid w:val="00796AAE"/>
    <w:rsid w:val="00796C75"/>
    <w:rsid w:val="00796EB6"/>
    <w:rsid w:val="007970A3"/>
    <w:rsid w:val="00797B19"/>
    <w:rsid w:val="00797E2B"/>
    <w:rsid w:val="007A0290"/>
    <w:rsid w:val="007A0517"/>
    <w:rsid w:val="007A1051"/>
    <w:rsid w:val="007A10FB"/>
    <w:rsid w:val="007A1C7F"/>
    <w:rsid w:val="007A1D8D"/>
    <w:rsid w:val="007A21B5"/>
    <w:rsid w:val="007A269A"/>
    <w:rsid w:val="007A2C8C"/>
    <w:rsid w:val="007A2DF7"/>
    <w:rsid w:val="007A337A"/>
    <w:rsid w:val="007A395E"/>
    <w:rsid w:val="007A3CCC"/>
    <w:rsid w:val="007A3EB1"/>
    <w:rsid w:val="007A3F06"/>
    <w:rsid w:val="007A3F29"/>
    <w:rsid w:val="007A4189"/>
    <w:rsid w:val="007A45B1"/>
    <w:rsid w:val="007A4AC0"/>
    <w:rsid w:val="007A4EC5"/>
    <w:rsid w:val="007A4F98"/>
    <w:rsid w:val="007A5156"/>
    <w:rsid w:val="007A5514"/>
    <w:rsid w:val="007A5659"/>
    <w:rsid w:val="007A5B44"/>
    <w:rsid w:val="007A5BE1"/>
    <w:rsid w:val="007A631D"/>
    <w:rsid w:val="007A6423"/>
    <w:rsid w:val="007A667B"/>
    <w:rsid w:val="007A6AF1"/>
    <w:rsid w:val="007A6DFD"/>
    <w:rsid w:val="007A729E"/>
    <w:rsid w:val="007A7A1F"/>
    <w:rsid w:val="007A7B3D"/>
    <w:rsid w:val="007B0172"/>
    <w:rsid w:val="007B01CF"/>
    <w:rsid w:val="007B0390"/>
    <w:rsid w:val="007B043C"/>
    <w:rsid w:val="007B0830"/>
    <w:rsid w:val="007B08CA"/>
    <w:rsid w:val="007B09BD"/>
    <w:rsid w:val="007B0E37"/>
    <w:rsid w:val="007B0E5B"/>
    <w:rsid w:val="007B0EDE"/>
    <w:rsid w:val="007B14BB"/>
    <w:rsid w:val="007B1C39"/>
    <w:rsid w:val="007B1C81"/>
    <w:rsid w:val="007B1FBE"/>
    <w:rsid w:val="007B2018"/>
    <w:rsid w:val="007B22B0"/>
    <w:rsid w:val="007B2D42"/>
    <w:rsid w:val="007B2D9C"/>
    <w:rsid w:val="007B30F3"/>
    <w:rsid w:val="007B340F"/>
    <w:rsid w:val="007B3418"/>
    <w:rsid w:val="007B3B74"/>
    <w:rsid w:val="007B4362"/>
    <w:rsid w:val="007B46F0"/>
    <w:rsid w:val="007B4969"/>
    <w:rsid w:val="007B4C06"/>
    <w:rsid w:val="007B4CD6"/>
    <w:rsid w:val="007B4D09"/>
    <w:rsid w:val="007B5078"/>
    <w:rsid w:val="007B538F"/>
    <w:rsid w:val="007B5402"/>
    <w:rsid w:val="007B5ADD"/>
    <w:rsid w:val="007B5B07"/>
    <w:rsid w:val="007B5CF6"/>
    <w:rsid w:val="007B5FE7"/>
    <w:rsid w:val="007B61B8"/>
    <w:rsid w:val="007B62B3"/>
    <w:rsid w:val="007B63E8"/>
    <w:rsid w:val="007B6A4B"/>
    <w:rsid w:val="007B6CF3"/>
    <w:rsid w:val="007B7387"/>
    <w:rsid w:val="007B76E9"/>
    <w:rsid w:val="007B785E"/>
    <w:rsid w:val="007B7959"/>
    <w:rsid w:val="007B7A97"/>
    <w:rsid w:val="007B7D2B"/>
    <w:rsid w:val="007B7EE5"/>
    <w:rsid w:val="007C00A4"/>
    <w:rsid w:val="007C0344"/>
    <w:rsid w:val="007C041C"/>
    <w:rsid w:val="007C04F9"/>
    <w:rsid w:val="007C055A"/>
    <w:rsid w:val="007C0638"/>
    <w:rsid w:val="007C0798"/>
    <w:rsid w:val="007C0A60"/>
    <w:rsid w:val="007C0E0D"/>
    <w:rsid w:val="007C15A3"/>
    <w:rsid w:val="007C17A1"/>
    <w:rsid w:val="007C1C38"/>
    <w:rsid w:val="007C1E24"/>
    <w:rsid w:val="007C2286"/>
    <w:rsid w:val="007C2486"/>
    <w:rsid w:val="007C278C"/>
    <w:rsid w:val="007C2938"/>
    <w:rsid w:val="007C307A"/>
    <w:rsid w:val="007C34FA"/>
    <w:rsid w:val="007C3F11"/>
    <w:rsid w:val="007C40DF"/>
    <w:rsid w:val="007C4344"/>
    <w:rsid w:val="007C43AF"/>
    <w:rsid w:val="007C4576"/>
    <w:rsid w:val="007C4B40"/>
    <w:rsid w:val="007C4B7D"/>
    <w:rsid w:val="007C4E5F"/>
    <w:rsid w:val="007C56CA"/>
    <w:rsid w:val="007C57EF"/>
    <w:rsid w:val="007C5B52"/>
    <w:rsid w:val="007C5F6C"/>
    <w:rsid w:val="007C6921"/>
    <w:rsid w:val="007C6B08"/>
    <w:rsid w:val="007C6F34"/>
    <w:rsid w:val="007C71BF"/>
    <w:rsid w:val="007C738E"/>
    <w:rsid w:val="007C7739"/>
    <w:rsid w:val="007C780B"/>
    <w:rsid w:val="007C7BD6"/>
    <w:rsid w:val="007D033F"/>
    <w:rsid w:val="007D0515"/>
    <w:rsid w:val="007D0544"/>
    <w:rsid w:val="007D0D2D"/>
    <w:rsid w:val="007D0EB4"/>
    <w:rsid w:val="007D0ED1"/>
    <w:rsid w:val="007D0EF9"/>
    <w:rsid w:val="007D101A"/>
    <w:rsid w:val="007D1275"/>
    <w:rsid w:val="007D1791"/>
    <w:rsid w:val="007D18EF"/>
    <w:rsid w:val="007D19E2"/>
    <w:rsid w:val="007D1C7F"/>
    <w:rsid w:val="007D1D8E"/>
    <w:rsid w:val="007D1EA4"/>
    <w:rsid w:val="007D2132"/>
    <w:rsid w:val="007D2227"/>
    <w:rsid w:val="007D224C"/>
    <w:rsid w:val="007D26F6"/>
    <w:rsid w:val="007D298F"/>
    <w:rsid w:val="007D2A5E"/>
    <w:rsid w:val="007D2B78"/>
    <w:rsid w:val="007D2E48"/>
    <w:rsid w:val="007D30FD"/>
    <w:rsid w:val="007D35E0"/>
    <w:rsid w:val="007D3A98"/>
    <w:rsid w:val="007D40A7"/>
    <w:rsid w:val="007D41CC"/>
    <w:rsid w:val="007D4AC1"/>
    <w:rsid w:val="007D4B49"/>
    <w:rsid w:val="007D4CEF"/>
    <w:rsid w:val="007D4D54"/>
    <w:rsid w:val="007D543A"/>
    <w:rsid w:val="007D579C"/>
    <w:rsid w:val="007D59CA"/>
    <w:rsid w:val="007D5FB2"/>
    <w:rsid w:val="007D62C6"/>
    <w:rsid w:val="007D65AB"/>
    <w:rsid w:val="007D65C0"/>
    <w:rsid w:val="007D6929"/>
    <w:rsid w:val="007D6CB7"/>
    <w:rsid w:val="007D6D7B"/>
    <w:rsid w:val="007D6E26"/>
    <w:rsid w:val="007D6F07"/>
    <w:rsid w:val="007D71FF"/>
    <w:rsid w:val="007D748E"/>
    <w:rsid w:val="007D75BA"/>
    <w:rsid w:val="007D7C6D"/>
    <w:rsid w:val="007E004A"/>
    <w:rsid w:val="007E02BE"/>
    <w:rsid w:val="007E0349"/>
    <w:rsid w:val="007E071A"/>
    <w:rsid w:val="007E0C42"/>
    <w:rsid w:val="007E0E32"/>
    <w:rsid w:val="007E0E85"/>
    <w:rsid w:val="007E0F65"/>
    <w:rsid w:val="007E0F89"/>
    <w:rsid w:val="007E16FA"/>
    <w:rsid w:val="007E1E86"/>
    <w:rsid w:val="007E1ED1"/>
    <w:rsid w:val="007E21D4"/>
    <w:rsid w:val="007E2472"/>
    <w:rsid w:val="007E26B6"/>
    <w:rsid w:val="007E26D0"/>
    <w:rsid w:val="007E28B1"/>
    <w:rsid w:val="007E2BAF"/>
    <w:rsid w:val="007E2BCA"/>
    <w:rsid w:val="007E2CDB"/>
    <w:rsid w:val="007E2E70"/>
    <w:rsid w:val="007E2F09"/>
    <w:rsid w:val="007E324B"/>
    <w:rsid w:val="007E3438"/>
    <w:rsid w:val="007E3741"/>
    <w:rsid w:val="007E3AA9"/>
    <w:rsid w:val="007E3EBF"/>
    <w:rsid w:val="007E41E5"/>
    <w:rsid w:val="007E4246"/>
    <w:rsid w:val="007E444F"/>
    <w:rsid w:val="007E44DD"/>
    <w:rsid w:val="007E4CA4"/>
    <w:rsid w:val="007E5520"/>
    <w:rsid w:val="007E55BE"/>
    <w:rsid w:val="007E55E3"/>
    <w:rsid w:val="007E590D"/>
    <w:rsid w:val="007E5997"/>
    <w:rsid w:val="007E5ABF"/>
    <w:rsid w:val="007E5FBB"/>
    <w:rsid w:val="007E5FC6"/>
    <w:rsid w:val="007E629E"/>
    <w:rsid w:val="007E6773"/>
    <w:rsid w:val="007E69BB"/>
    <w:rsid w:val="007E6CAD"/>
    <w:rsid w:val="007E725B"/>
    <w:rsid w:val="007E7303"/>
    <w:rsid w:val="007E7558"/>
    <w:rsid w:val="007E7997"/>
    <w:rsid w:val="007E79AD"/>
    <w:rsid w:val="007E7DE6"/>
    <w:rsid w:val="007F005A"/>
    <w:rsid w:val="007F022B"/>
    <w:rsid w:val="007F028B"/>
    <w:rsid w:val="007F0370"/>
    <w:rsid w:val="007F0456"/>
    <w:rsid w:val="007F0A13"/>
    <w:rsid w:val="007F0BF3"/>
    <w:rsid w:val="007F0C39"/>
    <w:rsid w:val="007F0D6E"/>
    <w:rsid w:val="007F0F56"/>
    <w:rsid w:val="007F0FA1"/>
    <w:rsid w:val="007F1009"/>
    <w:rsid w:val="007F14A7"/>
    <w:rsid w:val="007F1651"/>
    <w:rsid w:val="007F1B92"/>
    <w:rsid w:val="007F22C9"/>
    <w:rsid w:val="007F248C"/>
    <w:rsid w:val="007F2537"/>
    <w:rsid w:val="007F272E"/>
    <w:rsid w:val="007F280E"/>
    <w:rsid w:val="007F2907"/>
    <w:rsid w:val="007F29AC"/>
    <w:rsid w:val="007F2C10"/>
    <w:rsid w:val="007F3028"/>
    <w:rsid w:val="007F312E"/>
    <w:rsid w:val="007F3159"/>
    <w:rsid w:val="007F3F67"/>
    <w:rsid w:val="007F448B"/>
    <w:rsid w:val="007F4BA5"/>
    <w:rsid w:val="007F4DC5"/>
    <w:rsid w:val="007F4ECA"/>
    <w:rsid w:val="007F5079"/>
    <w:rsid w:val="007F565E"/>
    <w:rsid w:val="007F59A1"/>
    <w:rsid w:val="007F5AA6"/>
    <w:rsid w:val="007F5BE5"/>
    <w:rsid w:val="007F5CF3"/>
    <w:rsid w:val="007F618D"/>
    <w:rsid w:val="007F6515"/>
    <w:rsid w:val="007F69D7"/>
    <w:rsid w:val="007F6D17"/>
    <w:rsid w:val="007F7EE7"/>
    <w:rsid w:val="007F7FDC"/>
    <w:rsid w:val="00800149"/>
    <w:rsid w:val="008003D4"/>
    <w:rsid w:val="0080055C"/>
    <w:rsid w:val="008005D0"/>
    <w:rsid w:val="00800643"/>
    <w:rsid w:val="008007D6"/>
    <w:rsid w:val="00800A93"/>
    <w:rsid w:val="00801040"/>
    <w:rsid w:val="008011D3"/>
    <w:rsid w:val="008012EE"/>
    <w:rsid w:val="008015AD"/>
    <w:rsid w:val="00801AE5"/>
    <w:rsid w:val="00801D26"/>
    <w:rsid w:val="0080235C"/>
    <w:rsid w:val="0080240B"/>
    <w:rsid w:val="00802A54"/>
    <w:rsid w:val="00802BD7"/>
    <w:rsid w:val="00802E80"/>
    <w:rsid w:val="00802F34"/>
    <w:rsid w:val="00802F62"/>
    <w:rsid w:val="00803066"/>
    <w:rsid w:val="008039CB"/>
    <w:rsid w:val="00803B84"/>
    <w:rsid w:val="00803CEF"/>
    <w:rsid w:val="00803EF7"/>
    <w:rsid w:val="008042BC"/>
    <w:rsid w:val="00804355"/>
    <w:rsid w:val="00804445"/>
    <w:rsid w:val="00804579"/>
    <w:rsid w:val="008045A5"/>
    <w:rsid w:val="008045E3"/>
    <w:rsid w:val="0080464D"/>
    <w:rsid w:val="0080469A"/>
    <w:rsid w:val="0080485D"/>
    <w:rsid w:val="00804B8E"/>
    <w:rsid w:val="00804BD4"/>
    <w:rsid w:val="0080524A"/>
    <w:rsid w:val="008054DD"/>
    <w:rsid w:val="008055A4"/>
    <w:rsid w:val="00805ABB"/>
    <w:rsid w:val="00805AD7"/>
    <w:rsid w:val="00805C9E"/>
    <w:rsid w:val="00805F89"/>
    <w:rsid w:val="008060BF"/>
    <w:rsid w:val="008063B6"/>
    <w:rsid w:val="00806897"/>
    <w:rsid w:val="00806BDC"/>
    <w:rsid w:val="00806DCE"/>
    <w:rsid w:val="00806F44"/>
    <w:rsid w:val="00806F9C"/>
    <w:rsid w:val="00807219"/>
    <w:rsid w:val="00807269"/>
    <w:rsid w:val="0080783F"/>
    <w:rsid w:val="00807BFF"/>
    <w:rsid w:val="00810D7B"/>
    <w:rsid w:val="00810DE1"/>
    <w:rsid w:val="0081100F"/>
    <w:rsid w:val="008112B9"/>
    <w:rsid w:val="0081195A"/>
    <w:rsid w:val="00811BAA"/>
    <w:rsid w:val="00812937"/>
    <w:rsid w:val="00812ECF"/>
    <w:rsid w:val="008135EB"/>
    <w:rsid w:val="008136CA"/>
    <w:rsid w:val="00813951"/>
    <w:rsid w:val="00813CCD"/>
    <w:rsid w:val="00813EB8"/>
    <w:rsid w:val="0081454C"/>
    <w:rsid w:val="00815277"/>
    <w:rsid w:val="008153F1"/>
    <w:rsid w:val="008154AD"/>
    <w:rsid w:val="00815605"/>
    <w:rsid w:val="0081581A"/>
    <w:rsid w:val="008158B5"/>
    <w:rsid w:val="00815A44"/>
    <w:rsid w:val="00815CCC"/>
    <w:rsid w:val="00815DD5"/>
    <w:rsid w:val="00815EE7"/>
    <w:rsid w:val="00816A68"/>
    <w:rsid w:val="008172C8"/>
    <w:rsid w:val="008176E4"/>
    <w:rsid w:val="00820682"/>
    <w:rsid w:val="008206BB"/>
    <w:rsid w:val="008214D3"/>
    <w:rsid w:val="00821879"/>
    <w:rsid w:val="00821D29"/>
    <w:rsid w:val="00821D4E"/>
    <w:rsid w:val="00821EFC"/>
    <w:rsid w:val="00822084"/>
    <w:rsid w:val="008224C6"/>
    <w:rsid w:val="008225E5"/>
    <w:rsid w:val="008226B1"/>
    <w:rsid w:val="0082286E"/>
    <w:rsid w:val="00822925"/>
    <w:rsid w:val="00823393"/>
    <w:rsid w:val="00823669"/>
    <w:rsid w:val="00823827"/>
    <w:rsid w:val="00823D5A"/>
    <w:rsid w:val="00823FD7"/>
    <w:rsid w:val="00824168"/>
    <w:rsid w:val="0082452F"/>
    <w:rsid w:val="00824544"/>
    <w:rsid w:val="008246CD"/>
    <w:rsid w:val="00824724"/>
    <w:rsid w:val="00824785"/>
    <w:rsid w:val="00824D3B"/>
    <w:rsid w:val="00825345"/>
    <w:rsid w:val="008255A9"/>
    <w:rsid w:val="00825A1B"/>
    <w:rsid w:val="00826006"/>
    <w:rsid w:val="00826016"/>
    <w:rsid w:val="00826054"/>
    <w:rsid w:val="0082629B"/>
    <w:rsid w:val="008268D7"/>
    <w:rsid w:val="00826C1D"/>
    <w:rsid w:val="00826C57"/>
    <w:rsid w:val="0082722C"/>
    <w:rsid w:val="008273E1"/>
    <w:rsid w:val="0082741B"/>
    <w:rsid w:val="0082753F"/>
    <w:rsid w:val="00827A31"/>
    <w:rsid w:val="00827A33"/>
    <w:rsid w:val="00827ACA"/>
    <w:rsid w:val="00827D99"/>
    <w:rsid w:val="00827E60"/>
    <w:rsid w:val="00827FD9"/>
    <w:rsid w:val="00830243"/>
    <w:rsid w:val="00830273"/>
    <w:rsid w:val="008303EF"/>
    <w:rsid w:val="008304E4"/>
    <w:rsid w:val="0083068A"/>
    <w:rsid w:val="0083076C"/>
    <w:rsid w:val="008309EB"/>
    <w:rsid w:val="00830CFC"/>
    <w:rsid w:val="008311DE"/>
    <w:rsid w:val="0083168F"/>
    <w:rsid w:val="00831BF7"/>
    <w:rsid w:val="00831D8D"/>
    <w:rsid w:val="008320D1"/>
    <w:rsid w:val="00832334"/>
    <w:rsid w:val="008328AA"/>
    <w:rsid w:val="00832B68"/>
    <w:rsid w:val="008330EB"/>
    <w:rsid w:val="00833256"/>
    <w:rsid w:val="00833513"/>
    <w:rsid w:val="00833816"/>
    <w:rsid w:val="00833845"/>
    <w:rsid w:val="00833F11"/>
    <w:rsid w:val="008340EA"/>
    <w:rsid w:val="0083481C"/>
    <w:rsid w:val="00834A87"/>
    <w:rsid w:val="00834B0B"/>
    <w:rsid w:val="008350E9"/>
    <w:rsid w:val="008353B7"/>
    <w:rsid w:val="008356FD"/>
    <w:rsid w:val="00835744"/>
    <w:rsid w:val="0083584F"/>
    <w:rsid w:val="00835BA0"/>
    <w:rsid w:val="0083631F"/>
    <w:rsid w:val="00836945"/>
    <w:rsid w:val="00836ECA"/>
    <w:rsid w:val="00836FEC"/>
    <w:rsid w:val="00837289"/>
    <w:rsid w:val="0083795D"/>
    <w:rsid w:val="00837CA9"/>
    <w:rsid w:val="008401F1"/>
    <w:rsid w:val="0084100B"/>
    <w:rsid w:val="008410CB"/>
    <w:rsid w:val="008410D2"/>
    <w:rsid w:val="00841143"/>
    <w:rsid w:val="0084114D"/>
    <w:rsid w:val="008411CE"/>
    <w:rsid w:val="00841A02"/>
    <w:rsid w:val="00841C26"/>
    <w:rsid w:val="00841E84"/>
    <w:rsid w:val="00841F3B"/>
    <w:rsid w:val="00842036"/>
    <w:rsid w:val="008426AE"/>
    <w:rsid w:val="00842CC4"/>
    <w:rsid w:val="00842E75"/>
    <w:rsid w:val="00842F0F"/>
    <w:rsid w:val="0084304B"/>
    <w:rsid w:val="00843199"/>
    <w:rsid w:val="008435A8"/>
    <w:rsid w:val="00843753"/>
    <w:rsid w:val="00843902"/>
    <w:rsid w:val="00843F90"/>
    <w:rsid w:val="00844743"/>
    <w:rsid w:val="008448C6"/>
    <w:rsid w:val="008449C4"/>
    <w:rsid w:val="00844AD1"/>
    <w:rsid w:val="00844DD3"/>
    <w:rsid w:val="008450C8"/>
    <w:rsid w:val="00845139"/>
    <w:rsid w:val="0084516A"/>
    <w:rsid w:val="008453E6"/>
    <w:rsid w:val="0084543D"/>
    <w:rsid w:val="00845676"/>
    <w:rsid w:val="00845680"/>
    <w:rsid w:val="0084581C"/>
    <w:rsid w:val="0084581E"/>
    <w:rsid w:val="00845DC3"/>
    <w:rsid w:val="0084600E"/>
    <w:rsid w:val="00846056"/>
    <w:rsid w:val="0084614A"/>
    <w:rsid w:val="00846259"/>
    <w:rsid w:val="00846569"/>
    <w:rsid w:val="00846D62"/>
    <w:rsid w:val="00846F03"/>
    <w:rsid w:val="00847145"/>
    <w:rsid w:val="008475FD"/>
    <w:rsid w:val="00847789"/>
    <w:rsid w:val="00847B6B"/>
    <w:rsid w:val="00847CCF"/>
    <w:rsid w:val="00850464"/>
    <w:rsid w:val="0085046C"/>
    <w:rsid w:val="00850478"/>
    <w:rsid w:val="008505E8"/>
    <w:rsid w:val="00850A5F"/>
    <w:rsid w:val="00850A76"/>
    <w:rsid w:val="0085135C"/>
    <w:rsid w:val="008517A7"/>
    <w:rsid w:val="008519C5"/>
    <w:rsid w:val="00852293"/>
    <w:rsid w:val="008525BA"/>
    <w:rsid w:val="00852BBE"/>
    <w:rsid w:val="00852C4E"/>
    <w:rsid w:val="008530D5"/>
    <w:rsid w:val="00853581"/>
    <w:rsid w:val="008535B5"/>
    <w:rsid w:val="00853643"/>
    <w:rsid w:val="008537C0"/>
    <w:rsid w:val="00853B28"/>
    <w:rsid w:val="00854157"/>
    <w:rsid w:val="008545E0"/>
    <w:rsid w:val="008547D8"/>
    <w:rsid w:val="00854DCC"/>
    <w:rsid w:val="00854EFA"/>
    <w:rsid w:val="00855320"/>
    <w:rsid w:val="008553BB"/>
    <w:rsid w:val="00855523"/>
    <w:rsid w:val="0085567D"/>
    <w:rsid w:val="0085568D"/>
    <w:rsid w:val="00855B09"/>
    <w:rsid w:val="00855B16"/>
    <w:rsid w:val="00855E9A"/>
    <w:rsid w:val="00855F09"/>
    <w:rsid w:val="0085609D"/>
    <w:rsid w:val="0085673C"/>
    <w:rsid w:val="0085680C"/>
    <w:rsid w:val="0085682D"/>
    <w:rsid w:val="008568A5"/>
    <w:rsid w:val="00856A43"/>
    <w:rsid w:val="00857122"/>
    <w:rsid w:val="008572F7"/>
    <w:rsid w:val="00857444"/>
    <w:rsid w:val="0085796B"/>
    <w:rsid w:val="00860170"/>
    <w:rsid w:val="00860789"/>
    <w:rsid w:val="008609A9"/>
    <w:rsid w:val="00860D26"/>
    <w:rsid w:val="00860E1A"/>
    <w:rsid w:val="00860FB6"/>
    <w:rsid w:val="00861204"/>
    <w:rsid w:val="008615B9"/>
    <w:rsid w:val="008619E4"/>
    <w:rsid w:val="00861C41"/>
    <w:rsid w:val="00862644"/>
    <w:rsid w:val="008629BE"/>
    <w:rsid w:val="00862B53"/>
    <w:rsid w:val="00862CF9"/>
    <w:rsid w:val="00862EF7"/>
    <w:rsid w:val="00862EFE"/>
    <w:rsid w:val="00862F3D"/>
    <w:rsid w:val="008630E7"/>
    <w:rsid w:val="008634B0"/>
    <w:rsid w:val="008634C5"/>
    <w:rsid w:val="00863546"/>
    <w:rsid w:val="00863620"/>
    <w:rsid w:val="008638C3"/>
    <w:rsid w:val="00863A36"/>
    <w:rsid w:val="00864374"/>
    <w:rsid w:val="00864455"/>
    <w:rsid w:val="008644C9"/>
    <w:rsid w:val="008646D2"/>
    <w:rsid w:val="00864DE2"/>
    <w:rsid w:val="00864F96"/>
    <w:rsid w:val="008650F9"/>
    <w:rsid w:val="00865474"/>
    <w:rsid w:val="0086574E"/>
    <w:rsid w:val="008659AE"/>
    <w:rsid w:val="00865D91"/>
    <w:rsid w:val="00866264"/>
    <w:rsid w:val="00866346"/>
    <w:rsid w:val="00866589"/>
    <w:rsid w:val="00866725"/>
    <w:rsid w:val="008670C4"/>
    <w:rsid w:val="008675BF"/>
    <w:rsid w:val="00867858"/>
    <w:rsid w:val="00867BC0"/>
    <w:rsid w:val="00867D7B"/>
    <w:rsid w:val="00867E3F"/>
    <w:rsid w:val="00870080"/>
    <w:rsid w:val="00870558"/>
    <w:rsid w:val="008705EB"/>
    <w:rsid w:val="00870931"/>
    <w:rsid w:val="00871003"/>
    <w:rsid w:val="008711DC"/>
    <w:rsid w:val="0087151D"/>
    <w:rsid w:val="008715E9"/>
    <w:rsid w:val="0087263D"/>
    <w:rsid w:val="0087275F"/>
    <w:rsid w:val="00872C17"/>
    <w:rsid w:val="00872CFE"/>
    <w:rsid w:val="00872D8E"/>
    <w:rsid w:val="00874045"/>
    <w:rsid w:val="008743A9"/>
    <w:rsid w:val="008744AC"/>
    <w:rsid w:val="0087459B"/>
    <w:rsid w:val="008746B3"/>
    <w:rsid w:val="00874B18"/>
    <w:rsid w:val="00874DE4"/>
    <w:rsid w:val="00874F04"/>
    <w:rsid w:val="008750B9"/>
    <w:rsid w:val="008751B4"/>
    <w:rsid w:val="00875433"/>
    <w:rsid w:val="0087588B"/>
    <w:rsid w:val="008759FF"/>
    <w:rsid w:val="00875AFA"/>
    <w:rsid w:val="00876228"/>
    <w:rsid w:val="008765DF"/>
    <w:rsid w:val="00876983"/>
    <w:rsid w:val="00876BE7"/>
    <w:rsid w:val="00876DC5"/>
    <w:rsid w:val="00876E07"/>
    <w:rsid w:val="00876EB2"/>
    <w:rsid w:val="00877356"/>
    <w:rsid w:val="00877371"/>
    <w:rsid w:val="00877755"/>
    <w:rsid w:val="008779D8"/>
    <w:rsid w:val="00877E54"/>
    <w:rsid w:val="00877FDB"/>
    <w:rsid w:val="0088058B"/>
    <w:rsid w:val="008809A8"/>
    <w:rsid w:val="00880EDA"/>
    <w:rsid w:val="00880F91"/>
    <w:rsid w:val="00881081"/>
    <w:rsid w:val="0088131E"/>
    <w:rsid w:val="008815C7"/>
    <w:rsid w:val="00881AB0"/>
    <w:rsid w:val="00881C70"/>
    <w:rsid w:val="00881D98"/>
    <w:rsid w:val="0088208D"/>
    <w:rsid w:val="00882430"/>
    <w:rsid w:val="0088273F"/>
    <w:rsid w:val="0088310B"/>
    <w:rsid w:val="008831C0"/>
    <w:rsid w:val="008837ED"/>
    <w:rsid w:val="00883A36"/>
    <w:rsid w:val="00883D05"/>
    <w:rsid w:val="00883DB3"/>
    <w:rsid w:val="00883E4D"/>
    <w:rsid w:val="008840D8"/>
    <w:rsid w:val="00884594"/>
    <w:rsid w:val="00884993"/>
    <w:rsid w:val="00884B35"/>
    <w:rsid w:val="00884D9C"/>
    <w:rsid w:val="00885672"/>
    <w:rsid w:val="00885895"/>
    <w:rsid w:val="00885AFE"/>
    <w:rsid w:val="00885F25"/>
    <w:rsid w:val="00886149"/>
    <w:rsid w:val="0088633D"/>
    <w:rsid w:val="008864EC"/>
    <w:rsid w:val="00886691"/>
    <w:rsid w:val="00886B75"/>
    <w:rsid w:val="00886D30"/>
    <w:rsid w:val="0088705A"/>
    <w:rsid w:val="00887128"/>
    <w:rsid w:val="0088732F"/>
    <w:rsid w:val="0088769C"/>
    <w:rsid w:val="008876EA"/>
    <w:rsid w:val="008878C7"/>
    <w:rsid w:val="008878EE"/>
    <w:rsid w:val="008879CA"/>
    <w:rsid w:val="00887A95"/>
    <w:rsid w:val="00887F24"/>
    <w:rsid w:val="008901E6"/>
    <w:rsid w:val="0089020A"/>
    <w:rsid w:val="0089042F"/>
    <w:rsid w:val="00890781"/>
    <w:rsid w:val="00890BD5"/>
    <w:rsid w:val="00890CAF"/>
    <w:rsid w:val="00890D87"/>
    <w:rsid w:val="00890EEE"/>
    <w:rsid w:val="00890FE3"/>
    <w:rsid w:val="0089183E"/>
    <w:rsid w:val="0089189C"/>
    <w:rsid w:val="00891A8F"/>
    <w:rsid w:val="00891D55"/>
    <w:rsid w:val="00891E9F"/>
    <w:rsid w:val="00891F5D"/>
    <w:rsid w:val="008927D2"/>
    <w:rsid w:val="00892801"/>
    <w:rsid w:val="008929B1"/>
    <w:rsid w:val="00892E15"/>
    <w:rsid w:val="00892E61"/>
    <w:rsid w:val="008934B3"/>
    <w:rsid w:val="008935C3"/>
    <w:rsid w:val="00894393"/>
    <w:rsid w:val="00894625"/>
    <w:rsid w:val="00894773"/>
    <w:rsid w:val="008948D6"/>
    <w:rsid w:val="00894951"/>
    <w:rsid w:val="00894BFA"/>
    <w:rsid w:val="008950DD"/>
    <w:rsid w:val="0089568B"/>
    <w:rsid w:val="008957DE"/>
    <w:rsid w:val="008958CF"/>
    <w:rsid w:val="00895AA7"/>
    <w:rsid w:val="00895C2B"/>
    <w:rsid w:val="0089673F"/>
    <w:rsid w:val="00896A05"/>
    <w:rsid w:val="00896E8E"/>
    <w:rsid w:val="00897854"/>
    <w:rsid w:val="008979CE"/>
    <w:rsid w:val="00897B8E"/>
    <w:rsid w:val="008A007A"/>
    <w:rsid w:val="008A02A3"/>
    <w:rsid w:val="008A1332"/>
    <w:rsid w:val="008A1345"/>
    <w:rsid w:val="008A170F"/>
    <w:rsid w:val="008A180F"/>
    <w:rsid w:val="008A1AEC"/>
    <w:rsid w:val="008A1EC1"/>
    <w:rsid w:val="008A2186"/>
    <w:rsid w:val="008A2218"/>
    <w:rsid w:val="008A234C"/>
    <w:rsid w:val="008A255A"/>
    <w:rsid w:val="008A25E9"/>
    <w:rsid w:val="008A263C"/>
    <w:rsid w:val="008A297D"/>
    <w:rsid w:val="008A2D94"/>
    <w:rsid w:val="008A368F"/>
    <w:rsid w:val="008A3A1D"/>
    <w:rsid w:val="008A3F21"/>
    <w:rsid w:val="008A4211"/>
    <w:rsid w:val="008A4465"/>
    <w:rsid w:val="008A4507"/>
    <w:rsid w:val="008A4935"/>
    <w:rsid w:val="008A4BAD"/>
    <w:rsid w:val="008A4C8D"/>
    <w:rsid w:val="008A4E94"/>
    <w:rsid w:val="008A541A"/>
    <w:rsid w:val="008A5593"/>
    <w:rsid w:val="008A5655"/>
    <w:rsid w:val="008A57EE"/>
    <w:rsid w:val="008A5820"/>
    <w:rsid w:val="008A58E4"/>
    <w:rsid w:val="008A5CEB"/>
    <w:rsid w:val="008A65E6"/>
    <w:rsid w:val="008A6C79"/>
    <w:rsid w:val="008A6CD1"/>
    <w:rsid w:val="008A6E04"/>
    <w:rsid w:val="008A7378"/>
    <w:rsid w:val="008A7AFD"/>
    <w:rsid w:val="008A7B16"/>
    <w:rsid w:val="008A7CD1"/>
    <w:rsid w:val="008A7EC7"/>
    <w:rsid w:val="008B0037"/>
    <w:rsid w:val="008B0296"/>
    <w:rsid w:val="008B0446"/>
    <w:rsid w:val="008B08BD"/>
    <w:rsid w:val="008B1135"/>
    <w:rsid w:val="008B14B9"/>
    <w:rsid w:val="008B1C1F"/>
    <w:rsid w:val="008B1EB3"/>
    <w:rsid w:val="008B207F"/>
    <w:rsid w:val="008B21DA"/>
    <w:rsid w:val="008B24D9"/>
    <w:rsid w:val="008B292D"/>
    <w:rsid w:val="008B2DCC"/>
    <w:rsid w:val="008B2F5E"/>
    <w:rsid w:val="008B3334"/>
    <w:rsid w:val="008B33FE"/>
    <w:rsid w:val="008B3449"/>
    <w:rsid w:val="008B35BD"/>
    <w:rsid w:val="008B37B4"/>
    <w:rsid w:val="008B3AC0"/>
    <w:rsid w:val="008B3C73"/>
    <w:rsid w:val="008B4155"/>
    <w:rsid w:val="008B429E"/>
    <w:rsid w:val="008B4436"/>
    <w:rsid w:val="008B46F8"/>
    <w:rsid w:val="008B49DF"/>
    <w:rsid w:val="008B4ECD"/>
    <w:rsid w:val="008B504E"/>
    <w:rsid w:val="008B51FE"/>
    <w:rsid w:val="008B553B"/>
    <w:rsid w:val="008B5B98"/>
    <w:rsid w:val="008B5CF4"/>
    <w:rsid w:val="008B6032"/>
    <w:rsid w:val="008B616E"/>
    <w:rsid w:val="008B631C"/>
    <w:rsid w:val="008B6A5A"/>
    <w:rsid w:val="008B6C05"/>
    <w:rsid w:val="008B6D3D"/>
    <w:rsid w:val="008B6E09"/>
    <w:rsid w:val="008B6F17"/>
    <w:rsid w:val="008B723B"/>
    <w:rsid w:val="008B7670"/>
    <w:rsid w:val="008B7BBE"/>
    <w:rsid w:val="008C0087"/>
    <w:rsid w:val="008C017C"/>
    <w:rsid w:val="008C0441"/>
    <w:rsid w:val="008C0A04"/>
    <w:rsid w:val="008C0E2F"/>
    <w:rsid w:val="008C15F9"/>
    <w:rsid w:val="008C1750"/>
    <w:rsid w:val="008C17FD"/>
    <w:rsid w:val="008C1839"/>
    <w:rsid w:val="008C1A00"/>
    <w:rsid w:val="008C1D80"/>
    <w:rsid w:val="008C2384"/>
    <w:rsid w:val="008C25B7"/>
    <w:rsid w:val="008C2D2E"/>
    <w:rsid w:val="008C316C"/>
    <w:rsid w:val="008C38EA"/>
    <w:rsid w:val="008C3A99"/>
    <w:rsid w:val="008C3C90"/>
    <w:rsid w:val="008C3F92"/>
    <w:rsid w:val="008C4892"/>
    <w:rsid w:val="008C495A"/>
    <w:rsid w:val="008C49B2"/>
    <w:rsid w:val="008C4ECC"/>
    <w:rsid w:val="008C4F6D"/>
    <w:rsid w:val="008C500D"/>
    <w:rsid w:val="008C50C8"/>
    <w:rsid w:val="008C547F"/>
    <w:rsid w:val="008C5A53"/>
    <w:rsid w:val="008C5A6B"/>
    <w:rsid w:val="008C5FF9"/>
    <w:rsid w:val="008C68FD"/>
    <w:rsid w:val="008C6D30"/>
    <w:rsid w:val="008C7584"/>
    <w:rsid w:val="008C7C67"/>
    <w:rsid w:val="008C7E41"/>
    <w:rsid w:val="008D02AB"/>
    <w:rsid w:val="008D032A"/>
    <w:rsid w:val="008D03FB"/>
    <w:rsid w:val="008D07ED"/>
    <w:rsid w:val="008D0BC4"/>
    <w:rsid w:val="008D105F"/>
    <w:rsid w:val="008D1114"/>
    <w:rsid w:val="008D1263"/>
    <w:rsid w:val="008D135E"/>
    <w:rsid w:val="008D1D4B"/>
    <w:rsid w:val="008D1F2B"/>
    <w:rsid w:val="008D1FB6"/>
    <w:rsid w:val="008D244E"/>
    <w:rsid w:val="008D24F2"/>
    <w:rsid w:val="008D24FD"/>
    <w:rsid w:val="008D25A8"/>
    <w:rsid w:val="008D2900"/>
    <w:rsid w:val="008D2A51"/>
    <w:rsid w:val="008D2A9E"/>
    <w:rsid w:val="008D2B46"/>
    <w:rsid w:val="008D2DD5"/>
    <w:rsid w:val="008D2F92"/>
    <w:rsid w:val="008D33C2"/>
    <w:rsid w:val="008D34C1"/>
    <w:rsid w:val="008D3A18"/>
    <w:rsid w:val="008D3AB9"/>
    <w:rsid w:val="008D3B13"/>
    <w:rsid w:val="008D3BB9"/>
    <w:rsid w:val="008D3D67"/>
    <w:rsid w:val="008D3F39"/>
    <w:rsid w:val="008D41DE"/>
    <w:rsid w:val="008D48E0"/>
    <w:rsid w:val="008D4A88"/>
    <w:rsid w:val="008D4D37"/>
    <w:rsid w:val="008D4EE9"/>
    <w:rsid w:val="008D51E0"/>
    <w:rsid w:val="008D5C88"/>
    <w:rsid w:val="008D5C98"/>
    <w:rsid w:val="008D5CA4"/>
    <w:rsid w:val="008D5FA0"/>
    <w:rsid w:val="008D61A9"/>
    <w:rsid w:val="008D61C3"/>
    <w:rsid w:val="008D71D9"/>
    <w:rsid w:val="008D7529"/>
    <w:rsid w:val="008E02FB"/>
    <w:rsid w:val="008E056A"/>
    <w:rsid w:val="008E0C62"/>
    <w:rsid w:val="008E1174"/>
    <w:rsid w:val="008E121F"/>
    <w:rsid w:val="008E12D9"/>
    <w:rsid w:val="008E15FE"/>
    <w:rsid w:val="008E16C7"/>
    <w:rsid w:val="008E2105"/>
    <w:rsid w:val="008E27CF"/>
    <w:rsid w:val="008E2C95"/>
    <w:rsid w:val="008E2FEF"/>
    <w:rsid w:val="008E3724"/>
    <w:rsid w:val="008E3747"/>
    <w:rsid w:val="008E4208"/>
    <w:rsid w:val="008E4790"/>
    <w:rsid w:val="008E4ACD"/>
    <w:rsid w:val="008E4BEB"/>
    <w:rsid w:val="008E4F31"/>
    <w:rsid w:val="008E5000"/>
    <w:rsid w:val="008E53DC"/>
    <w:rsid w:val="008E5739"/>
    <w:rsid w:val="008E608E"/>
    <w:rsid w:val="008E61A9"/>
    <w:rsid w:val="008E68E0"/>
    <w:rsid w:val="008E6E72"/>
    <w:rsid w:val="008E71EF"/>
    <w:rsid w:val="008E71F6"/>
    <w:rsid w:val="008E74B1"/>
    <w:rsid w:val="008E75D2"/>
    <w:rsid w:val="008E75D4"/>
    <w:rsid w:val="008E76BF"/>
    <w:rsid w:val="008E79BE"/>
    <w:rsid w:val="008F03D3"/>
    <w:rsid w:val="008F07FC"/>
    <w:rsid w:val="008F08D3"/>
    <w:rsid w:val="008F0C08"/>
    <w:rsid w:val="008F114C"/>
    <w:rsid w:val="008F16FF"/>
    <w:rsid w:val="008F18CB"/>
    <w:rsid w:val="008F20FD"/>
    <w:rsid w:val="008F22E7"/>
    <w:rsid w:val="008F24F8"/>
    <w:rsid w:val="008F2608"/>
    <w:rsid w:val="008F2F41"/>
    <w:rsid w:val="008F35FF"/>
    <w:rsid w:val="008F3B87"/>
    <w:rsid w:val="008F4451"/>
    <w:rsid w:val="008F4782"/>
    <w:rsid w:val="008F496B"/>
    <w:rsid w:val="008F4FEA"/>
    <w:rsid w:val="008F52CD"/>
    <w:rsid w:val="008F5491"/>
    <w:rsid w:val="008F5663"/>
    <w:rsid w:val="008F57D1"/>
    <w:rsid w:val="008F5A53"/>
    <w:rsid w:val="008F647C"/>
    <w:rsid w:val="008F6AC6"/>
    <w:rsid w:val="008F6F14"/>
    <w:rsid w:val="008F7228"/>
    <w:rsid w:val="008F7EAA"/>
    <w:rsid w:val="009000EB"/>
    <w:rsid w:val="00900A77"/>
    <w:rsid w:val="00900DB6"/>
    <w:rsid w:val="009021C9"/>
    <w:rsid w:val="00902294"/>
    <w:rsid w:val="009022AA"/>
    <w:rsid w:val="00902925"/>
    <w:rsid w:val="00902FE1"/>
    <w:rsid w:val="009031E1"/>
    <w:rsid w:val="009036C6"/>
    <w:rsid w:val="00903A44"/>
    <w:rsid w:val="00903A83"/>
    <w:rsid w:val="00903F55"/>
    <w:rsid w:val="00904142"/>
    <w:rsid w:val="009046A9"/>
    <w:rsid w:val="009046C2"/>
    <w:rsid w:val="00904872"/>
    <w:rsid w:val="009049FF"/>
    <w:rsid w:val="00904BBC"/>
    <w:rsid w:val="00904D11"/>
    <w:rsid w:val="00904E3A"/>
    <w:rsid w:val="00905200"/>
    <w:rsid w:val="009053B9"/>
    <w:rsid w:val="009056B9"/>
    <w:rsid w:val="009057ED"/>
    <w:rsid w:val="00905B87"/>
    <w:rsid w:val="00905EE2"/>
    <w:rsid w:val="00905F16"/>
    <w:rsid w:val="009060AC"/>
    <w:rsid w:val="00906266"/>
    <w:rsid w:val="00907AE0"/>
    <w:rsid w:val="00910000"/>
    <w:rsid w:val="00910040"/>
    <w:rsid w:val="00910337"/>
    <w:rsid w:val="0091033A"/>
    <w:rsid w:val="0091059D"/>
    <w:rsid w:val="00911086"/>
    <w:rsid w:val="0091121A"/>
    <w:rsid w:val="00911270"/>
    <w:rsid w:val="0091128A"/>
    <w:rsid w:val="00911572"/>
    <w:rsid w:val="009118AE"/>
    <w:rsid w:val="0091190F"/>
    <w:rsid w:val="0091235F"/>
    <w:rsid w:val="009123CF"/>
    <w:rsid w:val="00912748"/>
    <w:rsid w:val="00912839"/>
    <w:rsid w:val="00912CB5"/>
    <w:rsid w:val="00912FEA"/>
    <w:rsid w:val="00912FF7"/>
    <w:rsid w:val="00913397"/>
    <w:rsid w:val="0091377A"/>
    <w:rsid w:val="009138EF"/>
    <w:rsid w:val="00913B93"/>
    <w:rsid w:val="00914022"/>
    <w:rsid w:val="0091450E"/>
    <w:rsid w:val="009145B0"/>
    <w:rsid w:val="0091480C"/>
    <w:rsid w:val="00914A39"/>
    <w:rsid w:val="00915650"/>
    <w:rsid w:val="00915E66"/>
    <w:rsid w:val="0091662F"/>
    <w:rsid w:val="0091680D"/>
    <w:rsid w:val="00916F8B"/>
    <w:rsid w:val="009171B0"/>
    <w:rsid w:val="0091725E"/>
    <w:rsid w:val="0091765A"/>
    <w:rsid w:val="00917829"/>
    <w:rsid w:val="00917A13"/>
    <w:rsid w:val="0092097F"/>
    <w:rsid w:val="00920D98"/>
    <w:rsid w:val="00920F06"/>
    <w:rsid w:val="00920F85"/>
    <w:rsid w:val="00921048"/>
    <w:rsid w:val="009212A1"/>
    <w:rsid w:val="0092192A"/>
    <w:rsid w:val="00921A65"/>
    <w:rsid w:val="00921C15"/>
    <w:rsid w:val="00921EF0"/>
    <w:rsid w:val="009222AD"/>
    <w:rsid w:val="009224AE"/>
    <w:rsid w:val="009226BD"/>
    <w:rsid w:val="009228FB"/>
    <w:rsid w:val="00922A29"/>
    <w:rsid w:val="00922C9F"/>
    <w:rsid w:val="00923206"/>
    <w:rsid w:val="009232B3"/>
    <w:rsid w:val="00923617"/>
    <w:rsid w:val="00923779"/>
    <w:rsid w:val="00924882"/>
    <w:rsid w:val="009249C4"/>
    <w:rsid w:val="00924A4F"/>
    <w:rsid w:val="00925138"/>
    <w:rsid w:val="009251E3"/>
    <w:rsid w:val="00925455"/>
    <w:rsid w:val="009256C4"/>
    <w:rsid w:val="00925871"/>
    <w:rsid w:val="00925A42"/>
    <w:rsid w:val="00925DB1"/>
    <w:rsid w:val="0092676D"/>
    <w:rsid w:val="00926E21"/>
    <w:rsid w:val="009275D4"/>
    <w:rsid w:val="00927617"/>
    <w:rsid w:val="00927788"/>
    <w:rsid w:val="009278F0"/>
    <w:rsid w:val="00927A05"/>
    <w:rsid w:val="00927BB6"/>
    <w:rsid w:val="00927FDB"/>
    <w:rsid w:val="0093001A"/>
    <w:rsid w:val="0093043E"/>
    <w:rsid w:val="00930824"/>
    <w:rsid w:val="00930AFB"/>
    <w:rsid w:val="00930D51"/>
    <w:rsid w:val="00930D64"/>
    <w:rsid w:val="00930E3F"/>
    <w:rsid w:val="00931517"/>
    <w:rsid w:val="00931704"/>
    <w:rsid w:val="00931F2C"/>
    <w:rsid w:val="00931F6C"/>
    <w:rsid w:val="009321A4"/>
    <w:rsid w:val="0093224C"/>
    <w:rsid w:val="009327E7"/>
    <w:rsid w:val="00932843"/>
    <w:rsid w:val="00932C3D"/>
    <w:rsid w:val="00932EBF"/>
    <w:rsid w:val="00933027"/>
    <w:rsid w:val="00933748"/>
    <w:rsid w:val="009338FA"/>
    <w:rsid w:val="00933D3B"/>
    <w:rsid w:val="0093413C"/>
    <w:rsid w:val="00934303"/>
    <w:rsid w:val="009345DF"/>
    <w:rsid w:val="0093460C"/>
    <w:rsid w:val="00934881"/>
    <w:rsid w:val="0093489F"/>
    <w:rsid w:val="00934D75"/>
    <w:rsid w:val="00934DC9"/>
    <w:rsid w:val="0093515F"/>
    <w:rsid w:val="009353CC"/>
    <w:rsid w:val="00935794"/>
    <w:rsid w:val="009368A8"/>
    <w:rsid w:val="00936BBA"/>
    <w:rsid w:val="00936D9C"/>
    <w:rsid w:val="00936FA8"/>
    <w:rsid w:val="00937426"/>
    <w:rsid w:val="0093768D"/>
    <w:rsid w:val="00937903"/>
    <w:rsid w:val="00937D8E"/>
    <w:rsid w:val="00937F5B"/>
    <w:rsid w:val="00937FD7"/>
    <w:rsid w:val="0094032F"/>
    <w:rsid w:val="009403E4"/>
    <w:rsid w:val="0094043B"/>
    <w:rsid w:val="00940CA5"/>
    <w:rsid w:val="00940D3B"/>
    <w:rsid w:val="00940E27"/>
    <w:rsid w:val="009416AD"/>
    <w:rsid w:val="0094192F"/>
    <w:rsid w:val="00941B13"/>
    <w:rsid w:val="00941B28"/>
    <w:rsid w:val="00941B32"/>
    <w:rsid w:val="00941C92"/>
    <w:rsid w:val="00941CBE"/>
    <w:rsid w:val="00941CEF"/>
    <w:rsid w:val="0094247C"/>
    <w:rsid w:val="009425F8"/>
    <w:rsid w:val="0094269C"/>
    <w:rsid w:val="009426BB"/>
    <w:rsid w:val="00942D0C"/>
    <w:rsid w:val="009433C2"/>
    <w:rsid w:val="0094366A"/>
    <w:rsid w:val="009437E5"/>
    <w:rsid w:val="00943886"/>
    <w:rsid w:val="00943965"/>
    <w:rsid w:val="00943ECB"/>
    <w:rsid w:val="00943F89"/>
    <w:rsid w:val="0094442F"/>
    <w:rsid w:val="009450DC"/>
    <w:rsid w:val="009453D6"/>
    <w:rsid w:val="00945662"/>
    <w:rsid w:val="00945822"/>
    <w:rsid w:val="00945960"/>
    <w:rsid w:val="00945B8B"/>
    <w:rsid w:val="0094634E"/>
    <w:rsid w:val="009468AB"/>
    <w:rsid w:val="00946D0B"/>
    <w:rsid w:val="00947123"/>
    <w:rsid w:val="009474AC"/>
    <w:rsid w:val="009476C7"/>
    <w:rsid w:val="00947DE8"/>
    <w:rsid w:val="00947EED"/>
    <w:rsid w:val="009505A1"/>
    <w:rsid w:val="00950739"/>
    <w:rsid w:val="009507A1"/>
    <w:rsid w:val="009508AC"/>
    <w:rsid w:val="00950A21"/>
    <w:rsid w:val="009514DF"/>
    <w:rsid w:val="009516EA"/>
    <w:rsid w:val="00951FE1"/>
    <w:rsid w:val="009522B1"/>
    <w:rsid w:val="009525F3"/>
    <w:rsid w:val="009526A0"/>
    <w:rsid w:val="00952CE3"/>
    <w:rsid w:val="0095357E"/>
    <w:rsid w:val="00953719"/>
    <w:rsid w:val="00953A70"/>
    <w:rsid w:val="00953ABB"/>
    <w:rsid w:val="00953DCC"/>
    <w:rsid w:val="00953F65"/>
    <w:rsid w:val="00954A0D"/>
    <w:rsid w:val="00954BDB"/>
    <w:rsid w:val="00954C9C"/>
    <w:rsid w:val="00955414"/>
    <w:rsid w:val="00955769"/>
    <w:rsid w:val="00955888"/>
    <w:rsid w:val="00955A97"/>
    <w:rsid w:val="00955B5A"/>
    <w:rsid w:val="00955D67"/>
    <w:rsid w:val="009560B5"/>
    <w:rsid w:val="009560B7"/>
    <w:rsid w:val="00956123"/>
    <w:rsid w:val="009561E0"/>
    <w:rsid w:val="00956350"/>
    <w:rsid w:val="00956F83"/>
    <w:rsid w:val="0095717A"/>
    <w:rsid w:val="0095738F"/>
    <w:rsid w:val="009576B9"/>
    <w:rsid w:val="00957A01"/>
    <w:rsid w:val="00957EF9"/>
    <w:rsid w:val="00960062"/>
    <w:rsid w:val="0096020D"/>
    <w:rsid w:val="009604D6"/>
    <w:rsid w:val="009604EC"/>
    <w:rsid w:val="0096077C"/>
    <w:rsid w:val="009608B4"/>
    <w:rsid w:val="00960A44"/>
    <w:rsid w:val="00960A47"/>
    <w:rsid w:val="00960FB7"/>
    <w:rsid w:val="0096112A"/>
    <w:rsid w:val="00961291"/>
    <w:rsid w:val="0096141A"/>
    <w:rsid w:val="00961664"/>
    <w:rsid w:val="00961781"/>
    <w:rsid w:val="009619A2"/>
    <w:rsid w:val="00961A9C"/>
    <w:rsid w:val="00961CF6"/>
    <w:rsid w:val="00961E3C"/>
    <w:rsid w:val="00961FC4"/>
    <w:rsid w:val="009621CF"/>
    <w:rsid w:val="0096230E"/>
    <w:rsid w:val="00962423"/>
    <w:rsid w:val="00962507"/>
    <w:rsid w:val="0096259B"/>
    <w:rsid w:val="009633E7"/>
    <w:rsid w:val="009638FB"/>
    <w:rsid w:val="00963984"/>
    <w:rsid w:val="009639C2"/>
    <w:rsid w:val="00963EA7"/>
    <w:rsid w:val="00963EE2"/>
    <w:rsid w:val="00964036"/>
    <w:rsid w:val="009640BA"/>
    <w:rsid w:val="009642E4"/>
    <w:rsid w:val="00964C0F"/>
    <w:rsid w:val="00964E14"/>
    <w:rsid w:val="00964E48"/>
    <w:rsid w:val="009650C4"/>
    <w:rsid w:val="00965398"/>
    <w:rsid w:val="009653C6"/>
    <w:rsid w:val="00965A3D"/>
    <w:rsid w:val="00965BF3"/>
    <w:rsid w:val="00965C98"/>
    <w:rsid w:val="00965FA4"/>
    <w:rsid w:val="0096625A"/>
    <w:rsid w:val="009662D0"/>
    <w:rsid w:val="00966CC8"/>
    <w:rsid w:val="00966E0E"/>
    <w:rsid w:val="00967208"/>
    <w:rsid w:val="009673BE"/>
    <w:rsid w:val="00967612"/>
    <w:rsid w:val="00967B51"/>
    <w:rsid w:val="00967C9D"/>
    <w:rsid w:val="00967DA6"/>
    <w:rsid w:val="00970452"/>
    <w:rsid w:val="00970638"/>
    <w:rsid w:val="009707E4"/>
    <w:rsid w:val="00970EC9"/>
    <w:rsid w:val="009716EF"/>
    <w:rsid w:val="00971772"/>
    <w:rsid w:val="00971A95"/>
    <w:rsid w:val="00971C3B"/>
    <w:rsid w:val="00971E4A"/>
    <w:rsid w:val="00972096"/>
    <w:rsid w:val="00972522"/>
    <w:rsid w:val="0097277E"/>
    <w:rsid w:val="00972AC6"/>
    <w:rsid w:val="00972AEB"/>
    <w:rsid w:val="009734CD"/>
    <w:rsid w:val="00974073"/>
    <w:rsid w:val="009742B9"/>
    <w:rsid w:val="00974325"/>
    <w:rsid w:val="0097451B"/>
    <w:rsid w:val="009745E0"/>
    <w:rsid w:val="009748A0"/>
    <w:rsid w:val="00974A65"/>
    <w:rsid w:val="00974A8B"/>
    <w:rsid w:val="00974D3A"/>
    <w:rsid w:val="0097544F"/>
    <w:rsid w:val="00975598"/>
    <w:rsid w:val="009757EB"/>
    <w:rsid w:val="00975C4C"/>
    <w:rsid w:val="00975CB6"/>
    <w:rsid w:val="0097612E"/>
    <w:rsid w:val="00976429"/>
    <w:rsid w:val="00976B2C"/>
    <w:rsid w:val="00976D32"/>
    <w:rsid w:val="00976EFB"/>
    <w:rsid w:val="00977214"/>
    <w:rsid w:val="00977316"/>
    <w:rsid w:val="009773F0"/>
    <w:rsid w:val="009774E9"/>
    <w:rsid w:val="009775D5"/>
    <w:rsid w:val="00977603"/>
    <w:rsid w:val="00977E24"/>
    <w:rsid w:val="009800EA"/>
    <w:rsid w:val="009802EF"/>
    <w:rsid w:val="0098050F"/>
    <w:rsid w:val="009805BE"/>
    <w:rsid w:val="00980A27"/>
    <w:rsid w:val="00980D5E"/>
    <w:rsid w:val="00981079"/>
    <w:rsid w:val="00981185"/>
    <w:rsid w:val="0098185A"/>
    <w:rsid w:val="00981BDC"/>
    <w:rsid w:val="00981D0B"/>
    <w:rsid w:val="00981D16"/>
    <w:rsid w:val="0098232F"/>
    <w:rsid w:val="009828E2"/>
    <w:rsid w:val="0098311E"/>
    <w:rsid w:val="009831F9"/>
    <w:rsid w:val="00983400"/>
    <w:rsid w:val="009838BA"/>
    <w:rsid w:val="00983A6B"/>
    <w:rsid w:val="00984065"/>
    <w:rsid w:val="00984100"/>
    <w:rsid w:val="0098425E"/>
    <w:rsid w:val="0098447D"/>
    <w:rsid w:val="00984513"/>
    <w:rsid w:val="009845CB"/>
    <w:rsid w:val="00984F55"/>
    <w:rsid w:val="0098529E"/>
    <w:rsid w:val="0098566B"/>
    <w:rsid w:val="009856BD"/>
    <w:rsid w:val="0098576B"/>
    <w:rsid w:val="009857A5"/>
    <w:rsid w:val="00985D8E"/>
    <w:rsid w:val="00985E09"/>
    <w:rsid w:val="00985FDA"/>
    <w:rsid w:val="00986336"/>
    <w:rsid w:val="0098656A"/>
    <w:rsid w:val="00986AED"/>
    <w:rsid w:val="00986CB7"/>
    <w:rsid w:val="009870FA"/>
    <w:rsid w:val="009872D9"/>
    <w:rsid w:val="00987411"/>
    <w:rsid w:val="009875C8"/>
    <w:rsid w:val="009878C1"/>
    <w:rsid w:val="00987B4C"/>
    <w:rsid w:val="00987E3B"/>
    <w:rsid w:val="00987E66"/>
    <w:rsid w:val="00987FFB"/>
    <w:rsid w:val="009901F4"/>
    <w:rsid w:val="0099053E"/>
    <w:rsid w:val="0099076A"/>
    <w:rsid w:val="009907FB"/>
    <w:rsid w:val="0099086C"/>
    <w:rsid w:val="00990A89"/>
    <w:rsid w:val="00990D0B"/>
    <w:rsid w:val="00990FAB"/>
    <w:rsid w:val="00990FD9"/>
    <w:rsid w:val="00991223"/>
    <w:rsid w:val="00992344"/>
    <w:rsid w:val="00992C9A"/>
    <w:rsid w:val="00992DE8"/>
    <w:rsid w:val="0099305F"/>
    <w:rsid w:val="009931CC"/>
    <w:rsid w:val="009932E0"/>
    <w:rsid w:val="00993A79"/>
    <w:rsid w:val="00993C19"/>
    <w:rsid w:val="00993D5F"/>
    <w:rsid w:val="009943FC"/>
    <w:rsid w:val="0099444F"/>
    <w:rsid w:val="009945DB"/>
    <w:rsid w:val="00994952"/>
    <w:rsid w:val="00994ECD"/>
    <w:rsid w:val="009955C3"/>
    <w:rsid w:val="00995F5B"/>
    <w:rsid w:val="00995FCB"/>
    <w:rsid w:val="00996159"/>
    <w:rsid w:val="00996251"/>
    <w:rsid w:val="009962F2"/>
    <w:rsid w:val="009964FB"/>
    <w:rsid w:val="009965B4"/>
    <w:rsid w:val="00996647"/>
    <w:rsid w:val="009966E8"/>
    <w:rsid w:val="009968B4"/>
    <w:rsid w:val="00996B26"/>
    <w:rsid w:val="00997247"/>
    <w:rsid w:val="0099741C"/>
    <w:rsid w:val="009974AE"/>
    <w:rsid w:val="00997555"/>
    <w:rsid w:val="00997640"/>
    <w:rsid w:val="0099776E"/>
    <w:rsid w:val="00997BF4"/>
    <w:rsid w:val="00997D92"/>
    <w:rsid w:val="00997EBB"/>
    <w:rsid w:val="009A025F"/>
    <w:rsid w:val="009A038C"/>
    <w:rsid w:val="009A0C68"/>
    <w:rsid w:val="009A1005"/>
    <w:rsid w:val="009A10F4"/>
    <w:rsid w:val="009A11D7"/>
    <w:rsid w:val="009A14CC"/>
    <w:rsid w:val="009A1844"/>
    <w:rsid w:val="009A18B5"/>
    <w:rsid w:val="009A1BB8"/>
    <w:rsid w:val="009A2011"/>
    <w:rsid w:val="009A2020"/>
    <w:rsid w:val="009A262F"/>
    <w:rsid w:val="009A28F7"/>
    <w:rsid w:val="009A2CAF"/>
    <w:rsid w:val="009A2D15"/>
    <w:rsid w:val="009A3394"/>
    <w:rsid w:val="009A372A"/>
    <w:rsid w:val="009A4728"/>
    <w:rsid w:val="009A47F0"/>
    <w:rsid w:val="009A4F85"/>
    <w:rsid w:val="009A509D"/>
    <w:rsid w:val="009A5471"/>
    <w:rsid w:val="009A5559"/>
    <w:rsid w:val="009A5560"/>
    <w:rsid w:val="009A5660"/>
    <w:rsid w:val="009A5828"/>
    <w:rsid w:val="009A5936"/>
    <w:rsid w:val="009A5CAB"/>
    <w:rsid w:val="009A5CB2"/>
    <w:rsid w:val="009A5DD5"/>
    <w:rsid w:val="009A5E7A"/>
    <w:rsid w:val="009A60C5"/>
    <w:rsid w:val="009A63B0"/>
    <w:rsid w:val="009A6464"/>
    <w:rsid w:val="009A6801"/>
    <w:rsid w:val="009A6C2D"/>
    <w:rsid w:val="009A6DC0"/>
    <w:rsid w:val="009A6FC2"/>
    <w:rsid w:val="009A708F"/>
    <w:rsid w:val="009A7E5B"/>
    <w:rsid w:val="009A7F06"/>
    <w:rsid w:val="009B0725"/>
    <w:rsid w:val="009B0803"/>
    <w:rsid w:val="009B0824"/>
    <w:rsid w:val="009B08CB"/>
    <w:rsid w:val="009B1308"/>
    <w:rsid w:val="009B13E1"/>
    <w:rsid w:val="009B166C"/>
    <w:rsid w:val="009B17E7"/>
    <w:rsid w:val="009B1BB2"/>
    <w:rsid w:val="009B1D5E"/>
    <w:rsid w:val="009B20C1"/>
    <w:rsid w:val="009B2443"/>
    <w:rsid w:val="009B2567"/>
    <w:rsid w:val="009B280D"/>
    <w:rsid w:val="009B34AD"/>
    <w:rsid w:val="009B445A"/>
    <w:rsid w:val="009B46B8"/>
    <w:rsid w:val="009B4732"/>
    <w:rsid w:val="009B4CFB"/>
    <w:rsid w:val="009B52F2"/>
    <w:rsid w:val="009B54BA"/>
    <w:rsid w:val="009B5C0D"/>
    <w:rsid w:val="009B5DD3"/>
    <w:rsid w:val="009B5FC3"/>
    <w:rsid w:val="009B60C0"/>
    <w:rsid w:val="009B62B2"/>
    <w:rsid w:val="009B6345"/>
    <w:rsid w:val="009B6426"/>
    <w:rsid w:val="009B674A"/>
    <w:rsid w:val="009B68C5"/>
    <w:rsid w:val="009B6FC9"/>
    <w:rsid w:val="009B706A"/>
    <w:rsid w:val="009B7188"/>
    <w:rsid w:val="009B77A4"/>
    <w:rsid w:val="009B7851"/>
    <w:rsid w:val="009B7FDB"/>
    <w:rsid w:val="009C035F"/>
    <w:rsid w:val="009C0816"/>
    <w:rsid w:val="009C0888"/>
    <w:rsid w:val="009C0A3D"/>
    <w:rsid w:val="009C0D60"/>
    <w:rsid w:val="009C0E37"/>
    <w:rsid w:val="009C1036"/>
    <w:rsid w:val="009C112C"/>
    <w:rsid w:val="009C1477"/>
    <w:rsid w:val="009C1720"/>
    <w:rsid w:val="009C1F5B"/>
    <w:rsid w:val="009C27DC"/>
    <w:rsid w:val="009C2C92"/>
    <w:rsid w:val="009C2DCB"/>
    <w:rsid w:val="009C31D5"/>
    <w:rsid w:val="009C383D"/>
    <w:rsid w:val="009C39AE"/>
    <w:rsid w:val="009C3A12"/>
    <w:rsid w:val="009C3CAD"/>
    <w:rsid w:val="009C3CDD"/>
    <w:rsid w:val="009C438C"/>
    <w:rsid w:val="009C440E"/>
    <w:rsid w:val="009C4461"/>
    <w:rsid w:val="009C44DC"/>
    <w:rsid w:val="009C45FA"/>
    <w:rsid w:val="009C46FC"/>
    <w:rsid w:val="009C4B84"/>
    <w:rsid w:val="009C4EC8"/>
    <w:rsid w:val="009C5B4B"/>
    <w:rsid w:val="009C5BD3"/>
    <w:rsid w:val="009C5C68"/>
    <w:rsid w:val="009C5DFB"/>
    <w:rsid w:val="009C5E4A"/>
    <w:rsid w:val="009C6319"/>
    <w:rsid w:val="009C6664"/>
    <w:rsid w:val="009C66BF"/>
    <w:rsid w:val="009C673F"/>
    <w:rsid w:val="009C6A68"/>
    <w:rsid w:val="009C6ABA"/>
    <w:rsid w:val="009C6B47"/>
    <w:rsid w:val="009C6CAA"/>
    <w:rsid w:val="009C7120"/>
    <w:rsid w:val="009C71DD"/>
    <w:rsid w:val="009C7291"/>
    <w:rsid w:val="009C746F"/>
    <w:rsid w:val="009C756B"/>
    <w:rsid w:val="009C7944"/>
    <w:rsid w:val="009C7D42"/>
    <w:rsid w:val="009C7D44"/>
    <w:rsid w:val="009D12E7"/>
    <w:rsid w:val="009D27A7"/>
    <w:rsid w:val="009D2DB8"/>
    <w:rsid w:val="009D2E3D"/>
    <w:rsid w:val="009D3025"/>
    <w:rsid w:val="009D32CD"/>
    <w:rsid w:val="009D360F"/>
    <w:rsid w:val="009D373E"/>
    <w:rsid w:val="009D37D7"/>
    <w:rsid w:val="009D3954"/>
    <w:rsid w:val="009D3C69"/>
    <w:rsid w:val="009D3C9F"/>
    <w:rsid w:val="009D3E8E"/>
    <w:rsid w:val="009D425A"/>
    <w:rsid w:val="009D473C"/>
    <w:rsid w:val="009D4EEB"/>
    <w:rsid w:val="009D4F33"/>
    <w:rsid w:val="009D5597"/>
    <w:rsid w:val="009D5848"/>
    <w:rsid w:val="009D5A40"/>
    <w:rsid w:val="009D5DBF"/>
    <w:rsid w:val="009D614B"/>
    <w:rsid w:val="009D6251"/>
    <w:rsid w:val="009D62B3"/>
    <w:rsid w:val="009D6638"/>
    <w:rsid w:val="009D6723"/>
    <w:rsid w:val="009D686F"/>
    <w:rsid w:val="009D69B7"/>
    <w:rsid w:val="009D6AAB"/>
    <w:rsid w:val="009D6C41"/>
    <w:rsid w:val="009D715F"/>
    <w:rsid w:val="009D73BA"/>
    <w:rsid w:val="009D73C0"/>
    <w:rsid w:val="009D74F6"/>
    <w:rsid w:val="009D75FF"/>
    <w:rsid w:val="009E0233"/>
    <w:rsid w:val="009E039A"/>
    <w:rsid w:val="009E05BD"/>
    <w:rsid w:val="009E0603"/>
    <w:rsid w:val="009E0FFA"/>
    <w:rsid w:val="009E10CD"/>
    <w:rsid w:val="009E11C7"/>
    <w:rsid w:val="009E12AC"/>
    <w:rsid w:val="009E1741"/>
    <w:rsid w:val="009E18F6"/>
    <w:rsid w:val="009E1A74"/>
    <w:rsid w:val="009E1ADA"/>
    <w:rsid w:val="009E2096"/>
    <w:rsid w:val="009E225E"/>
    <w:rsid w:val="009E2A2B"/>
    <w:rsid w:val="009E3662"/>
    <w:rsid w:val="009E3C97"/>
    <w:rsid w:val="009E40AC"/>
    <w:rsid w:val="009E410D"/>
    <w:rsid w:val="009E46CC"/>
    <w:rsid w:val="009E47A2"/>
    <w:rsid w:val="009E53FE"/>
    <w:rsid w:val="009E5852"/>
    <w:rsid w:val="009E5A53"/>
    <w:rsid w:val="009E5B59"/>
    <w:rsid w:val="009E5B70"/>
    <w:rsid w:val="009E5C75"/>
    <w:rsid w:val="009E6318"/>
    <w:rsid w:val="009E64FC"/>
    <w:rsid w:val="009E65D3"/>
    <w:rsid w:val="009E6CED"/>
    <w:rsid w:val="009E6FC8"/>
    <w:rsid w:val="009E710D"/>
    <w:rsid w:val="009E72F9"/>
    <w:rsid w:val="009E783F"/>
    <w:rsid w:val="009E7A4C"/>
    <w:rsid w:val="009E7D60"/>
    <w:rsid w:val="009F0232"/>
    <w:rsid w:val="009F04DA"/>
    <w:rsid w:val="009F0594"/>
    <w:rsid w:val="009F06B9"/>
    <w:rsid w:val="009F0C8F"/>
    <w:rsid w:val="009F13A9"/>
    <w:rsid w:val="009F147D"/>
    <w:rsid w:val="009F2158"/>
    <w:rsid w:val="009F2165"/>
    <w:rsid w:val="009F27DC"/>
    <w:rsid w:val="009F2C72"/>
    <w:rsid w:val="009F3122"/>
    <w:rsid w:val="009F31CD"/>
    <w:rsid w:val="009F336C"/>
    <w:rsid w:val="009F3504"/>
    <w:rsid w:val="009F3E02"/>
    <w:rsid w:val="009F40F0"/>
    <w:rsid w:val="009F41E6"/>
    <w:rsid w:val="009F43AC"/>
    <w:rsid w:val="009F440D"/>
    <w:rsid w:val="009F4D77"/>
    <w:rsid w:val="009F5185"/>
    <w:rsid w:val="009F56F6"/>
    <w:rsid w:val="009F579E"/>
    <w:rsid w:val="009F59B7"/>
    <w:rsid w:val="009F59F4"/>
    <w:rsid w:val="009F6137"/>
    <w:rsid w:val="009F6265"/>
    <w:rsid w:val="009F62A8"/>
    <w:rsid w:val="009F64D5"/>
    <w:rsid w:val="009F689C"/>
    <w:rsid w:val="009F6C1E"/>
    <w:rsid w:val="009F70FD"/>
    <w:rsid w:val="009F72EB"/>
    <w:rsid w:val="009F7585"/>
    <w:rsid w:val="009F75CD"/>
    <w:rsid w:val="009F7769"/>
    <w:rsid w:val="009F78C0"/>
    <w:rsid w:val="009F796D"/>
    <w:rsid w:val="009F7B3C"/>
    <w:rsid w:val="009F7E0E"/>
    <w:rsid w:val="009F7EB8"/>
    <w:rsid w:val="00A002C8"/>
    <w:rsid w:val="00A003A1"/>
    <w:rsid w:val="00A003F9"/>
    <w:rsid w:val="00A0044B"/>
    <w:rsid w:val="00A006B3"/>
    <w:rsid w:val="00A0086B"/>
    <w:rsid w:val="00A009E8"/>
    <w:rsid w:val="00A0148F"/>
    <w:rsid w:val="00A0183F"/>
    <w:rsid w:val="00A01AB3"/>
    <w:rsid w:val="00A01ADC"/>
    <w:rsid w:val="00A01CF0"/>
    <w:rsid w:val="00A02080"/>
    <w:rsid w:val="00A020BB"/>
    <w:rsid w:val="00A0211C"/>
    <w:rsid w:val="00A02A0A"/>
    <w:rsid w:val="00A02D43"/>
    <w:rsid w:val="00A02FC4"/>
    <w:rsid w:val="00A031E1"/>
    <w:rsid w:val="00A0327C"/>
    <w:rsid w:val="00A03765"/>
    <w:rsid w:val="00A03A66"/>
    <w:rsid w:val="00A040EE"/>
    <w:rsid w:val="00A04278"/>
    <w:rsid w:val="00A042E0"/>
    <w:rsid w:val="00A043C0"/>
    <w:rsid w:val="00A0485F"/>
    <w:rsid w:val="00A04AC3"/>
    <w:rsid w:val="00A04EB4"/>
    <w:rsid w:val="00A05189"/>
    <w:rsid w:val="00A0545C"/>
    <w:rsid w:val="00A0548F"/>
    <w:rsid w:val="00A058A2"/>
    <w:rsid w:val="00A059B5"/>
    <w:rsid w:val="00A05BAC"/>
    <w:rsid w:val="00A05C2E"/>
    <w:rsid w:val="00A064FC"/>
    <w:rsid w:val="00A066CC"/>
    <w:rsid w:val="00A0683F"/>
    <w:rsid w:val="00A06AE4"/>
    <w:rsid w:val="00A0731F"/>
    <w:rsid w:val="00A0747B"/>
    <w:rsid w:val="00A07575"/>
    <w:rsid w:val="00A07955"/>
    <w:rsid w:val="00A07D32"/>
    <w:rsid w:val="00A07D63"/>
    <w:rsid w:val="00A07E1B"/>
    <w:rsid w:val="00A07FFB"/>
    <w:rsid w:val="00A100A8"/>
    <w:rsid w:val="00A105CC"/>
    <w:rsid w:val="00A1069B"/>
    <w:rsid w:val="00A10895"/>
    <w:rsid w:val="00A10B04"/>
    <w:rsid w:val="00A10B69"/>
    <w:rsid w:val="00A10B9A"/>
    <w:rsid w:val="00A10E5F"/>
    <w:rsid w:val="00A112C5"/>
    <w:rsid w:val="00A112FD"/>
    <w:rsid w:val="00A1132B"/>
    <w:rsid w:val="00A11767"/>
    <w:rsid w:val="00A1183A"/>
    <w:rsid w:val="00A12274"/>
    <w:rsid w:val="00A126EE"/>
    <w:rsid w:val="00A12E39"/>
    <w:rsid w:val="00A13BB5"/>
    <w:rsid w:val="00A13C61"/>
    <w:rsid w:val="00A13D0A"/>
    <w:rsid w:val="00A14148"/>
    <w:rsid w:val="00A142C0"/>
    <w:rsid w:val="00A1445F"/>
    <w:rsid w:val="00A147DF"/>
    <w:rsid w:val="00A14FC4"/>
    <w:rsid w:val="00A150C4"/>
    <w:rsid w:val="00A150EE"/>
    <w:rsid w:val="00A15125"/>
    <w:rsid w:val="00A152E1"/>
    <w:rsid w:val="00A15502"/>
    <w:rsid w:val="00A157ED"/>
    <w:rsid w:val="00A15BA3"/>
    <w:rsid w:val="00A16372"/>
    <w:rsid w:val="00A16580"/>
    <w:rsid w:val="00A168B6"/>
    <w:rsid w:val="00A16AD8"/>
    <w:rsid w:val="00A16CA5"/>
    <w:rsid w:val="00A16D98"/>
    <w:rsid w:val="00A16ED6"/>
    <w:rsid w:val="00A16FBE"/>
    <w:rsid w:val="00A1720F"/>
    <w:rsid w:val="00A17220"/>
    <w:rsid w:val="00A1764D"/>
    <w:rsid w:val="00A1766A"/>
    <w:rsid w:val="00A1773D"/>
    <w:rsid w:val="00A1799E"/>
    <w:rsid w:val="00A17C57"/>
    <w:rsid w:val="00A17DB9"/>
    <w:rsid w:val="00A204E0"/>
    <w:rsid w:val="00A208B2"/>
    <w:rsid w:val="00A213D2"/>
    <w:rsid w:val="00A213E0"/>
    <w:rsid w:val="00A21A42"/>
    <w:rsid w:val="00A21C19"/>
    <w:rsid w:val="00A21D35"/>
    <w:rsid w:val="00A21E89"/>
    <w:rsid w:val="00A22262"/>
    <w:rsid w:val="00A22C3B"/>
    <w:rsid w:val="00A2322E"/>
    <w:rsid w:val="00A23577"/>
    <w:rsid w:val="00A236B6"/>
    <w:rsid w:val="00A2392C"/>
    <w:rsid w:val="00A23985"/>
    <w:rsid w:val="00A23CF3"/>
    <w:rsid w:val="00A23F46"/>
    <w:rsid w:val="00A241B4"/>
    <w:rsid w:val="00A245D6"/>
    <w:rsid w:val="00A2460F"/>
    <w:rsid w:val="00A2462C"/>
    <w:rsid w:val="00A2468A"/>
    <w:rsid w:val="00A25279"/>
    <w:rsid w:val="00A252AB"/>
    <w:rsid w:val="00A255B4"/>
    <w:rsid w:val="00A256D5"/>
    <w:rsid w:val="00A257CB"/>
    <w:rsid w:val="00A25953"/>
    <w:rsid w:val="00A25972"/>
    <w:rsid w:val="00A25A55"/>
    <w:rsid w:val="00A25DBA"/>
    <w:rsid w:val="00A26514"/>
    <w:rsid w:val="00A266F2"/>
    <w:rsid w:val="00A26A9E"/>
    <w:rsid w:val="00A26FE1"/>
    <w:rsid w:val="00A26FE6"/>
    <w:rsid w:val="00A272C6"/>
    <w:rsid w:val="00A27318"/>
    <w:rsid w:val="00A2739C"/>
    <w:rsid w:val="00A2759A"/>
    <w:rsid w:val="00A276D6"/>
    <w:rsid w:val="00A27975"/>
    <w:rsid w:val="00A27B75"/>
    <w:rsid w:val="00A27EFA"/>
    <w:rsid w:val="00A30218"/>
    <w:rsid w:val="00A302B8"/>
    <w:rsid w:val="00A30498"/>
    <w:rsid w:val="00A30E9E"/>
    <w:rsid w:val="00A30F36"/>
    <w:rsid w:val="00A3106F"/>
    <w:rsid w:val="00A31765"/>
    <w:rsid w:val="00A31819"/>
    <w:rsid w:val="00A31F71"/>
    <w:rsid w:val="00A32566"/>
    <w:rsid w:val="00A32B0C"/>
    <w:rsid w:val="00A32D15"/>
    <w:rsid w:val="00A33114"/>
    <w:rsid w:val="00A331D5"/>
    <w:rsid w:val="00A333BA"/>
    <w:rsid w:val="00A33576"/>
    <w:rsid w:val="00A335D0"/>
    <w:rsid w:val="00A3363D"/>
    <w:rsid w:val="00A3373C"/>
    <w:rsid w:val="00A3444C"/>
    <w:rsid w:val="00A34723"/>
    <w:rsid w:val="00A34881"/>
    <w:rsid w:val="00A34F87"/>
    <w:rsid w:val="00A35686"/>
    <w:rsid w:val="00A358FA"/>
    <w:rsid w:val="00A35907"/>
    <w:rsid w:val="00A3590D"/>
    <w:rsid w:val="00A35931"/>
    <w:rsid w:val="00A35A5C"/>
    <w:rsid w:val="00A35A7B"/>
    <w:rsid w:val="00A35B68"/>
    <w:rsid w:val="00A35CAA"/>
    <w:rsid w:val="00A360B4"/>
    <w:rsid w:val="00A365FC"/>
    <w:rsid w:val="00A36876"/>
    <w:rsid w:val="00A3692C"/>
    <w:rsid w:val="00A36997"/>
    <w:rsid w:val="00A37189"/>
    <w:rsid w:val="00A37939"/>
    <w:rsid w:val="00A3794D"/>
    <w:rsid w:val="00A4013F"/>
    <w:rsid w:val="00A40163"/>
    <w:rsid w:val="00A4057F"/>
    <w:rsid w:val="00A4073F"/>
    <w:rsid w:val="00A407D2"/>
    <w:rsid w:val="00A40A76"/>
    <w:rsid w:val="00A40C70"/>
    <w:rsid w:val="00A40DAD"/>
    <w:rsid w:val="00A41157"/>
    <w:rsid w:val="00A412B0"/>
    <w:rsid w:val="00A41EE6"/>
    <w:rsid w:val="00A41F8B"/>
    <w:rsid w:val="00A426CF"/>
    <w:rsid w:val="00A426D3"/>
    <w:rsid w:val="00A42937"/>
    <w:rsid w:val="00A43DC1"/>
    <w:rsid w:val="00A44192"/>
    <w:rsid w:val="00A442EE"/>
    <w:rsid w:val="00A443FF"/>
    <w:rsid w:val="00A446EF"/>
    <w:rsid w:val="00A447A5"/>
    <w:rsid w:val="00A44BE8"/>
    <w:rsid w:val="00A451DA"/>
    <w:rsid w:val="00A452BD"/>
    <w:rsid w:val="00A45338"/>
    <w:rsid w:val="00A457D9"/>
    <w:rsid w:val="00A45955"/>
    <w:rsid w:val="00A45B18"/>
    <w:rsid w:val="00A463BD"/>
    <w:rsid w:val="00A46497"/>
    <w:rsid w:val="00A46E0E"/>
    <w:rsid w:val="00A4761A"/>
    <w:rsid w:val="00A47CAC"/>
    <w:rsid w:val="00A47F16"/>
    <w:rsid w:val="00A50755"/>
    <w:rsid w:val="00A5079F"/>
    <w:rsid w:val="00A50845"/>
    <w:rsid w:val="00A50B78"/>
    <w:rsid w:val="00A50D95"/>
    <w:rsid w:val="00A511AD"/>
    <w:rsid w:val="00A5135B"/>
    <w:rsid w:val="00A514BC"/>
    <w:rsid w:val="00A5158D"/>
    <w:rsid w:val="00A51819"/>
    <w:rsid w:val="00A51C9F"/>
    <w:rsid w:val="00A51D95"/>
    <w:rsid w:val="00A520FF"/>
    <w:rsid w:val="00A52177"/>
    <w:rsid w:val="00A522F7"/>
    <w:rsid w:val="00A5243C"/>
    <w:rsid w:val="00A52682"/>
    <w:rsid w:val="00A528B8"/>
    <w:rsid w:val="00A52971"/>
    <w:rsid w:val="00A52C9F"/>
    <w:rsid w:val="00A53125"/>
    <w:rsid w:val="00A539A1"/>
    <w:rsid w:val="00A53DC7"/>
    <w:rsid w:val="00A53E17"/>
    <w:rsid w:val="00A53FCD"/>
    <w:rsid w:val="00A53FF4"/>
    <w:rsid w:val="00A54046"/>
    <w:rsid w:val="00A5411A"/>
    <w:rsid w:val="00A54889"/>
    <w:rsid w:val="00A54CA8"/>
    <w:rsid w:val="00A55939"/>
    <w:rsid w:val="00A55A4D"/>
    <w:rsid w:val="00A55A54"/>
    <w:rsid w:val="00A55ACA"/>
    <w:rsid w:val="00A55C9D"/>
    <w:rsid w:val="00A55CF9"/>
    <w:rsid w:val="00A55E27"/>
    <w:rsid w:val="00A5615A"/>
    <w:rsid w:val="00A56240"/>
    <w:rsid w:val="00A56907"/>
    <w:rsid w:val="00A56990"/>
    <w:rsid w:val="00A569DF"/>
    <w:rsid w:val="00A56A28"/>
    <w:rsid w:val="00A56D91"/>
    <w:rsid w:val="00A571B7"/>
    <w:rsid w:val="00A572BB"/>
    <w:rsid w:val="00A57733"/>
    <w:rsid w:val="00A577ED"/>
    <w:rsid w:val="00A578B1"/>
    <w:rsid w:val="00A57A43"/>
    <w:rsid w:val="00A57BD1"/>
    <w:rsid w:val="00A57C29"/>
    <w:rsid w:val="00A57F40"/>
    <w:rsid w:val="00A6053F"/>
    <w:rsid w:val="00A605F2"/>
    <w:rsid w:val="00A607BB"/>
    <w:rsid w:val="00A60972"/>
    <w:rsid w:val="00A60B72"/>
    <w:rsid w:val="00A60BB5"/>
    <w:rsid w:val="00A60C09"/>
    <w:rsid w:val="00A61580"/>
    <w:rsid w:val="00A616BD"/>
    <w:rsid w:val="00A61791"/>
    <w:rsid w:val="00A61853"/>
    <w:rsid w:val="00A61A38"/>
    <w:rsid w:val="00A61D96"/>
    <w:rsid w:val="00A61DA7"/>
    <w:rsid w:val="00A61DF2"/>
    <w:rsid w:val="00A61F9E"/>
    <w:rsid w:val="00A62796"/>
    <w:rsid w:val="00A62856"/>
    <w:rsid w:val="00A62BFA"/>
    <w:rsid w:val="00A6396A"/>
    <w:rsid w:val="00A63A8B"/>
    <w:rsid w:val="00A63A97"/>
    <w:rsid w:val="00A63D85"/>
    <w:rsid w:val="00A63D95"/>
    <w:rsid w:val="00A63DB2"/>
    <w:rsid w:val="00A63DCE"/>
    <w:rsid w:val="00A63FA3"/>
    <w:rsid w:val="00A64025"/>
    <w:rsid w:val="00A640AC"/>
    <w:rsid w:val="00A64539"/>
    <w:rsid w:val="00A6466C"/>
    <w:rsid w:val="00A64810"/>
    <w:rsid w:val="00A6493D"/>
    <w:rsid w:val="00A64D2D"/>
    <w:rsid w:val="00A65173"/>
    <w:rsid w:val="00A6546E"/>
    <w:rsid w:val="00A65A39"/>
    <w:rsid w:val="00A65FE5"/>
    <w:rsid w:val="00A65FF7"/>
    <w:rsid w:val="00A66BCA"/>
    <w:rsid w:val="00A66EF8"/>
    <w:rsid w:val="00A66EFD"/>
    <w:rsid w:val="00A66F43"/>
    <w:rsid w:val="00A67086"/>
    <w:rsid w:val="00A67670"/>
    <w:rsid w:val="00A67AAC"/>
    <w:rsid w:val="00A67EEB"/>
    <w:rsid w:val="00A67FD0"/>
    <w:rsid w:val="00A70006"/>
    <w:rsid w:val="00A7016E"/>
    <w:rsid w:val="00A70542"/>
    <w:rsid w:val="00A707BC"/>
    <w:rsid w:val="00A709EE"/>
    <w:rsid w:val="00A70B4D"/>
    <w:rsid w:val="00A70D04"/>
    <w:rsid w:val="00A70E73"/>
    <w:rsid w:val="00A70FCA"/>
    <w:rsid w:val="00A71096"/>
    <w:rsid w:val="00A710D5"/>
    <w:rsid w:val="00A7111D"/>
    <w:rsid w:val="00A71415"/>
    <w:rsid w:val="00A7149F"/>
    <w:rsid w:val="00A714D9"/>
    <w:rsid w:val="00A71A63"/>
    <w:rsid w:val="00A7218C"/>
    <w:rsid w:val="00A72212"/>
    <w:rsid w:val="00A725BF"/>
    <w:rsid w:val="00A7278E"/>
    <w:rsid w:val="00A728D1"/>
    <w:rsid w:val="00A7293A"/>
    <w:rsid w:val="00A72B6B"/>
    <w:rsid w:val="00A72DC2"/>
    <w:rsid w:val="00A72E20"/>
    <w:rsid w:val="00A72FF2"/>
    <w:rsid w:val="00A73058"/>
    <w:rsid w:val="00A731AC"/>
    <w:rsid w:val="00A734A2"/>
    <w:rsid w:val="00A734F0"/>
    <w:rsid w:val="00A73878"/>
    <w:rsid w:val="00A739C6"/>
    <w:rsid w:val="00A74334"/>
    <w:rsid w:val="00A74418"/>
    <w:rsid w:val="00A745CD"/>
    <w:rsid w:val="00A747A9"/>
    <w:rsid w:val="00A7550E"/>
    <w:rsid w:val="00A75B3A"/>
    <w:rsid w:val="00A75F21"/>
    <w:rsid w:val="00A76071"/>
    <w:rsid w:val="00A76304"/>
    <w:rsid w:val="00A76811"/>
    <w:rsid w:val="00A76882"/>
    <w:rsid w:val="00A76B53"/>
    <w:rsid w:val="00A76F64"/>
    <w:rsid w:val="00A770BF"/>
    <w:rsid w:val="00A7738E"/>
    <w:rsid w:val="00A77B45"/>
    <w:rsid w:val="00A77D2B"/>
    <w:rsid w:val="00A77ECC"/>
    <w:rsid w:val="00A806B3"/>
    <w:rsid w:val="00A80897"/>
    <w:rsid w:val="00A80926"/>
    <w:rsid w:val="00A80B76"/>
    <w:rsid w:val="00A81770"/>
    <w:rsid w:val="00A817BB"/>
    <w:rsid w:val="00A81CA3"/>
    <w:rsid w:val="00A81E98"/>
    <w:rsid w:val="00A81EAC"/>
    <w:rsid w:val="00A81FA9"/>
    <w:rsid w:val="00A82179"/>
    <w:rsid w:val="00A82208"/>
    <w:rsid w:val="00A825FA"/>
    <w:rsid w:val="00A827A3"/>
    <w:rsid w:val="00A82B13"/>
    <w:rsid w:val="00A82D69"/>
    <w:rsid w:val="00A83134"/>
    <w:rsid w:val="00A83412"/>
    <w:rsid w:val="00A835EA"/>
    <w:rsid w:val="00A836DE"/>
    <w:rsid w:val="00A83734"/>
    <w:rsid w:val="00A83BD8"/>
    <w:rsid w:val="00A83E86"/>
    <w:rsid w:val="00A845D8"/>
    <w:rsid w:val="00A84E43"/>
    <w:rsid w:val="00A84F61"/>
    <w:rsid w:val="00A85571"/>
    <w:rsid w:val="00A85789"/>
    <w:rsid w:val="00A859E7"/>
    <w:rsid w:val="00A85E1B"/>
    <w:rsid w:val="00A8625E"/>
    <w:rsid w:val="00A862E9"/>
    <w:rsid w:val="00A8633C"/>
    <w:rsid w:val="00A8678E"/>
    <w:rsid w:val="00A86874"/>
    <w:rsid w:val="00A86ADA"/>
    <w:rsid w:val="00A87459"/>
    <w:rsid w:val="00A8759D"/>
    <w:rsid w:val="00A87748"/>
    <w:rsid w:val="00A9031A"/>
    <w:rsid w:val="00A90345"/>
    <w:rsid w:val="00A9038E"/>
    <w:rsid w:val="00A903F8"/>
    <w:rsid w:val="00A90608"/>
    <w:rsid w:val="00A90978"/>
    <w:rsid w:val="00A912B9"/>
    <w:rsid w:val="00A92449"/>
    <w:rsid w:val="00A92499"/>
    <w:rsid w:val="00A924EA"/>
    <w:rsid w:val="00A925CC"/>
    <w:rsid w:val="00A926CA"/>
    <w:rsid w:val="00A928F9"/>
    <w:rsid w:val="00A92AF0"/>
    <w:rsid w:val="00A92C9A"/>
    <w:rsid w:val="00A92DA9"/>
    <w:rsid w:val="00A9323F"/>
    <w:rsid w:val="00A934AD"/>
    <w:rsid w:val="00A934C6"/>
    <w:rsid w:val="00A934F5"/>
    <w:rsid w:val="00A939D5"/>
    <w:rsid w:val="00A93A6F"/>
    <w:rsid w:val="00A93D1B"/>
    <w:rsid w:val="00A93DD6"/>
    <w:rsid w:val="00A9410E"/>
    <w:rsid w:val="00A94382"/>
    <w:rsid w:val="00A944E1"/>
    <w:rsid w:val="00A94761"/>
    <w:rsid w:val="00A948E7"/>
    <w:rsid w:val="00A9497A"/>
    <w:rsid w:val="00A94AB4"/>
    <w:rsid w:val="00A94CA1"/>
    <w:rsid w:val="00A94D4B"/>
    <w:rsid w:val="00A955E6"/>
    <w:rsid w:val="00A9594B"/>
    <w:rsid w:val="00A95F0E"/>
    <w:rsid w:val="00A95F38"/>
    <w:rsid w:val="00A96C80"/>
    <w:rsid w:val="00A96F97"/>
    <w:rsid w:val="00A9749D"/>
    <w:rsid w:val="00A9755D"/>
    <w:rsid w:val="00A9778B"/>
    <w:rsid w:val="00A9784D"/>
    <w:rsid w:val="00A9794C"/>
    <w:rsid w:val="00A97AD5"/>
    <w:rsid w:val="00A97CFF"/>
    <w:rsid w:val="00A97DA4"/>
    <w:rsid w:val="00AA02E6"/>
    <w:rsid w:val="00AA02EC"/>
    <w:rsid w:val="00AA0304"/>
    <w:rsid w:val="00AA03AB"/>
    <w:rsid w:val="00AA046D"/>
    <w:rsid w:val="00AA090F"/>
    <w:rsid w:val="00AA1143"/>
    <w:rsid w:val="00AA1257"/>
    <w:rsid w:val="00AA196A"/>
    <w:rsid w:val="00AA1DCB"/>
    <w:rsid w:val="00AA237A"/>
    <w:rsid w:val="00AA23C0"/>
    <w:rsid w:val="00AA2770"/>
    <w:rsid w:val="00AA27D3"/>
    <w:rsid w:val="00AA297B"/>
    <w:rsid w:val="00AA2A25"/>
    <w:rsid w:val="00AA2A89"/>
    <w:rsid w:val="00AA2B49"/>
    <w:rsid w:val="00AA2CE8"/>
    <w:rsid w:val="00AA3030"/>
    <w:rsid w:val="00AA3090"/>
    <w:rsid w:val="00AA32C5"/>
    <w:rsid w:val="00AA33A7"/>
    <w:rsid w:val="00AA3652"/>
    <w:rsid w:val="00AA3987"/>
    <w:rsid w:val="00AA3EE3"/>
    <w:rsid w:val="00AA4218"/>
    <w:rsid w:val="00AA436F"/>
    <w:rsid w:val="00AA49FD"/>
    <w:rsid w:val="00AA4A6C"/>
    <w:rsid w:val="00AA54F3"/>
    <w:rsid w:val="00AA5A4E"/>
    <w:rsid w:val="00AA5E66"/>
    <w:rsid w:val="00AA6007"/>
    <w:rsid w:val="00AA6790"/>
    <w:rsid w:val="00AA6911"/>
    <w:rsid w:val="00AA6D3C"/>
    <w:rsid w:val="00AA6E72"/>
    <w:rsid w:val="00AA6EBA"/>
    <w:rsid w:val="00AA6F05"/>
    <w:rsid w:val="00AA7116"/>
    <w:rsid w:val="00AA7268"/>
    <w:rsid w:val="00AA73DE"/>
    <w:rsid w:val="00AA76BC"/>
    <w:rsid w:val="00AA7708"/>
    <w:rsid w:val="00AA775C"/>
    <w:rsid w:val="00AA7B4D"/>
    <w:rsid w:val="00AA7FC1"/>
    <w:rsid w:val="00AB0287"/>
    <w:rsid w:val="00AB040A"/>
    <w:rsid w:val="00AB0A3C"/>
    <w:rsid w:val="00AB0CF3"/>
    <w:rsid w:val="00AB0E35"/>
    <w:rsid w:val="00AB0E80"/>
    <w:rsid w:val="00AB0EF9"/>
    <w:rsid w:val="00AB103D"/>
    <w:rsid w:val="00AB1292"/>
    <w:rsid w:val="00AB1451"/>
    <w:rsid w:val="00AB14DC"/>
    <w:rsid w:val="00AB1C6F"/>
    <w:rsid w:val="00AB2503"/>
    <w:rsid w:val="00AB2626"/>
    <w:rsid w:val="00AB2AA2"/>
    <w:rsid w:val="00AB2C68"/>
    <w:rsid w:val="00AB3042"/>
    <w:rsid w:val="00AB3DBB"/>
    <w:rsid w:val="00AB3E40"/>
    <w:rsid w:val="00AB3E65"/>
    <w:rsid w:val="00AB3FD4"/>
    <w:rsid w:val="00AB440F"/>
    <w:rsid w:val="00AB4710"/>
    <w:rsid w:val="00AB4911"/>
    <w:rsid w:val="00AB4E96"/>
    <w:rsid w:val="00AB50C8"/>
    <w:rsid w:val="00AB50FB"/>
    <w:rsid w:val="00AB54C9"/>
    <w:rsid w:val="00AB5760"/>
    <w:rsid w:val="00AB5841"/>
    <w:rsid w:val="00AB5C6F"/>
    <w:rsid w:val="00AB6209"/>
    <w:rsid w:val="00AB622D"/>
    <w:rsid w:val="00AB62CC"/>
    <w:rsid w:val="00AB6431"/>
    <w:rsid w:val="00AB6C87"/>
    <w:rsid w:val="00AB72F2"/>
    <w:rsid w:val="00AB778B"/>
    <w:rsid w:val="00AB79BA"/>
    <w:rsid w:val="00AB7B24"/>
    <w:rsid w:val="00AB7B63"/>
    <w:rsid w:val="00AB7C35"/>
    <w:rsid w:val="00AB7FCB"/>
    <w:rsid w:val="00AC0180"/>
    <w:rsid w:val="00AC03E3"/>
    <w:rsid w:val="00AC04C9"/>
    <w:rsid w:val="00AC05CC"/>
    <w:rsid w:val="00AC089E"/>
    <w:rsid w:val="00AC11B2"/>
    <w:rsid w:val="00AC15DA"/>
    <w:rsid w:val="00AC19B8"/>
    <w:rsid w:val="00AC1CA1"/>
    <w:rsid w:val="00AC1F73"/>
    <w:rsid w:val="00AC215F"/>
    <w:rsid w:val="00AC218C"/>
    <w:rsid w:val="00AC2214"/>
    <w:rsid w:val="00AC2414"/>
    <w:rsid w:val="00AC2750"/>
    <w:rsid w:val="00AC2912"/>
    <w:rsid w:val="00AC2998"/>
    <w:rsid w:val="00AC29B6"/>
    <w:rsid w:val="00AC2A68"/>
    <w:rsid w:val="00AC2C8F"/>
    <w:rsid w:val="00AC2D6B"/>
    <w:rsid w:val="00AC2E9E"/>
    <w:rsid w:val="00AC2EC9"/>
    <w:rsid w:val="00AC3170"/>
    <w:rsid w:val="00AC372A"/>
    <w:rsid w:val="00AC3800"/>
    <w:rsid w:val="00AC3E54"/>
    <w:rsid w:val="00AC3E9C"/>
    <w:rsid w:val="00AC3FEE"/>
    <w:rsid w:val="00AC4221"/>
    <w:rsid w:val="00AC42B2"/>
    <w:rsid w:val="00AC45AB"/>
    <w:rsid w:val="00AC47DD"/>
    <w:rsid w:val="00AC50D1"/>
    <w:rsid w:val="00AC554E"/>
    <w:rsid w:val="00AC593A"/>
    <w:rsid w:val="00AC59D0"/>
    <w:rsid w:val="00AC5B0C"/>
    <w:rsid w:val="00AC5B10"/>
    <w:rsid w:val="00AC5D06"/>
    <w:rsid w:val="00AC5E68"/>
    <w:rsid w:val="00AC612B"/>
    <w:rsid w:val="00AC6195"/>
    <w:rsid w:val="00AC64A2"/>
    <w:rsid w:val="00AC6559"/>
    <w:rsid w:val="00AC69AE"/>
    <w:rsid w:val="00AC7869"/>
    <w:rsid w:val="00AC7A02"/>
    <w:rsid w:val="00AD0283"/>
    <w:rsid w:val="00AD03F7"/>
    <w:rsid w:val="00AD053B"/>
    <w:rsid w:val="00AD061C"/>
    <w:rsid w:val="00AD0620"/>
    <w:rsid w:val="00AD07A4"/>
    <w:rsid w:val="00AD0C19"/>
    <w:rsid w:val="00AD0C49"/>
    <w:rsid w:val="00AD11A4"/>
    <w:rsid w:val="00AD1337"/>
    <w:rsid w:val="00AD18C2"/>
    <w:rsid w:val="00AD1CAC"/>
    <w:rsid w:val="00AD1DDD"/>
    <w:rsid w:val="00AD2087"/>
    <w:rsid w:val="00AD22A4"/>
    <w:rsid w:val="00AD2EAA"/>
    <w:rsid w:val="00AD2EEE"/>
    <w:rsid w:val="00AD395C"/>
    <w:rsid w:val="00AD3A57"/>
    <w:rsid w:val="00AD3D20"/>
    <w:rsid w:val="00AD3F06"/>
    <w:rsid w:val="00AD45BD"/>
    <w:rsid w:val="00AD47FE"/>
    <w:rsid w:val="00AD4A9F"/>
    <w:rsid w:val="00AD4B75"/>
    <w:rsid w:val="00AD4D4C"/>
    <w:rsid w:val="00AD51F9"/>
    <w:rsid w:val="00AD532C"/>
    <w:rsid w:val="00AD53BC"/>
    <w:rsid w:val="00AD5483"/>
    <w:rsid w:val="00AD6192"/>
    <w:rsid w:val="00AD61DE"/>
    <w:rsid w:val="00AD639B"/>
    <w:rsid w:val="00AD646B"/>
    <w:rsid w:val="00AD67E6"/>
    <w:rsid w:val="00AD6951"/>
    <w:rsid w:val="00AD6D0F"/>
    <w:rsid w:val="00AD6E3A"/>
    <w:rsid w:val="00AD6F3F"/>
    <w:rsid w:val="00AD7062"/>
    <w:rsid w:val="00AD74A1"/>
    <w:rsid w:val="00AD75F7"/>
    <w:rsid w:val="00AD7B14"/>
    <w:rsid w:val="00AD7CBC"/>
    <w:rsid w:val="00AD7EAB"/>
    <w:rsid w:val="00AE0126"/>
    <w:rsid w:val="00AE0AAC"/>
    <w:rsid w:val="00AE1603"/>
    <w:rsid w:val="00AE183C"/>
    <w:rsid w:val="00AE1CB4"/>
    <w:rsid w:val="00AE1FB1"/>
    <w:rsid w:val="00AE28F4"/>
    <w:rsid w:val="00AE2BDA"/>
    <w:rsid w:val="00AE2EA9"/>
    <w:rsid w:val="00AE30B1"/>
    <w:rsid w:val="00AE317D"/>
    <w:rsid w:val="00AE33BF"/>
    <w:rsid w:val="00AE374C"/>
    <w:rsid w:val="00AE4267"/>
    <w:rsid w:val="00AE42B3"/>
    <w:rsid w:val="00AE469E"/>
    <w:rsid w:val="00AE4899"/>
    <w:rsid w:val="00AE4A74"/>
    <w:rsid w:val="00AE5B57"/>
    <w:rsid w:val="00AE5B9F"/>
    <w:rsid w:val="00AE5CAC"/>
    <w:rsid w:val="00AE5E09"/>
    <w:rsid w:val="00AE6279"/>
    <w:rsid w:val="00AE69D2"/>
    <w:rsid w:val="00AE6B20"/>
    <w:rsid w:val="00AE6DBA"/>
    <w:rsid w:val="00AE7058"/>
    <w:rsid w:val="00AE7255"/>
    <w:rsid w:val="00AE7332"/>
    <w:rsid w:val="00AE7513"/>
    <w:rsid w:val="00AE76E0"/>
    <w:rsid w:val="00AE7838"/>
    <w:rsid w:val="00AE785A"/>
    <w:rsid w:val="00AE78CC"/>
    <w:rsid w:val="00AE7E80"/>
    <w:rsid w:val="00AF011B"/>
    <w:rsid w:val="00AF02C9"/>
    <w:rsid w:val="00AF0423"/>
    <w:rsid w:val="00AF04FA"/>
    <w:rsid w:val="00AF0B66"/>
    <w:rsid w:val="00AF0BFA"/>
    <w:rsid w:val="00AF0E76"/>
    <w:rsid w:val="00AF10FA"/>
    <w:rsid w:val="00AF1273"/>
    <w:rsid w:val="00AF12DB"/>
    <w:rsid w:val="00AF1367"/>
    <w:rsid w:val="00AF14EF"/>
    <w:rsid w:val="00AF179E"/>
    <w:rsid w:val="00AF1E72"/>
    <w:rsid w:val="00AF21CB"/>
    <w:rsid w:val="00AF258C"/>
    <w:rsid w:val="00AF2A3D"/>
    <w:rsid w:val="00AF36F2"/>
    <w:rsid w:val="00AF3B8B"/>
    <w:rsid w:val="00AF3CF2"/>
    <w:rsid w:val="00AF3D3B"/>
    <w:rsid w:val="00AF46D7"/>
    <w:rsid w:val="00AF46E9"/>
    <w:rsid w:val="00AF4B35"/>
    <w:rsid w:val="00AF5008"/>
    <w:rsid w:val="00AF5B4A"/>
    <w:rsid w:val="00AF5C93"/>
    <w:rsid w:val="00AF5D24"/>
    <w:rsid w:val="00AF6112"/>
    <w:rsid w:val="00AF62AC"/>
    <w:rsid w:val="00AF6333"/>
    <w:rsid w:val="00AF634D"/>
    <w:rsid w:val="00AF687C"/>
    <w:rsid w:val="00AF69AD"/>
    <w:rsid w:val="00AF6A96"/>
    <w:rsid w:val="00AF6C8C"/>
    <w:rsid w:val="00AF6E71"/>
    <w:rsid w:val="00AF6F1B"/>
    <w:rsid w:val="00AF756E"/>
    <w:rsid w:val="00AF758F"/>
    <w:rsid w:val="00AF75F2"/>
    <w:rsid w:val="00AF7977"/>
    <w:rsid w:val="00AF7E88"/>
    <w:rsid w:val="00B000CE"/>
    <w:rsid w:val="00B003F3"/>
    <w:rsid w:val="00B0079A"/>
    <w:rsid w:val="00B0156E"/>
    <w:rsid w:val="00B01E56"/>
    <w:rsid w:val="00B02E82"/>
    <w:rsid w:val="00B02FB9"/>
    <w:rsid w:val="00B03105"/>
    <w:rsid w:val="00B037E8"/>
    <w:rsid w:val="00B03E23"/>
    <w:rsid w:val="00B03FF1"/>
    <w:rsid w:val="00B040FE"/>
    <w:rsid w:val="00B04143"/>
    <w:rsid w:val="00B04199"/>
    <w:rsid w:val="00B0444A"/>
    <w:rsid w:val="00B046EF"/>
    <w:rsid w:val="00B04728"/>
    <w:rsid w:val="00B049B3"/>
    <w:rsid w:val="00B04E98"/>
    <w:rsid w:val="00B05611"/>
    <w:rsid w:val="00B059A1"/>
    <w:rsid w:val="00B05E09"/>
    <w:rsid w:val="00B061D6"/>
    <w:rsid w:val="00B066C9"/>
    <w:rsid w:val="00B067D1"/>
    <w:rsid w:val="00B068D0"/>
    <w:rsid w:val="00B06962"/>
    <w:rsid w:val="00B069DB"/>
    <w:rsid w:val="00B07174"/>
    <w:rsid w:val="00B071B2"/>
    <w:rsid w:val="00B0722F"/>
    <w:rsid w:val="00B07622"/>
    <w:rsid w:val="00B07794"/>
    <w:rsid w:val="00B10274"/>
    <w:rsid w:val="00B102E9"/>
    <w:rsid w:val="00B103C0"/>
    <w:rsid w:val="00B103D7"/>
    <w:rsid w:val="00B10493"/>
    <w:rsid w:val="00B1056A"/>
    <w:rsid w:val="00B1072F"/>
    <w:rsid w:val="00B107F8"/>
    <w:rsid w:val="00B10858"/>
    <w:rsid w:val="00B10A65"/>
    <w:rsid w:val="00B10A6F"/>
    <w:rsid w:val="00B1108F"/>
    <w:rsid w:val="00B11304"/>
    <w:rsid w:val="00B1176E"/>
    <w:rsid w:val="00B11CB4"/>
    <w:rsid w:val="00B1211B"/>
    <w:rsid w:val="00B121EC"/>
    <w:rsid w:val="00B12215"/>
    <w:rsid w:val="00B12600"/>
    <w:rsid w:val="00B12848"/>
    <w:rsid w:val="00B12DAD"/>
    <w:rsid w:val="00B12EFA"/>
    <w:rsid w:val="00B12F77"/>
    <w:rsid w:val="00B1326A"/>
    <w:rsid w:val="00B133EC"/>
    <w:rsid w:val="00B13974"/>
    <w:rsid w:val="00B13A08"/>
    <w:rsid w:val="00B13A3C"/>
    <w:rsid w:val="00B13A70"/>
    <w:rsid w:val="00B142C7"/>
    <w:rsid w:val="00B144CF"/>
    <w:rsid w:val="00B145A6"/>
    <w:rsid w:val="00B146C1"/>
    <w:rsid w:val="00B148B1"/>
    <w:rsid w:val="00B14B60"/>
    <w:rsid w:val="00B14BB3"/>
    <w:rsid w:val="00B151A1"/>
    <w:rsid w:val="00B1527F"/>
    <w:rsid w:val="00B15567"/>
    <w:rsid w:val="00B158C8"/>
    <w:rsid w:val="00B15B15"/>
    <w:rsid w:val="00B162C5"/>
    <w:rsid w:val="00B16555"/>
    <w:rsid w:val="00B16742"/>
    <w:rsid w:val="00B16B93"/>
    <w:rsid w:val="00B16BC4"/>
    <w:rsid w:val="00B16C2C"/>
    <w:rsid w:val="00B16D03"/>
    <w:rsid w:val="00B16DFF"/>
    <w:rsid w:val="00B16F95"/>
    <w:rsid w:val="00B16FDD"/>
    <w:rsid w:val="00B170CB"/>
    <w:rsid w:val="00B1740C"/>
    <w:rsid w:val="00B17457"/>
    <w:rsid w:val="00B1758D"/>
    <w:rsid w:val="00B175E1"/>
    <w:rsid w:val="00B176BF"/>
    <w:rsid w:val="00B17794"/>
    <w:rsid w:val="00B17C87"/>
    <w:rsid w:val="00B17D8A"/>
    <w:rsid w:val="00B201DC"/>
    <w:rsid w:val="00B2037E"/>
    <w:rsid w:val="00B205DF"/>
    <w:rsid w:val="00B20E65"/>
    <w:rsid w:val="00B212D8"/>
    <w:rsid w:val="00B214B9"/>
    <w:rsid w:val="00B21668"/>
    <w:rsid w:val="00B2184F"/>
    <w:rsid w:val="00B219F0"/>
    <w:rsid w:val="00B21A5F"/>
    <w:rsid w:val="00B21C8C"/>
    <w:rsid w:val="00B21D11"/>
    <w:rsid w:val="00B21D18"/>
    <w:rsid w:val="00B21FFD"/>
    <w:rsid w:val="00B2228C"/>
    <w:rsid w:val="00B222C0"/>
    <w:rsid w:val="00B226B7"/>
    <w:rsid w:val="00B22883"/>
    <w:rsid w:val="00B22A51"/>
    <w:rsid w:val="00B22AD4"/>
    <w:rsid w:val="00B22AD5"/>
    <w:rsid w:val="00B22B4D"/>
    <w:rsid w:val="00B22EA8"/>
    <w:rsid w:val="00B23077"/>
    <w:rsid w:val="00B2310F"/>
    <w:rsid w:val="00B231FE"/>
    <w:rsid w:val="00B233D0"/>
    <w:rsid w:val="00B235A9"/>
    <w:rsid w:val="00B237C6"/>
    <w:rsid w:val="00B238DC"/>
    <w:rsid w:val="00B239E4"/>
    <w:rsid w:val="00B23A78"/>
    <w:rsid w:val="00B23EA0"/>
    <w:rsid w:val="00B23F73"/>
    <w:rsid w:val="00B23F8E"/>
    <w:rsid w:val="00B243DD"/>
    <w:rsid w:val="00B2490C"/>
    <w:rsid w:val="00B254CB"/>
    <w:rsid w:val="00B2565F"/>
    <w:rsid w:val="00B25813"/>
    <w:rsid w:val="00B25896"/>
    <w:rsid w:val="00B25941"/>
    <w:rsid w:val="00B25A85"/>
    <w:rsid w:val="00B25AE2"/>
    <w:rsid w:val="00B25AEA"/>
    <w:rsid w:val="00B25BD2"/>
    <w:rsid w:val="00B25C3B"/>
    <w:rsid w:val="00B25D3F"/>
    <w:rsid w:val="00B25D91"/>
    <w:rsid w:val="00B25E2F"/>
    <w:rsid w:val="00B2611C"/>
    <w:rsid w:val="00B262D5"/>
    <w:rsid w:val="00B264F4"/>
    <w:rsid w:val="00B26516"/>
    <w:rsid w:val="00B26618"/>
    <w:rsid w:val="00B26ACF"/>
    <w:rsid w:val="00B26BD2"/>
    <w:rsid w:val="00B26BF8"/>
    <w:rsid w:val="00B26D40"/>
    <w:rsid w:val="00B272BA"/>
    <w:rsid w:val="00B277E7"/>
    <w:rsid w:val="00B27E10"/>
    <w:rsid w:val="00B27F34"/>
    <w:rsid w:val="00B3016C"/>
    <w:rsid w:val="00B30207"/>
    <w:rsid w:val="00B3068B"/>
    <w:rsid w:val="00B306D7"/>
    <w:rsid w:val="00B307AA"/>
    <w:rsid w:val="00B3089B"/>
    <w:rsid w:val="00B308A4"/>
    <w:rsid w:val="00B30C5D"/>
    <w:rsid w:val="00B30CF8"/>
    <w:rsid w:val="00B30D89"/>
    <w:rsid w:val="00B311DB"/>
    <w:rsid w:val="00B3140A"/>
    <w:rsid w:val="00B314C5"/>
    <w:rsid w:val="00B31A37"/>
    <w:rsid w:val="00B31D06"/>
    <w:rsid w:val="00B31F11"/>
    <w:rsid w:val="00B32115"/>
    <w:rsid w:val="00B32328"/>
    <w:rsid w:val="00B3238B"/>
    <w:rsid w:val="00B32FC1"/>
    <w:rsid w:val="00B33303"/>
    <w:rsid w:val="00B3356B"/>
    <w:rsid w:val="00B33594"/>
    <w:rsid w:val="00B3361A"/>
    <w:rsid w:val="00B33750"/>
    <w:rsid w:val="00B3397F"/>
    <w:rsid w:val="00B34384"/>
    <w:rsid w:val="00B34F0E"/>
    <w:rsid w:val="00B35776"/>
    <w:rsid w:val="00B35849"/>
    <w:rsid w:val="00B35B9D"/>
    <w:rsid w:val="00B36089"/>
    <w:rsid w:val="00B36427"/>
    <w:rsid w:val="00B368A2"/>
    <w:rsid w:val="00B369FB"/>
    <w:rsid w:val="00B36B3E"/>
    <w:rsid w:val="00B36BDB"/>
    <w:rsid w:val="00B36EE8"/>
    <w:rsid w:val="00B37357"/>
    <w:rsid w:val="00B3771C"/>
    <w:rsid w:val="00B403AB"/>
    <w:rsid w:val="00B406BE"/>
    <w:rsid w:val="00B4073A"/>
    <w:rsid w:val="00B4093F"/>
    <w:rsid w:val="00B40E3A"/>
    <w:rsid w:val="00B41113"/>
    <w:rsid w:val="00B412F9"/>
    <w:rsid w:val="00B4149C"/>
    <w:rsid w:val="00B41576"/>
    <w:rsid w:val="00B415FD"/>
    <w:rsid w:val="00B419F3"/>
    <w:rsid w:val="00B41AA0"/>
    <w:rsid w:val="00B41F78"/>
    <w:rsid w:val="00B42044"/>
    <w:rsid w:val="00B420E4"/>
    <w:rsid w:val="00B42C69"/>
    <w:rsid w:val="00B42C6A"/>
    <w:rsid w:val="00B42E6F"/>
    <w:rsid w:val="00B43806"/>
    <w:rsid w:val="00B438D0"/>
    <w:rsid w:val="00B43C9F"/>
    <w:rsid w:val="00B43FAA"/>
    <w:rsid w:val="00B44B2F"/>
    <w:rsid w:val="00B450C3"/>
    <w:rsid w:val="00B45273"/>
    <w:rsid w:val="00B45596"/>
    <w:rsid w:val="00B455E2"/>
    <w:rsid w:val="00B45FE5"/>
    <w:rsid w:val="00B464A1"/>
    <w:rsid w:val="00B46650"/>
    <w:rsid w:val="00B46D76"/>
    <w:rsid w:val="00B46F84"/>
    <w:rsid w:val="00B471FB"/>
    <w:rsid w:val="00B472F0"/>
    <w:rsid w:val="00B474DD"/>
    <w:rsid w:val="00B47884"/>
    <w:rsid w:val="00B47B08"/>
    <w:rsid w:val="00B47B8E"/>
    <w:rsid w:val="00B50177"/>
    <w:rsid w:val="00B50212"/>
    <w:rsid w:val="00B5052C"/>
    <w:rsid w:val="00B50881"/>
    <w:rsid w:val="00B508A1"/>
    <w:rsid w:val="00B509A8"/>
    <w:rsid w:val="00B51AE7"/>
    <w:rsid w:val="00B51E64"/>
    <w:rsid w:val="00B5209E"/>
    <w:rsid w:val="00B520B9"/>
    <w:rsid w:val="00B52162"/>
    <w:rsid w:val="00B5246F"/>
    <w:rsid w:val="00B5248C"/>
    <w:rsid w:val="00B52663"/>
    <w:rsid w:val="00B526DD"/>
    <w:rsid w:val="00B52B87"/>
    <w:rsid w:val="00B52C7C"/>
    <w:rsid w:val="00B52DAD"/>
    <w:rsid w:val="00B52E17"/>
    <w:rsid w:val="00B52EFB"/>
    <w:rsid w:val="00B530FA"/>
    <w:rsid w:val="00B53479"/>
    <w:rsid w:val="00B5381D"/>
    <w:rsid w:val="00B53837"/>
    <w:rsid w:val="00B53B39"/>
    <w:rsid w:val="00B53D07"/>
    <w:rsid w:val="00B542F4"/>
    <w:rsid w:val="00B54554"/>
    <w:rsid w:val="00B546EC"/>
    <w:rsid w:val="00B54941"/>
    <w:rsid w:val="00B54D6C"/>
    <w:rsid w:val="00B54F3C"/>
    <w:rsid w:val="00B5505D"/>
    <w:rsid w:val="00B554EF"/>
    <w:rsid w:val="00B5568E"/>
    <w:rsid w:val="00B5594D"/>
    <w:rsid w:val="00B55FBC"/>
    <w:rsid w:val="00B55FCA"/>
    <w:rsid w:val="00B56368"/>
    <w:rsid w:val="00B56570"/>
    <w:rsid w:val="00B56B55"/>
    <w:rsid w:val="00B56F89"/>
    <w:rsid w:val="00B574FF"/>
    <w:rsid w:val="00B57660"/>
    <w:rsid w:val="00B5790F"/>
    <w:rsid w:val="00B606E8"/>
    <w:rsid w:val="00B60A7C"/>
    <w:rsid w:val="00B60C02"/>
    <w:rsid w:val="00B60E9E"/>
    <w:rsid w:val="00B61C89"/>
    <w:rsid w:val="00B61F0B"/>
    <w:rsid w:val="00B622E4"/>
    <w:rsid w:val="00B6272C"/>
    <w:rsid w:val="00B62B51"/>
    <w:rsid w:val="00B62CE4"/>
    <w:rsid w:val="00B62D0E"/>
    <w:rsid w:val="00B63B96"/>
    <w:rsid w:val="00B63E6B"/>
    <w:rsid w:val="00B64343"/>
    <w:rsid w:val="00B643E0"/>
    <w:rsid w:val="00B644E5"/>
    <w:rsid w:val="00B6489A"/>
    <w:rsid w:val="00B65223"/>
    <w:rsid w:val="00B653A2"/>
    <w:rsid w:val="00B65429"/>
    <w:rsid w:val="00B655E6"/>
    <w:rsid w:val="00B659BC"/>
    <w:rsid w:val="00B66F3A"/>
    <w:rsid w:val="00B66FA7"/>
    <w:rsid w:val="00B6714E"/>
    <w:rsid w:val="00B671B7"/>
    <w:rsid w:val="00B672E9"/>
    <w:rsid w:val="00B67312"/>
    <w:rsid w:val="00B67CD2"/>
    <w:rsid w:val="00B67EA5"/>
    <w:rsid w:val="00B70324"/>
    <w:rsid w:val="00B70705"/>
    <w:rsid w:val="00B708C8"/>
    <w:rsid w:val="00B70B8D"/>
    <w:rsid w:val="00B70BEB"/>
    <w:rsid w:val="00B70C5B"/>
    <w:rsid w:val="00B70D0D"/>
    <w:rsid w:val="00B70F57"/>
    <w:rsid w:val="00B712EA"/>
    <w:rsid w:val="00B71378"/>
    <w:rsid w:val="00B7161E"/>
    <w:rsid w:val="00B7175C"/>
    <w:rsid w:val="00B71987"/>
    <w:rsid w:val="00B71B1B"/>
    <w:rsid w:val="00B71B2C"/>
    <w:rsid w:val="00B71E8C"/>
    <w:rsid w:val="00B720A5"/>
    <w:rsid w:val="00B720DE"/>
    <w:rsid w:val="00B72127"/>
    <w:rsid w:val="00B72188"/>
    <w:rsid w:val="00B72240"/>
    <w:rsid w:val="00B72645"/>
    <w:rsid w:val="00B7276D"/>
    <w:rsid w:val="00B72E1A"/>
    <w:rsid w:val="00B72F72"/>
    <w:rsid w:val="00B73076"/>
    <w:rsid w:val="00B73242"/>
    <w:rsid w:val="00B732DF"/>
    <w:rsid w:val="00B7394F"/>
    <w:rsid w:val="00B73A05"/>
    <w:rsid w:val="00B73CDE"/>
    <w:rsid w:val="00B73F44"/>
    <w:rsid w:val="00B74166"/>
    <w:rsid w:val="00B7420F"/>
    <w:rsid w:val="00B7435E"/>
    <w:rsid w:val="00B744D8"/>
    <w:rsid w:val="00B745B4"/>
    <w:rsid w:val="00B7480A"/>
    <w:rsid w:val="00B74A3D"/>
    <w:rsid w:val="00B7518F"/>
    <w:rsid w:val="00B75BE8"/>
    <w:rsid w:val="00B76366"/>
    <w:rsid w:val="00B7677B"/>
    <w:rsid w:val="00B7695B"/>
    <w:rsid w:val="00B7704D"/>
    <w:rsid w:val="00B775D9"/>
    <w:rsid w:val="00B77925"/>
    <w:rsid w:val="00B779FC"/>
    <w:rsid w:val="00B77F65"/>
    <w:rsid w:val="00B800B6"/>
    <w:rsid w:val="00B802BB"/>
    <w:rsid w:val="00B8033D"/>
    <w:rsid w:val="00B8033E"/>
    <w:rsid w:val="00B8038B"/>
    <w:rsid w:val="00B80830"/>
    <w:rsid w:val="00B80978"/>
    <w:rsid w:val="00B80D26"/>
    <w:rsid w:val="00B80DB1"/>
    <w:rsid w:val="00B80E48"/>
    <w:rsid w:val="00B80F84"/>
    <w:rsid w:val="00B813B2"/>
    <w:rsid w:val="00B8140C"/>
    <w:rsid w:val="00B81D25"/>
    <w:rsid w:val="00B81F10"/>
    <w:rsid w:val="00B8205C"/>
    <w:rsid w:val="00B822A0"/>
    <w:rsid w:val="00B826B3"/>
    <w:rsid w:val="00B82D0D"/>
    <w:rsid w:val="00B82DFC"/>
    <w:rsid w:val="00B82E1D"/>
    <w:rsid w:val="00B82ECE"/>
    <w:rsid w:val="00B82F84"/>
    <w:rsid w:val="00B8323E"/>
    <w:rsid w:val="00B832DC"/>
    <w:rsid w:val="00B832F3"/>
    <w:rsid w:val="00B83D88"/>
    <w:rsid w:val="00B84556"/>
    <w:rsid w:val="00B846A1"/>
    <w:rsid w:val="00B84909"/>
    <w:rsid w:val="00B851A7"/>
    <w:rsid w:val="00B8526F"/>
    <w:rsid w:val="00B8573A"/>
    <w:rsid w:val="00B85A32"/>
    <w:rsid w:val="00B85BD3"/>
    <w:rsid w:val="00B85ECA"/>
    <w:rsid w:val="00B85F8B"/>
    <w:rsid w:val="00B85F92"/>
    <w:rsid w:val="00B86273"/>
    <w:rsid w:val="00B863CE"/>
    <w:rsid w:val="00B86451"/>
    <w:rsid w:val="00B864C6"/>
    <w:rsid w:val="00B867AE"/>
    <w:rsid w:val="00B867B7"/>
    <w:rsid w:val="00B86882"/>
    <w:rsid w:val="00B869B5"/>
    <w:rsid w:val="00B86FEF"/>
    <w:rsid w:val="00B8729F"/>
    <w:rsid w:val="00B87808"/>
    <w:rsid w:val="00B87A3F"/>
    <w:rsid w:val="00B87CEC"/>
    <w:rsid w:val="00B87DAE"/>
    <w:rsid w:val="00B87E4E"/>
    <w:rsid w:val="00B90228"/>
    <w:rsid w:val="00B9063F"/>
    <w:rsid w:val="00B906A8"/>
    <w:rsid w:val="00B9073A"/>
    <w:rsid w:val="00B90836"/>
    <w:rsid w:val="00B908B0"/>
    <w:rsid w:val="00B90AC6"/>
    <w:rsid w:val="00B90DFC"/>
    <w:rsid w:val="00B9104E"/>
    <w:rsid w:val="00B91127"/>
    <w:rsid w:val="00B91188"/>
    <w:rsid w:val="00B91356"/>
    <w:rsid w:val="00B91486"/>
    <w:rsid w:val="00B9174A"/>
    <w:rsid w:val="00B9185B"/>
    <w:rsid w:val="00B92410"/>
    <w:rsid w:val="00B92478"/>
    <w:rsid w:val="00B924C8"/>
    <w:rsid w:val="00B92CC2"/>
    <w:rsid w:val="00B92DEB"/>
    <w:rsid w:val="00B92EB5"/>
    <w:rsid w:val="00B931D2"/>
    <w:rsid w:val="00B9394D"/>
    <w:rsid w:val="00B93BCC"/>
    <w:rsid w:val="00B943FE"/>
    <w:rsid w:val="00B94821"/>
    <w:rsid w:val="00B94A35"/>
    <w:rsid w:val="00B94D52"/>
    <w:rsid w:val="00B94E2B"/>
    <w:rsid w:val="00B9556F"/>
    <w:rsid w:val="00B95CF2"/>
    <w:rsid w:val="00B96149"/>
    <w:rsid w:val="00B9665E"/>
    <w:rsid w:val="00B96BBC"/>
    <w:rsid w:val="00B97220"/>
    <w:rsid w:val="00B97A9D"/>
    <w:rsid w:val="00BA01B4"/>
    <w:rsid w:val="00BA0847"/>
    <w:rsid w:val="00BA0C83"/>
    <w:rsid w:val="00BA1089"/>
    <w:rsid w:val="00BA123F"/>
    <w:rsid w:val="00BA1401"/>
    <w:rsid w:val="00BA163C"/>
    <w:rsid w:val="00BA17CA"/>
    <w:rsid w:val="00BA1879"/>
    <w:rsid w:val="00BA1A56"/>
    <w:rsid w:val="00BA1E69"/>
    <w:rsid w:val="00BA1F0D"/>
    <w:rsid w:val="00BA2058"/>
    <w:rsid w:val="00BA2737"/>
    <w:rsid w:val="00BA27DA"/>
    <w:rsid w:val="00BA27F5"/>
    <w:rsid w:val="00BA28EA"/>
    <w:rsid w:val="00BA2B0B"/>
    <w:rsid w:val="00BA2D3D"/>
    <w:rsid w:val="00BA2D9E"/>
    <w:rsid w:val="00BA3155"/>
    <w:rsid w:val="00BA3698"/>
    <w:rsid w:val="00BA37AE"/>
    <w:rsid w:val="00BA3C30"/>
    <w:rsid w:val="00BA3EEE"/>
    <w:rsid w:val="00BA4112"/>
    <w:rsid w:val="00BA4778"/>
    <w:rsid w:val="00BA4EA6"/>
    <w:rsid w:val="00BA5472"/>
    <w:rsid w:val="00BA5503"/>
    <w:rsid w:val="00BA5555"/>
    <w:rsid w:val="00BA58AC"/>
    <w:rsid w:val="00BA5C9B"/>
    <w:rsid w:val="00BA5ED0"/>
    <w:rsid w:val="00BA62C2"/>
    <w:rsid w:val="00BA6389"/>
    <w:rsid w:val="00BA6427"/>
    <w:rsid w:val="00BA654E"/>
    <w:rsid w:val="00BA6655"/>
    <w:rsid w:val="00BA669C"/>
    <w:rsid w:val="00BA689F"/>
    <w:rsid w:val="00BA6BE0"/>
    <w:rsid w:val="00BA6C6D"/>
    <w:rsid w:val="00BA7951"/>
    <w:rsid w:val="00BA7B58"/>
    <w:rsid w:val="00BA7E0E"/>
    <w:rsid w:val="00BA7E32"/>
    <w:rsid w:val="00BB01A8"/>
    <w:rsid w:val="00BB0780"/>
    <w:rsid w:val="00BB0CC4"/>
    <w:rsid w:val="00BB14EB"/>
    <w:rsid w:val="00BB1782"/>
    <w:rsid w:val="00BB17A9"/>
    <w:rsid w:val="00BB1B51"/>
    <w:rsid w:val="00BB1D32"/>
    <w:rsid w:val="00BB1D97"/>
    <w:rsid w:val="00BB1F50"/>
    <w:rsid w:val="00BB2001"/>
    <w:rsid w:val="00BB20FC"/>
    <w:rsid w:val="00BB2200"/>
    <w:rsid w:val="00BB23A7"/>
    <w:rsid w:val="00BB2864"/>
    <w:rsid w:val="00BB286E"/>
    <w:rsid w:val="00BB2ACB"/>
    <w:rsid w:val="00BB2BD5"/>
    <w:rsid w:val="00BB355E"/>
    <w:rsid w:val="00BB3BE6"/>
    <w:rsid w:val="00BB3D83"/>
    <w:rsid w:val="00BB434F"/>
    <w:rsid w:val="00BB4C0A"/>
    <w:rsid w:val="00BB58CE"/>
    <w:rsid w:val="00BB5BFF"/>
    <w:rsid w:val="00BB5D35"/>
    <w:rsid w:val="00BB5E55"/>
    <w:rsid w:val="00BB603C"/>
    <w:rsid w:val="00BB6561"/>
    <w:rsid w:val="00BB658A"/>
    <w:rsid w:val="00BB658C"/>
    <w:rsid w:val="00BB6B47"/>
    <w:rsid w:val="00BB7050"/>
    <w:rsid w:val="00BB7449"/>
    <w:rsid w:val="00BB7500"/>
    <w:rsid w:val="00BB78E9"/>
    <w:rsid w:val="00BB79FB"/>
    <w:rsid w:val="00BC0416"/>
    <w:rsid w:val="00BC0435"/>
    <w:rsid w:val="00BC06DC"/>
    <w:rsid w:val="00BC0821"/>
    <w:rsid w:val="00BC0874"/>
    <w:rsid w:val="00BC0A16"/>
    <w:rsid w:val="00BC0A4E"/>
    <w:rsid w:val="00BC1208"/>
    <w:rsid w:val="00BC14AB"/>
    <w:rsid w:val="00BC1960"/>
    <w:rsid w:val="00BC1AFE"/>
    <w:rsid w:val="00BC1EDE"/>
    <w:rsid w:val="00BC1FFE"/>
    <w:rsid w:val="00BC2435"/>
    <w:rsid w:val="00BC2622"/>
    <w:rsid w:val="00BC2962"/>
    <w:rsid w:val="00BC2965"/>
    <w:rsid w:val="00BC2A27"/>
    <w:rsid w:val="00BC2FAA"/>
    <w:rsid w:val="00BC317F"/>
    <w:rsid w:val="00BC3C89"/>
    <w:rsid w:val="00BC3E55"/>
    <w:rsid w:val="00BC4194"/>
    <w:rsid w:val="00BC4776"/>
    <w:rsid w:val="00BC48BB"/>
    <w:rsid w:val="00BC4A46"/>
    <w:rsid w:val="00BC4FCF"/>
    <w:rsid w:val="00BC51CC"/>
    <w:rsid w:val="00BC55CE"/>
    <w:rsid w:val="00BC566E"/>
    <w:rsid w:val="00BC5938"/>
    <w:rsid w:val="00BC5B05"/>
    <w:rsid w:val="00BC5E0C"/>
    <w:rsid w:val="00BC5E5E"/>
    <w:rsid w:val="00BC60E2"/>
    <w:rsid w:val="00BC629D"/>
    <w:rsid w:val="00BC63D3"/>
    <w:rsid w:val="00BC6A32"/>
    <w:rsid w:val="00BC6A8F"/>
    <w:rsid w:val="00BC701A"/>
    <w:rsid w:val="00BC7134"/>
    <w:rsid w:val="00BC7478"/>
    <w:rsid w:val="00BC779D"/>
    <w:rsid w:val="00BD022C"/>
    <w:rsid w:val="00BD0344"/>
    <w:rsid w:val="00BD0827"/>
    <w:rsid w:val="00BD0C2B"/>
    <w:rsid w:val="00BD0C34"/>
    <w:rsid w:val="00BD0CAB"/>
    <w:rsid w:val="00BD0D93"/>
    <w:rsid w:val="00BD0E33"/>
    <w:rsid w:val="00BD1491"/>
    <w:rsid w:val="00BD15E3"/>
    <w:rsid w:val="00BD1907"/>
    <w:rsid w:val="00BD1BD2"/>
    <w:rsid w:val="00BD1F4C"/>
    <w:rsid w:val="00BD2261"/>
    <w:rsid w:val="00BD235A"/>
    <w:rsid w:val="00BD247C"/>
    <w:rsid w:val="00BD2A3F"/>
    <w:rsid w:val="00BD2D04"/>
    <w:rsid w:val="00BD2E2F"/>
    <w:rsid w:val="00BD2EE2"/>
    <w:rsid w:val="00BD3018"/>
    <w:rsid w:val="00BD3181"/>
    <w:rsid w:val="00BD3360"/>
    <w:rsid w:val="00BD358D"/>
    <w:rsid w:val="00BD398E"/>
    <w:rsid w:val="00BD3AE2"/>
    <w:rsid w:val="00BD3F3E"/>
    <w:rsid w:val="00BD3F7A"/>
    <w:rsid w:val="00BD4270"/>
    <w:rsid w:val="00BD4378"/>
    <w:rsid w:val="00BD44AB"/>
    <w:rsid w:val="00BD46FC"/>
    <w:rsid w:val="00BD48D9"/>
    <w:rsid w:val="00BD4A17"/>
    <w:rsid w:val="00BD4CEF"/>
    <w:rsid w:val="00BD4EE2"/>
    <w:rsid w:val="00BD50D0"/>
    <w:rsid w:val="00BD51E0"/>
    <w:rsid w:val="00BD57D6"/>
    <w:rsid w:val="00BD5A0E"/>
    <w:rsid w:val="00BD5ABE"/>
    <w:rsid w:val="00BD5BCF"/>
    <w:rsid w:val="00BD5BFA"/>
    <w:rsid w:val="00BD5C11"/>
    <w:rsid w:val="00BD5D75"/>
    <w:rsid w:val="00BD620F"/>
    <w:rsid w:val="00BD64F0"/>
    <w:rsid w:val="00BD6524"/>
    <w:rsid w:val="00BD654D"/>
    <w:rsid w:val="00BD66A1"/>
    <w:rsid w:val="00BD66D6"/>
    <w:rsid w:val="00BD6B51"/>
    <w:rsid w:val="00BD6FCA"/>
    <w:rsid w:val="00BD6FDE"/>
    <w:rsid w:val="00BD76D0"/>
    <w:rsid w:val="00BD7763"/>
    <w:rsid w:val="00BD7FBF"/>
    <w:rsid w:val="00BD7FCE"/>
    <w:rsid w:val="00BE0ED7"/>
    <w:rsid w:val="00BE18B3"/>
    <w:rsid w:val="00BE1DF2"/>
    <w:rsid w:val="00BE220E"/>
    <w:rsid w:val="00BE22AD"/>
    <w:rsid w:val="00BE2581"/>
    <w:rsid w:val="00BE293C"/>
    <w:rsid w:val="00BE2BDF"/>
    <w:rsid w:val="00BE2C05"/>
    <w:rsid w:val="00BE3AC7"/>
    <w:rsid w:val="00BE3C8A"/>
    <w:rsid w:val="00BE4089"/>
    <w:rsid w:val="00BE49B8"/>
    <w:rsid w:val="00BE4A22"/>
    <w:rsid w:val="00BE4A4E"/>
    <w:rsid w:val="00BE4A93"/>
    <w:rsid w:val="00BE4AC3"/>
    <w:rsid w:val="00BE4FA1"/>
    <w:rsid w:val="00BE5383"/>
    <w:rsid w:val="00BE53B1"/>
    <w:rsid w:val="00BE53BD"/>
    <w:rsid w:val="00BE559E"/>
    <w:rsid w:val="00BE58E4"/>
    <w:rsid w:val="00BE5ACD"/>
    <w:rsid w:val="00BE5BD8"/>
    <w:rsid w:val="00BE5F0D"/>
    <w:rsid w:val="00BE601C"/>
    <w:rsid w:val="00BE6659"/>
    <w:rsid w:val="00BE697A"/>
    <w:rsid w:val="00BE6AD9"/>
    <w:rsid w:val="00BE6AF3"/>
    <w:rsid w:val="00BE6D60"/>
    <w:rsid w:val="00BE71BB"/>
    <w:rsid w:val="00BE73EF"/>
    <w:rsid w:val="00BE7441"/>
    <w:rsid w:val="00BE752A"/>
    <w:rsid w:val="00BE7620"/>
    <w:rsid w:val="00BF02DA"/>
    <w:rsid w:val="00BF03EC"/>
    <w:rsid w:val="00BF06DB"/>
    <w:rsid w:val="00BF0B2D"/>
    <w:rsid w:val="00BF0E07"/>
    <w:rsid w:val="00BF1404"/>
    <w:rsid w:val="00BF1948"/>
    <w:rsid w:val="00BF1D9E"/>
    <w:rsid w:val="00BF1DFD"/>
    <w:rsid w:val="00BF216A"/>
    <w:rsid w:val="00BF25D5"/>
    <w:rsid w:val="00BF2CB2"/>
    <w:rsid w:val="00BF2F83"/>
    <w:rsid w:val="00BF302B"/>
    <w:rsid w:val="00BF35AC"/>
    <w:rsid w:val="00BF374C"/>
    <w:rsid w:val="00BF38F3"/>
    <w:rsid w:val="00BF3D3F"/>
    <w:rsid w:val="00BF3D51"/>
    <w:rsid w:val="00BF3E5C"/>
    <w:rsid w:val="00BF3FBC"/>
    <w:rsid w:val="00BF4285"/>
    <w:rsid w:val="00BF4A00"/>
    <w:rsid w:val="00BF4CDC"/>
    <w:rsid w:val="00BF4DF4"/>
    <w:rsid w:val="00BF5215"/>
    <w:rsid w:val="00BF5270"/>
    <w:rsid w:val="00BF5674"/>
    <w:rsid w:val="00BF58AF"/>
    <w:rsid w:val="00BF5DD6"/>
    <w:rsid w:val="00BF6042"/>
    <w:rsid w:val="00BF63E3"/>
    <w:rsid w:val="00BF645B"/>
    <w:rsid w:val="00BF6790"/>
    <w:rsid w:val="00BF67D9"/>
    <w:rsid w:val="00BF6813"/>
    <w:rsid w:val="00BF6B56"/>
    <w:rsid w:val="00BF6BAC"/>
    <w:rsid w:val="00BF6CB8"/>
    <w:rsid w:val="00BF6D5D"/>
    <w:rsid w:val="00BF7D49"/>
    <w:rsid w:val="00BF7E4C"/>
    <w:rsid w:val="00BF7EB6"/>
    <w:rsid w:val="00BF7FBD"/>
    <w:rsid w:val="00C00152"/>
    <w:rsid w:val="00C00221"/>
    <w:rsid w:val="00C0023B"/>
    <w:rsid w:val="00C004F4"/>
    <w:rsid w:val="00C00999"/>
    <w:rsid w:val="00C00F2F"/>
    <w:rsid w:val="00C00FCC"/>
    <w:rsid w:val="00C01740"/>
    <w:rsid w:val="00C017D1"/>
    <w:rsid w:val="00C01A1A"/>
    <w:rsid w:val="00C02106"/>
    <w:rsid w:val="00C0236A"/>
    <w:rsid w:val="00C0251D"/>
    <w:rsid w:val="00C02D01"/>
    <w:rsid w:val="00C02E70"/>
    <w:rsid w:val="00C02F1A"/>
    <w:rsid w:val="00C034DD"/>
    <w:rsid w:val="00C038DE"/>
    <w:rsid w:val="00C0398A"/>
    <w:rsid w:val="00C03BD3"/>
    <w:rsid w:val="00C04269"/>
    <w:rsid w:val="00C0426E"/>
    <w:rsid w:val="00C0444A"/>
    <w:rsid w:val="00C04C70"/>
    <w:rsid w:val="00C04D2D"/>
    <w:rsid w:val="00C05790"/>
    <w:rsid w:val="00C06011"/>
    <w:rsid w:val="00C0627B"/>
    <w:rsid w:val="00C06334"/>
    <w:rsid w:val="00C0655F"/>
    <w:rsid w:val="00C067FC"/>
    <w:rsid w:val="00C068C9"/>
    <w:rsid w:val="00C06911"/>
    <w:rsid w:val="00C06C26"/>
    <w:rsid w:val="00C06C9F"/>
    <w:rsid w:val="00C06EFE"/>
    <w:rsid w:val="00C07032"/>
    <w:rsid w:val="00C07360"/>
    <w:rsid w:val="00C0788F"/>
    <w:rsid w:val="00C079A1"/>
    <w:rsid w:val="00C079B6"/>
    <w:rsid w:val="00C07B9D"/>
    <w:rsid w:val="00C1073C"/>
    <w:rsid w:val="00C10AE8"/>
    <w:rsid w:val="00C10EEE"/>
    <w:rsid w:val="00C112DB"/>
    <w:rsid w:val="00C114B2"/>
    <w:rsid w:val="00C1150B"/>
    <w:rsid w:val="00C11BB0"/>
    <w:rsid w:val="00C11C40"/>
    <w:rsid w:val="00C1210D"/>
    <w:rsid w:val="00C1247B"/>
    <w:rsid w:val="00C125B2"/>
    <w:rsid w:val="00C129B4"/>
    <w:rsid w:val="00C12F0B"/>
    <w:rsid w:val="00C133F5"/>
    <w:rsid w:val="00C13AF1"/>
    <w:rsid w:val="00C13F0B"/>
    <w:rsid w:val="00C14089"/>
    <w:rsid w:val="00C1446B"/>
    <w:rsid w:val="00C1495E"/>
    <w:rsid w:val="00C14B47"/>
    <w:rsid w:val="00C14E4B"/>
    <w:rsid w:val="00C15195"/>
    <w:rsid w:val="00C154C6"/>
    <w:rsid w:val="00C16502"/>
    <w:rsid w:val="00C167E6"/>
    <w:rsid w:val="00C1686A"/>
    <w:rsid w:val="00C16AEE"/>
    <w:rsid w:val="00C16B3D"/>
    <w:rsid w:val="00C16C0D"/>
    <w:rsid w:val="00C16FE4"/>
    <w:rsid w:val="00C17448"/>
    <w:rsid w:val="00C177B3"/>
    <w:rsid w:val="00C17926"/>
    <w:rsid w:val="00C17D94"/>
    <w:rsid w:val="00C17FE1"/>
    <w:rsid w:val="00C201F8"/>
    <w:rsid w:val="00C20301"/>
    <w:rsid w:val="00C204F3"/>
    <w:rsid w:val="00C20ED7"/>
    <w:rsid w:val="00C2179C"/>
    <w:rsid w:val="00C22107"/>
    <w:rsid w:val="00C22113"/>
    <w:rsid w:val="00C22176"/>
    <w:rsid w:val="00C221E5"/>
    <w:rsid w:val="00C225B5"/>
    <w:rsid w:val="00C228F7"/>
    <w:rsid w:val="00C23036"/>
    <w:rsid w:val="00C2344F"/>
    <w:rsid w:val="00C239B8"/>
    <w:rsid w:val="00C23ADC"/>
    <w:rsid w:val="00C23ADE"/>
    <w:rsid w:val="00C23F41"/>
    <w:rsid w:val="00C23F81"/>
    <w:rsid w:val="00C24165"/>
    <w:rsid w:val="00C2439E"/>
    <w:rsid w:val="00C24528"/>
    <w:rsid w:val="00C25158"/>
    <w:rsid w:val="00C2548A"/>
    <w:rsid w:val="00C254DC"/>
    <w:rsid w:val="00C25760"/>
    <w:rsid w:val="00C25822"/>
    <w:rsid w:val="00C25C7B"/>
    <w:rsid w:val="00C2637B"/>
    <w:rsid w:val="00C2690F"/>
    <w:rsid w:val="00C26B60"/>
    <w:rsid w:val="00C26E15"/>
    <w:rsid w:val="00C27133"/>
    <w:rsid w:val="00C27177"/>
    <w:rsid w:val="00C276E6"/>
    <w:rsid w:val="00C27EA0"/>
    <w:rsid w:val="00C27EF8"/>
    <w:rsid w:val="00C3015F"/>
    <w:rsid w:val="00C30435"/>
    <w:rsid w:val="00C30B4E"/>
    <w:rsid w:val="00C30BB7"/>
    <w:rsid w:val="00C311A7"/>
    <w:rsid w:val="00C31DB2"/>
    <w:rsid w:val="00C31FDA"/>
    <w:rsid w:val="00C33176"/>
    <w:rsid w:val="00C336EF"/>
    <w:rsid w:val="00C338E7"/>
    <w:rsid w:val="00C339F0"/>
    <w:rsid w:val="00C33DB3"/>
    <w:rsid w:val="00C33EA3"/>
    <w:rsid w:val="00C3411F"/>
    <w:rsid w:val="00C349FE"/>
    <w:rsid w:val="00C34BFA"/>
    <w:rsid w:val="00C34CB8"/>
    <w:rsid w:val="00C34EF9"/>
    <w:rsid w:val="00C34F44"/>
    <w:rsid w:val="00C356C5"/>
    <w:rsid w:val="00C3596B"/>
    <w:rsid w:val="00C35C08"/>
    <w:rsid w:val="00C35C9F"/>
    <w:rsid w:val="00C35CB0"/>
    <w:rsid w:val="00C35E4C"/>
    <w:rsid w:val="00C36059"/>
    <w:rsid w:val="00C3619F"/>
    <w:rsid w:val="00C36AA0"/>
    <w:rsid w:val="00C36AC1"/>
    <w:rsid w:val="00C36AF1"/>
    <w:rsid w:val="00C36D69"/>
    <w:rsid w:val="00C3738B"/>
    <w:rsid w:val="00C374B1"/>
    <w:rsid w:val="00C37637"/>
    <w:rsid w:val="00C37670"/>
    <w:rsid w:val="00C37A77"/>
    <w:rsid w:val="00C37BA3"/>
    <w:rsid w:val="00C37D00"/>
    <w:rsid w:val="00C37F4B"/>
    <w:rsid w:val="00C4016E"/>
    <w:rsid w:val="00C40219"/>
    <w:rsid w:val="00C405F4"/>
    <w:rsid w:val="00C4127C"/>
    <w:rsid w:val="00C415A9"/>
    <w:rsid w:val="00C41EC6"/>
    <w:rsid w:val="00C41F54"/>
    <w:rsid w:val="00C4224B"/>
    <w:rsid w:val="00C42C57"/>
    <w:rsid w:val="00C42EF6"/>
    <w:rsid w:val="00C43B86"/>
    <w:rsid w:val="00C43D8E"/>
    <w:rsid w:val="00C44018"/>
    <w:rsid w:val="00C440EB"/>
    <w:rsid w:val="00C444EE"/>
    <w:rsid w:val="00C44969"/>
    <w:rsid w:val="00C4498F"/>
    <w:rsid w:val="00C44B16"/>
    <w:rsid w:val="00C44C38"/>
    <w:rsid w:val="00C44D14"/>
    <w:rsid w:val="00C451F4"/>
    <w:rsid w:val="00C451F6"/>
    <w:rsid w:val="00C4521A"/>
    <w:rsid w:val="00C453B0"/>
    <w:rsid w:val="00C455C9"/>
    <w:rsid w:val="00C4574F"/>
    <w:rsid w:val="00C457DB"/>
    <w:rsid w:val="00C46027"/>
    <w:rsid w:val="00C46078"/>
    <w:rsid w:val="00C460A5"/>
    <w:rsid w:val="00C46197"/>
    <w:rsid w:val="00C46895"/>
    <w:rsid w:val="00C46C8C"/>
    <w:rsid w:val="00C46D6C"/>
    <w:rsid w:val="00C46DCA"/>
    <w:rsid w:val="00C47452"/>
    <w:rsid w:val="00C475AB"/>
    <w:rsid w:val="00C477C2"/>
    <w:rsid w:val="00C4793F"/>
    <w:rsid w:val="00C47979"/>
    <w:rsid w:val="00C47A80"/>
    <w:rsid w:val="00C47B58"/>
    <w:rsid w:val="00C47FEF"/>
    <w:rsid w:val="00C50062"/>
    <w:rsid w:val="00C50087"/>
    <w:rsid w:val="00C501B8"/>
    <w:rsid w:val="00C503BF"/>
    <w:rsid w:val="00C505BD"/>
    <w:rsid w:val="00C50663"/>
    <w:rsid w:val="00C50E60"/>
    <w:rsid w:val="00C50E79"/>
    <w:rsid w:val="00C5153C"/>
    <w:rsid w:val="00C51601"/>
    <w:rsid w:val="00C51AB2"/>
    <w:rsid w:val="00C52154"/>
    <w:rsid w:val="00C52196"/>
    <w:rsid w:val="00C52506"/>
    <w:rsid w:val="00C52652"/>
    <w:rsid w:val="00C52726"/>
    <w:rsid w:val="00C52AC4"/>
    <w:rsid w:val="00C52B53"/>
    <w:rsid w:val="00C52BB2"/>
    <w:rsid w:val="00C52D13"/>
    <w:rsid w:val="00C5349A"/>
    <w:rsid w:val="00C534B4"/>
    <w:rsid w:val="00C53597"/>
    <w:rsid w:val="00C537CF"/>
    <w:rsid w:val="00C5384D"/>
    <w:rsid w:val="00C539B2"/>
    <w:rsid w:val="00C53C3D"/>
    <w:rsid w:val="00C53C77"/>
    <w:rsid w:val="00C53CBC"/>
    <w:rsid w:val="00C53DA0"/>
    <w:rsid w:val="00C540F4"/>
    <w:rsid w:val="00C54105"/>
    <w:rsid w:val="00C541FC"/>
    <w:rsid w:val="00C545BA"/>
    <w:rsid w:val="00C54662"/>
    <w:rsid w:val="00C546FC"/>
    <w:rsid w:val="00C548A8"/>
    <w:rsid w:val="00C5504B"/>
    <w:rsid w:val="00C55263"/>
    <w:rsid w:val="00C555D4"/>
    <w:rsid w:val="00C559F3"/>
    <w:rsid w:val="00C55C30"/>
    <w:rsid w:val="00C56512"/>
    <w:rsid w:val="00C5659C"/>
    <w:rsid w:val="00C566F8"/>
    <w:rsid w:val="00C5684C"/>
    <w:rsid w:val="00C56CF6"/>
    <w:rsid w:val="00C5705A"/>
    <w:rsid w:val="00C5710E"/>
    <w:rsid w:val="00C572E2"/>
    <w:rsid w:val="00C57397"/>
    <w:rsid w:val="00C577E9"/>
    <w:rsid w:val="00C5787E"/>
    <w:rsid w:val="00C5788C"/>
    <w:rsid w:val="00C57B14"/>
    <w:rsid w:val="00C60288"/>
    <w:rsid w:val="00C602AF"/>
    <w:rsid w:val="00C6031A"/>
    <w:rsid w:val="00C604E4"/>
    <w:rsid w:val="00C605E4"/>
    <w:rsid w:val="00C60989"/>
    <w:rsid w:val="00C60B91"/>
    <w:rsid w:val="00C60CAF"/>
    <w:rsid w:val="00C60DB3"/>
    <w:rsid w:val="00C60EB6"/>
    <w:rsid w:val="00C61090"/>
    <w:rsid w:val="00C611AA"/>
    <w:rsid w:val="00C612D9"/>
    <w:rsid w:val="00C6147E"/>
    <w:rsid w:val="00C6186D"/>
    <w:rsid w:val="00C61CA9"/>
    <w:rsid w:val="00C62607"/>
    <w:rsid w:val="00C62E4B"/>
    <w:rsid w:val="00C630B8"/>
    <w:rsid w:val="00C63148"/>
    <w:rsid w:val="00C6317F"/>
    <w:rsid w:val="00C63285"/>
    <w:rsid w:val="00C632D1"/>
    <w:rsid w:val="00C6334C"/>
    <w:rsid w:val="00C63935"/>
    <w:rsid w:val="00C63B99"/>
    <w:rsid w:val="00C641A7"/>
    <w:rsid w:val="00C64878"/>
    <w:rsid w:val="00C648F3"/>
    <w:rsid w:val="00C64A4C"/>
    <w:rsid w:val="00C64BD5"/>
    <w:rsid w:val="00C64DF9"/>
    <w:rsid w:val="00C64EA8"/>
    <w:rsid w:val="00C64F18"/>
    <w:rsid w:val="00C65292"/>
    <w:rsid w:val="00C6566E"/>
    <w:rsid w:val="00C656C6"/>
    <w:rsid w:val="00C657DA"/>
    <w:rsid w:val="00C6582A"/>
    <w:rsid w:val="00C65CC1"/>
    <w:rsid w:val="00C65E15"/>
    <w:rsid w:val="00C65EFC"/>
    <w:rsid w:val="00C660C2"/>
    <w:rsid w:val="00C661D9"/>
    <w:rsid w:val="00C66380"/>
    <w:rsid w:val="00C663F0"/>
    <w:rsid w:val="00C664A2"/>
    <w:rsid w:val="00C66C9C"/>
    <w:rsid w:val="00C6732D"/>
    <w:rsid w:val="00C675D4"/>
    <w:rsid w:val="00C675E4"/>
    <w:rsid w:val="00C70233"/>
    <w:rsid w:val="00C7028C"/>
    <w:rsid w:val="00C7095B"/>
    <w:rsid w:val="00C70D27"/>
    <w:rsid w:val="00C7109E"/>
    <w:rsid w:val="00C71513"/>
    <w:rsid w:val="00C71546"/>
    <w:rsid w:val="00C716C0"/>
    <w:rsid w:val="00C7187A"/>
    <w:rsid w:val="00C71DD6"/>
    <w:rsid w:val="00C72441"/>
    <w:rsid w:val="00C72506"/>
    <w:rsid w:val="00C72B8D"/>
    <w:rsid w:val="00C72D90"/>
    <w:rsid w:val="00C72FF3"/>
    <w:rsid w:val="00C73500"/>
    <w:rsid w:val="00C735A5"/>
    <w:rsid w:val="00C739ED"/>
    <w:rsid w:val="00C739F9"/>
    <w:rsid w:val="00C743E4"/>
    <w:rsid w:val="00C7486D"/>
    <w:rsid w:val="00C74F83"/>
    <w:rsid w:val="00C7548C"/>
    <w:rsid w:val="00C7561F"/>
    <w:rsid w:val="00C7562B"/>
    <w:rsid w:val="00C75A10"/>
    <w:rsid w:val="00C75C25"/>
    <w:rsid w:val="00C760E7"/>
    <w:rsid w:val="00C76AF4"/>
    <w:rsid w:val="00C76B93"/>
    <w:rsid w:val="00C76D6F"/>
    <w:rsid w:val="00C7736D"/>
    <w:rsid w:val="00C773C3"/>
    <w:rsid w:val="00C77AF0"/>
    <w:rsid w:val="00C77B98"/>
    <w:rsid w:val="00C77F76"/>
    <w:rsid w:val="00C8027E"/>
    <w:rsid w:val="00C80886"/>
    <w:rsid w:val="00C80AEB"/>
    <w:rsid w:val="00C80E85"/>
    <w:rsid w:val="00C81122"/>
    <w:rsid w:val="00C816CC"/>
    <w:rsid w:val="00C819A6"/>
    <w:rsid w:val="00C819C2"/>
    <w:rsid w:val="00C81A2E"/>
    <w:rsid w:val="00C81E08"/>
    <w:rsid w:val="00C81E9B"/>
    <w:rsid w:val="00C82026"/>
    <w:rsid w:val="00C826AC"/>
    <w:rsid w:val="00C826F0"/>
    <w:rsid w:val="00C830F3"/>
    <w:rsid w:val="00C832F8"/>
    <w:rsid w:val="00C83408"/>
    <w:rsid w:val="00C83570"/>
    <w:rsid w:val="00C8359B"/>
    <w:rsid w:val="00C835D1"/>
    <w:rsid w:val="00C83B32"/>
    <w:rsid w:val="00C840BE"/>
    <w:rsid w:val="00C840DD"/>
    <w:rsid w:val="00C843C6"/>
    <w:rsid w:val="00C8474A"/>
    <w:rsid w:val="00C847D2"/>
    <w:rsid w:val="00C84A00"/>
    <w:rsid w:val="00C84AAB"/>
    <w:rsid w:val="00C8503E"/>
    <w:rsid w:val="00C85079"/>
    <w:rsid w:val="00C853A0"/>
    <w:rsid w:val="00C8566D"/>
    <w:rsid w:val="00C85E00"/>
    <w:rsid w:val="00C860FD"/>
    <w:rsid w:val="00C86321"/>
    <w:rsid w:val="00C86727"/>
    <w:rsid w:val="00C86E75"/>
    <w:rsid w:val="00C87A15"/>
    <w:rsid w:val="00C9017C"/>
    <w:rsid w:val="00C90398"/>
    <w:rsid w:val="00C90615"/>
    <w:rsid w:val="00C908CF"/>
    <w:rsid w:val="00C90948"/>
    <w:rsid w:val="00C90EDD"/>
    <w:rsid w:val="00C9175B"/>
    <w:rsid w:val="00C918D1"/>
    <w:rsid w:val="00C91A40"/>
    <w:rsid w:val="00C91BA1"/>
    <w:rsid w:val="00C91F97"/>
    <w:rsid w:val="00C9205E"/>
    <w:rsid w:val="00C92072"/>
    <w:rsid w:val="00C92476"/>
    <w:rsid w:val="00C925CB"/>
    <w:rsid w:val="00C92C0E"/>
    <w:rsid w:val="00C92CE8"/>
    <w:rsid w:val="00C9304A"/>
    <w:rsid w:val="00C93050"/>
    <w:rsid w:val="00C93138"/>
    <w:rsid w:val="00C937FA"/>
    <w:rsid w:val="00C93AA2"/>
    <w:rsid w:val="00C940A5"/>
    <w:rsid w:val="00C9460E"/>
    <w:rsid w:val="00C94F2D"/>
    <w:rsid w:val="00C95286"/>
    <w:rsid w:val="00C95303"/>
    <w:rsid w:val="00C9567F"/>
    <w:rsid w:val="00C95690"/>
    <w:rsid w:val="00C95771"/>
    <w:rsid w:val="00C95867"/>
    <w:rsid w:val="00C95C74"/>
    <w:rsid w:val="00C95F79"/>
    <w:rsid w:val="00C96B3F"/>
    <w:rsid w:val="00C974C4"/>
    <w:rsid w:val="00C9756B"/>
    <w:rsid w:val="00C9767A"/>
    <w:rsid w:val="00C9785C"/>
    <w:rsid w:val="00C97A27"/>
    <w:rsid w:val="00C97A47"/>
    <w:rsid w:val="00C97EDE"/>
    <w:rsid w:val="00C97EE5"/>
    <w:rsid w:val="00CA0165"/>
    <w:rsid w:val="00CA0573"/>
    <w:rsid w:val="00CA0963"/>
    <w:rsid w:val="00CA0AE8"/>
    <w:rsid w:val="00CA0BA9"/>
    <w:rsid w:val="00CA0E35"/>
    <w:rsid w:val="00CA0E37"/>
    <w:rsid w:val="00CA1527"/>
    <w:rsid w:val="00CA16DC"/>
    <w:rsid w:val="00CA1A41"/>
    <w:rsid w:val="00CA1B9E"/>
    <w:rsid w:val="00CA1CD6"/>
    <w:rsid w:val="00CA2038"/>
    <w:rsid w:val="00CA2782"/>
    <w:rsid w:val="00CA2BDB"/>
    <w:rsid w:val="00CA3036"/>
    <w:rsid w:val="00CA30B2"/>
    <w:rsid w:val="00CA31DE"/>
    <w:rsid w:val="00CA35C7"/>
    <w:rsid w:val="00CA3666"/>
    <w:rsid w:val="00CA3AFF"/>
    <w:rsid w:val="00CA3E14"/>
    <w:rsid w:val="00CA3FCF"/>
    <w:rsid w:val="00CA43A4"/>
    <w:rsid w:val="00CA4434"/>
    <w:rsid w:val="00CA4FBB"/>
    <w:rsid w:val="00CA50F8"/>
    <w:rsid w:val="00CA559E"/>
    <w:rsid w:val="00CA5761"/>
    <w:rsid w:val="00CA590D"/>
    <w:rsid w:val="00CA5AFF"/>
    <w:rsid w:val="00CA5D85"/>
    <w:rsid w:val="00CA5DD7"/>
    <w:rsid w:val="00CA5E30"/>
    <w:rsid w:val="00CA5F39"/>
    <w:rsid w:val="00CA617D"/>
    <w:rsid w:val="00CA629D"/>
    <w:rsid w:val="00CA730B"/>
    <w:rsid w:val="00CA7371"/>
    <w:rsid w:val="00CA75C6"/>
    <w:rsid w:val="00CA7A85"/>
    <w:rsid w:val="00CA7E70"/>
    <w:rsid w:val="00CA7F0A"/>
    <w:rsid w:val="00CB047A"/>
    <w:rsid w:val="00CB096A"/>
    <w:rsid w:val="00CB0B40"/>
    <w:rsid w:val="00CB0D3D"/>
    <w:rsid w:val="00CB0EBB"/>
    <w:rsid w:val="00CB1123"/>
    <w:rsid w:val="00CB119C"/>
    <w:rsid w:val="00CB1B73"/>
    <w:rsid w:val="00CB1C62"/>
    <w:rsid w:val="00CB2072"/>
    <w:rsid w:val="00CB23ED"/>
    <w:rsid w:val="00CB2499"/>
    <w:rsid w:val="00CB2637"/>
    <w:rsid w:val="00CB2A63"/>
    <w:rsid w:val="00CB2EB8"/>
    <w:rsid w:val="00CB33AD"/>
    <w:rsid w:val="00CB3658"/>
    <w:rsid w:val="00CB380B"/>
    <w:rsid w:val="00CB387A"/>
    <w:rsid w:val="00CB3CE0"/>
    <w:rsid w:val="00CB3D8C"/>
    <w:rsid w:val="00CB3ED9"/>
    <w:rsid w:val="00CB4374"/>
    <w:rsid w:val="00CB448F"/>
    <w:rsid w:val="00CB449D"/>
    <w:rsid w:val="00CB471E"/>
    <w:rsid w:val="00CB47DA"/>
    <w:rsid w:val="00CB4B1F"/>
    <w:rsid w:val="00CB4CEB"/>
    <w:rsid w:val="00CB512B"/>
    <w:rsid w:val="00CB5319"/>
    <w:rsid w:val="00CB57D9"/>
    <w:rsid w:val="00CB57FD"/>
    <w:rsid w:val="00CB5A2F"/>
    <w:rsid w:val="00CB5AF1"/>
    <w:rsid w:val="00CB5E82"/>
    <w:rsid w:val="00CB5F05"/>
    <w:rsid w:val="00CB6103"/>
    <w:rsid w:val="00CB616C"/>
    <w:rsid w:val="00CB680B"/>
    <w:rsid w:val="00CB68F9"/>
    <w:rsid w:val="00CB6932"/>
    <w:rsid w:val="00CB6EB8"/>
    <w:rsid w:val="00CB6F5A"/>
    <w:rsid w:val="00CB6F98"/>
    <w:rsid w:val="00CB793E"/>
    <w:rsid w:val="00CC0359"/>
    <w:rsid w:val="00CC0A20"/>
    <w:rsid w:val="00CC0EE8"/>
    <w:rsid w:val="00CC0F3A"/>
    <w:rsid w:val="00CC12FC"/>
    <w:rsid w:val="00CC13BE"/>
    <w:rsid w:val="00CC15C6"/>
    <w:rsid w:val="00CC1AE5"/>
    <w:rsid w:val="00CC1BA8"/>
    <w:rsid w:val="00CC1BFE"/>
    <w:rsid w:val="00CC1E64"/>
    <w:rsid w:val="00CC2279"/>
    <w:rsid w:val="00CC2715"/>
    <w:rsid w:val="00CC36A5"/>
    <w:rsid w:val="00CC374A"/>
    <w:rsid w:val="00CC38F9"/>
    <w:rsid w:val="00CC3979"/>
    <w:rsid w:val="00CC3BEB"/>
    <w:rsid w:val="00CC3EC4"/>
    <w:rsid w:val="00CC3FBD"/>
    <w:rsid w:val="00CC40F8"/>
    <w:rsid w:val="00CC4384"/>
    <w:rsid w:val="00CC46C9"/>
    <w:rsid w:val="00CC46F1"/>
    <w:rsid w:val="00CC4982"/>
    <w:rsid w:val="00CC4B4C"/>
    <w:rsid w:val="00CC4F2F"/>
    <w:rsid w:val="00CC52C9"/>
    <w:rsid w:val="00CC5454"/>
    <w:rsid w:val="00CC572C"/>
    <w:rsid w:val="00CC5C1F"/>
    <w:rsid w:val="00CC5C22"/>
    <w:rsid w:val="00CC5C35"/>
    <w:rsid w:val="00CC5D68"/>
    <w:rsid w:val="00CC5F31"/>
    <w:rsid w:val="00CC629B"/>
    <w:rsid w:val="00CC695D"/>
    <w:rsid w:val="00CC6B26"/>
    <w:rsid w:val="00CC6D3E"/>
    <w:rsid w:val="00CC6F7C"/>
    <w:rsid w:val="00CC7205"/>
    <w:rsid w:val="00CC729F"/>
    <w:rsid w:val="00CC7322"/>
    <w:rsid w:val="00CC759A"/>
    <w:rsid w:val="00CC795F"/>
    <w:rsid w:val="00CC7ABA"/>
    <w:rsid w:val="00CC7E1B"/>
    <w:rsid w:val="00CD000A"/>
    <w:rsid w:val="00CD01EB"/>
    <w:rsid w:val="00CD0253"/>
    <w:rsid w:val="00CD04DD"/>
    <w:rsid w:val="00CD0755"/>
    <w:rsid w:val="00CD08ED"/>
    <w:rsid w:val="00CD096E"/>
    <w:rsid w:val="00CD09C2"/>
    <w:rsid w:val="00CD0CAC"/>
    <w:rsid w:val="00CD126F"/>
    <w:rsid w:val="00CD12BD"/>
    <w:rsid w:val="00CD12C5"/>
    <w:rsid w:val="00CD1376"/>
    <w:rsid w:val="00CD14FE"/>
    <w:rsid w:val="00CD19AA"/>
    <w:rsid w:val="00CD2615"/>
    <w:rsid w:val="00CD28C7"/>
    <w:rsid w:val="00CD2954"/>
    <w:rsid w:val="00CD2B42"/>
    <w:rsid w:val="00CD2FD1"/>
    <w:rsid w:val="00CD30C4"/>
    <w:rsid w:val="00CD31CC"/>
    <w:rsid w:val="00CD355A"/>
    <w:rsid w:val="00CD3A10"/>
    <w:rsid w:val="00CD3B47"/>
    <w:rsid w:val="00CD3C3B"/>
    <w:rsid w:val="00CD3EB8"/>
    <w:rsid w:val="00CD4076"/>
    <w:rsid w:val="00CD4235"/>
    <w:rsid w:val="00CD47AE"/>
    <w:rsid w:val="00CD49FE"/>
    <w:rsid w:val="00CD53BB"/>
    <w:rsid w:val="00CD57E5"/>
    <w:rsid w:val="00CD5DEC"/>
    <w:rsid w:val="00CD5F10"/>
    <w:rsid w:val="00CD69DD"/>
    <w:rsid w:val="00CD69E1"/>
    <w:rsid w:val="00CD6B9E"/>
    <w:rsid w:val="00CD6CBA"/>
    <w:rsid w:val="00CD6F79"/>
    <w:rsid w:val="00CD709A"/>
    <w:rsid w:val="00CD7320"/>
    <w:rsid w:val="00CD774B"/>
    <w:rsid w:val="00CD7CA4"/>
    <w:rsid w:val="00CD7D13"/>
    <w:rsid w:val="00CD7EA7"/>
    <w:rsid w:val="00CE033F"/>
    <w:rsid w:val="00CE0804"/>
    <w:rsid w:val="00CE0990"/>
    <w:rsid w:val="00CE0DD5"/>
    <w:rsid w:val="00CE0F73"/>
    <w:rsid w:val="00CE1053"/>
    <w:rsid w:val="00CE105B"/>
    <w:rsid w:val="00CE174F"/>
    <w:rsid w:val="00CE1D01"/>
    <w:rsid w:val="00CE1E4B"/>
    <w:rsid w:val="00CE20D4"/>
    <w:rsid w:val="00CE22CC"/>
    <w:rsid w:val="00CE2411"/>
    <w:rsid w:val="00CE2492"/>
    <w:rsid w:val="00CE3324"/>
    <w:rsid w:val="00CE3E68"/>
    <w:rsid w:val="00CE3F23"/>
    <w:rsid w:val="00CE439A"/>
    <w:rsid w:val="00CE461C"/>
    <w:rsid w:val="00CE4656"/>
    <w:rsid w:val="00CE465A"/>
    <w:rsid w:val="00CE46CA"/>
    <w:rsid w:val="00CE4C72"/>
    <w:rsid w:val="00CE4F5F"/>
    <w:rsid w:val="00CE4FC3"/>
    <w:rsid w:val="00CE502B"/>
    <w:rsid w:val="00CE50D9"/>
    <w:rsid w:val="00CE55DA"/>
    <w:rsid w:val="00CE5696"/>
    <w:rsid w:val="00CE61B1"/>
    <w:rsid w:val="00CE62CC"/>
    <w:rsid w:val="00CE66D3"/>
    <w:rsid w:val="00CE6743"/>
    <w:rsid w:val="00CE6C94"/>
    <w:rsid w:val="00CE6EB7"/>
    <w:rsid w:val="00CE714B"/>
    <w:rsid w:val="00CE73E9"/>
    <w:rsid w:val="00CE7713"/>
    <w:rsid w:val="00CE7BC8"/>
    <w:rsid w:val="00CE7DAC"/>
    <w:rsid w:val="00CE7DB1"/>
    <w:rsid w:val="00CE7E5A"/>
    <w:rsid w:val="00CF0288"/>
    <w:rsid w:val="00CF047A"/>
    <w:rsid w:val="00CF0654"/>
    <w:rsid w:val="00CF07F3"/>
    <w:rsid w:val="00CF08A1"/>
    <w:rsid w:val="00CF0D8A"/>
    <w:rsid w:val="00CF0F02"/>
    <w:rsid w:val="00CF0FF7"/>
    <w:rsid w:val="00CF10A8"/>
    <w:rsid w:val="00CF1445"/>
    <w:rsid w:val="00CF18C1"/>
    <w:rsid w:val="00CF1B74"/>
    <w:rsid w:val="00CF1E53"/>
    <w:rsid w:val="00CF20DB"/>
    <w:rsid w:val="00CF2663"/>
    <w:rsid w:val="00CF2CA2"/>
    <w:rsid w:val="00CF36D9"/>
    <w:rsid w:val="00CF36E7"/>
    <w:rsid w:val="00CF3A8B"/>
    <w:rsid w:val="00CF3DAE"/>
    <w:rsid w:val="00CF3DDF"/>
    <w:rsid w:val="00CF4152"/>
    <w:rsid w:val="00CF452C"/>
    <w:rsid w:val="00CF48DB"/>
    <w:rsid w:val="00CF492D"/>
    <w:rsid w:val="00CF4943"/>
    <w:rsid w:val="00CF4EB1"/>
    <w:rsid w:val="00CF5647"/>
    <w:rsid w:val="00CF5868"/>
    <w:rsid w:val="00CF5B3F"/>
    <w:rsid w:val="00CF5EBD"/>
    <w:rsid w:val="00CF618C"/>
    <w:rsid w:val="00CF6190"/>
    <w:rsid w:val="00CF6844"/>
    <w:rsid w:val="00CF69BA"/>
    <w:rsid w:val="00CF6CC0"/>
    <w:rsid w:val="00CF6F44"/>
    <w:rsid w:val="00CF7196"/>
    <w:rsid w:val="00CF71AB"/>
    <w:rsid w:val="00CF7580"/>
    <w:rsid w:val="00CF7A81"/>
    <w:rsid w:val="00CF7BD8"/>
    <w:rsid w:val="00CF7C5E"/>
    <w:rsid w:val="00CF7C93"/>
    <w:rsid w:val="00D0022B"/>
    <w:rsid w:val="00D003E8"/>
    <w:rsid w:val="00D007CF"/>
    <w:rsid w:val="00D00A3C"/>
    <w:rsid w:val="00D012D0"/>
    <w:rsid w:val="00D016C8"/>
    <w:rsid w:val="00D01952"/>
    <w:rsid w:val="00D0201F"/>
    <w:rsid w:val="00D021E7"/>
    <w:rsid w:val="00D0224F"/>
    <w:rsid w:val="00D02370"/>
    <w:rsid w:val="00D02428"/>
    <w:rsid w:val="00D0264E"/>
    <w:rsid w:val="00D026C0"/>
    <w:rsid w:val="00D02AFA"/>
    <w:rsid w:val="00D02E72"/>
    <w:rsid w:val="00D034C3"/>
    <w:rsid w:val="00D0394E"/>
    <w:rsid w:val="00D04562"/>
    <w:rsid w:val="00D046F3"/>
    <w:rsid w:val="00D04F6B"/>
    <w:rsid w:val="00D051F3"/>
    <w:rsid w:val="00D0559D"/>
    <w:rsid w:val="00D055FE"/>
    <w:rsid w:val="00D058D0"/>
    <w:rsid w:val="00D05A46"/>
    <w:rsid w:val="00D05C6E"/>
    <w:rsid w:val="00D05EF8"/>
    <w:rsid w:val="00D05FF5"/>
    <w:rsid w:val="00D061AD"/>
    <w:rsid w:val="00D061CF"/>
    <w:rsid w:val="00D06724"/>
    <w:rsid w:val="00D06769"/>
    <w:rsid w:val="00D06A1D"/>
    <w:rsid w:val="00D06D2D"/>
    <w:rsid w:val="00D06DCD"/>
    <w:rsid w:val="00D06ED4"/>
    <w:rsid w:val="00D07499"/>
    <w:rsid w:val="00D07738"/>
    <w:rsid w:val="00D0790B"/>
    <w:rsid w:val="00D07AA2"/>
    <w:rsid w:val="00D07B9D"/>
    <w:rsid w:val="00D07C66"/>
    <w:rsid w:val="00D07EA7"/>
    <w:rsid w:val="00D10717"/>
    <w:rsid w:val="00D1098B"/>
    <w:rsid w:val="00D10B58"/>
    <w:rsid w:val="00D11381"/>
    <w:rsid w:val="00D11557"/>
    <w:rsid w:val="00D11BC4"/>
    <w:rsid w:val="00D12084"/>
    <w:rsid w:val="00D1208B"/>
    <w:rsid w:val="00D12139"/>
    <w:rsid w:val="00D12254"/>
    <w:rsid w:val="00D123F7"/>
    <w:rsid w:val="00D1266F"/>
    <w:rsid w:val="00D12921"/>
    <w:rsid w:val="00D12A16"/>
    <w:rsid w:val="00D12DDB"/>
    <w:rsid w:val="00D12E13"/>
    <w:rsid w:val="00D13211"/>
    <w:rsid w:val="00D134CB"/>
    <w:rsid w:val="00D135B3"/>
    <w:rsid w:val="00D13697"/>
    <w:rsid w:val="00D1394E"/>
    <w:rsid w:val="00D13C4D"/>
    <w:rsid w:val="00D140F0"/>
    <w:rsid w:val="00D14582"/>
    <w:rsid w:val="00D1472F"/>
    <w:rsid w:val="00D14736"/>
    <w:rsid w:val="00D14765"/>
    <w:rsid w:val="00D1491B"/>
    <w:rsid w:val="00D1492B"/>
    <w:rsid w:val="00D14C39"/>
    <w:rsid w:val="00D14C86"/>
    <w:rsid w:val="00D14CC8"/>
    <w:rsid w:val="00D1566E"/>
    <w:rsid w:val="00D158DE"/>
    <w:rsid w:val="00D15926"/>
    <w:rsid w:val="00D15A13"/>
    <w:rsid w:val="00D15CB0"/>
    <w:rsid w:val="00D160DB"/>
    <w:rsid w:val="00D1611B"/>
    <w:rsid w:val="00D1647B"/>
    <w:rsid w:val="00D16B08"/>
    <w:rsid w:val="00D16D9A"/>
    <w:rsid w:val="00D17638"/>
    <w:rsid w:val="00D1794C"/>
    <w:rsid w:val="00D17C78"/>
    <w:rsid w:val="00D17D37"/>
    <w:rsid w:val="00D17F0D"/>
    <w:rsid w:val="00D17F45"/>
    <w:rsid w:val="00D17F8F"/>
    <w:rsid w:val="00D2000C"/>
    <w:rsid w:val="00D201F4"/>
    <w:rsid w:val="00D2027F"/>
    <w:rsid w:val="00D208DC"/>
    <w:rsid w:val="00D20FA3"/>
    <w:rsid w:val="00D20FAC"/>
    <w:rsid w:val="00D211A9"/>
    <w:rsid w:val="00D21214"/>
    <w:rsid w:val="00D21252"/>
    <w:rsid w:val="00D2134A"/>
    <w:rsid w:val="00D2156A"/>
    <w:rsid w:val="00D2172E"/>
    <w:rsid w:val="00D218E0"/>
    <w:rsid w:val="00D21DAF"/>
    <w:rsid w:val="00D21F01"/>
    <w:rsid w:val="00D22768"/>
    <w:rsid w:val="00D22B32"/>
    <w:rsid w:val="00D22B36"/>
    <w:rsid w:val="00D22F2E"/>
    <w:rsid w:val="00D22F35"/>
    <w:rsid w:val="00D23089"/>
    <w:rsid w:val="00D23755"/>
    <w:rsid w:val="00D23A02"/>
    <w:rsid w:val="00D23D4B"/>
    <w:rsid w:val="00D23DDD"/>
    <w:rsid w:val="00D244E2"/>
    <w:rsid w:val="00D2479E"/>
    <w:rsid w:val="00D248D9"/>
    <w:rsid w:val="00D24A49"/>
    <w:rsid w:val="00D24B63"/>
    <w:rsid w:val="00D24BE7"/>
    <w:rsid w:val="00D24DB6"/>
    <w:rsid w:val="00D253DC"/>
    <w:rsid w:val="00D25671"/>
    <w:rsid w:val="00D25773"/>
    <w:rsid w:val="00D259FD"/>
    <w:rsid w:val="00D260F2"/>
    <w:rsid w:val="00D2644D"/>
    <w:rsid w:val="00D268AD"/>
    <w:rsid w:val="00D26A13"/>
    <w:rsid w:val="00D303C2"/>
    <w:rsid w:val="00D306C4"/>
    <w:rsid w:val="00D30DAA"/>
    <w:rsid w:val="00D30FA8"/>
    <w:rsid w:val="00D310BD"/>
    <w:rsid w:val="00D31974"/>
    <w:rsid w:val="00D3198F"/>
    <w:rsid w:val="00D31ACB"/>
    <w:rsid w:val="00D31E50"/>
    <w:rsid w:val="00D325F1"/>
    <w:rsid w:val="00D32C24"/>
    <w:rsid w:val="00D333EE"/>
    <w:rsid w:val="00D3346E"/>
    <w:rsid w:val="00D337CE"/>
    <w:rsid w:val="00D33B55"/>
    <w:rsid w:val="00D33BFA"/>
    <w:rsid w:val="00D33D7D"/>
    <w:rsid w:val="00D33DA7"/>
    <w:rsid w:val="00D33F81"/>
    <w:rsid w:val="00D3417B"/>
    <w:rsid w:val="00D346A6"/>
    <w:rsid w:val="00D34952"/>
    <w:rsid w:val="00D34AE2"/>
    <w:rsid w:val="00D34F24"/>
    <w:rsid w:val="00D34FAA"/>
    <w:rsid w:val="00D352E6"/>
    <w:rsid w:val="00D35DFE"/>
    <w:rsid w:val="00D35EF1"/>
    <w:rsid w:val="00D36258"/>
    <w:rsid w:val="00D3634A"/>
    <w:rsid w:val="00D368A1"/>
    <w:rsid w:val="00D36A53"/>
    <w:rsid w:val="00D36AFF"/>
    <w:rsid w:val="00D36B43"/>
    <w:rsid w:val="00D3715D"/>
    <w:rsid w:val="00D3721C"/>
    <w:rsid w:val="00D374BF"/>
    <w:rsid w:val="00D37546"/>
    <w:rsid w:val="00D379CC"/>
    <w:rsid w:val="00D37CD7"/>
    <w:rsid w:val="00D4027C"/>
    <w:rsid w:val="00D40911"/>
    <w:rsid w:val="00D40C1E"/>
    <w:rsid w:val="00D40FC6"/>
    <w:rsid w:val="00D4182F"/>
    <w:rsid w:val="00D41E97"/>
    <w:rsid w:val="00D420D3"/>
    <w:rsid w:val="00D423BE"/>
    <w:rsid w:val="00D429D2"/>
    <w:rsid w:val="00D42C23"/>
    <w:rsid w:val="00D4316E"/>
    <w:rsid w:val="00D43183"/>
    <w:rsid w:val="00D4342D"/>
    <w:rsid w:val="00D4344E"/>
    <w:rsid w:val="00D436FB"/>
    <w:rsid w:val="00D43A12"/>
    <w:rsid w:val="00D43E2E"/>
    <w:rsid w:val="00D43F5D"/>
    <w:rsid w:val="00D443B5"/>
    <w:rsid w:val="00D44417"/>
    <w:rsid w:val="00D4449D"/>
    <w:rsid w:val="00D44C05"/>
    <w:rsid w:val="00D44DEA"/>
    <w:rsid w:val="00D45089"/>
    <w:rsid w:val="00D45122"/>
    <w:rsid w:val="00D45133"/>
    <w:rsid w:val="00D459A8"/>
    <w:rsid w:val="00D46257"/>
    <w:rsid w:val="00D4647A"/>
    <w:rsid w:val="00D464A1"/>
    <w:rsid w:val="00D46513"/>
    <w:rsid w:val="00D46592"/>
    <w:rsid w:val="00D467BB"/>
    <w:rsid w:val="00D468C8"/>
    <w:rsid w:val="00D46C4D"/>
    <w:rsid w:val="00D474B4"/>
    <w:rsid w:val="00D47C4A"/>
    <w:rsid w:val="00D47F02"/>
    <w:rsid w:val="00D47FE7"/>
    <w:rsid w:val="00D50142"/>
    <w:rsid w:val="00D501F5"/>
    <w:rsid w:val="00D50591"/>
    <w:rsid w:val="00D505B9"/>
    <w:rsid w:val="00D51349"/>
    <w:rsid w:val="00D513AE"/>
    <w:rsid w:val="00D51627"/>
    <w:rsid w:val="00D51973"/>
    <w:rsid w:val="00D51AEE"/>
    <w:rsid w:val="00D51BF9"/>
    <w:rsid w:val="00D52142"/>
    <w:rsid w:val="00D52296"/>
    <w:rsid w:val="00D52371"/>
    <w:rsid w:val="00D524A6"/>
    <w:rsid w:val="00D524CB"/>
    <w:rsid w:val="00D5254D"/>
    <w:rsid w:val="00D52D52"/>
    <w:rsid w:val="00D53312"/>
    <w:rsid w:val="00D5340C"/>
    <w:rsid w:val="00D53475"/>
    <w:rsid w:val="00D534BD"/>
    <w:rsid w:val="00D53BF4"/>
    <w:rsid w:val="00D54103"/>
    <w:rsid w:val="00D542C2"/>
    <w:rsid w:val="00D54574"/>
    <w:rsid w:val="00D54686"/>
    <w:rsid w:val="00D5474E"/>
    <w:rsid w:val="00D54AFB"/>
    <w:rsid w:val="00D54CF4"/>
    <w:rsid w:val="00D54EB9"/>
    <w:rsid w:val="00D54F29"/>
    <w:rsid w:val="00D551C2"/>
    <w:rsid w:val="00D553BE"/>
    <w:rsid w:val="00D5557A"/>
    <w:rsid w:val="00D555AE"/>
    <w:rsid w:val="00D556AD"/>
    <w:rsid w:val="00D55BD2"/>
    <w:rsid w:val="00D561C3"/>
    <w:rsid w:val="00D564DD"/>
    <w:rsid w:val="00D56603"/>
    <w:rsid w:val="00D56818"/>
    <w:rsid w:val="00D5686C"/>
    <w:rsid w:val="00D572A9"/>
    <w:rsid w:val="00D57528"/>
    <w:rsid w:val="00D575BB"/>
    <w:rsid w:val="00D57824"/>
    <w:rsid w:val="00D57855"/>
    <w:rsid w:val="00D57B66"/>
    <w:rsid w:val="00D60161"/>
    <w:rsid w:val="00D603EB"/>
    <w:rsid w:val="00D60624"/>
    <w:rsid w:val="00D60846"/>
    <w:rsid w:val="00D60964"/>
    <w:rsid w:val="00D609D3"/>
    <w:rsid w:val="00D60DD5"/>
    <w:rsid w:val="00D6118C"/>
    <w:rsid w:val="00D613AA"/>
    <w:rsid w:val="00D61536"/>
    <w:rsid w:val="00D61979"/>
    <w:rsid w:val="00D61B9E"/>
    <w:rsid w:val="00D61E18"/>
    <w:rsid w:val="00D61F44"/>
    <w:rsid w:val="00D61F4D"/>
    <w:rsid w:val="00D61F58"/>
    <w:rsid w:val="00D61F85"/>
    <w:rsid w:val="00D62360"/>
    <w:rsid w:val="00D62517"/>
    <w:rsid w:val="00D62774"/>
    <w:rsid w:val="00D62E48"/>
    <w:rsid w:val="00D62FC9"/>
    <w:rsid w:val="00D634C8"/>
    <w:rsid w:val="00D635D5"/>
    <w:rsid w:val="00D6372B"/>
    <w:rsid w:val="00D64154"/>
    <w:rsid w:val="00D64382"/>
    <w:rsid w:val="00D6475A"/>
    <w:rsid w:val="00D64D6F"/>
    <w:rsid w:val="00D6568A"/>
    <w:rsid w:val="00D664F2"/>
    <w:rsid w:val="00D668F8"/>
    <w:rsid w:val="00D66A5C"/>
    <w:rsid w:val="00D66ACF"/>
    <w:rsid w:val="00D66B10"/>
    <w:rsid w:val="00D66B57"/>
    <w:rsid w:val="00D66DAA"/>
    <w:rsid w:val="00D6734F"/>
    <w:rsid w:val="00D6759E"/>
    <w:rsid w:val="00D67685"/>
    <w:rsid w:val="00D6779B"/>
    <w:rsid w:val="00D67EE9"/>
    <w:rsid w:val="00D7007F"/>
    <w:rsid w:val="00D7018D"/>
    <w:rsid w:val="00D706F2"/>
    <w:rsid w:val="00D707C6"/>
    <w:rsid w:val="00D70920"/>
    <w:rsid w:val="00D709A3"/>
    <w:rsid w:val="00D70B35"/>
    <w:rsid w:val="00D71312"/>
    <w:rsid w:val="00D7142D"/>
    <w:rsid w:val="00D71602"/>
    <w:rsid w:val="00D71981"/>
    <w:rsid w:val="00D721D2"/>
    <w:rsid w:val="00D727E6"/>
    <w:rsid w:val="00D72C15"/>
    <w:rsid w:val="00D72EFD"/>
    <w:rsid w:val="00D72FA1"/>
    <w:rsid w:val="00D7301B"/>
    <w:rsid w:val="00D730E5"/>
    <w:rsid w:val="00D731D5"/>
    <w:rsid w:val="00D73256"/>
    <w:rsid w:val="00D7364D"/>
    <w:rsid w:val="00D73FAC"/>
    <w:rsid w:val="00D74302"/>
    <w:rsid w:val="00D74340"/>
    <w:rsid w:val="00D744B8"/>
    <w:rsid w:val="00D74A52"/>
    <w:rsid w:val="00D74AF4"/>
    <w:rsid w:val="00D74C4C"/>
    <w:rsid w:val="00D74E02"/>
    <w:rsid w:val="00D7518B"/>
    <w:rsid w:val="00D751C8"/>
    <w:rsid w:val="00D7556A"/>
    <w:rsid w:val="00D75E14"/>
    <w:rsid w:val="00D7629F"/>
    <w:rsid w:val="00D76464"/>
    <w:rsid w:val="00D766E2"/>
    <w:rsid w:val="00D766F1"/>
    <w:rsid w:val="00D76925"/>
    <w:rsid w:val="00D77784"/>
    <w:rsid w:val="00D77A7A"/>
    <w:rsid w:val="00D80063"/>
    <w:rsid w:val="00D804D5"/>
    <w:rsid w:val="00D8098A"/>
    <w:rsid w:val="00D809BA"/>
    <w:rsid w:val="00D80BD9"/>
    <w:rsid w:val="00D80EFE"/>
    <w:rsid w:val="00D80F8E"/>
    <w:rsid w:val="00D81105"/>
    <w:rsid w:val="00D81AE7"/>
    <w:rsid w:val="00D81C52"/>
    <w:rsid w:val="00D82013"/>
    <w:rsid w:val="00D825D1"/>
    <w:rsid w:val="00D8276B"/>
    <w:rsid w:val="00D82C50"/>
    <w:rsid w:val="00D83284"/>
    <w:rsid w:val="00D83C7F"/>
    <w:rsid w:val="00D83E68"/>
    <w:rsid w:val="00D83EFC"/>
    <w:rsid w:val="00D841F7"/>
    <w:rsid w:val="00D84282"/>
    <w:rsid w:val="00D84B90"/>
    <w:rsid w:val="00D85549"/>
    <w:rsid w:val="00D85579"/>
    <w:rsid w:val="00D85AF1"/>
    <w:rsid w:val="00D85BCA"/>
    <w:rsid w:val="00D8619C"/>
    <w:rsid w:val="00D861F5"/>
    <w:rsid w:val="00D8639C"/>
    <w:rsid w:val="00D865BB"/>
    <w:rsid w:val="00D86E50"/>
    <w:rsid w:val="00D86E58"/>
    <w:rsid w:val="00D86EB2"/>
    <w:rsid w:val="00D87060"/>
    <w:rsid w:val="00D870A3"/>
    <w:rsid w:val="00D87299"/>
    <w:rsid w:val="00D872A8"/>
    <w:rsid w:val="00D872E8"/>
    <w:rsid w:val="00D87550"/>
    <w:rsid w:val="00D87DBA"/>
    <w:rsid w:val="00D87F68"/>
    <w:rsid w:val="00D901FF"/>
    <w:rsid w:val="00D903B2"/>
    <w:rsid w:val="00D905B0"/>
    <w:rsid w:val="00D90670"/>
    <w:rsid w:val="00D906C4"/>
    <w:rsid w:val="00D9075E"/>
    <w:rsid w:val="00D90A8D"/>
    <w:rsid w:val="00D90C07"/>
    <w:rsid w:val="00D9120C"/>
    <w:rsid w:val="00D91853"/>
    <w:rsid w:val="00D91A1E"/>
    <w:rsid w:val="00D91ABB"/>
    <w:rsid w:val="00D91BA5"/>
    <w:rsid w:val="00D91DA0"/>
    <w:rsid w:val="00D92330"/>
    <w:rsid w:val="00D9246B"/>
    <w:rsid w:val="00D926BF"/>
    <w:rsid w:val="00D9291D"/>
    <w:rsid w:val="00D92A4E"/>
    <w:rsid w:val="00D92AB2"/>
    <w:rsid w:val="00D93030"/>
    <w:rsid w:val="00D9316A"/>
    <w:rsid w:val="00D932CA"/>
    <w:rsid w:val="00D93377"/>
    <w:rsid w:val="00D93902"/>
    <w:rsid w:val="00D93A6A"/>
    <w:rsid w:val="00D93D5B"/>
    <w:rsid w:val="00D9467D"/>
    <w:rsid w:val="00D9469F"/>
    <w:rsid w:val="00D948F5"/>
    <w:rsid w:val="00D94AAC"/>
    <w:rsid w:val="00D94CCA"/>
    <w:rsid w:val="00D95006"/>
    <w:rsid w:val="00D95046"/>
    <w:rsid w:val="00D95064"/>
    <w:rsid w:val="00D9536F"/>
    <w:rsid w:val="00D95562"/>
    <w:rsid w:val="00D9585E"/>
    <w:rsid w:val="00D9587A"/>
    <w:rsid w:val="00D95A28"/>
    <w:rsid w:val="00D95CE4"/>
    <w:rsid w:val="00D96167"/>
    <w:rsid w:val="00D9626B"/>
    <w:rsid w:val="00D9676A"/>
    <w:rsid w:val="00D96D64"/>
    <w:rsid w:val="00D970B7"/>
    <w:rsid w:val="00D970E2"/>
    <w:rsid w:val="00D97435"/>
    <w:rsid w:val="00D97491"/>
    <w:rsid w:val="00D97E1A"/>
    <w:rsid w:val="00D97E26"/>
    <w:rsid w:val="00D97E70"/>
    <w:rsid w:val="00DA0110"/>
    <w:rsid w:val="00DA022A"/>
    <w:rsid w:val="00DA0270"/>
    <w:rsid w:val="00DA06C2"/>
    <w:rsid w:val="00DA0870"/>
    <w:rsid w:val="00DA0BC6"/>
    <w:rsid w:val="00DA0DDD"/>
    <w:rsid w:val="00DA12BF"/>
    <w:rsid w:val="00DA16FC"/>
    <w:rsid w:val="00DA1CBC"/>
    <w:rsid w:val="00DA1DBE"/>
    <w:rsid w:val="00DA1FE5"/>
    <w:rsid w:val="00DA2318"/>
    <w:rsid w:val="00DA24DA"/>
    <w:rsid w:val="00DA24DF"/>
    <w:rsid w:val="00DA26EA"/>
    <w:rsid w:val="00DA2E82"/>
    <w:rsid w:val="00DA3154"/>
    <w:rsid w:val="00DA3296"/>
    <w:rsid w:val="00DA38DA"/>
    <w:rsid w:val="00DA39F2"/>
    <w:rsid w:val="00DA3A15"/>
    <w:rsid w:val="00DA40BA"/>
    <w:rsid w:val="00DA438F"/>
    <w:rsid w:val="00DA4E43"/>
    <w:rsid w:val="00DA4EB1"/>
    <w:rsid w:val="00DA52C6"/>
    <w:rsid w:val="00DA5553"/>
    <w:rsid w:val="00DA589C"/>
    <w:rsid w:val="00DA5A49"/>
    <w:rsid w:val="00DA609C"/>
    <w:rsid w:val="00DA6281"/>
    <w:rsid w:val="00DA6771"/>
    <w:rsid w:val="00DA682B"/>
    <w:rsid w:val="00DA6A2C"/>
    <w:rsid w:val="00DA6CD2"/>
    <w:rsid w:val="00DA729C"/>
    <w:rsid w:val="00DA7916"/>
    <w:rsid w:val="00DA7C91"/>
    <w:rsid w:val="00DB049A"/>
    <w:rsid w:val="00DB0648"/>
    <w:rsid w:val="00DB0714"/>
    <w:rsid w:val="00DB08EA"/>
    <w:rsid w:val="00DB0A7B"/>
    <w:rsid w:val="00DB11FC"/>
    <w:rsid w:val="00DB1213"/>
    <w:rsid w:val="00DB186A"/>
    <w:rsid w:val="00DB1AE3"/>
    <w:rsid w:val="00DB1FE5"/>
    <w:rsid w:val="00DB2145"/>
    <w:rsid w:val="00DB267A"/>
    <w:rsid w:val="00DB28F5"/>
    <w:rsid w:val="00DB2A03"/>
    <w:rsid w:val="00DB2A49"/>
    <w:rsid w:val="00DB3145"/>
    <w:rsid w:val="00DB3706"/>
    <w:rsid w:val="00DB39C8"/>
    <w:rsid w:val="00DB39E8"/>
    <w:rsid w:val="00DB3A31"/>
    <w:rsid w:val="00DB3B4A"/>
    <w:rsid w:val="00DB3D34"/>
    <w:rsid w:val="00DB3D88"/>
    <w:rsid w:val="00DB3EEA"/>
    <w:rsid w:val="00DB3FB4"/>
    <w:rsid w:val="00DB48EB"/>
    <w:rsid w:val="00DB4C3F"/>
    <w:rsid w:val="00DB522B"/>
    <w:rsid w:val="00DB56FD"/>
    <w:rsid w:val="00DB578A"/>
    <w:rsid w:val="00DB57C5"/>
    <w:rsid w:val="00DB57DF"/>
    <w:rsid w:val="00DB57F3"/>
    <w:rsid w:val="00DB59DE"/>
    <w:rsid w:val="00DB5A07"/>
    <w:rsid w:val="00DB5C61"/>
    <w:rsid w:val="00DB5CAA"/>
    <w:rsid w:val="00DB5ED4"/>
    <w:rsid w:val="00DB62E0"/>
    <w:rsid w:val="00DB62E1"/>
    <w:rsid w:val="00DB6528"/>
    <w:rsid w:val="00DB6534"/>
    <w:rsid w:val="00DB70D1"/>
    <w:rsid w:val="00DB7464"/>
    <w:rsid w:val="00DB7504"/>
    <w:rsid w:val="00DB751C"/>
    <w:rsid w:val="00DB77F4"/>
    <w:rsid w:val="00DB7820"/>
    <w:rsid w:val="00DB7CBD"/>
    <w:rsid w:val="00DC00B9"/>
    <w:rsid w:val="00DC011D"/>
    <w:rsid w:val="00DC023C"/>
    <w:rsid w:val="00DC0489"/>
    <w:rsid w:val="00DC060A"/>
    <w:rsid w:val="00DC06BD"/>
    <w:rsid w:val="00DC07E1"/>
    <w:rsid w:val="00DC0BDC"/>
    <w:rsid w:val="00DC0C69"/>
    <w:rsid w:val="00DC1017"/>
    <w:rsid w:val="00DC1089"/>
    <w:rsid w:val="00DC1277"/>
    <w:rsid w:val="00DC1596"/>
    <w:rsid w:val="00DC1833"/>
    <w:rsid w:val="00DC197F"/>
    <w:rsid w:val="00DC198B"/>
    <w:rsid w:val="00DC1B0E"/>
    <w:rsid w:val="00DC1B4B"/>
    <w:rsid w:val="00DC2007"/>
    <w:rsid w:val="00DC23D6"/>
    <w:rsid w:val="00DC24D1"/>
    <w:rsid w:val="00DC2514"/>
    <w:rsid w:val="00DC251E"/>
    <w:rsid w:val="00DC290D"/>
    <w:rsid w:val="00DC293B"/>
    <w:rsid w:val="00DC2B62"/>
    <w:rsid w:val="00DC2B71"/>
    <w:rsid w:val="00DC2DD5"/>
    <w:rsid w:val="00DC3270"/>
    <w:rsid w:val="00DC3285"/>
    <w:rsid w:val="00DC354D"/>
    <w:rsid w:val="00DC3577"/>
    <w:rsid w:val="00DC37A5"/>
    <w:rsid w:val="00DC3DB8"/>
    <w:rsid w:val="00DC3F64"/>
    <w:rsid w:val="00DC4B5B"/>
    <w:rsid w:val="00DC4BC6"/>
    <w:rsid w:val="00DC4C6A"/>
    <w:rsid w:val="00DC515C"/>
    <w:rsid w:val="00DC532E"/>
    <w:rsid w:val="00DC542C"/>
    <w:rsid w:val="00DC569F"/>
    <w:rsid w:val="00DC5773"/>
    <w:rsid w:val="00DC57BE"/>
    <w:rsid w:val="00DC6060"/>
    <w:rsid w:val="00DC60A4"/>
    <w:rsid w:val="00DC63E9"/>
    <w:rsid w:val="00DC6975"/>
    <w:rsid w:val="00DC6B00"/>
    <w:rsid w:val="00DC6CE5"/>
    <w:rsid w:val="00DC710A"/>
    <w:rsid w:val="00DC75E4"/>
    <w:rsid w:val="00DC76E0"/>
    <w:rsid w:val="00DC7B02"/>
    <w:rsid w:val="00DC7E38"/>
    <w:rsid w:val="00DD0470"/>
    <w:rsid w:val="00DD0472"/>
    <w:rsid w:val="00DD0914"/>
    <w:rsid w:val="00DD0DBA"/>
    <w:rsid w:val="00DD0EAB"/>
    <w:rsid w:val="00DD129C"/>
    <w:rsid w:val="00DD1569"/>
    <w:rsid w:val="00DD16FA"/>
    <w:rsid w:val="00DD1CC0"/>
    <w:rsid w:val="00DD1D81"/>
    <w:rsid w:val="00DD21B3"/>
    <w:rsid w:val="00DD22B8"/>
    <w:rsid w:val="00DD2319"/>
    <w:rsid w:val="00DD24B7"/>
    <w:rsid w:val="00DD2579"/>
    <w:rsid w:val="00DD2AB7"/>
    <w:rsid w:val="00DD2C78"/>
    <w:rsid w:val="00DD30F1"/>
    <w:rsid w:val="00DD3103"/>
    <w:rsid w:val="00DD3A88"/>
    <w:rsid w:val="00DD3BAC"/>
    <w:rsid w:val="00DD3BCF"/>
    <w:rsid w:val="00DD3D35"/>
    <w:rsid w:val="00DD41E7"/>
    <w:rsid w:val="00DD436E"/>
    <w:rsid w:val="00DD44AE"/>
    <w:rsid w:val="00DD46F2"/>
    <w:rsid w:val="00DD479B"/>
    <w:rsid w:val="00DD4D33"/>
    <w:rsid w:val="00DD4E7B"/>
    <w:rsid w:val="00DD554D"/>
    <w:rsid w:val="00DD5B4F"/>
    <w:rsid w:val="00DD5D15"/>
    <w:rsid w:val="00DD6033"/>
    <w:rsid w:val="00DD65CD"/>
    <w:rsid w:val="00DD6A1A"/>
    <w:rsid w:val="00DD6D65"/>
    <w:rsid w:val="00DD702C"/>
    <w:rsid w:val="00DD7368"/>
    <w:rsid w:val="00DD79AF"/>
    <w:rsid w:val="00DD7AEB"/>
    <w:rsid w:val="00DD7B72"/>
    <w:rsid w:val="00DE08FF"/>
    <w:rsid w:val="00DE0A84"/>
    <w:rsid w:val="00DE0D31"/>
    <w:rsid w:val="00DE0DDE"/>
    <w:rsid w:val="00DE0FA8"/>
    <w:rsid w:val="00DE1140"/>
    <w:rsid w:val="00DE13A0"/>
    <w:rsid w:val="00DE14A7"/>
    <w:rsid w:val="00DE173D"/>
    <w:rsid w:val="00DE17B1"/>
    <w:rsid w:val="00DE195E"/>
    <w:rsid w:val="00DE1DAB"/>
    <w:rsid w:val="00DE2401"/>
    <w:rsid w:val="00DE2864"/>
    <w:rsid w:val="00DE2FC8"/>
    <w:rsid w:val="00DE3045"/>
    <w:rsid w:val="00DE320A"/>
    <w:rsid w:val="00DE33B8"/>
    <w:rsid w:val="00DE3433"/>
    <w:rsid w:val="00DE463A"/>
    <w:rsid w:val="00DE4795"/>
    <w:rsid w:val="00DE4B73"/>
    <w:rsid w:val="00DE4C92"/>
    <w:rsid w:val="00DE4D44"/>
    <w:rsid w:val="00DE4DAE"/>
    <w:rsid w:val="00DE4E0A"/>
    <w:rsid w:val="00DE4FB3"/>
    <w:rsid w:val="00DE4FE6"/>
    <w:rsid w:val="00DE50EE"/>
    <w:rsid w:val="00DE571B"/>
    <w:rsid w:val="00DE588F"/>
    <w:rsid w:val="00DE6088"/>
    <w:rsid w:val="00DE666A"/>
    <w:rsid w:val="00DE6A3F"/>
    <w:rsid w:val="00DE72B0"/>
    <w:rsid w:val="00DE75D4"/>
    <w:rsid w:val="00DE7E26"/>
    <w:rsid w:val="00DF00F3"/>
    <w:rsid w:val="00DF0292"/>
    <w:rsid w:val="00DF0463"/>
    <w:rsid w:val="00DF047C"/>
    <w:rsid w:val="00DF0514"/>
    <w:rsid w:val="00DF057C"/>
    <w:rsid w:val="00DF06AE"/>
    <w:rsid w:val="00DF0ACA"/>
    <w:rsid w:val="00DF13AF"/>
    <w:rsid w:val="00DF149F"/>
    <w:rsid w:val="00DF15E6"/>
    <w:rsid w:val="00DF164D"/>
    <w:rsid w:val="00DF1860"/>
    <w:rsid w:val="00DF20AE"/>
    <w:rsid w:val="00DF225F"/>
    <w:rsid w:val="00DF22BB"/>
    <w:rsid w:val="00DF235F"/>
    <w:rsid w:val="00DF2579"/>
    <w:rsid w:val="00DF2618"/>
    <w:rsid w:val="00DF2D81"/>
    <w:rsid w:val="00DF2F79"/>
    <w:rsid w:val="00DF31AD"/>
    <w:rsid w:val="00DF329B"/>
    <w:rsid w:val="00DF32B0"/>
    <w:rsid w:val="00DF340B"/>
    <w:rsid w:val="00DF395C"/>
    <w:rsid w:val="00DF3A9C"/>
    <w:rsid w:val="00DF3E4C"/>
    <w:rsid w:val="00DF46A7"/>
    <w:rsid w:val="00DF508B"/>
    <w:rsid w:val="00DF52EF"/>
    <w:rsid w:val="00DF5495"/>
    <w:rsid w:val="00DF54B9"/>
    <w:rsid w:val="00DF57CE"/>
    <w:rsid w:val="00DF5AD1"/>
    <w:rsid w:val="00DF5F11"/>
    <w:rsid w:val="00DF6277"/>
    <w:rsid w:val="00DF6347"/>
    <w:rsid w:val="00DF67F4"/>
    <w:rsid w:val="00DF6948"/>
    <w:rsid w:val="00DF6AAA"/>
    <w:rsid w:val="00DF6C96"/>
    <w:rsid w:val="00DF6CA7"/>
    <w:rsid w:val="00DF6F19"/>
    <w:rsid w:val="00DF71DB"/>
    <w:rsid w:val="00DF736F"/>
    <w:rsid w:val="00DF7EEA"/>
    <w:rsid w:val="00E00037"/>
    <w:rsid w:val="00E00409"/>
    <w:rsid w:val="00E00A50"/>
    <w:rsid w:val="00E00B57"/>
    <w:rsid w:val="00E00F6D"/>
    <w:rsid w:val="00E00F90"/>
    <w:rsid w:val="00E014E3"/>
    <w:rsid w:val="00E02710"/>
    <w:rsid w:val="00E02769"/>
    <w:rsid w:val="00E02B46"/>
    <w:rsid w:val="00E03067"/>
    <w:rsid w:val="00E03742"/>
    <w:rsid w:val="00E03886"/>
    <w:rsid w:val="00E03ED5"/>
    <w:rsid w:val="00E0454F"/>
    <w:rsid w:val="00E05003"/>
    <w:rsid w:val="00E05183"/>
    <w:rsid w:val="00E052EA"/>
    <w:rsid w:val="00E05876"/>
    <w:rsid w:val="00E058F5"/>
    <w:rsid w:val="00E05E9E"/>
    <w:rsid w:val="00E061FB"/>
    <w:rsid w:val="00E062E9"/>
    <w:rsid w:val="00E063A7"/>
    <w:rsid w:val="00E063B1"/>
    <w:rsid w:val="00E06B77"/>
    <w:rsid w:val="00E070ED"/>
    <w:rsid w:val="00E07105"/>
    <w:rsid w:val="00E0728D"/>
    <w:rsid w:val="00E073B0"/>
    <w:rsid w:val="00E0744B"/>
    <w:rsid w:val="00E07757"/>
    <w:rsid w:val="00E07C2F"/>
    <w:rsid w:val="00E1011C"/>
    <w:rsid w:val="00E101F5"/>
    <w:rsid w:val="00E103A2"/>
    <w:rsid w:val="00E1049E"/>
    <w:rsid w:val="00E1068C"/>
    <w:rsid w:val="00E10C1B"/>
    <w:rsid w:val="00E10C3A"/>
    <w:rsid w:val="00E10CF4"/>
    <w:rsid w:val="00E10DF6"/>
    <w:rsid w:val="00E119EA"/>
    <w:rsid w:val="00E11E64"/>
    <w:rsid w:val="00E11F7D"/>
    <w:rsid w:val="00E1202E"/>
    <w:rsid w:val="00E122F6"/>
    <w:rsid w:val="00E12624"/>
    <w:rsid w:val="00E12743"/>
    <w:rsid w:val="00E1290D"/>
    <w:rsid w:val="00E13245"/>
    <w:rsid w:val="00E1338F"/>
    <w:rsid w:val="00E134B4"/>
    <w:rsid w:val="00E138DB"/>
    <w:rsid w:val="00E13925"/>
    <w:rsid w:val="00E139D9"/>
    <w:rsid w:val="00E13A53"/>
    <w:rsid w:val="00E13FD7"/>
    <w:rsid w:val="00E1453B"/>
    <w:rsid w:val="00E14699"/>
    <w:rsid w:val="00E14C8D"/>
    <w:rsid w:val="00E14CDB"/>
    <w:rsid w:val="00E14D0B"/>
    <w:rsid w:val="00E1502A"/>
    <w:rsid w:val="00E1551E"/>
    <w:rsid w:val="00E1556F"/>
    <w:rsid w:val="00E156D6"/>
    <w:rsid w:val="00E15C96"/>
    <w:rsid w:val="00E15E06"/>
    <w:rsid w:val="00E162A3"/>
    <w:rsid w:val="00E1639F"/>
    <w:rsid w:val="00E163C0"/>
    <w:rsid w:val="00E1656D"/>
    <w:rsid w:val="00E167C3"/>
    <w:rsid w:val="00E16C45"/>
    <w:rsid w:val="00E16DE7"/>
    <w:rsid w:val="00E16F2A"/>
    <w:rsid w:val="00E170AB"/>
    <w:rsid w:val="00E171EA"/>
    <w:rsid w:val="00E1755D"/>
    <w:rsid w:val="00E175AE"/>
    <w:rsid w:val="00E178AA"/>
    <w:rsid w:val="00E17C5D"/>
    <w:rsid w:val="00E17E6B"/>
    <w:rsid w:val="00E200F9"/>
    <w:rsid w:val="00E20AAF"/>
    <w:rsid w:val="00E20CC1"/>
    <w:rsid w:val="00E20DBC"/>
    <w:rsid w:val="00E210E1"/>
    <w:rsid w:val="00E21753"/>
    <w:rsid w:val="00E217C5"/>
    <w:rsid w:val="00E2182A"/>
    <w:rsid w:val="00E22063"/>
    <w:rsid w:val="00E221FF"/>
    <w:rsid w:val="00E22520"/>
    <w:rsid w:val="00E22717"/>
    <w:rsid w:val="00E22972"/>
    <w:rsid w:val="00E22BD4"/>
    <w:rsid w:val="00E22EB9"/>
    <w:rsid w:val="00E2323C"/>
    <w:rsid w:val="00E232EF"/>
    <w:rsid w:val="00E233E9"/>
    <w:rsid w:val="00E2341B"/>
    <w:rsid w:val="00E23504"/>
    <w:rsid w:val="00E23655"/>
    <w:rsid w:val="00E23B7F"/>
    <w:rsid w:val="00E23CBB"/>
    <w:rsid w:val="00E24081"/>
    <w:rsid w:val="00E24F03"/>
    <w:rsid w:val="00E25BD6"/>
    <w:rsid w:val="00E25F61"/>
    <w:rsid w:val="00E2621E"/>
    <w:rsid w:val="00E26412"/>
    <w:rsid w:val="00E264F9"/>
    <w:rsid w:val="00E26690"/>
    <w:rsid w:val="00E26699"/>
    <w:rsid w:val="00E2678C"/>
    <w:rsid w:val="00E26D1D"/>
    <w:rsid w:val="00E26ED0"/>
    <w:rsid w:val="00E26F6D"/>
    <w:rsid w:val="00E27089"/>
    <w:rsid w:val="00E2736E"/>
    <w:rsid w:val="00E2738B"/>
    <w:rsid w:val="00E27416"/>
    <w:rsid w:val="00E27C39"/>
    <w:rsid w:val="00E27CB0"/>
    <w:rsid w:val="00E30139"/>
    <w:rsid w:val="00E301FB"/>
    <w:rsid w:val="00E3048D"/>
    <w:rsid w:val="00E305AE"/>
    <w:rsid w:val="00E30D98"/>
    <w:rsid w:val="00E315E4"/>
    <w:rsid w:val="00E31DC1"/>
    <w:rsid w:val="00E326D2"/>
    <w:rsid w:val="00E32744"/>
    <w:rsid w:val="00E32904"/>
    <w:rsid w:val="00E32A24"/>
    <w:rsid w:val="00E32A78"/>
    <w:rsid w:val="00E32BC4"/>
    <w:rsid w:val="00E32BE0"/>
    <w:rsid w:val="00E32D69"/>
    <w:rsid w:val="00E32FA6"/>
    <w:rsid w:val="00E33063"/>
    <w:rsid w:val="00E33407"/>
    <w:rsid w:val="00E33454"/>
    <w:rsid w:val="00E33749"/>
    <w:rsid w:val="00E347AD"/>
    <w:rsid w:val="00E34D82"/>
    <w:rsid w:val="00E34D8D"/>
    <w:rsid w:val="00E35080"/>
    <w:rsid w:val="00E35243"/>
    <w:rsid w:val="00E3539E"/>
    <w:rsid w:val="00E3541F"/>
    <w:rsid w:val="00E35427"/>
    <w:rsid w:val="00E356D8"/>
    <w:rsid w:val="00E3582B"/>
    <w:rsid w:val="00E3597A"/>
    <w:rsid w:val="00E359B4"/>
    <w:rsid w:val="00E359B8"/>
    <w:rsid w:val="00E35BC4"/>
    <w:rsid w:val="00E35CC9"/>
    <w:rsid w:val="00E35D72"/>
    <w:rsid w:val="00E362B0"/>
    <w:rsid w:val="00E36CE0"/>
    <w:rsid w:val="00E378DF"/>
    <w:rsid w:val="00E400E3"/>
    <w:rsid w:val="00E4017C"/>
    <w:rsid w:val="00E40211"/>
    <w:rsid w:val="00E4021D"/>
    <w:rsid w:val="00E40407"/>
    <w:rsid w:val="00E405A8"/>
    <w:rsid w:val="00E407C4"/>
    <w:rsid w:val="00E4086A"/>
    <w:rsid w:val="00E409F3"/>
    <w:rsid w:val="00E40A81"/>
    <w:rsid w:val="00E40BCC"/>
    <w:rsid w:val="00E40DDD"/>
    <w:rsid w:val="00E40F0D"/>
    <w:rsid w:val="00E40FD4"/>
    <w:rsid w:val="00E41290"/>
    <w:rsid w:val="00E41299"/>
    <w:rsid w:val="00E4165A"/>
    <w:rsid w:val="00E4168D"/>
    <w:rsid w:val="00E418F9"/>
    <w:rsid w:val="00E41DB7"/>
    <w:rsid w:val="00E422FB"/>
    <w:rsid w:val="00E42342"/>
    <w:rsid w:val="00E423E2"/>
    <w:rsid w:val="00E427AD"/>
    <w:rsid w:val="00E427B1"/>
    <w:rsid w:val="00E428A2"/>
    <w:rsid w:val="00E429E2"/>
    <w:rsid w:val="00E42AE3"/>
    <w:rsid w:val="00E42B54"/>
    <w:rsid w:val="00E42CDA"/>
    <w:rsid w:val="00E42DF9"/>
    <w:rsid w:val="00E436CB"/>
    <w:rsid w:val="00E438D0"/>
    <w:rsid w:val="00E43992"/>
    <w:rsid w:val="00E43A66"/>
    <w:rsid w:val="00E43D8F"/>
    <w:rsid w:val="00E43E56"/>
    <w:rsid w:val="00E446B9"/>
    <w:rsid w:val="00E44DA8"/>
    <w:rsid w:val="00E44E5D"/>
    <w:rsid w:val="00E44FBB"/>
    <w:rsid w:val="00E4504E"/>
    <w:rsid w:val="00E45182"/>
    <w:rsid w:val="00E4529E"/>
    <w:rsid w:val="00E458F3"/>
    <w:rsid w:val="00E45B34"/>
    <w:rsid w:val="00E45C97"/>
    <w:rsid w:val="00E45C98"/>
    <w:rsid w:val="00E45CA8"/>
    <w:rsid w:val="00E46350"/>
    <w:rsid w:val="00E464BD"/>
    <w:rsid w:val="00E4659B"/>
    <w:rsid w:val="00E46631"/>
    <w:rsid w:val="00E467B1"/>
    <w:rsid w:val="00E46B21"/>
    <w:rsid w:val="00E46C1A"/>
    <w:rsid w:val="00E46F66"/>
    <w:rsid w:val="00E47182"/>
    <w:rsid w:val="00E47417"/>
    <w:rsid w:val="00E5074D"/>
    <w:rsid w:val="00E50BFE"/>
    <w:rsid w:val="00E50D82"/>
    <w:rsid w:val="00E50EFD"/>
    <w:rsid w:val="00E51E80"/>
    <w:rsid w:val="00E51E91"/>
    <w:rsid w:val="00E51FEA"/>
    <w:rsid w:val="00E52591"/>
    <w:rsid w:val="00E52754"/>
    <w:rsid w:val="00E5282D"/>
    <w:rsid w:val="00E52965"/>
    <w:rsid w:val="00E52A4D"/>
    <w:rsid w:val="00E5315D"/>
    <w:rsid w:val="00E53471"/>
    <w:rsid w:val="00E5361C"/>
    <w:rsid w:val="00E543AC"/>
    <w:rsid w:val="00E543B4"/>
    <w:rsid w:val="00E543CB"/>
    <w:rsid w:val="00E5460E"/>
    <w:rsid w:val="00E54B39"/>
    <w:rsid w:val="00E54DE1"/>
    <w:rsid w:val="00E54E09"/>
    <w:rsid w:val="00E550A4"/>
    <w:rsid w:val="00E55677"/>
    <w:rsid w:val="00E556DF"/>
    <w:rsid w:val="00E559BB"/>
    <w:rsid w:val="00E55C09"/>
    <w:rsid w:val="00E55C0F"/>
    <w:rsid w:val="00E5602B"/>
    <w:rsid w:val="00E5604A"/>
    <w:rsid w:val="00E5647F"/>
    <w:rsid w:val="00E564A3"/>
    <w:rsid w:val="00E5666B"/>
    <w:rsid w:val="00E566CA"/>
    <w:rsid w:val="00E578BC"/>
    <w:rsid w:val="00E57B36"/>
    <w:rsid w:val="00E57C8A"/>
    <w:rsid w:val="00E57EBC"/>
    <w:rsid w:val="00E57F85"/>
    <w:rsid w:val="00E6032F"/>
    <w:rsid w:val="00E60446"/>
    <w:rsid w:val="00E60C84"/>
    <w:rsid w:val="00E60DD5"/>
    <w:rsid w:val="00E61227"/>
    <w:rsid w:val="00E614A3"/>
    <w:rsid w:val="00E61729"/>
    <w:rsid w:val="00E61857"/>
    <w:rsid w:val="00E61D37"/>
    <w:rsid w:val="00E61E8C"/>
    <w:rsid w:val="00E62062"/>
    <w:rsid w:val="00E621D4"/>
    <w:rsid w:val="00E62280"/>
    <w:rsid w:val="00E62E5E"/>
    <w:rsid w:val="00E62FDC"/>
    <w:rsid w:val="00E631B1"/>
    <w:rsid w:val="00E636D1"/>
    <w:rsid w:val="00E63841"/>
    <w:rsid w:val="00E63E2D"/>
    <w:rsid w:val="00E64380"/>
    <w:rsid w:val="00E64702"/>
    <w:rsid w:val="00E64905"/>
    <w:rsid w:val="00E64F10"/>
    <w:rsid w:val="00E653C3"/>
    <w:rsid w:val="00E65699"/>
    <w:rsid w:val="00E65A41"/>
    <w:rsid w:val="00E663A8"/>
    <w:rsid w:val="00E666D6"/>
    <w:rsid w:val="00E66B45"/>
    <w:rsid w:val="00E66C87"/>
    <w:rsid w:val="00E67185"/>
    <w:rsid w:val="00E672F1"/>
    <w:rsid w:val="00E674B6"/>
    <w:rsid w:val="00E67A92"/>
    <w:rsid w:val="00E67EFD"/>
    <w:rsid w:val="00E67F50"/>
    <w:rsid w:val="00E700E0"/>
    <w:rsid w:val="00E70875"/>
    <w:rsid w:val="00E70A0E"/>
    <w:rsid w:val="00E70AA9"/>
    <w:rsid w:val="00E70ACA"/>
    <w:rsid w:val="00E70E0A"/>
    <w:rsid w:val="00E70F25"/>
    <w:rsid w:val="00E712E5"/>
    <w:rsid w:val="00E71419"/>
    <w:rsid w:val="00E71495"/>
    <w:rsid w:val="00E719EA"/>
    <w:rsid w:val="00E71A9A"/>
    <w:rsid w:val="00E71ED5"/>
    <w:rsid w:val="00E72362"/>
    <w:rsid w:val="00E72495"/>
    <w:rsid w:val="00E7249A"/>
    <w:rsid w:val="00E72573"/>
    <w:rsid w:val="00E725B3"/>
    <w:rsid w:val="00E7264D"/>
    <w:rsid w:val="00E726AB"/>
    <w:rsid w:val="00E726E8"/>
    <w:rsid w:val="00E72A98"/>
    <w:rsid w:val="00E72B3A"/>
    <w:rsid w:val="00E72C94"/>
    <w:rsid w:val="00E72E0F"/>
    <w:rsid w:val="00E73193"/>
    <w:rsid w:val="00E7341B"/>
    <w:rsid w:val="00E73528"/>
    <w:rsid w:val="00E73594"/>
    <w:rsid w:val="00E73BE0"/>
    <w:rsid w:val="00E73D7E"/>
    <w:rsid w:val="00E74234"/>
    <w:rsid w:val="00E74338"/>
    <w:rsid w:val="00E743E7"/>
    <w:rsid w:val="00E74527"/>
    <w:rsid w:val="00E7460E"/>
    <w:rsid w:val="00E74985"/>
    <w:rsid w:val="00E74E7E"/>
    <w:rsid w:val="00E7519F"/>
    <w:rsid w:val="00E75429"/>
    <w:rsid w:val="00E75598"/>
    <w:rsid w:val="00E756EF"/>
    <w:rsid w:val="00E759A4"/>
    <w:rsid w:val="00E75ED9"/>
    <w:rsid w:val="00E75EE4"/>
    <w:rsid w:val="00E760E6"/>
    <w:rsid w:val="00E76137"/>
    <w:rsid w:val="00E762EB"/>
    <w:rsid w:val="00E76601"/>
    <w:rsid w:val="00E76800"/>
    <w:rsid w:val="00E76B17"/>
    <w:rsid w:val="00E76D15"/>
    <w:rsid w:val="00E778FF"/>
    <w:rsid w:val="00E77EBA"/>
    <w:rsid w:val="00E806CF"/>
    <w:rsid w:val="00E80B7B"/>
    <w:rsid w:val="00E80B9B"/>
    <w:rsid w:val="00E80F79"/>
    <w:rsid w:val="00E81144"/>
    <w:rsid w:val="00E81607"/>
    <w:rsid w:val="00E81D9B"/>
    <w:rsid w:val="00E81F0F"/>
    <w:rsid w:val="00E81F47"/>
    <w:rsid w:val="00E821D3"/>
    <w:rsid w:val="00E82292"/>
    <w:rsid w:val="00E824E9"/>
    <w:rsid w:val="00E8258F"/>
    <w:rsid w:val="00E827C8"/>
    <w:rsid w:val="00E828CF"/>
    <w:rsid w:val="00E82B39"/>
    <w:rsid w:val="00E82D40"/>
    <w:rsid w:val="00E82E1A"/>
    <w:rsid w:val="00E832CA"/>
    <w:rsid w:val="00E83618"/>
    <w:rsid w:val="00E837AC"/>
    <w:rsid w:val="00E838AE"/>
    <w:rsid w:val="00E83FD2"/>
    <w:rsid w:val="00E84699"/>
    <w:rsid w:val="00E849D6"/>
    <w:rsid w:val="00E84AEF"/>
    <w:rsid w:val="00E8574F"/>
    <w:rsid w:val="00E85A20"/>
    <w:rsid w:val="00E8648F"/>
    <w:rsid w:val="00E86710"/>
    <w:rsid w:val="00E86805"/>
    <w:rsid w:val="00E870BB"/>
    <w:rsid w:val="00E87376"/>
    <w:rsid w:val="00E8739A"/>
    <w:rsid w:val="00E87A9B"/>
    <w:rsid w:val="00E87C19"/>
    <w:rsid w:val="00E87CED"/>
    <w:rsid w:val="00E900D5"/>
    <w:rsid w:val="00E902BD"/>
    <w:rsid w:val="00E904E4"/>
    <w:rsid w:val="00E90669"/>
    <w:rsid w:val="00E909B8"/>
    <w:rsid w:val="00E90A38"/>
    <w:rsid w:val="00E90C9B"/>
    <w:rsid w:val="00E91301"/>
    <w:rsid w:val="00E91841"/>
    <w:rsid w:val="00E919D8"/>
    <w:rsid w:val="00E91CBF"/>
    <w:rsid w:val="00E91E8C"/>
    <w:rsid w:val="00E92043"/>
    <w:rsid w:val="00E93842"/>
    <w:rsid w:val="00E93A1D"/>
    <w:rsid w:val="00E94150"/>
    <w:rsid w:val="00E94228"/>
    <w:rsid w:val="00E943EB"/>
    <w:rsid w:val="00E9470A"/>
    <w:rsid w:val="00E94B62"/>
    <w:rsid w:val="00E94F7E"/>
    <w:rsid w:val="00E94FAA"/>
    <w:rsid w:val="00E951B3"/>
    <w:rsid w:val="00E952F0"/>
    <w:rsid w:val="00E95340"/>
    <w:rsid w:val="00E9565B"/>
    <w:rsid w:val="00E95AC3"/>
    <w:rsid w:val="00E95CD5"/>
    <w:rsid w:val="00E95FDF"/>
    <w:rsid w:val="00E960D6"/>
    <w:rsid w:val="00E96515"/>
    <w:rsid w:val="00E966E5"/>
    <w:rsid w:val="00E96700"/>
    <w:rsid w:val="00E96B8F"/>
    <w:rsid w:val="00E97459"/>
    <w:rsid w:val="00E977BF"/>
    <w:rsid w:val="00E97845"/>
    <w:rsid w:val="00E97ADB"/>
    <w:rsid w:val="00E97B2A"/>
    <w:rsid w:val="00E97CBB"/>
    <w:rsid w:val="00EA003E"/>
    <w:rsid w:val="00EA0124"/>
    <w:rsid w:val="00EA01DE"/>
    <w:rsid w:val="00EA0406"/>
    <w:rsid w:val="00EA0BDF"/>
    <w:rsid w:val="00EA1118"/>
    <w:rsid w:val="00EA1492"/>
    <w:rsid w:val="00EA1529"/>
    <w:rsid w:val="00EA21DD"/>
    <w:rsid w:val="00EA2499"/>
    <w:rsid w:val="00EA25EB"/>
    <w:rsid w:val="00EA2601"/>
    <w:rsid w:val="00EA2652"/>
    <w:rsid w:val="00EA2921"/>
    <w:rsid w:val="00EA2B50"/>
    <w:rsid w:val="00EA2D33"/>
    <w:rsid w:val="00EA2FFF"/>
    <w:rsid w:val="00EA3424"/>
    <w:rsid w:val="00EA34ED"/>
    <w:rsid w:val="00EA3555"/>
    <w:rsid w:val="00EA3BCD"/>
    <w:rsid w:val="00EA3F0B"/>
    <w:rsid w:val="00EA3F27"/>
    <w:rsid w:val="00EA42F3"/>
    <w:rsid w:val="00EA45D2"/>
    <w:rsid w:val="00EA475D"/>
    <w:rsid w:val="00EA4A8A"/>
    <w:rsid w:val="00EA4B30"/>
    <w:rsid w:val="00EA4C5A"/>
    <w:rsid w:val="00EA53F5"/>
    <w:rsid w:val="00EA5580"/>
    <w:rsid w:val="00EA57A7"/>
    <w:rsid w:val="00EA57ED"/>
    <w:rsid w:val="00EA5BBA"/>
    <w:rsid w:val="00EA5BC0"/>
    <w:rsid w:val="00EA5ED4"/>
    <w:rsid w:val="00EA60AC"/>
    <w:rsid w:val="00EA61FA"/>
    <w:rsid w:val="00EA622D"/>
    <w:rsid w:val="00EA655F"/>
    <w:rsid w:val="00EA70EA"/>
    <w:rsid w:val="00EA72BA"/>
    <w:rsid w:val="00EA76D9"/>
    <w:rsid w:val="00EA7AC4"/>
    <w:rsid w:val="00EA7C82"/>
    <w:rsid w:val="00EA7DBB"/>
    <w:rsid w:val="00EB018F"/>
    <w:rsid w:val="00EB04A2"/>
    <w:rsid w:val="00EB05A1"/>
    <w:rsid w:val="00EB0AEB"/>
    <w:rsid w:val="00EB1031"/>
    <w:rsid w:val="00EB1276"/>
    <w:rsid w:val="00EB1C57"/>
    <w:rsid w:val="00EB2138"/>
    <w:rsid w:val="00EB219E"/>
    <w:rsid w:val="00EB224D"/>
    <w:rsid w:val="00EB26BA"/>
    <w:rsid w:val="00EB2AE2"/>
    <w:rsid w:val="00EB3301"/>
    <w:rsid w:val="00EB3497"/>
    <w:rsid w:val="00EB34FB"/>
    <w:rsid w:val="00EB3550"/>
    <w:rsid w:val="00EB3772"/>
    <w:rsid w:val="00EB3A2F"/>
    <w:rsid w:val="00EB4269"/>
    <w:rsid w:val="00EB426E"/>
    <w:rsid w:val="00EB43BD"/>
    <w:rsid w:val="00EB44F2"/>
    <w:rsid w:val="00EB4511"/>
    <w:rsid w:val="00EB4753"/>
    <w:rsid w:val="00EB47C1"/>
    <w:rsid w:val="00EB4844"/>
    <w:rsid w:val="00EB4850"/>
    <w:rsid w:val="00EB4AA7"/>
    <w:rsid w:val="00EB4FC6"/>
    <w:rsid w:val="00EB531F"/>
    <w:rsid w:val="00EB54D6"/>
    <w:rsid w:val="00EB5EDB"/>
    <w:rsid w:val="00EB620C"/>
    <w:rsid w:val="00EB689D"/>
    <w:rsid w:val="00EB6CDA"/>
    <w:rsid w:val="00EB70C7"/>
    <w:rsid w:val="00EB7A11"/>
    <w:rsid w:val="00EC03C4"/>
    <w:rsid w:val="00EC0FB9"/>
    <w:rsid w:val="00EC1C5F"/>
    <w:rsid w:val="00EC1E8C"/>
    <w:rsid w:val="00EC218E"/>
    <w:rsid w:val="00EC21F2"/>
    <w:rsid w:val="00EC23AA"/>
    <w:rsid w:val="00EC314D"/>
    <w:rsid w:val="00EC3242"/>
    <w:rsid w:val="00EC34C9"/>
    <w:rsid w:val="00EC3660"/>
    <w:rsid w:val="00EC3B49"/>
    <w:rsid w:val="00EC3D54"/>
    <w:rsid w:val="00EC40DB"/>
    <w:rsid w:val="00EC4269"/>
    <w:rsid w:val="00EC4653"/>
    <w:rsid w:val="00EC4E8F"/>
    <w:rsid w:val="00EC502F"/>
    <w:rsid w:val="00EC51EC"/>
    <w:rsid w:val="00EC58B9"/>
    <w:rsid w:val="00EC5EE0"/>
    <w:rsid w:val="00EC5FA3"/>
    <w:rsid w:val="00EC64B3"/>
    <w:rsid w:val="00EC6917"/>
    <w:rsid w:val="00EC6BEB"/>
    <w:rsid w:val="00EC6E04"/>
    <w:rsid w:val="00EC6FAB"/>
    <w:rsid w:val="00EC7B47"/>
    <w:rsid w:val="00EC7C0E"/>
    <w:rsid w:val="00ED05F8"/>
    <w:rsid w:val="00ED085B"/>
    <w:rsid w:val="00ED09A9"/>
    <w:rsid w:val="00ED0A5B"/>
    <w:rsid w:val="00ED0F3F"/>
    <w:rsid w:val="00ED136E"/>
    <w:rsid w:val="00ED1405"/>
    <w:rsid w:val="00ED1D5D"/>
    <w:rsid w:val="00ED1E8F"/>
    <w:rsid w:val="00ED24B3"/>
    <w:rsid w:val="00ED25E5"/>
    <w:rsid w:val="00ED270D"/>
    <w:rsid w:val="00ED28BF"/>
    <w:rsid w:val="00ED2921"/>
    <w:rsid w:val="00ED2A0C"/>
    <w:rsid w:val="00ED2D44"/>
    <w:rsid w:val="00ED2E6F"/>
    <w:rsid w:val="00ED33EB"/>
    <w:rsid w:val="00ED3C52"/>
    <w:rsid w:val="00ED3DE4"/>
    <w:rsid w:val="00ED4249"/>
    <w:rsid w:val="00ED4341"/>
    <w:rsid w:val="00ED43C4"/>
    <w:rsid w:val="00ED45C2"/>
    <w:rsid w:val="00ED45C3"/>
    <w:rsid w:val="00ED4B26"/>
    <w:rsid w:val="00ED4CF2"/>
    <w:rsid w:val="00ED502C"/>
    <w:rsid w:val="00ED563F"/>
    <w:rsid w:val="00ED58D1"/>
    <w:rsid w:val="00ED5AA2"/>
    <w:rsid w:val="00ED63D3"/>
    <w:rsid w:val="00ED6509"/>
    <w:rsid w:val="00ED6658"/>
    <w:rsid w:val="00ED6691"/>
    <w:rsid w:val="00ED66DE"/>
    <w:rsid w:val="00ED6BC8"/>
    <w:rsid w:val="00ED7078"/>
    <w:rsid w:val="00ED71EB"/>
    <w:rsid w:val="00ED753A"/>
    <w:rsid w:val="00ED794A"/>
    <w:rsid w:val="00ED7B11"/>
    <w:rsid w:val="00EE0564"/>
    <w:rsid w:val="00EE05FF"/>
    <w:rsid w:val="00EE0BA6"/>
    <w:rsid w:val="00EE0D1A"/>
    <w:rsid w:val="00EE0F3B"/>
    <w:rsid w:val="00EE1083"/>
    <w:rsid w:val="00EE21A4"/>
    <w:rsid w:val="00EE21A7"/>
    <w:rsid w:val="00EE35CB"/>
    <w:rsid w:val="00EE3789"/>
    <w:rsid w:val="00EE37FE"/>
    <w:rsid w:val="00EE38B0"/>
    <w:rsid w:val="00EE38B2"/>
    <w:rsid w:val="00EE398F"/>
    <w:rsid w:val="00EE3A0A"/>
    <w:rsid w:val="00EE3A29"/>
    <w:rsid w:val="00EE3B04"/>
    <w:rsid w:val="00EE4C3C"/>
    <w:rsid w:val="00EE4C78"/>
    <w:rsid w:val="00EE4C96"/>
    <w:rsid w:val="00EE4DDB"/>
    <w:rsid w:val="00EE511D"/>
    <w:rsid w:val="00EE52DB"/>
    <w:rsid w:val="00EE5482"/>
    <w:rsid w:val="00EE5573"/>
    <w:rsid w:val="00EE558E"/>
    <w:rsid w:val="00EE5734"/>
    <w:rsid w:val="00EE574D"/>
    <w:rsid w:val="00EE5C1B"/>
    <w:rsid w:val="00EE5CAB"/>
    <w:rsid w:val="00EE5E55"/>
    <w:rsid w:val="00EE5F70"/>
    <w:rsid w:val="00EE6106"/>
    <w:rsid w:val="00EE61AE"/>
    <w:rsid w:val="00EE680D"/>
    <w:rsid w:val="00EE698D"/>
    <w:rsid w:val="00EE6C66"/>
    <w:rsid w:val="00EE6E51"/>
    <w:rsid w:val="00EE7379"/>
    <w:rsid w:val="00EE738D"/>
    <w:rsid w:val="00EE7603"/>
    <w:rsid w:val="00EE7A3E"/>
    <w:rsid w:val="00EE7B14"/>
    <w:rsid w:val="00EE7FE3"/>
    <w:rsid w:val="00EF01EE"/>
    <w:rsid w:val="00EF0494"/>
    <w:rsid w:val="00EF0D25"/>
    <w:rsid w:val="00EF0E25"/>
    <w:rsid w:val="00EF0E71"/>
    <w:rsid w:val="00EF0EC6"/>
    <w:rsid w:val="00EF1097"/>
    <w:rsid w:val="00EF12FE"/>
    <w:rsid w:val="00EF1596"/>
    <w:rsid w:val="00EF1B83"/>
    <w:rsid w:val="00EF1BBD"/>
    <w:rsid w:val="00EF2156"/>
    <w:rsid w:val="00EF26F0"/>
    <w:rsid w:val="00EF29DC"/>
    <w:rsid w:val="00EF2BC5"/>
    <w:rsid w:val="00EF2E81"/>
    <w:rsid w:val="00EF3030"/>
    <w:rsid w:val="00EF3269"/>
    <w:rsid w:val="00EF3342"/>
    <w:rsid w:val="00EF35BA"/>
    <w:rsid w:val="00EF3C73"/>
    <w:rsid w:val="00EF3D82"/>
    <w:rsid w:val="00EF3DBD"/>
    <w:rsid w:val="00EF3F34"/>
    <w:rsid w:val="00EF4080"/>
    <w:rsid w:val="00EF4375"/>
    <w:rsid w:val="00EF471F"/>
    <w:rsid w:val="00EF485C"/>
    <w:rsid w:val="00EF4A3B"/>
    <w:rsid w:val="00EF4EF0"/>
    <w:rsid w:val="00EF51ED"/>
    <w:rsid w:val="00EF531D"/>
    <w:rsid w:val="00EF54C2"/>
    <w:rsid w:val="00EF5984"/>
    <w:rsid w:val="00EF5A16"/>
    <w:rsid w:val="00EF5CE0"/>
    <w:rsid w:val="00EF6835"/>
    <w:rsid w:val="00EF6E0F"/>
    <w:rsid w:val="00EF6E22"/>
    <w:rsid w:val="00EF6F24"/>
    <w:rsid w:val="00EF776A"/>
    <w:rsid w:val="00EF7834"/>
    <w:rsid w:val="00EF7D8D"/>
    <w:rsid w:val="00F0023A"/>
    <w:rsid w:val="00F0087E"/>
    <w:rsid w:val="00F00FA5"/>
    <w:rsid w:val="00F0120F"/>
    <w:rsid w:val="00F012CB"/>
    <w:rsid w:val="00F0135E"/>
    <w:rsid w:val="00F013FB"/>
    <w:rsid w:val="00F01C13"/>
    <w:rsid w:val="00F01C3C"/>
    <w:rsid w:val="00F01E44"/>
    <w:rsid w:val="00F01F75"/>
    <w:rsid w:val="00F02856"/>
    <w:rsid w:val="00F02B0A"/>
    <w:rsid w:val="00F02B7D"/>
    <w:rsid w:val="00F033F6"/>
    <w:rsid w:val="00F03663"/>
    <w:rsid w:val="00F03B75"/>
    <w:rsid w:val="00F03E58"/>
    <w:rsid w:val="00F03F1E"/>
    <w:rsid w:val="00F05566"/>
    <w:rsid w:val="00F055A3"/>
    <w:rsid w:val="00F05902"/>
    <w:rsid w:val="00F0591E"/>
    <w:rsid w:val="00F059BC"/>
    <w:rsid w:val="00F05A18"/>
    <w:rsid w:val="00F05E7B"/>
    <w:rsid w:val="00F064C2"/>
    <w:rsid w:val="00F064E2"/>
    <w:rsid w:val="00F0697F"/>
    <w:rsid w:val="00F06D32"/>
    <w:rsid w:val="00F06DC1"/>
    <w:rsid w:val="00F06F9F"/>
    <w:rsid w:val="00F073E6"/>
    <w:rsid w:val="00F1028A"/>
    <w:rsid w:val="00F103BF"/>
    <w:rsid w:val="00F104B4"/>
    <w:rsid w:val="00F105F5"/>
    <w:rsid w:val="00F1061A"/>
    <w:rsid w:val="00F109AE"/>
    <w:rsid w:val="00F10F02"/>
    <w:rsid w:val="00F10FAF"/>
    <w:rsid w:val="00F11029"/>
    <w:rsid w:val="00F1114A"/>
    <w:rsid w:val="00F11551"/>
    <w:rsid w:val="00F11916"/>
    <w:rsid w:val="00F11CEB"/>
    <w:rsid w:val="00F11E01"/>
    <w:rsid w:val="00F12341"/>
    <w:rsid w:val="00F124D5"/>
    <w:rsid w:val="00F12574"/>
    <w:rsid w:val="00F129C7"/>
    <w:rsid w:val="00F12C6D"/>
    <w:rsid w:val="00F12CFF"/>
    <w:rsid w:val="00F13500"/>
    <w:rsid w:val="00F13594"/>
    <w:rsid w:val="00F13747"/>
    <w:rsid w:val="00F13950"/>
    <w:rsid w:val="00F13A1A"/>
    <w:rsid w:val="00F13DF4"/>
    <w:rsid w:val="00F13EDE"/>
    <w:rsid w:val="00F142EE"/>
    <w:rsid w:val="00F144AC"/>
    <w:rsid w:val="00F145CD"/>
    <w:rsid w:val="00F146B1"/>
    <w:rsid w:val="00F146C6"/>
    <w:rsid w:val="00F149F6"/>
    <w:rsid w:val="00F14B6C"/>
    <w:rsid w:val="00F14BA9"/>
    <w:rsid w:val="00F14C20"/>
    <w:rsid w:val="00F14FAA"/>
    <w:rsid w:val="00F1508A"/>
    <w:rsid w:val="00F150BB"/>
    <w:rsid w:val="00F15493"/>
    <w:rsid w:val="00F16293"/>
    <w:rsid w:val="00F165E9"/>
    <w:rsid w:val="00F169E4"/>
    <w:rsid w:val="00F16CAB"/>
    <w:rsid w:val="00F16EFB"/>
    <w:rsid w:val="00F16FAA"/>
    <w:rsid w:val="00F16FF2"/>
    <w:rsid w:val="00F17177"/>
    <w:rsid w:val="00F17708"/>
    <w:rsid w:val="00F17728"/>
    <w:rsid w:val="00F17BE3"/>
    <w:rsid w:val="00F205E3"/>
    <w:rsid w:val="00F20954"/>
    <w:rsid w:val="00F20A11"/>
    <w:rsid w:val="00F20B69"/>
    <w:rsid w:val="00F20C46"/>
    <w:rsid w:val="00F20C53"/>
    <w:rsid w:val="00F20F04"/>
    <w:rsid w:val="00F21011"/>
    <w:rsid w:val="00F211BE"/>
    <w:rsid w:val="00F211E7"/>
    <w:rsid w:val="00F21382"/>
    <w:rsid w:val="00F2176B"/>
    <w:rsid w:val="00F21980"/>
    <w:rsid w:val="00F21AFE"/>
    <w:rsid w:val="00F21D79"/>
    <w:rsid w:val="00F21E68"/>
    <w:rsid w:val="00F21F9C"/>
    <w:rsid w:val="00F221AA"/>
    <w:rsid w:val="00F225DA"/>
    <w:rsid w:val="00F22E1D"/>
    <w:rsid w:val="00F22E25"/>
    <w:rsid w:val="00F231EC"/>
    <w:rsid w:val="00F239AE"/>
    <w:rsid w:val="00F23A7B"/>
    <w:rsid w:val="00F242AC"/>
    <w:rsid w:val="00F24328"/>
    <w:rsid w:val="00F2452C"/>
    <w:rsid w:val="00F2464A"/>
    <w:rsid w:val="00F248AE"/>
    <w:rsid w:val="00F248CF"/>
    <w:rsid w:val="00F24957"/>
    <w:rsid w:val="00F24D98"/>
    <w:rsid w:val="00F2523B"/>
    <w:rsid w:val="00F252E1"/>
    <w:rsid w:val="00F253CE"/>
    <w:rsid w:val="00F254E8"/>
    <w:rsid w:val="00F25A5E"/>
    <w:rsid w:val="00F25C01"/>
    <w:rsid w:val="00F25D82"/>
    <w:rsid w:val="00F25DE6"/>
    <w:rsid w:val="00F26026"/>
    <w:rsid w:val="00F26103"/>
    <w:rsid w:val="00F2641F"/>
    <w:rsid w:val="00F2692A"/>
    <w:rsid w:val="00F26B5D"/>
    <w:rsid w:val="00F27447"/>
    <w:rsid w:val="00F27488"/>
    <w:rsid w:val="00F2761B"/>
    <w:rsid w:val="00F27F16"/>
    <w:rsid w:val="00F27F60"/>
    <w:rsid w:val="00F300AA"/>
    <w:rsid w:val="00F304AA"/>
    <w:rsid w:val="00F308E9"/>
    <w:rsid w:val="00F30987"/>
    <w:rsid w:val="00F31984"/>
    <w:rsid w:val="00F31DFA"/>
    <w:rsid w:val="00F324E6"/>
    <w:rsid w:val="00F329B8"/>
    <w:rsid w:val="00F32DA7"/>
    <w:rsid w:val="00F3302D"/>
    <w:rsid w:val="00F3332B"/>
    <w:rsid w:val="00F33605"/>
    <w:rsid w:val="00F339DB"/>
    <w:rsid w:val="00F33A3C"/>
    <w:rsid w:val="00F33A51"/>
    <w:rsid w:val="00F33E19"/>
    <w:rsid w:val="00F34118"/>
    <w:rsid w:val="00F34174"/>
    <w:rsid w:val="00F344DD"/>
    <w:rsid w:val="00F344DE"/>
    <w:rsid w:val="00F34676"/>
    <w:rsid w:val="00F347FA"/>
    <w:rsid w:val="00F34A1E"/>
    <w:rsid w:val="00F34BAC"/>
    <w:rsid w:val="00F34F9C"/>
    <w:rsid w:val="00F355A6"/>
    <w:rsid w:val="00F356A3"/>
    <w:rsid w:val="00F3571A"/>
    <w:rsid w:val="00F3586C"/>
    <w:rsid w:val="00F35FA2"/>
    <w:rsid w:val="00F360E5"/>
    <w:rsid w:val="00F36409"/>
    <w:rsid w:val="00F36551"/>
    <w:rsid w:val="00F365A3"/>
    <w:rsid w:val="00F3660C"/>
    <w:rsid w:val="00F3665B"/>
    <w:rsid w:val="00F36B61"/>
    <w:rsid w:val="00F37209"/>
    <w:rsid w:val="00F3729E"/>
    <w:rsid w:val="00F3779B"/>
    <w:rsid w:val="00F405D1"/>
    <w:rsid w:val="00F40638"/>
    <w:rsid w:val="00F4076E"/>
    <w:rsid w:val="00F4079A"/>
    <w:rsid w:val="00F408A0"/>
    <w:rsid w:val="00F41044"/>
    <w:rsid w:val="00F410EA"/>
    <w:rsid w:val="00F412CF"/>
    <w:rsid w:val="00F41461"/>
    <w:rsid w:val="00F41757"/>
    <w:rsid w:val="00F41826"/>
    <w:rsid w:val="00F4196D"/>
    <w:rsid w:val="00F41DB5"/>
    <w:rsid w:val="00F42326"/>
    <w:rsid w:val="00F42528"/>
    <w:rsid w:val="00F42C88"/>
    <w:rsid w:val="00F42D11"/>
    <w:rsid w:val="00F42F1F"/>
    <w:rsid w:val="00F4309F"/>
    <w:rsid w:val="00F43593"/>
    <w:rsid w:val="00F439B6"/>
    <w:rsid w:val="00F43A58"/>
    <w:rsid w:val="00F43B67"/>
    <w:rsid w:val="00F43FD0"/>
    <w:rsid w:val="00F440C4"/>
    <w:rsid w:val="00F44133"/>
    <w:rsid w:val="00F443BF"/>
    <w:rsid w:val="00F44464"/>
    <w:rsid w:val="00F44511"/>
    <w:rsid w:val="00F44816"/>
    <w:rsid w:val="00F448FD"/>
    <w:rsid w:val="00F450AD"/>
    <w:rsid w:val="00F45C10"/>
    <w:rsid w:val="00F45EC1"/>
    <w:rsid w:val="00F45FF8"/>
    <w:rsid w:val="00F46260"/>
    <w:rsid w:val="00F463DB"/>
    <w:rsid w:val="00F466D7"/>
    <w:rsid w:val="00F46A42"/>
    <w:rsid w:val="00F46B0A"/>
    <w:rsid w:val="00F46FB8"/>
    <w:rsid w:val="00F4721C"/>
    <w:rsid w:val="00F472F3"/>
    <w:rsid w:val="00F4734C"/>
    <w:rsid w:val="00F475E5"/>
    <w:rsid w:val="00F477FF"/>
    <w:rsid w:val="00F478C3"/>
    <w:rsid w:val="00F479DA"/>
    <w:rsid w:val="00F47B2B"/>
    <w:rsid w:val="00F47BA7"/>
    <w:rsid w:val="00F47C68"/>
    <w:rsid w:val="00F47D44"/>
    <w:rsid w:val="00F5007F"/>
    <w:rsid w:val="00F50393"/>
    <w:rsid w:val="00F50401"/>
    <w:rsid w:val="00F50A2A"/>
    <w:rsid w:val="00F50C65"/>
    <w:rsid w:val="00F511C0"/>
    <w:rsid w:val="00F5132E"/>
    <w:rsid w:val="00F5157F"/>
    <w:rsid w:val="00F52145"/>
    <w:rsid w:val="00F52299"/>
    <w:rsid w:val="00F5229E"/>
    <w:rsid w:val="00F525E5"/>
    <w:rsid w:val="00F52779"/>
    <w:rsid w:val="00F5282B"/>
    <w:rsid w:val="00F52930"/>
    <w:rsid w:val="00F52CB5"/>
    <w:rsid w:val="00F52EEA"/>
    <w:rsid w:val="00F533B0"/>
    <w:rsid w:val="00F534C9"/>
    <w:rsid w:val="00F535C8"/>
    <w:rsid w:val="00F5401F"/>
    <w:rsid w:val="00F5468D"/>
    <w:rsid w:val="00F546E2"/>
    <w:rsid w:val="00F547ED"/>
    <w:rsid w:val="00F548BD"/>
    <w:rsid w:val="00F548BF"/>
    <w:rsid w:val="00F54919"/>
    <w:rsid w:val="00F549EC"/>
    <w:rsid w:val="00F54B84"/>
    <w:rsid w:val="00F54C2C"/>
    <w:rsid w:val="00F54CBE"/>
    <w:rsid w:val="00F550A3"/>
    <w:rsid w:val="00F551D7"/>
    <w:rsid w:val="00F552DC"/>
    <w:rsid w:val="00F55629"/>
    <w:rsid w:val="00F55FAA"/>
    <w:rsid w:val="00F55FEF"/>
    <w:rsid w:val="00F56179"/>
    <w:rsid w:val="00F562AA"/>
    <w:rsid w:val="00F56562"/>
    <w:rsid w:val="00F56618"/>
    <w:rsid w:val="00F568A2"/>
    <w:rsid w:val="00F56DB6"/>
    <w:rsid w:val="00F571B8"/>
    <w:rsid w:val="00F5759B"/>
    <w:rsid w:val="00F57601"/>
    <w:rsid w:val="00F57620"/>
    <w:rsid w:val="00F57E92"/>
    <w:rsid w:val="00F605AE"/>
    <w:rsid w:val="00F6064C"/>
    <w:rsid w:val="00F6065F"/>
    <w:rsid w:val="00F608FC"/>
    <w:rsid w:val="00F60A31"/>
    <w:rsid w:val="00F60AB5"/>
    <w:rsid w:val="00F60D28"/>
    <w:rsid w:val="00F617CA"/>
    <w:rsid w:val="00F61B92"/>
    <w:rsid w:val="00F61D5A"/>
    <w:rsid w:val="00F61DFA"/>
    <w:rsid w:val="00F621B3"/>
    <w:rsid w:val="00F62270"/>
    <w:rsid w:val="00F6269E"/>
    <w:rsid w:val="00F628C8"/>
    <w:rsid w:val="00F62BE1"/>
    <w:rsid w:val="00F62ED2"/>
    <w:rsid w:val="00F63242"/>
    <w:rsid w:val="00F63334"/>
    <w:rsid w:val="00F63613"/>
    <w:rsid w:val="00F63B6F"/>
    <w:rsid w:val="00F63DA4"/>
    <w:rsid w:val="00F63DDA"/>
    <w:rsid w:val="00F63EF5"/>
    <w:rsid w:val="00F64372"/>
    <w:rsid w:val="00F6438A"/>
    <w:rsid w:val="00F64567"/>
    <w:rsid w:val="00F64791"/>
    <w:rsid w:val="00F64BAE"/>
    <w:rsid w:val="00F64EB4"/>
    <w:rsid w:val="00F64EFC"/>
    <w:rsid w:val="00F650EE"/>
    <w:rsid w:val="00F65174"/>
    <w:rsid w:val="00F6540C"/>
    <w:rsid w:val="00F657FA"/>
    <w:rsid w:val="00F65A0C"/>
    <w:rsid w:val="00F65FD7"/>
    <w:rsid w:val="00F6619F"/>
    <w:rsid w:val="00F661BD"/>
    <w:rsid w:val="00F66282"/>
    <w:rsid w:val="00F6663A"/>
    <w:rsid w:val="00F670DB"/>
    <w:rsid w:val="00F6718B"/>
    <w:rsid w:val="00F67224"/>
    <w:rsid w:val="00F673E5"/>
    <w:rsid w:val="00F67813"/>
    <w:rsid w:val="00F67A49"/>
    <w:rsid w:val="00F701CC"/>
    <w:rsid w:val="00F70DD3"/>
    <w:rsid w:val="00F70E1F"/>
    <w:rsid w:val="00F71211"/>
    <w:rsid w:val="00F713B2"/>
    <w:rsid w:val="00F716F9"/>
    <w:rsid w:val="00F71721"/>
    <w:rsid w:val="00F7198E"/>
    <w:rsid w:val="00F71D33"/>
    <w:rsid w:val="00F7231F"/>
    <w:rsid w:val="00F72522"/>
    <w:rsid w:val="00F726E5"/>
    <w:rsid w:val="00F729D4"/>
    <w:rsid w:val="00F72A34"/>
    <w:rsid w:val="00F72CBB"/>
    <w:rsid w:val="00F731B7"/>
    <w:rsid w:val="00F737DD"/>
    <w:rsid w:val="00F7382C"/>
    <w:rsid w:val="00F739E4"/>
    <w:rsid w:val="00F73DB9"/>
    <w:rsid w:val="00F73DDB"/>
    <w:rsid w:val="00F73FA2"/>
    <w:rsid w:val="00F73FE0"/>
    <w:rsid w:val="00F741FC"/>
    <w:rsid w:val="00F74AC5"/>
    <w:rsid w:val="00F74CB3"/>
    <w:rsid w:val="00F74E9C"/>
    <w:rsid w:val="00F75280"/>
    <w:rsid w:val="00F75574"/>
    <w:rsid w:val="00F755E6"/>
    <w:rsid w:val="00F75D5E"/>
    <w:rsid w:val="00F75EDB"/>
    <w:rsid w:val="00F765F0"/>
    <w:rsid w:val="00F7696F"/>
    <w:rsid w:val="00F769E6"/>
    <w:rsid w:val="00F76AAE"/>
    <w:rsid w:val="00F76D70"/>
    <w:rsid w:val="00F76D85"/>
    <w:rsid w:val="00F76FEA"/>
    <w:rsid w:val="00F77534"/>
    <w:rsid w:val="00F77796"/>
    <w:rsid w:val="00F77A9C"/>
    <w:rsid w:val="00F77B81"/>
    <w:rsid w:val="00F77E06"/>
    <w:rsid w:val="00F77F40"/>
    <w:rsid w:val="00F800EF"/>
    <w:rsid w:val="00F80BF7"/>
    <w:rsid w:val="00F80D5B"/>
    <w:rsid w:val="00F80DD9"/>
    <w:rsid w:val="00F816CB"/>
    <w:rsid w:val="00F81784"/>
    <w:rsid w:val="00F81BCE"/>
    <w:rsid w:val="00F8253C"/>
    <w:rsid w:val="00F8280E"/>
    <w:rsid w:val="00F82C2E"/>
    <w:rsid w:val="00F82CF2"/>
    <w:rsid w:val="00F82D6F"/>
    <w:rsid w:val="00F82DD4"/>
    <w:rsid w:val="00F82DF8"/>
    <w:rsid w:val="00F82E3E"/>
    <w:rsid w:val="00F82F13"/>
    <w:rsid w:val="00F83001"/>
    <w:rsid w:val="00F83005"/>
    <w:rsid w:val="00F83223"/>
    <w:rsid w:val="00F834C2"/>
    <w:rsid w:val="00F83CBE"/>
    <w:rsid w:val="00F8402A"/>
    <w:rsid w:val="00F844D1"/>
    <w:rsid w:val="00F84696"/>
    <w:rsid w:val="00F8475C"/>
    <w:rsid w:val="00F84A1B"/>
    <w:rsid w:val="00F84FCE"/>
    <w:rsid w:val="00F85568"/>
    <w:rsid w:val="00F85959"/>
    <w:rsid w:val="00F8595F"/>
    <w:rsid w:val="00F85D75"/>
    <w:rsid w:val="00F85DC1"/>
    <w:rsid w:val="00F86120"/>
    <w:rsid w:val="00F862C9"/>
    <w:rsid w:val="00F863B0"/>
    <w:rsid w:val="00F868AB"/>
    <w:rsid w:val="00F86BAC"/>
    <w:rsid w:val="00F86C7A"/>
    <w:rsid w:val="00F86E92"/>
    <w:rsid w:val="00F8703E"/>
    <w:rsid w:val="00F870EB"/>
    <w:rsid w:val="00F87117"/>
    <w:rsid w:val="00F8744F"/>
    <w:rsid w:val="00F87BDB"/>
    <w:rsid w:val="00F87C47"/>
    <w:rsid w:val="00F87D64"/>
    <w:rsid w:val="00F87DAC"/>
    <w:rsid w:val="00F87DE4"/>
    <w:rsid w:val="00F87EB7"/>
    <w:rsid w:val="00F87F42"/>
    <w:rsid w:val="00F903B9"/>
    <w:rsid w:val="00F90700"/>
    <w:rsid w:val="00F90FB7"/>
    <w:rsid w:val="00F912F0"/>
    <w:rsid w:val="00F91E59"/>
    <w:rsid w:val="00F921DB"/>
    <w:rsid w:val="00F9280A"/>
    <w:rsid w:val="00F94110"/>
    <w:rsid w:val="00F943C1"/>
    <w:rsid w:val="00F947BA"/>
    <w:rsid w:val="00F948AF"/>
    <w:rsid w:val="00F94B18"/>
    <w:rsid w:val="00F95864"/>
    <w:rsid w:val="00F95BF2"/>
    <w:rsid w:val="00F95D68"/>
    <w:rsid w:val="00F962A2"/>
    <w:rsid w:val="00F96ACA"/>
    <w:rsid w:val="00F96EF2"/>
    <w:rsid w:val="00F9703E"/>
    <w:rsid w:val="00F971CF"/>
    <w:rsid w:val="00F978CF"/>
    <w:rsid w:val="00F979C7"/>
    <w:rsid w:val="00FA014A"/>
    <w:rsid w:val="00FA0693"/>
    <w:rsid w:val="00FA099F"/>
    <w:rsid w:val="00FA0E78"/>
    <w:rsid w:val="00FA0E95"/>
    <w:rsid w:val="00FA0FDA"/>
    <w:rsid w:val="00FA0FF7"/>
    <w:rsid w:val="00FA125A"/>
    <w:rsid w:val="00FA17BB"/>
    <w:rsid w:val="00FA1B20"/>
    <w:rsid w:val="00FA1C38"/>
    <w:rsid w:val="00FA1C6C"/>
    <w:rsid w:val="00FA2116"/>
    <w:rsid w:val="00FA22A4"/>
    <w:rsid w:val="00FA2347"/>
    <w:rsid w:val="00FA2E99"/>
    <w:rsid w:val="00FA305B"/>
    <w:rsid w:val="00FA316E"/>
    <w:rsid w:val="00FA3517"/>
    <w:rsid w:val="00FA36A7"/>
    <w:rsid w:val="00FA377B"/>
    <w:rsid w:val="00FA394D"/>
    <w:rsid w:val="00FA3986"/>
    <w:rsid w:val="00FA4345"/>
    <w:rsid w:val="00FA4406"/>
    <w:rsid w:val="00FA4648"/>
    <w:rsid w:val="00FA4900"/>
    <w:rsid w:val="00FA498B"/>
    <w:rsid w:val="00FA4A3E"/>
    <w:rsid w:val="00FA4E52"/>
    <w:rsid w:val="00FA50F5"/>
    <w:rsid w:val="00FA5F1E"/>
    <w:rsid w:val="00FA5FC9"/>
    <w:rsid w:val="00FA6062"/>
    <w:rsid w:val="00FA6159"/>
    <w:rsid w:val="00FA6845"/>
    <w:rsid w:val="00FA68E8"/>
    <w:rsid w:val="00FA701A"/>
    <w:rsid w:val="00FA7BA6"/>
    <w:rsid w:val="00FA7CED"/>
    <w:rsid w:val="00FB004D"/>
    <w:rsid w:val="00FB05FE"/>
    <w:rsid w:val="00FB0852"/>
    <w:rsid w:val="00FB08F3"/>
    <w:rsid w:val="00FB0963"/>
    <w:rsid w:val="00FB0AC7"/>
    <w:rsid w:val="00FB0BEC"/>
    <w:rsid w:val="00FB0BF4"/>
    <w:rsid w:val="00FB0C58"/>
    <w:rsid w:val="00FB0ED1"/>
    <w:rsid w:val="00FB1355"/>
    <w:rsid w:val="00FB1DD4"/>
    <w:rsid w:val="00FB1EC8"/>
    <w:rsid w:val="00FB20C8"/>
    <w:rsid w:val="00FB2206"/>
    <w:rsid w:val="00FB243D"/>
    <w:rsid w:val="00FB263C"/>
    <w:rsid w:val="00FB2695"/>
    <w:rsid w:val="00FB2931"/>
    <w:rsid w:val="00FB2F82"/>
    <w:rsid w:val="00FB3331"/>
    <w:rsid w:val="00FB3FDE"/>
    <w:rsid w:val="00FB4231"/>
    <w:rsid w:val="00FB4837"/>
    <w:rsid w:val="00FB4CA2"/>
    <w:rsid w:val="00FB520C"/>
    <w:rsid w:val="00FB55B0"/>
    <w:rsid w:val="00FB57CC"/>
    <w:rsid w:val="00FB5ED6"/>
    <w:rsid w:val="00FB5F5F"/>
    <w:rsid w:val="00FB6341"/>
    <w:rsid w:val="00FB6403"/>
    <w:rsid w:val="00FB64D9"/>
    <w:rsid w:val="00FB65D6"/>
    <w:rsid w:val="00FB6D11"/>
    <w:rsid w:val="00FB73A3"/>
    <w:rsid w:val="00FB744A"/>
    <w:rsid w:val="00FB794A"/>
    <w:rsid w:val="00FB79C4"/>
    <w:rsid w:val="00FB7C10"/>
    <w:rsid w:val="00FB7C35"/>
    <w:rsid w:val="00FB7FC7"/>
    <w:rsid w:val="00FC05C3"/>
    <w:rsid w:val="00FC07AE"/>
    <w:rsid w:val="00FC09A5"/>
    <w:rsid w:val="00FC1285"/>
    <w:rsid w:val="00FC138B"/>
    <w:rsid w:val="00FC1470"/>
    <w:rsid w:val="00FC1566"/>
    <w:rsid w:val="00FC16C2"/>
    <w:rsid w:val="00FC175E"/>
    <w:rsid w:val="00FC1C5A"/>
    <w:rsid w:val="00FC211A"/>
    <w:rsid w:val="00FC216F"/>
    <w:rsid w:val="00FC21E5"/>
    <w:rsid w:val="00FC24C8"/>
    <w:rsid w:val="00FC26C9"/>
    <w:rsid w:val="00FC28DB"/>
    <w:rsid w:val="00FC30D7"/>
    <w:rsid w:val="00FC3282"/>
    <w:rsid w:val="00FC347B"/>
    <w:rsid w:val="00FC36AB"/>
    <w:rsid w:val="00FC3981"/>
    <w:rsid w:val="00FC3D59"/>
    <w:rsid w:val="00FC416F"/>
    <w:rsid w:val="00FC4289"/>
    <w:rsid w:val="00FC4581"/>
    <w:rsid w:val="00FC4979"/>
    <w:rsid w:val="00FC4C80"/>
    <w:rsid w:val="00FC4EF6"/>
    <w:rsid w:val="00FC4F36"/>
    <w:rsid w:val="00FC52E2"/>
    <w:rsid w:val="00FC531F"/>
    <w:rsid w:val="00FC5C16"/>
    <w:rsid w:val="00FC5E45"/>
    <w:rsid w:val="00FC6781"/>
    <w:rsid w:val="00FC679D"/>
    <w:rsid w:val="00FC696F"/>
    <w:rsid w:val="00FC7129"/>
    <w:rsid w:val="00FC7658"/>
    <w:rsid w:val="00FC774D"/>
    <w:rsid w:val="00FC7A9B"/>
    <w:rsid w:val="00FC7DA6"/>
    <w:rsid w:val="00FD068A"/>
    <w:rsid w:val="00FD0784"/>
    <w:rsid w:val="00FD0863"/>
    <w:rsid w:val="00FD08EC"/>
    <w:rsid w:val="00FD0928"/>
    <w:rsid w:val="00FD1572"/>
    <w:rsid w:val="00FD1B0D"/>
    <w:rsid w:val="00FD1CE4"/>
    <w:rsid w:val="00FD1DF2"/>
    <w:rsid w:val="00FD1DF4"/>
    <w:rsid w:val="00FD214A"/>
    <w:rsid w:val="00FD2BE0"/>
    <w:rsid w:val="00FD2EE3"/>
    <w:rsid w:val="00FD3047"/>
    <w:rsid w:val="00FD30B8"/>
    <w:rsid w:val="00FD3516"/>
    <w:rsid w:val="00FD370D"/>
    <w:rsid w:val="00FD3C0C"/>
    <w:rsid w:val="00FD429A"/>
    <w:rsid w:val="00FD4355"/>
    <w:rsid w:val="00FD43CE"/>
    <w:rsid w:val="00FD4797"/>
    <w:rsid w:val="00FD4A3A"/>
    <w:rsid w:val="00FD4C97"/>
    <w:rsid w:val="00FD5135"/>
    <w:rsid w:val="00FD5270"/>
    <w:rsid w:val="00FD5995"/>
    <w:rsid w:val="00FD5CDF"/>
    <w:rsid w:val="00FD5E26"/>
    <w:rsid w:val="00FD5ED0"/>
    <w:rsid w:val="00FD5FE7"/>
    <w:rsid w:val="00FD6383"/>
    <w:rsid w:val="00FD63A3"/>
    <w:rsid w:val="00FD63BE"/>
    <w:rsid w:val="00FD6518"/>
    <w:rsid w:val="00FD6C3B"/>
    <w:rsid w:val="00FD6F64"/>
    <w:rsid w:val="00FD7147"/>
    <w:rsid w:val="00FD7294"/>
    <w:rsid w:val="00FD7528"/>
    <w:rsid w:val="00FD75C3"/>
    <w:rsid w:val="00FD7E2F"/>
    <w:rsid w:val="00FD7EB9"/>
    <w:rsid w:val="00FE04D6"/>
    <w:rsid w:val="00FE1194"/>
    <w:rsid w:val="00FE1403"/>
    <w:rsid w:val="00FE16C7"/>
    <w:rsid w:val="00FE16EA"/>
    <w:rsid w:val="00FE238E"/>
    <w:rsid w:val="00FE263C"/>
    <w:rsid w:val="00FE2828"/>
    <w:rsid w:val="00FE3198"/>
    <w:rsid w:val="00FE3E3E"/>
    <w:rsid w:val="00FE3F8E"/>
    <w:rsid w:val="00FE427E"/>
    <w:rsid w:val="00FE4A71"/>
    <w:rsid w:val="00FE4CF1"/>
    <w:rsid w:val="00FE4EA4"/>
    <w:rsid w:val="00FE5911"/>
    <w:rsid w:val="00FE5A5E"/>
    <w:rsid w:val="00FE5AF4"/>
    <w:rsid w:val="00FE5F7D"/>
    <w:rsid w:val="00FE6A0A"/>
    <w:rsid w:val="00FE6A5F"/>
    <w:rsid w:val="00FE6DBA"/>
    <w:rsid w:val="00FE6E41"/>
    <w:rsid w:val="00FE7366"/>
    <w:rsid w:val="00FE798A"/>
    <w:rsid w:val="00FF0438"/>
    <w:rsid w:val="00FF0527"/>
    <w:rsid w:val="00FF0604"/>
    <w:rsid w:val="00FF0760"/>
    <w:rsid w:val="00FF07BD"/>
    <w:rsid w:val="00FF0939"/>
    <w:rsid w:val="00FF0A31"/>
    <w:rsid w:val="00FF1315"/>
    <w:rsid w:val="00FF13E7"/>
    <w:rsid w:val="00FF1441"/>
    <w:rsid w:val="00FF1519"/>
    <w:rsid w:val="00FF186E"/>
    <w:rsid w:val="00FF1DB1"/>
    <w:rsid w:val="00FF1EC0"/>
    <w:rsid w:val="00FF1F94"/>
    <w:rsid w:val="00FF2070"/>
    <w:rsid w:val="00FF27FC"/>
    <w:rsid w:val="00FF2825"/>
    <w:rsid w:val="00FF29A4"/>
    <w:rsid w:val="00FF2A45"/>
    <w:rsid w:val="00FF2EC2"/>
    <w:rsid w:val="00FF36F6"/>
    <w:rsid w:val="00FF40DA"/>
    <w:rsid w:val="00FF4891"/>
    <w:rsid w:val="00FF4A79"/>
    <w:rsid w:val="00FF4E8A"/>
    <w:rsid w:val="00FF5025"/>
    <w:rsid w:val="00FF52AC"/>
    <w:rsid w:val="00FF5591"/>
    <w:rsid w:val="00FF5C15"/>
    <w:rsid w:val="00FF5D93"/>
    <w:rsid w:val="00FF5E2D"/>
    <w:rsid w:val="00FF6259"/>
    <w:rsid w:val="00FF634D"/>
    <w:rsid w:val="00FF693D"/>
    <w:rsid w:val="00FF6BA7"/>
    <w:rsid w:val="00FF74BF"/>
    <w:rsid w:val="00FF76DB"/>
    <w:rsid w:val="00FF78D9"/>
    <w:rsid w:val="00FF7C77"/>
    <w:rsid w:val="02E2C70D"/>
    <w:rsid w:val="0EA31D81"/>
    <w:rsid w:val="122C3E30"/>
    <w:rsid w:val="1281ABAF"/>
    <w:rsid w:val="154F6024"/>
    <w:rsid w:val="237415E7"/>
    <w:rsid w:val="247C016C"/>
    <w:rsid w:val="2C8254A4"/>
    <w:rsid w:val="350D0082"/>
    <w:rsid w:val="3632E5FC"/>
    <w:rsid w:val="38041FE8"/>
    <w:rsid w:val="3B17CD97"/>
    <w:rsid w:val="44E12DBE"/>
    <w:rsid w:val="5114217A"/>
    <w:rsid w:val="58CC2E66"/>
    <w:rsid w:val="5B0B241C"/>
    <w:rsid w:val="6E305D15"/>
    <w:rsid w:val="79A1C1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64AB2"/>
  <w15:chartTrackingRefBased/>
  <w15:docId w15:val="{9BDB2EEF-5419-4EF5-BD27-6F3212EE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EA2"/>
  </w:style>
  <w:style w:type="paragraph" w:styleId="Heading1">
    <w:name w:val="heading 1"/>
    <w:basedOn w:val="Subtitle"/>
    <w:next w:val="Normal"/>
    <w:link w:val="Heading1Char"/>
    <w:qFormat/>
    <w:rsid w:val="00BB6B47"/>
    <w:pPr>
      <w:keepNext/>
      <w:numPr>
        <w:ilvl w:val="0"/>
      </w:numPr>
      <w:spacing w:after="0" w:line="460" w:lineRule="exact"/>
      <w:outlineLvl w:val="0"/>
    </w:pPr>
    <w:rPr>
      <w:rFonts w:ascii="Calibri" w:eastAsia="Times New Roman" w:hAnsi="Calibri" w:cs="Arial"/>
      <w:b/>
      <w:color w:val="4472C4" w:themeColor="accent1"/>
      <w:spacing w:val="0"/>
      <w:kern w:val="32"/>
      <w:sz w:val="44"/>
      <w:szCs w:val="36"/>
      <w:lang w:eastAsia="en-AU"/>
      <w14:ligatures w14:val="none"/>
    </w:rPr>
  </w:style>
  <w:style w:type="paragraph" w:styleId="Heading2">
    <w:name w:val="heading 2"/>
    <w:basedOn w:val="Normal"/>
    <w:next w:val="Normal"/>
    <w:link w:val="Heading2Char"/>
    <w:unhideWhenUsed/>
    <w:qFormat/>
    <w:rsid w:val="00BB6B47"/>
    <w:pPr>
      <w:keepNext/>
      <w:spacing w:after="0" w:line="460" w:lineRule="exact"/>
      <w:outlineLvl w:val="1"/>
    </w:pPr>
    <w:rPr>
      <w:rFonts w:ascii="Calibri" w:eastAsia="Times New Roman" w:hAnsi="Calibri" w:cs="Arial"/>
      <w:iCs/>
      <w:color w:val="4472C4" w:themeColor="accent1"/>
      <w:kern w:val="32"/>
      <w:sz w:val="36"/>
      <w:szCs w:val="28"/>
      <w:lang w:eastAsia="en-AU"/>
      <w14:ligatures w14:val="none"/>
    </w:rPr>
  </w:style>
  <w:style w:type="paragraph" w:styleId="Heading3">
    <w:name w:val="heading 3"/>
    <w:basedOn w:val="Normal"/>
    <w:next w:val="Normal"/>
    <w:link w:val="Heading3Char"/>
    <w:unhideWhenUsed/>
    <w:qFormat/>
    <w:rsid w:val="00BB6B47"/>
    <w:pPr>
      <w:keepNext/>
      <w:spacing w:before="320" w:after="0" w:line="276" w:lineRule="auto"/>
      <w:outlineLvl w:val="2"/>
    </w:pPr>
    <w:rPr>
      <w:rFonts w:ascii="Calibri" w:eastAsia="Times New Roman" w:hAnsi="Calibri" w:cs="Arial"/>
      <w:b/>
      <w:kern w:val="32"/>
      <w:sz w:val="28"/>
      <w:szCs w:val="26"/>
      <w:lang w:eastAsia="en-AU"/>
      <w14:ligatures w14:val="none"/>
    </w:rPr>
  </w:style>
  <w:style w:type="paragraph" w:styleId="Heading4">
    <w:name w:val="heading 4"/>
    <w:basedOn w:val="Normal"/>
    <w:next w:val="Normal"/>
    <w:link w:val="Heading4Char"/>
    <w:unhideWhenUsed/>
    <w:qFormat/>
    <w:rsid w:val="00BB6B47"/>
    <w:pPr>
      <w:keepNext/>
      <w:spacing w:before="280" w:after="0" w:line="276" w:lineRule="auto"/>
      <w:outlineLvl w:val="3"/>
    </w:pPr>
    <w:rPr>
      <w:rFonts w:ascii="Calibri Light" w:eastAsia="Times New Roman" w:hAnsi="Calibri Light" w:cs="Arial"/>
      <w:b/>
      <w:bCs/>
      <w:color w:val="000000" w:themeColor="text1"/>
      <w:kern w:val="32"/>
      <w:sz w:val="24"/>
      <w:szCs w:val="26"/>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6B47"/>
    <w:rPr>
      <w:rFonts w:ascii="Calibri" w:eastAsia="Times New Roman" w:hAnsi="Calibri" w:cs="Arial"/>
      <w:b/>
      <w:color w:val="4472C4" w:themeColor="accent1"/>
      <w:kern w:val="32"/>
      <w:sz w:val="44"/>
      <w:szCs w:val="36"/>
      <w:lang w:eastAsia="en-AU"/>
      <w14:ligatures w14:val="none"/>
    </w:rPr>
  </w:style>
  <w:style w:type="character" w:customStyle="1" w:styleId="Heading2Char">
    <w:name w:val="Heading 2 Char"/>
    <w:basedOn w:val="DefaultParagraphFont"/>
    <w:link w:val="Heading2"/>
    <w:rsid w:val="00BB6B47"/>
    <w:rPr>
      <w:rFonts w:ascii="Calibri" w:eastAsia="Times New Roman" w:hAnsi="Calibri" w:cs="Arial"/>
      <w:iCs/>
      <w:color w:val="4472C4" w:themeColor="accent1"/>
      <w:kern w:val="32"/>
      <w:sz w:val="36"/>
      <w:szCs w:val="28"/>
      <w:lang w:eastAsia="en-AU"/>
      <w14:ligatures w14:val="none"/>
    </w:rPr>
  </w:style>
  <w:style w:type="character" w:customStyle="1" w:styleId="Heading3Char">
    <w:name w:val="Heading 3 Char"/>
    <w:basedOn w:val="DefaultParagraphFont"/>
    <w:link w:val="Heading3"/>
    <w:rsid w:val="00BB6B47"/>
    <w:rPr>
      <w:rFonts w:ascii="Calibri" w:eastAsia="Times New Roman" w:hAnsi="Calibri" w:cs="Arial"/>
      <w:b/>
      <w:kern w:val="32"/>
      <w:sz w:val="28"/>
      <w:szCs w:val="26"/>
      <w:lang w:eastAsia="en-AU"/>
      <w14:ligatures w14:val="none"/>
    </w:rPr>
  </w:style>
  <w:style w:type="paragraph" w:styleId="ListParagraph">
    <w:name w:val="List Paragraph"/>
    <w:aliases w:val="List Paragraph1,Recommendation,List Paragraph11,Bullet point,Body Text1,L,Bullet Point,Bulletr List Paragraph,Content descriptions,FooterText,List Bullet 1,List Paragraph2,List Paragraph21,Listeafsnit1,NFP GP Bulleted List,リスト段落,1 heading"/>
    <w:basedOn w:val="Normal"/>
    <w:link w:val="ListParagraphChar"/>
    <w:uiPriority w:val="1"/>
    <w:qFormat/>
    <w:rsid w:val="00614F15"/>
    <w:pPr>
      <w:numPr>
        <w:numId w:val="17"/>
      </w:numPr>
      <w:spacing w:after="240"/>
    </w:pPr>
  </w:style>
  <w:style w:type="character" w:customStyle="1" w:styleId="normaltextrun">
    <w:name w:val="normaltextrun"/>
    <w:basedOn w:val="DefaultParagraphFont"/>
    <w:rsid w:val="004175A0"/>
  </w:style>
  <w:style w:type="character" w:customStyle="1" w:styleId="eop">
    <w:name w:val="eop"/>
    <w:basedOn w:val="DefaultParagraphFont"/>
    <w:rsid w:val="004175A0"/>
  </w:style>
  <w:style w:type="paragraph" w:customStyle="1" w:styleId="paragraph">
    <w:name w:val="paragraph"/>
    <w:basedOn w:val="Normal"/>
    <w:rsid w:val="004175A0"/>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Subtitle">
    <w:name w:val="Subtitle"/>
    <w:basedOn w:val="Normal"/>
    <w:next w:val="Normal"/>
    <w:link w:val="SubtitleChar"/>
    <w:uiPriority w:val="11"/>
    <w:qFormat/>
    <w:rsid w:val="004175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75A0"/>
    <w:rPr>
      <w:rFonts w:eastAsiaTheme="minorEastAsia"/>
      <w:color w:val="5A5A5A" w:themeColor="text1" w:themeTint="A5"/>
      <w:spacing w:val="15"/>
    </w:rPr>
  </w:style>
  <w:style w:type="paragraph" w:styleId="Title">
    <w:name w:val="Title"/>
    <w:basedOn w:val="Normal"/>
    <w:next w:val="Normal"/>
    <w:link w:val="TitleChar"/>
    <w:uiPriority w:val="10"/>
    <w:qFormat/>
    <w:rsid w:val="004175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75A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4175A0"/>
    <w:rPr>
      <w:sz w:val="16"/>
      <w:szCs w:val="16"/>
    </w:rPr>
  </w:style>
  <w:style w:type="paragraph" w:styleId="CommentText">
    <w:name w:val="annotation text"/>
    <w:basedOn w:val="Normal"/>
    <w:link w:val="CommentTextChar"/>
    <w:uiPriority w:val="99"/>
    <w:unhideWhenUsed/>
    <w:rsid w:val="004175A0"/>
    <w:pPr>
      <w:spacing w:line="240" w:lineRule="auto"/>
    </w:pPr>
    <w:rPr>
      <w:sz w:val="20"/>
      <w:szCs w:val="20"/>
    </w:rPr>
  </w:style>
  <w:style w:type="character" w:customStyle="1" w:styleId="CommentTextChar">
    <w:name w:val="Comment Text Char"/>
    <w:basedOn w:val="DefaultParagraphFont"/>
    <w:link w:val="CommentText"/>
    <w:uiPriority w:val="99"/>
    <w:rsid w:val="004175A0"/>
    <w:rPr>
      <w:sz w:val="20"/>
      <w:szCs w:val="20"/>
    </w:rPr>
  </w:style>
  <w:style w:type="paragraph" w:styleId="Header">
    <w:name w:val="header"/>
    <w:basedOn w:val="Normal"/>
    <w:link w:val="HeaderChar"/>
    <w:uiPriority w:val="99"/>
    <w:unhideWhenUsed/>
    <w:rsid w:val="004175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5A0"/>
  </w:style>
  <w:style w:type="paragraph" w:styleId="Footer">
    <w:name w:val="footer"/>
    <w:basedOn w:val="Normal"/>
    <w:link w:val="FooterChar"/>
    <w:uiPriority w:val="99"/>
    <w:unhideWhenUsed/>
    <w:rsid w:val="004175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5A0"/>
  </w:style>
  <w:style w:type="character" w:styleId="Hyperlink">
    <w:name w:val="Hyperlink"/>
    <w:basedOn w:val="DefaultParagraphFont"/>
    <w:uiPriority w:val="99"/>
    <w:unhideWhenUsed/>
    <w:rsid w:val="004175A0"/>
    <w:rPr>
      <w:color w:val="0563C1" w:themeColor="hyperlink"/>
      <w:u w:val="single"/>
    </w:rPr>
  </w:style>
  <w:style w:type="paragraph" w:styleId="FootnoteText">
    <w:name w:val="footnote text"/>
    <w:basedOn w:val="Normal"/>
    <w:link w:val="FootnoteTextChar"/>
    <w:uiPriority w:val="99"/>
    <w:unhideWhenUsed/>
    <w:rsid w:val="004175A0"/>
    <w:pPr>
      <w:spacing w:after="0" w:line="240" w:lineRule="auto"/>
    </w:pPr>
    <w:rPr>
      <w:sz w:val="20"/>
      <w:szCs w:val="20"/>
    </w:rPr>
  </w:style>
  <w:style w:type="character" w:customStyle="1" w:styleId="FootnoteTextChar">
    <w:name w:val="Footnote Text Char"/>
    <w:basedOn w:val="DefaultParagraphFont"/>
    <w:link w:val="FootnoteText"/>
    <w:uiPriority w:val="99"/>
    <w:rsid w:val="004175A0"/>
    <w:rPr>
      <w:sz w:val="20"/>
      <w:szCs w:val="20"/>
    </w:rPr>
  </w:style>
  <w:style w:type="character" w:styleId="FootnoteReference">
    <w:name w:val="footnote reference"/>
    <w:basedOn w:val="DefaultParagraphFont"/>
    <w:uiPriority w:val="99"/>
    <w:semiHidden/>
    <w:unhideWhenUsed/>
    <w:rsid w:val="004175A0"/>
    <w:rPr>
      <w:vertAlign w:val="superscript"/>
    </w:rPr>
  </w:style>
  <w:style w:type="table" w:styleId="TableGrid">
    <w:name w:val="Table Grid"/>
    <w:basedOn w:val="TableNormal"/>
    <w:uiPriority w:val="39"/>
    <w:rsid w:val="00417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nance1">
    <w:name w:val="Finance 1"/>
    <w:basedOn w:val="TableNormal"/>
    <w:uiPriority w:val="99"/>
    <w:rsid w:val="004175A0"/>
    <w:pPr>
      <w:spacing w:before="60" w:after="60" w:line="200" w:lineRule="atLeast"/>
    </w:pPr>
    <w:rPr>
      <w:kern w:val="0"/>
      <w:sz w:val="16"/>
      <w14:ligatures w14:val="none"/>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left w:w="85" w:type="dxa"/>
        <w:right w:w="85" w:type="dxa"/>
      </w:tblCellMar>
    </w:tblPr>
    <w:trPr>
      <w:cantSplit/>
    </w:trPr>
    <w:tblStylePr w:type="firstRow">
      <w:rPr>
        <w:b/>
      </w:rPr>
      <w:tblPr/>
      <w:trPr>
        <w:tblHeader/>
      </w:trPr>
      <w:tcPr>
        <w:shd w:val="clear" w:color="auto" w:fill="44546A" w:themeFill="text2"/>
      </w:tcPr>
    </w:tblStylePr>
    <w:tblStylePr w:type="lastRow">
      <w:tblPr/>
      <w:tcPr>
        <w:shd w:val="clear" w:color="auto" w:fill="44546A" w:themeFill="text2"/>
      </w:tcPr>
    </w:tblStylePr>
    <w:tblStylePr w:type="firstCol">
      <w:tblPr/>
      <w:tcPr>
        <w:tcBorders>
          <w:insideH w:val="single" w:sz="4" w:space="0" w:color="FFFFFF" w:themeColor="background1"/>
        </w:tcBorders>
        <w:shd w:val="clear" w:color="auto" w:fill="44546A" w:themeFill="text2"/>
      </w:tcPr>
    </w:tblStylePr>
    <w:tblStylePr w:type="lastCol">
      <w:tblPr/>
      <w:tcPr>
        <w:shd w:val="clear" w:color="auto" w:fill="BFBFBF" w:themeFill="background1" w:themeFillShade="BF"/>
      </w:tcPr>
    </w:tblStylePr>
    <w:tblStylePr w:type="band1Vert">
      <w:tblPr/>
      <w:tcPr>
        <w:shd w:val="clear" w:color="auto" w:fill="E7E6E6" w:themeFill="background2"/>
      </w:tcPr>
    </w:tblStylePr>
    <w:tblStylePr w:type="band2Vert">
      <w:tblPr/>
      <w:tcPr>
        <w:shd w:val="clear" w:color="auto" w:fill="FFFFFF" w:themeFill="background1"/>
      </w:tcPr>
    </w:tblStylePr>
    <w:tblStylePr w:type="band1Horz">
      <w:tblPr/>
      <w:tcPr>
        <w:shd w:val="clear" w:color="auto" w:fill="E7E6E6"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4175A0"/>
    <w:pPr>
      <w:suppressAutoHyphens/>
      <w:spacing w:before="60" w:after="60" w:line="280" w:lineRule="atLeast"/>
    </w:pPr>
    <w:rPr>
      <w:kern w:val="0"/>
      <w:sz w:val="18"/>
      <w14:ligatures w14:val="none"/>
    </w:rPr>
  </w:style>
  <w:style w:type="table" w:styleId="ListTable3">
    <w:name w:val="List Table 3"/>
    <w:basedOn w:val="TableNormal"/>
    <w:uiPriority w:val="48"/>
    <w:rsid w:val="004175A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ED136E"/>
    <w:pPr>
      <w:spacing w:after="0" w:line="240" w:lineRule="auto"/>
    </w:pPr>
  </w:style>
  <w:style w:type="paragraph" w:styleId="CommentSubject">
    <w:name w:val="annotation subject"/>
    <w:basedOn w:val="CommentText"/>
    <w:next w:val="CommentText"/>
    <w:link w:val="CommentSubjectChar"/>
    <w:uiPriority w:val="99"/>
    <w:semiHidden/>
    <w:unhideWhenUsed/>
    <w:rsid w:val="007A0290"/>
    <w:rPr>
      <w:b/>
      <w:bCs/>
    </w:rPr>
  </w:style>
  <w:style w:type="character" w:customStyle="1" w:styleId="CommentSubjectChar">
    <w:name w:val="Comment Subject Char"/>
    <w:basedOn w:val="CommentTextChar"/>
    <w:link w:val="CommentSubject"/>
    <w:uiPriority w:val="99"/>
    <w:semiHidden/>
    <w:rsid w:val="007A0290"/>
    <w:rPr>
      <w:b/>
      <w:bCs/>
      <w:sz w:val="20"/>
      <w:szCs w:val="20"/>
    </w:rPr>
  </w:style>
  <w:style w:type="character" w:styleId="FollowedHyperlink">
    <w:name w:val="FollowedHyperlink"/>
    <w:basedOn w:val="DefaultParagraphFont"/>
    <w:uiPriority w:val="99"/>
    <w:semiHidden/>
    <w:unhideWhenUsed/>
    <w:rsid w:val="003D5774"/>
    <w:rPr>
      <w:color w:val="954F72" w:themeColor="followedHyperlink"/>
      <w:u w:val="single"/>
    </w:rPr>
  </w:style>
  <w:style w:type="paragraph" w:styleId="NormalWeb">
    <w:name w:val="Normal (Web)"/>
    <w:basedOn w:val="Normal"/>
    <w:uiPriority w:val="99"/>
    <w:unhideWhenUsed/>
    <w:rsid w:val="003D577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3D5774"/>
    <w:rPr>
      <w:b/>
      <w:bCs/>
    </w:rPr>
  </w:style>
  <w:style w:type="paragraph" w:styleId="TOCHeading">
    <w:name w:val="TOC Heading"/>
    <w:basedOn w:val="Heading1"/>
    <w:next w:val="Normal"/>
    <w:uiPriority w:val="39"/>
    <w:unhideWhenUsed/>
    <w:qFormat/>
    <w:rsid w:val="003D5774"/>
    <w:pPr>
      <w:keepLines/>
      <w:spacing w:before="240" w:line="259" w:lineRule="auto"/>
      <w:outlineLvl w:val="9"/>
    </w:pPr>
    <w:rPr>
      <w:rFonts w:asciiTheme="majorHAnsi" w:eastAsiaTheme="majorEastAsia" w:hAnsiTheme="majorHAnsi" w:cstheme="majorBidi"/>
      <w:color w:val="2F5496" w:themeColor="accent1" w:themeShade="BF"/>
      <w:kern w:val="0"/>
      <w:sz w:val="32"/>
      <w:szCs w:val="32"/>
      <w:lang w:val="en-US"/>
    </w:rPr>
  </w:style>
  <w:style w:type="paragraph" w:styleId="TOC2">
    <w:name w:val="toc 2"/>
    <w:basedOn w:val="Normal"/>
    <w:next w:val="Normal"/>
    <w:autoRedefine/>
    <w:uiPriority w:val="39"/>
    <w:unhideWhenUsed/>
    <w:rsid w:val="006354D0"/>
    <w:pPr>
      <w:spacing w:before="240" w:after="0"/>
    </w:pPr>
    <w:rPr>
      <w:rFonts w:cstheme="minorHAnsi"/>
      <w:b/>
      <w:bCs/>
      <w:sz w:val="20"/>
      <w:szCs w:val="20"/>
    </w:rPr>
  </w:style>
  <w:style w:type="paragraph" w:styleId="TOC3">
    <w:name w:val="toc 3"/>
    <w:basedOn w:val="Normal"/>
    <w:next w:val="Normal"/>
    <w:autoRedefine/>
    <w:uiPriority w:val="39"/>
    <w:unhideWhenUsed/>
    <w:rsid w:val="00CE4656"/>
    <w:pPr>
      <w:spacing w:after="0"/>
      <w:ind w:left="220"/>
    </w:pPr>
    <w:rPr>
      <w:rFonts w:cstheme="minorHAnsi"/>
      <w:sz w:val="20"/>
      <w:szCs w:val="20"/>
    </w:rPr>
  </w:style>
  <w:style w:type="paragraph" w:styleId="TOC1">
    <w:name w:val="toc 1"/>
    <w:basedOn w:val="Normal"/>
    <w:next w:val="Normal"/>
    <w:autoRedefine/>
    <w:uiPriority w:val="39"/>
    <w:unhideWhenUsed/>
    <w:rsid w:val="00CE4656"/>
    <w:pPr>
      <w:spacing w:before="360" w:after="0"/>
    </w:pPr>
    <w:rPr>
      <w:rFonts w:asciiTheme="majorHAnsi" w:hAnsiTheme="majorHAnsi" w:cstheme="majorHAnsi"/>
      <w:b/>
      <w:bCs/>
      <w:caps/>
      <w:sz w:val="24"/>
      <w:szCs w:val="24"/>
    </w:rPr>
  </w:style>
  <w:style w:type="character" w:customStyle="1" w:styleId="UnresolvedMention1">
    <w:name w:val="Unresolved Mention1"/>
    <w:basedOn w:val="DefaultParagraphFont"/>
    <w:uiPriority w:val="99"/>
    <w:semiHidden/>
    <w:unhideWhenUsed/>
    <w:rsid w:val="003D5774"/>
    <w:rPr>
      <w:color w:val="605E5C"/>
      <w:shd w:val="clear" w:color="auto" w:fill="E1DFDD"/>
    </w:rPr>
  </w:style>
  <w:style w:type="table" w:styleId="GridTable5Dark-Accent5">
    <w:name w:val="Grid Table 5 Dark Accent 5"/>
    <w:basedOn w:val="TableNormal"/>
    <w:uiPriority w:val="50"/>
    <w:rsid w:val="00852293"/>
    <w:pPr>
      <w:spacing w:after="0" w:line="240" w:lineRule="auto"/>
    </w:pPr>
    <w:rPr>
      <w:rFonts w:ascii="Times New Roman" w:hAnsi="Times New Roman" w:cs="Times New Roman"/>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041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EE4"/>
    <w:rPr>
      <w:rFonts w:ascii="Segoe UI" w:hAnsi="Segoe UI" w:cs="Segoe UI"/>
      <w:sz w:val="18"/>
      <w:szCs w:val="18"/>
    </w:rPr>
  </w:style>
  <w:style w:type="character" w:customStyle="1" w:styleId="Heading4Char">
    <w:name w:val="Heading 4 Char"/>
    <w:basedOn w:val="DefaultParagraphFont"/>
    <w:link w:val="Heading4"/>
    <w:rsid w:val="00BB6B47"/>
    <w:rPr>
      <w:rFonts w:ascii="Calibri Light" w:eastAsia="Times New Roman" w:hAnsi="Calibri Light" w:cs="Arial"/>
      <w:b/>
      <w:bCs/>
      <w:color w:val="000000" w:themeColor="text1"/>
      <w:kern w:val="32"/>
      <w:sz w:val="24"/>
      <w:szCs w:val="26"/>
      <w:lang w:eastAsia="en-AU"/>
      <w14:ligatures w14:val="none"/>
    </w:rPr>
  </w:style>
  <w:style w:type="character" w:customStyle="1" w:styleId="ListParagraphChar">
    <w:name w:val="List Paragraph Char"/>
    <w:aliases w:val="List Paragraph1 Char,Recommendation Char,List Paragraph11 Char,Bullet point Char,Body Text1 Char,L Char,Bullet Point Char,Bulletr List Paragraph Char,Content descriptions Char,FooterText Char,List Bullet 1 Char,List Paragraph2 Char"/>
    <w:basedOn w:val="DefaultParagraphFont"/>
    <w:link w:val="ListParagraph"/>
    <w:uiPriority w:val="1"/>
    <w:locked/>
    <w:rsid w:val="00614F15"/>
  </w:style>
  <w:style w:type="paragraph" w:customStyle="1" w:styleId="pf0">
    <w:name w:val="pf0"/>
    <w:basedOn w:val="Normal"/>
    <w:rsid w:val="0091190F"/>
    <w:pPr>
      <w:spacing w:before="100" w:beforeAutospacing="1" w:after="100" w:afterAutospacing="1" w:line="240" w:lineRule="auto"/>
      <w:ind w:left="1080"/>
    </w:pPr>
    <w:rPr>
      <w:rFonts w:ascii="Times New Roman" w:hAnsi="Times New Roman" w:cs="Times New Roman"/>
      <w:kern w:val="0"/>
      <w:sz w:val="24"/>
      <w:szCs w:val="24"/>
      <w:lang w:eastAsia="en-AU"/>
      <w14:ligatures w14:val="none"/>
    </w:rPr>
  </w:style>
  <w:style w:type="paragraph" w:customStyle="1" w:styleId="NumberList">
    <w:name w:val="Number List"/>
    <w:basedOn w:val="Normal"/>
    <w:rsid w:val="00476688"/>
    <w:pPr>
      <w:tabs>
        <w:tab w:val="left" w:pos="1985"/>
      </w:tabs>
      <w:spacing w:before="240" w:after="0" w:line="240" w:lineRule="atLeast"/>
    </w:pPr>
    <w:rPr>
      <w:rFonts w:ascii="Times New Roman" w:eastAsia="Times New Roman" w:hAnsi="Times New Roman" w:cs="Times New Roman"/>
      <w:kern w:val="0"/>
      <w:sz w:val="24"/>
      <w:szCs w:val="24"/>
      <w14:ligatures w14:val="none"/>
    </w:rPr>
  </w:style>
  <w:style w:type="character" w:customStyle="1" w:styleId="UnresolvedMention10">
    <w:name w:val="Unresolved Mention10"/>
    <w:basedOn w:val="DefaultParagraphFont"/>
    <w:uiPriority w:val="99"/>
    <w:semiHidden/>
    <w:unhideWhenUsed/>
    <w:rsid w:val="003A3D19"/>
    <w:rPr>
      <w:color w:val="605E5C"/>
      <w:shd w:val="clear" w:color="auto" w:fill="E1DFDD"/>
    </w:rPr>
  </w:style>
  <w:style w:type="paragraph" w:customStyle="1" w:styleId="acthead5">
    <w:name w:val="acthead5"/>
    <w:basedOn w:val="Normal"/>
    <w:rsid w:val="003A3D1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harsectno">
    <w:name w:val="charsectno"/>
    <w:basedOn w:val="DefaultParagraphFont"/>
    <w:rsid w:val="003A3D19"/>
  </w:style>
  <w:style w:type="paragraph" w:customStyle="1" w:styleId="subsection">
    <w:name w:val="subsection"/>
    <w:basedOn w:val="Normal"/>
    <w:rsid w:val="003A3D1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ui-provider">
    <w:name w:val="ui-provider"/>
    <w:basedOn w:val="DefaultParagraphFont"/>
    <w:rsid w:val="00AA6D3C"/>
  </w:style>
  <w:style w:type="character" w:customStyle="1" w:styleId="AdvicePPChar">
    <w:name w:val="Advice PP Char"/>
    <w:basedOn w:val="DefaultParagraphFont"/>
    <w:link w:val="AdvicePP"/>
    <w:locked/>
    <w:rsid w:val="00C81E9B"/>
    <w:rPr>
      <w:rFonts w:ascii="Arial" w:hAnsi="Arial" w:cs="Arial"/>
    </w:rPr>
  </w:style>
  <w:style w:type="paragraph" w:customStyle="1" w:styleId="AdvicePP">
    <w:name w:val="Advice PP"/>
    <w:basedOn w:val="Normal"/>
    <w:link w:val="AdvicePPChar"/>
    <w:qFormat/>
    <w:rsid w:val="00C81E9B"/>
    <w:pPr>
      <w:spacing w:after="0" w:line="280" w:lineRule="atLeast"/>
    </w:pPr>
    <w:rPr>
      <w:rFonts w:ascii="Arial" w:hAnsi="Arial" w:cs="Arial"/>
    </w:rPr>
  </w:style>
  <w:style w:type="paragraph" w:customStyle="1" w:styleId="NumberLevel1">
    <w:name w:val="Number Level 1"/>
    <w:aliases w:val="N1"/>
    <w:basedOn w:val="Normal"/>
    <w:uiPriority w:val="1"/>
    <w:qFormat/>
    <w:rsid w:val="009653C6"/>
    <w:pPr>
      <w:numPr>
        <w:numId w:val="10"/>
      </w:numPr>
      <w:spacing w:before="140" w:after="140" w:line="280" w:lineRule="atLeast"/>
    </w:pPr>
    <w:rPr>
      <w:rFonts w:ascii="Arial" w:eastAsia="Times New Roman" w:hAnsi="Arial" w:cs="Arial"/>
      <w:kern w:val="0"/>
      <w:lang w:eastAsia="en-AU"/>
      <w14:ligatures w14:val="none"/>
    </w:rPr>
  </w:style>
  <w:style w:type="paragraph" w:customStyle="1" w:styleId="NumberLevel2">
    <w:name w:val="Number Level 2"/>
    <w:aliases w:val="N2"/>
    <w:basedOn w:val="Normal"/>
    <w:uiPriority w:val="1"/>
    <w:qFormat/>
    <w:rsid w:val="009653C6"/>
    <w:pPr>
      <w:numPr>
        <w:ilvl w:val="1"/>
        <w:numId w:val="10"/>
      </w:numPr>
      <w:spacing w:before="140" w:after="140" w:line="280" w:lineRule="atLeast"/>
    </w:pPr>
    <w:rPr>
      <w:rFonts w:ascii="Arial" w:eastAsia="Times New Roman" w:hAnsi="Arial" w:cs="Arial"/>
      <w:kern w:val="0"/>
      <w:lang w:eastAsia="en-AU"/>
      <w14:ligatures w14:val="none"/>
    </w:rPr>
  </w:style>
  <w:style w:type="paragraph" w:customStyle="1" w:styleId="NumberLevel3">
    <w:name w:val="Number Level 3"/>
    <w:aliases w:val="N3"/>
    <w:basedOn w:val="Normal"/>
    <w:uiPriority w:val="1"/>
    <w:qFormat/>
    <w:rsid w:val="009653C6"/>
    <w:pPr>
      <w:numPr>
        <w:ilvl w:val="2"/>
        <w:numId w:val="10"/>
      </w:numPr>
      <w:spacing w:before="140" w:after="140" w:line="280" w:lineRule="atLeast"/>
    </w:pPr>
    <w:rPr>
      <w:rFonts w:ascii="Arial" w:eastAsia="Times New Roman" w:hAnsi="Arial" w:cs="Arial"/>
      <w:kern w:val="0"/>
      <w:lang w:eastAsia="en-AU"/>
      <w14:ligatures w14:val="none"/>
    </w:rPr>
  </w:style>
  <w:style w:type="paragraph" w:customStyle="1" w:styleId="NumberLevel4">
    <w:name w:val="Number Level 4"/>
    <w:aliases w:val="N4"/>
    <w:basedOn w:val="Normal"/>
    <w:uiPriority w:val="1"/>
    <w:qFormat/>
    <w:rsid w:val="009653C6"/>
    <w:pPr>
      <w:numPr>
        <w:ilvl w:val="3"/>
        <w:numId w:val="10"/>
      </w:numPr>
      <w:spacing w:after="140" w:line="280" w:lineRule="atLeast"/>
    </w:pPr>
    <w:rPr>
      <w:rFonts w:ascii="Arial" w:eastAsia="Times New Roman" w:hAnsi="Arial" w:cs="Arial"/>
      <w:kern w:val="0"/>
      <w:lang w:eastAsia="en-AU"/>
      <w14:ligatures w14:val="none"/>
    </w:rPr>
  </w:style>
  <w:style w:type="paragraph" w:customStyle="1" w:styleId="NumberLevel5">
    <w:name w:val="Number Level 5"/>
    <w:aliases w:val="N5"/>
    <w:basedOn w:val="Normal"/>
    <w:uiPriority w:val="1"/>
    <w:semiHidden/>
    <w:rsid w:val="009653C6"/>
    <w:pPr>
      <w:numPr>
        <w:ilvl w:val="4"/>
        <w:numId w:val="10"/>
      </w:numPr>
      <w:spacing w:after="140" w:line="280" w:lineRule="atLeast"/>
    </w:pPr>
    <w:rPr>
      <w:rFonts w:ascii="Arial" w:eastAsia="Times New Roman" w:hAnsi="Arial" w:cs="Arial"/>
      <w:kern w:val="0"/>
      <w:lang w:eastAsia="en-AU"/>
      <w14:ligatures w14:val="none"/>
    </w:rPr>
  </w:style>
  <w:style w:type="paragraph" w:customStyle="1" w:styleId="NumberLevel6">
    <w:name w:val="Number Level 6"/>
    <w:basedOn w:val="NumberLevel5"/>
    <w:uiPriority w:val="1"/>
    <w:semiHidden/>
    <w:rsid w:val="009653C6"/>
    <w:pPr>
      <w:numPr>
        <w:ilvl w:val="5"/>
      </w:numPr>
    </w:pPr>
  </w:style>
  <w:style w:type="paragraph" w:customStyle="1" w:styleId="NumberLevel7">
    <w:name w:val="Number Level 7"/>
    <w:basedOn w:val="NumberLevel6"/>
    <w:uiPriority w:val="1"/>
    <w:semiHidden/>
    <w:rsid w:val="009653C6"/>
    <w:pPr>
      <w:numPr>
        <w:ilvl w:val="6"/>
      </w:numPr>
    </w:pPr>
  </w:style>
  <w:style w:type="paragraph" w:customStyle="1" w:styleId="NumberLevel8">
    <w:name w:val="Number Level 8"/>
    <w:basedOn w:val="NumberLevel7"/>
    <w:uiPriority w:val="1"/>
    <w:semiHidden/>
    <w:rsid w:val="009653C6"/>
    <w:pPr>
      <w:numPr>
        <w:ilvl w:val="7"/>
      </w:numPr>
    </w:pPr>
  </w:style>
  <w:style w:type="paragraph" w:customStyle="1" w:styleId="NumberLevel9">
    <w:name w:val="Number Level 9"/>
    <w:basedOn w:val="NumberLevel8"/>
    <w:uiPriority w:val="1"/>
    <w:semiHidden/>
    <w:rsid w:val="009653C6"/>
    <w:pPr>
      <w:numPr>
        <w:ilvl w:val="8"/>
      </w:numPr>
    </w:pPr>
  </w:style>
  <w:style w:type="paragraph" w:customStyle="1" w:styleId="AdviceNumLevel1">
    <w:name w:val="AdviceNumLevel1"/>
    <w:aliases w:val="Advice N1"/>
    <w:basedOn w:val="NumberLevel1"/>
    <w:qFormat/>
    <w:rsid w:val="001B31D6"/>
    <w:pPr>
      <w:numPr>
        <w:numId w:val="8"/>
      </w:numPr>
    </w:pPr>
  </w:style>
  <w:style w:type="character" w:customStyle="1" w:styleId="Mention1">
    <w:name w:val="Mention1"/>
    <w:basedOn w:val="DefaultParagraphFont"/>
    <w:uiPriority w:val="99"/>
    <w:unhideWhenUsed/>
    <w:rsid w:val="0048068A"/>
    <w:rPr>
      <w:color w:val="2B579A"/>
      <w:shd w:val="clear" w:color="auto" w:fill="E1DFDD"/>
    </w:rPr>
  </w:style>
  <w:style w:type="paragraph" w:customStyle="1" w:styleId="Bullet">
    <w:name w:val="Bullet"/>
    <w:basedOn w:val="Normal"/>
    <w:link w:val="BulletChar"/>
    <w:rsid w:val="001E182E"/>
    <w:pPr>
      <w:ind w:left="360" w:hanging="360"/>
    </w:pPr>
  </w:style>
  <w:style w:type="character" w:customStyle="1" w:styleId="BulletChar">
    <w:name w:val="Bullet Char"/>
    <w:basedOn w:val="DefaultParagraphFont"/>
    <w:link w:val="Bullet"/>
    <w:rsid w:val="001E182E"/>
  </w:style>
  <w:style w:type="paragraph" w:customStyle="1" w:styleId="Dash">
    <w:name w:val="Dash"/>
    <w:basedOn w:val="Normal"/>
    <w:link w:val="DashChar"/>
    <w:rsid w:val="004134D1"/>
    <w:pPr>
      <w:numPr>
        <w:ilvl w:val="1"/>
        <w:numId w:val="11"/>
      </w:numPr>
      <w:spacing w:after="0" w:line="240" w:lineRule="auto"/>
    </w:pPr>
  </w:style>
  <w:style w:type="character" w:customStyle="1" w:styleId="DashChar">
    <w:name w:val="Dash Char"/>
    <w:basedOn w:val="DefaultParagraphFont"/>
    <w:link w:val="Dash"/>
    <w:rsid w:val="004134D1"/>
  </w:style>
  <w:style w:type="paragraph" w:customStyle="1" w:styleId="DoubleDot">
    <w:name w:val="Double Dot"/>
    <w:basedOn w:val="Normal"/>
    <w:link w:val="DoubleDotChar"/>
    <w:rsid w:val="004134D1"/>
    <w:pPr>
      <w:numPr>
        <w:ilvl w:val="2"/>
        <w:numId w:val="11"/>
      </w:numPr>
      <w:spacing w:after="0" w:line="240" w:lineRule="auto"/>
    </w:pPr>
  </w:style>
  <w:style w:type="character" w:customStyle="1" w:styleId="DoubleDotChar">
    <w:name w:val="Double Dot Char"/>
    <w:basedOn w:val="DefaultParagraphFont"/>
    <w:link w:val="DoubleDot"/>
    <w:rsid w:val="004134D1"/>
  </w:style>
  <w:style w:type="character" w:customStyle="1" w:styleId="cf01">
    <w:name w:val="cf01"/>
    <w:basedOn w:val="DefaultParagraphFont"/>
    <w:rsid w:val="00B71B1B"/>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852BBE"/>
    <w:rPr>
      <w:color w:val="605E5C"/>
      <w:shd w:val="clear" w:color="auto" w:fill="E1DFDD"/>
    </w:rPr>
  </w:style>
  <w:style w:type="paragraph" w:styleId="TOC4">
    <w:name w:val="toc 4"/>
    <w:basedOn w:val="Normal"/>
    <w:next w:val="Normal"/>
    <w:autoRedefine/>
    <w:uiPriority w:val="39"/>
    <w:unhideWhenUsed/>
    <w:rsid w:val="0076543F"/>
    <w:pPr>
      <w:spacing w:after="0"/>
      <w:ind w:left="440"/>
    </w:pPr>
    <w:rPr>
      <w:rFonts w:cstheme="minorHAnsi"/>
      <w:sz w:val="20"/>
      <w:szCs w:val="20"/>
    </w:rPr>
  </w:style>
  <w:style w:type="paragraph" w:styleId="TOC5">
    <w:name w:val="toc 5"/>
    <w:basedOn w:val="Normal"/>
    <w:next w:val="Normal"/>
    <w:autoRedefine/>
    <w:uiPriority w:val="39"/>
    <w:unhideWhenUsed/>
    <w:rsid w:val="0076543F"/>
    <w:pPr>
      <w:spacing w:after="0"/>
      <w:ind w:left="660"/>
    </w:pPr>
    <w:rPr>
      <w:rFonts w:cstheme="minorHAnsi"/>
      <w:sz w:val="20"/>
      <w:szCs w:val="20"/>
    </w:rPr>
  </w:style>
  <w:style w:type="paragraph" w:styleId="TOC6">
    <w:name w:val="toc 6"/>
    <w:basedOn w:val="Normal"/>
    <w:next w:val="Normal"/>
    <w:autoRedefine/>
    <w:uiPriority w:val="39"/>
    <w:unhideWhenUsed/>
    <w:rsid w:val="0076543F"/>
    <w:pPr>
      <w:spacing w:after="0"/>
      <w:ind w:left="880"/>
    </w:pPr>
    <w:rPr>
      <w:rFonts w:cstheme="minorHAnsi"/>
      <w:sz w:val="20"/>
      <w:szCs w:val="20"/>
    </w:rPr>
  </w:style>
  <w:style w:type="paragraph" w:styleId="TOC7">
    <w:name w:val="toc 7"/>
    <w:basedOn w:val="Normal"/>
    <w:next w:val="Normal"/>
    <w:autoRedefine/>
    <w:uiPriority w:val="39"/>
    <w:unhideWhenUsed/>
    <w:rsid w:val="0076543F"/>
    <w:pPr>
      <w:spacing w:after="0"/>
      <w:ind w:left="1100"/>
    </w:pPr>
    <w:rPr>
      <w:rFonts w:cstheme="minorHAnsi"/>
      <w:sz w:val="20"/>
      <w:szCs w:val="20"/>
    </w:rPr>
  </w:style>
  <w:style w:type="paragraph" w:styleId="TOC8">
    <w:name w:val="toc 8"/>
    <w:basedOn w:val="Normal"/>
    <w:next w:val="Normal"/>
    <w:autoRedefine/>
    <w:uiPriority w:val="39"/>
    <w:unhideWhenUsed/>
    <w:rsid w:val="0076543F"/>
    <w:pPr>
      <w:spacing w:after="0"/>
      <w:ind w:left="1320"/>
    </w:pPr>
    <w:rPr>
      <w:rFonts w:cstheme="minorHAnsi"/>
      <w:sz w:val="20"/>
      <w:szCs w:val="20"/>
    </w:rPr>
  </w:style>
  <w:style w:type="paragraph" w:styleId="TOC9">
    <w:name w:val="toc 9"/>
    <w:basedOn w:val="Normal"/>
    <w:next w:val="Normal"/>
    <w:autoRedefine/>
    <w:uiPriority w:val="39"/>
    <w:unhideWhenUsed/>
    <w:rsid w:val="0076543F"/>
    <w:pPr>
      <w:spacing w:after="0"/>
      <w:ind w:left="1540"/>
    </w:pPr>
    <w:rPr>
      <w:rFonts w:cstheme="minorHAnsi"/>
      <w:sz w:val="20"/>
      <w:szCs w:val="20"/>
    </w:rPr>
  </w:style>
  <w:style w:type="paragraph" w:styleId="NoSpacing">
    <w:name w:val="No Spacing"/>
    <w:link w:val="NoSpacingChar"/>
    <w:uiPriority w:val="1"/>
    <w:qFormat/>
    <w:rsid w:val="00F43B67"/>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43B67"/>
    <w:rPr>
      <w:rFonts w:eastAsiaTheme="minorEastAsia"/>
      <w:kern w:val="0"/>
      <w:lang w:val="en-US"/>
      <w14:ligatures w14:val="none"/>
    </w:rPr>
  </w:style>
  <w:style w:type="table" w:styleId="GridTable4-Accent1">
    <w:name w:val="Grid Table 4 Accent 1"/>
    <w:basedOn w:val="TableNormal"/>
    <w:uiPriority w:val="49"/>
    <w:rsid w:val="004517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5178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UnresolvedMention">
    <w:name w:val="Unresolved Mention"/>
    <w:basedOn w:val="DefaultParagraphFont"/>
    <w:uiPriority w:val="99"/>
    <w:semiHidden/>
    <w:unhideWhenUsed/>
    <w:rsid w:val="00B25813"/>
    <w:rPr>
      <w:color w:val="605E5C"/>
      <w:shd w:val="clear" w:color="auto" w:fill="E1DFDD"/>
    </w:rPr>
  </w:style>
  <w:style w:type="character" w:styleId="Mention">
    <w:name w:val="Mention"/>
    <w:basedOn w:val="DefaultParagraphFont"/>
    <w:uiPriority w:val="99"/>
    <w:unhideWhenUsed/>
    <w:rsid w:val="00FC36AB"/>
    <w:rPr>
      <w:color w:val="2B579A"/>
      <w:shd w:val="clear" w:color="auto" w:fill="E1DFDD"/>
    </w:rPr>
  </w:style>
  <w:style w:type="paragraph" w:styleId="EndnoteText">
    <w:name w:val="endnote text"/>
    <w:basedOn w:val="Normal"/>
    <w:link w:val="EndnoteTextChar"/>
    <w:uiPriority w:val="99"/>
    <w:semiHidden/>
    <w:unhideWhenUsed/>
    <w:rsid w:val="00A018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183F"/>
    <w:rPr>
      <w:sz w:val="20"/>
      <w:szCs w:val="20"/>
    </w:rPr>
  </w:style>
  <w:style w:type="character" w:styleId="EndnoteReference">
    <w:name w:val="endnote reference"/>
    <w:basedOn w:val="DefaultParagraphFont"/>
    <w:uiPriority w:val="99"/>
    <w:semiHidden/>
    <w:unhideWhenUsed/>
    <w:rsid w:val="00A0183F"/>
    <w:rPr>
      <w:vertAlign w:val="superscript"/>
    </w:rPr>
  </w:style>
  <w:style w:type="paragraph" w:styleId="BodyText">
    <w:name w:val="Body Text"/>
    <w:basedOn w:val="Normal"/>
    <w:link w:val="BodyTextChar"/>
    <w:uiPriority w:val="1"/>
    <w:qFormat/>
    <w:rsid w:val="00D74E02"/>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D74E02"/>
    <w:rPr>
      <w:rFonts w:ascii="Calibri" w:eastAsia="Calibri" w:hAnsi="Calibri" w:cs="Calibri"/>
      <w:kern w:val="0"/>
      <w:lang w:val="en-US"/>
      <w14:ligatures w14:val="none"/>
    </w:rPr>
  </w:style>
  <w:style w:type="paragraph" w:customStyle="1" w:styleId="TableParagraph">
    <w:name w:val="Table Paragraph"/>
    <w:basedOn w:val="Normal"/>
    <w:uiPriority w:val="1"/>
    <w:qFormat/>
    <w:rsid w:val="00D74E02"/>
    <w:pPr>
      <w:widowControl w:val="0"/>
      <w:autoSpaceDE w:val="0"/>
      <w:autoSpaceDN w:val="0"/>
      <w:spacing w:after="0" w:line="223" w:lineRule="exact"/>
      <w:ind w:left="107"/>
    </w:pPr>
    <w:rPr>
      <w:rFonts w:ascii="Calibri" w:eastAsia="Calibri" w:hAnsi="Calibri" w:cs="Calibri"/>
      <w:kern w:val="0"/>
      <w:lang w:val="en-US"/>
      <w14:ligatures w14:val="none"/>
    </w:rPr>
  </w:style>
  <w:style w:type="paragraph" w:styleId="List">
    <w:name w:val="List"/>
    <w:basedOn w:val="List2"/>
    <w:uiPriority w:val="99"/>
    <w:unhideWhenUsed/>
    <w:rsid w:val="0050155E"/>
    <w:pPr>
      <w:numPr>
        <w:numId w:val="34"/>
      </w:numPr>
    </w:pPr>
  </w:style>
  <w:style w:type="paragraph" w:styleId="List2">
    <w:name w:val="List 2"/>
    <w:basedOn w:val="Normal"/>
    <w:uiPriority w:val="99"/>
    <w:unhideWhenUsed/>
    <w:rsid w:val="00A213D2"/>
    <w:pPr>
      <w:numPr>
        <w:numId w:val="33"/>
      </w:numPr>
    </w:pPr>
  </w:style>
  <w:style w:type="paragraph" w:styleId="ListNumber3">
    <w:name w:val="List Number 3"/>
    <w:basedOn w:val="ListParagraph"/>
    <w:uiPriority w:val="99"/>
    <w:unhideWhenUsed/>
    <w:rsid w:val="00902294"/>
    <w:pPr>
      <w:numPr>
        <w:ilvl w:val="1"/>
        <w:numId w:val="15"/>
      </w:numPr>
    </w:pPr>
  </w:style>
  <w:style w:type="paragraph" w:styleId="List3">
    <w:name w:val="List 3"/>
    <w:basedOn w:val="ListNumber3"/>
    <w:uiPriority w:val="99"/>
    <w:unhideWhenUsed/>
    <w:rsid w:val="00902294"/>
  </w:style>
  <w:style w:type="paragraph" w:styleId="Caption">
    <w:name w:val="caption"/>
    <w:basedOn w:val="Heading4"/>
    <w:next w:val="Normal"/>
    <w:uiPriority w:val="35"/>
    <w:unhideWhenUsed/>
    <w:qFormat/>
    <w:rsid w:val="00593EA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3985">
      <w:bodyDiv w:val="1"/>
      <w:marLeft w:val="0"/>
      <w:marRight w:val="0"/>
      <w:marTop w:val="0"/>
      <w:marBottom w:val="0"/>
      <w:divBdr>
        <w:top w:val="none" w:sz="0" w:space="0" w:color="auto"/>
        <w:left w:val="none" w:sz="0" w:space="0" w:color="auto"/>
        <w:bottom w:val="none" w:sz="0" w:space="0" w:color="auto"/>
        <w:right w:val="none" w:sz="0" w:space="0" w:color="auto"/>
      </w:divBdr>
    </w:div>
    <w:div w:id="83308475">
      <w:bodyDiv w:val="1"/>
      <w:marLeft w:val="0"/>
      <w:marRight w:val="0"/>
      <w:marTop w:val="0"/>
      <w:marBottom w:val="0"/>
      <w:divBdr>
        <w:top w:val="none" w:sz="0" w:space="0" w:color="auto"/>
        <w:left w:val="none" w:sz="0" w:space="0" w:color="auto"/>
        <w:bottom w:val="none" w:sz="0" w:space="0" w:color="auto"/>
        <w:right w:val="none" w:sz="0" w:space="0" w:color="auto"/>
      </w:divBdr>
    </w:div>
    <w:div w:id="101654713">
      <w:bodyDiv w:val="1"/>
      <w:marLeft w:val="0"/>
      <w:marRight w:val="0"/>
      <w:marTop w:val="0"/>
      <w:marBottom w:val="0"/>
      <w:divBdr>
        <w:top w:val="none" w:sz="0" w:space="0" w:color="auto"/>
        <w:left w:val="none" w:sz="0" w:space="0" w:color="auto"/>
        <w:bottom w:val="none" w:sz="0" w:space="0" w:color="auto"/>
        <w:right w:val="none" w:sz="0" w:space="0" w:color="auto"/>
      </w:divBdr>
    </w:div>
    <w:div w:id="129637004">
      <w:bodyDiv w:val="1"/>
      <w:marLeft w:val="0"/>
      <w:marRight w:val="0"/>
      <w:marTop w:val="0"/>
      <w:marBottom w:val="0"/>
      <w:divBdr>
        <w:top w:val="none" w:sz="0" w:space="0" w:color="auto"/>
        <w:left w:val="none" w:sz="0" w:space="0" w:color="auto"/>
        <w:bottom w:val="none" w:sz="0" w:space="0" w:color="auto"/>
        <w:right w:val="none" w:sz="0" w:space="0" w:color="auto"/>
      </w:divBdr>
    </w:div>
    <w:div w:id="139739485">
      <w:bodyDiv w:val="1"/>
      <w:marLeft w:val="0"/>
      <w:marRight w:val="0"/>
      <w:marTop w:val="0"/>
      <w:marBottom w:val="0"/>
      <w:divBdr>
        <w:top w:val="none" w:sz="0" w:space="0" w:color="auto"/>
        <w:left w:val="none" w:sz="0" w:space="0" w:color="auto"/>
        <w:bottom w:val="none" w:sz="0" w:space="0" w:color="auto"/>
        <w:right w:val="none" w:sz="0" w:space="0" w:color="auto"/>
      </w:divBdr>
    </w:div>
    <w:div w:id="197015746">
      <w:bodyDiv w:val="1"/>
      <w:marLeft w:val="0"/>
      <w:marRight w:val="0"/>
      <w:marTop w:val="0"/>
      <w:marBottom w:val="0"/>
      <w:divBdr>
        <w:top w:val="none" w:sz="0" w:space="0" w:color="auto"/>
        <w:left w:val="none" w:sz="0" w:space="0" w:color="auto"/>
        <w:bottom w:val="none" w:sz="0" w:space="0" w:color="auto"/>
        <w:right w:val="none" w:sz="0" w:space="0" w:color="auto"/>
      </w:divBdr>
    </w:div>
    <w:div w:id="275871888">
      <w:bodyDiv w:val="1"/>
      <w:marLeft w:val="0"/>
      <w:marRight w:val="0"/>
      <w:marTop w:val="0"/>
      <w:marBottom w:val="0"/>
      <w:divBdr>
        <w:top w:val="none" w:sz="0" w:space="0" w:color="auto"/>
        <w:left w:val="none" w:sz="0" w:space="0" w:color="auto"/>
        <w:bottom w:val="none" w:sz="0" w:space="0" w:color="auto"/>
        <w:right w:val="none" w:sz="0" w:space="0" w:color="auto"/>
      </w:divBdr>
    </w:div>
    <w:div w:id="435443702">
      <w:bodyDiv w:val="1"/>
      <w:marLeft w:val="0"/>
      <w:marRight w:val="0"/>
      <w:marTop w:val="0"/>
      <w:marBottom w:val="0"/>
      <w:divBdr>
        <w:top w:val="none" w:sz="0" w:space="0" w:color="auto"/>
        <w:left w:val="none" w:sz="0" w:space="0" w:color="auto"/>
        <w:bottom w:val="none" w:sz="0" w:space="0" w:color="auto"/>
        <w:right w:val="none" w:sz="0" w:space="0" w:color="auto"/>
      </w:divBdr>
    </w:div>
    <w:div w:id="444151717">
      <w:bodyDiv w:val="1"/>
      <w:marLeft w:val="0"/>
      <w:marRight w:val="0"/>
      <w:marTop w:val="0"/>
      <w:marBottom w:val="0"/>
      <w:divBdr>
        <w:top w:val="none" w:sz="0" w:space="0" w:color="auto"/>
        <w:left w:val="none" w:sz="0" w:space="0" w:color="auto"/>
        <w:bottom w:val="none" w:sz="0" w:space="0" w:color="auto"/>
        <w:right w:val="none" w:sz="0" w:space="0" w:color="auto"/>
      </w:divBdr>
    </w:div>
    <w:div w:id="481771616">
      <w:bodyDiv w:val="1"/>
      <w:marLeft w:val="0"/>
      <w:marRight w:val="0"/>
      <w:marTop w:val="0"/>
      <w:marBottom w:val="0"/>
      <w:divBdr>
        <w:top w:val="none" w:sz="0" w:space="0" w:color="auto"/>
        <w:left w:val="none" w:sz="0" w:space="0" w:color="auto"/>
        <w:bottom w:val="none" w:sz="0" w:space="0" w:color="auto"/>
        <w:right w:val="none" w:sz="0" w:space="0" w:color="auto"/>
      </w:divBdr>
    </w:div>
    <w:div w:id="526603588">
      <w:bodyDiv w:val="1"/>
      <w:marLeft w:val="0"/>
      <w:marRight w:val="0"/>
      <w:marTop w:val="0"/>
      <w:marBottom w:val="0"/>
      <w:divBdr>
        <w:top w:val="none" w:sz="0" w:space="0" w:color="auto"/>
        <w:left w:val="none" w:sz="0" w:space="0" w:color="auto"/>
        <w:bottom w:val="none" w:sz="0" w:space="0" w:color="auto"/>
        <w:right w:val="none" w:sz="0" w:space="0" w:color="auto"/>
      </w:divBdr>
    </w:div>
    <w:div w:id="580872716">
      <w:bodyDiv w:val="1"/>
      <w:marLeft w:val="0"/>
      <w:marRight w:val="0"/>
      <w:marTop w:val="0"/>
      <w:marBottom w:val="0"/>
      <w:divBdr>
        <w:top w:val="none" w:sz="0" w:space="0" w:color="auto"/>
        <w:left w:val="none" w:sz="0" w:space="0" w:color="auto"/>
        <w:bottom w:val="none" w:sz="0" w:space="0" w:color="auto"/>
        <w:right w:val="none" w:sz="0" w:space="0" w:color="auto"/>
      </w:divBdr>
    </w:div>
    <w:div w:id="609818026">
      <w:bodyDiv w:val="1"/>
      <w:marLeft w:val="0"/>
      <w:marRight w:val="0"/>
      <w:marTop w:val="0"/>
      <w:marBottom w:val="0"/>
      <w:divBdr>
        <w:top w:val="none" w:sz="0" w:space="0" w:color="auto"/>
        <w:left w:val="none" w:sz="0" w:space="0" w:color="auto"/>
        <w:bottom w:val="none" w:sz="0" w:space="0" w:color="auto"/>
        <w:right w:val="none" w:sz="0" w:space="0" w:color="auto"/>
      </w:divBdr>
    </w:div>
    <w:div w:id="611668115">
      <w:bodyDiv w:val="1"/>
      <w:marLeft w:val="0"/>
      <w:marRight w:val="0"/>
      <w:marTop w:val="0"/>
      <w:marBottom w:val="0"/>
      <w:divBdr>
        <w:top w:val="none" w:sz="0" w:space="0" w:color="auto"/>
        <w:left w:val="none" w:sz="0" w:space="0" w:color="auto"/>
        <w:bottom w:val="none" w:sz="0" w:space="0" w:color="auto"/>
        <w:right w:val="none" w:sz="0" w:space="0" w:color="auto"/>
      </w:divBdr>
    </w:div>
    <w:div w:id="663976536">
      <w:bodyDiv w:val="1"/>
      <w:marLeft w:val="0"/>
      <w:marRight w:val="0"/>
      <w:marTop w:val="0"/>
      <w:marBottom w:val="0"/>
      <w:divBdr>
        <w:top w:val="none" w:sz="0" w:space="0" w:color="auto"/>
        <w:left w:val="none" w:sz="0" w:space="0" w:color="auto"/>
        <w:bottom w:val="none" w:sz="0" w:space="0" w:color="auto"/>
        <w:right w:val="none" w:sz="0" w:space="0" w:color="auto"/>
      </w:divBdr>
    </w:div>
    <w:div w:id="737946905">
      <w:bodyDiv w:val="1"/>
      <w:marLeft w:val="0"/>
      <w:marRight w:val="0"/>
      <w:marTop w:val="0"/>
      <w:marBottom w:val="0"/>
      <w:divBdr>
        <w:top w:val="none" w:sz="0" w:space="0" w:color="auto"/>
        <w:left w:val="none" w:sz="0" w:space="0" w:color="auto"/>
        <w:bottom w:val="none" w:sz="0" w:space="0" w:color="auto"/>
        <w:right w:val="none" w:sz="0" w:space="0" w:color="auto"/>
      </w:divBdr>
    </w:div>
    <w:div w:id="750589509">
      <w:bodyDiv w:val="1"/>
      <w:marLeft w:val="0"/>
      <w:marRight w:val="0"/>
      <w:marTop w:val="0"/>
      <w:marBottom w:val="0"/>
      <w:divBdr>
        <w:top w:val="none" w:sz="0" w:space="0" w:color="auto"/>
        <w:left w:val="none" w:sz="0" w:space="0" w:color="auto"/>
        <w:bottom w:val="none" w:sz="0" w:space="0" w:color="auto"/>
        <w:right w:val="none" w:sz="0" w:space="0" w:color="auto"/>
      </w:divBdr>
    </w:div>
    <w:div w:id="755251095">
      <w:bodyDiv w:val="1"/>
      <w:marLeft w:val="0"/>
      <w:marRight w:val="0"/>
      <w:marTop w:val="0"/>
      <w:marBottom w:val="0"/>
      <w:divBdr>
        <w:top w:val="none" w:sz="0" w:space="0" w:color="auto"/>
        <w:left w:val="none" w:sz="0" w:space="0" w:color="auto"/>
        <w:bottom w:val="none" w:sz="0" w:space="0" w:color="auto"/>
        <w:right w:val="none" w:sz="0" w:space="0" w:color="auto"/>
      </w:divBdr>
    </w:div>
    <w:div w:id="762066176">
      <w:bodyDiv w:val="1"/>
      <w:marLeft w:val="0"/>
      <w:marRight w:val="0"/>
      <w:marTop w:val="0"/>
      <w:marBottom w:val="0"/>
      <w:divBdr>
        <w:top w:val="none" w:sz="0" w:space="0" w:color="auto"/>
        <w:left w:val="none" w:sz="0" w:space="0" w:color="auto"/>
        <w:bottom w:val="none" w:sz="0" w:space="0" w:color="auto"/>
        <w:right w:val="none" w:sz="0" w:space="0" w:color="auto"/>
      </w:divBdr>
    </w:div>
    <w:div w:id="858159420">
      <w:bodyDiv w:val="1"/>
      <w:marLeft w:val="0"/>
      <w:marRight w:val="0"/>
      <w:marTop w:val="0"/>
      <w:marBottom w:val="0"/>
      <w:divBdr>
        <w:top w:val="none" w:sz="0" w:space="0" w:color="auto"/>
        <w:left w:val="none" w:sz="0" w:space="0" w:color="auto"/>
        <w:bottom w:val="none" w:sz="0" w:space="0" w:color="auto"/>
        <w:right w:val="none" w:sz="0" w:space="0" w:color="auto"/>
      </w:divBdr>
    </w:div>
    <w:div w:id="895319186">
      <w:bodyDiv w:val="1"/>
      <w:marLeft w:val="0"/>
      <w:marRight w:val="0"/>
      <w:marTop w:val="0"/>
      <w:marBottom w:val="0"/>
      <w:divBdr>
        <w:top w:val="none" w:sz="0" w:space="0" w:color="auto"/>
        <w:left w:val="none" w:sz="0" w:space="0" w:color="auto"/>
        <w:bottom w:val="none" w:sz="0" w:space="0" w:color="auto"/>
        <w:right w:val="none" w:sz="0" w:space="0" w:color="auto"/>
      </w:divBdr>
    </w:div>
    <w:div w:id="918707221">
      <w:bodyDiv w:val="1"/>
      <w:marLeft w:val="0"/>
      <w:marRight w:val="0"/>
      <w:marTop w:val="0"/>
      <w:marBottom w:val="0"/>
      <w:divBdr>
        <w:top w:val="none" w:sz="0" w:space="0" w:color="auto"/>
        <w:left w:val="none" w:sz="0" w:space="0" w:color="auto"/>
        <w:bottom w:val="none" w:sz="0" w:space="0" w:color="auto"/>
        <w:right w:val="none" w:sz="0" w:space="0" w:color="auto"/>
      </w:divBdr>
    </w:div>
    <w:div w:id="931011447">
      <w:bodyDiv w:val="1"/>
      <w:marLeft w:val="0"/>
      <w:marRight w:val="0"/>
      <w:marTop w:val="0"/>
      <w:marBottom w:val="0"/>
      <w:divBdr>
        <w:top w:val="none" w:sz="0" w:space="0" w:color="auto"/>
        <w:left w:val="none" w:sz="0" w:space="0" w:color="auto"/>
        <w:bottom w:val="none" w:sz="0" w:space="0" w:color="auto"/>
        <w:right w:val="none" w:sz="0" w:space="0" w:color="auto"/>
      </w:divBdr>
    </w:div>
    <w:div w:id="978606325">
      <w:bodyDiv w:val="1"/>
      <w:marLeft w:val="0"/>
      <w:marRight w:val="0"/>
      <w:marTop w:val="0"/>
      <w:marBottom w:val="0"/>
      <w:divBdr>
        <w:top w:val="none" w:sz="0" w:space="0" w:color="auto"/>
        <w:left w:val="none" w:sz="0" w:space="0" w:color="auto"/>
        <w:bottom w:val="none" w:sz="0" w:space="0" w:color="auto"/>
        <w:right w:val="none" w:sz="0" w:space="0" w:color="auto"/>
      </w:divBdr>
    </w:div>
    <w:div w:id="1029916696">
      <w:bodyDiv w:val="1"/>
      <w:marLeft w:val="0"/>
      <w:marRight w:val="0"/>
      <w:marTop w:val="0"/>
      <w:marBottom w:val="0"/>
      <w:divBdr>
        <w:top w:val="none" w:sz="0" w:space="0" w:color="auto"/>
        <w:left w:val="none" w:sz="0" w:space="0" w:color="auto"/>
        <w:bottom w:val="none" w:sz="0" w:space="0" w:color="auto"/>
        <w:right w:val="none" w:sz="0" w:space="0" w:color="auto"/>
      </w:divBdr>
    </w:div>
    <w:div w:id="1059941306">
      <w:bodyDiv w:val="1"/>
      <w:marLeft w:val="0"/>
      <w:marRight w:val="0"/>
      <w:marTop w:val="0"/>
      <w:marBottom w:val="0"/>
      <w:divBdr>
        <w:top w:val="none" w:sz="0" w:space="0" w:color="auto"/>
        <w:left w:val="none" w:sz="0" w:space="0" w:color="auto"/>
        <w:bottom w:val="none" w:sz="0" w:space="0" w:color="auto"/>
        <w:right w:val="none" w:sz="0" w:space="0" w:color="auto"/>
      </w:divBdr>
    </w:div>
    <w:div w:id="1096944630">
      <w:bodyDiv w:val="1"/>
      <w:marLeft w:val="0"/>
      <w:marRight w:val="0"/>
      <w:marTop w:val="0"/>
      <w:marBottom w:val="0"/>
      <w:divBdr>
        <w:top w:val="none" w:sz="0" w:space="0" w:color="auto"/>
        <w:left w:val="none" w:sz="0" w:space="0" w:color="auto"/>
        <w:bottom w:val="none" w:sz="0" w:space="0" w:color="auto"/>
        <w:right w:val="none" w:sz="0" w:space="0" w:color="auto"/>
      </w:divBdr>
    </w:div>
    <w:div w:id="1125587477">
      <w:bodyDiv w:val="1"/>
      <w:marLeft w:val="0"/>
      <w:marRight w:val="0"/>
      <w:marTop w:val="0"/>
      <w:marBottom w:val="0"/>
      <w:divBdr>
        <w:top w:val="none" w:sz="0" w:space="0" w:color="auto"/>
        <w:left w:val="none" w:sz="0" w:space="0" w:color="auto"/>
        <w:bottom w:val="none" w:sz="0" w:space="0" w:color="auto"/>
        <w:right w:val="none" w:sz="0" w:space="0" w:color="auto"/>
      </w:divBdr>
    </w:div>
    <w:div w:id="1165393687">
      <w:bodyDiv w:val="1"/>
      <w:marLeft w:val="0"/>
      <w:marRight w:val="0"/>
      <w:marTop w:val="0"/>
      <w:marBottom w:val="0"/>
      <w:divBdr>
        <w:top w:val="none" w:sz="0" w:space="0" w:color="auto"/>
        <w:left w:val="none" w:sz="0" w:space="0" w:color="auto"/>
        <w:bottom w:val="none" w:sz="0" w:space="0" w:color="auto"/>
        <w:right w:val="none" w:sz="0" w:space="0" w:color="auto"/>
      </w:divBdr>
    </w:div>
    <w:div w:id="1187212704">
      <w:bodyDiv w:val="1"/>
      <w:marLeft w:val="0"/>
      <w:marRight w:val="0"/>
      <w:marTop w:val="0"/>
      <w:marBottom w:val="0"/>
      <w:divBdr>
        <w:top w:val="none" w:sz="0" w:space="0" w:color="auto"/>
        <w:left w:val="none" w:sz="0" w:space="0" w:color="auto"/>
        <w:bottom w:val="none" w:sz="0" w:space="0" w:color="auto"/>
        <w:right w:val="none" w:sz="0" w:space="0" w:color="auto"/>
      </w:divBdr>
    </w:div>
    <w:div w:id="1187599610">
      <w:bodyDiv w:val="1"/>
      <w:marLeft w:val="0"/>
      <w:marRight w:val="0"/>
      <w:marTop w:val="0"/>
      <w:marBottom w:val="0"/>
      <w:divBdr>
        <w:top w:val="none" w:sz="0" w:space="0" w:color="auto"/>
        <w:left w:val="none" w:sz="0" w:space="0" w:color="auto"/>
        <w:bottom w:val="none" w:sz="0" w:space="0" w:color="auto"/>
        <w:right w:val="none" w:sz="0" w:space="0" w:color="auto"/>
      </w:divBdr>
    </w:div>
    <w:div w:id="1196843627">
      <w:bodyDiv w:val="1"/>
      <w:marLeft w:val="0"/>
      <w:marRight w:val="0"/>
      <w:marTop w:val="0"/>
      <w:marBottom w:val="0"/>
      <w:divBdr>
        <w:top w:val="none" w:sz="0" w:space="0" w:color="auto"/>
        <w:left w:val="none" w:sz="0" w:space="0" w:color="auto"/>
        <w:bottom w:val="none" w:sz="0" w:space="0" w:color="auto"/>
        <w:right w:val="none" w:sz="0" w:space="0" w:color="auto"/>
      </w:divBdr>
    </w:div>
    <w:div w:id="1220894714">
      <w:bodyDiv w:val="1"/>
      <w:marLeft w:val="0"/>
      <w:marRight w:val="0"/>
      <w:marTop w:val="0"/>
      <w:marBottom w:val="0"/>
      <w:divBdr>
        <w:top w:val="none" w:sz="0" w:space="0" w:color="auto"/>
        <w:left w:val="none" w:sz="0" w:space="0" w:color="auto"/>
        <w:bottom w:val="none" w:sz="0" w:space="0" w:color="auto"/>
        <w:right w:val="none" w:sz="0" w:space="0" w:color="auto"/>
      </w:divBdr>
    </w:div>
    <w:div w:id="1232037586">
      <w:bodyDiv w:val="1"/>
      <w:marLeft w:val="0"/>
      <w:marRight w:val="0"/>
      <w:marTop w:val="0"/>
      <w:marBottom w:val="0"/>
      <w:divBdr>
        <w:top w:val="none" w:sz="0" w:space="0" w:color="auto"/>
        <w:left w:val="none" w:sz="0" w:space="0" w:color="auto"/>
        <w:bottom w:val="none" w:sz="0" w:space="0" w:color="auto"/>
        <w:right w:val="none" w:sz="0" w:space="0" w:color="auto"/>
      </w:divBdr>
    </w:div>
    <w:div w:id="1247575985">
      <w:bodyDiv w:val="1"/>
      <w:marLeft w:val="0"/>
      <w:marRight w:val="0"/>
      <w:marTop w:val="0"/>
      <w:marBottom w:val="0"/>
      <w:divBdr>
        <w:top w:val="none" w:sz="0" w:space="0" w:color="auto"/>
        <w:left w:val="none" w:sz="0" w:space="0" w:color="auto"/>
        <w:bottom w:val="none" w:sz="0" w:space="0" w:color="auto"/>
        <w:right w:val="none" w:sz="0" w:space="0" w:color="auto"/>
      </w:divBdr>
    </w:div>
    <w:div w:id="1273438780">
      <w:bodyDiv w:val="1"/>
      <w:marLeft w:val="0"/>
      <w:marRight w:val="0"/>
      <w:marTop w:val="0"/>
      <w:marBottom w:val="0"/>
      <w:divBdr>
        <w:top w:val="none" w:sz="0" w:space="0" w:color="auto"/>
        <w:left w:val="none" w:sz="0" w:space="0" w:color="auto"/>
        <w:bottom w:val="none" w:sz="0" w:space="0" w:color="auto"/>
        <w:right w:val="none" w:sz="0" w:space="0" w:color="auto"/>
      </w:divBdr>
    </w:div>
    <w:div w:id="1297754513">
      <w:bodyDiv w:val="1"/>
      <w:marLeft w:val="0"/>
      <w:marRight w:val="0"/>
      <w:marTop w:val="0"/>
      <w:marBottom w:val="0"/>
      <w:divBdr>
        <w:top w:val="none" w:sz="0" w:space="0" w:color="auto"/>
        <w:left w:val="none" w:sz="0" w:space="0" w:color="auto"/>
        <w:bottom w:val="none" w:sz="0" w:space="0" w:color="auto"/>
        <w:right w:val="none" w:sz="0" w:space="0" w:color="auto"/>
      </w:divBdr>
    </w:div>
    <w:div w:id="1312294498">
      <w:bodyDiv w:val="1"/>
      <w:marLeft w:val="0"/>
      <w:marRight w:val="0"/>
      <w:marTop w:val="0"/>
      <w:marBottom w:val="0"/>
      <w:divBdr>
        <w:top w:val="none" w:sz="0" w:space="0" w:color="auto"/>
        <w:left w:val="none" w:sz="0" w:space="0" w:color="auto"/>
        <w:bottom w:val="none" w:sz="0" w:space="0" w:color="auto"/>
        <w:right w:val="none" w:sz="0" w:space="0" w:color="auto"/>
      </w:divBdr>
    </w:div>
    <w:div w:id="1356495878">
      <w:bodyDiv w:val="1"/>
      <w:marLeft w:val="0"/>
      <w:marRight w:val="0"/>
      <w:marTop w:val="0"/>
      <w:marBottom w:val="0"/>
      <w:divBdr>
        <w:top w:val="none" w:sz="0" w:space="0" w:color="auto"/>
        <w:left w:val="none" w:sz="0" w:space="0" w:color="auto"/>
        <w:bottom w:val="none" w:sz="0" w:space="0" w:color="auto"/>
        <w:right w:val="none" w:sz="0" w:space="0" w:color="auto"/>
      </w:divBdr>
      <w:divsChild>
        <w:div w:id="98532575">
          <w:marLeft w:val="547"/>
          <w:marRight w:val="0"/>
          <w:marTop w:val="0"/>
          <w:marBottom w:val="240"/>
          <w:divBdr>
            <w:top w:val="none" w:sz="0" w:space="0" w:color="auto"/>
            <w:left w:val="none" w:sz="0" w:space="0" w:color="auto"/>
            <w:bottom w:val="none" w:sz="0" w:space="0" w:color="auto"/>
            <w:right w:val="none" w:sz="0" w:space="0" w:color="auto"/>
          </w:divBdr>
        </w:div>
        <w:div w:id="550532854">
          <w:marLeft w:val="1166"/>
          <w:marRight w:val="0"/>
          <w:marTop w:val="0"/>
          <w:marBottom w:val="240"/>
          <w:divBdr>
            <w:top w:val="none" w:sz="0" w:space="0" w:color="auto"/>
            <w:left w:val="none" w:sz="0" w:space="0" w:color="auto"/>
            <w:bottom w:val="none" w:sz="0" w:space="0" w:color="auto"/>
            <w:right w:val="none" w:sz="0" w:space="0" w:color="auto"/>
          </w:divBdr>
        </w:div>
        <w:div w:id="705712095">
          <w:marLeft w:val="547"/>
          <w:marRight w:val="0"/>
          <w:marTop w:val="0"/>
          <w:marBottom w:val="240"/>
          <w:divBdr>
            <w:top w:val="none" w:sz="0" w:space="0" w:color="auto"/>
            <w:left w:val="none" w:sz="0" w:space="0" w:color="auto"/>
            <w:bottom w:val="none" w:sz="0" w:space="0" w:color="auto"/>
            <w:right w:val="none" w:sz="0" w:space="0" w:color="auto"/>
          </w:divBdr>
        </w:div>
        <w:div w:id="959923227">
          <w:marLeft w:val="1166"/>
          <w:marRight w:val="0"/>
          <w:marTop w:val="0"/>
          <w:marBottom w:val="240"/>
          <w:divBdr>
            <w:top w:val="none" w:sz="0" w:space="0" w:color="auto"/>
            <w:left w:val="none" w:sz="0" w:space="0" w:color="auto"/>
            <w:bottom w:val="none" w:sz="0" w:space="0" w:color="auto"/>
            <w:right w:val="none" w:sz="0" w:space="0" w:color="auto"/>
          </w:divBdr>
        </w:div>
      </w:divsChild>
    </w:div>
    <w:div w:id="1375352418">
      <w:bodyDiv w:val="1"/>
      <w:marLeft w:val="0"/>
      <w:marRight w:val="0"/>
      <w:marTop w:val="0"/>
      <w:marBottom w:val="0"/>
      <w:divBdr>
        <w:top w:val="none" w:sz="0" w:space="0" w:color="auto"/>
        <w:left w:val="none" w:sz="0" w:space="0" w:color="auto"/>
        <w:bottom w:val="none" w:sz="0" w:space="0" w:color="auto"/>
        <w:right w:val="none" w:sz="0" w:space="0" w:color="auto"/>
      </w:divBdr>
    </w:div>
    <w:div w:id="1584604370">
      <w:bodyDiv w:val="1"/>
      <w:marLeft w:val="0"/>
      <w:marRight w:val="0"/>
      <w:marTop w:val="0"/>
      <w:marBottom w:val="0"/>
      <w:divBdr>
        <w:top w:val="none" w:sz="0" w:space="0" w:color="auto"/>
        <w:left w:val="none" w:sz="0" w:space="0" w:color="auto"/>
        <w:bottom w:val="none" w:sz="0" w:space="0" w:color="auto"/>
        <w:right w:val="none" w:sz="0" w:space="0" w:color="auto"/>
      </w:divBdr>
    </w:div>
    <w:div w:id="1589850491">
      <w:bodyDiv w:val="1"/>
      <w:marLeft w:val="0"/>
      <w:marRight w:val="0"/>
      <w:marTop w:val="0"/>
      <w:marBottom w:val="0"/>
      <w:divBdr>
        <w:top w:val="none" w:sz="0" w:space="0" w:color="auto"/>
        <w:left w:val="none" w:sz="0" w:space="0" w:color="auto"/>
        <w:bottom w:val="none" w:sz="0" w:space="0" w:color="auto"/>
        <w:right w:val="none" w:sz="0" w:space="0" w:color="auto"/>
      </w:divBdr>
    </w:div>
    <w:div w:id="1608006649">
      <w:bodyDiv w:val="1"/>
      <w:marLeft w:val="0"/>
      <w:marRight w:val="0"/>
      <w:marTop w:val="0"/>
      <w:marBottom w:val="0"/>
      <w:divBdr>
        <w:top w:val="none" w:sz="0" w:space="0" w:color="auto"/>
        <w:left w:val="none" w:sz="0" w:space="0" w:color="auto"/>
        <w:bottom w:val="none" w:sz="0" w:space="0" w:color="auto"/>
        <w:right w:val="none" w:sz="0" w:space="0" w:color="auto"/>
      </w:divBdr>
    </w:div>
    <w:div w:id="1619877470">
      <w:bodyDiv w:val="1"/>
      <w:marLeft w:val="0"/>
      <w:marRight w:val="0"/>
      <w:marTop w:val="0"/>
      <w:marBottom w:val="0"/>
      <w:divBdr>
        <w:top w:val="none" w:sz="0" w:space="0" w:color="auto"/>
        <w:left w:val="none" w:sz="0" w:space="0" w:color="auto"/>
        <w:bottom w:val="none" w:sz="0" w:space="0" w:color="auto"/>
        <w:right w:val="none" w:sz="0" w:space="0" w:color="auto"/>
      </w:divBdr>
    </w:div>
    <w:div w:id="1643658093">
      <w:bodyDiv w:val="1"/>
      <w:marLeft w:val="0"/>
      <w:marRight w:val="0"/>
      <w:marTop w:val="0"/>
      <w:marBottom w:val="0"/>
      <w:divBdr>
        <w:top w:val="none" w:sz="0" w:space="0" w:color="auto"/>
        <w:left w:val="none" w:sz="0" w:space="0" w:color="auto"/>
        <w:bottom w:val="none" w:sz="0" w:space="0" w:color="auto"/>
        <w:right w:val="none" w:sz="0" w:space="0" w:color="auto"/>
      </w:divBdr>
    </w:div>
    <w:div w:id="1646396318">
      <w:bodyDiv w:val="1"/>
      <w:marLeft w:val="0"/>
      <w:marRight w:val="0"/>
      <w:marTop w:val="0"/>
      <w:marBottom w:val="0"/>
      <w:divBdr>
        <w:top w:val="none" w:sz="0" w:space="0" w:color="auto"/>
        <w:left w:val="none" w:sz="0" w:space="0" w:color="auto"/>
        <w:bottom w:val="none" w:sz="0" w:space="0" w:color="auto"/>
        <w:right w:val="none" w:sz="0" w:space="0" w:color="auto"/>
      </w:divBdr>
    </w:div>
    <w:div w:id="1660696759">
      <w:bodyDiv w:val="1"/>
      <w:marLeft w:val="0"/>
      <w:marRight w:val="0"/>
      <w:marTop w:val="0"/>
      <w:marBottom w:val="0"/>
      <w:divBdr>
        <w:top w:val="none" w:sz="0" w:space="0" w:color="auto"/>
        <w:left w:val="none" w:sz="0" w:space="0" w:color="auto"/>
        <w:bottom w:val="none" w:sz="0" w:space="0" w:color="auto"/>
        <w:right w:val="none" w:sz="0" w:space="0" w:color="auto"/>
      </w:divBdr>
    </w:div>
    <w:div w:id="1661153575">
      <w:bodyDiv w:val="1"/>
      <w:marLeft w:val="0"/>
      <w:marRight w:val="0"/>
      <w:marTop w:val="0"/>
      <w:marBottom w:val="0"/>
      <w:divBdr>
        <w:top w:val="none" w:sz="0" w:space="0" w:color="auto"/>
        <w:left w:val="none" w:sz="0" w:space="0" w:color="auto"/>
        <w:bottom w:val="none" w:sz="0" w:space="0" w:color="auto"/>
        <w:right w:val="none" w:sz="0" w:space="0" w:color="auto"/>
      </w:divBdr>
    </w:div>
    <w:div w:id="1747805198">
      <w:bodyDiv w:val="1"/>
      <w:marLeft w:val="0"/>
      <w:marRight w:val="0"/>
      <w:marTop w:val="0"/>
      <w:marBottom w:val="0"/>
      <w:divBdr>
        <w:top w:val="none" w:sz="0" w:space="0" w:color="auto"/>
        <w:left w:val="none" w:sz="0" w:space="0" w:color="auto"/>
        <w:bottom w:val="none" w:sz="0" w:space="0" w:color="auto"/>
        <w:right w:val="none" w:sz="0" w:space="0" w:color="auto"/>
      </w:divBdr>
    </w:div>
    <w:div w:id="1814447797">
      <w:bodyDiv w:val="1"/>
      <w:marLeft w:val="0"/>
      <w:marRight w:val="0"/>
      <w:marTop w:val="0"/>
      <w:marBottom w:val="0"/>
      <w:divBdr>
        <w:top w:val="none" w:sz="0" w:space="0" w:color="auto"/>
        <w:left w:val="none" w:sz="0" w:space="0" w:color="auto"/>
        <w:bottom w:val="none" w:sz="0" w:space="0" w:color="auto"/>
        <w:right w:val="none" w:sz="0" w:space="0" w:color="auto"/>
      </w:divBdr>
    </w:div>
    <w:div w:id="1826706077">
      <w:bodyDiv w:val="1"/>
      <w:marLeft w:val="0"/>
      <w:marRight w:val="0"/>
      <w:marTop w:val="0"/>
      <w:marBottom w:val="0"/>
      <w:divBdr>
        <w:top w:val="none" w:sz="0" w:space="0" w:color="auto"/>
        <w:left w:val="none" w:sz="0" w:space="0" w:color="auto"/>
        <w:bottom w:val="none" w:sz="0" w:space="0" w:color="auto"/>
        <w:right w:val="none" w:sz="0" w:space="0" w:color="auto"/>
      </w:divBdr>
    </w:div>
    <w:div w:id="1958364012">
      <w:bodyDiv w:val="1"/>
      <w:marLeft w:val="0"/>
      <w:marRight w:val="0"/>
      <w:marTop w:val="0"/>
      <w:marBottom w:val="0"/>
      <w:divBdr>
        <w:top w:val="none" w:sz="0" w:space="0" w:color="auto"/>
        <w:left w:val="none" w:sz="0" w:space="0" w:color="auto"/>
        <w:bottom w:val="none" w:sz="0" w:space="0" w:color="auto"/>
        <w:right w:val="none" w:sz="0" w:space="0" w:color="auto"/>
      </w:divBdr>
    </w:div>
    <w:div w:id="1986623301">
      <w:bodyDiv w:val="1"/>
      <w:marLeft w:val="0"/>
      <w:marRight w:val="0"/>
      <w:marTop w:val="0"/>
      <w:marBottom w:val="0"/>
      <w:divBdr>
        <w:top w:val="none" w:sz="0" w:space="0" w:color="auto"/>
        <w:left w:val="none" w:sz="0" w:space="0" w:color="auto"/>
        <w:bottom w:val="none" w:sz="0" w:space="0" w:color="auto"/>
        <w:right w:val="none" w:sz="0" w:space="0" w:color="auto"/>
      </w:divBdr>
    </w:div>
    <w:div w:id="2034728292">
      <w:bodyDiv w:val="1"/>
      <w:marLeft w:val="0"/>
      <w:marRight w:val="0"/>
      <w:marTop w:val="0"/>
      <w:marBottom w:val="0"/>
      <w:divBdr>
        <w:top w:val="none" w:sz="0" w:space="0" w:color="auto"/>
        <w:left w:val="none" w:sz="0" w:space="0" w:color="auto"/>
        <w:bottom w:val="none" w:sz="0" w:space="0" w:color="auto"/>
        <w:right w:val="none" w:sz="0" w:space="0" w:color="auto"/>
      </w:divBdr>
    </w:div>
    <w:div w:id="212684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medical-research-future-fund-mrff-funding-principles" TargetMode="External"/><Relationship Id="rId26" Type="http://schemas.openxmlformats.org/officeDocument/2006/relationships/chart" Target="charts/chart2.xml"/><Relationship Id="rId39" Type="http://schemas.openxmlformats.org/officeDocument/2006/relationships/hyperlink" Target="https://www.health.gov.au/resources/publications/evaluation-of-the-medical-research-future-fund-clinical-trials-activity?language=en" TargetMode="External"/><Relationship Id="rId3" Type="http://schemas.openxmlformats.org/officeDocument/2006/relationships/customXml" Target="../customXml/item3.xml"/><Relationship Id="rId21" Type="http://schemas.openxmlformats.org/officeDocument/2006/relationships/hyperlink" Target="https://www.health.gov.au/resources/publications/medical-research-future-fund-mrff-funding-principles" TargetMode="External"/><Relationship Id="rId34" Type="http://schemas.openxmlformats.org/officeDocument/2006/relationships/hyperlink" Target="https://www.health.gov.au/resources/publications/medical-research-future-fund-report-on-the-coronavirus-research-response?language=en" TargetMode="External"/><Relationship Id="rId42" Type="http://schemas.openxmlformats.org/officeDocument/2006/relationships/chart" Target="charts/chart3.xm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our-work/mrff/about/strategy-and-priorities" TargetMode="External"/><Relationship Id="rId25" Type="http://schemas.openxmlformats.org/officeDocument/2006/relationships/chart" Target="charts/chart1.xml"/><Relationship Id="rId33" Type="http://schemas.openxmlformats.org/officeDocument/2006/relationships/hyperlink" Target="https://www.health.gov.au/resources/publications/mrff-Review-of-the-Genomics-Health-Futures-Mission?language=en" TargetMode="External"/><Relationship Id="rId38" Type="http://schemas.openxmlformats.org/officeDocument/2006/relationships/hyperlink" Target="https://www.health.gov.au/resources/publications/medical-research-future-fund-report-on-the-coronavirus-research-response?language=en"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health.gov.au/resources/publications/mrff-3rd-10-year-investment-plan-2024-25-to-2033-34" TargetMode="External"/><Relationship Id="rId29" Type="http://schemas.openxmlformats.org/officeDocument/2006/relationships/hyperlink" Target="https://www.health.gov.au/resources/publications/million-minds-mental-health-research-mission-review?language=en" TargetMode="External"/><Relationship Id="rId41" Type="http://schemas.openxmlformats.org/officeDocument/2006/relationships/hyperlink" Target="https://www.industry.gov.au/publications/science-research-and-innovation-sri-budget-tab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nao.gov.au/work/performance-audit/department-health-management-financial-assistance-under-the-medical-research-future-fund" TargetMode="External"/><Relationship Id="rId32" Type="http://schemas.openxmlformats.org/officeDocument/2006/relationships/hyperlink" Target="https://www.health.gov.au/resources/publications/review-of-the-australian-brain-cancer-mission?language=en" TargetMode="External"/><Relationship Id="rId37" Type="http://schemas.openxmlformats.org/officeDocument/2006/relationships/hyperlink" Target="https://www.health.gov.au/resources/publications/mrff-Review-of-the-Genomics-Health-Futures-Mission?language=en" TargetMode="External"/><Relationship Id="rId40" Type="http://schemas.openxmlformats.org/officeDocument/2006/relationships/hyperlink" Target="https://www.health.gov.au/resources/publications/medical-research-commercialisation-landscape-report?language=en" TargetMode="External"/><Relationship Id="rId45" Type="http://schemas.openxmlformats.org/officeDocument/2006/relationships/hyperlink" Target="https://www.health.gov.au/our-work/mrff/resources/reports?page=0"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legislation.gov.au/C2008A00156/latest/text" TargetMode="External"/><Relationship Id="rId28" Type="http://schemas.openxmlformats.org/officeDocument/2006/relationships/hyperlink" Target="https://www.health.gov.au/resources/publications/evaluation-of-the-medical-research-future-fund-clinical-trials-activity?language=en" TargetMode="External"/><Relationship Id="rId36" Type="http://schemas.openxmlformats.org/officeDocument/2006/relationships/hyperlink" Target="https://www.health.gov.au/resources/publications/review-of-the-australian-brain-cancer-mission?language=en"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health.gov.au/resources/publications/mrff-monitoring-evaluation-and-learning-strategy-2020-21-to-2023-24" TargetMode="External"/><Relationship Id="rId31" Type="http://schemas.openxmlformats.org/officeDocument/2006/relationships/hyperlink" Target="https://www.health.gov.au/resources/publications/medical-research-future-fund-report-on-the-coronavirus-research-response?language=en" TargetMode="External"/><Relationship Id="rId44" Type="http://schemas.openxmlformats.org/officeDocument/2006/relationships/image" Target="cid:image001.png@01DB0AB2.24A34D6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our-work/mrff/research-themes/research-missions" TargetMode="External"/><Relationship Id="rId27" Type="http://schemas.openxmlformats.org/officeDocument/2006/relationships/image" Target="media/image3.png"/><Relationship Id="rId30" Type="http://schemas.openxmlformats.org/officeDocument/2006/relationships/hyperlink" Target="https://www.health.gov.au/resources/publications/review-of-the-australian-brain-cancer-mission?language=en" TargetMode="External"/><Relationship Id="rId35" Type="http://schemas.openxmlformats.org/officeDocument/2006/relationships/hyperlink" Target="https://www.health.gov.au/resources/publications/million-minds-mental-health-research-mission-review?language=en" TargetMode="External"/><Relationship Id="rId43" Type="http://schemas.openxmlformats.org/officeDocument/2006/relationships/image" Target="media/image4.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www.futurefund.gov.au/investment/how-we-invest/investment-policies" TargetMode="External"/><Relationship Id="rId13" Type="http://schemas.openxmlformats.org/officeDocument/2006/relationships/hyperlink" Target="http://www.health.gov.au/resources/publications/million-minds-mental-health-research-mission-review" TargetMode="External"/><Relationship Id="rId18" Type="http://schemas.openxmlformats.org/officeDocument/2006/relationships/hyperlink" Target="http://www.health.gov.au/resources/publications/medical-research-future-fund-report-on-funding-for-rural-regional-and-remote-health-research" TargetMode="External"/><Relationship Id="rId3" Type="http://schemas.openxmlformats.org/officeDocument/2006/relationships/hyperlink" Target="http://www.health.gov.au/our-work/mrff/about/monitoring-evaluation-learning" TargetMode="External"/><Relationship Id="rId7" Type="http://schemas.openxmlformats.org/officeDocument/2006/relationships/hyperlink" Target="http://www.health.gov.au/resources/publications/mrff-financial-assistance-to-support-the-australian-medical-research-and-innovation-priorities-2020-2022" TargetMode="External"/><Relationship Id="rId12" Type="http://schemas.openxmlformats.org/officeDocument/2006/relationships/hyperlink" Target="http://www.health.gov.au/resources/publications/evaluation-of-the-rapid-applied-research-translation-initiative" TargetMode="External"/><Relationship Id="rId17" Type="http://schemas.openxmlformats.org/officeDocument/2006/relationships/hyperlink" Target="http://www.health.gov.au/resources/publications/medical-research-future-fund-report-on-the-coronavirus-research-response?language=en" TargetMode="External"/><Relationship Id="rId2" Type="http://schemas.openxmlformats.org/officeDocument/2006/relationships/hyperlink" Target="https://www.health.gov.au/resources/publications/mrff-3rd-10-year-investment-plan-2024-25-to-2033-34?language=en" TargetMode="External"/><Relationship Id="rId16" Type="http://schemas.openxmlformats.org/officeDocument/2006/relationships/hyperlink" Target="https://www.health.gov.au/sites/default/files/2024-09/review-of-the-genomics-health-futures-mission.pdf" TargetMode="External"/><Relationship Id="rId20" Type="http://schemas.openxmlformats.org/officeDocument/2006/relationships/hyperlink" Target="http://www.health.gov.au/resources/publications/improving-alignment-and-coordination-between-the-medical-research-future-fund-and-nhmrcs-medical-research-endowment-account-consultation?language=en" TargetMode="External"/><Relationship Id="rId1" Type="http://schemas.openxmlformats.org/officeDocument/2006/relationships/hyperlink" Target="https://futurefund.gov.au/" TargetMode="External"/><Relationship Id="rId6" Type="http://schemas.openxmlformats.org/officeDocument/2006/relationships/hyperlink" Target="https://www.health.gov.au/sites/default/files/2023-03/performance-indicators-towards-the-impact-of-the-medical-research-future-fund.pdf" TargetMode="External"/><Relationship Id="rId11" Type="http://schemas.openxmlformats.org/officeDocument/2006/relationships/hyperlink" Target="http://www.health.gov.au/resources/publications/medical-research-commercialisation-landscape-report" TargetMode="External"/><Relationship Id="rId5" Type="http://schemas.openxmlformats.org/officeDocument/2006/relationships/hyperlink" Target="https://www.health.gov.au/resources/publications/medical-research-future-fund-mrff-grant-recipients?language=en" TargetMode="External"/><Relationship Id="rId15" Type="http://schemas.openxmlformats.org/officeDocument/2006/relationships/hyperlink" Target="http://www.health.gov.au/resources/publications/review-of-the-australian-brain-cancer-mission?language=en" TargetMode="External"/><Relationship Id="rId10" Type="http://schemas.openxmlformats.org/officeDocument/2006/relationships/hyperlink" Target="http://www.futurefund.gov.au/about-us/publications" TargetMode="External"/><Relationship Id="rId19" Type="http://schemas.openxmlformats.org/officeDocument/2006/relationships/hyperlink" Target="http://www.health.gov.au/sites/default/files/2024-05/improving-alignment-and-coordination-between-the-medical-research-future-fund-and-nhmrc-s-medical-research-endowment-account-consultation.pdf" TargetMode="External"/><Relationship Id="rId4" Type="http://schemas.openxmlformats.org/officeDocument/2006/relationships/hyperlink" Target="https://www.health.gov.au/resources/publications/medical-research-future-fund-mrff-grant-recipients?language=en" TargetMode="External"/><Relationship Id="rId9" Type="http://schemas.openxmlformats.org/officeDocument/2006/relationships/hyperlink" Target="http://www.futurefund.gov.au/investment/how-we-invest/esg" TargetMode="External"/><Relationship Id="rId14" Type="http://schemas.openxmlformats.org/officeDocument/2006/relationships/hyperlink" Target="http://www.health.gov.au/resources/publications/evaluation-of-the-medical-research-future-fund-clinical-trials-activity?language=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treasury-my.sharepoint.com/personal/alexander_buckmaster_treasury_gov_au/Documents/Documents/MRFF%20review%20cal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ustreasury.sharepoint.com/sites/bsa-function/Funds/MRFF%20stat%20review%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9402777777777775E-2"/>
          <c:w val="0.98367697132616483"/>
          <c:h val="0.94555753968253964"/>
        </c:manualLayout>
      </c:layout>
      <c:lineChart>
        <c:grouping val="standard"/>
        <c:varyColors val="0"/>
        <c:ser>
          <c:idx val="0"/>
          <c:order val="0"/>
          <c:spPr>
            <a:ln w="28575" cap="rnd">
              <a:solidFill>
                <a:schemeClr val="accent1"/>
              </a:solidFill>
              <a:round/>
            </a:ln>
            <a:effectLst/>
          </c:spPr>
          <c:marker>
            <c:symbol val="none"/>
          </c:marker>
          <c:cat>
            <c:strRef>
              <c:f>'[MRFF review calcs.xlsx]Sheet3'!$A$1:$A$8</c:f>
              <c:strCache>
                <c:ptCount val="8"/>
                <c:pt idx="0">
                  <c:v>2016-17</c:v>
                </c:pt>
                <c:pt idx="1">
                  <c:v>2017-18</c:v>
                </c:pt>
                <c:pt idx="2">
                  <c:v>2018-19</c:v>
                </c:pt>
                <c:pt idx="3">
                  <c:v>2019-20</c:v>
                </c:pt>
                <c:pt idx="4">
                  <c:v>2020-21</c:v>
                </c:pt>
                <c:pt idx="5">
                  <c:v>2021-22</c:v>
                </c:pt>
                <c:pt idx="6">
                  <c:v>2022-23</c:v>
                </c:pt>
                <c:pt idx="7">
                  <c:v>2023-24</c:v>
                </c:pt>
              </c:strCache>
            </c:strRef>
          </c:cat>
          <c:val>
            <c:numRef>
              <c:f>'[MRFF review calcs.xlsx]Sheet3'!$B$1:$B$8</c:f>
              <c:numCache>
                <c:formatCode>General</c:formatCode>
                <c:ptCount val="8"/>
                <c:pt idx="0">
                  <c:v>18</c:v>
                </c:pt>
                <c:pt idx="1">
                  <c:v>30.1</c:v>
                </c:pt>
                <c:pt idx="2">
                  <c:v>206.4</c:v>
                </c:pt>
                <c:pt idx="3">
                  <c:v>375.5</c:v>
                </c:pt>
                <c:pt idx="4">
                  <c:v>597.9</c:v>
                </c:pt>
                <c:pt idx="5">
                  <c:v>627.5</c:v>
                </c:pt>
                <c:pt idx="6">
                  <c:v>650</c:v>
                </c:pt>
                <c:pt idx="7">
                  <c:v>649.9</c:v>
                </c:pt>
              </c:numCache>
            </c:numRef>
          </c:val>
          <c:smooth val="0"/>
          <c:extLst>
            <c:ext xmlns:c16="http://schemas.microsoft.com/office/drawing/2014/chart" uri="{C3380CC4-5D6E-409C-BE32-E72D297353CC}">
              <c16:uniqueId val="{00000000-F8A5-4AB7-BE05-0F23E86C1389}"/>
            </c:ext>
          </c:extLst>
        </c:ser>
        <c:dLbls>
          <c:showLegendKey val="0"/>
          <c:showVal val="0"/>
          <c:showCatName val="0"/>
          <c:showSerName val="0"/>
          <c:showPercent val="0"/>
          <c:showBubbleSize val="0"/>
        </c:dLbls>
        <c:marker val="1"/>
        <c:smooth val="0"/>
        <c:axId val="1662593455"/>
        <c:axId val="1662594415"/>
      </c:lineChart>
      <c:lineChart>
        <c:grouping val="standard"/>
        <c:varyColors val="0"/>
        <c:ser>
          <c:idx val="1"/>
          <c:order val="1"/>
          <c:tx>
            <c:v>DUMMY</c:v>
          </c:tx>
          <c:spPr>
            <a:ln w="28575" cap="rnd">
              <a:noFill/>
              <a:round/>
            </a:ln>
            <a:effectLst/>
            <a:extLst>
              <a:ext uri="{91240B29-F687-4F45-9708-019B960494DF}">
                <a14:hiddenLine xmlns:a14="http://schemas.microsoft.com/office/drawing/2010/main" w="28575" cap="rnd">
                  <a:solidFill>
                    <a:srgbClr val="E61E26"/>
                  </a:solidFill>
                  <a:round/>
                </a14:hiddenLine>
              </a:ext>
            </a:extLst>
          </c:spPr>
          <c:marker>
            <c:symbol val="none"/>
          </c:marker>
          <c:val>
            <c:numLit>
              <c:formatCode>General</c:formatCode>
              <c:ptCount val="1"/>
              <c:pt idx="0">
                <c:v>0</c:v>
              </c:pt>
            </c:numLit>
          </c:val>
          <c:smooth val="0"/>
          <c:extLst>
            <c:ext xmlns:c16="http://schemas.microsoft.com/office/drawing/2014/chart" uri="{C3380CC4-5D6E-409C-BE32-E72D297353CC}">
              <c16:uniqueId val="{00000001-F8A5-4AB7-BE05-0F23E86C1389}"/>
            </c:ext>
          </c:extLst>
        </c:ser>
        <c:dLbls>
          <c:showLegendKey val="0"/>
          <c:showVal val="0"/>
          <c:showCatName val="0"/>
          <c:showSerName val="0"/>
          <c:showPercent val="0"/>
          <c:showBubbleSize val="0"/>
        </c:dLbls>
        <c:marker val="1"/>
        <c:smooth val="0"/>
        <c:axId val="1644672623"/>
        <c:axId val="1644671663"/>
      </c:lineChart>
      <c:catAx>
        <c:axId val="1662593455"/>
        <c:scaling>
          <c:orientation val="minMax"/>
        </c:scaling>
        <c:delete val="0"/>
        <c:axPos val="b"/>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62594415"/>
        <c:crosses val="autoZero"/>
        <c:auto val="1"/>
        <c:lblAlgn val="ctr"/>
        <c:lblOffset val="100"/>
        <c:tickMarkSkip val="1"/>
        <c:noMultiLvlLbl val="0"/>
      </c:catAx>
      <c:valAx>
        <c:axId val="1662594415"/>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US"/>
                  <a:t>$million</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62593455"/>
        <c:crosses val="autoZero"/>
        <c:crossBetween val="midCat"/>
      </c:valAx>
      <c:valAx>
        <c:axId val="1644671663"/>
        <c:scaling>
          <c:orientation val="minMax"/>
          <c:max val="700"/>
          <c:min val="0"/>
        </c:scaling>
        <c:delete val="1"/>
        <c:axPos val="r"/>
        <c:numFmt formatCode="0" sourceLinked="0"/>
        <c:majorTickMark val="in"/>
        <c:minorTickMark val="none"/>
        <c:tickLblPos val="nextTo"/>
        <c:crossAx val="1644672623"/>
        <c:crosses val="max"/>
        <c:crossBetween val="between"/>
        <c:majorUnit val="100"/>
        <c:minorUnit val="20"/>
      </c:valAx>
      <c:catAx>
        <c:axId val="1644672623"/>
        <c:scaling>
          <c:orientation val="minMax"/>
        </c:scaling>
        <c:delete val="1"/>
        <c:axPos val="b"/>
        <c:majorTickMark val="out"/>
        <c:minorTickMark val="none"/>
        <c:tickLblPos val="nextTo"/>
        <c:crossAx val="1644671663"/>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9402777777777775E-2"/>
          <c:w val="0.98367697132616483"/>
          <c:h val="0.94555753968253964"/>
        </c:manualLayout>
      </c:layout>
      <c:barChart>
        <c:barDir val="col"/>
        <c:grouping val="clustered"/>
        <c:varyColors val="0"/>
        <c:ser>
          <c:idx val="1"/>
          <c:order val="1"/>
          <c:spPr>
            <a:solidFill>
              <a:srgbClr val="0070C0"/>
            </a:solidFill>
            <a:ln>
              <a:noFill/>
            </a:ln>
            <a:effectLst/>
          </c:spPr>
          <c:invertIfNegative val="0"/>
          <c:cat>
            <c:strRef>
              <c:f>'[MRFF stat review charts.xlsx]MRFF grants by theme'!$A$4:$A$7</c:f>
              <c:strCache>
                <c:ptCount val="4"/>
                <c:pt idx="0">
                  <c:v>Research Translation</c:v>
                </c:pt>
                <c:pt idx="1">
                  <c:v>Patients</c:v>
                </c:pt>
                <c:pt idx="2">
                  <c:v>Research Missions</c:v>
                </c:pt>
                <c:pt idx="3">
                  <c:v>Researchers</c:v>
                </c:pt>
              </c:strCache>
            </c:strRef>
          </c:cat>
          <c:val>
            <c:numRef>
              <c:f>'[MRFF stat review charts.xlsx]MRFF grants by theme'!$C$4:$C$7</c:f>
              <c:numCache>
                <c:formatCode>#,##0_);[Red]\(#,##0\)</c:formatCode>
                <c:ptCount val="4"/>
                <c:pt idx="0">
                  <c:v>1209552420.6199999</c:v>
                </c:pt>
                <c:pt idx="1">
                  <c:v>970807919.10000002</c:v>
                </c:pt>
                <c:pt idx="2">
                  <c:v>894940043.5</c:v>
                </c:pt>
                <c:pt idx="3">
                  <c:v>595653827.36000001</c:v>
                </c:pt>
              </c:numCache>
            </c:numRef>
          </c:val>
          <c:extLst>
            <c:ext xmlns:c16="http://schemas.microsoft.com/office/drawing/2014/chart" uri="{C3380CC4-5D6E-409C-BE32-E72D297353CC}">
              <c16:uniqueId val="{00000000-C95B-417B-AFC0-E115FDED5D4E}"/>
            </c:ext>
          </c:extLst>
        </c:ser>
        <c:dLbls>
          <c:showLegendKey val="0"/>
          <c:showVal val="0"/>
          <c:showCatName val="0"/>
          <c:showSerName val="0"/>
          <c:showPercent val="0"/>
          <c:showBubbleSize val="0"/>
        </c:dLbls>
        <c:gapWidth val="300"/>
        <c:overlap val="3"/>
        <c:axId val="1654536511"/>
        <c:axId val="1654534591"/>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'[MRFF stat review charts.xlsx]MRFF grants by theme'!$A$4:$A$7</c15:sqref>
                        </c15:formulaRef>
                      </c:ext>
                    </c:extLst>
                    <c:strCache>
                      <c:ptCount val="4"/>
                      <c:pt idx="0">
                        <c:v>Research Translation</c:v>
                      </c:pt>
                      <c:pt idx="1">
                        <c:v>Patients</c:v>
                      </c:pt>
                      <c:pt idx="2">
                        <c:v>Research Missions</c:v>
                      </c:pt>
                      <c:pt idx="3">
                        <c:v>Researchers</c:v>
                      </c:pt>
                    </c:strCache>
                  </c:strRef>
                </c:cat>
                <c:val>
                  <c:numRef>
                    <c:extLst>
                      <c:ext uri="{02D57815-91ED-43cb-92C2-25804820EDAC}">
                        <c15:formulaRef>
                          <c15:sqref>'[MRFF stat review charts.xlsx]MRFF grants by theme'!$B$4:$B$7</c15:sqref>
                        </c15:formulaRef>
                      </c:ext>
                    </c:extLst>
                    <c:numCache>
                      <c:formatCode>General</c:formatCode>
                      <c:ptCount val="4"/>
                      <c:pt idx="0">
                        <c:v>320</c:v>
                      </c:pt>
                      <c:pt idx="1">
                        <c:v>406</c:v>
                      </c:pt>
                      <c:pt idx="2">
                        <c:v>385</c:v>
                      </c:pt>
                      <c:pt idx="3">
                        <c:v>267</c:v>
                      </c:pt>
                    </c:numCache>
                  </c:numRef>
                </c:val>
                <c:extLst>
                  <c:ext xmlns:c16="http://schemas.microsoft.com/office/drawing/2014/chart" uri="{C3380CC4-5D6E-409C-BE32-E72D297353CC}">
                    <c16:uniqueId val="{00000002-C95B-417B-AFC0-E115FDED5D4E}"/>
                  </c:ext>
                </c:extLst>
              </c15:ser>
            </c15:filteredBarSeries>
          </c:ext>
        </c:extLst>
      </c:barChart>
      <c:barChart>
        <c:barDir val="col"/>
        <c:grouping val="clustered"/>
        <c:varyColors val="0"/>
        <c:ser>
          <c:idx val="2"/>
          <c:order val="2"/>
          <c:tx>
            <c:v>DUMMY</c:v>
          </c:tx>
          <c:spPr>
            <a:noFill/>
            <a:ln>
              <a:noFill/>
            </a:ln>
            <a:effectLst/>
            <a:extLst>
              <a:ext uri="{909E8E84-426E-40DD-AFC4-6F175D3DCCD1}">
                <a14:hiddenFill xmlns:a14="http://schemas.microsoft.com/office/drawing/2010/main">
                  <a:solidFill>
                    <a:srgbClr val="3A6FA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1-C95B-417B-AFC0-E115FDED5D4E}"/>
            </c:ext>
          </c:extLst>
        </c:ser>
        <c:dLbls>
          <c:showLegendKey val="0"/>
          <c:showVal val="0"/>
          <c:showCatName val="0"/>
          <c:showSerName val="0"/>
          <c:showPercent val="0"/>
          <c:showBubbleSize val="0"/>
        </c:dLbls>
        <c:gapWidth val="219"/>
        <c:overlap val="-27"/>
        <c:axId val="1654537471"/>
        <c:axId val="1061736431"/>
      </c:barChart>
      <c:catAx>
        <c:axId val="1654536511"/>
        <c:scaling>
          <c:orientation val="minMax"/>
        </c:scaling>
        <c:delete val="0"/>
        <c:axPos val="b"/>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54534591"/>
        <c:crosses val="autoZero"/>
        <c:auto val="1"/>
        <c:lblAlgn val="ctr"/>
        <c:lblOffset val="100"/>
        <c:noMultiLvlLbl val="0"/>
      </c:catAx>
      <c:valAx>
        <c:axId val="1654534591"/>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US"/>
                  <a:t>$million</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54536511"/>
        <c:crosses val="autoZero"/>
        <c:crossBetween val="between"/>
      </c:valAx>
      <c:valAx>
        <c:axId val="1061736431"/>
        <c:scaling>
          <c:orientation val="minMax"/>
          <c:max val="1200000000"/>
          <c:min val="0"/>
        </c:scaling>
        <c:delete val="1"/>
        <c:axPos val="r"/>
        <c:numFmt formatCode="0,," sourceLinked="0"/>
        <c:majorTickMark val="in"/>
        <c:minorTickMark val="none"/>
        <c:tickLblPos val="nextTo"/>
        <c:crossAx val="1654537471"/>
        <c:crosses val="max"/>
        <c:crossBetween val="between"/>
        <c:majorUnit val="200000000"/>
        <c:minorUnit val="40000000"/>
      </c:valAx>
      <c:catAx>
        <c:axId val="1654537471"/>
        <c:scaling>
          <c:orientation val="minMax"/>
        </c:scaling>
        <c:delete val="1"/>
        <c:axPos val="b"/>
        <c:numFmt formatCode="General" sourceLinked="1"/>
        <c:majorTickMark val="out"/>
        <c:minorTickMark val="none"/>
        <c:tickLblPos val="nextTo"/>
        <c:crossAx val="1061736431"/>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05197132616484E-2"/>
          <c:y val="6.667777777777778E-2"/>
          <c:w val="0.87649354838709681"/>
          <c:h val="0.78337673611111114"/>
        </c:manualLayout>
      </c:layout>
      <c:areaChart>
        <c:grouping val="stacked"/>
        <c:varyColors val="0"/>
        <c:ser>
          <c:idx val="1"/>
          <c:order val="0"/>
          <c:tx>
            <c:strRef>
              <c:f>Sheet4!$C$1:$C$2</c:f>
              <c:strCache>
                <c:ptCount val="2"/>
                <c:pt idx="0">
                  <c:v>NHMRC </c:v>
                </c:pt>
              </c:strCache>
            </c:strRef>
          </c:tx>
          <c:spPr>
            <a:solidFill>
              <a:schemeClr val="accent2"/>
            </a:solidFill>
            <a:ln>
              <a:noFill/>
            </a:ln>
            <a:effectLst/>
          </c:spPr>
          <c:cat>
            <c:strRef>
              <c:f>Sheet4!$A$3:$A$8</c:f>
              <c:strCache>
                <c:ptCount val="6"/>
                <c:pt idx="0">
                  <c:v>2016-2017</c:v>
                </c:pt>
                <c:pt idx="1">
                  <c:v>2017-2018</c:v>
                </c:pt>
                <c:pt idx="2">
                  <c:v>2018-2019</c:v>
                </c:pt>
                <c:pt idx="3">
                  <c:v>2019-2020</c:v>
                </c:pt>
                <c:pt idx="4">
                  <c:v>2020-2021</c:v>
                </c:pt>
                <c:pt idx="5">
                  <c:v>2021-2022</c:v>
                </c:pt>
              </c:strCache>
            </c:strRef>
          </c:cat>
          <c:val>
            <c:numRef>
              <c:f>Sheet4!$C$3:$C$8</c:f>
              <c:numCache>
                <c:formatCode>General</c:formatCode>
                <c:ptCount val="6"/>
                <c:pt idx="0">
                  <c:v>817.9</c:v>
                </c:pt>
                <c:pt idx="1">
                  <c:v>837.3</c:v>
                </c:pt>
                <c:pt idx="2">
                  <c:v>889.3</c:v>
                </c:pt>
                <c:pt idx="3">
                  <c:v>901.4</c:v>
                </c:pt>
                <c:pt idx="4">
                  <c:v>850.4</c:v>
                </c:pt>
                <c:pt idx="5">
                  <c:v>830.2</c:v>
                </c:pt>
              </c:numCache>
            </c:numRef>
          </c:val>
          <c:extLst>
            <c:ext xmlns:c16="http://schemas.microsoft.com/office/drawing/2014/chart" uri="{C3380CC4-5D6E-409C-BE32-E72D297353CC}">
              <c16:uniqueId val="{00000000-99B6-49E5-856D-AEBFACF00934}"/>
            </c:ext>
          </c:extLst>
        </c:ser>
        <c:ser>
          <c:idx val="3"/>
          <c:order val="1"/>
          <c:tx>
            <c:strRef>
              <c:f>Sheet4!$E$1:$E$2</c:f>
              <c:strCache>
                <c:ptCount val="2"/>
                <c:pt idx="0">
                  <c:v>Other initiatives </c:v>
                </c:pt>
              </c:strCache>
            </c:strRef>
          </c:tx>
          <c:spPr>
            <a:solidFill>
              <a:schemeClr val="accent4"/>
            </a:solidFill>
            <a:ln>
              <a:noFill/>
            </a:ln>
            <a:effectLst/>
          </c:spPr>
          <c:cat>
            <c:strRef>
              <c:f>Sheet4!$A$3:$A$8</c:f>
              <c:strCache>
                <c:ptCount val="6"/>
                <c:pt idx="0">
                  <c:v>2016-2017</c:v>
                </c:pt>
                <c:pt idx="1">
                  <c:v>2017-2018</c:v>
                </c:pt>
                <c:pt idx="2">
                  <c:v>2018-2019</c:v>
                </c:pt>
                <c:pt idx="3">
                  <c:v>2019-2020</c:v>
                </c:pt>
                <c:pt idx="4">
                  <c:v>2020-2021</c:v>
                </c:pt>
                <c:pt idx="5">
                  <c:v>2021-2022</c:v>
                </c:pt>
              </c:strCache>
            </c:strRef>
          </c:cat>
          <c:val>
            <c:numRef>
              <c:f>Sheet4!$E$3:$E$8</c:f>
              <c:numCache>
                <c:formatCode>General</c:formatCode>
                <c:ptCount val="6"/>
                <c:pt idx="0">
                  <c:v>101.8</c:v>
                </c:pt>
                <c:pt idx="1">
                  <c:v>88.1</c:v>
                </c:pt>
                <c:pt idx="2">
                  <c:v>117.1</c:v>
                </c:pt>
                <c:pt idx="3">
                  <c:v>98.5</c:v>
                </c:pt>
                <c:pt idx="4">
                  <c:v>99</c:v>
                </c:pt>
                <c:pt idx="5">
                  <c:v>113.8</c:v>
                </c:pt>
              </c:numCache>
            </c:numRef>
          </c:val>
          <c:extLst>
            <c:ext xmlns:c16="http://schemas.microsoft.com/office/drawing/2014/chart" uri="{C3380CC4-5D6E-409C-BE32-E72D297353CC}">
              <c16:uniqueId val="{00000001-99B6-49E5-856D-AEBFACF00934}"/>
            </c:ext>
          </c:extLst>
        </c:ser>
        <c:ser>
          <c:idx val="2"/>
          <c:order val="2"/>
          <c:tx>
            <c:strRef>
              <c:f>Sheet4!$D$1:$D$2</c:f>
              <c:strCache>
                <c:ptCount val="2"/>
                <c:pt idx="0">
                  <c:v>BTF </c:v>
                </c:pt>
              </c:strCache>
            </c:strRef>
          </c:tx>
          <c:spPr>
            <a:solidFill>
              <a:schemeClr val="accent3"/>
            </a:solidFill>
            <a:ln>
              <a:noFill/>
            </a:ln>
            <a:effectLst/>
          </c:spPr>
          <c:cat>
            <c:strRef>
              <c:f>Sheet4!$A$3:$A$8</c:f>
              <c:strCache>
                <c:ptCount val="6"/>
                <c:pt idx="0">
                  <c:v>2016-2017</c:v>
                </c:pt>
                <c:pt idx="1">
                  <c:v>2017-2018</c:v>
                </c:pt>
                <c:pt idx="2">
                  <c:v>2018-2019</c:v>
                </c:pt>
                <c:pt idx="3">
                  <c:v>2019-2020</c:v>
                </c:pt>
                <c:pt idx="4">
                  <c:v>2020-2021</c:v>
                </c:pt>
                <c:pt idx="5">
                  <c:v>2021-2022</c:v>
                </c:pt>
              </c:strCache>
            </c:strRef>
          </c:cat>
          <c:val>
            <c:numRef>
              <c:f>Sheet4!$D$3:$D$8</c:f>
              <c:numCache>
                <c:formatCode>General</c:formatCode>
                <c:ptCount val="6"/>
                <c:pt idx="0">
                  <c:v>9.6999999999999993</c:v>
                </c:pt>
                <c:pt idx="1">
                  <c:v>20.100000000000001</c:v>
                </c:pt>
                <c:pt idx="2">
                  <c:v>48.6</c:v>
                </c:pt>
                <c:pt idx="3">
                  <c:v>29.2</c:v>
                </c:pt>
                <c:pt idx="4">
                  <c:v>38.299999999999997</c:v>
                </c:pt>
                <c:pt idx="5">
                  <c:v>28.1</c:v>
                </c:pt>
              </c:numCache>
            </c:numRef>
          </c:val>
          <c:extLst>
            <c:ext xmlns:c16="http://schemas.microsoft.com/office/drawing/2014/chart" uri="{C3380CC4-5D6E-409C-BE32-E72D297353CC}">
              <c16:uniqueId val="{00000002-99B6-49E5-856D-AEBFACF00934}"/>
            </c:ext>
          </c:extLst>
        </c:ser>
        <c:ser>
          <c:idx val="0"/>
          <c:order val="3"/>
          <c:tx>
            <c:strRef>
              <c:f>Sheet4!$B$1:$B$2</c:f>
              <c:strCache>
                <c:ptCount val="2"/>
                <c:pt idx="0">
                  <c:v>MRFF </c:v>
                </c:pt>
              </c:strCache>
            </c:strRef>
          </c:tx>
          <c:spPr>
            <a:solidFill>
              <a:schemeClr val="accent1"/>
            </a:solidFill>
            <a:ln>
              <a:noFill/>
            </a:ln>
            <a:effectLst/>
          </c:spPr>
          <c:cat>
            <c:strRef>
              <c:f>Sheet4!$A$3:$A$8</c:f>
              <c:strCache>
                <c:ptCount val="6"/>
                <c:pt idx="0">
                  <c:v>2016-2017</c:v>
                </c:pt>
                <c:pt idx="1">
                  <c:v>2017-2018</c:v>
                </c:pt>
                <c:pt idx="2">
                  <c:v>2018-2019</c:v>
                </c:pt>
                <c:pt idx="3">
                  <c:v>2019-2020</c:v>
                </c:pt>
                <c:pt idx="4">
                  <c:v>2020-2021</c:v>
                </c:pt>
                <c:pt idx="5">
                  <c:v>2021-2022</c:v>
                </c:pt>
              </c:strCache>
            </c:strRef>
          </c:cat>
          <c:val>
            <c:numRef>
              <c:f>Sheet4!$B$3:$B$8</c:f>
              <c:numCache>
                <c:formatCode>General</c:formatCode>
                <c:ptCount val="6"/>
                <c:pt idx="0">
                  <c:v>18</c:v>
                </c:pt>
                <c:pt idx="1">
                  <c:v>30.1</c:v>
                </c:pt>
                <c:pt idx="2">
                  <c:v>206.4</c:v>
                </c:pt>
                <c:pt idx="3">
                  <c:v>375.5</c:v>
                </c:pt>
                <c:pt idx="4">
                  <c:v>597.9</c:v>
                </c:pt>
                <c:pt idx="5">
                  <c:v>627.4</c:v>
                </c:pt>
              </c:numCache>
            </c:numRef>
          </c:val>
          <c:extLst>
            <c:ext xmlns:c16="http://schemas.microsoft.com/office/drawing/2014/chart" uri="{C3380CC4-5D6E-409C-BE32-E72D297353CC}">
              <c16:uniqueId val="{00000003-99B6-49E5-856D-AEBFACF00934}"/>
            </c:ext>
          </c:extLst>
        </c:ser>
        <c:dLbls>
          <c:showLegendKey val="0"/>
          <c:showVal val="0"/>
          <c:showCatName val="0"/>
          <c:showSerName val="0"/>
          <c:showPercent val="0"/>
          <c:showBubbleSize val="0"/>
        </c:dLbls>
        <c:axId val="919843551"/>
        <c:axId val="919835871"/>
      </c:areaChart>
      <c:areaChart>
        <c:grouping val="stacked"/>
        <c:varyColors val="0"/>
        <c:ser>
          <c:idx val="4"/>
          <c:order val="4"/>
          <c:tx>
            <c:v>DUMMY</c:v>
          </c:tx>
          <c:spPr>
            <a:noFill/>
            <a:ln w="25400">
              <a:noFill/>
            </a:ln>
            <a:effectLst/>
            <a:extLst>
              <a:ext uri="{909E8E84-426E-40DD-AFC4-6F175D3DCCD1}">
                <a14:hiddenFill xmlns:a14="http://schemas.microsoft.com/office/drawing/2010/main">
                  <a:solidFill>
                    <a:srgbClr val="00827F"/>
                  </a:solidFill>
                </a14:hiddenFill>
              </a:ext>
            </a:extLst>
          </c:spPr>
          <c:val>
            <c:numLit>
              <c:formatCode>General</c:formatCode>
              <c:ptCount val="1"/>
              <c:pt idx="0">
                <c:v>0</c:v>
              </c:pt>
            </c:numLit>
          </c:val>
          <c:extLst>
            <c:ext xmlns:c16="http://schemas.microsoft.com/office/drawing/2014/chart" uri="{C3380CC4-5D6E-409C-BE32-E72D297353CC}">
              <c16:uniqueId val="{00000004-99B6-49E5-856D-AEBFACF00934}"/>
            </c:ext>
          </c:extLst>
        </c:ser>
        <c:dLbls>
          <c:showLegendKey val="0"/>
          <c:showVal val="0"/>
          <c:showCatName val="0"/>
          <c:showSerName val="0"/>
          <c:showPercent val="0"/>
          <c:showBubbleSize val="0"/>
        </c:dLbls>
        <c:axId val="919839711"/>
        <c:axId val="919844991"/>
      </c:areaChart>
      <c:catAx>
        <c:axId val="919843551"/>
        <c:scaling>
          <c:orientation val="minMax"/>
        </c:scaling>
        <c:delete val="0"/>
        <c:axPos val="b"/>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19835871"/>
        <c:crosses val="autoZero"/>
        <c:auto val="1"/>
        <c:lblAlgn val="ctr"/>
        <c:lblOffset val="100"/>
        <c:noMultiLvlLbl val="0"/>
      </c:catAx>
      <c:valAx>
        <c:axId val="919835871"/>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US"/>
                  <a:t>$billion</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19843551"/>
        <c:crosses val="autoZero"/>
        <c:crossBetween val="midCat"/>
      </c:valAx>
      <c:valAx>
        <c:axId val="919844991"/>
        <c:scaling>
          <c:orientation val="minMax"/>
          <c:max val="1800"/>
          <c:min val="0"/>
        </c:scaling>
        <c:delete val="1"/>
        <c:axPos val="r"/>
        <c:numFmt formatCode="0.0," sourceLinked="0"/>
        <c:majorTickMark val="in"/>
        <c:minorTickMark val="none"/>
        <c:tickLblPos val="nextTo"/>
        <c:crossAx val="919839711"/>
        <c:crosses val="max"/>
        <c:crossBetween val="midCat"/>
        <c:majorUnit val="200"/>
        <c:minorUnit val="40"/>
      </c:valAx>
      <c:catAx>
        <c:axId val="919839711"/>
        <c:scaling>
          <c:orientation val="minMax"/>
        </c:scaling>
        <c:delete val="1"/>
        <c:axPos val="b"/>
        <c:majorTickMark val="out"/>
        <c:minorTickMark val="none"/>
        <c:tickLblPos val="nextTo"/>
        <c:crossAx val="919844991"/>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4"/>
        <c:delete val="1"/>
      </c:legendEntry>
      <c:layout>
        <c:manualLayout>
          <c:xMode val="edge"/>
          <c:yMode val="edge"/>
          <c:x val="0.26852939068100357"/>
          <c:y val="0.90794652777777773"/>
          <c:w val="0.46294103942652332"/>
          <c:h val="7.441458333333334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0D21B9B63521C34CBE581757B0CF54FF" ma:contentTypeVersion="" ma:contentTypeDescription="PDMS Document Site Content Type" ma:contentTypeScope="" ma:versionID="77fabf3ea044a3d4ddb18864a9b25e0f">
  <xsd:schema xmlns:xsd="http://www.w3.org/2001/XMLSchema" xmlns:xs="http://www.w3.org/2001/XMLSchema" xmlns:p="http://schemas.microsoft.com/office/2006/metadata/properties" xmlns:ns2="44FDBF2E-FE85-47DA-B611-AA7365F1C51E" targetNamespace="http://schemas.microsoft.com/office/2006/metadata/properties" ma:root="true" ma:fieldsID="2bed6e48d34cfd52a0a4f1ceae3077e7" ns2:_="">
    <xsd:import namespace="44FDBF2E-FE85-47DA-B611-AA7365F1C51E"/>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DBF2E-FE85-47DA-B611-AA7365F1C51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44FDBF2E-FE85-47DA-B611-AA7365F1C5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258A5-77F6-4A07-AD52-91188EA17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DBF2E-FE85-47DA-B611-AA7365F1C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E217BA-42C0-4E1A-92D6-33BC9C13959C}">
  <ds:schemaRefs>
    <ds:schemaRef ds:uri="http://schemas.microsoft.com/office/2006/metadata/properties"/>
    <ds:schemaRef ds:uri="http://schemas.microsoft.com/office/infopath/2007/PartnerControls"/>
    <ds:schemaRef ds:uri="44FDBF2E-FE85-47DA-B611-AA7365F1C51E"/>
  </ds:schemaRefs>
</ds:datastoreItem>
</file>

<file path=customXml/itemProps3.xml><?xml version="1.0" encoding="utf-8"?>
<ds:datastoreItem xmlns:ds="http://schemas.openxmlformats.org/officeDocument/2006/customXml" ds:itemID="{C73F551B-301F-4419-B0A3-FA938675821C}">
  <ds:schemaRefs>
    <ds:schemaRef ds:uri="http://schemas.microsoft.com/sharepoint/v3/contenttype/forms"/>
  </ds:schemaRefs>
</ds:datastoreItem>
</file>

<file path=customXml/itemProps4.xml><?xml version="1.0" encoding="utf-8"?>
<ds:datastoreItem xmlns:ds="http://schemas.openxmlformats.org/officeDocument/2006/customXml" ds:itemID="{EBC169C5-08AA-436A-93A0-39D9634D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55</Pages>
  <Words>18670</Words>
  <Characters>106419</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Statutory review of the Medical Research Future Fund Act 2015 - December 2024</vt:lpstr>
    </vt:vector>
  </TitlesOfParts>
  <Company/>
  <LinksUpToDate>false</LinksUpToDate>
  <CharactersWithSpaces>124840</CharactersWithSpaces>
  <SharedDoc>false</SharedDoc>
  <HLinks>
    <vt:vector size="438" baseType="variant">
      <vt:variant>
        <vt:i4>4784201</vt:i4>
      </vt:variant>
      <vt:variant>
        <vt:i4>249</vt:i4>
      </vt:variant>
      <vt:variant>
        <vt:i4>0</vt:i4>
      </vt:variant>
      <vt:variant>
        <vt:i4>5</vt:i4>
      </vt:variant>
      <vt:variant>
        <vt:lpwstr>https://www.health.gov.au/our-work/mrff/resources/reports?page=0</vt:lpwstr>
      </vt:variant>
      <vt:variant>
        <vt:lpwstr/>
      </vt:variant>
      <vt:variant>
        <vt:i4>2228286</vt:i4>
      </vt:variant>
      <vt:variant>
        <vt:i4>246</vt:i4>
      </vt:variant>
      <vt:variant>
        <vt:i4>0</vt:i4>
      </vt:variant>
      <vt:variant>
        <vt:i4>5</vt:i4>
      </vt:variant>
      <vt:variant>
        <vt:lpwstr>https://www.industry.gov.au/publications/science-research-and-innovation-sri-budget-tables</vt:lpwstr>
      </vt:variant>
      <vt:variant>
        <vt:lpwstr/>
      </vt:variant>
      <vt:variant>
        <vt:i4>4718608</vt:i4>
      </vt:variant>
      <vt:variant>
        <vt:i4>243</vt:i4>
      </vt:variant>
      <vt:variant>
        <vt:i4>0</vt:i4>
      </vt:variant>
      <vt:variant>
        <vt:i4>5</vt:i4>
      </vt:variant>
      <vt:variant>
        <vt:lpwstr>https://www.health.gov.au/resources/publications/medical-research-commercialisation-landscape-report?language=en</vt:lpwstr>
      </vt:variant>
      <vt:variant>
        <vt:lpwstr/>
      </vt:variant>
      <vt:variant>
        <vt:i4>393228</vt:i4>
      </vt:variant>
      <vt:variant>
        <vt:i4>240</vt:i4>
      </vt:variant>
      <vt:variant>
        <vt:i4>0</vt:i4>
      </vt:variant>
      <vt:variant>
        <vt:i4>5</vt:i4>
      </vt:variant>
      <vt:variant>
        <vt:lpwstr>https://www.health.gov.au/resources/publications/evaluation-of-the-medical-research-future-fund-clinical-trials-activity?language=en</vt:lpwstr>
      </vt:variant>
      <vt:variant>
        <vt:lpwstr/>
      </vt:variant>
      <vt:variant>
        <vt:i4>4718656</vt:i4>
      </vt:variant>
      <vt:variant>
        <vt:i4>237</vt:i4>
      </vt:variant>
      <vt:variant>
        <vt:i4>0</vt:i4>
      </vt:variant>
      <vt:variant>
        <vt:i4>5</vt:i4>
      </vt:variant>
      <vt:variant>
        <vt:lpwstr>https://www.health.gov.au/resources/publications/medical-research-future-fund-report-on-the-coronavirus-research-response?language=en</vt:lpwstr>
      </vt:variant>
      <vt:variant>
        <vt:lpwstr/>
      </vt:variant>
      <vt:variant>
        <vt:i4>2687026</vt:i4>
      </vt:variant>
      <vt:variant>
        <vt:i4>234</vt:i4>
      </vt:variant>
      <vt:variant>
        <vt:i4>0</vt:i4>
      </vt:variant>
      <vt:variant>
        <vt:i4>5</vt:i4>
      </vt:variant>
      <vt:variant>
        <vt:lpwstr>https://www.health.gov.au/resources/publications/mrff-Review-of-the-Genomics-Health-Futures-Mission?language=en</vt:lpwstr>
      </vt:variant>
      <vt:variant>
        <vt:lpwstr/>
      </vt:variant>
      <vt:variant>
        <vt:i4>3211375</vt:i4>
      </vt:variant>
      <vt:variant>
        <vt:i4>231</vt:i4>
      </vt:variant>
      <vt:variant>
        <vt:i4>0</vt:i4>
      </vt:variant>
      <vt:variant>
        <vt:i4>5</vt:i4>
      </vt:variant>
      <vt:variant>
        <vt:lpwstr>https://www.health.gov.au/resources/publications/review-of-the-australian-brain-cancer-mission?language=en</vt:lpwstr>
      </vt:variant>
      <vt:variant>
        <vt:lpwstr/>
      </vt:variant>
      <vt:variant>
        <vt:i4>4194305</vt:i4>
      </vt:variant>
      <vt:variant>
        <vt:i4>228</vt:i4>
      </vt:variant>
      <vt:variant>
        <vt:i4>0</vt:i4>
      </vt:variant>
      <vt:variant>
        <vt:i4>5</vt:i4>
      </vt:variant>
      <vt:variant>
        <vt:lpwstr>https://www.health.gov.au/resources/publications/million-minds-mental-health-research-mission-review?language=en</vt:lpwstr>
      </vt:variant>
      <vt:variant>
        <vt:lpwstr/>
      </vt:variant>
      <vt:variant>
        <vt:i4>4718656</vt:i4>
      </vt:variant>
      <vt:variant>
        <vt:i4>225</vt:i4>
      </vt:variant>
      <vt:variant>
        <vt:i4>0</vt:i4>
      </vt:variant>
      <vt:variant>
        <vt:i4>5</vt:i4>
      </vt:variant>
      <vt:variant>
        <vt:lpwstr>https://www.health.gov.au/resources/publications/medical-research-future-fund-report-on-the-coronavirus-research-response?language=en</vt:lpwstr>
      </vt:variant>
      <vt:variant>
        <vt:lpwstr/>
      </vt:variant>
      <vt:variant>
        <vt:i4>2687026</vt:i4>
      </vt:variant>
      <vt:variant>
        <vt:i4>222</vt:i4>
      </vt:variant>
      <vt:variant>
        <vt:i4>0</vt:i4>
      </vt:variant>
      <vt:variant>
        <vt:i4>5</vt:i4>
      </vt:variant>
      <vt:variant>
        <vt:lpwstr>https://www.health.gov.au/resources/publications/mrff-Review-of-the-Genomics-Health-Futures-Mission?language=en</vt:lpwstr>
      </vt:variant>
      <vt:variant>
        <vt:lpwstr/>
      </vt:variant>
      <vt:variant>
        <vt:i4>3211375</vt:i4>
      </vt:variant>
      <vt:variant>
        <vt:i4>219</vt:i4>
      </vt:variant>
      <vt:variant>
        <vt:i4>0</vt:i4>
      </vt:variant>
      <vt:variant>
        <vt:i4>5</vt:i4>
      </vt:variant>
      <vt:variant>
        <vt:lpwstr>https://www.health.gov.au/resources/publications/review-of-the-australian-brain-cancer-mission?language=en</vt:lpwstr>
      </vt:variant>
      <vt:variant>
        <vt:lpwstr/>
      </vt:variant>
      <vt:variant>
        <vt:i4>4718656</vt:i4>
      </vt:variant>
      <vt:variant>
        <vt:i4>216</vt:i4>
      </vt:variant>
      <vt:variant>
        <vt:i4>0</vt:i4>
      </vt:variant>
      <vt:variant>
        <vt:i4>5</vt:i4>
      </vt:variant>
      <vt:variant>
        <vt:lpwstr>https://www.health.gov.au/resources/publications/medical-research-future-fund-report-on-the-coronavirus-research-response?language=en</vt:lpwstr>
      </vt:variant>
      <vt:variant>
        <vt:lpwstr/>
      </vt:variant>
      <vt:variant>
        <vt:i4>3211375</vt:i4>
      </vt:variant>
      <vt:variant>
        <vt:i4>213</vt:i4>
      </vt:variant>
      <vt:variant>
        <vt:i4>0</vt:i4>
      </vt:variant>
      <vt:variant>
        <vt:i4>5</vt:i4>
      </vt:variant>
      <vt:variant>
        <vt:lpwstr>https://www.health.gov.au/resources/publications/review-of-the-australian-brain-cancer-mission?language=en</vt:lpwstr>
      </vt:variant>
      <vt:variant>
        <vt:lpwstr/>
      </vt:variant>
      <vt:variant>
        <vt:i4>4194305</vt:i4>
      </vt:variant>
      <vt:variant>
        <vt:i4>210</vt:i4>
      </vt:variant>
      <vt:variant>
        <vt:i4>0</vt:i4>
      </vt:variant>
      <vt:variant>
        <vt:i4>5</vt:i4>
      </vt:variant>
      <vt:variant>
        <vt:lpwstr>https://www.health.gov.au/resources/publications/million-minds-mental-health-research-mission-review?language=en</vt:lpwstr>
      </vt:variant>
      <vt:variant>
        <vt:lpwstr/>
      </vt:variant>
      <vt:variant>
        <vt:i4>393228</vt:i4>
      </vt:variant>
      <vt:variant>
        <vt:i4>207</vt:i4>
      </vt:variant>
      <vt:variant>
        <vt:i4>0</vt:i4>
      </vt:variant>
      <vt:variant>
        <vt:i4>5</vt:i4>
      </vt:variant>
      <vt:variant>
        <vt:lpwstr>https://www.health.gov.au/resources/publications/evaluation-of-the-medical-research-future-fund-clinical-trials-activity?language=en</vt:lpwstr>
      </vt:variant>
      <vt:variant>
        <vt:lpwstr/>
      </vt:variant>
      <vt:variant>
        <vt:i4>8257652</vt:i4>
      </vt:variant>
      <vt:variant>
        <vt:i4>204</vt:i4>
      </vt:variant>
      <vt:variant>
        <vt:i4>0</vt:i4>
      </vt:variant>
      <vt:variant>
        <vt:i4>5</vt:i4>
      </vt:variant>
      <vt:variant>
        <vt:lpwstr>https://www.anao.gov.au/work/performance-audit/department-health-management-financial-assistance-under-the-medical-research-future-fund</vt:lpwstr>
      </vt:variant>
      <vt:variant>
        <vt:lpwstr/>
      </vt:variant>
      <vt:variant>
        <vt:i4>2097204</vt:i4>
      </vt:variant>
      <vt:variant>
        <vt:i4>201</vt:i4>
      </vt:variant>
      <vt:variant>
        <vt:i4>0</vt:i4>
      </vt:variant>
      <vt:variant>
        <vt:i4>5</vt:i4>
      </vt:variant>
      <vt:variant>
        <vt:lpwstr>https://www.legislation.gov.au/C2008A00156/latest/text</vt:lpwstr>
      </vt:variant>
      <vt:variant>
        <vt:lpwstr/>
      </vt:variant>
      <vt:variant>
        <vt:i4>4980743</vt:i4>
      </vt:variant>
      <vt:variant>
        <vt:i4>198</vt:i4>
      </vt:variant>
      <vt:variant>
        <vt:i4>0</vt:i4>
      </vt:variant>
      <vt:variant>
        <vt:i4>5</vt:i4>
      </vt:variant>
      <vt:variant>
        <vt:lpwstr>https://www.health.gov.au/our-work/mrff/research-themes/research-missions</vt:lpwstr>
      </vt:variant>
      <vt:variant>
        <vt:lpwstr/>
      </vt:variant>
      <vt:variant>
        <vt:i4>4390938</vt:i4>
      </vt:variant>
      <vt:variant>
        <vt:i4>195</vt:i4>
      </vt:variant>
      <vt:variant>
        <vt:i4>0</vt:i4>
      </vt:variant>
      <vt:variant>
        <vt:i4>5</vt:i4>
      </vt:variant>
      <vt:variant>
        <vt:lpwstr>https://www.health.gov.au/resources/publications/medical-research-future-fund-mrff-funding-principles</vt:lpwstr>
      </vt:variant>
      <vt:variant>
        <vt:lpwstr/>
      </vt:variant>
      <vt:variant>
        <vt:i4>1310728</vt:i4>
      </vt:variant>
      <vt:variant>
        <vt:i4>192</vt:i4>
      </vt:variant>
      <vt:variant>
        <vt:i4>0</vt:i4>
      </vt:variant>
      <vt:variant>
        <vt:i4>5</vt:i4>
      </vt:variant>
      <vt:variant>
        <vt:lpwstr>https://www.health.gov.au/resources/publications/mrff-3rd-10-year-investment-plan-2024-25-to-2033-34</vt:lpwstr>
      </vt:variant>
      <vt:variant>
        <vt:lpwstr/>
      </vt:variant>
      <vt:variant>
        <vt:i4>7078000</vt:i4>
      </vt:variant>
      <vt:variant>
        <vt:i4>189</vt:i4>
      </vt:variant>
      <vt:variant>
        <vt:i4>0</vt:i4>
      </vt:variant>
      <vt:variant>
        <vt:i4>5</vt:i4>
      </vt:variant>
      <vt:variant>
        <vt:lpwstr>http://www.health.gov.au/resources/publications/mrff-monitoring-evaluation-and-learning-strategy-2020-21-to-2023-24</vt:lpwstr>
      </vt:variant>
      <vt:variant>
        <vt:lpwstr/>
      </vt:variant>
      <vt:variant>
        <vt:i4>4390938</vt:i4>
      </vt:variant>
      <vt:variant>
        <vt:i4>186</vt:i4>
      </vt:variant>
      <vt:variant>
        <vt:i4>0</vt:i4>
      </vt:variant>
      <vt:variant>
        <vt:i4>5</vt:i4>
      </vt:variant>
      <vt:variant>
        <vt:lpwstr>https://www.health.gov.au/resources/publications/medical-research-future-fund-mrff-funding-principles</vt:lpwstr>
      </vt:variant>
      <vt:variant>
        <vt:lpwstr/>
      </vt:variant>
      <vt:variant>
        <vt:i4>4194335</vt:i4>
      </vt:variant>
      <vt:variant>
        <vt:i4>183</vt:i4>
      </vt:variant>
      <vt:variant>
        <vt:i4>0</vt:i4>
      </vt:variant>
      <vt:variant>
        <vt:i4>5</vt:i4>
      </vt:variant>
      <vt:variant>
        <vt:lpwstr>https://www.health.gov.au/our-work/mrff/about/strategy-and-priorities</vt:lpwstr>
      </vt:variant>
      <vt:variant>
        <vt:lpwstr/>
      </vt:variant>
      <vt:variant>
        <vt:i4>1245236</vt:i4>
      </vt:variant>
      <vt:variant>
        <vt:i4>176</vt:i4>
      </vt:variant>
      <vt:variant>
        <vt:i4>0</vt:i4>
      </vt:variant>
      <vt:variant>
        <vt:i4>5</vt:i4>
      </vt:variant>
      <vt:variant>
        <vt:lpwstr/>
      </vt:variant>
      <vt:variant>
        <vt:lpwstr>_Toc184982971</vt:lpwstr>
      </vt:variant>
      <vt:variant>
        <vt:i4>1245236</vt:i4>
      </vt:variant>
      <vt:variant>
        <vt:i4>170</vt:i4>
      </vt:variant>
      <vt:variant>
        <vt:i4>0</vt:i4>
      </vt:variant>
      <vt:variant>
        <vt:i4>5</vt:i4>
      </vt:variant>
      <vt:variant>
        <vt:lpwstr/>
      </vt:variant>
      <vt:variant>
        <vt:lpwstr>_Toc184982970</vt:lpwstr>
      </vt:variant>
      <vt:variant>
        <vt:i4>1179700</vt:i4>
      </vt:variant>
      <vt:variant>
        <vt:i4>164</vt:i4>
      </vt:variant>
      <vt:variant>
        <vt:i4>0</vt:i4>
      </vt:variant>
      <vt:variant>
        <vt:i4>5</vt:i4>
      </vt:variant>
      <vt:variant>
        <vt:lpwstr/>
      </vt:variant>
      <vt:variant>
        <vt:lpwstr>_Toc184982969</vt:lpwstr>
      </vt:variant>
      <vt:variant>
        <vt:i4>1179700</vt:i4>
      </vt:variant>
      <vt:variant>
        <vt:i4>158</vt:i4>
      </vt:variant>
      <vt:variant>
        <vt:i4>0</vt:i4>
      </vt:variant>
      <vt:variant>
        <vt:i4>5</vt:i4>
      </vt:variant>
      <vt:variant>
        <vt:lpwstr/>
      </vt:variant>
      <vt:variant>
        <vt:lpwstr>_Toc184982968</vt:lpwstr>
      </vt:variant>
      <vt:variant>
        <vt:i4>1179700</vt:i4>
      </vt:variant>
      <vt:variant>
        <vt:i4>152</vt:i4>
      </vt:variant>
      <vt:variant>
        <vt:i4>0</vt:i4>
      </vt:variant>
      <vt:variant>
        <vt:i4>5</vt:i4>
      </vt:variant>
      <vt:variant>
        <vt:lpwstr/>
      </vt:variant>
      <vt:variant>
        <vt:lpwstr>_Toc184982967</vt:lpwstr>
      </vt:variant>
      <vt:variant>
        <vt:i4>1179700</vt:i4>
      </vt:variant>
      <vt:variant>
        <vt:i4>146</vt:i4>
      </vt:variant>
      <vt:variant>
        <vt:i4>0</vt:i4>
      </vt:variant>
      <vt:variant>
        <vt:i4>5</vt:i4>
      </vt:variant>
      <vt:variant>
        <vt:lpwstr/>
      </vt:variant>
      <vt:variant>
        <vt:lpwstr>_Toc184982966</vt:lpwstr>
      </vt:variant>
      <vt:variant>
        <vt:i4>1179700</vt:i4>
      </vt:variant>
      <vt:variant>
        <vt:i4>140</vt:i4>
      </vt:variant>
      <vt:variant>
        <vt:i4>0</vt:i4>
      </vt:variant>
      <vt:variant>
        <vt:i4>5</vt:i4>
      </vt:variant>
      <vt:variant>
        <vt:lpwstr/>
      </vt:variant>
      <vt:variant>
        <vt:lpwstr>_Toc184982965</vt:lpwstr>
      </vt:variant>
      <vt:variant>
        <vt:i4>1179700</vt:i4>
      </vt:variant>
      <vt:variant>
        <vt:i4>134</vt:i4>
      </vt:variant>
      <vt:variant>
        <vt:i4>0</vt:i4>
      </vt:variant>
      <vt:variant>
        <vt:i4>5</vt:i4>
      </vt:variant>
      <vt:variant>
        <vt:lpwstr/>
      </vt:variant>
      <vt:variant>
        <vt:lpwstr>_Toc184982964</vt:lpwstr>
      </vt:variant>
      <vt:variant>
        <vt:i4>1179700</vt:i4>
      </vt:variant>
      <vt:variant>
        <vt:i4>128</vt:i4>
      </vt:variant>
      <vt:variant>
        <vt:i4>0</vt:i4>
      </vt:variant>
      <vt:variant>
        <vt:i4>5</vt:i4>
      </vt:variant>
      <vt:variant>
        <vt:lpwstr/>
      </vt:variant>
      <vt:variant>
        <vt:lpwstr>_Toc184982963</vt:lpwstr>
      </vt:variant>
      <vt:variant>
        <vt:i4>1179700</vt:i4>
      </vt:variant>
      <vt:variant>
        <vt:i4>122</vt:i4>
      </vt:variant>
      <vt:variant>
        <vt:i4>0</vt:i4>
      </vt:variant>
      <vt:variant>
        <vt:i4>5</vt:i4>
      </vt:variant>
      <vt:variant>
        <vt:lpwstr/>
      </vt:variant>
      <vt:variant>
        <vt:lpwstr>_Toc184982962</vt:lpwstr>
      </vt:variant>
      <vt:variant>
        <vt:i4>1179700</vt:i4>
      </vt:variant>
      <vt:variant>
        <vt:i4>116</vt:i4>
      </vt:variant>
      <vt:variant>
        <vt:i4>0</vt:i4>
      </vt:variant>
      <vt:variant>
        <vt:i4>5</vt:i4>
      </vt:variant>
      <vt:variant>
        <vt:lpwstr/>
      </vt:variant>
      <vt:variant>
        <vt:lpwstr>_Toc184982961</vt:lpwstr>
      </vt:variant>
      <vt:variant>
        <vt:i4>1179700</vt:i4>
      </vt:variant>
      <vt:variant>
        <vt:i4>110</vt:i4>
      </vt:variant>
      <vt:variant>
        <vt:i4>0</vt:i4>
      </vt:variant>
      <vt:variant>
        <vt:i4>5</vt:i4>
      </vt:variant>
      <vt:variant>
        <vt:lpwstr/>
      </vt:variant>
      <vt:variant>
        <vt:lpwstr>_Toc184982960</vt:lpwstr>
      </vt:variant>
      <vt:variant>
        <vt:i4>1114164</vt:i4>
      </vt:variant>
      <vt:variant>
        <vt:i4>104</vt:i4>
      </vt:variant>
      <vt:variant>
        <vt:i4>0</vt:i4>
      </vt:variant>
      <vt:variant>
        <vt:i4>5</vt:i4>
      </vt:variant>
      <vt:variant>
        <vt:lpwstr/>
      </vt:variant>
      <vt:variant>
        <vt:lpwstr>_Toc184982959</vt:lpwstr>
      </vt:variant>
      <vt:variant>
        <vt:i4>1114164</vt:i4>
      </vt:variant>
      <vt:variant>
        <vt:i4>98</vt:i4>
      </vt:variant>
      <vt:variant>
        <vt:i4>0</vt:i4>
      </vt:variant>
      <vt:variant>
        <vt:i4>5</vt:i4>
      </vt:variant>
      <vt:variant>
        <vt:lpwstr/>
      </vt:variant>
      <vt:variant>
        <vt:lpwstr>_Toc184982958</vt:lpwstr>
      </vt:variant>
      <vt:variant>
        <vt:i4>1114164</vt:i4>
      </vt:variant>
      <vt:variant>
        <vt:i4>92</vt:i4>
      </vt:variant>
      <vt:variant>
        <vt:i4>0</vt:i4>
      </vt:variant>
      <vt:variant>
        <vt:i4>5</vt:i4>
      </vt:variant>
      <vt:variant>
        <vt:lpwstr/>
      </vt:variant>
      <vt:variant>
        <vt:lpwstr>_Toc184982957</vt:lpwstr>
      </vt:variant>
      <vt:variant>
        <vt:i4>1114164</vt:i4>
      </vt:variant>
      <vt:variant>
        <vt:i4>86</vt:i4>
      </vt:variant>
      <vt:variant>
        <vt:i4>0</vt:i4>
      </vt:variant>
      <vt:variant>
        <vt:i4>5</vt:i4>
      </vt:variant>
      <vt:variant>
        <vt:lpwstr/>
      </vt:variant>
      <vt:variant>
        <vt:lpwstr>_Toc184982956</vt:lpwstr>
      </vt:variant>
      <vt:variant>
        <vt:i4>1114164</vt:i4>
      </vt:variant>
      <vt:variant>
        <vt:i4>80</vt:i4>
      </vt:variant>
      <vt:variant>
        <vt:i4>0</vt:i4>
      </vt:variant>
      <vt:variant>
        <vt:i4>5</vt:i4>
      </vt:variant>
      <vt:variant>
        <vt:lpwstr/>
      </vt:variant>
      <vt:variant>
        <vt:lpwstr>_Toc184982955</vt:lpwstr>
      </vt:variant>
      <vt:variant>
        <vt:i4>1114164</vt:i4>
      </vt:variant>
      <vt:variant>
        <vt:i4>74</vt:i4>
      </vt:variant>
      <vt:variant>
        <vt:i4>0</vt:i4>
      </vt:variant>
      <vt:variant>
        <vt:i4>5</vt:i4>
      </vt:variant>
      <vt:variant>
        <vt:lpwstr/>
      </vt:variant>
      <vt:variant>
        <vt:lpwstr>_Toc184982954</vt:lpwstr>
      </vt:variant>
      <vt:variant>
        <vt:i4>1114164</vt:i4>
      </vt:variant>
      <vt:variant>
        <vt:i4>68</vt:i4>
      </vt:variant>
      <vt:variant>
        <vt:i4>0</vt:i4>
      </vt:variant>
      <vt:variant>
        <vt:i4>5</vt:i4>
      </vt:variant>
      <vt:variant>
        <vt:lpwstr/>
      </vt:variant>
      <vt:variant>
        <vt:lpwstr>_Toc184982953</vt:lpwstr>
      </vt:variant>
      <vt:variant>
        <vt:i4>1114164</vt:i4>
      </vt:variant>
      <vt:variant>
        <vt:i4>62</vt:i4>
      </vt:variant>
      <vt:variant>
        <vt:i4>0</vt:i4>
      </vt:variant>
      <vt:variant>
        <vt:i4>5</vt:i4>
      </vt:variant>
      <vt:variant>
        <vt:lpwstr/>
      </vt:variant>
      <vt:variant>
        <vt:lpwstr>_Toc184982952</vt:lpwstr>
      </vt:variant>
      <vt:variant>
        <vt:i4>1114164</vt:i4>
      </vt:variant>
      <vt:variant>
        <vt:i4>56</vt:i4>
      </vt:variant>
      <vt:variant>
        <vt:i4>0</vt:i4>
      </vt:variant>
      <vt:variant>
        <vt:i4>5</vt:i4>
      </vt:variant>
      <vt:variant>
        <vt:lpwstr/>
      </vt:variant>
      <vt:variant>
        <vt:lpwstr>_Toc184982951</vt:lpwstr>
      </vt:variant>
      <vt:variant>
        <vt:i4>1114164</vt:i4>
      </vt:variant>
      <vt:variant>
        <vt:i4>50</vt:i4>
      </vt:variant>
      <vt:variant>
        <vt:i4>0</vt:i4>
      </vt:variant>
      <vt:variant>
        <vt:i4>5</vt:i4>
      </vt:variant>
      <vt:variant>
        <vt:lpwstr/>
      </vt:variant>
      <vt:variant>
        <vt:lpwstr>_Toc184982950</vt:lpwstr>
      </vt:variant>
      <vt:variant>
        <vt:i4>1048628</vt:i4>
      </vt:variant>
      <vt:variant>
        <vt:i4>44</vt:i4>
      </vt:variant>
      <vt:variant>
        <vt:i4>0</vt:i4>
      </vt:variant>
      <vt:variant>
        <vt:i4>5</vt:i4>
      </vt:variant>
      <vt:variant>
        <vt:lpwstr/>
      </vt:variant>
      <vt:variant>
        <vt:lpwstr>_Toc184982949</vt:lpwstr>
      </vt:variant>
      <vt:variant>
        <vt:i4>1048628</vt:i4>
      </vt:variant>
      <vt:variant>
        <vt:i4>38</vt:i4>
      </vt:variant>
      <vt:variant>
        <vt:i4>0</vt:i4>
      </vt:variant>
      <vt:variant>
        <vt:i4>5</vt:i4>
      </vt:variant>
      <vt:variant>
        <vt:lpwstr/>
      </vt:variant>
      <vt:variant>
        <vt:lpwstr>_Toc184982948</vt:lpwstr>
      </vt:variant>
      <vt:variant>
        <vt:i4>1048628</vt:i4>
      </vt:variant>
      <vt:variant>
        <vt:i4>32</vt:i4>
      </vt:variant>
      <vt:variant>
        <vt:i4>0</vt:i4>
      </vt:variant>
      <vt:variant>
        <vt:i4>5</vt:i4>
      </vt:variant>
      <vt:variant>
        <vt:lpwstr/>
      </vt:variant>
      <vt:variant>
        <vt:lpwstr>_Toc184982947</vt:lpwstr>
      </vt:variant>
      <vt:variant>
        <vt:i4>1048628</vt:i4>
      </vt:variant>
      <vt:variant>
        <vt:i4>26</vt:i4>
      </vt:variant>
      <vt:variant>
        <vt:i4>0</vt:i4>
      </vt:variant>
      <vt:variant>
        <vt:i4>5</vt:i4>
      </vt:variant>
      <vt:variant>
        <vt:lpwstr/>
      </vt:variant>
      <vt:variant>
        <vt:lpwstr>_Toc184982946</vt:lpwstr>
      </vt:variant>
      <vt:variant>
        <vt:i4>1048628</vt:i4>
      </vt:variant>
      <vt:variant>
        <vt:i4>20</vt:i4>
      </vt:variant>
      <vt:variant>
        <vt:i4>0</vt:i4>
      </vt:variant>
      <vt:variant>
        <vt:i4>5</vt:i4>
      </vt:variant>
      <vt:variant>
        <vt:lpwstr/>
      </vt:variant>
      <vt:variant>
        <vt:lpwstr>_Toc184982945</vt:lpwstr>
      </vt:variant>
      <vt:variant>
        <vt:i4>1048628</vt:i4>
      </vt:variant>
      <vt:variant>
        <vt:i4>14</vt:i4>
      </vt:variant>
      <vt:variant>
        <vt:i4>0</vt:i4>
      </vt:variant>
      <vt:variant>
        <vt:i4>5</vt:i4>
      </vt:variant>
      <vt:variant>
        <vt:lpwstr/>
      </vt:variant>
      <vt:variant>
        <vt:lpwstr>_Toc184982944</vt:lpwstr>
      </vt:variant>
      <vt:variant>
        <vt:i4>1048628</vt:i4>
      </vt:variant>
      <vt:variant>
        <vt:i4>8</vt:i4>
      </vt:variant>
      <vt:variant>
        <vt:i4>0</vt:i4>
      </vt:variant>
      <vt:variant>
        <vt:i4>5</vt:i4>
      </vt:variant>
      <vt:variant>
        <vt:lpwstr/>
      </vt:variant>
      <vt:variant>
        <vt:lpwstr>_Toc184982943</vt:lpwstr>
      </vt:variant>
      <vt:variant>
        <vt:i4>1048628</vt:i4>
      </vt:variant>
      <vt:variant>
        <vt:i4>2</vt:i4>
      </vt:variant>
      <vt:variant>
        <vt:i4>0</vt:i4>
      </vt:variant>
      <vt:variant>
        <vt:i4>5</vt:i4>
      </vt:variant>
      <vt:variant>
        <vt:lpwstr/>
      </vt:variant>
      <vt:variant>
        <vt:lpwstr>_Toc184982942</vt:lpwstr>
      </vt:variant>
      <vt:variant>
        <vt:i4>1507412</vt:i4>
      </vt:variant>
      <vt:variant>
        <vt:i4>57</vt:i4>
      </vt:variant>
      <vt:variant>
        <vt:i4>0</vt:i4>
      </vt:variant>
      <vt:variant>
        <vt:i4>5</vt:i4>
      </vt:variant>
      <vt:variant>
        <vt:lpwstr>http://www.health.gov.au/resources/publications/improving-alignment-and-coordination-between-the-medical-research-future-fund-and-nhmrcs-medical-research-endowment-account-consultation?language=en</vt:lpwstr>
      </vt:variant>
      <vt:variant>
        <vt:lpwstr/>
      </vt:variant>
      <vt:variant>
        <vt:i4>2555954</vt:i4>
      </vt:variant>
      <vt:variant>
        <vt:i4>54</vt:i4>
      </vt:variant>
      <vt:variant>
        <vt:i4>0</vt:i4>
      </vt:variant>
      <vt:variant>
        <vt:i4>5</vt:i4>
      </vt:variant>
      <vt:variant>
        <vt:lpwstr>http://www.health.gov.au/sites/default/files/2024-05/improving-alignment-and-coordination-between-the-medical-research-future-fund-and-nhmrc-s-medical-research-endowment-account-consultation.pdf</vt:lpwstr>
      </vt:variant>
      <vt:variant>
        <vt:lpwstr/>
      </vt:variant>
      <vt:variant>
        <vt:i4>65564</vt:i4>
      </vt:variant>
      <vt:variant>
        <vt:i4>51</vt:i4>
      </vt:variant>
      <vt:variant>
        <vt:i4>0</vt:i4>
      </vt:variant>
      <vt:variant>
        <vt:i4>5</vt:i4>
      </vt:variant>
      <vt:variant>
        <vt:lpwstr>http://www.health.gov.au/resources/publications/medical-research-future-fund-report-on-funding-for-rural-regional-and-remote-health-research</vt:lpwstr>
      </vt:variant>
      <vt:variant>
        <vt:lpwstr/>
      </vt:variant>
      <vt:variant>
        <vt:i4>4522064</vt:i4>
      </vt:variant>
      <vt:variant>
        <vt:i4>48</vt:i4>
      </vt:variant>
      <vt:variant>
        <vt:i4>0</vt:i4>
      </vt:variant>
      <vt:variant>
        <vt:i4>5</vt:i4>
      </vt:variant>
      <vt:variant>
        <vt:lpwstr>http://www.health.gov.au/resources/publications/medical-research-future-fund-report-on-the-coronavirus-research-response?language=en</vt:lpwstr>
      </vt:variant>
      <vt:variant>
        <vt:lpwstr/>
      </vt:variant>
      <vt:variant>
        <vt:i4>6357047</vt:i4>
      </vt:variant>
      <vt:variant>
        <vt:i4>45</vt:i4>
      </vt:variant>
      <vt:variant>
        <vt:i4>0</vt:i4>
      </vt:variant>
      <vt:variant>
        <vt:i4>5</vt:i4>
      </vt:variant>
      <vt:variant>
        <vt:lpwstr>https://www.health.gov.au/sites/default/files/2024-09/review-of-the-genomics-health-futures-mission.pdf</vt:lpwstr>
      </vt:variant>
      <vt:variant>
        <vt:lpwstr/>
      </vt:variant>
      <vt:variant>
        <vt:i4>262215</vt:i4>
      </vt:variant>
      <vt:variant>
        <vt:i4>42</vt:i4>
      </vt:variant>
      <vt:variant>
        <vt:i4>0</vt:i4>
      </vt:variant>
      <vt:variant>
        <vt:i4>5</vt:i4>
      </vt:variant>
      <vt:variant>
        <vt:lpwstr>http://www.health.gov.au/resources/publications/review-of-the-australian-brain-cancer-mission?language=en</vt:lpwstr>
      </vt:variant>
      <vt:variant>
        <vt:lpwstr/>
      </vt:variant>
      <vt:variant>
        <vt:i4>6750320</vt:i4>
      </vt:variant>
      <vt:variant>
        <vt:i4>39</vt:i4>
      </vt:variant>
      <vt:variant>
        <vt:i4>0</vt:i4>
      </vt:variant>
      <vt:variant>
        <vt:i4>5</vt:i4>
      </vt:variant>
      <vt:variant>
        <vt:lpwstr>http://www.health.gov.au/resources/publications/evaluation-of-the-medical-research-future-fund-clinical-trials-activity?language=en</vt:lpwstr>
      </vt:variant>
      <vt:variant>
        <vt:lpwstr/>
      </vt:variant>
      <vt:variant>
        <vt:i4>3276908</vt:i4>
      </vt:variant>
      <vt:variant>
        <vt:i4>36</vt:i4>
      </vt:variant>
      <vt:variant>
        <vt:i4>0</vt:i4>
      </vt:variant>
      <vt:variant>
        <vt:i4>5</vt:i4>
      </vt:variant>
      <vt:variant>
        <vt:lpwstr>http://www.health.gov.au/resources/publications/million-minds-mental-health-research-mission-review</vt:lpwstr>
      </vt:variant>
      <vt:variant>
        <vt:lpwstr/>
      </vt:variant>
      <vt:variant>
        <vt:i4>6357118</vt:i4>
      </vt:variant>
      <vt:variant>
        <vt:i4>33</vt:i4>
      </vt:variant>
      <vt:variant>
        <vt:i4>0</vt:i4>
      </vt:variant>
      <vt:variant>
        <vt:i4>5</vt:i4>
      </vt:variant>
      <vt:variant>
        <vt:lpwstr>http://www.health.gov.au/resources/publications/evaluation-of-the-rapid-applied-research-translation-initiative</vt:lpwstr>
      </vt:variant>
      <vt:variant>
        <vt:lpwstr/>
      </vt:variant>
      <vt:variant>
        <vt:i4>2293863</vt:i4>
      </vt:variant>
      <vt:variant>
        <vt:i4>30</vt:i4>
      </vt:variant>
      <vt:variant>
        <vt:i4>0</vt:i4>
      </vt:variant>
      <vt:variant>
        <vt:i4>5</vt:i4>
      </vt:variant>
      <vt:variant>
        <vt:lpwstr>http://www.health.gov.au/resources/publications/medical-research-commercialisation-landscape-report</vt:lpwstr>
      </vt:variant>
      <vt:variant>
        <vt:lpwstr/>
      </vt:variant>
      <vt:variant>
        <vt:i4>7012399</vt:i4>
      </vt:variant>
      <vt:variant>
        <vt:i4>27</vt:i4>
      </vt:variant>
      <vt:variant>
        <vt:i4>0</vt:i4>
      </vt:variant>
      <vt:variant>
        <vt:i4>5</vt:i4>
      </vt:variant>
      <vt:variant>
        <vt:lpwstr>http://www.futurefund.gov.au/about-us/publications</vt:lpwstr>
      </vt:variant>
      <vt:variant>
        <vt:lpwstr/>
      </vt:variant>
      <vt:variant>
        <vt:i4>917578</vt:i4>
      </vt:variant>
      <vt:variant>
        <vt:i4>24</vt:i4>
      </vt:variant>
      <vt:variant>
        <vt:i4>0</vt:i4>
      </vt:variant>
      <vt:variant>
        <vt:i4>5</vt:i4>
      </vt:variant>
      <vt:variant>
        <vt:lpwstr>http://www.futurefund.gov.au/investment/how-we-invest/esg</vt:lpwstr>
      </vt:variant>
      <vt:variant>
        <vt:lpwstr/>
      </vt:variant>
      <vt:variant>
        <vt:i4>589826</vt:i4>
      </vt:variant>
      <vt:variant>
        <vt:i4>21</vt:i4>
      </vt:variant>
      <vt:variant>
        <vt:i4>0</vt:i4>
      </vt:variant>
      <vt:variant>
        <vt:i4>5</vt:i4>
      </vt:variant>
      <vt:variant>
        <vt:lpwstr>http://www.futurefund.gov.au/investment/how-we-invest/investment-policies</vt:lpwstr>
      </vt:variant>
      <vt:variant>
        <vt:lpwstr/>
      </vt:variant>
      <vt:variant>
        <vt:i4>6029392</vt:i4>
      </vt:variant>
      <vt:variant>
        <vt:i4>18</vt:i4>
      </vt:variant>
      <vt:variant>
        <vt:i4>0</vt:i4>
      </vt:variant>
      <vt:variant>
        <vt:i4>5</vt:i4>
      </vt:variant>
      <vt:variant>
        <vt:lpwstr>http://www.health.gov.au/resources/publications/mrff-financial-assistance-to-support-the-australian-medical-research-and-innovation-priorities-2020-2022</vt:lpwstr>
      </vt:variant>
      <vt:variant>
        <vt:lpwstr/>
      </vt:variant>
      <vt:variant>
        <vt:i4>3473522</vt:i4>
      </vt:variant>
      <vt:variant>
        <vt:i4>15</vt:i4>
      </vt:variant>
      <vt:variant>
        <vt:i4>0</vt:i4>
      </vt:variant>
      <vt:variant>
        <vt:i4>5</vt:i4>
      </vt:variant>
      <vt:variant>
        <vt:lpwstr>https://www.health.gov.au/sites/default/files/2023-03/performance-indicators-towards-the-impact-of-the-medical-research-future-fund.pdf</vt:lpwstr>
      </vt:variant>
      <vt:variant>
        <vt:lpwstr/>
      </vt:variant>
      <vt:variant>
        <vt:i4>7340085</vt:i4>
      </vt:variant>
      <vt:variant>
        <vt:i4>12</vt:i4>
      </vt:variant>
      <vt:variant>
        <vt:i4>0</vt:i4>
      </vt:variant>
      <vt:variant>
        <vt:i4>5</vt:i4>
      </vt:variant>
      <vt:variant>
        <vt:lpwstr>https://www.health.gov.au/resources/publications/medical-research-future-fund-mrff-grant-recipients?language=en</vt:lpwstr>
      </vt:variant>
      <vt:variant>
        <vt:lpwstr/>
      </vt:variant>
      <vt:variant>
        <vt:i4>7340085</vt:i4>
      </vt:variant>
      <vt:variant>
        <vt:i4>9</vt:i4>
      </vt:variant>
      <vt:variant>
        <vt:i4>0</vt:i4>
      </vt:variant>
      <vt:variant>
        <vt:i4>5</vt:i4>
      </vt:variant>
      <vt:variant>
        <vt:lpwstr>https://www.health.gov.au/resources/publications/medical-research-future-fund-mrff-grant-recipients?language=en</vt:lpwstr>
      </vt:variant>
      <vt:variant>
        <vt:lpwstr/>
      </vt:variant>
      <vt:variant>
        <vt:i4>2228336</vt:i4>
      </vt:variant>
      <vt:variant>
        <vt:i4>6</vt:i4>
      </vt:variant>
      <vt:variant>
        <vt:i4>0</vt:i4>
      </vt:variant>
      <vt:variant>
        <vt:i4>5</vt:i4>
      </vt:variant>
      <vt:variant>
        <vt:lpwstr>http://www.health.gov.au/our-work/mrff/about/monitoring-evaluation-learning</vt:lpwstr>
      </vt:variant>
      <vt:variant>
        <vt:lpwstr/>
      </vt:variant>
      <vt:variant>
        <vt:i4>5701712</vt:i4>
      </vt:variant>
      <vt:variant>
        <vt:i4>3</vt:i4>
      </vt:variant>
      <vt:variant>
        <vt:i4>0</vt:i4>
      </vt:variant>
      <vt:variant>
        <vt:i4>5</vt:i4>
      </vt:variant>
      <vt:variant>
        <vt:lpwstr>https://www.health.gov.au/resources/publications/mrff-3rd-10-year-investment-plan-2024-25-to-2033-34?language=en</vt:lpwstr>
      </vt:variant>
      <vt:variant>
        <vt:lpwstr/>
      </vt:variant>
      <vt:variant>
        <vt:i4>3801138</vt:i4>
      </vt:variant>
      <vt:variant>
        <vt:i4>0</vt:i4>
      </vt:variant>
      <vt:variant>
        <vt:i4>0</vt:i4>
      </vt:variant>
      <vt:variant>
        <vt:i4>5</vt:i4>
      </vt:variant>
      <vt:variant>
        <vt:lpwstr>https://futurefund.gov.au/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review of the Medical Research Future Fund Act 2015 – December 2024</dc:title>
  <dc:subject>Medical Research Future Fund</dc:subject>
  <dc:creator>Australian Government Department of Finance; Australian Government Department of the Treasury; Australian Government Department of Health, Disability and Ageing</dc:creator>
  <cp:keywords>Medical Research Future Fund</cp:keywords>
  <dc:description/>
  <cp:lastModifiedBy>MASCHKE, Elvia</cp:lastModifiedBy>
  <cp:revision>4</cp:revision>
  <cp:lastPrinted>2024-12-13T03:23:00Z</cp:lastPrinted>
  <dcterms:created xsi:type="dcterms:W3CDTF">2024-12-13T18:04:00Z</dcterms:created>
  <dcterms:modified xsi:type="dcterms:W3CDTF">2025-09-19T03:35:00Z</dcterms:modified>
  <cp:category/>
</cp:coreProperties>
</file>