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0B732924" w:rsidR="00BA2732" w:rsidRDefault="00D50422" w:rsidP="003D033A">
      <w:pPr>
        <w:pStyle w:val="Title"/>
      </w:pPr>
      <w:r>
        <w:t>Registered supporters</w:t>
      </w:r>
      <w:r w:rsidR="00716AFB">
        <w:t xml:space="preserve"> </w:t>
      </w:r>
      <w:r w:rsidR="00826138">
        <w:t>policy</w:t>
      </w:r>
    </w:p>
    <w:p w14:paraId="11407A0A" w14:textId="77777777" w:rsidR="00FE6417" w:rsidRPr="00841914" w:rsidRDefault="00FE6417" w:rsidP="00FE6417">
      <w:pPr>
        <w:pStyle w:val="Subtitle"/>
      </w:pPr>
      <w:r>
        <w:t>Policy for registered supporters</w:t>
      </w:r>
    </w:p>
    <w:p w14:paraId="74680286" w14:textId="4CF3A30F" w:rsidR="00CE6502" w:rsidRDefault="00746E64" w:rsidP="003D2D88">
      <w:pPr>
        <w:pStyle w:val="Heading1"/>
      </w:pPr>
      <w:bookmarkStart w:id="0" w:name="_Toc208321367"/>
      <w:r>
        <w:t>Summary</w:t>
      </w:r>
      <w:bookmarkEnd w:id="0"/>
    </w:p>
    <w:p w14:paraId="5BC46D54" w14:textId="4CB2C5F4" w:rsidR="00863055" w:rsidRPr="00863055" w:rsidRDefault="002E2C12" w:rsidP="4C43186C">
      <w:pPr>
        <w:pStyle w:val="NormalText"/>
        <w:rPr>
          <w:lang w:val="en-US"/>
        </w:rPr>
      </w:pPr>
      <w:r w:rsidRPr="4C43186C">
        <w:rPr>
          <w:rFonts w:cs="Times New Roman"/>
          <w:szCs w:val="22"/>
        </w:rPr>
        <w:t>This policy</w:t>
      </w:r>
      <w:r w:rsidR="002445AA" w:rsidRPr="4C43186C">
        <w:rPr>
          <w:rFonts w:cs="Times New Roman"/>
          <w:szCs w:val="22"/>
        </w:rPr>
        <w:t xml:space="preserve"> outlines the framework for </w:t>
      </w:r>
      <w:r w:rsidR="00D94237">
        <w:rPr>
          <w:rFonts w:cs="Times New Roman"/>
          <w:szCs w:val="22"/>
        </w:rPr>
        <w:t>regulating</w:t>
      </w:r>
      <w:r w:rsidR="002445AA" w:rsidRPr="4C43186C">
        <w:rPr>
          <w:rFonts w:cs="Times New Roman"/>
          <w:szCs w:val="22"/>
        </w:rPr>
        <w:t xml:space="preserve"> supporters</w:t>
      </w:r>
      <w:r w:rsidR="00F02AD5" w:rsidRPr="4C43186C">
        <w:rPr>
          <w:rFonts w:cs="Times New Roman"/>
          <w:szCs w:val="22"/>
        </w:rPr>
        <w:t xml:space="preserve"> under the </w:t>
      </w:r>
      <w:r w:rsidR="002445AA" w:rsidRPr="4C43186C">
        <w:rPr>
          <w:rFonts w:cs="Times New Roman"/>
          <w:i/>
          <w:iCs/>
          <w:szCs w:val="22"/>
        </w:rPr>
        <w:t>Aged Care Act 2024 (Cth)</w:t>
      </w:r>
      <w:r w:rsidR="002445AA" w:rsidRPr="4C43186C">
        <w:rPr>
          <w:rFonts w:cs="Times New Roman"/>
          <w:szCs w:val="22"/>
        </w:rPr>
        <w:t xml:space="preserve"> (the Act</w:t>
      </w:r>
      <w:r w:rsidR="00863055" w:rsidRPr="4C43186C">
        <w:rPr>
          <w:rFonts w:cs="Times New Roman"/>
          <w:szCs w:val="22"/>
        </w:rPr>
        <w:t xml:space="preserve">). </w:t>
      </w:r>
      <w:r w:rsidR="2DE2970C" w:rsidRPr="4C43186C">
        <w:rPr>
          <w:rFonts w:cs="Times New Roman"/>
          <w:szCs w:val="22"/>
        </w:rPr>
        <w:t xml:space="preserve">This includes the registration, suspension and cancellation of supporters. </w:t>
      </w:r>
    </w:p>
    <w:p w14:paraId="6328D201" w14:textId="5F061617" w:rsidR="63FE8F7B" w:rsidRDefault="00B204FE" w:rsidP="4C43186C">
      <w:pPr>
        <w:pStyle w:val="NormalText"/>
        <w:rPr>
          <w:rFonts w:cs="Times New Roman"/>
          <w:szCs w:val="22"/>
        </w:rPr>
      </w:pPr>
      <w:r>
        <w:rPr>
          <w:rFonts w:cs="Times New Roman"/>
          <w:szCs w:val="22"/>
        </w:rPr>
        <w:t>T</w:t>
      </w:r>
      <w:r w:rsidR="7213993F" w:rsidRPr="4C43186C">
        <w:rPr>
          <w:rFonts w:cs="Times New Roman"/>
          <w:szCs w:val="22"/>
        </w:rPr>
        <w:t>hi</w:t>
      </w:r>
      <w:r w:rsidR="7F5AD92F" w:rsidRPr="4C43186C">
        <w:rPr>
          <w:rFonts w:cs="Times New Roman"/>
          <w:szCs w:val="22"/>
        </w:rPr>
        <w:t xml:space="preserve">s policy </w:t>
      </w:r>
      <w:r w:rsidR="00B90FD0">
        <w:rPr>
          <w:rFonts w:cs="Times New Roman"/>
          <w:szCs w:val="22"/>
        </w:rPr>
        <w:t>also</w:t>
      </w:r>
      <w:r w:rsidR="7F5AD92F" w:rsidRPr="4C43186C">
        <w:rPr>
          <w:rFonts w:cs="Times New Roman"/>
          <w:szCs w:val="22"/>
        </w:rPr>
        <w:t xml:space="preserve"> explores the broader concept of supported decision-making in aged care </w:t>
      </w:r>
      <w:r w:rsidR="6F875FAF" w:rsidRPr="4C43186C">
        <w:rPr>
          <w:rFonts w:cs="Times New Roman"/>
          <w:szCs w:val="22"/>
        </w:rPr>
        <w:t xml:space="preserve">which </w:t>
      </w:r>
      <w:r w:rsidR="77C014AA" w:rsidRPr="4C43186C">
        <w:rPr>
          <w:rFonts w:cs="Times New Roman"/>
          <w:szCs w:val="22"/>
        </w:rPr>
        <w:t xml:space="preserve">underpins the role and purpose of registered </w:t>
      </w:r>
      <w:r w:rsidR="358AA7C6" w:rsidRPr="4C43186C">
        <w:rPr>
          <w:rFonts w:cs="Times New Roman"/>
          <w:szCs w:val="22"/>
        </w:rPr>
        <w:t>s</w:t>
      </w:r>
      <w:r w:rsidR="482C1C66" w:rsidRPr="4C43186C">
        <w:rPr>
          <w:rFonts w:cs="Times New Roman"/>
          <w:szCs w:val="22"/>
        </w:rPr>
        <w:t xml:space="preserve">upporters. </w:t>
      </w:r>
    </w:p>
    <w:p w14:paraId="2D6D3CAB" w14:textId="77777777" w:rsidR="00682F7A" w:rsidRPr="00E27441" w:rsidRDefault="00682F7A" w:rsidP="00682F7A">
      <w:pPr>
        <w:pStyle w:val="PolicyStatement"/>
        <w:rPr>
          <w:b/>
          <w:bCs/>
          <w:sz w:val="44"/>
          <w:szCs w:val="48"/>
        </w:rPr>
      </w:pPr>
      <w:r w:rsidRPr="00E27441">
        <w:rPr>
          <w:b/>
          <w:bCs/>
          <w:sz w:val="44"/>
          <w:szCs w:val="48"/>
        </w:rPr>
        <w:t>Disclaimer</w:t>
      </w:r>
    </w:p>
    <w:p w14:paraId="52BD4270" w14:textId="2611FCAF" w:rsidR="00682F7A" w:rsidRDefault="00682F7A" w:rsidP="00682F7A">
      <w:pPr>
        <w:pStyle w:val="PolicyStatement"/>
      </w:pPr>
      <w:r>
        <w:t xml:space="preserve">This policy has been published in anticipation of the commencement of the </w:t>
      </w:r>
      <w:r w:rsidRPr="00297776">
        <w:rPr>
          <w:i/>
          <w:iCs/>
        </w:rPr>
        <w:t>Aged Care Act</w:t>
      </w:r>
      <w:r w:rsidR="00E11106" w:rsidRPr="00297776">
        <w:rPr>
          <w:i/>
          <w:iCs/>
        </w:rPr>
        <w:t xml:space="preserve"> 2024 (Cth)</w:t>
      </w:r>
      <w:r w:rsidR="00E11106">
        <w:t xml:space="preserve"> (the Act)</w:t>
      </w:r>
      <w:r>
        <w:t xml:space="preserve">. The information in this policy is not applicable before the </w:t>
      </w:r>
      <w:r w:rsidR="00301487">
        <w:t xml:space="preserve">Act </w:t>
      </w:r>
      <w:r>
        <w:t>commence</w:t>
      </w:r>
      <w:r w:rsidR="00301487">
        <w:t>s</w:t>
      </w:r>
      <w:r w:rsidR="00E11106">
        <w:t xml:space="preserve"> on 1 November 2025.</w:t>
      </w:r>
    </w:p>
    <w:p w14:paraId="41AAA61E" w14:textId="776C82BD" w:rsidR="00682F7A" w:rsidRPr="00A11F4B" w:rsidRDefault="00301487" w:rsidP="00682F7A">
      <w:pPr>
        <w:pStyle w:val="PolicyStatement"/>
      </w:pPr>
      <w:r>
        <w:t>T</w:t>
      </w:r>
      <w:r w:rsidR="00682F7A" w:rsidRPr="00A11F4B">
        <w:t xml:space="preserve">he Act and related </w:t>
      </w:r>
      <w:r w:rsidR="00682F7A" w:rsidRPr="1A2058E8">
        <w:t>rules</w:t>
      </w:r>
      <w:r w:rsidR="00682F7A" w:rsidRPr="00A11F4B">
        <w:t xml:space="preserve"> take precedence over </w:t>
      </w:r>
      <w:r w:rsidR="00682F7A">
        <w:t>this policy</w:t>
      </w:r>
      <w:r w:rsidR="008C2582">
        <w:t>, which should be read alongside them</w:t>
      </w:r>
      <w:r w:rsidR="00682F7A" w:rsidRPr="00A11F4B">
        <w:t xml:space="preserve">. The guidance provided </w:t>
      </w:r>
      <w:r w:rsidR="00682F7A">
        <w:t>in this policy</w:t>
      </w:r>
      <w:r w:rsidR="00682F7A" w:rsidRPr="00A11F4B">
        <w:t xml:space="preserve"> </w:t>
      </w:r>
      <w:r w:rsidR="00682F7A" w:rsidRPr="1A2058E8">
        <w:t xml:space="preserve">about </w:t>
      </w:r>
      <w:r w:rsidR="00682F7A" w:rsidRPr="00A11F4B">
        <w:t>registered supporters does not constitute legal advice. </w:t>
      </w:r>
    </w:p>
    <w:p w14:paraId="2E26CFE6" w14:textId="77777777" w:rsidR="004A1663" w:rsidRDefault="00682F7A" w:rsidP="00682F7A">
      <w:pPr>
        <w:pStyle w:val="PolicyStatement"/>
      </w:pPr>
      <w:r w:rsidRPr="00A11F4B">
        <w:t xml:space="preserve">The Department </w:t>
      </w:r>
      <w:r>
        <w:t xml:space="preserve">of Health, Disability and Ageing </w:t>
      </w:r>
      <w:r w:rsidRPr="00A11F4B">
        <w:t xml:space="preserve">will update </w:t>
      </w:r>
      <w:r>
        <w:t>this policy</w:t>
      </w:r>
      <w:r w:rsidRPr="00A11F4B">
        <w:t xml:space="preserve">, periodically and/or as required. </w:t>
      </w:r>
    </w:p>
    <w:p w14:paraId="4AB3A829" w14:textId="2AD69AD1" w:rsidR="00682F7A" w:rsidRPr="00145BC6" w:rsidRDefault="00857F6C" w:rsidP="00682F7A">
      <w:pPr>
        <w:pStyle w:val="PolicyStatement"/>
      </w:pPr>
      <w:r w:rsidRPr="00C84945">
        <w:t xml:space="preserve">This policy is one part of the </w:t>
      </w:r>
      <w:hyperlink r:id="rId10" w:history="1">
        <w:r w:rsidRPr="00D16AB6">
          <w:rPr>
            <w:rStyle w:val="Hyperlink"/>
          </w:rPr>
          <w:t>registered supporter</w:t>
        </w:r>
        <w:r w:rsidR="00C8239C">
          <w:rPr>
            <w:rStyle w:val="Hyperlink"/>
          </w:rPr>
          <w:t>s</w:t>
        </w:r>
        <w:r w:rsidRPr="00D16AB6">
          <w:rPr>
            <w:rStyle w:val="Hyperlink"/>
          </w:rPr>
          <w:t xml:space="preserve"> policy library</w:t>
        </w:r>
      </w:hyperlink>
      <w:r w:rsidRPr="00C84945">
        <w:t xml:space="preserve">. </w:t>
      </w:r>
      <w:r w:rsidR="00682F7A" w:rsidRPr="00A11F4B">
        <w:t xml:space="preserve">Please refer to the online version of the policies in the </w:t>
      </w:r>
      <w:r w:rsidR="00682F7A">
        <w:t>registered supporter p</w:t>
      </w:r>
      <w:r w:rsidR="00682F7A" w:rsidRPr="00A11F4B">
        <w:t xml:space="preserve">olicy </w:t>
      </w:r>
      <w:r w:rsidR="00682F7A">
        <w:t>l</w:t>
      </w:r>
      <w:r w:rsidR="00682F7A" w:rsidRPr="00A11F4B">
        <w:t xml:space="preserve">ibrary located on the </w:t>
      </w:r>
      <w:r w:rsidR="000C7D71">
        <w:t>d</w:t>
      </w:r>
      <w:r w:rsidR="00682F7A" w:rsidRPr="00A11F4B">
        <w:t xml:space="preserve">epartment’s website to ensure you have the most recent version. </w:t>
      </w:r>
    </w:p>
    <w:p w14:paraId="35C16EB3" w14:textId="77777777" w:rsidR="00FD5C6E" w:rsidRPr="00247F9C" w:rsidRDefault="00FD5C6E" w:rsidP="00FD5C6E">
      <w:pPr>
        <w:pStyle w:val="Heading1"/>
      </w:pPr>
      <w:bookmarkStart w:id="1" w:name="_Toc208321368"/>
      <w:r>
        <w:t>Version history</w:t>
      </w:r>
      <w:bookmarkEnd w:id="1"/>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September 2025 and was the first version published. "/>
      </w:tblPr>
      <w:tblGrid>
        <w:gridCol w:w="1838"/>
        <w:gridCol w:w="3544"/>
        <w:gridCol w:w="3969"/>
      </w:tblGrid>
      <w:tr w:rsidR="00FD5C6E" w14:paraId="0B47C74E" w14:textId="77777777" w:rsidTr="00AA10A4">
        <w:tc>
          <w:tcPr>
            <w:tcW w:w="1838" w:type="dxa"/>
          </w:tcPr>
          <w:p w14:paraId="58C0A1E4" w14:textId="77777777" w:rsidR="00FD5C6E" w:rsidRPr="003D1709" w:rsidRDefault="00FD5C6E" w:rsidP="00AA10A4">
            <w:pPr>
              <w:rPr>
                <w:rFonts w:cs="Arial"/>
                <w:b/>
                <w:bCs/>
              </w:rPr>
            </w:pPr>
            <w:r w:rsidRPr="003D1709">
              <w:rPr>
                <w:rFonts w:cs="Arial"/>
                <w:b/>
                <w:bCs/>
              </w:rPr>
              <w:t xml:space="preserve">Version </w:t>
            </w:r>
          </w:p>
        </w:tc>
        <w:tc>
          <w:tcPr>
            <w:tcW w:w="3544" w:type="dxa"/>
          </w:tcPr>
          <w:p w14:paraId="710F9200" w14:textId="77777777" w:rsidR="00FD5C6E" w:rsidRPr="003D1709" w:rsidRDefault="00FD5C6E" w:rsidP="00AA10A4">
            <w:pPr>
              <w:rPr>
                <w:rFonts w:cs="Arial"/>
                <w:b/>
                <w:bCs/>
              </w:rPr>
            </w:pPr>
            <w:r w:rsidRPr="003D1709">
              <w:rPr>
                <w:rFonts w:cs="Arial"/>
                <w:b/>
                <w:bCs/>
              </w:rPr>
              <w:t xml:space="preserve">Date published </w:t>
            </w:r>
          </w:p>
        </w:tc>
        <w:tc>
          <w:tcPr>
            <w:tcW w:w="3969" w:type="dxa"/>
          </w:tcPr>
          <w:p w14:paraId="7D60F299" w14:textId="77777777" w:rsidR="00FD5C6E" w:rsidRPr="006F54C6" w:rsidRDefault="00FD5C6E" w:rsidP="00AA10A4">
            <w:pPr>
              <w:rPr>
                <w:rFonts w:cs="Arial"/>
                <w:b/>
                <w:bCs/>
              </w:rPr>
            </w:pPr>
            <w:r>
              <w:rPr>
                <w:rFonts w:cs="Arial"/>
                <w:b/>
                <w:bCs/>
              </w:rPr>
              <w:t>Commentary on changes</w:t>
            </w:r>
          </w:p>
        </w:tc>
      </w:tr>
      <w:tr w:rsidR="00FD5C6E" w14:paraId="448093D2" w14:textId="77777777" w:rsidTr="00AA10A4">
        <w:tc>
          <w:tcPr>
            <w:tcW w:w="1838" w:type="dxa"/>
          </w:tcPr>
          <w:p w14:paraId="5BB5A837" w14:textId="77777777" w:rsidR="00FD5C6E" w:rsidRDefault="00FD5C6E" w:rsidP="00AA10A4">
            <w:pPr>
              <w:rPr>
                <w:rFonts w:cs="Arial"/>
              </w:rPr>
            </w:pPr>
            <w:r>
              <w:rPr>
                <w:rFonts w:cs="Arial"/>
              </w:rPr>
              <w:t xml:space="preserve">1 </w:t>
            </w:r>
          </w:p>
        </w:tc>
        <w:tc>
          <w:tcPr>
            <w:tcW w:w="3544" w:type="dxa"/>
          </w:tcPr>
          <w:p w14:paraId="63033E9D" w14:textId="77777777" w:rsidR="00FD5C6E" w:rsidRDefault="00FD5C6E" w:rsidP="00AA10A4">
            <w:pPr>
              <w:rPr>
                <w:rFonts w:cs="Arial"/>
              </w:rPr>
            </w:pPr>
            <w:r>
              <w:rPr>
                <w:rFonts w:cs="Arial"/>
              </w:rPr>
              <w:t>September 2025</w:t>
            </w:r>
          </w:p>
        </w:tc>
        <w:tc>
          <w:tcPr>
            <w:tcW w:w="3969" w:type="dxa"/>
          </w:tcPr>
          <w:p w14:paraId="0E85F7D0" w14:textId="088A9837" w:rsidR="00FD5C6E" w:rsidRDefault="00E27441" w:rsidP="00AA10A4">
            <w:pPr>
              <w:rPr>
                <w:rFonts w:cs="Arial"/>
              </w:rPr>
            </w:pPr>
            <w:r>
              <w:rPr>
                <w:rFonts w:cs="Arial"/>
              </w:rPr>
              <w:t>First version published.</w:t>
            </w:r>
          </w:p>
        </w:tc>
      </w:tr>
    </w:tbl>
    <w:p w14:paraId="72AE472F" w14:textId="77777777" w:rsidR="002436A9" w:rsidRDefault="002436A9">
      <w:pPr>
        <w:spacing w:before="0" w:after="0" w:line="240" w:lineRule="auto"/>
        <w:rPr>
          <w:lang w:val="en-GB"/>
        </w:rPr>
      </w:pPr>
      <w:r>
        <w:rPr>
          <w:lang w:val="en-GB"/>
        </w:rPr>
        <w:br w:type="page"/>
      </w:r>
    </w:p>
    <w:sdt>
      <w:sdtPr>
        <w:rPr>
          <w:rFonts w:ascii="Arial" w:eastAsia="Times New Roman" w:hAnsi="Arial" w:cs="Times New Roman"/>
          <w:color w:val="000000" w:themeColor="text1"/>
          <w:sz w:val="22"/>
          <w:szCs w:val="24"/>
          <w:lang w:val="en-GB" w:eastAsia="en-US"/>
        </w:rPr>
        <w:id w:val="-1768067514"/>
        <w:docPartObj>
          <w:docPartGallery w:val="Table of Contents"/>
          <w:docPartUnique/>
        </w:docPartObj>
      </w:sdtPr>
      <w:sdtEndPr>
        <w:rPr>
          <w:b/>
          <w:bCs/>
          <w:szCs w:val="22"/>
        </w:rPr>
      </w:sdtEndPr>
      <w:sdtContent>
        <w:p w14:paraId="4FFD094A" w14:textId="442C4DB7" w:rsidR="00993DE7" w:rsidRDefault="00993DE7">
          <w:pPr>
            <w:pStyle w:val="TOCHeading"/>
          </w:pPr>
          <w:r>
            <w:rPr>
              <w:lang w:val="en-GB"/>
            </w:rPr>
            <w:t>Contents</w:t>
          </w:r>
        </w:p>
        <w:p w14:paraId="1112D7F4" w14:textId="012C6095" w:rsidR="00600479" w:rsidRDefault="00993DE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08321367" w:history="1">
            <w:r w:rsidR="00600479" w:rsidRPr="00290814">
              <w:rPr>
                <w:rStyle w:val="Hyperlink"/>
                <w:noProof/>
              </w:rPr>
              <w:t>Summary</w:t>
            </w:r>
            <w:r w:rsidR="00600479">
              <w:rPr>
                <w:noProof/>
                <w:webHidden/>
              </w:rPr>
              <w:tab/>
            </w:r>
            <w:r w:rsidR="00600479">
              <w:rPr>
                <w:noProof/>
                <w:webHidden/>
              </w:rPr>
              <w:fldChar w:fldCharType="begin"/>
            </w:r>
            <w:r w:rsidR="00600479">
              <w:rPr>
                <w:noProof/>
                <w:webHidden/>
              </w:rPr>
              <w:instrText xml:space="preserve"> PAGEREF _Toc208321367 \h </w:instrText>
            </w:r>
            <w:r w:rsidR="00600479">
              <w:rPr>
                <w:noProof/>
                <w:webHidden/>
              </w:rPr>
            </w:r>
            <w:r w:rsidR="00600479">
              <w:rPr>
                <w:noProof/>
                <w:webHidden/>
              </w:rPr>
              <w:fldChar w:fldCharType="separate"/>
            </w:r>
            <w:r w:rsidR="00600479">
              <w:rPr>
                <w:noProof/>
                <w:webHidden/>
              </w:rPr>
              <w:t>1</w:t>
            </w:r>
            <w:r w:rsidR="00600479">
              <w:rPr>
                <w:noProof/>
                <w:webHidden/>
              </w:rPr>
              <w:fldChar w:fldCharType="end"/>
            </w:r>
          </w:hyperlink>
        </w:p>
        <w:p w14:paraId="1AF355C1" w14:textId="76F58A1E"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68" w:history="1">
            <w:r w:rsidRPr="00290814">
              <w:rPr>
                <w:rStyle w:val="Hyperlink"/>
                <w:noProof/>
              </w:rPr>
              <w:t>Version history</w:t>
            </w:r>
            <w:r>
              <w:rPr>
                <w:noProof/>
                <w:webHidden/>
              </w:rPr>
              <w:tab/>
            </w:r>
            <w:r>
              <w:rPr>
                <w:noProof/>
                <w:webHidden/>
              </w:rPr>
              <w:fldChar w:fldCharType="begin"/>
            </w:r>
            <w:r>
              <w:rPr>
                <w:noProof/>
                <w:webHidden/>
              </w:rPr>
              <w:instrText xml:space="preserve"> PAGEREF _Toc208321368 \h </w:instrText>
            </w:r>
            <w:r>
              <w:rPr>
                <w:noProof/>
                <w:webHidden/>
              </w:rPr>
            </w:r>
            <w:r>
              <w:rPr>
                <w:noProof/>
                <w:webHidden/>
              </w:rPr>
              <w:fldChar w:fldCharType="separate"/>
            </w:r>
            <w:r>
              <w:rPr>
                <w:noProof/>
                <w:webHidden/>
              </w:rPr>
              <w:t>1</w:t>
            </w:r>
            <w:r>
              <w:rPr>
                <w:noProof/>
                <w:webHidden/>
              </w:rPr>
              <w:fldChar w:fldCharType="end"/>
            </w:r>
          </w:hyperlink>
        </w:p>
        <w:p w14:paraId="042D83BD" w14:textId="2E03B7E1"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69" w:history="1">
            <w:r w:rsidRPr="00290814">
              <w:rPr>
                <w:rStyle w:val="Hyperlink"/>
                <w:noProof/>
              </w:rPr>
              <w:t>Policy</w:t>
            </w:r>
            <w:r>
              <w:rPr>
                <w:noProof/>
                <w:webHidden/>
              </w:rPr>
              <w:tab/>
            </w:r>
            <w:r>
              <w:rPr>
                <w:noProof/>
                <w:webHidden/>
              </w:rPr>
              <w:fldChar w:fldCharType="begin"/>
            </w:r>
            <w:r>
              <w:rPr>
                <w:noProof/>
                <w:webHidden/>
              </w:rPr>
              <w:instrText xml:space="preserve"> PAGEREF _Toc208321369 \h </w:instrText>
            </w:r>
            <w:r>
              <w:rPr>
                <w:noProof/>
                <w:webHidden/>
              </w:rPr>
            </w:r>
            <w:r>
              <w:rPr>
                <w:noProof/>
                <w:webHidden/>
              </w:rPr>
              <w:fldChar w:fldCharType="separate"/>
            </w:r>
            <w:r>
              <w:rPr>
                <w:noProof/>
                <w:webHidden/>
              </w:rPr>
              <w:t>3</w:t>
            </w:r>
            <w:r>
              <w:rPr>
                <w:noProof/>
                <w:webHidden/>
              </w:rPr>
              <w:fldChar w:fldCharType="end"/>
            </w:r>
          </w:hyperlink>
        </w:p>
        <w:p w14:paraId="6123AD18" w14:textId="4C9C3B4F"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0" w:history="1">
            <w:r w:rsidRPr="00290814">
              <w:rPr>
                <w:rStyle w:val="Hyperlink"/>
                <w:noProof/>
              </w:rPr>
              <w:t>Supported decision-making</w:t>
            </w:r>
            <w:r>
              <w:rPr>
                <w:noProof/>
                <w:webHidden/>
              </w:rPr>
              <w:tab/>
            </w:r>
            <w:r>
              <w:rPr>
                <w:noProof/>
                <w:webHidden/>
              </w:rPr>
              <w:fldChar w:fldCharType="begin"/>
            </w:r>
            <w:r>
              <w:rPr>
                <w:noProof/>
                <w:webHidden/>
              </w:rPr>
              <w:instrText xml:space="preserve"> PAGEREF _Toc208321370 \h </w:instrText>
            </w:r>
            <w:r>
              <w:rPr>
                <w:noProof/>
                <w:webHidden/>
              </w:rPr>
            </w:r>
            <w:r>
              <w:rPr>
                <w:noProof/>
                <w:webHidden/>
              </w:rPr>
              <w:fldChar w:fldCharType="separate"/>
            </w:r>
            <w:r>
              <w:rPr>
                <w:noProof/>
                <w:webHidden/>
              </w:rPr>
              <w:t>3</w:t>
            </w:r>
            <w:r>
              <w:rPr>
                <w:noProof/>
                <w:webHidden/>
              </w:rPr>
              <w:fldChar w:fldCharType="end"/>
            </w:r>
          </w:hyperlink>
        </w:p>
        <w:p w14:paraId="30B45DD7" w14:textId="1FC36AB2"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1" w:history="1">
            <w:r w:rsidRPr="00290814">
              <w:rPr>
                <w:rStyle w:val="Hyperlink"/>
                <w:noProof/>
              </w:rPr>
              <w:t>New, rights-based Act</w:t>
            </w:r>
            <w:r>
              <w:rPr>
                <w:noProof/>
                <w:webHidden/>
              </w:rPr>
              <w:tab/>
            </w:r>
            <w:r>
              <w:rPr>
                <w:noProof/>
                <w:webHidden/>
              </w:rPr>
              <w:fldChar w:fldCharType="begin"/>
            </w:r>
            <w:r>
              <w:rPr>
                <w:noProof/>
                <w:webHidden/>
              </w:rPr>
              <w:instrText xml:space="preserve"> PAGEREF _Toc208321371 \h </w:instrText>
            </w:r>
            <w:r>
              <w:rPr>
                <w:noProof/>
                <w:webHidden/>
              </w:rPr>
            </w:r>
            <w:r>
              <w:rPr>
                <w:noProof/>
                <w:webHidden/>
              </w:rPr>
              <w:fldChar w:fldCharType="separate"/>
            </w:r>
            <w:r>
              <w:rPr>
                <w:noProof/>
                <w:webHidden/>
              </w:rPr>
              <w:t>3</w:t>
            </w:r>
            <w:r>
              <w:rPr>
                <w:noProof/>
                <w:webHidden/>
              </w:rPr>
              <w:fldChar w:fldCharType="end"/>
            </w:r>
          </w:hyperlink>
        </w:p>
        <w:p w14:paraId="1280DF12" w14:textId="1F6C8CEE"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2" w:history="1">
            <w:r w:rsidRPr="00290814">
              <w:rPr>
                <w:rStyle w:val="Hyperlink"/>
                <w:noProof/>
              </w:rPr>
              <w:t>Statement of Rights</w:t>
            </w:r>
            <w:r>
              <w:rPr>
                <w:noProof/>
                <w:webHidden/>
              </w:rPr>
              <w:tab/>
            </w:r>
            <w:r>
              <w:rPr>
                <w:noProof/>
                <w:webHidden/>
              </w:rPr>
              <w:fldChar w:fldCharType="begin"/>
            </w:r>
            <w:r>
              <w:rPr>
                <w:noProof/>
                <w:webHidden/>
              </w:rPr>
              <w:instrText xml:space="preserve"> PAGEREF _Toc208321372 \h </w:instrText>
            </w:r>
            <w:r>
              <w:rPr>
                <w:noProof/>
                <w:webHidden/>
              </w:rPr>
            </w:r>
            <w:r>
              <w:rPr>
                <w:noProof/>
                <w:webHidden/>
              </w:rPr>
              <w:fldChar w:fldCharType="separate"/>
            </w:r>
            <w:r>
              <w:rPr>
                <w:noProof/>
                <w:webHidden/>
              </w:rPr>
              <w:t>4</w:t>
            </w:r>
            <w:r>
              <w:rPr>
                <w:noProof/>
                <w:webHidden/>
              </w:rPr>
              <w:fldChar w:fldCharType="end"/>
            </w:r>
          </w:hyperlink>
        </w:p>
        <w:p w14:paraId="74FA6078" w14:textId="6E7C8E78"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3" w:history="1">
            <w:r w:rsidRPr="00290814">
              <w:rPr>
                <w:rStyle w:val="Hyperlink"/>
                <w:noProof/>
              </w:rPr>
              <w:t>Statement of Principles</w:t>
            </w:r>
            <w:r>
              <w:rPr>
                <w:noProof/>
                <w:webHidden/>
              </w:rPr>
              <w:tab/>
            </w:r>
            <w:r>
              <w:rPr>
                <w:noProof/>
                <w:webHidden/>
              </w:rPr>
              <w:fldChar w:fldCharType="begin"/>
            </w:r>
            <w:r>
              <w:rPr>
                <w:noProof/>
                <w:webHidden/>
              </w:rPr>
              <w:instrText xml:space="preserve"> PAGEREF _Toc208321373 \h </w:instrText>
            </w:r>
            <w:r>
              <w:rPr>
                <w:noProof/>
                <w:webHidden/>
              </w:rPr>
            </w:r>
            <w:r>
              <w:rPr>
                <w:noProof/>
                <w:webHidden/>
              </w:rPr>
              <w:fldChar w:fldCharType="separate"/>
            </w:r>
            <w:r>
              <w:rPr>
                <w:noProof/>
                <w:webHidden/>
              </w:rPr>
              <w:t>5</w:t>
            </w:r>
            <w:r>
              <w:rPr>
                <w:noProof/>
                <w:webHidden/>
              </w:rPr>
              <w:fldChar w:fldCharType="end"/>
            </w:r>
          </w:hyperlink>
        </w:p>
        <w:p w14:paraId="4453DEDE" w14:textId="30BE256B"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4" w:history="1">
            <w:r w:rsidRPr="00290814">
              <w:rPr>
                <w:rStyle w:val="Hyperlink"/>
                <w:noProof/>
                <w:lang w:eastAsia="en-AU"/>
              </w:rPr>
              <w:t>Embedding principles of supported decision-making</w:t>
            </w:r>
            <w:r>
              <w:rPr>
                <w:noProof/>
                <w:webHidden/>
              </w:rPr>
              <w:tab/>
            </w:r>
            <w:r>
              <w:rPr>
                <w:noProof/>
                <w:webHidden/>
              </w:rPr>
              <w:fldChar w:fldCharType="begin"/>
            </w:r>
            <w:r>
              <w:rPr>
                <w:noProof/>
                <w:webHidden/>
              </w:rPr>
              <w:instrText xml:space="preserve"> PAGEREF _Toc208321374 \h </w:instrText>
            </w:r>
            <w:r>
              <w:rPr>
                <w:noProof/>
                <w:webHidden/>
              </w:rPr>
            </w:r>
            <w:r>
              <w:rPr>
                <w:noProof/>
                <w:webHidden/>
              </w:rPr>
              <w:fldChar w:fldCharType="separate"/>
            </w:r>
            <w:r>
              <w:rPr>
                <w:noProof/>
                <w:webHidden/>
              </w:rPr>
              <w:t>5</w:t>
            </w:r>
            <w:r>
              <w:rPr>
                <w:noProof/>
                <w:webHidden/>
              </w:rPr>
              <w:fldChar w:fldCharType="end"/>
            </w:r>
          </w:hyperlink>
        </w:p>
        <w:p w14:paraId="6099CD7A" w14:textId="7E21F20E"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5" w:history="1">
            <w:r w:rsidRPr="00290814">
              <w:rPr>
                <w:rStyle w:val="Hyperlink"/>
                <w:noProof/>
              </w:rPr>
              <w:t>Supported and substitute decision-making</w:t>
            </w:r>
            <w:r>
              <w:rPr>
                <w:noProof/>
                <w:webHidden/>
              </w:rPr>
              <w:tab/>
            </w:r>
            <w:r>
              <w:rPr>
                <w:noProof/>
                <w:webHidden/>
              </w:rPr>
              <w:fldChar w:fldCharType="begin"/>
            </w:r>
            <w:r>
              <w:rPr>
                <w:noProof/>
                <w:webHidden/>
              </w:rPr>
              <w:instrText xml:space="preserve"> PAGEREF _Toc208321375 \h </w:instrText>
            </w:r>
            <w:r>
              <w:rPr>
                <w:noProof/>
                <w:webHidden/>
              </w:rPr>
            </w:r>
            <w:r>
              <w:rPr>
                <w:noProof/>
                <w:webHidden/>
              </w:rPr>
              <w:fldChar w:fldCharType="separate"/>
            </w:r>
            <w:r>
              <w:rPr>
                <w:noProof/>
                <w:webHidden/>
              </w:rPr>
              <w:t>7</w:t>
            </w:r>
            <w:r>
              <w:rPr>
                <w:noProof/>
                <w:webHidden/>
              </w:rPr>
              <w:fldChar w:fldCharType="end"/>
            </w:r>
          </w:hyperlink>
        </w:p>
        <w:p w14:paraId="076CB191" w14:textId="53925FF1"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6" w:history="1">
            <w:r w:rsidRPr="00290814">
              <w:rPr>
                <w:rStyle w:val="Hyperlink"/>
                <w:noProof/>
                <w:lang w:eastAsia="en-AU"/>
              </w:rPr>
              <w:t>Registered supporters</w:t>
            </w:r>
            <w:r>
              <w:rPr>
                <w:noProof/>
                <w:webHidden/>
              </w:rPr>
              <w:tab/>
            </w:r>
            <w:r>
              <w:rPr>
                <w:noProof/>
                <w:webHidden/>
              </w:rPr>
              <w:fldChar w:fldCharType="begin"/>
            </w:r>
            <w:r>
              <w:rPr>
                <w:noProof/>
                <w:webHidden/>
              </w:rPr>
              <w:instrText xml:space="preserve"> PAGEREF _Toc208321376 \h </w:instrText>
            </w:r>
            <w:r>
              <w:rPr>
                <w:noProof/>
                <w:webHidden/>
              </w:rPr>
            </w:r>
            <w:r>
              <w:rPr>
                <w:noProof/>
                <w:webHidden/>
              </w:rPr>
              <w:fldChar w:fldCharType="separate"/>
            </w:r>
            <w:r>
              <w:rPr>
                <w:noProof/>
                <w:webHidden/>
              </w:rPr>
              <w:t>7</w:t>
            </w:r>
            <w:r>
              <w:rPr>
                <w:noProof/>
                <w:webHidden/>
              </w:rPr>
              <w:fldChar w:fldCharType="end"/>
            </w:r>
          </w:hyperlink>
        </w:p>
        <w:p w14:paraId="6FE4BEE5" w14:textId="516B0B4F"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7" w:history="1">
            <w:r w:rsidRPr="00290814">
              <w:rPr>
                <w:rStyle w:val="Hyperlink"/>
                <w:noProof/>
                <w:lang w:eastAsia="en-AU"/>
              </w:rPr>
              <w:t>Purpose and role</w:t>
            </w:r>
            <w:r>
              <w:rPr>
                <w:noProof/>
                <w:webHidden/>
              </w:rPr>
              <w:tab/>
            </w:r>
            <w:r>
              <w:rPr>
                <w:noProof/>
                <w:webHidden/>
              </w:rPr>
              <w:fldChar w:fldCharType="begin"/>
            </w:r>
            <w:r>
              <w:rPr>
                <w:noProof/>
                <w:webHidden/>
              </w:rPr>
              <w:instrText xml:space="preserve"> PAGEREF _Toc208321377 \h </w:instrText>
            </w:r>
            <w:r>
              <w:rPr>
                <w:noProof/>
                <w:webHidden/>
              </w:rPr>
            </w:r>
            <w:r>
              <w:rPr>
                <w:noProof/>
                <w:webHidden/>
              </w:rPr>
              <w:fldChar w:fldCharType="separate"/>
            </w:r>
            <w:r>
              <w:rPr>
                <w:noProof/>
                <w:webHidden/>
              </w:rPr>
              <w:t>8</w:t>
            </w:r>
            <w:r>
              <w:rPr>
                <w:noProof/>
                <w:webHidden/>
              </w:rPr>
              <w:fldChar w:fldCharType="end"/>
            </w:r>
          </w:hyperlink>
        </w:p>
        <w:p w14:paraId="357C5260" w14:textId="453EDFFF"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8" w:history="1">
            <w:r w:rsidRPr="00290814">
              <w:rPr>
                <w:rStyle w:val="Hyperlink"/>
                <w:noProof/>
              </w:rPr>
              <w:t>Fluctuating capacity</w:t>
            </w:r>
            <w:r>
              <w:rPr>
                <w:noProof/>
                <w:webHidden/>
              </w:rPr>
              <w:tab/>
            </w:r>
            <w:r>
              <w:rPr>
                <w:noProof/>
                <w:webHidden/>
              </w:rPr>
              <w:fldChar w:fldCharType="begin"/>
            </w:r>
            <w:r>
              <w:rPr>
                <w:noProof/>
                <w:webHidden/>
              </w:rPr>
              <w:instrText xml:space="preserve"> PAGEREF _Toc208321378 \h </w:instrText>
            </w:r>
            <w:r>
              <w:rPr>
                <w:noProof/>
                <w:webHidden/>
              </w:rPr>
            </w:r>
            <w:r>
              <w:rPr>
                <w:noProof/>
                <w:webHidden/>
              </w:rPr>
              <w:fldChar w:fldCharType="separate"/>
            </w:r>
            <w:r>
              <w:rPr>
                <w:noProof/>
                <w:webHidden/>
              </w:rPr>
              <w:t>8</w:t>
            </w:r>
            <w:r>
              <w:rPr>
                <w:noProof/>
                <w:webHidden/>
              </w:rPr>
              <w:fldChar w:fldCharType="end"/>
            </w:r>
          </w:hyperlink>
        </w:p>
        <w:p w14:paraId="7D70F806" w14:textId="3ABB849D"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79" w:history="1">
            <w:r w:rsidRPr="00290814">
              <w:rPr>
                <w:rStyle w:val="Hyperlink"/>
                <w:noProof/>
              </w:rPr>
              <w:t>Active, appointed decision makers</w:t>
            </w:r>
            <w:r>
              <w:rPr>
                <w:noProof/>
                <w:webHidden/>
              </w:rPr>
              <w:tab/>
            </w:r>
            <w:r>
              <w:rPr>
                <w:noProof/>
                <w:webHidden/>
              </w:rPr>
              <w:fldChar w:fldCharType="begin"/>
            </w:r>
            <w:r>
              <w:rPr>
                <w:noProof/>
                <w:webHidden/>
              </w:rPr>
              <w:instrText xml:space="preserve"> PAGEREF _Toc208321379 \h </w:instrText>
            </w:r>
            <w:r>
              <w:rPr>
                <w:noProof/>
                <w:webHidden/>
              </w:rPr>
            </w:r>
            <w:r>
              <w:rPr>
                <w:noProof/>
                <w:webHidden/>
              </w:rPr>
              <w:fldChar w:fldCharType="separate"/>
            </w:r>
            <w:r>
              <w:rPr>
                <w:noProof/>
                <w:webHidden/>
              </w:rPr>
              <w:t>8</w:t>
            </w:r>
            <w:r>
              <w:rPr>
                <w:noProof/>
                <w:webHidden/>
              </w:rPr>
              <w:fldChar w:fldCharType="end"/>
            </w:r>
          </w:hyperlink>
        </w:p>
        <w:p w14:paraId="71E8057F" w14:textId="674E274E"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0" w:history="1">
            <w:r w:rsidRPr="00290814">
              <w:rPr>
                <w:rStyle w:val="Hyperlink"/>
                <w:noProof/>
              </w:rPr>
              <w:t>Duties</w:t>
            </w:r>
            <w:r>
              <w:rPr>
                <w:noProof/>
                <w:webHidden/>
              </w:rPr>
              <w:tab/>
            </w:r>
            <w:r>
              <w:rPr>
                <w:noProof/>
                <w:webHidden/>
              </w:rPr>
              <w:fldChar w:fldCharType="begin"/>
            </w:r>
            <w:r>
              <w:rPr>
                <w:noProof/>
                <w:webHidden/>
              </w:rPr>
              <w:instrText xml:space="preserve"> PAGEREF _Toc208321380 \h </w:instrText>
            </w:r>
            <w:r>
              <w:rPr>
                <w:noProof/>
                <w:webHidden/>
              </w:rPr>
            </w:r>
            <w:r>
              <w:rPr>
                <w:noProof/>
                <w:webHidden/>
              </w:rPr>
              <w:fldChar w:fldCharType="separate"/>
            </w:r>
            <w:r>
              <w:rPr>
                <w:noProof/>
                <w:webHidden/>
              </w:rPr>
              <w:t>9</w:t>
            </w:r>
            <w:r>
              <w:rPr>
                <w:noProof/>
                <w:webHidden/>
              </w:rPr>
              <w:fldChar w:fldCharType="end"/>
            </w:r>
          </w:hyperlink>
        </w:p>
        <w:p w14:paraId="6D27DB23" w14:textId="00CC4393"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1" w:history="1">
            <w:r w:rsidRPr="00290814">
              <w:rPr>
                <w:rStyle w:val="Hyperlink"/>
                <w:noProof/>
              </w:rPr>
              <w:t>Supported decision-making in practice</w:t>
            </w:r>
            <w:r>
              <w:rPr>
                <w:noProof/>
                <w:webHidden/>
              </w:rPr>
              <w:tab/>
            </w:r>
            <w:r>
              <w:rPr>
                <w:noProof/>
                <w:webHidden/>
              </w:rPr>
              <w:fldChar w:fldCharType="begin"/>
            </w:r>
            <w:r>
              <w:rPr>
                <w:noProof/>
                <w:webHidden/>
              </w:rPr>
              <w:instrText xml:space="preserve"> PAGEREF _Toc208321381 \h </w:instrText>
            </w:r>
            <w:r>
              <w:rPr>
                <w:noProof/>
                <w:webHidden/>
              </w:rPr>
            </w:r>
            <w:r>
              <w:rPr>
                <w:noProof/>
                <w:webHidden/>
              </w:rPr>
              <w:fldChar w:fldCharType="separate"/>
            </w:r>
            <w:r>
              <w:rPr>
                <w:noProof/>
                <w:webHidden/>
              </w:rPr>
              <w:t>10</w:t>
            </w:r>
            <w:r>
              <w:rPr>
                <w:noProof/>
                <w:webHidden/>
              </w:rPr>
              <w:fldChar w:fldCharType="end"/>
            </w:r>
          </w:hyperlink>
        </w:p>
        <w:p w14:paraId="2D0EAD40" w14:textId="08318292"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2" w:history="1">
            <w:r w:rsidRPr="00290814">
              <w:rPr>
                <w:rStyle w:val="Hyperlink"/>
                <w:noProof/>
              </w:rPr>
              <w:t>Registering supporters from 1 November</w:t>
            </w:r>
            <w:r>
              <w:rPr>
                <w:noProof/>
                <w:webHidden/>
              </w:rPr>
              <w:tab/>
            </w:r>
            <w:r>
              <w:rPr>
                <w:noProof/>
                <w:webHidden/>
              </w:rPr>
              <w:fldChar w:fldCharType="begin"/>
            </w:r>
            <w:r>
              <w:rPr>
                <w:noProof/>
                <w:webHidden/>
              </w:rPr>
              <w:instrText xml:space="preserve"> PAGEREF _Toc208321382 \h </w:instrText>
            </w:r>
            <w:r>
              <w:rPr>
                <w:noProof/>
                <w:webHidden/>
              </w:rPr>
            </w:r>
            <w:r>
              <w:rPr>
                <w:noProof/>
                <w:webHidden/>
              </w:rPr>
              <w:fldChar w:fldCharType="separate"/>
            </w:r>
            <w:r>
              <w:rPr>
                <w:noProof/>
                <w:webHidden/>
              </w:rPr>
              <w:t>10</w:t>
            </w:r>
            <w:r>
              <w:rPr>
                <w:noProof/>
                <w:webHidden/>
              </w:rPr>
              <w:fldChar w:fldCharType="end"/>
            </w:r>
          </w:hyperlink>
        </w:p>
        <w:p w14:paraId="27193A81" w14:textId="14B7B627"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3" w:history="1">
            <w:r w:rsidRPr="00290814">
              <w:rPr>
                <w:rStyle w:val="Hyperlink"/>
                <w:noProof/>
              </w:rPr>
              <w:t>Other people who provide support</w:t>
            </w:r>
            <w:r>
              <w:rPr>
                <w:noProof/>
                <w:webHidden/>
              </w:rPr>
              <w:tab/>
            </w:r>
            <w:r>
              <w:rPr>
                <w:noProof/>
                <w:webHidden/>
              </w:rPr>
              <w:fldChar w:fldCharType="begin"/>
            </w:r>
            <w:r>
              <w:rPr>
                <w:noProof/>
                <w:webHidden/>
              </w:rPr>
              <w:instrText xml:space="preserve"> PAGEREF _Toc208321383 \h </w:instrText>
            </w:r>
            <w:r>
              <w:rPr>
                <w:noProof/>
                <w:webHidden/>
              </w:rPr>
            </w:r>
            <w:r>
              <w:rPr>
                <w:noProof/>
                <w:webHidden/>
              </w:rPr>
              <w:fldChar w:fldCharType="separate"/>
            </w:r>
            <w:r>
              <w:rPr>
                <w:noProof/>
                <w:webHidden/>
              </w:rPr>
              <w:t>11</w:t>
            </w:r>
            <w:r>
              <w:rPr>
                <w:noProof/>
                <w:webHidden/>
              </w:rPr>
              <w:fldChar w:fldCharType="end"/>
            </w:r>
          </w:hyperlink>
        </w:p>
        <w:p w14:paraId="0DE640EE" w14:textId="6022FBFE"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4" w:history="1">
            <w:r w:rsidRPr="00290814">
              <w:rPr>
                <w:rStyle w:val="Hyperlink"/>
                <w:noProof/>
              </w:rPr>
              <w:t>Carers and significant others</w:t>
            </w:r>
            <w:r>
              <w:rPr>
                <w:noProof/>
                <w:webHidden/>
              </w:rPr>
              <w:tab/>
            </w:r>
            <w:r>
              <w:rPr>
                <w:noProof/>
                <w:webHidden/>
              </w:rPr>
              <w:fldChar w:fldCharType="begin"/>
            </w:r>
            <w:r>
              <w:rPr>
                <w:noProof/>
                <w:webHidden/>
              </w:rPr>
              <w:instrText xml:space="preserve"> PAGEREF _Toc208321384 \h </w:instrText>
            </w:r>
            <w:r>
              <w:rPr>
                <w:noProof/>
                <w:webHidden/>
              </w:rPr>
            </w:r>
            <w:r>
              <w:rPr>
                <w:noProof/>
                <w:webHidden/>
              </w:rPr>
              <w:fldChar w:fldCharType="separate"/>
            </w:r>
            <w:r>
              <w:rPr>
                <w:noProof/>
                <w:webHidden/>
              </w:rPr>
              <w:t>11</w:t>
            </w:r>
            <w:r>
              <w:rPr>
                <w:noProof/>
                <w:webHidden/>
              </w:rPr>
              <w:fldChar w:fldCharType="end"/>
            </w:r>
          </w:hyperlink>
        </w:p>
        <w:p w14:paraId="5555AAAC" w14:textId="219BE1FB"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5" w:history="1">
            <w:r w:rsidRPr="00290814">
              <w:rPr>
                <w:rStyle w:val="Hyperlink"/>
                <w:noProof/>
              </w:rPr>
              <w:t>Active, appointed decision makers</w:t>
            </w:r>
            <w:r>
              <w:rPr>
                <w:noProof/>
                <w:webHidden/>
              </w:rPr>
              <w:tab/>
            </w:r>
            <w:r>
              <w:rPr>
                <w:noProof/>
                <w:webHidden/>
              </w:rPr>
              <w:fldChar w:fldCharType="begin"/>
            </w:r>
            <w:r>
              <w:rPr>
                <w:noProof/>
                <w:webHidden/>
              </w:rPr>
              <w:instrText xml:space="preserve"> PAGEREF _Toc208321385 \h </w:instrText>
            </w:r>
            <w:r>
              <w:rPr>
                <w:noProof/>
                <w:webHidden/>
              </w:rPr>
            </w:r>
            <w:r>
              <w:rPr>
                <w:noProof/>
                <w:webHidden/>
              </w:rPr>
              <w:fldChar w:fldCharType="separate"/>
            </w:r>
            <w:r>
              <w:rPr>
                <w:noProof/>
                <w:webHidden/>
              </w:rPr>
              <w:t>12</w:t>
            </w:r>
            <w:r>
              <w:rPr>
                <w:noProof/>
                <w:webHidden/>
              </w:rPr>
              <w:fldChar w:fldCharType="end"/>
            </w:r>
          </w:hyperlink>
        </w:p>
        <w:p w14:paraId="52817BE0" w14:textId="4FE42EFE"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6" w:history="1">
            <w:r w:rsidRPr="00290814">
              <w:rPr>
                <w:rStyle w:val="Hyperlink"/>
                <w:noProof/>
              </w:rPr>
              <w:t>Representative or nominee arrangements with other agencies</w:t>
            </w:r>
            <w:r>
              <w:rPr>
                <w:noProof/>
                <w:webHidden/>
              </w:rPr>
              <w:tab/>
            </w:r>
            <w:r>
              <w:rPr>
                <w:noProof/>
                <w:webHidden/>
              </w:rPr>
              <w:fldChar w:fldCharType="begin"/>
            </w:r>
            <w:r>
              <w:rPr>
                <w:noProof/>
                <w:webHidden/>
              </w:rPr>
              <w:instrText xml:space="preserve"> PAGEREF _Toc208321386 \h </w:instrText>
            </w:r>
            <w:r>
              <w:rPr>
                <w:noProof/>
                <w:webHidden/>
              </w:rPr>
            </w:r>
            <w:r>
              <w:rPr>
                <w:noProof/>
                <w:webHidden/>
              </w:rPr>
              <w:fldChar w:fldCharType="separate"/>
            </w:r>
            <w:r>
              <w:rPr>
                <w:noProof/>
                <w:webHidden/>
              </w:rPr>
              <w:t>12</w:t>
            </w:r>
            <w:r>
              <w:rPr>
                <w:noProof/>
                <w:webHidden/>
              </w:rPr>
              <w:fldChar w:fldCharType="end"/>
            </w:r>
          </w:hyperlink>
        </w:p>
        <w:p w14:paraId="4C7A0FB9" w14:textId="0CC95174"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7" w:history="1">
            <w:r w:rsidRPr="00290814">
              <w:rPr>
                <w:rStyle w:val="Hyperlink"/>
                <w:noProof/>
              </w:rPr>
              <w:t>Representatives under the Quality of Care Principles 2014</w:t>
            </w:r>
            <w:r>
              <w:rPr>
                <w:noProof/>
                <w:webHidden/>
              </w:rPr>
              <w:tab/>
            </w:r>
            <w:r>
              <w:rPr>
                <w:noProof/>
                <w:webHidden/>
              </w:rPr>
              <w:fldChar w:fldCharType="begin"/>
            </w:r>
            <w:r>
              <w:rPr>
                <w:noProof/>
                <w:webHidden/>
              </w:rPr>
              <w:instrText xml:space="preserve"> PAGEREF _Toc208321387 \h </w:instrText>
            </w:r>
            <w:r>
              <w:rPr>
                <w:noProof/>
                <w:webHidden/>
              </w:rPr>
            </w:r>
            <w:r>
              <w:rPr>
                <w:noProof/>
                <w:webHidden/>
              </w:rPr>
              <w:fldChar w:fldCharType="separate"/>
            </w:r>
            <w:r>
              <w:rPr>
                <w:noProof/>
                <w:webHidden/>
              </w:rPr>
              <w:t>12</w:t>
            </w:r>
            <w:r>
              <w:rPr>
                <w:noProof/>
                <w:webHidden/>
              </w:rPr>
              <w:fldChar w:fldCharType="end"/>
            </w:r>
          </w:hyperlink>
        </w:p>
        <w:p w14:paraId="01BA13C3" w14:textId="0619388F"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8" w:history="1">
            <w:r w:rsidRPr="00290814">
              <w:rPr>
                <w:rStyle w:val="Hyperlink"/>
                <w:noProof/>
              </w:rPr>
              <w:t>Physical settings</w:t>
            </w:r>
            <w:r>
              <w:rPr>
                <w:noProof/>
                <w:webHidden/>
              </w:rPr>
              <w:tab/>
            </w:r>
            <w:r>
              <w:rPr>
                <w:noProof/>
                <w:webHidden/>
              </w:rPr>
              <w:fldChar w:fldCharType="begin"/>
            </w:r>
            <w:r>
              <w:rPr>
                <w:noProof/>
                <w:webHidden/>
              </w:rPr>
              <w:instrText xml:space="preserve"> PAGEREF _Toc208321388 \h </w:instrText>
            </w:r>
            <w:r>
              <w:rPr>
                <w:noProof/>
                <w:webHidden/>
              </w:rPr>
            </w:r>
            <w:r>
              <w:rPr>
                <w:noProof/>
                <w:webHidden/>
              </w:rPr>
              <w:fldChar w:fldCharType="separate"/>
            </w:r>
            <w:r>
              <w:rPr>
                <w:noProof/>
                <w:webHidden/>
              </w:rPr>
              <w:t>13</w:t>
            </w:r>
            <w:r>
              <w:rPr>
                <w:noProof/>
                <w:webHidden/>
              </w:rPr>
              <w:fldChar w:fldCharType="end"/>
            </w:r>
          </w:hyperlink>
        </w:p>
        <w:p w14:paraId="5A94D45D" w14:textId="35047980" w:rsidR="00600479" w:rsidRDefault="00600479">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89" w:history="1">
            <w:r w:rsidRPr="00290814">
              <w:rPr>
                <w:rStyle w:val="Hyperlink"/>
                <w:rFonts w:eastAsia="Arial"/>
                <w:noProof/>
              </w:rPr>
              <w:t>Other resources</w:t>
            </w:r>
            <w:r>
              <w:rPr>
                <w:noProof/>
                <w:webHidden/>
              </w:rPr>
              <w:tab/>
            </w:r>
            <w:r>
              <w:rPr>
                <w:noProof/>
                <w:webHidden/>
              </w:rPr>
              <w:fldChar w:fldCharType="begin"/>
            </w:r>
            <w:r>
              <w:rPr>
                <w:noProof/>
                <w:webHidden/>
              </w:rPr>
              <w:instrText xml:space="preserve"> PAGEREF _Toc208321389 \h </w:instrText>
            </w:r>
            <w:r>
              <w:rPr>
                <w:noProof/>
                <w:webHidden/>
              </w:rPr>
            </w:r>
            <w:r>
              <w:rPr>
                <w:noProof/>
                <w:webHidden/>
              </w:rPr>
              <w:fldChar w:fldCharType="separate"/>
            </w:r>
            <w:r>
              <w:rPr>
                <w:noProof/>
                <w:webHidden/>
              </w:rPr>
              <w:t>13</w:t>
            </w:r>
            <w:r>
              <w:rPr>
                <w:noProof/>
                <w:webHidden/>
              </w:rPr>
              <w:fldChar w:fldCharType="end"/>
            </w:r>
          </w:hyperlink>
        </w:p>
        <w:p w14:paraId="1AA3DA4B" w14:textId="678BF4E7" w:rsidR="00600479" w:rsidRDefault="00600479">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90" w:history="1">
            <w:r w:rsidRPr="00290814">
              <w:rPr>
                <w:rStyle w:val="Hyperlink"/>
                <w:rFonts w:eastAsia="Arial"/>
                <w:noProof/>
              </w:rPr>
              <w:t>Support for carers</w:t>
            </w:r>
            <w:r>
              <w:rPr>
                <w:noProof/>
                <w:webHidden/>
              </w:rPr>
              <w:tab/>
            </w:r>
            <w:r>
              <w:rPr>
                <w:noProof/>
                <w:webHidden/>
              </w:rPr>
              <w:fldChar w:fldCharType="begin"/>
            </w:r>
            <w:r>
              <w:rPr>
                <w:noProof/>
                <w:webHidden/>
              </w:rPr>
              <w:instrText xml:space="preserve"> PAGEREF _Toc208321390 \h </w:instrText>
            </w:r>
            <w:r>
              <w:rPr>
                <w:noProof/>
                <w:webHidden/>
              </w:rPr>
            </w:r>
            <w:r>
              <w:rPr>
                <w:noProof/>
                <w:webHidden/>
              </w:rPr>
              <w:fldChar w:fldCharType="separate"/>
            </w:r>
            <w:r>
              <w:rPr>
                <w:noProof/>
                <w:webHidden/>
              </w:rPr>
              <w:t>14</w:t>
            </w:r>
            <w:r>
              <w:rPr>
                <w:noProof/>
                <w:webHidden/>
              </w:rPr>
              <w:fldChar w:fldCharType="end"/>
            </w:r>
          </w:hyperlink>
        </w:p>
        <w:p w14:paraId="1AFA25F2" w14:textId="35465A0F"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91" w:history="1">
            <w:r w:rsidRPr="00290814">
              <w:rPr>
                <w:rStyle w:val="Hyperlink"/>
                <w:noProof/>
              </w:rPr>
              <w:t>Audience</w:t>
            </w:r>
            <w:r>
              <w:rPr>
                <w:noProof/>
                <w:webHidden/>
              </w:rPr>
              <w:tab/>
            </w:r>
            <w:r>
              <w:rPr>
                <w:noProof/>
                <w:webHidden/>
              </w:rPr>
              <w:fldChar w:fldCharType="begin"/>
            </w:r>
            <w:r>
              <w:rPr>
                <w:noProof/>
                <w:webHidden/>
              </w:rPr>
              <w:instrText xml:space="preserve"> PAGEREF _Toc208321391 \h </w:instrText>
            </w:r>
            <w:r>
              <w:rPr>
                <w:noProof/>
                <w:webHidden/>
              </w:rPr>
            </w:r>
            <w:r>
              <w:rPr>
                <w:noProof/>
                <w:webHidden/>
              </w:rPr>
              <w:fldChar w:fldCharType="separate"/>
            </w:r>
            <w:r>
              <w:rPr>
                <w:noProof/>
                <w:webHidden/>
              </w:rPr>
              <w:t>14</w:t>
            </w:r>
            <w:r>
              <w:rPr>
                <w:noProof/>
                <w:webHidden/>
              </w:rPr>
              <w:fldChar w:fldCharType="end"/>
            </w:r>
          </w:hyperlink>
        </w:p>
        <w:p w14:paraId="098E7F52" w14:textId="18D31DBB"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92" w:history="1">
            <w:r w:rsidRPr="00290814">
              <w:rPr>
                <w:rStyle w:val="Hyperlink"/>
                <w:noProof/>
              </w:rPr>
              <w:t>Contact</w:t>
            </w:r>
            <w:r>
              <w:rPr>
                <w:noProof/>
                <w:webHidden/>
              </w:rPr>
              <w:tab/>
            </w:r>
            <w:r>
              <w:rPr>
                <w:noProof/>
                <w:webHidden/>
              </w:rPr>
              <w:fldChar w:fldCharType="begin"/>
            </w:r>
            <w:r>
              <w:rPr>
                <w:noProof/>
                <w:webHidden/>
              </w:rPr>
              <w:instrText xml:space="preserve"> PAGEREF _Toc208321392 \h </w:instrText>
            </w:r>
            <w:r>
              <w:rPr>
                <w:noProof/>
                <w:webHidden/>
              </w:rPr>
            </w:r>
            <w:r>
              <w:rPr>
                <w:noProof/>
                <w:webHidden/>
              </w:rPr>
              <w:fldChar w:fldCharType="separate"/>
            </w:r>
            <w:r>
              <w:rPr>
                <w:noProof/>
                <w:webHidden/>
              </w:rPr>
              <w:t>14</w:t>
            </w:r>
            <w:r>
              <w:rPr>
                <w:noProof/>
                <w:webHidden/>
              </w:rPr>
              <w:fldChar w:fldCharType="end"/>
            </w:r>
          </w:hyperlink>
        </w:p>
        <w:p w14:paraId="3AB72E6D" w14:textId="0085D376"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93" w:history="1">
            <w:r w:rsidRPr="00290814">
              <w:rPr>
                <w:rStyle w:val="Hyperlink"/>
                <w:noProof/>
              </w:rPr>
              <w:t>Definitions</w:t>
            </w:r>
            <w:r>
              <w:rPr>
                <w:noProof/>
                <w:webHidden/>
              </w:rPr>
              <w:tab/>
            </w:r>
            <w:r>
              <w:rPr>
                <w:noProof/>
                <w:webHidden/>
              </w:rPr>
              <w:fldChar w:fldCharType="begin"/>
            </w:r>
            <w:r>
              <w:rPr>
                <w:noProof/>
                <w:webHidden/>
              </w:rPr>
              <w:instrText xml:space="preserve"> PAGEREF _Toc208321393 \h </w:instrText>
            </w:r>
            <w:r>
              <w:rPr>
                <w:noProof/>
                <w:webHidden/>
              </w:rPr>
            </w:r>
            <w:r>
              <w:rPr>
                <w:noProof/>
                <w:webHidden/>
              </w:rPr>
              <w:fldChar w:fldCharType="separate"/>
            </w:r>
            <w:r>
              <w:rPr>
                <w:noProof/>
                <w:webHidden/>
              </w:rPr>
              <w:t>14</w:t>
            </w:r>
            <w:r>
              <w:rPr>
                <w:noProof/>
                <w:webHidden/>
              </w:rPr>
              <w:fldChar w:fldCharType="end"/>
            </w:r>
          </w:hyperlink>
        </w:p>
        <w:p w14:paraId="207CE9EF" w14:textId="188F5D68" w:rsidR="00600479" w:rsidRDefault="0060047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08321394" w:history="1">
            <w:r w:rsidRPr="00290814">
              <w:rPr>
                <w:rStyle w:val="Hyperlink"/>
                <w:noProof/>
              </w:rPr>
              <w:t>Related legislation and conventions</w:t>
            </w:r>
            <w:r>
              <w:rPr>
                <w:noProof/>
                <w:webHidden/>
              </w:rPr>
              <w:tab/>
            </w:r>
            <w:r>
              <w:rPr>
                <w:noProof/>
                <w:webHidden/>
              </w:rPr>
              <w:fldChar w:fldCharType="begin"/>
            </w:r>
            <w:r>
              <w:rPr>
                <w:noProof/>
                <w:webHidden/>
              </w:rPr>
              <w:instrText xml:space="preserve"> PAGEREF _Toc208321394 \h </w:instrText>
            </w:r>
            <w:r>
              <w:rPr>
                <w:noProof/>
                <w:webHidden/>
              </w:rPr>
            </w:r>
            <w:r>
              <w:rPr>
                <w:noProof/>
                <w:webHidden/>
              </w:rPr>
              <w:fldChar w:fldCharType="separate"/>
            </w:r>
            <w:r>
              <w:rPr>
                <w:noProof/>
                <w:webHidden/>
              </w:rPr>
              <w:t>14</w:t>
            </w:r>
            <w:r>
              <w:rPr>
                <w:noProof/>
                <w:webHidden/>
              </w:rPr>
              <w:fldChar w:fldCharType="end"/>
            </w:r>
          </w:hyperlink>
        </w:p>
        <w:p w14:paraId="395A48FB" w14:textId="1194114A" w:rsidR="00993DE7" w:rsidRDefault="00993DE7">
          <w:r>
            <w:rPr>
              <w:b/>
              <w:bCs/>
              <w:lang w:val="en-GB"/>
            </w:rPr>
            <w:fldChar w:fldCharType="end"/>
          </w:r>
        </w:p>
      </w:sdtContent>
    </w:sdt>
    <w:p w14:paraId="46CB46C5" w14:textId="17F24D5E" w:rsidR="002E2C12" w:rsidRDefault="00993DE7" w:rsidP="002436A9">
      <w:pPr>
        <w:pStyle w:val="Heading1"/>
      </w:pPr>
      <w:r>
        <w:br w:type="page"/>
      </w:r>
      <w:bookmarkStart w:id="2" w:name="_Toc208321369"/>
      <w:r>
        <w:lastRenderedPageBreak/>
        <w:t>Policy</w:t>
      </w:r>
      <w:bookmarkEnd w:id="2"/>
    </w:p>
    <w:p w14:paraId="6E8ED77B" w14:textId="5B95A116" w:rsidR="00061973" w:rsidRDefault="00061973" w:rsidP="00061973">
      <w:pPr>
        <w:pStyle w:val="Heading2"/>
      </w:pPr>
      <w:bookmarkStart w:id="3" w:name="_Toc208321370"/>
      <w:r>
        <w:t>Supported decision-making</w:t>
      </w:r>
      <w:bookmarkEnd w:id="3"/>
      <w:r>
        <w:t xml:space="preserve"> </w:t>
      </w:r>
    </w:p>
    <w:p w14:paraId="78ED852A" w14:textId="684859EA" w:rsidR="00061973" w:rsidRDefault="00061973" w:rsidP="00061973">
      <w:pPr>
        <w:rPr>
          <w:rFonts w:cs="Arial"/>
        </w:rPr>
      </w:pPr>
      <w:r w:rsidRPr="006A76DF">
        <w:rPr>
          <w:rFonts w:cs="Arial"/>
        </w:rPr>
        <w:t xml:space="preserve">Everyone has the right to make decisions about their life, including the support and services they receive from aged care. </w:t>
      </w:r>
      <w:r w:rsidR="00A9193D" w:rsidRPr="66E88A25">
        <w:rPr>
          <w:rFonts w:cs="Arial"/>
        </w:rPr>
        <w:t xml:space="preserve">Some </w:t>
      </w:r>
      <w:r w:rsidR="00A9193D">
        <w:rPr>
          <w:rFonts w:cs="Arial"/>
        </w:rPr>
        <w:t xml:space="preserve">older </w:t>
      </w:r>
      <w:r w:rsidR="00A9193D" w:rsidRPr="66E88A25">
        <w:rPr>
          <w:rFonts w:cs="Arial"/>
        </w:rPr>
        <w:t xml:space="preserve">people may want or need support </w:t>
      </w:r>
      <w:r w:rsidR="00A9193D">
        <w:rPr>
          <w:rFonts w:cs="Arial"/>
        </w:rPr>
        <w:t xml:space="preserve">to make these decisions. </w:t>
      </w:r>
      <w:bookmarkStart w:id="4" w:name="_Hlk193278643"/>
    </w:p>
    <w:p w14:paraId="130787E3" w14:textId="396F10B5" w:rsidR="00591FFE" w:rsidRPr="00591FFE" w:rsidRDefault="00061973" w:rsidP="00591FFE">
      <w:pPr>
        <w:shd w:val="clear" w:color="auto" w:fill="D0EAED" w:themeFill="accent2" w:themeFillTint="33"/>
        <w:jc w:val="center"/>
        <w:rPr>
          <w:rFonts w:cs="Arial"/>
          <w:b/>
          <w:bCs/>
        </w:rPr>
      </w:pPr>
      <w:r w:rsidRPr="00DE4B82" w:rsidDel="00D331D7">
        <w:rPr>
          <w:rFonts w:cs="Arial"/>
          <w:b/>
          <w:bCs/>
        </w:rPr>
        <w:t xml:space="preserve">Supported decision-making </w:t>
      </w:r>
      <w:r w:rsidR="00591FFE" w:rsidRPr="00591FFE">
        <w:rPr>
          <w:rFonts w:cs="Arial"/>
          <w:b/>
          <w:bCs/>
        </w:rPr>
        <w:t>refers to processes and approaches that enable people to exercise their legal capacity, including making or communicating their decisions, will</w:t>
      </w:r>
      <w:r w:rsidR="002F27A9">
        <w:rPr>
          <w:rFonts w:cs="Arial"/>
          <w:b/>
          <w:bCs/>
        </w:rPr>
        <w:t>,</w:t>
      </w:r>
      <w:r w:rsidR="00591FFE" w:rsidRPr="00591FFE">
        <w:rPr>
          <w:rFonts w:cs="Arial"/>
          <w:b/>
          <w:bCs/>
        </w:rPr>
        <w:t xml:space="preserve"> and preferences, by provision of the support they may want or need to do so. This support may involve a range of persons, services, and assistive technologies.</w:t>
      </w:r>
    </w:p>
    <w:p w14:paraId="4B1A8349" w14:textId="07B5370A" w:rsidR="00061973" w:rsidRPr="00DE4B82" w:rsidRDefault="00591FFE" w:rsidP="00710BFC">
      <w:pPr>
        <w:shd w:val="clear" w:color="auto" w:fill="D0EAED" w:themeFill="accent2" w:themeFillTint="33"/>
        <w:jc w:val="center"/>
        <w:rPr>
          <w:rFonts w:cs="Arial"/>
          <w:b/>
          <w:bCs/>
        </w:rPr>
      </w:pPr>
      <w:r w:rsidRPr="00591FFE">
        <w:rPr>
          <w:rFonts w:cs="Arial"/>
          <w:b/>
          <w:bCs/>
        </w:rPr>
        <w:t xml:space="preserve"> Supported decision-making does not mean making a decision for, or on behalf of, another person.</w:t>
      </w:r>
      <w:bookmarkEnd w:id="4"/>
    </w:p>
    <w:p w14:paraId="5B308A00" w14:textId="706BF07F" w:rsidR="00EC0222" w:rsidRDefault="00F76141" w:rsidP="00061973">
      <w:r>
        <w:t>Supported decision-making</w:t>
      </w:r>
      <w:r w:rsidR="00EF5654" w:rsidRPr="00EF5654">
        <w:t xml:space="preserve"> starts from the </w:t>
      </w:r>
      <w:r w:rsidR="00EF5654">
        <w:t>understanding</w:t>
      </w:r>
      <w:r w:rsidR="00EF5654" w:rsidRPr="00EF5654">
        <w:t xml:space="preserve"> that everyone </w:t>
      </w:r>
      <w:r w:rsidR="00FB21C5" w:rsidRPr="00EF5654">
        <w:t>can</w:t>
      </w:r>
      <w:r w:rsidR="00EF5654" w:rsidRPr="00EF5654">
        <w:t xml:space="preserve"> make decisions and should be supported to do so.</w:t>
      </w:r>
      <w:r w:rsidR="00EF5654">
        <w:t xml:space="preserve"> </w:t>
      </w:r>
      <w:r w:rsidR="00FB21C5">
        <w:t>I</w:t>
      </w:r>
      <w:r w:rsidR="1E7EA4BD" w:rsidRPr="5EABD9FC">
        <w:rPr>
          <w:rFonts w:eastAsia="Arial" w:cs="Arial"/>
          <w:szCs w:val="22"/>
        </w:rPr>
        <w:t xml:space="preserve">t involves </w:t>
      </w:r>
      <w:r w:rsidR="77811FD9">
        <w:t>asking</w:t>
      </w:r>
      <w:r w:rsidR="00F05C73">
        <w:t xml:space="preserve"> an older person </w:t>
      </w:r>
      <w:r w:rsidR="00396091">
        <w:t xml:space="preserve">if they </w:t>
      </w:r>
      <w:r w:rsidR="00F05C73">
        <w:t>would like supports</w:t>
      </w:r>
      <w:r w:rsidR="00396091">
        <w:t xml:space="preserve"> to make</w:t>
      </w:r>
      <w:r w:rsidR="00B25B77">
        <w:t xml:space="preserve"> or communicate</w:t>
      </w:r>
      <w:r w:rsidR="00396091">
        <w:t xml:space="preserve"> a decision</w:t>
      </w:r>
      <w:r w:rsidR="00F05C73">
        <w:t>, and if so,</w:t>
      </w:r>
      <w:r w:rsidR="00061973">
        <w:t xml:space="preserve"> what supports </w:t>
      </w:r>
      <w:r w:rsidR="00396091">
        <w:t>the</w:t>
      </w:r>
      <w:r w:rsidR="001356B0">
        <w:t xml:space="preserve"> </w:t>
      </w:r>
      <w:r w:rsidR="00061973">
        <w:t xml:space="preserve">older person </w:t>
      </w:r>
      <w:r w:rsidR="00B57949">
        <w:t>wants</w:t>
      </w:r>
      <w:r w:rsidR="00061973">
        <w:t>.</w:t>
      </w:r>
      <w:r w:rsidR="00EF5654" w:rsidRPr="00EF5654">
        <w:t xml:space="preserve"> </w:t>
      </w:r>
      <w:r w:rsidR="00061973">
        <w:t xml:space="preserve">As such, it focuses on older people being supported, only to the extent necessary, to make </w:t>
      </w:r>
      <w:r w:rsidR="00905931">
        <w:t xml:space="preserve">their own </w:t>
      </w:r>
      <w:r w:rsidR="00061973">
        <w:t xml:space="preserve">decisions. </w:t>
      </w:r>
    </w:p>
    <w:p w14:paraId="18A87818" w14:textId="277B16FE" w:rsidR="003A4A87" w:rsidRDefault="003A4A87" w:rsidP="00061973">
      <w:r w:rsidRPr="003A4A87">
        <w:t>A wide range of practices can be used to assist people to make decisions and respect their will and preferences.</w:t>
      </w:r>
      <w:r w:rsidR="007E0D15">
        <w:t xml:space="preserve"> </w:t>
      </w:r>
      <w:r w:rsidRPr="003A4A87">
        <w:t>Supported decision-making can take different forms</w:t>
      </w:r>
      <w:r w:rsidR="007E0D15">
        <w:t xml:space="preserve">, including </w:t>
      </w:r>
      <w:r w:rsidRPr="003A4A87">
        <w:t>through</w:t>
      </w:r>
      <w:r w:rsidR="007E0D15">
        <w:t xml:space="preserve"> </w:t>
      </w:r>
      <w:r w:rsidR="00480D3E">
        <w:t xml:space="preserve">having a support person or someone to assist an older person in communicating their will and preference, </w:t>
      </w:r>
      <w:r w:rsidR="00753F9E">
        <w:t>universal design and accessibility measures, recognition of diverse, non-conventional methods of communication</w:t>
      </w:r>
      <w:r w:rsidR="00024680">
        <w:t>, and advance</w:t>
      </w:r>
      <w:r w:rsidR="00107207">
        <w:t xml:space="preserve"> care</w:t>
      </w:r>
      <w:r w:rsidR="00024680">
        <w:t xml:space="preserve"> planning so that an older person’s will and preferences are known.</w:t>
      </w:r>
      <w:r w:rsidR="00512F18">
        <w:rPr>
          <w:rStyle w:val="EndnoteReference"/>
        </w:rPr>
        <w:endnoteReference w:id="2"/>
      </w:r>
    </w:p>
    <w:p w14:paraId="1102015F" w14:textId="7316DE36" w:rsidR="005519DA" w:rsidRDefault="005519DA" w:rsidP="00061973">
      <w:r w:rsidRPr="005519DA">
        <w:t xml:space="preserve">The research report </w:t>
      </w:r>
      <w:r w:rsidRPr="1662FCD6">
        <w:rPr>
          <w:i/>
          <w:iCs/>
        </w:rPr>
        <w:t>Diversity, dignity, equity and best practice: A framework for supported decision-making</w:t>
      </w:r>
      <w:r w:rsidRPr="005519DA">
        <w:t xml:space="preserve"> found </w:t>
      </w:r>
      <w:r w:rsidRPr="008B5CB9">
        <w:rPr>
          <w:szCs w:val="22"/>
        </w:rPr>
        <w:t>that</w:t>
      </w:r>
      <w:r w:rsidR="008E546E">
        <w:rPr>
          <w:szCs w:val="22"/>
        </w:rPr>
        <w:t>,</w:t>
      </w:r>
      <w:r w:rsidRPr="008B5CB9">
        <w:rPr>
          <w:szCs w:val="22"/>
        </w:rPr>
        <w:t xml:space="preserve"> </w:t>
      </w:r>
      <w:r w:rsidR="4C972966" w:rsidRPr="008B5CB9">
        <w:rPr>
          <w:szCs w:val="22"/>
        </w:rPr>
        <w:t>in</w:t>
      </w:r>
      <w:r w:rsidR="4C972966" w:rsidRPr="008B5CB9">
        <w:rPr>
          <w:rFonts w:eastAsia="Arial" w:cs="Arial"/>
          <w:color w:val="252525"/>
          <w:szCs w:val="22"/>
        </w:rPr>
        <w:t xml:space="preserve"> the lives of people with cognitive </w:t>
      </w:r>
      <w:r w:rsidR="00BC16DA" w:rsidRPr="008B5CB9">
        <w:rPr>
          <w:rFonts w:eastAsia="Arial" w:cs="Arial"/>
          <w:color w:val="252525"/>
          <w:szCs w:val="22"/>
        </w:rPr>
        <w:t>disabilit</w:t>
      </w:r>
      <w:r w:rsidR="00BC16DA">
        <w:rPr>
          <w:rFonts w:eastAsia="Arial" w:cs="Arial"/>
          <w:color w:val="252525"/>
          <w:szCs w:val="22"/>
        </w:rPr>
        <w:t>y</w:t>
      </w:r>
      <w:r w:rsidR="008E546E">
        <w:rPr>
          <w:rFonts w:eastAsia="Arial" w:cs="Arial"/>
          <w:color w:val="252525"/>
          <w:szCs w:val="22"/>
        </w:rPr>
        <w:t>,</w:t>
      </w:r>
      <w:r w:rsidR="00BC16DA" w:rsidRPr="008B5CB9">
        <w:rPr>
          <w:szCs w:val="22"/>
        </w:rPr>
        <w:t xml:space="preserve"> </w:t>
      </w:r>
      <w:r w:rsidRPr="008B5CB9">
        <w:rPr>
          <w:szCs w:val="22"/>
        </w:rPr>
        <w:t>supported decision-making provide</w:t>
      </w:r>
      <w:r w:rsidR="00BC16DA">
        <w:rPr>
          <w:szCs w:val="22"/>
        </w:rPr>
        <w:t>d</w:t>
      </w:r>
      <w:r w:rsidRPr="008B5CB9">
        <w:rPr>
          <w:sz w:val="20"/>
          <w:szCs w:val="20"/>
        </w:rPr>
        <w:t>:</w:t>
      </w:r>
      <w:r>
        <w:rPr>
          <w:rStyle w:val="EndnoteReference"/>
        </w:rPr>
        <w:endnoteReference w:id="3"/>
      </w:r>
    </w:p>
    <w:p w14:paraId="48903CF7" w14:textId="7E012C4C" w:rsidR="005519DA" w:rsidRDefault="005519DA" w:rsidP="00BC16DA">
      <w:pPr>
        <w:pStyle w:val="ListParagraph"/>
        <w:numPr>
          <w:ilvl w:val="0"/>
          <w:numId w:val="22"/>
        </w:numPr>
      </w:pPr>
      <w:r w:rsidRPr="005519DA">
        <w:t xml:space="preserve">greater exercise of choice and control </w:t>
      </w:r>
    </w:p>
    <w:p w14:paraId="3ADE1657" w14:textId="77777777" w:rsidR="005519DA" w:rsidRDefault="005519DA" w:rsidP="007742D7">
      <w:pPr>
        <w:pStyle w:val="ListParagraph"/>
        <w:numPr>
          <w:ilvl w:val="0"/>
          <w:numId w:val="22"/>
        </w:numPr>
      </w:pPr>
      <w:r w:rsidRPr="005519DA">
        <w:t>support to navigate complex systems</w:t>
      </w:r>
    </w:p>
    <w:p w14:paraId="06C3F401" w14:textId="77777777" w:rsidR="005519DA" w:rsidRDefault="005519DA" w:rsidP="007742D7">
      <w:pPr>
        <w:pStyle w:val="ListParagraph"/>
        <w:numPr>
          <w:ilvl w:val="0"/>
          <w:numId w:val="22"/>
        </w:numPr>
      </w:pPr>
      <w:r w:rsidRPr="005519DA">
        <w:t xml:space="preserve">assistance to understand information and explore a broad range of options </w:t>
      </w:r>
    </w:p>
    <w:p w14:paraId="4E348063" w14:textId="1325C18D" w:rsidR="005519DA" w:rsidRDefault="005519DA" w:rsidP="007742D7">
      <w:pPr>
        <w:pStyle w:val="ListParagraph"/>
        <w:numPr>
          <w:ilvl w:val="0"/>
          <w:numId w:val="22"/>
        </w:numPr>
      </w:pPr>
      <w:r>
        <w:t>increased opportunities to make decisions</w:t>
      </w:r>
      <w:r w:rsidR="7FAF16CD">
        <w:t>, and</w:t>
      </w:r>
    </w:p>
    <w:p w14:paraId="1F4D05D1" w14:textId="246EC74E" w:rsidR="005519DA" w:rsidRDefault="005519DA" w:rsidP="007742D7">
      <w:pPr>
        <w:pStyle w:val="ListParagraph"/>
        <w:numPr>
          <w:ilvl w:val="0"/>
          <w:numId w:val="22"/>
        </w:numPr>
      </w:pPr>
      <w:r w:rsidRPr="005519DA">
        <w:t xml:space="preserve">a greater likelihood that decisions would reflect </w:t>
      </w:r>
      <w:r>
        <w:t xml:space="preserve">a person’s will and </w:t>
      </w:r>
      <w:r w:rsidRPr="005519DA">
        <w:t>preferences.</w:t>
      </w:r>
    </w:p>
    <w:p w14:paraId="50C7A150" w14:textId="75D8A6AC" w:rsidR="00A7349E" w:rsidRPr="00670570" w:rsidRDefault="00A7349E" w:rsidP="5B722F03">
      <w:pPr>
        <w:rPr>
          <w:rFonts w:cs="Arial"/>
          <w:lang w:eastAsia="en-AU"/>
        </w:rPr>
      </w:pPr>
      <w:r>
        <w:rPr>
          <w:rFonts w:cs="Arial"/>
          <w:lang w:eastAsia="en-AU"/>
        </w:rPr>
        <w:t>To learn more about supported</w:t>
      </w:r>
      <w:r w:rsidR="000B3C9D">
        <w:rPr>
          <w:rFonts w:cs="Arial"/>
          <w:lang w:eastAsia="en-AU"/>
        </w:rPr>
        <w:t xml:space="preserve"> </w:t>
      </w:r>
      <w:r>
        <w:rPr>
          <w:rFonts w:cs="Arial"/>
          <w:lang w:eastAsia="en-AU"/>
        </w:rPr>
        <w:t>decision</w:t>
      </w:r>
      <w:r w:rsidR="007D1C15">
        <w:rPr>
          <w:rFonts w:cs="Arial"/>
          <w:lang w:eastAsia="en-AU"/>
        </w:rPr>
        <w:t>-</w:t>
      </w:r>
      <w:r>
        <w:rPr>
          <w:rFonts w:cs="Arial"/>
          <w:lang w:eastAsia="en-AU"/>
        </w:rPr>
        <w:t>making</w:t>
      </w:r>
      <w:r w:rsidR="0079668D">
        <w:rPr>
          <w:rFonts w:cs="Arial"/>
          <w:lang w:eastAsia="en-AU"/>
        </w:rPr>
        <w:t xml:space="preserve"> in aged care</w:t>
      </w:r>
      <w:r>
        <w:rPr>
          <w:rFonts w:cs="Arial"/>
          <w:lang w:eastAsia="en-AU"/>
        </w:rPr>
        <w:t>, v</w:t>
      </w:r>
      <w:r w:rsidRPr="00A7349E">
        <w:rPr>
          <w:rFonts w:cs="Arial"/>
          <w:lang w:eastAsia="en-AU"/>
        </w:rPr>
        <w:t xml:space="preserve">isit </w:t>
      </w:r>
      <w:r>
        <w:rPr>
          <w:rFonts w:cs="Arial"/>
          <w:lang w:eastAsia="en-AU"/>
        </w:rPr>
        <w:t xml:space="preserve">the </w:t>
      </w:r>
      <w:r w:rsidRPr="00A7349E">
        <w:rPr>
          <w:rFonts w:cs="Arial"/>
          <w:lang w:eastAsia="en-AU"/>
        </w:rPr>
        <w:t>O</w:t>
      </w:r>
      <w:r>
        <w:rPr>
          <w:rFonts w:cs="Arial"/>
          <w:lang w:eastAsia="en-AU"/>
        </w:rPr>
        <w:t xml:space="preserve">lder </w:t>
      </w:r>
      <w:r w:rsidRPr="00A7349E">
        <w:rPr>
          <w:rFonts w:cs="Arial"/>
          <w:lang w:eastAsia="en-AU"/>
        </w:rPr>
        <w:t>P</w:t>
      </w:r>
      <w:r>
        <w:rPr>
          <w:rFonts w:cs="Arial"/>
          <w:lang w:eastAsia="en-AU"/>
        </w:rPr>
        <w:t xml:space="preserve">ersons </w:t>
      </w:r>
      <w:r w:rsidRPr="00A7349E">
        <w:rPr>
          <w:rFonts w:cs="Arial"/>
          <w:lang w:eastAsia="en-AU"/>
        </w:rPr>
        <w:t>A</w:t>
      </w:r>
      <w:r>
        <w:rPr>
          <w:rFonts w:cs="Arial"/>
          <w:lang w:eastAsia="en-AU"/>
        </w:rPr>
        <w:t xml:space="preserve">dvocacy </w:t>
      </w:r>
      <w:r w:rsidRPr="00A7349E">
        <w:rPr>
          <w:rFonts w:cs="Arial"/>
          <w:lang w:eastAsia="en-AU"/>
        </w:rPr>
        <w:t>N</w:t>
      </w:r>
      <w:r>
        <w:rPr>
          <w:rFonts w:cs="Arial"/>
          <w:lang w:eastAsia="en-AU"/>
        </w:rPr>
        <w:t>etwork</w:t>
      </w:r>
      <w:r w:rsidRPr="00A7349E">
        <w:rPr>
          <w:rFonts w:cs="Arial"/>
          <w:lang w:eastAsia="en-AU"/>
        </w:rPr>
        <w:t>’s website to view their</w:t>
      </w:r>
      <w:r w:rsidR="5F143EB8" w:rsidRPr="5B722F03">
        <w:rPr>
          <w:rFonts w:cs="Arial"/>
          <w:lang w:eastAsia="en-AU"/>
        </w:rPr>
        <w:t>:</w:t>
      </w:r>
    </w:p>
    <w:p w14:paraId="749ABA81" w14:textId="642348C8" w:rsidR="00B0291C" w:rsidRDefault="00B0291C" w:rsidP="00061973">
      <w:pPr>
        <w:pStyle w:val="ListParagraph"/>
        <w:numPr>
          <w:ilvl w:val="0"/>
          <w:numId w:val="21"/>
        </w:numPr>
      </w:pPr>
      <w:r>
        <w:t xml:space="preserve">Supported Decision-Making Toolkit: </w:t>
      </w:r>
      <w:hyperlink r:id="rId11" w:history="1">
        <w:r w:rsidRPr="00DF1D3E">
          <w:rPr>
            <w:rStyle w:val="Hyperlink"/>
          </w:rPr>
          <w:t>opan.org.au/toolkit/supported-decision-making/</w:t>
        </w:r>
      </w:hyperlink>
      <w:r>
        <w:t>, and</w:t>
      </w:r>
    </w:p>
    <w:p w14:paraId="6164E938" w14:textId="3FDA8AFC" w:rsidR="00A7349E" w:rsidRPr="005C12DB" w:rsidRDefault="00B064CA" w:rsidP="2A0FD21A">
      <w:pPr>
        <w:pStyle w:val="ListParagraph"/>
        <w:numPr>
          <w:ilvl w:val="0"/>
          <w:numId w:val="21"/>
        </w:numPr>
        <w:rPr>
          <w:rFonts w:cs="Arial"/>
          <w:lang w:eastAsia="en-AU"/>
        </w:rPr>
      </w:pPr>
      <w:r>
        <w:rPr>
          <w:rFonts w:cs="Arial"/>
          <w:lang w:eastAsia="en-AU"/>
        </w:rPr>
        <w:t>Webinar on s</w:t>
      </w:r>
      <w:r w:rsidR="00A7349E" w:rsidRPr="2A0FD21A">
        <w:rPr>
          <w:rFonts w:cs="Arial"/>
          <w:lang w:eastAsia="en-AU"/>
        </w:rPr>
        <w:t xml:space="preserve">upported decision-making </w:t>
      </w:r>
      <w:r>
        <w:rPr>
          <w:rFonts w:cs="Arial"/>
          <w:lang w:eastAsia="en-AU"/>
        </w:rPr>
        <w:t xml:space="preserve">and the </w:t>
      </w:r>
      <w:r w:rsidR="00975E10">
        <w:rPr>
          <w:rFonts w:cs="Arial"/>
          <w:lang w:eastAsia="en-AU"/>
        </w:rPr>
        <w:t>new</w:t>
      </w:r>
      <w:r>
        <w:rPr>
          <w:rFonts w:cs="Arial"/>
          <w:lang w:eastAsia="en-AU"/>
        </w:rPr>
        <w:t xml:space="preserve"> Act</w:t>
      </w:r>
      <w:r w:rsidR="00BD4AF6">
        <w:rPr>
          <w:rFonts w:cs="Arial"/>
          <w:lang w:eastAsia="en-AU"/>
        </w:rPr>
        <w:t xml:space="preserve">: </w:t>
      </w:r>
      <w:hyperlink r:id="rId12" w:history="1">
        <w:r w:rsidR="00263689" w:rsidRPr="007B007F">
          <w:rPr>
            <w:rStyle w:val="Hyperlink"/>
            <w:rFonts w:cs="Arial"/>
            <w:lang w:eastAsia="en-AU"/>
          </w:rPr>
          <w:t>opan.org.au/video/decision-making/</w:t>
        </w:r>
      </w:hyperlink>
      <w:r w:rsidR="00263689">
        <w:rPr>
          <w:rFonts w:cs="Arial"/>
          <w:lang w:eastAsia="en-AU"/>
        </w:rPr>
        <w:t xml:space="preserve">. </w:t>
      </w:r>
    </w:p>
    <w:p w14:paraId="76BAB76B" w14:textId="0873EA3A" w:rsidR="00E8332C" w:rsidRPr="00E8332C" w:rsidRDefault="00E8332C" w:rsidP="00A775F2">
      <w:pPr>
        <w:pStyle w:val="Heading2"/>
      </w:pPr>
      <w:bookmarkStart w:id="5" w:name="_Toc208321371"/>
      <w:r w:rsidRPr="00A775F2">
        <w:t>New, rights-based Act</w:t>
      </w:r>
      <w:bookmarkEnd w:id="5"/>
      <w:r w:rsidRPr="00E8332C">
        <w:t> </w:t>
      </w:r>
    </w:p>
    <w:p w14:paraId="30F30CC5" w14:textId="53467D02" w:rsidR="00117A65" w:rsidRDefault="00117A65" w:rsidP="00E8332C">
      <w:r>
        <w:t>New aged care legislation commenced on 1 November 2025.</w:t>
      </w:r>
    </w:p>
    <w:p w14:paraId="2FFED4A4" w14:textId="7380D833" w:rsidR="00C268C4" w:rsidRDefault="00E8332C" w:rsidP="00E8332C">
      <w:r w:rsidRPr="00E8332C">
        <w:lastRenderedPageBreak/>
        <w:t xml:space="preserve">The </w:t>
      </w:r>
      <w:r w:rsidR="00403014">
        <w:t>Act</w:t>
      </w:r>
      <w:r w:rsidR="00496C95">
        <w:t xml:space="preserve"> </w:t>
      </w:r>
      <w:r w:rsidRPr="00E8332C">
        <w:t>establishes a modern rights-based</w:t>
      </w:r>
      <w:r w:rsidR="003D2DC7">
        <w:t>, person-centred</w:t>
      </w:r>
      <w:r w:rsidRPr="00E8332C">
        <w:t xml:space="preserve"> </w:t>
      </w:r>
      <w:r w:rsidR="009F7C39">
        <w:t>approach</w:t>
      </w:r>
      <w:r w:rsidRPr="00E8332C">
        <w:t xml:space="preserve"> that </w:t>
      </w:r>
      <w:r w:rsidR="005F4561">
        <w:t>prioritises</w:t>
      </w:r>
      <w:r w:rsidRPr="00E8332C">
        <w:t xml:space="preserve"> the safety, health and wellbeing of older people</w:t>
      </w:r>
      <w:r w:rsidR="002545D4">
        <w:t xml:space="preserve">. </w:t>
      </w:r>
      <w:r w:rsidR="003B2119">
        <w:t>As such, i</w:t>
      </w:r>
      <w:r w:rsidR="002545D4">
        <w:t>t</w:t>
      </w:r>
      <w:r w:rsidRPr="00E8332C">
        <w:t xml:space="preserve"> places </w:t>
      </w:r>
      <w:r w:rsidR="002545D4">
        <w:t>older people</w:t>
      </w:r>
      <w:r w:rsidR="0007102C">
        <w:t xml:space="preserve"> and </w:t>
      </w:r>
      <w:r w:rsidRPr="00E8332C">
        <w:t xml:space="preserve">their </w:t>
      </w:r>
      <w:r w:rsidR="0007102C">
        <w:t>wishes</w:t>
      </w:r>
      <w:r w:rsidRPr="00E8332C">
        <w:t xml:space="preserve"> at the centre of the aged care system. </w:t>
      </w:r>
    </w:p>
    <w:p w14:paraId="00607878" w14:textId="77777777" w:rsidR="009F4F5C" w:rsidRDefault="00C268C4" w:rsidP="25AE789B">
      <w:r>
        <w:t xml:space="preserve">The </w:t>
      </w:r>
      <w:r w:rsidR="006C4F4F">
        <w:t>Act</w:t>
      </w:r>
      <w:r w:rsidR="00E8332C" w:rsidRPr="00E8332C">
        <w:t xml:space="preserve"> responds to key Royal Commission </w:t>
      </w:r>
      <w:r w:rsidR="0B566B8B">
        <w:t>recommendations. This includes the</w:t>
      </w:r>
      <w:r w:rsidR="009F4F5C">
        <w:t>:</w:t>
      </w:r>
    </w:p>
    <w:p w14:paraId="4F026C51" w14:textId="45DFFCAA" w:rsidR="009F4F5C" w:rsidRPr="002436A9" w:rsidRDefault="00E8332C" w:rsidP="00C12FEC">
      <w:pPr>
        <w:pStyle w:val="ListParagraph"/>
        <w:numPr>
          <w:ilvl w:val="0"/>
          <w:numId w:val="10"/>
        </w:numPr>
        <w:ind w:left="426" w:hanging="357"/>
        <w:contextualSpacing w:val="0"/>
        <w:rPr>
          <w:rFonts w:eastAsia="Arial" w:cs="Arial"/>
          <w:szCs w:val="22"/>
        </w:rPr>
      </w:pPr>
      <w:r w:rsidRPr="009F4F5C">
        <w:rPr>
          <w:b/>
        </w:rPr>
        <w:t xml:space="preserve">Royal Commission into Aged Care and Quality </w:t>
      </w:r>
      <w:r w:rsidR="0071587E">
        <w:rPr>
          <w:b/>
        </w:rPr>
        <w:t xml:space="preserve">and </w:t>
      </w:r>
      <w:r w:rsidRPr="009F4F5C">
        <w:rPr>
          <w:b/>
        </w:rPr>
        <w:t>Safety</w:t>
      </w:r>
      <w:r w:rsidRPr="00E8332C">
        <w:t xml:space="preserve"> </w:t>
      </w:r>
      <w:r w:rsidR="2A4F7B71">
        <w:t xml:space="preserve">which </w:t>
      </w:r>
      <w:r>
        <w:t>recommend</w:t>
      </w:r>
      <w:r w:rsidR="15C5BBC6">
        <w:t>ed</w:t>
      </w:r>
      <w:r w:rsidRPr="00E8332C">
        <w:t xml:space="preserve"> that new</w:t>
      </w:r>
      <w:r w:rsidR="009F4F5C">
        <w:t xml:space="preserve"> aged care legislation</w:t>
      </w:r>
      <w:r w:rsidRPr="00E8332C">
        <w:t xml:space="preserve"> enable older people to exercise choice and control in their care, make decisions that affect their life and be supported in their decision-making to the fullest extent possible. </w:t>
      </w:r>
    </w:p>
    <w:p w14:paraId="229F7F02" w14:textId="391602DB" w:rsidR="00B269F1" w:rsidRPr="00E8332C" w:rsidRDefault="0ED93E48" w:rsidP="00C12FEC">
      <w:pPr>
        <w:pStyle w:val="ListParagraph"/>
        <w:numPr>
          <w:ilvl w:val="0"/>
          <w:numId w:val="10"/>
        </w:numPr>
        <w:ind w:left="426" w:hanging="357"/>
        <w:contextualSpacing w:val="0"/>
        <w:rPr>
          <w:rFonts w:eastAsia="Arial" w:cs="Arial"/>
          <w:szCs w:val="22"/>
        </w:rPr>
      </w:pPr>
      <w:r w:rsidRPr="009F4F5C">
        <w:rPr>
          <w:b/>
        </w:rPr>
        <w:t>Royal Commission into Violence, Abuse, Neglect and Exploitation of People with Disability</w:t>
      </w:r>
      <w:r>
        <w:t xml:space="preserve"> </w:t>
      </w:r>
      <w:r w:rsidR="002B681C">
        <w:t xml:space="preserve">which </w:t>
      </w:r>
      <w:r>
        <w:t>recommend</w:t>
      </w:r>
      <w:r w:rsidR="002B681C">
        <w:t>ed principles for</w:t>
      </w:r>
      <w:r>
        <w:t xml:space="preserve"> </w:t>
      </w:r>
      <w:r w:rsidR="51107081">
        <w:t xml:space="preserve">supported decision-making </w:t>
      </w:r>
      <w:r w:rsidR="002B681C">
        <w:t xml:space="preserve">be </w:t>
      </w:r>
      <w:r w:rsidR="006A7183">
        <w:t>ad</w:t>
      </w:r>
      <w:r w:rsidR="004A0095">
        <w:t>opted in Australian Government laws</w:t>
      </w:r>
      <w:r w:rsidR="005F4068">
        <w:t xml:space="preserve"> </w:t>
      </w:r>
      <w:r w:rsidR="005F4068" w:rsidRPr="005F4068">
        <w:t>concerning individual decision-making</w:t>
      </w:r>
      <w:r w:rsidR="51107081">
        <w:t xml:space="preserve">. </w:t>
      </w:r>
    </w:p>
    <w:p w14:paraId="40C4A8C1" w14:textId="7B28D385" w:rsidR="00B269F1" w:rsidRPr="00E8332C" w:rsidRDefault="51107081" w:rsidP="00E8332C">
      <w:pPr>
        <w:rPr>
          <w:rFonts w:eastAsia="Arial" w:cs="Arial"/>
          <w:szCs w:val="22"/>
        </w:rPr>
      </w:pPr>
      <w:r>
        <w:t>Additionally, the Act</w:t>
      </w:r>
      <w:r w:rsidR="00B269F1">
        <w:t xml:space="preserve"> </w:t>
      </w:r>
      <w:r w:rsidR="002742E7">
        <w:t>reflects</w:t>
      </w:r>
      <w:r w:rsidR="00B269F1">
        <w:t xml:space="preserve"> </w:t>
      </w:r>
      <w:r w:rsidR="00B269F1" w:rsidRPr="00B269F1">
        <w:t>Australia</w:t>
      </w:r>
      <w:r w:rsidR="00B269F1">
        <w:t xml:space="preserve">’s </w:t>
      </w:r>
      <w:r w:rsidR="00B269F1" w:rsidRPr="00B269F1">
        <w:t xml:space="preserve">obligations </w:t>
      </w:r>
      <w:r w:rsidR="002742E7">
        <w:t>under</w:t>
      </w:r>
      <w:r w:rsidR="00D67326">
        <w:t xml:space="preserve"> international instruments</w:t>
      </w:r>
      <w:r w:rsidR="005F4EF1">
        <w:t xml:space="preserve"> that engage older people</w:t>
      </w:r>
      <w:r w:rsidR="00D67326">
        <w:t>, such as</w:t>
      </w:r>
      <w:r w:rsidR="002742E7">
        <w:t xml:space="preserve"> the </w:t>
      </w:r>
      <w:r w:rsidR="002742E7" w:rsidRPr="00C83BAB">
        <w:t>Convention on the Rights of Persons with Disabilities</w:t>
      </w:r>
      <w:r w:rsidR="00D67326">
        <w:t xml:space="preserve"> (</w:t>
      </w:r>
      <w:r w:rsidR="008A5365">
        <w:t>CRPD).</w:t>
      </w:r>
      <w:r w:rsidR="26391A02">
        <w:t xml:space="preserve"> The CRPD </w:t>
      </w:r>
      <w:r w:rsidR="26391A02" w:rsidRPr="25AE789B">
        <w:rPr>
          <w:rFonts w:eastAsia="Arial" w:cs="Arial"/>
          <w:szCs w:val="22"/>
        </w:rPr>
        <w:t xml:space="preserve">outlines the rights of people with disability </w:t>
      </w:r>
      <w:r w:rsidR="00820489">
        <w:rPr>
          <w:rFonts w:eastAsia="Arial" w:cs="Arial"/>
          <w:szCs w:val="22"/>
        </w:rPr>
        <w:t xml:space="preserve">to </w:t>
      </w:r>
      <w:r w:rsidR="26391A02" w:rsidRPr="25AE789B">
        <w:rPr>
          <w:rFonts w:eastAsia="Arial" w:cs="Arial"/>
          <w:szCs w:val="22"/>
        </w:rPr>
        <w:t>dignity, autonomy, decision making, and recognition of legal capacity.</w:t>
      </w:r>
      <w:r w:rsidR="00D72258" w:rsidRPr="00D72258">
        <w:t xml:space="preserve"> </w:t>
      </w:r>
      <w:r w:rsidR="00D72258">
        <w:t>Relevant to aged care, the CRPD recognises people with cognitive disability such as dementia.</w:t>
      </w:r>
    </w:p>
    <w:p w14:paraId="60FAA812" w14:textId="18E29C56" w:rsidR="003B2119" w:rsidRDefault="003B2119" w:rsidP="003B2119">
      <w:pPr>
        <w:pStyle w:val="Heading3"/>
      </w:pPr>
      <w:bookmarkStart w:id="6" w:name="_Toc208321372"/>
      <w:r>
        <w:t>Statement of Rights</w:t>
      </w:r>
      <w:bookmarkEnd w:id="6"/>
    </w:p>
    <w:p w14:paraId="64D096EF" w14:textId="3ADFC430" w:rsidR="00963A57" w:rsidRPr="0068585B" w:rsidRDefault="00E8332C" w:rsidP="00963A57">
      <w:r w:rsidRPr="00E8332C">
        <w:t xml:space="preserve">The new Statement of Rights in the </w:t>
      </w:r>
      <w:r w:rsidR="0012430B">
        <w:t>Act</w:t>
      </w:r>
      <w:r w:rsidRPr="00E8332C">
        <w:t xml:space="preserve"> recognises the rights inherent to older people accessing or seeking to access </w:t>
      </w:r>
      <w:r w:rsidR="00801E95">
        <w:t>Australian Government-</w:t>
      </w:r>
      <w:r w:rsidR="00801E95" w:rsidRPr="00641294">
        <w:t>funded</w:t>
      </w:r>
      <w:r w:rsidRPr="00E8332C">
        <w:t xml:space="preserve"> aged care services. </w:t>
      </w:r>
      <w:r w:rsidR="00F75B6D">
        <w:t xml:space="preserve">It defines what older people can expect from </w:t>
      </w:r>
      <w:r w:rsidR="00087C6E">
        <w:t xml:space="preserve">aged care </w:t>
      </w:r>
      <w:r w:rsidR="00F75B6D">
        <w:t>providers</w:t>
      </w:r>
      <w:r w:rsidR="00C719AC">
        <w:t xml:space="preserve"> in receiving safe, </w:t>
      </w:r>
      <w:r w:rsidR="00CF590F">
        <w:t>high-quality</w:t>
      </w:r>
      <w:r w:rsidR="00C719AC">
        <w:t xml:space="preserve"> care</w:t>
      </w:r>
      <w:r w:rsidR="00F75B6D">
        <w:t xml:space="preserve">. </w:t>
      </w:r>
      <w:r w:rsidR="00963A57" w:rsidRPr="00963A57">
        <w:t xml:space="preserve">The Statement </w:t>
      </w:r>
      <w:r w:rsidR="00BC172F">
        <w:t>of Rights</w:t>
      </w:r>
      <w:r w:rsidR="00963A57" w:rsidRPr="00963A57">
        <w:t xml:space="preserve"> builds on existing</w:t>
      </w:r>
      <w:r w:rsidR="00117320">
        <w:t xml:space="preserve"> or previous</w:t>
      </w:r>
      <w:r w:rsidR="00963A57" w:rsidRPr="00963A57">
        <w:t xml:space="preserve"> rights, including those from the</w:t>
      </w:r>
      <w:r w:rsidR="00BF327F">
        <w:t xml:space="preserve"> </w:t>
      </w:r>
      <w:r w:rsidR="00963A57" w:rsidRPr="00963A57">
        <w:t>Charter of Aged Care Rights</w:t>
      </w:r>
      <w:r w:rsidR="00D5283B">
        <w:t xml:space="preserve"> (made under the </w:t>
      </w:r>
      <w:r w:rsidR="00D5283B" w:rsidRPr="008B5EB0">
        <w:rPr>
          <w:i/>
          <w:iCs/>
        </w:rPr>
        <w:t>Aged Care Act 1997 (Cth)</w:t>
      </w:r>
      <w:r w:rsidR="00117320">
        <w:t>)</w:t>
      </w:r>
      <w:r w:rsidR="732D7F29">
        <w:t>,</w:t>
      </w:r>
      <w:r w:rsidR="00176FE3">
        <w:rPr>
          <w:rStyle w:val="EndnoteReference"/>
        </w:rPr>
        <w:endnoteReference w:id="4"/>
      </w:r>
      <w:r w:rsidR="00963A57" w:rsidRPr="00963A57">
        <w:t xml:space="preserve"> and incorporates additional protections informed by international human rights standards, including the International Covenant on Economic, Social and Cultural Rights.</w:t>
      </w:r>
    </w:p>
    <w:p w14:paraId="41102C10" w14:textId="6B02604D" w:rsidR="00356BEC" w:rsidRPr="0068585B" w:rsidRDefault="00356BEC" w:rsidP="00356BEC">
      <w:r w:rsidRPr="0068585B">
        <w:t>The </w:t>
      </w:r>
      <w:r w:rsidRPr="00356BEC">
        <w:t>Statement of Rights</w:t>
      </w:r>
      <w:r w:rsidRPr="0068585B">
        <w:t> </w:t>
      </w:r>
      <w:r>
        <w:t>sets out</w:t>
      </w:r>
      <w:r w:rsidRPr="0068585B">
        <w:t xml:space="preserve"> that </w:t>
      </w:r>
      <w:r>
        <w:t>older people</w:t>
      </w:r>
      <w:r w:rsidRPr="0068585B">
        <w:t xml:space="preserve"> </w:t>
      </w:r>
      <w:r>
        <w:t>receiving</w:t>
      </w:r>
      <w:r w:rsidRPr="0068585B">
        <w:t xml:space="preserve"> or seeking </w:t>
      </w:r>
      <w:r>
        <w:t>Australian G</w:t>
      </w:r>
      <w:r w:rsidRPr="0068585B">
        <w:t>overnment-funded aged care services have rights related to:</w:t>
      </w:r>
    </w:p>
    <w:p w14:paraId="2477324A" w14:textId="41275EED" w:rsidR="00356BEC" w:rsidRPr="0068585B" w:rsidRDefault="78892B1A" w:rsidP="00480508">
      <w:pPr>
        <w:pStyle w:val="ListParagraph"/>
        <w:numPr>
          <w:ilvl w:val="0"/>
          <w:numId w:val="11"/>
        </w:numPr>
        <w:spacing w:before="0" w:after="160" w:line="259" w:lineRule="auto"/>
      </w:pPr>
      <w:r>
        <w:t>i</w:t>
      </w:r>
      <w:r w:rsidR="00356BEC">
        <w:t>ndependence, autonomy, empowerment and freedom of choice</w:t>
      </w:r>
    </w:p>
    <w:p w14:paraId="0BD0F782" w14:textId="0DACA4E3" w:rsidR="00356BEC" w:rsidRPr="0068585B" w:rsidRDefault="6DE9A9F2" w:rsidP="00480508">
      <w:pPr>
        <w:pStyle w:val="ListParagraph"/>
        <w:numPr>
          <w:ilvl w:val="0"/>
          <w:numId w:val="11"/>
        </w:numPr>
        <w:spacing w:before="0" w:after="160" w:line="259" w:lineRule="auto"/>
      </w:pPr>
      <w:r>
        <w:t>e</w:t>
      </w:r>
      <w:r w:rsidR="00356BEC">
        <w:t>quitable access</w:t>
      </w:r>
    </w:p>
    <w:p w14:paraId="6AB3F9A9" w14:textId="687F78F6" w:rsidR="00356BEC" w:rsidRPr="0068585B" w:rsidRDefault="7251CD2D" w:rsidP="00480508">
      <w:pPr>
        <w:pStyle w:val="ListParagraph"/>
        <w:numPr>
          <w:ilvl w:val="0"/>
          <w:numId w:val="11"/>
        </w:numPr>
        <w:spacing w:before="0" w:after="160" w:line="259" w:lineRule="auto"/>
      </w:pPr>
      <w:r>
        <w:t>q</w:t>
      </w:r>
      <w:r w:rsidR="00356BEC">
        <w:t>uality and safe funded aged care services</w:t>
      </w:r>
    </w:p>
    <w:p w14:paraId="157DB485" w14:textId="4B8BF7F0" w:rsidR="00356BEC" w:rsidRPr="0068585B" w:rsidRDefault="395688BE" w:rsidP="00480508">
      <w:pPr>
        <w:pStyle w:val="ListParagraph"/>
        <w:numPr>
          <w:ilvl w:val="0"/>
          <w:numId w:val="11"/>
        </w:numPr>
        <w:spacing w:before="0" w:after="160" w:line="259" w:lineRule="auto"/>
      </w:pPr>
      <w:r>
        <w:t>r</w:t>
      </w:r>
      <w:r w:rsidR="00356BEC">
        <w:t>espect for privacy and information</w:t>
      </w:r>
    </w:p>
    <w:p w14:paraId="128309EB" w14:textId="4EB122B3" w:rsidR="00356BEC" w:rsidRPr="0068585B" w:rsidRDefault="6C551C99" w:rsidP="00480508">
      <w:pPr>
        <w:pStyle w:val="ListParagraph"/>
        <w:numPr>
          <w:ilvl w:val="0"/>
          <w:numId w:val="11"/>
        </w:numPr>
        <w:spacing w:before="0" w:after="160" w:line="259" w:lineRule="auto"/>
      </w:pPr>
      <w:r>
        <w:t>p</w:t>
      </w:r>
      <w:r w:rsidR="00356BEC">
        <w:t>erson-centred communication and ability to raise issues without reprisal, and</w:t>
      </w:r>
    </w:p>
    <w:p w14:paraId="41042F4A" w14:textId="56DD30C3" w:rsidR="00595A05" w:rsidRPr="0068585B" w:rsidRDefault="7B989D56" w:rsidP="00480508">
      <w:pPr>
        <w:pStyle w:val="ListParagraph"/>
        <w:numPr>
          <w:ilvl w:val="0"/>
          <w:numId w:val="11"/>
        </w:numPr>
        <w:spacing w:before="0" w:after="160" w:line="259" w:lineRule="auto"/>
      </w:pPr>
      <w:r>
        <w:t>a</w:t>
      </w:r>
      <w:r w:rsidR="00356BEC">
        <w:t>dvocates, significant persons and social connections.</w:t>
      </w:r>
    </w:p>
    <w:p w14:paraId="5F787522" w14:textId="3BB5F1FC" w:rsidR="00E8332C" w:rsidRPr="002031DA" w:rsidRDefault="00356BEC" w:rsidP="0056002B">
      <w:pPr>
        <w:shd w:val="clear" w:color="auto" w:fill="D0EAED" w:themeFill="accent2" w:themeFillTint="33"/>
        <w:jc w:val="center"/>
        <w:rPr>
          <w:b/>
        </w:rPr>
      </w:pPr>
      <w:r w:rsidRPr="002031DA">
        <w:rPr>
          <w:b/>
          <w:bCs/>
        </w:rPr>
        <w:t>Importantly, older</w:t>
      </w:r>
      <w:r w:rsidR="00E8332C" w:rsidRPr="002031DA">
        <w:rPr>
          <w:b/>
        </w:rPr>
        <w:t xml:space="preserve"> people have the right to </w:t>
      </w:r>
      <w:r w:rsidR="008D34FD" w:rsidRPr="002031DA">
        <w:rPr>
          <w:b/>
        </w:rPr>
        <w:t xml:space="preserve">be supported in their decision-making, if </w:t>
      </w:r>
      <w:r w:rsidR="00B73D5D">
        <w:rPr>
          <w:b/>
        </w:rPr>
        <w:t>necessary</w:t>
      </w:r>
      <w:r w:rsidR="008D34FD" w:rsidRPr="002031DA">
        <w:rPr>
          <w:b/>
        </w:rPr>
        <w:t xml:space="preserve">, and </w:t>
      </w:r>
      <w:r w:rsidR="009057FF" w:rsidRPr="002031DA">
        <w:rPr>
          <w:b/>
        </w:rPr>
        <w:t>to have their decisions respected.</w:t>
      </w:r>
    </w:p>
    <w:p w14:paraId="48D3DDC1" w14:textId="6013129E" w:rsidR="00595A05" w:rsidRDefault="00903785" w:rsidP="00BE1F24">
      <w:r>
        <w:t>This is complemented by an older person’s right to</w:t>
      </w:r>
      <w:r w:rsidR="00595A05" w:rsidRPr="0068585B">
        <w:t xml:space="preserve"> take personal risks</w:t>
      </w:r>
      <w:r w:rsidR="00EA26D0">
        <w:t>,</w:t>
      </w:r>
      <w:r w:rsidR="00595A05" w:rsidRPr="0068585B">
        <w:t xml:space="preserve"> </w:t>
      </w:r>
      <w:r>
        <w:t xml:space="preserve">which </w:t>
      </w:r>
      <w:r w:rsidR="00595A05" w:rsidRPr="0068585B">
        <w:t>recognis</w:t>
      </w:r>
      <w:r>
        <w:t>es</w:t>
      </w:r>
      <w:r w:rsidR="00595A05" w:rsidRPr="0068585B">
        <w:t xml:space="preserve"> the principle of dignity of risk. This means </w:t>
      </w:r>
      <w:r>
        <w:t>older people</w:t>
      </w:r>
      <w:r w:rsidR="00595A05" w:rsidRPr="0068585B">
        <w:t xml:space="preserve"> have the right to make </w:t>
      </w:r>
      <w:r w:rsidR="005A4D4D">
        <w:t>decisions</w:t>
      </w:r>
      <w:r w:rsidR="00595A05" w:rsidRPr="0068585B">
        <w:t xml:space="preserve"> that involve risks, especially when it contributes to their quality of life, social participation, and </w:t>
      </w:r>
      <w:r w:rsidR="00D5271E">
        <w:t>intimate and sexual</w:t>
      </w:r>
      <w:r w:rsidR="00D5271E" w:rsidRPr="0068585B">
        <w:t xml:space="preserve"> </w:t>
      </w:r>
      <w:r w:rsidR="00595A05" w:rsidRPr="0068585B">
        <w:t>relationships.</w:t>
      </w:r>
    </w:p>
    <w:p w14:paraId="53D222EC" w14:textId="241B745A" w:rsidR="00BE1F24" w:rsidRPr="00E8332C" w:rsidRDefault="008D2307" w:rsidP="00BE1F24">
      <w:r>
        <w:t>A</w:t>
      </w:r>
      <w:r w:rsidR="00BE1F24">
        <w:t xml:space="preserve">ged care providers are expected to take steps to act compatibly with these rights in their delivery of </w:t>
      </w:r>
      <w:r w:rsidR="00EA26D0">
        <w:t>Australian G</w:t>
      </w:r>
      <w:r w:rsidR="009F6EB8">
        <w:t>overnment-</w:t>
      </w:r>
      <w:r w:rsidR="00BE1F24">
        <w:t>funded aged care services. The strengthened Aged Care Quality Standards expand on</w:t>
      </w:r>
      <w:r w:rsidR="00B4007A">
        <w:t xml:space="preserve"> the</w:t>
      </w:r>
      <w:r w:rsidR="00BE1F24">
        <w:t xml:space="preserve"> expectations </w:t>
      </w:r>
      <w:r w:rsidR="00560D0C">
        <w:t xml:space="preserve">on </w:t>
      </w:r>
      <w:r w:rsidR="00BE1F24">
        <w:t xml:space="preserve">aged care providers to provide quality care, including supporting older people in their decision-making. </w:t>
      </w:r>
    </w:p>
    <w:p w14:paraId="7354519C" w14:textId="283B0100" w:rsidR="003B2119" w:rsidRDefault="003B2119" w:rsidP="003B2119">
      <w:pPr>
        <w:pStyle w:val="Heading3"/>
      </w:pPr>
      <w:bookmarkStart w:id="7" w:name="_Toc208321373"/>
      <w:r>
        <w:lastRenderedPageBreak/>
        <w:t>Statement of Principles</w:t>
      </w:r>
      <w:bookmarkEnd w:id="7"/>
    </w:p>
    <w:p w14:paraId="2A4B25E7" w14:textId="319FDA52" w:rsidR="00B030D1" w:rsidRDefault="00A17C4B" w:rsidP="00485921">
      <w:r>
        <w:t xml:space="preserve">The new Statement of Principles in the Act </w:t>
      </w:r>
      <w:r w:rsidR="00BD78CA" w:rsidRPr="004A5CEB">
        <w:t>outlines</w:t>
      </w:r>
      <w:r w:rsidR="00BD78CA" w:rsidRPr="0068585B">
        <w:rPr>
          <w:rFonts w:asciiTheme="minorHAnsi" w:hAnsiTheme="minorHAnsi"/>
          <w:szCs w:val="22"/>
        </w:rPr>
        <w:t xml:space="preserve"> </w:t>
      </w:r>
      <w:r w:rsidR="00BD78CA" w:rsidRPr="00BD78CA">
        <w:t xml:space="preserve">key </w:t>
      </w:r>
      <w:r w:rsidR="00FC1F84">
        <w:t xml:space="preserve">principles for </w:t>
      </w:r>
      <w:r w:rsidR="00BD78CA" w:rsidRPr="00BD78CA">
        <w:t xml:space="preserve">how </w:t>
      </w:r>
      <w:r w:rsidR="004A5CEB">
        <w:t>the Australian G</w:t>
      </w:r>
      <w:r w:rsidR="00BD78CA" w:rsidRPr="00BD78CA">
        <w:t xml:space="preserve">overnment-funded </w:t>
      </w:r>
      <w:r w:rsidR="00FC1F84">
        <w:t>aged care system</w:t>
      </w:r>
      <w:r w:rsidR="00BD78CA" w:rsidRPr="00BD78CA">
        <w:t xml:space="preserve"> should operate</w:t>
      </w:r>
      <w:r w:rsidR="00FC1F84">
        <w:t xml:space="preserve">. </w:t>
      </w:r>
      <w:r w:rsidR="008503E0" w:rsidRPr="008503E0">
        <w:t xml:space="preserve">These principles </w:t>
      </w:r>
      <w:r w:rsidR="00AC1D09">
        <w:t>guide</w:t>
      </w:r>
      <w:r w:rsidR="008503E0" w:rsidRPr="008503E0">
        <w:t xml:space="preserve"> how people in the system should act to ensure that the decisions and </w:t>
      </w:r>
      <w:r w:rsidR="008503E0">
        <w:t>wishes</w:t>
      </w:r>
      <w:r w:rsidR="008503E0" w:rsidRPr="008503E0">
        <w:t xml:space="preserve"> of older </w:t>
      </w:r>
      <w:r w:rsidR="003F5949" w:rsidRPr="008503E0">
        <w:t>p</w:t>
      </w:r>
      <w:r w:rsidR="003F5949">
        <w:t>eople</w:t>
      </w:r>
      <w:r w:rsidR="003F5949" w:rsidRPr="008503E0">
        <w:t xml:space="preserve"> </w:t>
      </w:r>
      <w:r w:rsidR="008503E0" w:rsidRPr="008503E0">
        <w:t>are centred and respected</w:t>
      </w:r>
      <w:r w:rsidR="008503E0">
        <w:t>.</w:t>
      </w:r>
      <w:r w:rsidR="00FC1F84">
        <w:t xml:space="preserve"> This includes </w:t>
      </w:r>
      <w:r w:rsidR="00971ED7" w:rsidRPr="00971ED7">
        <w:t xml:space="preserve">the </w:t>
      </w:r>
      <w:r w:rsidR="00971ED7">
        <w:t xml:space="preserve">responsible </w:t>
      </w:r>
      <w:r w:rsidR="00971ED7" w:rsidRPr="00971ED7">
        <w:t xml:space="preserve">Minister, System Governor, </w:t>
      </w:r>
      <w:r w:rsidR="00891F89">
        <w:t>Aged Care Quality and Safety Commission</w:t>
      </w:r>
      <w:r w:rsidR="00AC1D09">
        <w:t>er</w:t>
      </w:r>
      <w:r w:rsidR="00891F89">
        <w:t xml:space="preserve">, </w:t>
      </w:r>
      <w:r w:rsidR="00AC1D09">
        <w:t xml:space="preserve">Aged Care </w:t>
      </w:r>
      <w:r w:rsidR="00971ED7" w:rsidRPr="00971ED7">
        <w:t>Complaints Commissioner and any other person or body performing functions or exercising power</w:t>
      </w:r>
      <w:r w:rsidR="00AC1D09">
        <w:t>s</w:t>
      </w:r>
      <w:r w:rsidR="00971ED7" w:rsidRPr="00971ED7">
        <w:t xml:space="preserve"> under the Act</w:t>
      </w:r>
      <w:r w:rsidR="00AC1D09">
        <w:t>.</w:t>
      </w:r>
    </w:p>
    <w:p w14:paraId="28147F89" w14:textId="3D0CACBA" w:rsidR="00485921" w:rsidRPr="00485921" w:rsidRDefault="00B030D1" w:rsidP="00485921">
      <w:r>
        <w:t>T</w:t>
      </w:r>
      <w:r w:rsidR="00485921">
        <w:t xml:space="preserve">he Statement of Principles </w:t>
      </w:r>
      <w:r w:rsidR="00485921" w:rsidRPr="00485921">
        <w:t>includes three types of principles:</w:t>
      </w:r>
    </w:p>
    <w:p w14:paraId="356D8476" w14:textId="25B4ABEC" w:rsidR="00485921" w:rsidRPr="00485921" w:rsidRDefault="00485921" w:rsidP="00480508">
      <w:pPr>
        <w:pStyle w:val="ListParagraph"/>
        <w:numPr>
          <w:ilvl w:val="0"/>
          <w:numId w:val="11"/>
        </w:numPr>
        <w:spacing w:before="0" w:after="160" w:line="259" w:lineRule="auto"/>
      </w:pPr>
      <w:r w:rsidRPr="00485921">
        <w:t>Person-centred</w:t>
      </w:r>
      <w:r>
        <w:t xml:space="preserve">: </w:t>
      </w:r>
      <w:r w:rsidRPr="00485921">
        <w:t>focused on individuals receiving care</w:t>
      </w:r>
      <w:r w:rsidR="008D7A21">
        <w:t>.</w:t>
      </w:r>
    </w:p>
    <w:p w14:paraId="457F669A" w14:textId="09696C34" w:rsidR="00485921" w:rsidRPr="00485921" w:rsidRDefault="00485921" w:rsidP="00480508">
      <w:pPr>
        <w:pStyle w:val="ListParagraph"/>
        <w:numPr>
          <w:ilvl w:val="0"/>
          <w:numId w:val="11"/>
        </w:numPr>
        <w:spacing w:before="0" w:after="160" w:line="259" w:lineRule="auto"/>
      </w:pPr>
      <w:r w:rsidRPr="00485921">
        <w:t>System-focused</w:t>
      </w:r>
      <w:r>
        <w:t xml:space="preserve">: </w:t>
      </w:r>
      <w:r w:rsidRPr="00485921">
        <w:t>guiding how the aged care system works</w:t>
      </w:r>
      <w:r w:rsidR="008D7A21">
        <w:t>.</w:t>
      </w:r>
    </w:p>
    <w:p w14:paraId="43900394" w14:textId="32FA0496" w:rsidR="00485921" w:rsidRPr="00485921" w:rsidRDefault="00485921" w:rsidP="00480508">
      <w:pPr>
        <w:pStyle w:val="ListParagraph"/>
        <w:numPr>
          <w:ilvl w:val="0"/>
          <w:numId w:val="11"/>
        </w:numPr>
        <w:spacing w:before="0" w:after="160" w:line="259" w:lineRule="auto"/>
      </w:pPr>
      <w:r w:rsidRPr="00485921">
        <w:t>Governance-focused</w:t>
      </w:r>
      <w:r>
        <w:t>:</w:t>
      </w:r>
      <w:r w:rsidRPr="00485921">
        <w:t xml:space="preserve"> ensuring proper oversight and accountability.</w:t>
      </w:r>
    </w:p>
    <w:p w14:paraId="4A788C00" w14:textId="7A100FFC" w:rsidR="00A17C4B" w:rsidRPr="00D01D18" w:rsidRDefault="00DE67EE" w:rsidP="00492C5C">
      <w:pPr>
        <w:shd w:val="clear" w:color="auto" w:fill="D0EAED" w:themeFill="accent2" w:themeFillTint="33"/>
        <w:jc w:val="center"/>
        <w:rPr>
          <w:b/>
        </w:rPr>
      </w:pPr>
      <w:r>
        <w:rPr>
          <w:b/>
          <w:bCs/>
        </w:rPr>
        <w:t>T</w:t>
      </w:r>
      <w:r w:rsidR="003A33B9" w:rsidRPr="00D01D18">
        <w:rPr>
          <w:b/>
          <w:bCs/>
        </w:rPr>
        <w:t xml:space="preserve">he principles include that </w:t>
      </w:r>
      <w:r w:rsidR="00FC1F84" w:rsidRPr="00D01D18">
        <w:rPr>
          <w:b/>
          <w:bCs/>
        </w:rPr>
        <w:t>the</w:t>
      </w:r>
      <w:r w:rsidR="00FC1F84" w:rsidRPr="00D01D18">
        <w:rPr>
          <w:b/>
        </w:rPr>
        <w:t xml:space="preserve"> aged care system supports </w:t>
      </w:r>
      <w:r w:rsidR="00CF3DA0" w:rsidRPr="00D01D18">
        <w:rPr>
          <w:b/>
        </w:rPr>
        <w:t>older people</w:t>
      </w:r>
      <w:r w:rsidR="00FC1F84" w:rsidRPr="00D01D18">
        <w:rPr>
          <w:b/>
        </w:rPr>
        <w:t xml:space="preserve"> to </w:t>
      </w:r>
      <w:r w:rsidR="00BC679B" w:rsidRPr="00D01D18">
        <w:rPr>
          <w:b/>
        </w:rPr>
        <w:t xml:space="preserve">be active and informed in </w:t>
      </w:r>
      <w:r w:rsidR="007F4849" w:rsidRPr="00D01D18">
        <w:rPr>
          <w:b/>
        </w:rPr>
        <w:t>decision-making or</w:t>
      </w:r>
      <w:r w:rsidR="00BC679B" w:rsidRPr="00D01D18">
        <w:rPr>
          <w:b/>
        </w:rPr>
        <w:t xml:space="preserve"> be supported</w:t>
      </w:r>
      <w:r w:rsidR="00535CA1">
        <w:rPr>
          <w:b/>
        </w:rPr>
        <w:t xml:space="preserve">, </w:t>
      </w:r>
      <w:r w:rsidR="00E92C08" w:rsidRPr="00D01D18">
        <w:rPr>
          <w:b/>
        </w:rPr>
        <w:t>if necessary</w:t>
      </w:r>
      <w:r w:rsidR="00535CA1">
        <w:rPr>
          <w:b/>
        </w:rPr>
        <w:t>,</w:t>
      </w:r>
      <w:r w:rsidR="00E92C08" w:rsidRPr="00D01D18">
        <w:rPr>
          <w:b/>
        </w:rPr>
        <w:t xml:space="preserve"> to make or </w:t>
      </w:r>
      <w:r w:rsidR="00ED019E" w:rsidRPr="00D01D18">
        <w:rPr>
          <w:b/>
        </w:rPr>
        <w:t>communicate</w:t>
      </w:r>
      <w:r w:rsidR="00E92C08" w:rsidRPr="00D01D18">
        <w:rPr>
          <w:b/>
        </w:rPr>
        <w:t xml:space="preserve"> decisions </w:t>
      </w:r>
      <w:r w:rsidR="003D4B26" w:rsidRPr="00D01D18">
        <w:rPr>
          <w:b/>
        </w:rPr>
        <w:t>about their funded aged care services</w:t>
      </w:r>
      <w:r w:rsidR="007F4849" w:rsidRPr="00D01D18">
        <w:rPr>
          <w:b/>
        </w:rPr>
        <w:t>,</w:t>
      </w:r>
      <w:r w:rsidR="00ED019E" w:rsidRPr="00D01D18">
        <w:rPr>
          <w:b/>
        </w:rPr>
        <w:t xml:space="preserve"> to ensure their will and preferences are respected.</w:t>
      </w:r>
    </w:p>
    <w:p w14:paraId="3601DC3F" w14:textId="23FBA17B" w:rsidR="00AF174A" w:rsidRDefault="4304B5AF" w:rsidP="00AF174A">
      <w:pPr>
        <w:pStyle w:val="Heading3"/>
        <w:rPr>
          <w:lang w:eastAsia="en-AU"/>
        </w:rPr>
      </w:pPr>
      <w:bookmarkStart w:id="8" w:name="_Toc208321374"/>
      <w:r w:rsidRPr="7BED3D44">
        <w:rPr>
          <w:lang w:eastAsia="en-AU"/>
        </w:rPr>
        <w:t>E</w:t>
      </w:r>
      <w:r w:rsidR="00AF174A" w:rsidRPr="7BED3D44">
        <w:rPr>
          <w:lang w:eastAsia="en-AU"/>
        </w:rPr>
        <w:t>mbed</w:t>
      </w:r>
      <w:r w:rsidR="76D22A8D" w:rsidRPr="7BED3D44">
        <w:rPr>
          <w:lang w:eastAsia="en-AU"/>
        </w:rPr>
        <w:t>ding</w:t>
      </w:r>
      <w:r w:rsidR="00AF174A">
        <w:rPr>
          <w:lang w:eastAsia="en-AU"/>
        </w:rPr>
        <w:t xml:space="preserve"> principles of supported decision-making</w:t>
      </w:r>
      <w:bookmarkEnd w:id="8"/>
    </w:p>
    <w:p w14:paraId="37989992" w14:textId="7C01F2F8" w:rsidR="0062276D" w:rsidRDefault="0062276D" w:rsidP="0062276D">
      <w:r>
        <w:t xml:space="preserve">There is no clear accepted best practice </w:t>
      </w:r>
      <w:r w:rsidR="00F810FC">
        <w:t>for</w:t>
      </w:r>
      <w:r>
        <w:t xml:space="preserve"> supported decision-making. Models and concepts continue to evolve and there is growing reform activity underway, including throughout states and territories. </w:t>
      </w:r>
    </w:p>
    <w:p w14:paraId="1075BD2F" w14:textId="7F117DAE" w:rsidR="00281178" w:rsidRDefault="0062276D" w:rsidP="0062276D">
      <w:r>
        <w:t>However, the</w:t>
      </w:r>
      <w:r w:rsidR="004A182E">
        <w:t xml:space="preserve"> </w:t>
      </w:r>
      <w:r w:rsidR="00FA6C98">
        <w:t>Act</w:t>
      </w:r>
      <w:r w:rsidR="0B4E34FD">
        <w:t xml:space="preserve"> </w:t>
      </w:r>
      <w:r w:rsidR="0008789A">
        <w:t>reflects</w:t>
      </w:r>
      <w:r w:rsidR="0B4E34FD">
        <w:t xml:space="preserve"> the principles </w:t>
      </w:r>
      <w:r w:rsidR="001A647A">
        <w:t xml:space="preserve">of </w:t>
      </w:r>
      <w:r w:rsidR="0B4E34FD">
        <w:t>supported decision-making recommended by the Royal Commission into</w:t>
      </w:r>
      <w:r w:rsidR="6B52C2F4">
        <w:t xml:space="preserve"> </w:t>
      </w:r>
      <w:r w:rsidR="0B4E34FD">
        <w:t>Viole</w:t>
      </w:r>
      <w:r w:rsidR="26DB0C27">
        <w:t>nce, Abuse, Neglect and Exploitation of People with Disability</w:t>
      </w:r>
      <w:r w:rsidR="00FC1ECC">
        <w:t xml:space="preserve"> (‘Disability Royal Commission’)</w:t>
      </w:r>
      <w:r w:rsidR="00532803">
        <w:t xml:space="preserve">. </w:t>
      </w:r>
    </w:p>
    <w:p w14:paraId="6D420F54" w14:textId="1EFE6588" w:rsidR="0012430B" w:rsidRDefault="00532803" w:rsidP="0012430B">
      <w:r>
        <w:t>The</w:t>
      </w:r>
      <w:r w:rsidR="004A182E">
        <w:t>se</w:t>
      </w:r>
      <w:r>
        <w:t xml:space="preserve"> principles </w:t>
      </w:r>
      <w:r w:rsidR="0064661F">
        <w:t>have been adapted to the registered supporter context as follows</w:t>
      </w:r>
      <w:r w:rsidR="25B7430C">
        <w:t>:</w:t>
      </w:r>
    </w:p>
    <w:p w14:paraId="349ED106" w14:textId="506B8DCE" w:rsidR="25B7430C" w:rsidRDefault="25B7430C" w:rsidP="006A20D4">
      <w:pPr>
        <w:ind w:left="567"/>
        <w:rPr>
          <w:rFonts w:eastAsia="Arial" w:cs="Arial"/>
          <w:b/>
          <w:bCs/>
          <w:szCs w:val="22"/>
        </w:rPr>
      </w:pPr>
      <w:r w:rsidRPr="25AE789B">
        <w:rPr>
          <w:rFonts w:eastAsia="Arial" w:cs="Arial"/>
          <w:b/>
          <w:bCs/>
          <w:szCs w:val="22"/>
        </w:rPr>
        <w:t xml:space="preserve">Principle 1 – Recognition of the equal right to make decisions </w:t>
      </w:r>
    </w:p>
    <w:p w14:paraId="5DD28605" w14:textId="6B5A982A" w:rsidR="25B7430C" w:rsidRDefault="25B7430C" w:rsidP="006A20D4">
      <w:pPr>
        <w:ind w:left="567"/>
        <w:rPr>
          <w:rFonts w:eastAsia="Arial" w:cs="Arial"/>
          <w:szCs w:val="22"/>
        </w:rPr>
      </w:pPr>
      <w:r w:rsidRPr="25AE789B">
        <w:rPr>
          <w:rFonts w:eastAsia="Arial" w:cs="Arial"/>
          <w:szCs w:val="22"/>
        </w:rPr>
        <w:t xml:space="preserve">All people have an equal right to make decisions that affect their lives and to have those decisions respected. </w:t>
      </w:r>
    </w:p>
    <w:p w14:paraId="5D8BE990" w14:textId="765F3993" w:rsidR="25B7430C" w:rsidRDefault="25B7430C" w:rsidP="006A20D4">
      <w:pPr>
        <w:ind w:left="567"/>
        <w:rPr>
          <w:rFonts w:eastAsia="Arial" w:cs="Arial"/>
          <w:b/>
          <w:bCs/>
          <w:szCs w:val="22"/>
        </w:rPr>
      </w:pPr>
      <w:r w:rsidRPr="25AE789B">
        <w:rPr>
          <w:rFonts w:eastAsia="Arial" w:cs="Arial"/>
          <w:b/>
          <w:bCs/>
          <w:szCs w:val="22"/>
        </w:rPr>
        <w:t xml:space="preserve">Principle 2 – Presumption of decision-making ability </w:t>
      </w:r>
    </w:p>
    <w:p w14:paraId="435AE225" w14:textId="625B69A1" w:rsidR="25B7430C" w:rsidRDefault="25B7430C" w:rsidP="006A20D4">
      <w:pPr>
        <w:ind w:left="567"/>
        <w:rPr>
          <w:rFonts w:eastAsia="Arial" w:cs="Arial"/>
          <w:szCs w:val="22"/>
        </w:rPr>
      </w:pPr>
      <w:r w:rsidRPr="25AE789B">
        <w:rPr>
          <w:rFonts w:eastAsia="Arial" w:cs="Arial"/>
          <w:szCs w:val="22"/>
        </w:rPr>
        <w:t xml:space="preserve">All people must be presumed to be able to make decisions. </w:t>
      </w:r>
    </w:p>
    <w:p w14:paraId="79CD71A8" w14:textId="0490808E" w:rsidR="25B7430C" w:rsidRDefault="25B7430C" w:rsidP="006A20D4">
      <w:pPr>
        <w:ind w:left="567"/>
        <w:rPr>
          <w:rFonts w:eastAsia="Arial" w:cs="Arial"/>
          <w:b/>
          <w:bCs/>
          <w:szCs w:val="22"/>
        </w:rPr>
      </w:pPr>
      <w:r w:rsidRPr="25AE789B">
        <w:rPr>
          <w:rFonts w:eastAsia="Arial" w:cs="Arial"/>
          <w:b/>
          <w:bCs/>
          <w:szCs w:val="22"/>
        </w:rPr>
        <w:t xml:space="preserve">Principle 3 – Respect for dignity and dignity of risk </w:t>
      </w:r>
    </w:p>
    <w:p w14:paraId="6D0A5392" w14:textId="5E4B06FF" w:rsidR="25B7430C" w:rsidRDefault="25B7430C" w:rsidP="006A20D4">
      <w:pPr>
        <w:ind w:left="567"/>
        <w:rPr>
          <w:rFonts w:eastAsia="Arial" w:cs="Arial"/>
          <w:szCs w:val="22"/>
        </w:rPr>
      </w:pPr>
      <w:r w:rsidRPr="25AE789B">
        <w:rPr>
          <w:rFonts w:eastAsia="Arial" w:cs="Arial"/>
          <w:szCs w:val="22"/>
        </w:rPr>
        <w:t xml:space="preserve">All people must be treated with dignity and respect and supported to take risks to enable them to live their lives the way they choose, including in their social and intimate relationships. </w:t>
      </w:r>
    </w:p>
    <w:p w14:paraId="03A3CD01" w14:textId="0B038698" w:rsidR="25B7430C" w:rsidRDefault="25B7430C" w:rsidP="006A20D4">
      <w:pPr>
        <w:ind w:left="567"/>
        <w:rPr>
          <w:rFonts w:eastAsia="Arial" w:cs="Arial"/>
          <w:b/>
          <w:bCs/>
          <w:szCs w:val="22"/>
        </w:rPr>
      </w:pPr>
      <w:r w:rsidRPr="25AE789B">
        <w:rPr>
          <w:rFonts w:eastAsia="Arial" w:cs="Arial"/>
          <w:b/>
          <w:bCs/>
          <w:szCs w:val="22"/>
        </w:rPr>
        <w:t xml:space="preserve">Principle 4 – Recognition of informal supporters and advocates </w:t>
      </w:r>
    </w:p>
    <w:p w14:paraId="51EA5121" w14:textId="1DE28C17" w:rsidR="25B7430C" w:rsidRDefault="25B7430C" w:rsidP="006A20D4">
      <w:pPr>
        <w:ind w:left="567"/>
        <w:rPr>
          <w:rFonts w:eastAsia="Arial" w:cs="Arial"/>
          <w:szCs w:val="22"/>
        </w:rPr>
      </w:pPr>
      <w:r w:rsidRPr="25AE789B">
        <w:rPr>
          <w:rFonts w:eastAsia="Arial" w:cs="Arial"/>
          <w:szCs w:val="22"/>
        </w:rPr>
        <w:t xml:space="preserve">The role of informal supporters, support networks and advocates who provide support for decision-making should be acknowledged and respected. </w:t>
      </w:r>
    </w:p>
    <w:p w14:paraId="72315D96" w14:textId="3800DDD9" w:rsidR="25B7430C" w:rsidRDefault="25B7430C" w:rsidP="006A20D4">
      <w:pPr>
        <w:ind w:left="567"/>
        <w:rPr>
          <w:rFonts w:eastAsia="Arial" w:cs="Arial"/>
          <w:b/>
          <w:bCs/>
          <w:szCs w:val="22"/>
        </w:rPr>
      </w:pPr>
      <w:r w:rsidRPr="25AE789B">
        <w:rPr>
          <w:rFonts w:eastAsia="Arial" w:cs="Arial"/>
          <w:b/>
          <w:bCs/>
          <w:szCs w:val="22"/>
        </w:rPr>
        <w:t xml:space="preserve">Principle 5 – Access to support </w:t>
      </w:r>
    </w:p>
    <w:p w14:paraId="4FC8BA98" w14:textId="15ADCCAE" w:rsidR="2FD13D26" w:rsidRDefault="2FD13D26" w:rsidP="006A20D4">
      <w:pPr>
        <w:ind w:left="567"/>
        <w:rPr>
          <w:rFonts w:eastAsia="Arial" w:cs="Arial"/>
          <w:szCs w:val="22"/>
        </w:rPr>
      </w:pPr>
      <w:r w:rsidRPr="25AE789B">
        <w:rPr>
          <w:rFonts w:eastAsia="Arial" w:cs="Arial"/>
          <w:szCs w:val="22"/>
        </w:rPr>
        <w:t>People who may require supported decision-making should be provided with equitable access to appropriate support to enable the</w:t>
      </w:r>
      <w:r w:rsidR="00806CC3">
        <w:rPr>
          <w:rFonts w:eastAsia="Arial" w:cs="Arial"/>
          <w:szCs w:val="22"/>
        </w:rPr>
        <w:t>m</w:t>
      </w:r>
      <w:r w:rsidRPr="25AE789B">
        <w:rPr>
          <w:rFonts w:eastAsia="Arial" w:cs="Arial"/>
          <w:szCs w:val="22"/>
        </w:rPr>
        <w:t>, as far as practicable in the circumstances, to:</w:t>
      </w:r>
    </w:p>
    <w:p w14:paraId="2A565418" w14:textId="78700C8D" w:rsidR="25B7430C" w:rsidRDefault="25B7430C" w:rsidP="00480508">
      <w:pPr>
        <w:pStyle w:val="ListParagraph"/>
        <w:numPr>
          <w:ilvl w:val="0"/>
          <w:numId w:val="8"/>
        </w:numPr>
      </w:pPr>
      <w:r w:rsidRPr="25AE789B">
        <w:rPr>
          <w:rFonts w:eastAsia="Arial" w:cs="Arial"/>
          <w:szCs w:val="22"/>
        </w:rPr>
        <w:lastRenderedPageBreak/>
        <w:t xml:space="preserve">make and participate </w:t>
      </w:r>
      <w:r w:rsidRPr="000F3450">
        <w:t xml:space="preserve">in decisions affecting them </w:t>
      </w:r>
    </w:p>
    <w:p w14:paraId="55432FE2" w14:textId="7B36EBC5" w:rsidR="25B7430C" w:rsidRDefault="25B7430C" w:rsidP="00480508">
      <w:pPr>
        <w:pStyle w:val="ListParagraph"/>
        <w:numPr>
          <w:ilvl w:val="0"/>
          <w:numId w:val="8"/>
        </w:numPr>
      </w:pPr>
      <w:r w:rsidRPr="000F3450">
        <w:t xml:space="preserve">communicate their will and preferences </w:t>
      </w:r>
    </w:p>
    <w:p w14:paraId="5188CD6C" w14:textId="1FADC306" w:rsidR="25B7430C" w:rsidRPr="004E7CA0" w:rsidRDefault="25B7430C" w:rsidP="00480508">
      <w:pPr>
        <w:pStyle w:val="ListParagraph"/>
        <w:numPr>
          <w:ilvl w:val="0"/>
          <w:numId w:val="8"/>
        </w:numPr>
      </w:pPr>
      <w:r w:rsidRPr="000F3450">
        <w:t>develop their decision</w:t>
      </w:r>
      <w:r w:rsidRPr="25AE789B">
        <w:rPr>
          <w:rFonts w:eastAsia="Arial" w:cs="Arial"/>
          <w:szCs w:val="22"/>
        </w:rPr>
        <w:t xml:space="preserve">-making ability. </w:t>
      </w:r>
    </w:p>
    <w:p w14:paraId="0D3DC36E" w14:textId="5F4090C0" w:rsidR="00FE2C1C" w:rsidRDefault="00FE2C1C" w:rsidP="00C86933">
      <w:pPr>
        <w:ind w:left="567"/>
      </w:pPr>
      <w:r>
        <w:t xml:space="preserve">Note: Decision-making support </w:t>
      </w:r>
      <w:r w:rsidR="00DB1026" w:rsidRPr="00DB1026">
        <w:t>includ</w:t>
      </w:r>
      <w:r w:rsidR="00DB1026">
        <w:t>es</w:t>
      </w:r>
      <w:r w:rsidR="00DB1026" w:rsidRPr="00DB1026">
        <w:t xml:space="preserve"> universal design and accessibility measures and recognition of diverse, non-conventional methods of communication</w:t>
      </w:r>
      <w:r w:rsidR="00DB1026">
        <w:t>.</w:t>
      </w:r>
    </w:p>
    <w:p w14:paraId="3923D180" w14:textId="6C3BA78C" w:rsidR="25B7430C" w:rsidRDefault="25B7430C" w:rsidP="006A20D4">
      <w:pPr>
        <w:ind w:left="567"/>
        <w:rPr>
          <w:rFonts w:eastAsia="Arial" w:cs="Arial"/>
          <w:b/>
          <w:bCs/>
          <w:szCs w:val="22"/>
        </w:rPr>
      </w:pPr>
      <w:r w:rsidRPr="25AE789B">
        <w:rPr>
          <w:rFonts w:eastAsia="Arial" w:cs="Arial"/>
          <w:b/>
          <w:bCs/>
          <w:szCs w:val="22"/>
        </w:rPr>
        <w:t xml:space="preserve">Principle 6 – Decisions directed by will and preferences </w:t>
      </w:r>
    </w:p>
    <w:p w14:paraId="24BEB030" w14:textId="7D5B49C5" w:rsidR="00752E72" w:rsidRDefault="25B7430C" w:rsidP="006A20D4">
      <w:pPr>
        <w:ind w:left="567"/>
        <w:rPr>
          <w:rFonts w:eastAsia="Arial" w:cs="Arial"/>
          <w:szCs w:val="22"/>
        </w:rPr>
      </w:pPr>
      <w:r w:rsidRPr="25AE789B">
        <w:rPr>
          <w:rFonts w:eastAsia="Arial" w:cs="Arial"/>
          <w:szCs w:val="22"/>
        </w:rPr>
        <w:t>The will and preferences of people who may require supported decision-making must direct decisions that affect their lives.</w:t>
      </w:r>
    </w:p>
    <w:p w14:paraId="418B02F6" w14:textId="47F99019" w:rsidR="25B7430C" w:rsidRPr="00C86933" w:rsidRDefault="00752E72" w:rsidP="006A20D4">
      <w:pPr>
        <w:ind w:left="567"/>
        <w:rPr>
          <w:rFonts w:eastAsia="Arial" w:cs="Arial"/>
          <w:szCs w:val="22"/>
        </w:rPr>
      </w:pPr>
      <w:r>
        <w:rPr>
          <w:rFonts w:eastAsia="Arial" w:cs="Arial"/>
          <w:szCs w:val="22"/>
        </w:rPr>
        <w:t xml:space="preserve">Note:  </w:t>
      </w:r>
      <w:r w:rsidR="008A7770" w:rsidRPr="00C86933">
        <w:rPr>
          <w:rFonts w:eastAsia="Arial" w:cs="Arial"/>
          <w:szCs w:val="22"/>
        </w:rPr>
        <w:t>This includes respecting decisions that are expressed in non-conventional ways including non-verbally or through observed behaviour.</w:t>
      </w:r>
    </w:p>
    <w:p w14:paraId="3F0BB9A7" w14:textId="259042C9" w:rsidR="25B7430C" w:rsidRDefault="25B7430C" w:rsidP="006A20D4">
      <w:pPr>
        <w:ind w:left="567"/>
        <w:rPr>
          <w:rFonts w:eastAsia="Arial" w:cs="Arial"/>
          <w:b/>
          <w:bCs/>
          <w:szCs w:val="22"/>
        </w:rPr>
      </w:pPr>
      <w:r w:rsidRPr="25AE789B">
        <w:rPr>
          <w:rFonts w:eastAsia="Arial" w:cs="Arial"/>
          <w:b/>
          <w:bCs/>
          <w:szCs w:val="22"/>
        </w:rPr>
        <w:t xml:space="preserve">Principle 7 – Inclusion of safeguards </w:t>
      </w:r>
    </w:p>
    <w:p w14:paraId="5A65466F" w14:textId="0B6EB12B" w:rsidR="25B7430C" w:rsidRDefault="25B7430C" w:rsidP="006A20D4">
      <w:pPr>
        <w:ind w:left="567"/>
      </w:pPr>
      <w:r w:rsidRPr="25AE789B">
        <w:rPr>
          <w:rFonts w:eastAsia="Arial" w:cs="Arial"/>
          <w:szCs w:val="22"/>
        </w:rPr>
        <w:t xml:space="preserve">There must be appropriate and effective safeguards where people may require supported decision-making, including to prevent abuse and undue influence. </w:t>
      </w:r>
    </w:p>
    <w:p w14:paraId="2F92947B" w14:textId="6B25E015" w:rsidR="25B7430C" w:rsidRDefault="25B7430C" w:rsidP="006A20D4">
      <w:pPr>
        <w:ind w:left="567"/>
        <w:rPr>
          <w:rFonts w:eastAsia="Arial" w:cs="Arial"/>
          <w:b/>
          <w:bCs/>
          <w:szCs w:val="22"/>
        </w:rPr>
      </w:pPr>
      <w:r w:rsidRPr="25AE789B">
        <w:rPr>
          <w:rFonts w:eastAsia="Arial" w:cs="Arial"/>
          <w:b/>
          <w:bCs/>
          <w:szCs w:val="22"/>
        </w:rPr>
        <w:t xml:space="preserve">Principle 8 – Co-designed processes </w:t>
      </w:r>
    </w:p>
    <w:p w14:paraId="3F5C962F" w14:textId="31FD7F40" w:rsidR="25B7430C" w:rsidRDefault="25B7430C" w:rsidP="006A20D4">
      <w:pPr>
        <w:ind w:left="567"/>
      </w:pPr>
      <w:r w:rsidRPr="25AE789B">
        <w:rPr>
          <w:rFonts w:eastAsia="Arial" w:cs="Arial"/>
          <w:szCs w:val="22"/>
        </w:rPr>
        <w:t xml:space="preserve">People with disability, in particular people with cognitive disability, their supporters and representative organisations, should be involved in the development and delivery of policies and practices on supported decision-making. </w:t>
      </w:r>
    </w:p>
    <w:p w14:paraId="055D9EEB" w14:textId="3BB8F300" w:rsidR="25B7430C" w:rsidRDefault="25B7430C" w:rsidP="006A20D4">
      <w:pPr>
        <w:ind w:left="567"/>
        <w:rPr>
          <w:rFonts w:eastAsia="Arial" w:cs="Arial"/>
          <w:b/>
          <w:bCs/>
          <w:szCs w:val="22"/>
        </w:rPr>
      </w:pPr>
      <w:r w:rsidRPr="25AE789B">
        <w:rPr>
          <w:rFonts w:eastAsia="Arial" w:cs="Arial"/>
          <w:b/>
          <w:bCs/>
          <w:szCs w:val="22"/>
        </w:rPr>
        <w:t xml:space="preserve">Principle 9 – Recognition of diversity </w:t>
      </w:r>
    </w:p>
    <w:p w14:paraId="234811F9" w14:textId="6A655831" w:rsidR="25B7430C" w:rsidRDefault="25B7430C" w:rsidP="006A20D4">
      <w:pPr>
        <w:ind w:left="567"/>
      </w:pPr>
      <w:r w:rsidRPr="25AE789B">
        <w:rPr>
          <w:rFonts w:eastAsia="Arial" w:cs="Arial"/>
          <w:szCs w:val="22"/>
        </w:rPr>
        <w:t xml:space="preserve">The diverse experiences, identities and needs of people who may require supported decision-making must be actively considered. </w:t>
      </w:r>
    </w:p>
    <w:p w14:paraId="5E122C9F" w14:textId="271FB66A" w:rsidR="25B7430C" w:rsidRDefault="25B7430C" w:rsidP="075C9D34">
      <w:pPr>
        <w:ind w:left="567"/>
        <w:rPr>
          <w:rFonts w:eastAsia="Arial" w:cs="Arial"/>
          <w:b/>
          <w:bCs/>
        </w:rPr>
      </w:pPr>
      <w:r w:rsidRPr="075C9D34">
        <w:rPr>
          <w:rFonts w:eastAsia="Arial" w:cs="Arial"/>
          <w:b/>
          <w:bCs/>
        </w:rPr>
        <w:t xml:space="preserve">Principle 10 – Cultural safety </w:t>
      </w:r>
    </w:p>
    <w:p w14:paraId="51DA551C" w14:textId="443F7E5D" w:rsidR="25B7430C" w:rsidRDefault="3500C91D" w:rsidP="006A20D4">
      <w:pPr>
        <w:ind w:left="567"/>
        <w:rPr>
          <w:rFonts w:eastAsia="Arial" w:cs="Arial"/>
        </w:rPr>
      </w:pPr>
      <w:r w:rsidRPr="4C43186C">
        <w:rPr>
          <w:rFonts w:eastAsia="Arial" w:cs="Arial"/>
        </w:rPr>
        <w:t xml:space="preserve">First </w:t>
      </w:r>
      <w:r w:rsidR="25B7430C" w:rsidRPr="4C43186C">
        <w:rPr>
          <w:rFonts w:eastAsia="Arial" w:cs="Arial"/>
        </w:rPr>
        <w:t>Nations people and culturally and linguistically diverse people with disability are entitled to supported decision-making that is culturally safe, sensitive and responsive. This includes recognising the importance of maintaining a person’s cultural and linguistic environment and set of values.</w:t>
      </w:r>
    </w:p>
    <w:p w14:paraId="2E070397" w14:textId="67D203A8" w:rsidR="0064661F" w:rsidRDefault="0064661F" w:rsidP="00C56A73">
      <w:pPr>
        <w:rPr>
          <w:rFonts w:eastAsia="Arial" w:cs="Arial"/>
        </w:rPr>
      </w:pPr>
      <w:r>
        <w:rPr>
          <w:rFonts w:eastAsia="Arial" w:cs="Arial"/>
        </w:rPr>
        <w:t>The</w:t>
      </w:r>
      <w:r w:rsidR="00C56A73">
        <w:rPr>
          <w:rFonts w:eastAsia="Arial" w:cs="Arial"/>
        </w:rPr>
        <w:t xml:space="preserve"> principles </w:t>
      </w:r>
      <w:r>
        <w:rPr>
          <w:rFonts w:eastAsia="Arial" w:cs="Arial"/>
        </w:rPr>
        <w:t xml:space="preserve">above have been drawn from the </w:t>
      </w:r>
      <w:r w:rsidRPr="0064661F">
        <w:rPr>
          <w:rFonts w:eastAsia="Arial" w:cs="Arial"/>
        </w:rPr>
        <w:t xml:space="preserve">principles of supported decision-making recommended by the </w:t>
      </w:r>
      <w:r w:rsidR="00FC1ECC">
        <w:rPr>
          <w:rFonts w:eastAsia="Arial" w:cs="Arial"/>
        </w:rPr>
        <w:t xml:space="preserve">Disability </w:t>
      </w:r>
      <w:r w:rsidRPr="0064661F">
        <w:rPr>
          <w:rFonts w:eastAsia="Arial" w:cs="Arial"/>
        </w:rPr>
        <w:t>Royal Commission</w:t>
      </w:r>
      <w:r w:rsidR="00FC1ECC">
        <w:rPr>
          <w:rFonts w:eastAsia="Arial" w:cs="Arial"/>
        </w:rPr>
        <w:t xml:space="preserve">, </w:t>
      </w:r>
      <w:r>
        <w:rPr>
          <w:rFonts w:eastAsia="Arial" w:cs="Arial"/>
        </w:rPr>
        <w:t xml:space="preserve">adapted to the registered </w:t>
      </w:r>
      <w:r w:rsidR="00FC1ECC">
        <w:rPr>
          <w:rFonts w:eastAsia="Arial" w:cs="Arial"/>
        </w:rPr>
        <w:t xml:space="preserve">supporter context. </w:t>
      </w:r>
    </w:p>
    <w:p w14:paraId="55533800" w14:textId="0CDF7D87" w:rsidR="00C56A73" w:rsidRPr="004A039D" w:rsidRDefault="00C56A73" w:rsidP="00C56A73">
      <w:pPr>
        <w:rPr>
          <w:rFonts w:eastAsia="Arial" w:cs="Arial"/>
          <w:color w:val="FF0000"/>
        </w:rPr>
      </w:pPr>
      <w:r>
        <w:rPr>
          <w:rFonts w:eastAsia="Arial" w:cs="Arial"/>
        </w:rPr>
        <w:t>The</w:t>
      </w:r>
      <w:r w:rsidR="0064661F">
        <w:rPr>
          <w:rFonts w:eastAsia="Arial" w:cs="Arial"/>
        </w:rPr>
        <w:t xml:space="preserve"> principles </w:t>
      </w:r>
      <w:r w:rsidR="00FC1ECC">
        <w:rPr>
          <w:rFonts w:eastAsia="Arial" w:cs="Arial"/>
        </w:rPr>
        <w:t>of the Disability Royal Commission</w:t>
      </w:r>
      <w:r>
        <w:rPr>
          <w:rFonts w:eastAsia="Arial" w:cs="Arial"/>
        </w:rPr>
        <w:t xml:space="preserve"> buil</w:t>
      </w:r>
      <w:r w:rsidR="00FC1ECC">
        <w:rPr>
          <w:rFonts w:eastAsia="Arial" w:cs="Arial"/>
        </w:rPr>
        <w:t>t</w:t>
      </w:r>
      <w:r>
        <w:rPr>
          <w:rFonts w:eastAsia="Arial" w:cs="Arial"/>
        </w:rPr>
        <w:t xml:space="preserve"> on the work o</w:t>
      </w:r>
      <w:r w:rsidR="00CE338B">
        <w:rPr>
          <w:rFonts w:eastAsia="Arial" w:cs="Arial"/>
        </w:rPr>
        <w:t>f</w:t>
      </w:r>
      <w:r>
        <w:rPr>
          <w:rFonts w:eastAsia="Arial" w:cs="Arial"/>
        </w:rPr>
        <w:t xml:space="preserve"> the </w:t>
      </w:r>
      <w:r w:rsidRPr="00C56A73">
        <w:rPr>
          <w:rFonts w:eastAsia="Arial" w:cs="Arial"/>
        </w:rPr>
        <w:t>Australian Law Reform Commission</w:t>
      </w:r>
      <w:r w:rsidR="00CE338B">
        <w:rPr>
          <w:rFonts w:eastAsia="Arial" w:cs="Arial"/>
        </w:rPr>
        <w:t>’s</w:t>
      </w:r>
      <w:r w:rsidRPr="00C56A73">
        <w:rPr>
          <w:rFonts w:eastAsia="Arial" w:cs="Arial"/>
        </w:rPr>
        <w:t xml:space="preserve"> report, </w:t>
      </w:r>
      <w:r w:rsidRPr="00CE338B">
        <w:rPr>
          <w:rFonts w:eastAsia="Arial" w:cs="Arial"/>
          <w:i/>
          <w:iCs/>
        </w:rPr>
        <w:t>Equality, capacity and disability in Commonwealth laws</w:t>
      </w:r>
      <w:r w:rsidR="00CE338B">
        <w:rPr>
          <w:rFonts w:eastAsia="Arial" w:cs="Arial"/>
        </w:rPr>
        <w:t xml:space="preserve"> which </w:t>
      </w:r>
      <w:r w:rsidR="00CE338B" w:rsidRPr="00CE338B">
        <w:rPr>
          <w:rFonts w:eastAsia="Arial" w:cs="Arial"/>
        </w:rPr>
        <w:t xml:space="preserve">recommended all jurisdictions reform laws and legal frameworks to formally recognise and promote supported decision-making in line with </w:t>
      </w:r>
      <w:r w:rsidR="00CF480D">
        <w:rPr>
          <w:rFonts w:eastAsia="Arial" w:cs="Arial"/>
        </w:rPr>
        <w:t>specific</w:t>
      </w:r>
      <w:r w:rsidR="00CE338B" w:rsidRPr="00CE338B">
        <w:rPr>
          <w:rFonts w:eastAsia="Arial" w:cs="Arial"/>
        </w:rPr>
        <w:t xml:space="preserve"> principles and a decision-making model.</w:t>
      </w:r>
      <w:r w:rsidR="000018C3">
        <w:rPr>
          <w:rStyle w:val="EndnoteReference"/>
          <w:rFonts w:eastAsia="Arial" w:cs="Arial"/>
        </w:rPr>
        <w:endnoteReference w:id="5"/>
      </w:r>
    </w:p>
    <w:p w14:paraId="2B1F1147" w14:textId="77777777" w:rsidR="000E5836" w:rsidRDefault="000E5836" w:rsidP="007F0AC6">
      <w:pPr>
        <w:pStyle w:val="Heading4"/>
        <w:rPr>
          <w:lang w:eastAsia="en-AU"/>
        </w:rPr>
      </w:pPr>
      <w:r>
        <w:rPr>
          <w:lang w:eastAsia="en-AU"/>
        </w:rPr>
        <w:t>Presumption of capacity</w:t>
      </w:r>
    </w:p>
    <w:p w14:paraId="61E68CE2" w14:textId="304DE1B7" w:rsidR="000E5836" w:rsidRDefault="000E5836" w:rsidP="000E5836">
      <w:r w:rsidRPr="52A68681">
        <w:rPr>
          <w:rFonts w:cs="Arial"/>
        </w:rPr>
        <w:t xml:space="preserve">A key change under the Act is that every older person is presumed to have the ability to make </w:t>
      </w:r>
      <w:r w:rsidR="00951526" w:rsidRPr="52A68681">
        <w:rPr>
          <w:rFonts w:cs="Arial"/>
        </w:rPr>
        <w:t>their own</w:t>
      </w:r>
      <w:r w:rsidRPr="52A68681">
        <w:rPr>
          <w:rFonts w:cs="Arial"/>
        </w:rPr>
        <w:t xml:space="preserve"> decisions. </w:t>
      </w:r>
      <w:r w:rsidR="003B5784">
        <w:t xml:space="preserve">This is known as the presumption of capacity. </w:t>
      </w:r>
      <w:r w:rsidRPr="52A68681">
        <w:rPr>
          <w:rFonts w:cs="Arial"/>
        </w:rPr>
        <w:t>The Act</w:t>
      </w:r>
      <w:r>
        <w:t xml:space="preserve"> recognises that</w:t>
      </w:r>
      <w:r w:rsidR="003B5784">
        <w:t xml:space="preserve"> an older person’s</w:t>
      </w:r>
      <w:r>
        <w:t xml:space="preserve"> capacity can fluctuate and seeks to maintain an older person’s connection to their decision-making for as long</w:t>
      </w:r>
      <w:r w:rsidR="001D315C">
        <w:t>, and to the greatest extent, possible</w:t>
      </w:r>
      <w:r>
        <w:t xml:space="preserve">. </w:t>
      </w:r>
    </w:p>
    <w:p w14:paraId="567F1038" w14:textId="79E72D33" w:rsidR="2CCA8142" w:rsidRPr="007E6C72" w:rsidRDefault="535E6E63">
      <w:r>
        <w:lastRenderedPageBreak/>
        <w:t>The</w:t>
      </w:r>
      <w:r w:rsidR="4A8B6E8C" w:rsidRPr="007E6C72">
        <w:t xml:space="preserve"> presumption</w:t>
      </w:r>
      <w:r w:rsidR="71AD128B">
        <w:t xml:space="preserve"> </w:t>
      </w:r>
      <w:r w:rsidR="72DE665A">
        <w:t xml:space="preserve">of capacity </w:t>
      </w:r>
      <w:r w:rsidR="71AD128B">
        <w:t xml:space="preserve">applies to </w:t>
      </w:r>
      <w:r w:rsidR="4A8B6E8C" w:rsidRPr="007E6C72">
        <w:t xml:space="preserve">every decision to be made. </w:t>
      </w:r>
      <w:r w:rsidR="5873665D">
        <w:t xml:space="preserve">This means that </w:t>
      </w:r>
      <w:r w:rsidR="58BB120D">
        <w:t>an</w:t>
      </w:r>
      <w:r w:rsidR="4282C602">
        <w:t xml:space="preserve"> older person</w:t>
      </w:r>
      <w:r w:rsidR="15226FA5">
        <w:t xml:space="preserve"> is presumed to be able to make</w:t>
      </w:r>
      <w:r w:rsidR="5873665D">
        <w:t xml:space="preserve"> every </w:t>
      </w:r>
      <w:r w:rsidR="3DDE68F1">
        <w:t xml:space="preserve">new </w:t>
      </w:r>
      <w:r w:rsidR="5873665D">
        <w:t>decision</w:t>
      </w:r>
      <w:r w:rsidR="3DDE68F1">
        <w:t>. If an older person is not able to make a decision on one occasion, it does not mean t</w:t>
      </w:r>
      <w:r w:rsidR="15226FA5">
        <w:t xml:space="preserve">hey </w:t>
      </w:r>
      <w:r w:rsidR="3DDE68F1">
        <w:t>should be excluded from decision</w:t>
      </w:r>
      <w:r w:rsidR="6CE7DFF2">
        <w:t>-</w:t>
      </w:r>
      <w:r w:rsidR="3DDE68F1">
        <w:t xml:space="preserve">making on </w:t>
      </w:r>
      <w:r w:rsidR="0D62D673">
        <w:t xml:space="preserve">other </w:t>
      </w:r>
      <w:r w:rsidR="3DDE68F1">
        <w:t>occasion</w:t>
      </w:r>
      <w:r w:rsidR="3ED3220E">
        <w:t>s</w:t>
      </w:r>
      <w:r w:rsidR="4A8B6E8C" w:rsidRPr="007E6C72">
        <w:t>.</w:t>
      </w:r>
    </w:p>
    <w:p w14:paraId="037C3E49" w14:textId="77777777" w:rsidR="007F0AC6" w:rsidRDefault="007F0AC6" w:rsidP="007F0AC6">
      <w:pPr>
        <w:pStyle w:val="Heading3"/>
      </w:pPr>
      <w:bookmarkStart w:id="9" w:name="_Toc208321375"/>
      <w:r>
        <w:t>Supported and substitute decision-making</w:t>
      </w:r>
      <w:bookmarkEnd w:id="9"/>
      <w:r>
        <w:t xml:space="preserve"> </w:t>
      </w:r>
    </w:p>
    <w:p w14:paraId="4974F9F0" w14:textId="7DD31AD3" w:rsidR="00BE6413" w:rsidRDefault="007F0AC6" w:rsidP="007F0AC6">
      <w:r>
        <w:t>In contrast to supported decision-making, substitute decision-making includes a</w:t>
      </w:r>
      <w:r w:rsidRPr="002241A4">
        <w:t xml:space="preserve"> range of processes and </w:t>
      </w:r>
      <w:r w:rsidR="007E6C72">
        <w:t>approaches</w:t>
      </w:r>
      <w:r w:rsidR="007E6C72" w:rsidRPr="002241A4">
        <w:t xml:space="preserve"> </w:t>
      </w:r>
      <w:r w:rsidRPr="002241A4">
        <w:t xml:space="preserve">that involve a person making decisions on another person’s behalf. </w:t>
      </w:r>
      <w:r>
        <w:t>This</w:t>
      </w:r>
      <w:r w:rsidRPr="002241A4">
        <w:t xml:space="preserve"> includes</w:t>
      </w:r>
      <w:r>
        <w:t xml:space="preserve"> the</w:t>
      </w:r>
      <w:r w:rsidRPr="002241A4">
        <w:t xml:space="preserve"> </w:t>
      </w:r>
      <w:r w:rsidR="00AB171B">
        <w:t xml:space="preserve">legal </w:t>
      </w:r>
      <w:r w:rsidRPr="002241A4">
        <w:t>appointment of guardians, administrators and financial managers to make certain decisions on another person’s behalf</w:t>
      </w:r>
      <w:r>
        <w:t>.</w:t>
      </w:r>
      <w:r w:rsidR="003A5AB9">
        <w:t xml:space="preserve"> </w:t>
      </w:r>
      <w:r w:rsidR="00BE6413" w:rsidRPr="00BE6413">
        <w:t xml:space="preserve">Under the Act, </w:t>
      </w:r>
      <w:r w:rsidR="00BE6413">
        <w:t>people who have decision-making authority for an older person</w:t>
      </w:r>
      <w:r w:rsidR="00BE6413" w:rsidRPr="00BE6413">
        <w:t xml:space="preserve"> are referred to as ‘guardians </w:t>
      </w:r>
      <w:r w:rsidR="00680AF0">
        <w:t>etc’</w:t>
      </w:r>
      <w:r w:rsidR="00BE6413" w:rsidRPr="00BE6413">
        <w:t xml:space="preserve">. In policy guidance, these </w:t>
      </w:r>
      <w:r w:rsidR="003136A9">
        <w:t>people</w:t>
      </w:r>
      <w:r w:rsidR="003136A9" w:rsidRPr="00BE6413">
        <w:t xml:space="preserve"> </w:t>
      </w:r>
      <w:r w:rsidR="00BE6413" w:rsidRPr="00BE6413">
        <w:t>are referred to as ‘</w:t>
      </w:r>
      <w:r w:rsidR="00BE6413" w:rsidRPr="002F27A9">
        <w:rPr>
          <w:b/>
          <w:bCs/>
        </w:rPr>
        <w:t>active, appointed decision makers</w:t>
      </w:r>
      <w:r w:rsidR="00BE6413" w:rsidRPr="00BE6413">
        <w:t>’.</w:t>
      </w:r>
    </w:p>
    <w:p w14:paraId="0FA8762C" w14:textId="77777777" w:rsidR="007F0AC6" w:rsidRDefault="007F0AC6" w:rsidP="007F0AC6">
      <w:r>
        <w:t xml:space="preserve">Substitute decision-making should only be used as a last resort, when the older person has experienced or is experiencing a loss in capacity and cannot make or communicate decisions for themselves. </w:t>
      </w:r>
    </w:p>
    <w:p w14:paraId="4CCA40D6" w14:textId="36307330" w:rsidR="007F0AC6" w:rsidRDefault="007F0AC6" w:rsidP="007F0AC6">
      <w:r>
        <w:t>Even when another person makes a decision on behalf of the older person, the older person should remain involved and</w:t>
      </w:r>
      <w:r w:rsidR="00584C70">
        <w:t xml:space="preserve"> be</w:t>
      </w:r>
      <w:r>
        <w:t xml:space="preserve"> the centre of decisions that affect them, as far as practicable. </w:t>
      </w:r>
    </w:p>
    <w:p w14:paraId="31F008C2" w14:textId="31958604" w:rsidR="00B13270" w:rsidRPr="00B13270" w:rsidRDefault="426C2A71" w:rsidP="00B13270">
      <w:r>
        <w:t>Where</w:t>
      </w:r>
      <w:r w:rsidR="007E426A">
        <w:t xml:space="preserve"> </w:t>
      </w:r>
      <w:r w:rsidR="00B14972">
        <w:t>a person has a</w:t>
      </w:r>
      <w:r w:rsidR="002B250F">
        <w:t>n active, appointed decision maker,</w:t>
      </w:r>
      <w:r w:rsidR="00B14972">
        <w:t xml:space="preserve"> this does not </w:t>
      </w:r>
      <w:r w:rsidR="002B250F">
        <w:t xml:space="preserve">necessarily </w:t>
      </w:r>
      <w:r w:rsidR="00B14972">
        <w:t xml:space="preserve">mean that they cannot make decisions for themselves on a </w:t>
      </w:r>
      <w:r w:rsidR="002B250F">
        <w:t>day-to-day</w:t>
      </w:r>
      <w:r w:rsidR="00B14972">
        <w:t xml:space="preserve"> basis.</w:t>
      </w:r>
      <w:r w:rsidR="00B13270">
        <w:t xml:space="preserve"> </w:t>
      </w:r>
      <w:r w:rsidR="003D3B1C">
        <w:t>T</w:t>
      </w:r>
      <w:r w:rsidR="00B13270">
        <w:t xml:space="preserve">he presumption of capacity </w:t>
      </w:r>
      <w:r w:rsidR="2299CC7B">
        <w:t>may</w:t>
      </w:r>
      <w:r w:rsidR="00B13270">
        <w:t xml:space="preserve"> continue to apply</w:t>
      </w:r>
      <w:r w:rsidR="003D3B1C">
        <w:t xml:space="preserve">. </w:t>
      </w:r>
    </w:p>
    <w:p w14:paraId="5EA745A4" w14:textId="051D888B" w:rsidR="00B13270" w:rsidRPr="00B13270" w:rsidRDefault="003D3B1C" w:rsidP="00B13270">
      <w:r>
        <w:t xml:space="preserve">For example, </w:t>
      </w:r>
      <w:r w:rsidR="00B13270">
        <w:t xml:space="preserve">an </w:t>
      </w:r>
      <w:r w:rsidR="001C4182">
        <w:t xml:space="preserve">appointed decision maker </w:t>
      </w:r>
      <w:r w:rsidR="6B2C2EE1">
        <w:t>may have</w:t>
      </w:r>
      <w:r w:rsidR="18EFD3A0">
        <w:t xml:space="preserve"> authority</w:t>
      </w:r>
      <w:r w:rsidR="00BB1F0F">
        <w:t xml:space="preserve"> </w:t>
      </w:r>
      <w:r w:rsidR="00F61C1A">
        <w:t>to make</w:t>
      </w:r>
      <w:r w:rsidR="00B13270" w:rsidRPr="00B13270">
        <w:t xml:space="preserve"> </w:t>
      </w:r>
      <w:r w:rsidR="00F61C1A">
        <w:t>certain</w:t>
      </w:r>
      <w:r w:rsidR="00B13270" w:rsidRPr="00B13270">
        <w:t xml:space="preserve"> types of decisions</w:t>
      </w:r>
      <w:r w:rsidR="00F61C1A">
        <w:t>,</w:t>
      </w:r>
      <w:r w:rsidR="002041CE">
        <w:t xml:space="preserve"> </w:t>
      </w:r>
      <w:r w:rsidR="10F6B90A">
        <w:t>such as financial decisions</w:t>
      </w:r>
      <w:r w:rsidR="49B1D5E6">
        <w:t xml:space="preserve">. In these circumstances, </w:t>
      </w:r>
      <w:r w:rsidR="00B13270" w:rsidRPr="00B13270">
        <w:t>the</w:t>
      </w:r>
      <w:r w:rsidR="00F61C1A">
        <w:t xml:space="preserve"> older</w:t>
      </w:r>
      <w:r w:rsidR="00B13270" w:rsidRPr="00B13270">
        <w:t xml:space="preserve"> person </w:t>
      </w:r>
      <w:r w:rsidR="00524C00">
        <w:t>may still be</w:t>
      </w:r>
      <w:r w:rsidR="00B13270" w:rsidRPr="00B13270">
        <w:t xml:space="preserve"> presumed to have capacity to make decisions</w:t>
      </w:r>
      <w:r w:rsidR="070C29DC">
        <w:t xml:space="preserve"> about their life</w:t>
      </w:r>
      <w:r w:rsidR="00B13270">
        <w:t>. Th</w:t>
      </w:r>
      <w:r w:rsidR="2B49D555">
        <w:t xml:space="preserve">is means the </w:t>
      </w:r>
      <w:r w:rsidR="00BD6017">
        <w:t xml:space="preserve">older </w:t>
      </w:r>
      <w:r w:rsidR="00B13270" w:rsidRPr="00B13270">
        <w:t xml:space="preserve">person </w:t>
      </w:r>
      <w:r w:rsidR="61E25880">
        <w:t>may</w:t>
      </w:r>
      <w:r w:rsidR="00B13270" w:rsidRPr="00B13270">
        <w:t xml:space="preserve"> continue </w:t>
      </w:r>
      <w:r w:rsidR="006C44F7">
        <w:t xml:space="preserve">to </w:t>
      </w:r>
      <w:r w:rsidR="00BD6017">
        <w:t>make their own decisions</w:t>
      </w:r>
      <w:r w:rsidR="001925DD">
        <w:t xml:space="preserve">, </w:t>
      </w:r>
      <w:r w:rsidR="0439642A">
        <w:t>and be supported to do so</w:t>
      </w:r>
      <w:r w:rsidR="4F3C735D">
        <w:t>. H</w:t>
      </w:r>
      <w:r w:rsidR="006C44F7">
        <w:t>owever,</w:t>
      </w:r>
      <w:r w:rsidR="00B13270">
        <w:t xml:space="preserve"> </w:t>
      </w:r>
      <w:r w:rsidR="003A14D1">
        <w:t xml:space="preserve">for </w:t>
      </w:r>
      <w:r w:rsidR="075CE6ED">
        <w:t>financial</w:t>
      </w:r>
      <w:r w:rsidR="003A14D1">
        <w:t xml:space="preserve"> decisions </w:t>
      </w:r>
      <w:r w:rsidR="00D54071">
        <w:t>with</w:t>
      </w:r>
      <w:r w:rsidR="00B95EFA">
        <w:t xml:space="preserve">in the scope of the </w:t>
      </w:r>
      <w:r w:rsidR="006C44F7">
        <w:t xml:space="preserve">active, </w:t>
      </w:r>
      <w:r w:rsidR="003A14D1">
        <w:t>appointed decision maker</w:t>
      </w:r>
      <w:r w:rsidR="00B95EFA">
        <w:t xml:space="preserve">’s authority, </w:t>
      </w:r>
      <w:r w:rsidR="00D54071">
        <w:t>the appointed decision maker</w:t>
      </w:r>
      <w:r w:rsidR="003A14D1">
        <w:t xml:space="preserve"> may </w:t>
      </w:r>
      <w:r w:rsidR="00B13270" w:rsidRPr="00B13270">
        <w:t>need to be involved as well.</w:t>
      </w:r>
    </w:p>
    <w:p w14:paraId="22383F5A" w14:textId="77777777" w:rsidR="00FA6C98" w:rsidRDefault="00FA6C98" w:rsidP="00FA6C98">
      <w:pPr>
        <w:pStyle w:val="Heading2"/>
        <w:spacing w:line="259" w:lineRule="auto"/>
        <w:rPr>
          <w:lang w:eastAsia="en-AU"/>
        </w:rPr>
      </w:pPr>
      <w:bookmarkStart w:id="10" w:name="_Toc208321376"/>
      <w:r>
        <w:rPr>
          <w:lang w:eastAsia="en-AU"/>
        </w:rPr>
        <w:t>Registered supporters</w:t>
      </w:r>
      <w:bookmarkEnd w:id="10"/>
    </w:p>
    <w:p w14:paraId="62E326A7" w14:textId="77777777" w:rsidR="00FA6C98" w:rsidRDefault="00FA6C98" w:rsidP="00FA6C98">
      <w:r w:rsidRPr="006A76DF">
        <w:rPr>
          <w:rFonts w:cs="Arial"/>
          <w:lang w:eastAsia="en-AU"/>
        </w:rPr>
        <w:t xml:space="preserve">When the Act starts, older people </w:t>
      </w:r>
      <w:r>
        <w:rPr>
          <w:rFonts w:cs="Arial"/>
          <w:lang w:eastAsia="en-AU"/>
        </w:rPr>
        <w:t>can seek to register</w:t>
      </w:r>
      <w:r w:rsidRPr="006A76DF">
        <w:rPr>
          <w:rFonts w:cs="Arial"/>
          <w:lang w:eastAsia="en-AU"/>
        </w:rPr>
        <w:t xml:space="preserve"> people </w:t>
      </w:r>
      <w:r>
        <w:rPr>
          <w:rFonts w:cs="Arial"/>
          <w:lang w:eastAsia="en-AU"/>
        </w:rPr>
        <w:t xml:space="preserve">who can </w:t>
      </w:r>
      <w:r w:rsidRPr="006A76DF">
        <w:rPr>
          <w:rFonts w:cs="Arial"/>
          <w:lang w:eastAsia="en-AU"/>
        </w:rPr>
        <w:t xml:space="preserve">support them to make decisions, if they want or need </w:t>
      </w:r>
      <w:r>
        <w:rPr>
          <w:rFonts w:cs="Arial"/>
          <w:lang w:eastAsia="en-AU"/>
        </w:rPr>
        <w:t xml:space="preserve">this </w:t>
      </w:r>
      <w:r w:rsidRPr="006A76DF">
        <w:rPr>
          <w:rFonts w:cs="Arial"/>
          <w:lang w:eastAsia="en-AU"/>
        </w:rPr>
        <w:t>support.</w:t>
      </w:r>
      <w:r>
        <w:rPr>
          <w:rFonts w:cs="Arial"/>
          <w:lang w:eastAsia="en-AU"/>
        </w:rPr>
        <w:t xml:space="preserve"> These people are called registered supporters</w:t>
      </w:r>
      <w:r w:rsidRPr="7E24BD2C">
        <w:rPr>
          <w:rFonts w:cs="Arial"/>
          <w:lang w:eastAsia="en-AU"/>
        </w:rPr>
        <w:t>,</w:t>
      </w:r>
      <w:r>
        <w:rPr>
          <w:rFonts w:cs="Arial"/>
          <w:lang w:eastAsia="en-AU"/>
        </w:rPr>
        <w:t xml:space="preserve"> </w:t>
      </w:r>
      <w:r w:rsidRPr="13295296">
        <w:rPr>
          <w:rFonts w:cs="Arial"/>
          <w:lang w:eastAsia="en-AU"/>
        </w:rPr>
        <w:t xml:space="preserve">including </w:t>
      </w:r>
      <w:r>
        <w:rPr>
          <w:rFonts w:cs="Arial"/>
          <w:lang w:eastAsia="en-AU"/>
        </w:rPr>
        <w:t>in My Aged Care</w:t>
      </w:r>
      <w:r w:rsidRPr="40FA249A">
        <w:rPr>
          <w:rFonts w:cs="Arial"/>
          <w:lang w:eastAsia="en-AU"/>
        </w:rPr>
        <w:t>.</w:t>
      </w:r>
      <w:r w:rsidRPr="00BC3C25">
        <w:t xml:space="preserve"> </w:t>
      </w:r>
    </w:p>
    <w:p w14:paraId="3F4EAF08" w14:textId="19543B63" w:rsidR="00FA6C98" w:rsidRDefault="00FA6C98" w:rsidP="00FA6C98">
      <w:pPr>
        <w:rPr>
          <w:rFonts w:cs="Arial"/>
        </w:rPr>
      </w:pPr>
      <w:r w:rsidRPr="003438D4">
        <w:t>The registered supporter role is one of the changes under the Act that aim</w:t>
      </w:r>
      <w:r w:rsidR="00CF1158">
        <w:t>s</w:t>
      </w:r>
      <w:r w:rsidRPr="003438D4">
        <w:t xml:space="preserve"> to promote older peoples</w:t>
      </w:r>
      <w:r w:rsidR="00A6781B">
        <w:t>’</w:t>
      </w:r>
      <w:r w:rsidRPr="003438D4">
        <w:t xml:space="preserve"> right</w:t>
      </w:r>
      <w:r w:rsidR="001C465C">
        <w:t>s</w:t>
      </w:r>
      <w:r w:rsidRPr="003438D4">
        <w:t xml:space="preserve"> to be supported to make their own decisions.</w:t>
      </w:r>
    </w:p>
    <w:p w14:paraId="111E5D05" w14:textId="0674ABE4" w:rsidR="000E5836" w:rsidRDefault="6100FB61">
      <w:r>
        <w:t>Having a registered supporter does not stop an older person from being able to receive information, make decisions, or communicate directly with others including aged care providers, My Aged Care and assessors. Older people can keep requesting, receiving and communicating information and making decisions</w:t>
      </w:r>
      <w:r w:rsidR="00C34BD2">
        <w:t>.</w:t>
      </w:r>
    </w:p>
    <w:p w14:paraId="7595E979" w14:textId="4462B06E" w:rsidR="000E5836" w:rsidRDefault="003B5784" w:rsidP="000E5836">
      <w:pPr>
        <w:rPr>
          <w:rFonts w:cs="Arial"/>
        </w:rPr>
      </w:pPr>
      <w:r>
        <w:rPr>
          <w:rFonts w:cs="Arial"/>
        </w:rPr>
        <w:t>Similarly, age</w:t>
      </w:r>
      <w:r w:rsidR="000E5836">
        <w:rPr>
          <w:rFonts w:cs="Arial"/>
        </w:rPr>
        <w:t xml:space="preserve">d care providers </w:t>
      </w:r>
      <w:r w:rsidR="00AD146A">
        <w:rPr>
          <w:rFonts w:cs="Arial"/>
        </w:rPr>
        <w:t>and workers</w:t>
      </w:r>
      <w:r w:rsidR="000E5836">
        <w:rPr>
          <w:rFonts w:cs="Arial"/>
        </w:rPr>
        <w:t xml:space="preserve"> must continue to go directly to the older person for decisions, even when there is a registered supporter. </w:t>
      </w:r>
      <w:r>
        <w:rPr>
          <w:rFonts w:cs="Arial"/>
        </w:rPr>
        <w:t>A</w:t>
      </w:r>
      <w:r w:rsidR="000E5836">
        <w:rPr>
          <w:rFonts w:cs="Arial"/>
        </w:rPr>
        <w:t>n older person can</w:t>
      </w:r>
      <w:r>
        <w:rPr>
          <w:rFonts w:cs="Arial"/>
        </w:rPr>
        <w:t>, however,</w:t>
      </w:r>
      <w:r w:rsidR="000E5836">
        <w:rPr>
          <w:rFonts w:cs="Arial"/>
        </w:rPr>
        <w:t xml:space="preserve"> ask a registered supporter to communicate their decisions.</w:t>
      </w:r>
    </w:p>
    <w:p w14:paraId="2448F97E" w14:textId="2698DA5D" w:rsidR="0006466F" w:rsidRDefault="4869F26B" w:rsidP="00941952">
      <w:pPr>
        <w:pStyle w:val="Heading3"/>
        <w:rPr>
          <w:lang w:eastAsia="en-AU"/>
        </w:rPr>
      </w:pPr>
      <w:bookmarkStart w:id="11" w:name="_Toc208321377"/>
      <w:r w:rsidRPr="30AD4D21">
        <w:rPr>
          <w:lang w:eastAsia="en-AU"/>
        </w:rPr>
        <w:lastRenderedPageBreak/>
        <w:t xml:space="preserve">Purpose and </w:t>
      </w:r>
      <w:r w:rsidRPr="5C814606">
        <w:rPr>
          <w:lang w:eastAsia="en-AU"/>
        </w:rPr>
        <w:t>role</w:t>
      </w:r>
      <w:bookmarkEnd w:id="11"/>
    </w:p>
    <w:p w14:paraId="1E982D51" w14:textId="4307C68B" w:rsidR="0006466F" w:rsidRPr="005002F0" w:rsidRDefault="0006466F" w:rsidP="0006466F">
      <w:r w:rsidRPr="005002F0">
        <w:t xml:space="preserve">Registered supporters help older people to make and communicate their own decisions about </w:t>
      </w:r>
      <w:r>
        <w:t>their aged care services and needs</w:t>
      </w:r>
      <w:r w:rsidR="0012773C">
        <w:t xml:space="preserve">. In practice, this may include a registered supporter </w:t>
      </w:r>
      <w:r w:rsidRPr="005002F0">
        <w:t>speaking to My Aged Care</w:t>
      </w:r>
      <w:r>
        <w:t>, aged care assessors, aged care providers, and</w:t>
      </w:r>
      <w:r w:rsidR="00951526">
        <w:t>/or</w:t>
      </w:r>
      <w:r>
        <w:t xml:space="preserve"> the Aged Care Quality and Safety Commission</w:t>
      </w:r>
      <w:r w:rsidR="0012773C">
        <w:t xml:space="preserve">, </w:t>
      </w:r>
      <w:r w:rsidR="00A9231A">
        <w:t>in line with the older person’s will and preferences</w:t>
      </w:r>
      <w:r>
        <w:t>.</w:t>
      </w:r>
      <w:r w:rsidRPr="005002F0">
        <w:t> Registered supporters can also request, access and receive information about the older person they support. </w:t>
      </w:r>
    </w:p>
    <w:p w14:paraId="4F0F4E66" w14:textId="77777777" w:rsidR="0006466F" w:rsidRDefault="0006466F" w:rsidP="0006466F">
      <w:pPr>
        <w:rPr>
          <w:rFonts w:cs="Arial"/>
        </w:rPr>
      </w:pPr>
      <w:r w:rsidRPr="66E88A25">
        <w:rPr>
          <w:rFonts w:cs="Arial"/>
        </w:rPr>
        <w:t>A</w:t>
      </w:r>
      <w:r>
        <w:rPr>
          <w:rFonts w:cs="Arial"/>
        </w:rPr>
        <w:t xml:space="preserve"> registered</w:t>
      </w:r>
      <w:r w:rsidRPr="66E88A25">
        <w:rPr>
          <w:rFonts w:cs="Arial"/>
        </w:rPr>
        <w:t xml:space="preserve"> supporter could be a trusted family member or friend of an older</w:t>
      </w:r>
      <w:r>
        <w:rPr>
          <w:rFonts w:cs="Arial"/>
        </w:rPr>
        <w:t xml:space="preserve"> </w:t>
      </w:r>
      <w:r w:rsidRPr="66E88A25">
        <w:rPr>
          <w:rFonts w:cs="Arial"/>
        </w:rPr>
        <w:t>person’s choosing</w:t>
      </w:r>
      <w:r>
        <w:rPr>
          <w:rFonts w:cs="Arial"/>
        </w:rPr>
        <w:t xml:space="preserve">. </w:t>
      </w:r>
      <w:r w:rsidRPr="66E88A25">
        <w:rPr>
          <w:rFonts w:cs="Arial"/>
        </w:rPr>
        <w:t xml:space="preserve">An older person can have more than one </w:t>
      </w:r>
      <w:r>
        <w:rPr>
          <w:rFonts w:cs="Arial"/>
        </w:rPr>
        <w:t xml:space="preserve">registered </w:t>
      </w:r>
      <w:r w:rsidRPr="66E88A25">
        <w:rPr>
          <w:rFonts w:cs="Arial"/>
        </w:rPr>
        <w:t>supporter.</w:t>
      </w:r>
    </w:p>
    <w:p w14:paraId="193F6DF5" w14:textId="77777777" w:rsidR="0006466F" w:rsidRDefault="0006466F" w:rsidP="0006466F">
      <w:r w:rsidRPr="005002F0">
        <w:t xml:space="preserve">Becoming a registered supporter does not provide a person with decision-making authority for the older person. </w:t>
      </w:r>
      <w:r>
        <w:t xml:space="preserve">A registered supporter’s role is to </w:t>
      </w:r>
      <w:r w:rsidRPr="005002F0">
        <w:t xml:space="preserve">support the older person </w:t>
      </w:r>
      <w:r>
        <w:t>to make their own decisions.</w:t>
      </w:r>
      <w:r w:rsidRPr="005002F0">
        <w:t xml:space="preserve"> </w:t>
      </w:r>
    </w:p>
    <w:p w14:paraId="316A0DBF" w14:textId="366298B5" w:rsidR="0006466F" w:rsidRDefault="0006466F" w:rsidP="0006466F">
      <w:r w:rsidRPr="005002F0">
        <w:t>Some registered supporters also have guardianship, enduring power of attorney or similar</w:t>
      </w:r>
      <w:r w:rsidR="00AD146A">
        <w:t xml:space="preserve"> legal authority</w:t>
      </w:r>
      <w:r w:rsidRPr="005002F0">
        <w:t xml:space="preserve">. These people are appointed decision makers for the older person and can make decisions on </w:t>
      </w:r>
      <w:r>
        <w:t xml:space="preserve">their </w:t>
      </w:r>
      <w:r w:rsidRPr="005002F0">
        <w:t xml:space="preserve">behalf under </w:t>
      </w:r>
      <w:r w:rsidR="0021214F">
        <w:t>Commonwealth,</w:t>
      </w:r>
      <w:r w:rsidRPr="005002F0">
        <w:t xml:space="preserve"> state or territory arrangements. An appointed decision maker can only make decisions on the older person’s behalf in line with their legal authority and if that legal authority is active.</w:t>
      </w:r>
    </w:p>
    <w:p w14:paraId="176E726F" w14:textId="74660551" w:rsidR="00BE4E9B" w:rsidRDefault="00BE4E9B" w:rsidP="00BE4E9B">
      <w:pPr>
        <w:pStyle w:val="Heading3"/>
      </w:pPr>
      <w:bookmarkStart w:id="12" w:name="_Toc208321378"/>
      <w:r>
        <w:t>Fluctuating capacity</w:t>
      </w:r>
      <w:bookmarkEnd w:id="12"/>
      <w:r>
        <w:t xml:space="preserve"> </w:t>
      </w:r>
    </w:p>
    <w:p w14:paraId="4C738B64" w14:textId="2405483B" w:rsidR="00CB3CEA" w:rsidRDefault="2C4FA080" w:rsidP="13295296">
      <w:pPr>
        <w:rPr>
          <w:rFonts w:cs="Arial"/>
        </w:rPr>
      </w:pPr>
      <w:r w:rsidRPr="13295296">
        <w:rPr>
          <w:rFonts w:cs="Arial"/>
        </w:rPr>
        <w:t>R</w:t>
      </w:r>
      <w:r w:rsidR="00CB3CEA" w:rsidRPr="13295296">
        <w:rPr>
          <w:rFonts w:cs="Arial"/>
        </w:rPr>
        <w:t>egistered</w:t>
      </w:r>
      <w:r w:rsidR="00CB3CEA">
        <w:rPr>
          <w:rFonts w:cs="Arial"/>
        </w:rPr>
        <w:t xml:space="preserve"> supporter</w:t>
      </w:r>
      <w:r w:rsidR="00795FE5">
        <w:rPr>
          <w:rFonts w:cs="Arial"/>
        </w:rPr>
        <w:t>s</w:t>
      </w:r>
      <w:r w:rsidR="00CB3CEA">
        <w:rPr>
          <w:rFonts w:cs="Arial"/>
        </w:rPr>
        <w:t xml:space="preserve"> </w:t>
      </w:r>
      <w:r w:rsidR="775D95E7" w:rsidRPr="13295296">
        <w:rPr>
          <w:rFonts w:cs="Arial"/>
        </w:rPr>
        <w:t xml:space="preserve">should </w:t>
      </w:r>
      <w:r w:rsidR="00CB3CEA" w:rsidRPr="13295296">
        <w:rPr>
          <w:rFonts w:cs="Arial"/>
        </w:rPr>
        <w:t>recognis</w:t>
      </w:r>
      <w:r w:rsidR="792CC5B3" w:rsidRPr="13295296">
        <w:rPr>
          <w:rFonts w:cs="Arial"/>
        </w:rPr>
        <w:t>e</w:t>
      </w:r>
      <w:r w:rsidR="00CB3CEA">
        <w:rPr>
          <w:rFonts w:cs="Arial"/>
        </w:rPr>
        <w:t xml:space="preserve"> </w:t>
      </w:r>
      <w:r w:rsidR="00CB3CEA" w:rsidRPr="006D2332">
        <w:rPr>
          <w:rFonts w:cs="Arial"/>
        </w:rPr>
        <w:t>that a</w:t>
      </w:r>
      <w:r w:rsidR="00CB3CEA">
        <w:rPr>
          <w:rFonts w:cs="Arial"/>
        </w:rPr>
        <w:t xml:space="preserve">n older </w:t>
      </w:r>
      <w:r w:rsidR="00CB3CEA" w:rsidRPr="006D2332" w:rsidDel="00AF4F5D">
        <w:rPr>
          <w:rFonts w:cs="Arial"/>
        </w:rPr>
        <w:t>person’s ability to make decisions and communicate their will and preferences may change from day to day or over time</w:t>
      </w:r>
      <w:r w:rsidR="00CB3CEA">
        <w:rPr>
          <w:rFonts w:cs="Arial"/>
        </w:rPr>
        <w:t xml:space="preserve">, </w:t>
      </w:r>
      <w:r w:rsidR="00CB3CEA" w:rsidRPr="006D2332">
        <w:rPr>
          <w:rFonts w:cs="Arial"/>
        </w:rPr>
        <w:t xml:space="preserve">depending on the </w:t>
      </w:r>
      <w:r w:rsidR="00795FE5">
        <w:rPr>
          <w:rFonts w:cs="Arial"/>
        </w:rPr>
        <w:t>circumstances and d</w:t>
      </w:r>
      <w:r w:rsidR="00CB3CEA" w:rsidRPr="006D2332">
        <w:rPr>
          <w:rFonts w:cs="Arial"/>
        </w:rPr>
        <w:t>ecision being made</w:t>
      </w:r>
      <w:r w:rsidR="00CB3CEA" w:rsidRPr="0278539F">
        <w:rPr>
          <w:rFonts w:cs="Arial"/>
        </w:rPr>
        <w:t>.</w:t>
      </w:r>
      <w:r w:rsidR="00CB3CEA" w:rsidRPr="006D2332" w:rsidDel="00AF4F5D">
        <w:rPr>
          <w:rFonts w:cs="Arial"/>
        </w:rPr>
        <w:t xml:space="preserve"> </w:t>
      </w:r>
      <w:r w:rsidR="00CB3CEA">
        <w:rPr>
          <w:rFonts w:cs="Arial"/>
        </w:rPr>
        <w:t xml:space="preserve">This is called fluctuating capacity. </w:t>
      </w:r>
    </w:p>
    <w:p w14:paraId="719FF855" w14:textId="4DD4EE11" w:rsidR="002A39A1" w:rsidRDefault="00CB3CEA" w:rsidP="00C35338">
      <w:r w:rsidRPr="00C35338">
        <w:t>Registered supporters help older pe</w:t>
      </w:r>
      <w:r w:rsidR="00420074" w:rsidRPr="00C35338">
        <w:t>ople</w:t>
      </w:r>
      <w:r w:rsidRPr="00C35338">
        <w:t xml:space="preserve"> to make and communicate their </w:t>
      </w:r>
      <w:r w:rsidR="00420074" w:rsidRPr="00C35338">
        <w:t xml:space="preserve">own </w:t>
      </w:r>
      <w:r w:rsidRPr="00C35338">
        <w:t>aged care decisions</w:t>
      </w:r>
      <w:r w:rsidR="008F0B10" w:rsidRPr="00C35338">
        <w:t>,</w:t>
      </w:r>
      <w:r w:rsidRPr="00C35338">
        <w:t xml:space="preserve"> </w:t>
      </w:r>
      <w:r w:rsidR="006616A5" w:rsidRPr="00C35338">
        <w:t>when</w:t>
      </w:r>
      <w:r w:rsidR="00C45D0D" w:rsidRPr="00C35338">
        <w:t xml:space="preserve"> the older person wants or needs</w:t>
      </w:r>
      <w:r w:rsidR="0027707E" w:rsidRPr="00C35338">
        <w:t xml:space="preserve"> help from their registered supporter</w:t>
      </w:r>
      <w:r w:rsidR="00C45D0D" w:rsidRPr="00C35338">
        <w:t xml:space="preserve">. </w:t>
      </w:r>
      <w:r w:rsidR="4ACFDFB5" w:rsidRPr="00C35338">
        <w:t>This may mean an older person</w:t>
      </w:r>
      <w:r w:rsidR="2B63E341" w:rsidRPr="00C35338">
        <w:t xml:space="preserve"> may</w:t>
      </w:r>
      <w:r w:rsidR="4ACFDFB5" w:rsidRPr="00C35338">
        <w:t xml:space="preserve"> requir</w:t>
      </w:r>
      <w:r w:rsidR="1E5D0955" w:rsidRPr="00C35338">
        <w:t xml:space="preserve">e different types or </w:t>
      </w:r>
      <w:r w:rsidR="452D2170" w:rsidRPr="00C35338">
        <w:t xml:space="preserve">levels </w:t>
      </w:r>
      <w:r w:rsidR="1E5D0955" w:rsidRPr="00C35338">
        <w:t>of</w:t>
      </w:r>
      <w:r w:rsidR="4ACFDFB5" w:rsidRPr="00C35338">
        <w:t xml:space="preserve"> support </w:t>
      </w:r>
      <w:r w:rsidR="00B3584C">
        <w:t xml:space="preserve">at certain times of the day, </w:t>
      </w:r>
      <w:r w:rsidR="4ACFDFB5" w:rsidRPr="00C35338">
        <w:t>on certain days</w:t>
      </w:r>
      <w:r w:rsidR="5137848C" w:rsidRPr="00C35338">
        <w:t xml:space="preserve">, or </w:t>
      </w:r>
      <w:r w:rsidR="008374E5">
        <w:t>during</w:t>
      </w:r>
      <w:r w:rsidR="005C0B75">
        <w:t xml:space="preserve"> </w:t>
      </w:r>
      <w:r w:rsidR="5137848C" w:rsidRPr="00C35338">
        <w:t>periods in their life</w:t>
      </w:r>
      <w:r w:rsidR="00941952" w:rsidRPr="00C35338">
        <w:t>.</w:t>
      </w:r>
      <w:r w:rsidR="4ACFDFB5" w:rsidRPr="00C35338">
        <w:t xml:space="preserve"> </w:t>
      </w:r>
    </w:p>
    <w:p w14:paraId="7061E8FC" w14:textId="5B361E9A" w:rsidR="00C35338" w:rsidRPr="00C35338" w:rsidRDefault="0074520E" w:rsidP="00C35338">
      <w:r>
        <w:rPr>
          <w:bCs/>
        </w:rPr>
        <w:t>W</w:t>
      </w:r>
      <w:r w:rsidRPr="002F27A9">
        <w:rPr>
          <w:bCs/>
        </w:rPr>
        <w:t>hen the older person can make decisions and convey their wishes</w:t>
      </w:r>
      <w:r>
        <w:rPr>
          <w:bCs/>
        </w:rPr>
        <w:t>, r</w:t>
      </w:r>
      <w:r w:rsidR="764DC5EB" w:rsidRPr="002F27A9">
        <w:rPr>
          <w:bCs/>
        </w:rPr>
        <w:t xml:space="preserve">egistered supporters </w:t>
      </w:r>
      <w:r w:rsidR="1D228DCE" w:rsidRPr="002F27A9">
        <w:rPr>
          <w:bCs/>
        </w:rPr>
        <w:t>and the</w:t>
      </w:r>
      <w:r w:rsidR="764DC5EB" w:rsidRPr="002F27A9">
        <w:rPr>
          <w:bCs/>
        </w:rPr>
        <w:t xml:space="preserve"> older person</w:t>
      </w:r>
      <w:r w:rsidR="355B473B" w:rsidRPr="002F27A9">
        <w:rPr>
          <w:bCs/>
        </w:rPr>
        <w:t xml:space="preserve"> they support should discuss</w:t>
      </w:r>
      <w:r w:rsidR="764DC5EB" w:rsidRPr="002F27A9">
        <w:rPr>
          <w:bCs/>
        </w:rPr>
        <w:t xml:space="preserve"> </w:t>
      </w:r>
      <w:r w:rsidR="0096462B" w:rsidRPr="002F27A9">
        <w:rPr>
          <w:bCs/>
        </w:rPr>
        <w:t xml:space="preserve">and, where relevant, document </w:t>
      </w:r>
      <w:r w:rsidR="764DC5EB" w:rsidRPr="002F27A9">
        <w:rPr>
          <w:bCs/>
        </w:rPr>
        <w:t>the</w:t>
      </w:r>
      <w:r w:rsidR="5A9B0A45" w:rsidRPr="002F27A9">
        <w:rPr>
          <w:bCs/>
        </w:rPr>
        <w:t xml:space="preserve"> older person’s</w:t>
      </w:r>
      <w:r w:rsidR="764DC5EB" w:rsidRPr="002F27A9">
        <w:rPr>
          <w:bCs/>
        </w:rPr>
        <w:t xml:space="preserve"> will</w:t>
      </w:r>
      <w:r w:rsidR="43F8618A" w:rsidRPr="001E5155">
        <w:rPr>
          <w:bCs/>
        </w:rPr>
        <w:t>,</w:t>
      </w:r>
      <w:r w:rsidR="764DC5EB" w:rsidRPr="002F27A9">
        <w:rPr>
          <w:bCs/>
        </w:rPr>
        <w:t xml:space="preserve"> preferences</w:t>
      </w:r>
      <w:r w:rsidR="25CA6345" w:rsidRPr="001E5155">
        <w:rPr>
          <w:bCs/>
        </w:rPr>
        <w:t>, former decisions</w:t>
      </w:r>
      <w:r w:rsidR="764DC5EB" w:rsidRPr="002F27A9">
        <w:rPr>
          <w:bCs/>
        </w:rPr>
        <w:t xml:space="preserve"> and how they prefer to be supported</w:t>
      </w:r>
      <w:r w:rsidR="51CF1F02" w:rsidRPr="002F27A9">
        <w:rPr>
          <w:bCs/>
        </w:rPr>
        <w:t>.</w:t>
      </w:r>
      <w:r w:rsidR="00CB3CEA" w:rsidRPr="002F27A9">
        <w:rPr>
          <w:bCs/>
        </w:rPr>
        <w:t xml:space="preserve"> </w:t>
      </w:r>
      <w:r w:rsidR="6A496E0B" w:rsidRPr="002F27A9">
        <w:rPr>
          <w:bCs/>
        </w:rPr>
        <w:t>However, an older person is not</w:t>
      </w:r>
      <w:r w:rsidR="00996230" w:rsidRPr="002F27A9">
        <w:rPr>
          <w:bCs/>
        </w:rPr>
        <w:t xml:space="preserve"> necessarily</w:t>
      </w:r>
      <w:r w:rsidR="6A496E0B" w:rsidRPr="002F27A9">
        <w:rPr>
          <w:bCs/>
        </w:rPr>
        <w:t xml:space="preserve"> bound by any previously expressed will </w:t>
      </w:r>
      <w:r w:rsidR="00281A14" w:rsidRPr="002F27A9">
        <w:rPr>
          <w:bCs/>
        </w:rPr>
        <w:t>and/</w:t>
      </w:r>
      <w:r w:rsidR="6A496E0B" w:rsidRPr="002F27A9">
        <w:rPr>
          <w:bCs/>
        </w:rPr>
        <w:t>or preferences.</w:t>
      </w:r>
      <w:r w:rsidR="228DE4F6" w:rsidRPr="002F27A9">
        <w:rPr>
          <w:bCs/>
        </w:rPr>
        <w:t xml:space="preserve"> In supporting an older person, registered supporters must remember that an older person may change their mind</w:t>
      </w:r>
      <w:r w:rsidR="4E3D9AD9" w:rsidRPr="002F27A9">
        <w:rPr>
          <w:bCs/>
        </w:rPr>
        <w:t>, including by making decision</w:t>
      </w:r>
      <w:r w:rsidR="00570E98" w:rsidRPr="001E5155">
        <w:rPr>
          <w:bCs/>
        </w:rPr>
        <w:t>s</w:t>
      </w:r>
      <w:r w:rsidR="4E3D9AD9" w:rsidRPr="002F27A9">
        <w:rPr>
          <w:bCs/>
        </w:rPr>
        <w:t xml:space="preserve"> that differ from their </w:t>
      </w:r>
      <w:r w:rsidR="3A5CA3EB" w:rsidRPr="002F27A9">
        <w:rPr>
          <w:bCs/>
        </w:rPr>
        <w:t>previously expressed will and/or preferences.</w:t>
      </w:r>
      <w:r w:rsidR="3A5CA3EB" w:rsidRPr="007E426A">
        <w:rPr>
          <w:bCs/>
        </w:rPr>
        <w:t xml:space="preserve"> </w:t>
      </w:r>
    </w:p>
    <w:p w14:paraId="269B5B12" w14:textId="77777777" w:rsidR="00774F6C" w:rsidRDefault="00774F6C" w:rsidP="00774F6C">
      <w:pPr>
        <w:pStyle w:val="Heading3"/>
      </w:pPr>
      <w:bookmarkStart w:id="13" w:name="_Toc208321379"/>
      <w:r>
        <w:t>Active, appointed decision makers</w:t>
      </w:r>
      <w:bookmarkEnd w:id="13"/>
    </w:p>
    <w:p w14:paraId="31017876" w14:textId="77777777" w:rsidR="00774F6C" w:rsidRDefault="00774F6C" w:rsidP="00774F6C">
      <w:pPr>
        <w:rPr>
          <w:rFonts w:cs="Arial"/>
        </w:rPr>
      </w:pPr>
      <w:r>
        <w:rPr>
          <w:rFonts w:cs="Arial"/>
        </w:rPr>
        <w:t>Registered s</w:t>
      </w:r>
      <w:r w:rsidRPr="00AC508B">
        <w:rPr>
          <w:rFonts w:cs="Arial"/>
        </w:rPr>
        <w:t xml:space="preserve">upporters who are </w:t>
      </w:r>
      <w:r w:rsidRPr="00AC508B" w:rsidDel="00402424">
        <w:rPr>
          <w:rFonts w:cs="Arial"/>
        </w:rPr>
        <w:t xml:space="preserve">also </w:t>
      </w:r>
      <w:r>
        <w:rPr>
          <w:rFonts w:cs="Arial"/>
        </w:rPr>
        <w:t>active, appointed decision makers</w:t>
      </w:r>
      <w:r w:rsidRPr="00AC508B">
        <w:rPr>
          <w:rFonts w:cs="Arial"/>
        </w:rPr>
        <w:t xml:space="preserve"> for an older person under a </w:t>
      </w:r>
      <w:r w:rsidRPr="00155178">
        <w:rPr>
          <w:rFonts w:cs="Arial"/>
        </w:rPr>
        <w:t>Commonwealth, state or territory arrangement</w:t>
      </w:r>
      <w:r w:rsidRPr="00AC508B">
        <w:rPr>
          <w:rFonts w:cs="Arial"/>
        </w:rPr>
        <w:t xml:space="preserve"> must also comply with any duties or requirements under</w:t>
      </w:r>
      <w:r>
        <w:rPr>
          <w:rFonts w:cs="Arial"/>
        </w:rPr>
        <w:t xml:space="preserve"> all</w:t>
      </w:r>
      <w:r w:rsidRPr="00AC508B">
        <w:rPr>
          <w:rFonts w:cs="Arial"/>
        </w:rPr>
        <w:t xml:space="preserve"> those </w:t>
      </w:r>
      <w:r w:rsidRPr="00155178">
        <w:rPr>
          <w:rFonts w:cs="Arial"/>
        </w:rPr>
        <w:t>Commonwealth, state or territory arrangements</w:t>
      </w:r>
      <w:r w:rsidRPr="00AC508B">
        <w:rPr>
          <w:rFonts w:cs="Arial"/>
        </w:rPr>
        <w:t xml:space="preserve">. This recognises that at times older people may require a more intensive form of support in their decision-making and the regulation of </w:t>
      </w:r>
      <w:r>
        <w:rPr>
          <w:rFonts w:cs="Arial"/>
        </w:rPr>
        <w:t xml:space="preserve">those </w:t>
      </w:r>
      <w:r w:rsidRPr="00AC508B">
        <w:rPr>
          <w:rFonts w:cs="Arial"/>
        </w:rPr>
        <w:t xml:space="preserve">arrangements </w:t>
      </w:r>
      <w:r>
        <w:rPr>
          <w:rFonts w:cs="Arial"/>
        </w:rPr>
        <w:t xml:space="preserve">by </w:t>
      </w:r>
      <w:r w:rsidRPr="00155178">
        <w:rPr>
          <w:rFonts w:cs="Arial"/>
        </w:rPr>
        <w:t>Commonwealth, state and territory authorities</w:t>
      </w:r>
      <w:r w:rsidRPr="00AC508B">
        <w:rPr>
          <w:rFonts w:cs="Arial"/>
        </w:rPr>
        <w:t xml:space="preserve"> continue</w:t>
      </w:r>
      <w:r>
        <w:rPr>
          <w:rFonts w:cs="Arial"/>
        </w:rPr>
        <w:t>s</w:t>
      </w:r>
      <w:r w:rsidRPr="00AC508B">
        <w:rPr>
          <w:rFonts w:cs="Arial"/>
        </w:rPr>
        <w:t xml:space="preserve"> to apply.</w:t>
      </w:r>
      <w:r>
        <w:rPr>
          <w:rFonts w:cs="Arial"/>
        </w:rPr>
        <w:t xml:space="preserve"> </w:t>
      </w:r>
    </w:p>
    <w:p w14:paraId="2077262E" w14:textId="77777777" w:rsidR="00774F6C" w:rsidRDefault="00774F6C" w:rsidP="00774F6C">
      <w:pPr>
        <w:rPr>
          <w:rFonts w:cs="Arial"/>
        </w:rPr>
      </w:pPr>
      <w:r>
        <w:rPr>
          <w:rFonts w:cs="Arial"/>
        </w:rPr>
        <w:t xml:space="preserve">If a registered supporter who is also an active, appointed decision maker for the older person is supporting the older person to make a decision that is outside the scope of their </w:t>
      </w:r>
      <w:r w:rsidRPr="00155178">
        <w:rPr>
          <w:rFonts w:cs="Arial"/>
        </w:rPr>
        <w:lastRenderedPageBreak/>
        <w:t>Commonwealth, state or territory arrangement</w:t>
      </w:r>
      <w:r>
        <w:rPr>
          <w:rFonts w:cs="Arial"/>
        </w:rPr>
        <w:t xml:space="preserve">, they must not make the decision on the older person’s behalf. </w:t>
      </w:r>
      <w:r w:rsidRPr="24FE718F">
        <w:rPr>
          <w:rFonts w:eastAsia="Arial" w:cs="Arial"/>
          <w:szCs w:val="22"/>
        </w:rPr>
        <w:t xml:space="preserve">For example, </w:t>
      </w:r>
      <w:r>
        <w:rPr>
          <w:rFonts w:eastAsia="Arial" w:cs="Arial"/>
          <w:szCs w:val="22"/>
        </w:rPr>
        <w:t>if</w:t>
      </w:r>
      <w:r w:rsidRPr="24FE718F">
        <w:rPr>
          <w:rFonts w:eastAsia="Arial" w:cs="Arial"/>
          <w:szCs w:val="22"/>
        </w:rPr>
        <w:t xml:space="preserve"> an active, appointed decision maker has financial decision-making authority, th</w:t>
      </w:r>
      <w:r>
        <w:rPr>
          <w:rFonts w:eastAsia="Arial" w:cs="Arial"/>
          <w:szCs w:val="22"/>
        </w:rPr>
        <w:t>is does not extend to</w:t>
      </w:r>
      <w:r w:rsidRPr="24FE718F">
        <w:rPr>
          <w:rFonts w:eastAsia="Arial" w:cs="Arial"/>
          <w:szCs w:val="22"/>
        </w:rPr>
        <w:t xml:space="preserve"> mak</w:t>
      </w:r>
      <w:r>
        <w:rPr>
          <w:rFonts w:eastAsia="Arial" w:cs="Arial"/>
          <w:szCs w:val="22"/>
        </w:rPr>
        <w:t>ing</w:t>
      </w:r>
      <w:r w:rsidRPr="24FE718F">
        <w:rPr>
          <w:rFonts w:eastAsia="Arial" w:cs="Arial"/>
          <w:szCs w:val="22"/>
        </w:rPr>
        <w:t xml:space="preserve"> </w:t>
      </w:r>
      <w:r>
        <w:rPr>
          <w:rFonts w:eastAsia="Arial" w:cs="Arial"/>
          <w:szCs w:val="22"/>
        </w:rPr>
        <w:t>personal or health</w:t>
      </w:r>
      <w:r w:rsidRPr="24FE718F">
        <w:rPr>
          <w:rFonts w:eastAsia="Arial" w:cs="Arial"/>
          <w:szCs w:val="22"/>
        </w:rPr>
        <w:t xml:space="preserve"> decisions for the older person. </w:t>
      </w:r>
      <w:r>
        <w:rPr>
          <w:rFonts w:cs="Arial"/>
        </w:rPr>
        <w:t>They must instead allow the older person to make that decision, and if the older person wants support, adopt principles of supported decision-making and support the older person to make their own decision, in line with the duties of a registered supporter.</w:t>
      </w:r>
    </w:p>
    <w:p w14:paraId="39CB3B47" w14:textId="465A7EAF" w:rsidR="00F55A80" w:rsidRDefault="0D7DCCB1" w:rsidP="00941952">
      <w:pPr>
        <w:pStyle w:val="Heading3"/>
      </w:pPr>
      <w:bookmarkStart w:id="14" w:name="_Toc208321380"/>
      <w:r>
        <w:t>D</w:t>
      </w:r>
      <w:r w:rsidR="598F85BD">
        <w:t>uties</w:t>
      </w:r>
      <w:bookmarkEnd w:id="14"/>
    </w:p>
    <w:p w14:paraId="44ADE464" w14:textId="7C560BDA" w:rsidR="00F55A80" w:rsidRPr="00AC508B" w:rsidRDefault="00F55A80" w:rsidP="00F55A80">
      <w:pPr>
        <w:rPr>
          <w:rFonts w:cs="Arial"/>
        </w:rPr>
      </w:pPr>
      <w:r w:rsidRPr="00AC508B">
        <w:rPr>
          <w:rFonts w:cs="Arial"/>
        </w:rPr>
        <w:t>All</w:t>
      </w:r>
      <w:r>
        <w:rPr>
          <w:rFonts w:cs="Arial"/>
        </w:rPr>
        <w:t xml:space="preserve"> registered</w:t>
      </w:r>
      <w:r w:rsidRPr="00AC508B">
        <w:rPr>
          <w:rFonts w:cs="Arial"/>
        </w:rPr>
        <w:t xml:space="preserve"> supporters have duties under the Act </w:t>
      </w:r>
      <w:r>
        <w:rPr>
          <w:rFonts w:cs="Arial"/>
        </w:rPr>
        <w:t xml:space="preserve">that </w:t>
      </w:r>
      <w:r w:rsidRPr="00AC508B">
        <w:rPr>
          <w:rFonts w:cs="Arial"/>
        </w:rPr>
        <w:t xml:space="preserve">they must comply with. </w:t>
      </w:r>
      <w:r>
        <w:rPr>
          <w:rFonts w:cs="Arial"/>
        </w:rPr>
        <w:t>Registered s</w:t>
      </w:r>
      <w:r w:rsidRPr="0090480C">
        <w:rPr>
          <w:rFonts w:cs="Arial"/>
        </w:rPr>
        <w:t>upporters must act honestly, diligently, and in good faith when undertaking these duties.</w:t>
      </w:r>
      <w:r>
        <w:rPr>
          <w:rFonts w:cs="Arial"/>
        </w:rPr>
        <w:t xml:space="preserve"> </w:t>
      </w:r>
      <w:r w:rsidRPr="00AC508B">
        <w:rPr>
          <w:rFonts w:cs="Arial"/>
        </w:rPr>
        <w:t xml:space="preserve">These duties are intended to </w:t>
      </w:r>
      <w:r w:rsidR="006A18F0">
        <w:rPr>
          <w:rFonts w:cs="Arial"/>
        </w:rPr>
        <w:t>promote</w:t>
      </w:r>
      <w:r w:rsidR="006A18F0" w:rsidRPr="00AC508B">
        <w:rPr>
          <w:rFonts w:cs="Arial"/>
        </w:rPr>
        <w:t xml:space="preserve"> </w:t>
      </w:r>
      <w:r w:rsidRPr="00AC508B">
        <w:rPr>
          <w:rFonts w:cs="Arial"/>
        </w:rPr>
        <w:t>an older person’s safety, rights</w:t>
      </w:r>
      <w:r w:rsidR="00B6556D">
        <w:rPr>
          <w:rFonts w:cs="Arial"/>
        </w:rPr>
        <w:t xml:space="preserve">, </w:t>
      </w:r>
      <w:r w:rsidRPr="00AC508B">
        <w:rPr>
          <w:rFonts w:cs="Arial"/>
        </w:rPr>
        <w:t>will</w:t>
      </w:r>
      <w:r w:rsidR="00B6556D">
        <w:rPr>
          <w:rFonts w:cs="Arial"/>
        </w:rPr>
        <w:t>,</w:t>
      </w:r>
      <w:r w:rsidRPr="00AC508B">
        <w:rPr>
          <w:rFonts w:cs="Arial"/>
        </w:rPr>
        <w:t xml:space="preserve"> and preferences.</w:t>
      </w:r>
    </w:p>
    <w:p w14:paraId="5E1FA2BF" w14:textId="043564ED" w:rsidR="00F55A80" w:rsidRPr="00AC508B" w:rsidRDefault="00F55A80" w:rsidP="00F55A80">
      <w:pPr>
        <w:rPr>
          <w:rFonts w:cs="Arial"/>
        </w:rPr>
      </w:pPr>
      <w:r>
        <w:rPr>
          <w:rFonts w:cs="Arial"/>
        </w:rPr>
        <w:t>Registered s</w:t>
      </w:r>
      <w:r w:rsidRPr="00AC508B">
        <w:rPr>
          <w:rFonts w:cs="Arial"/>
        </w:rPr>
        <w:t xml:space="preserve">upporters must </w:t>
      </w:r>
      <w:r w:rsidR="00155178">
        <w:rPr>
          <w:rFonts w:cs="Arial"/>
        </w:rPr>
        <w:t>act to</w:t>
      </w:r>
      <w:r w:rsidRPr="00AC508B">
        <w:rPr>
          <w:rFonts w:cs="Arial"/>
        </w:rPr>
        <w:t xml:space="preserve"> promote the will</w:t>
      </w:r>
      <w:r>
        <w:rPr>
          <w:rFonts w:cs="Arial"/>
        </w:rPr>
        <w:t xml:space="preserve"> </w:t>
      </w:r>
      <w:r w:rsidRPr="00AC508B">
        <w:rPr>
          <w:rFonts w:cs="Arial"/>
        </w:rPr>
        <w:t>and preferences</w:t>
      </w:r>
      <w:r w:rsidR="007C636F">
        <w:rPr>
          <w:rFonts w:cs="Arial"/>
        </w:rPr>
        <w:t xml:space="preserve"> </w:t>
      </w:r>
      <w:r w:rsidRPr="00AC508B">
        <w:rPr>
          <w:rFonts w:cs="Arial"/>
        </w:rPr>
        <w:t>of the older person they are supporting</w:t>
      </w:r>
      <w:r>
        <w:rPr>
          <w:rFonts w:cs="Arial"/>
        </w:rPr>
        <w:t>, including decisions the registered supporter may not agree with</w:t>
      </w:r>
      <w:r w:rsidRPr="00AC508B">
        <w:rPr>
          <w:rFonts w:cs="Arial"/>
        </w:rPr>
        <w:t xml:space="preserve">. They must support the older person only to the extent </w:t>
      </w:r>
      <w:r>
        <w:rPr>
          <w:rFonts w:cs="Arial"/>
        </w:rPr>
        <w:t>needed</w:t>
      </w:r>
      <w:r w:rsidRPr="00AC508B">
        <w:rPr>
          <w:rFonts w:cs="Arial"/>
        </w:rPr>
        <w:t xml:space="preserve"> for the older person to make their own decisions. </w:t>
      </w:r>
      <w:r>
        <w:rPr>
          <w:rFonts w:cs="Arial"/>
        </w:rPr>
        <w:t>Registered s</w:t>
      </w:r>
      <w:r w:rsidRPr="00AC508B">
        <w:rPr>
          <w:rFonts w:cs="Arial"/>
        </w:rPr>
        <w:t xml:space="preserve">upporters must </w:t>
      </w:r>
      <w:r w:rsidR="000C2EBE">
        <w:rPr>
          <w:rFonts w:cs="Arial"/>
        </w:rPr>
        <w:t xml:space="preserve">declare, and </w:t>
      </w:r>
      <w:r w:rsidRPr="00AC508B">
        <w:rPr>
          <w:rFonts w:cs="Arial"/>
        </w:rPr>
        <w:t>avoid or manage</w:t>
      </w:r>
      <w:r w:rsidR="000C2EBE">
        <w:rPr>
          <w:rFonts w:cs="Arial"/>
        </w:rPr>
        <w:t>,</w:t>
      </w:r>
      <w:r w:rsidRPr="00AC508B">
        <w:rPr>
          <w:rFonts w:cs="Arial"/>
        </w:rPr>
        <w:t xml:space="preserve"> any conflicts of interest.  </w:t>
      </w:r>
    </w:p>
    <w:p w14:paraId="555FC351" w14:textId="4DF124C7" w:rsidR="00960848" w:rsidRDefault="00960848" w:rsidP="00960848">
      <w:pPr>
        <w:rPr>
          <w:rFonts w:cs="Arial"/>
        </w:rPr>
      </w:pPr>
      <w:r w:rsidRPr="2A0FD21A">
        <w:rPr>
          <w:rFonts w:cs="Arial"/>
        </w:rPr>
        <w:t xml:space="preserve">The Act is designed to </w:t>
      </w:r>
      <w:r w:rsidR="00F7327B">
        <w:rPr>
          <w:rFonts w:cs="Arial"/>
        </w:rPr>
        <w:t>safeguard</w:t>
      </w:r>
      <w:r w:rsidR="00F7327B" w:rsidRPr="2A0FD21A">
        <w:rPr>
          <w:rFonts w:cs="Arial"/>
        </w:rPr>
        <w:t xml:space="preserve"> </w:t>
      </w:r>
      <w:r w:rsidRPr="2A0FD21A">
        <w:rPr>
          <w:rFonts w:cs="Arial"/>
        </w:rPr>
        <w:t>older people from abuse</w:t>
      </w:r>
      <w:r w:rsidR="00AA65F8">
        <w:rPr>
          <w:rFonts w:cs="Arial"/>
        </w:rPr>
        <w:t xml:space="preserve"> by registered supporters</w:t>
      </w:r>
      <w:r w:rsidRPr="2A0FD21A">
        <w:rPr>
          <w:rFonts w:cs="Arial"/>
        </w:rPr>
        <w:t xml:space="preserve">. There are consequences for registered supporters who do not follow their duties. It is also an offence for registered supporters to act dishonestly and abuse their position. </w:t>
      </w:r>
    </w:p>
    <w:p w14:paraId="25EE080C" w14:textId="65A55E8D" w:rsidR="0039443A" w:rsidRDefault="720FB4FC" w:rsidP="00774F6C">
      <w:pPr>
        <w:pStyle w:val="Heading4"/>
      </w:pPr>
      <w:r>
        <w:t>Culturally safe and inclusive support</w:t>
      </w:r>
    </w:p>
    <w:p w14:paraId="39FA70B2" w14:textId="48DD8AD1" w:rsidR="0039443A" w:rsidRDefault="00152C22" w:rsidP="0012773C">
      <w:pPr>
        <w:rPr>
          <w:rFonts w:cs="Arial"/>
        </w:rPr>
      </w:pPr>
      <w:r>
        <w:rPr>
          <w:rFonts w:cs="Arial"/>
        </w:rPr>
        <w:t xml:space="preserve">In addition to </w:t>
      </w:r>
      <w:r w:rsidR="0024595A">
        <w:rPr>
          <w:rFonts w:cs="Arial"/>
        </w:rPr>
        <w:t xml:space="preserve">acting in a way that </w:t>
      </w:r>
      <w:r w:rsidR="002F11DE">
        <w:rPr>
          <w:rFonts w:cs="Arial"/>
        </w:rPr>
        <w:t>promot</w:t>
      </w:r>
      <w:r w:rsidR="0024595A">
        <w:rPr>
          <w:rFonts w:cs="Arial"/>
        </w:rPr>
        <w:t>es</w:t>
      </w:r>
      <w:r w:rsidR="002F11DE">
        <w:rPr>
          <w:rFonts w:cs="Arial"/>
        </w:rPr>
        <w:t xml:space="preserve"> </w:t>
      </w:r>
      <w:r>
        <w:rPr>
          <w:rFonts w:cs="Arial"/>
        </w:rPr>
        <w:t>an older person’s will and preferences</w:t>
      </w:r>
      <w:r w:rsidR="002F11DE">
        <w:rPr>
          <w:rFonts w:cs="Arial"/>
        </w:rPr>
        <w:t xml:space="preserve"> by supporting them in</w:t>
      </w:r>
      <w:r w:rsidR="0024595A">
        <w:rPr>
          <w:rFonts w:cs="Arial"/>
        </w:rPr>
        <w:t xml:space="preserve"> their</w:t>
      </w:r>
      <w:r w:rsidR="002F11DE">
        <w:rPr>
          <w:rFonts w:cs="Arial"/>
        </w:rPr>
        <w:t xml:space="preserve"> decision-making</w:t>
      </w:r>
      <w:r>
        <w:rPr>
          <w:rFonts w:cs="Arial"/>
        </w:rPr>
        <w:t>, r</w:t>
      </w:r>
      <w:r w:rsidR="00485C70" w:rsidRPr="001D3A2F">
        <w:rPr>
          <w:rFonts w:cs="Arial"/>
        </w:rPr>
        <w:t xml:space="preserve">egistered supporters have a duty to </w:t>
      </w:r>
      <w:r w:rsidR="00F12201">
        <w:rPr>
          <w:rFonts w:cs="Arial"/>
        </w:rPr>
        <w:t xml:space="preserve">act in a way that </w:t>
      </w:r>
      <w:r w:rsidR="00485C70" w:rsidRPr="001D3A2F">
        <w:rPr>
          <w:rFonts w:cs="Arial"/>
        </w:rPr>
        <w:t>promote</w:t>
      </w:r>
      <w:r w:rsidR="00F12201">
        <w:rPr>
          <w:rFonts w:cs="Arial"/>
        </w:rPr>
        <w:t>s</w:t>
      </w:r>
      <w:r w:rsidR="00485C70" w:rsidRPr="001D3A2F">
        <w:rPr>
          <w:rFonts w:cs="Arial"/>
        </w:rPr>
        <w:t xml:space="preserve"> </w:t>
      </w:r>
      <w:r>
        <w:rPr>
          <w:rFonts w:cs="Arial"/>
        </w:rPr>
        <w:t>the</w:t>
      </w:r>
      <w:r w:rsidR="00485C70" w:rsidRPr="001D3A2F">
        <w:rPr>
          <w:rFonts w:cs="Arial"/>
        </w:rPr>
        <w:t xml:space="preserve"> personal, cultural and social wellbeing of the older person.</w:t>
      </w:r>
      <w:r w:rsidR="00FD6BAD">
        <w:rPr>
          <w:rFonts w:cs="Arial"/>
        </w:rPr>
        <w:t xml:space="preserve"> </w:t>
      </w:r>
      <w:r>
        <w:rPr>
          <w:rFonts w:cs="Arial"/>
        </w:rPr>
        <w:t xml:space="preserve">This </w:t>
      </w:r>
      <w:r w:rsidR="00457048">
        <w:rPr>
          <w:rFonts w:cs="Arial"/>
        </w:rPr>
        <w:t>includes</w:t>
      </w:r>
      <w:r>
        <w:rPr>
          <w:rFonts w:cs="Arial"/>
        </w:rPr>
        <w:t xml:space="preserve"> provid</w:t>
      </w:r>
      <w:r w:rsidR="00196B67">
        <w:rPr>
          <w:rFonts w:cs="Arial"/>
        </w:rPr>
        <w:t>ing</w:t>
      </w:r>
      <w:r>
        <w:rPr>
          <w:rFonts w:cs="Arial"/>
        </w:rPr>
        <w:t xml:space="preserve"> culturally safe and inclusive support. </w:t>
      </w:r>
      <w:r w:rsidR="00564BEE">
        <w:rPr>
          <w:rFonts w:cs="Arial"/>
        </w:rPr>
        <w:t>In doing so,</w:t>
      </w:r>
      <w:r w:rsidR="00FC2809">
        <w:rPr>
          <w:rFonts w:cs="Arial"/>
        </w:rPr>
        <w:t xml:space="preserve"> r</w:t>
      </w:r>
      <w:r w:rsidR="00B42B73">
        <w:rPr>
          <w:rFonts w:cs="Arial"/>
        </w:rPr>
        <w:t xml:space="preserve">egistered supporters </w:t>
      </w:r>
      <w:r w:rsidR="002D5C5D">
        <w:rPr>
          <w:rFonts w:cs="Arial"/>
        </w:rPr>
        <w:t>are expected to</w:t>
      </w:r>
      <w:r w:rsidR="00D1491C">
        <w:rPr>
          <w:rFonts w:cs="Arial"/>
        </w:rPr>
        <w:t xml:space="preserve"> ensure </w:t>
      </w:r>
      <w:r w:rsidR="00AD2307">
        <w:rPr>
          <w:rFonts w:cs="Arial"/>
        </w:rPr>
        <w:t xml:space="preserve">an older person’s diversity </w:t>
      </w:r>
      <w:r w:rsidR="00B42B73">
        <w:rPr>
          <w:rFonts w:cs="Arial"/>
        </w:rPr>
        <w:t>is</w:t>
      </w:r>
      <w:r w:rsidR="00B42B73" w:rsidRPr="00B42B73">
        <w:rPr>
          <w:rFonts w:cs="Arial"/>
        </w:rPr>
        <w:t xml:space="preserve"> respected and that </w:t>
      </w:r>
      <w:r w:rsidR="00B42B73">
        <w:rPr>
          <w:rFonts w:cs="Arial"/>
        </w:rPr>
        <w:t>they perform their role in a way that is c</w:t>
      </w:r>
      <w:r w:rsidR="00B42B73" w:rsidRPr="00B42B73">
        <w:rPr>
          <w:rFonts w:cs="Arial"/>
        </w:rPr>
        <w:t>ulturally safe, sensitive and responsive</w:t>
      </w:r>
      <w:r w:rsidR="00AD2307">
        <w:rPr>
          <w:rFonts w:cs="Arial"/>
        </w:rPr>
        <w:t xml:space="preserve"> to the older person</w:t>
      </w:r>
      <w:r w:rsidR="00E53464">
        <w:rPr>
          <w:rFonts w:cs="Arial"/>
        </w:rPr>
        <w:t xml:space="preserve"> they support</w:t>
      </w:r>
      <w:r w:rsidR="00B42B73">
        <w:rPr>
          <w:rFonts w:cs="Arial"/>
        </w:rPr>
        <w:t>.</w:t>
      </w:r>
    </w:p>
    <w:p w14:paraId="2C8E7DAC" w14:textId="4EDCB8BA" w:rsidR="008F3363" w:rsidRPr="008F3363" w:rsidRDefault="008F3363" w:rsidP="008F3363">
      <w:pPr>
        <w:rPr>
          <w:rFonts w:cs="Arial"/>
        </w:rPr>
      </w:pPr>
      <w:r>
        <w:rPr>
          <w:rFonts w:cs="Arial"/>
        </w:rPr>
        <w:t>C</w:t>
      </w:r>
      <w:r w:rsidRPr="008F3363">
        <w:rPr>
          <w:rFonts w:cs="Arial"/>
        </w:rPr>
        <w:t xml:space="preserve">ultural safety </w:t>
      </w:r>
      <w:r w:rsidR="009D786A">
        <w:rPr>
          <w:rFonts w:cs="Arial"/>
        </w:rPr>
        <w:t>and inclusiveness</w:t>
      </w:r>
      <w:r w:rsidRPr="008F3363">
        <w:rPr>
          <w:rFonts w:cs="Arial"/>
        </w:rPr>
        <w:t xml:space="preserve"> involves: </w:t>
      </w:r>
    </w:p>
    <w:p w14:paraId="7178075F" w14:textId="0573AFE4" w:rsidR="008F3363" w:rsidRPr="008F3363" w:rsidRDefault="008F3363" w:rsidP="00612799">
      <w:pPr>
        <w:numPr>
          <w:ilvl w:val="0"/>
          <w:numId w:val="14"/>
        </w:numPr>
        <w:tabs>
          <w:tab w:val="clear" w:pos="720"/>
          <w:tab w:val="num" w:pos="360"/>
        </w:tabs>
        <w:ind w:left="360"/>
        <w:rPr>
          <w:rFonts w:cs="Arial"/>
        </w:rPr>
      </w:pPr>
      <w:r w:rsidRPr="008F3363">
        <w:rPr>
          <w:rFonts w:cs="Arial"/>
        </w:rPr>
        <w:t xml:space="preserve">Ongoing critical self-reflection to understand how </w:t>
      </w:r>
      <w:r w:rsidR="00AD2307" w:rsidRPr="00E53464">
        <w:rPr>
          <w:rFonts w:cs="Arial"/>
        </w:rPr>
        <w:t xml:space="preserve">a </w:t>
      </w:r>
      <w:r w:rsidR="00AD4CFF">
        <w:rPr>
          <w:rFonts w:cs="Arial"/>
        </w:rPr>
        <w:t>registered supporter’s</w:t>
      </w:r>
      <w:r w:rsidR="00AD4CFF" w:rsidRPr="008F3363">
        <w:rPr>
          <w:rFonts w:cs="Arial"/>
        </w:rPr>
        <w:t xml:space="preserve"> </w:t>
      </w:r>
      <w:r w:rsidRPr="008F3363">
        <w:rPr>
          <w:rFonts w:cs="Arial"/>
        </w:rPr>
        <w:t xml:space="preserve">own culture, thinking, and actions may impact </w:t>
      </w:r>
      <w:r w:rsidR="00AD2307" w:rsidRPr="00E53464">
        <w:rPr>
          <w:rFonts w:cs="Arial"/>
        </w:rPr>
        <w:t>an older person</w:t>
      </w:r>
      <w:r w:rsidR="00AC6CF7">
        <w:rPr>
          <w:rFonts w:cs="Arial"/>
        </w:rPr>
        <w:t>.</w:t>
      </w:r>
    </w:p>
    <w:p w14:paraId="24BFCA30" w14:textId="65595D94" w:rsidR="008F3363" w:rsidRPr="008F3363" w:rsidRDefault="008F3363" w:rsidP="00612799">
      <w:pPr>
        <w:numPr>
          <w:ilvl w:val="0"/>
          <w:numId w:val="15"/>
        </w:numPr>
        <w:tabs>
          <w:tab w:val="clear" w:pos="720"/>
          <w:tab w:val="num" w:pos="360"/>
        </w:tabs>
        <w:ind w:left="360"/>
        <w:rPr>
          <w:rFonts w:cs="Arial"/>
        </w:rPr>
      </w:pPr>
      <w:r w:rsidRPr="008F3363">
        <w:rPr>
          <w:rFonts w:cs="Arial"/>
        </w:rPr>
        <w:t xml:space="preserve">Recognition and respect for </w:t>
      </w:r>
      <w:r w:rsidR="001D1185">
        <w:rPr>
          <w:rFonts w:cs="Arial"/>
        </w:rPr>
        <w:t>an older person’s</w:t>
      </w:r>
      <w:r w:rsidRPr="008F3363">
        <w:rPr>
          <w:rFonts w:cs="Arial"/>
        </w:rPr>
        <w:t xml:space="preserve"> unique cultural identity</w:t>
      </w:r>
      <w:r w:rsidR="00AC6CF7">
        <w:rPr>
          <w:rFonts w:cs="Arial"/>
        </w:rPr>
        <w:t>.</w:t>
      </w:r>
      <w:r w:rsidRPr="00E53464">
        <w:rPr>
          <w:rFonts w:cs="Arial"/>
        </w:rPr>
        <w:t xml:space="preserve"> </w:t>
      </w:r>
    </w:p>
    <w:p w14:paraId="6CBC64E2" w14:textId="5139CA91" w:rsidR="008F3363" w:rsidRPr="008F3363" w:rsidRDefault="008F3363" w:rsidP="00612799">
      <w:pPr>
        <w:numPr>
          <w:ilvl w:val="0"/>
          <w:numId w:val="16"/>
        </w:numPr>
        <w:tabs>
          <w:tab w:val="clear" w:pos="720"/>
          <w:tab w:val="num" w:pos="360"/>
        </w:tabs>
        <w:ind w:left="360"/>
        <w:rPr>
          <w:rFonts w:cs="Arial"/>
        </w:rPr>
      </w:pPr>
      <w:r w:rsidRPr="008F3363">
        <w:rPr>
          <w:rFonts w:cs="Arial"/>
        </w:rPr>
        <w:t>Eliminating power imbalances that may challenge or deny a</w:t>
      </w:r>
      <w:r>
        <w:rPr>
          <w:rFonts w:cs="Arial"/>
        </w:rPr>
        <w:t>n older</w:t>
      </w:r>
      <w:r w:rsidRPr="008F3363">
        <w:rPr>
          <w:rFonts w:cs="Arial"/>
        </w:rPr>
        <w:t xml:space="preserve"> person’s identity</w:t>
      </w:r>
      <w:r>
        <w:rPr>
          <w:rFonts w:cs="Arial"/>
        </w:rPr>
        <w:t>, wishes</w:t>
      </w:r>
      <w:r w:rsidRPr="008F3363">
        <w:rPr>
          <w:rFonts w:cs="Arial"/>
        </w:rPr>
        <w:t xml:space="preserve"> or needs. </w:t>
      </w:r>
    </w:p>
    <w:p w14:paraId="11293749" w14:textId="107869AB" w:rsidR="00E53464" w:rsidRPr="00E53464" w:rsidRDefault="00E53464" w:rsidP="00E53464">
      <w:pPr>
        <w:rPr>
          <w:rFonts w:cs="Arial"/>
        </w:rPr>
      </w:pPr>
      <w:r w:rsidRPr="00E53464">
        <w:rPr>
          <w:rFonts w:cs="Arial"/>
        </w:rPr>
        <w:t xml:space="preserve">Registered supporters </w:t>
      </w:r>
      <w:r>
        <w:rPr>
          <w:rFonts w:cs="Arial"/>
        </w:rPr>
        <w:t xml:space="preserve">can help to </w:t>
      </w:r>
      <w:r w:rsidR="00F7327B">
        <w:rPr>
          <w:rFonts w:cs="Arial"/>
        </w:rPr>
        <w:t xml:space="preserve">promote </w:t>
      </w:r>
      <w:r w:rsidR="00C514A0">
        <w:rPr>
          <w:rFonts w:cs="Arial"/>
        </w:rPr>
        <w:t>an older person’s right to make their own decisions</w:t>
      </w:r>
      <w:r w:rsidRPr="00E53464">
        <w:rPr>
          <w:rFonts w:cs="Arial"/>
        </w:rPr>
        <w:t xml:space="preserve">. </w:t>
      </w:r>
      <w:r w:rsidR="008B0D92">
        <w:rPr>
          <w:rFonts w:cs="Arial"/>
        </w:rPr>
        <w:t xml:space="preserve">As part of supporting </w:t>
      </w:r>
      <w:r w:rsidR="00333307">
        <w:rPr>
          <w:rFonts w:cs="Arial"/>
        </w:rPr>
        <w:t>an older person’s</w:t>
      </w:r>
      <w:r w:rsidR="00C04C5A">
        <w:rPr>
          <w:rFonts w:cs="Arial"/>
        </w:rPr>
        <w:t xml:space="preserve"> decision</w:t>
      </w:r>
      <w:r w:rsidR="00333307">
        <w:rPr>
          <w:rFonts w:cs="Arial"/>
        </w:rPr>
        <w:t>-making</w:t>
      </w:r>
      <w:r w:rsidR="008B0D92">
        <w:rPr>
          <w:rFonts w:cs="Arial"/>
        </w:rPr>
        <w:t>, registered supporters</w:t>
      </w:r>
      <w:r w:rsidR="001028E6">
        <w:rPr>
          <w:rFonts w:cs="Arial"/>
        </w:rPr>
        <w:t xml:space="preserve"> should</w:t>
      </w:r>
      <w:r w:rsidRPr="00E53464">
        <w:rPr>
          <w:rFonts w:cs="Arial"/>
        </w:rPr>
        <w:t>: </w:t>
      </w:r>
    </w:p>
    <w:p w14:paraId="753A95B4" w14:textId="7654EA00" w:rsidR="00E53464" w:rsidRPr="00E53464" w:rsidRDefault="00E53464" w:rsidP="00612799">
      <w:pPr>
        <w:numPr>
          <w:ilvl w:val="0"/>
          <w:numId w:val="17"/>
        </w:numPr>
        <w:tabs>
          <w:tab w:val="clear" w:pos="720"/>
          <w:tab w:val="num" w:pos="360"/>
        </w:tabs>
        <w:ind w:left="360"/>
        <w:rPr>
          <w:rFonts w:cs="Arial"/>
        </w:rPr>
      </w:pPr>
      <w:r w:rsidRPr="00E53464">
        <w:rPr>
          <w:rFonts w:cs="Arial"/>
        </w:rPr>
        <w:t xml:space="preserve">Respect the </w:t>
      </w:r>
      <w:r w:rsidRPr="38CA05DA">
        <w:rPr>
          <w:rFonts w:cs="Arial"/>
        </w:rPr>
        <w:t>diversity of</w:t>
      </w:r>
      <w:r w:rsidRPr="00E53464">
        <w:rPr>
          <w:rFonts w:cs="Arial"/>
        </w:rPr>
        <w:t xml:space="preserve"> </w:t>
      </w:r>
      <w:r w:rsidR="006B3224" w:rsidRPr="00A802FB">
        <w:rPr>
          <w:rFonts w:cs="Arial"/>
        </w:rPr>
        <w:t xml:space="preserve">the </w:t>
      </w:r>
      <w:r w:rsidRPr="00E53464">
        <w:rPr>
          <w:rFonts w:cs="Arial"/>
        </w:rPr>
        <w:t xml:space="preserve">older </w:t>
      </w:r>
      <w:r w:rsidR="004F7A5D">
        <w:rPr>
          <w:rFonts w:cs="Arial"/>
        </w:rPr>
        <w:t>person</w:t>
      </w:r>
      <w:r w:rsidRPr="00E53464">
        <w:rPr>
          <w:rFonts w:cs="Arial"/>
        </w:rPr>
        <w:t xml:space="preserve">, including </w:t>
      </w:r>
      <w:r w:rsidR="006B3224" w:rsidRPr="00A802FB">
        <w:rPr>
          <w:rFonts w:cs="Arial"/>
        </w:rPr>
        <w:t xml:space="preserve">their </w:t>
      </w:r>
      <w:r w:rsidRPr="00E53464">
        <w:rPr>
          <w:rFonts w:cs="Arial"/>
        </w:rPr>
        <w:t xml:space="preserve">cultural, </w:t>
      </w:r>
      <w:r w:rsidR="43F169E5" w:rsidRPr="38CA05DA">
        <w:rPr>
          <w:rFonts w:cs="Arial"/>
        </w:rPr>
        <w:t>religious,</w:t>
      </w:r>
      <w:r w:rsidRPr="38CA05DA">
        <w:rPr>
          <w:rFonts w:cs="Arial"/>
        </w:rPr>
        <w:t xml:space="preserve"> </w:t>
      </w:r>
      <w:r w:rsidRPr="00E53464">
        <w:rPr>
          <w:rFonts w:cs="Arial"/>
        </w:rPr>
        <w:t xml:space="preserve">linguistic </w:t>
      </w:r>
      <w:r w:rsidR="00564BEE">
        <w:rPr>
          <w:rFonts w:cs="Arial"/>
        </w:rPr>
        <w:t xml:space="preserve">and </w:t>
      </w:r>
      <w:r w:rsidRPr="00E53464">
        <w:rPr>
          <w:rFonts w:cs="Arial"/>
        </w:rPr>
        <w:t>gender</w:t>
      </w:r>
      <w:r w:rsidR="00564BEE">
        <w:rPr>
          <w:rFonts w:cs="Arial"/>
        </w:rPr>
        <w:t xml:space="preserve"> identity</w:t>
      </w:r>
      <w:r w:rsidRPr="00E53464">
        <w:rPr>
          <w:rFonts w:cs="Arial"/>
        </w:rPr>
        <w:t>, sexual orientation, and life experience</w:t>
      </w:r>
      <w:r w:rsidR="00564BEE">
        <w:rPr>
          <w:rFonts w:cs="Arial"/>
        </w:rPr>
        <w:t>s</w:t>
      </w:r>
      <w:r w:rsidR="00825A4F">
        <w:rPr>
          <w:rFonts w:cs="Arial"/>
        </w:rPr>
        <w:t>.</w:t>
      </w:r>
    </w:p>
    <w:p w14:paraId="3A99A8A0" w14:textId="421978E3" w:rsidR="004137A1" w:rsidRPr="00E53464" w:rsidRDefault="004137A1" w:rsidP="00612799">
      <w:pPr>
        <w:numPr>
          <w:ilvl w:val="0"/>
          <w:numId w:val="17"/>
        </w:numPr>
        <w:tabs>
          <w:tab w:val="clear" w:pos="720"/>
          <w:tab w:val="num" w:pos="360"/>
        </w:tabs>
        <w:ind w:left="360"/>
        <w:rPr>
          <w:rFonts w:cs="Arial"/>
        </w:rPr>
      </w:pPr>
      <w:r>
        <w:rPr>
          <w:rFonts w:cs="Arial"/>
        </w:rPr>
        <w:t>Understand, adopt and advocate for e</w:t>
      </w:r>
      <w:r w:rsidRPr="004F7A5D">
        <w:rPr>
          <w:rFonts w:cs="Arial"/>
        </w:rPr>
        <w:t>quit</w:t>
      </w:r>
      <w:r>
        <w:rPr>
          <w:rFonts w:cs="Arial"/>
        </w:rPr>
        <w:t>able practices in enabling the older person to receive</w:t>
      </w:r>
      <w:r w:rsidRPr="004F7A5D">
        <w:rPr>
          <w:rFonts w:cs="Arial"/>
        </w:rPr>
        <w:t xml:space="preserve"> fair treatment and resources based on </w:t>
      </w:r>
      <w:r>
        <w:rPr>
          <w:rFonts w:cs="Arial"/>
        </w:rPr>
        <w:t xml:space="preserve">the older person’s wishes, </w:t>
      </w:r>
      <w:r w:rsidRPr="004F7A5D">
        <w:rPr>
          <w:rFonts w:cs="Arial"/>
        </w:rPr>
        <w:t>needs, circumstances, and barriers.</w:t>
      </w:r>
    </w:p>
    <w:p w14:paraId="638DFE58" w14:textId="2BF968E8" w:rsidR="00E53464" w:rsidRPr="00E53464" w:rsidRDefault="00E53464" w:rsidP="00612799">
      <w:pPr>
        <w:numPr>
          <w:ilvl w:val="0"/>
          <w:numId w:val="18"/>
        </w:numPr>
        <w:tabs>
          <w:tab w:val="clear" w:pos="720"/>
          <w:tab w:val="num" w:pos="360"/>
        </w:tabs>
        <w:ind w:left="360"/>
        <w:rPr>
          <w:rFonts w:cs="Arial"/>
        </w:rPr>
      </w:pPr>
      <w:r w:rsidRPr="00E53464">
        <w:rPr>
          <w:rFonts w:cs="Arial"/>
        </w:rPr>
        <w:t xml:space="preserve">Build </w:t>
      </w:r>
      <w:r w:rsidR="00AF76B2">
        <w:rPr>
          <w:rFonts w:cs="Arial"/>
        </w:rPr>
        <w:t xml:space="preserve">or maintain </w:t>
      </w:r>
      <w:r w:rsidRPr="00E53464">
        <w:rPr>
          <w:rFonts w:cs="Arial"/>
        </w:rPr>
        <w:t>trust and relationships with the community of the older person</w:t>
      </w:r>
      <w:r w:rsidR="00825A4F">
        <w:rPr>
          <w:rFonts w:cs="Arial"/>
        </w:rPr>
        <w:t>.</w:t>
      </w:r>
    </w:p>
    <w:p w14:paraId="59635BCC" w14:textId="7DBECAEE" w:rsidR="00E53464" w:rsidRPr="00E53464" w:rsidRDefault="00E53464" w:rsidP="00612799">
      <w:pPr>
        <w:numPr>
          <w:ilvl w:val="0"/>
          <w:numId w:val="19"/>
        </w:numPr>
        <w:tabs>
          <w:tab w:val="clear" w:pos="720"/>
          <w:tab w:val="num" w:pos="360"/>
        </w:tabs>
        <w:ind w:left="360"/>
        <w:rPr>
          <w:rFonts w:cs="Arial"/>
        </w:rPr>
      </w:pPr>
      <w:r w:rsidRPr="00E53464">
        <w:rPr>
          <w:rFonts w:cs="Arial"/>
        </w:rPr>
        <w:lastRenderedPageBreak/>
        <w:t>Ensure decision</w:t>
      </w:r>
      <w:r w:rsidR="00525D6D">
        <w:rPr>
          <w:rFonts w:cs="Arial"/>
        </w:rPr>
        <w:t>-making processes are c</w:t>
      </w:r>
      <w:r w:rsidRPr="00E53464">
        <w:rPr>
          <w:rFonts w:cs="Arial"/>
        </w:rPr>
        <w:t>ulturally safe, trauma-aware, and healing-informed</w:t>
      </w:r>
      <w:r w:rsidR="00825A4F">
        <w:rPr>
          <w:rFonts w:cs="Arial"/>
        </w:rPr>
        <w:t>.</w:t>
      </w:r>
    </w:p>
    <w:p w14:paraId="53C5752E" w14:textId="607D6CF8" w:rsidR="00E53464" w:rsidRDefault="00E53464" w:rsidP="00612799">
      <w:pPr>
        <w:numPr>
          <w:ilvl w:val="0"/>
          <w:numId w:val="20"/>
        </w:numPr>
        <w:tabs>
          <w:tab w:val="clear" w:pos="720"/>
          <w:tab w:val="num" w:pos="360"/>
        </w:tabs>
        <w:ind w:left="360"/>
        <w:rPr>
          <w:rFonts w:cs="Arial"/>
        </w:rPr>
      </w:pPr>
      <w:r w:rsidRPr="00E53464">
        <w:rPr>
          <w:rFonts w:cs="Arial"/>
        </w:rPr>
        <w:t xml:space="preserve">Avoid assumptions and focus on learning about the lived experiences and expressed </w:t>
      </w:r>
      <w:r w:rsidR="00A802FB" w:rsidRPr="00A802FB">
        <w:rPr>
          <w:rFonts w:cs="Arial"/>
        </w:rPr>
        <w:t>wishes</w:t>
      </w:r>
      <w:r w:rsidRPr="00E53464">
        <w:rPr>
          <w:rFonts w:cs="Arial"/>
        </w:rPr>
        <w:t xml:space="preserve"> of the </w:t>
      </w:r>
      <w:r w:rsidR="00A802FB" w:rsidRPr="00A802FB">
        <w:rPr>
          <w:rFonts w:cs="Arial"/>
        </w:rPr>
        <w:t>older person</w:t>
      </w:r>
      <w:r w:rsidRPr="00E53464">
        <w:rPr>
          <w:rFonts w:cs="Arial"/>
        </w:rPr>
        <w:t>. </w:t>
      </w:r>
    </w:p>
    <w:p w14:paraId="63FAAD6E" w14:textId="37CF0B71" w:rsidR="00825A4F" w:rsidRDefault="00825A4F" w:rsidP="00612799">
      <w:pPr>
        <w:numPr>
          <w:ilvl w:val="0"/>
          <w:numId w:val="20"/>
        </w:numPr>
        <w:tabs>
          <w:tab w:val="clear" w:pos="720"/>
          <w:tab w:val="num" w:pos="360"/>
        </w:tabs>
        <w:ind w:left="360"/>
        <w:rPr>
          <w:rFonts w:cs="Arial"/>
        </w:rPr>
      </w:pPr>
      <w:r w:rsidRPr="00825A4F">
        <w:rPr>
          <w:rFonts w:cs="Arial"/>
        </w:rPr>
        <w:t>Creat</w:t>
      </w:r>
      <w:r w:rsidR="004F7A5D">
        <w:rPr>
          <w:rFonts w:cs="Arial"/>
        </w:rPr>
        <w:t xml:space="preserve">e </w:t>
      </w:r>
      <w:r w:rsidRPr="00825A4F">
        <w:rPr>
          <w:rFonts w:cs="Arial"/>
        </w:rPr>
        <w:t xml:space="preserve">a safe </w:t>
      </w:r>
      <w:r w:rsidR="00293504">
        <w:rPr>
          <w:rFonts w:cs="Arial"/>
        </w:rPr>
        <w:t>relationship</w:t>
      </w:r>
      <w:r w:rsidRPr="00825A4F">
        <w:rPr>
          <w:rFonts w:cs="Arial"/>
        </w:rPr>
        <w:t xml:space="preserve"> where the older person feels respected, heard, and free </w:t>
      </w:r>
      <w:r w:rsidR="007D4288">
        <w:rPr>
          <w:rFonts w:cs="Arial"/>
        </w:rPr>
        <w:t>to express their identity without</w:t>
      </w:r>
      <w:r w:rsidRPr="00825A4F">
        <w:rPr>
          <w:rFonts w:cs="Arial"/>
        </w:rPr>
        <w:t xml:space="preserve"> discrimination or denial. </w:t>
      </w:r>
    </w:p>
    <w:p w14:paraId="5CF9FB8C" w14:textId="6BA7D040" w:rsidR="008F3363" w:rsidRPr="0012773C" w:rsidRDefault="00606552" w:rsidP="0012773C">
      <w:pPr>
        <w:rPr>
          <w:rFonts w:cs="Arial"/>
        </w:rPr>
      </w:pPr>
      <w:r w:rsidRPr="00606552">
        <w:rPr>
          <w:rFonts w:cs="Arial"/>
        </w:rPr>
        <w:t xml:space="preserve">Only the older person can determine whether an interaction or </w:t>
      </w:r>
      <w:r>
        <w:rPr>
          <w:rFonts w:cs="Arial"/>
        </w:rPr>
        <w:t>relationship</w:t>
      </w:r>
      <w:r w:rsidRPr="00606552">
        <w:rPr>
          <w:rFonts w:cs="Arial"/>
        </w:rPr>
        <w:t xml:space="preserve"> is culturally safe</w:t>
      </w:r>
      <w:r w:rsidR="007054E6">
        <w:rPr>
          <w:rFonts w:cs="Arial"/>
        </w:rPr>
        <w:t xml:space="preserve"> and inclusive</w:t>
      </w:r>
      <w:r w:rsidRPr="00606552">
        <w:rPr>
          <w:rFonts w:cs="Arial"/>
        </w:rPr>
        <w:t xml:space="preserve">. </w:t>
      </w:r>
      <w:r>
        <w:rPr>
          <w:rFonts w:cs="Arial"/>
        </w:rPr>
        <w:t>R</w:t>
      </w:r>
      <w:r w:rsidRPr="00606552">
        <w:rPr>
          <w:rFonts w:cs="Arial"/>
        </w:rPr>
        <w:t xml:space="preserve">egistered supporters </w:t>
      </w:r>
      <w:r>
        <w:rPr>
          <w:rFonts w:cs="Arial"/>
        </w:rPr>
        <w:t xml:space="preserve">should therefore remain </w:t>
      </w:r>
      <w:r w:rsidRPr="00606552">
        <w:rPr>
          <w:rFonts w:cs="Arial"/>
        </w:rPr>
        <w:t>open to feedback</w:t>
      </w:r>
      <w:r>
        <w:rPr>
          <w:rFonts w:cs="Arial"/>
        </w:rPr>
        <w:t xml:space="preserve"> from the older person </w:t>
      </w:r>
      <w:r w:rsidR="000104F5">
        <w:rPr>
          <w:rFonts w:cs="Arial"/>
        </w:rPr>
        <w:t xml:space="preserve">about </w:t>
      </w:r>
      <w:r w:rsidR="009852B8">
        <w:rPr>
          <w:rFonts w:cs="Arial"/>
        </w:rPr>
        <w:t>their relationship</w:t>
      </w:r>
      <w:r w:rsidRPr="00606552">
        <w:rPr>
          <w:rFonts w:cs="Arial"/>
        </w:rPr>
        <w:t xml:space="preserve">, </w:t>
      </w:r>
      <w:r>
        <w:rPr>
          <w:rFonts w:cs="Arial"/>
        </w:rPr>
        <w:t xml:space="preserve">be </w:t>
      </w:r>
      <w:r w:rsidRPr="00606552">
        <w:rPr>
          <w:rFonts w:cs="Arial"/>
        </w:rPr>
        <w:t>willing to learn</w:t>
      </w:r>
      <w:r w:rsidR="00F10C60">
        <w:rPr>
          <w:rFonts w:cs="Arial"/>
        </w:rPr>
        <w:t xml:space="preserve"> </w:t>
      </w:r>
      <w:r w:rsidR="009852B8">
        <w:rPr>
          <w:rFonts w:cs="Arial"/>
        </w:rPr>
        <w:t xml:space="preserve">from the older person </w:t>
      </w:r>
      <w:r w:rsidR="00F10C60">
        <w:rPr>
          <w:rFonts w:cs="Arial"/>
        </w:rPr>
        <w:t xml:space="preserve">about how to best communicate </w:t>
      </w:r>
      <w:r w:rsidR="009852B8">
        <w:rPr>
          <w:rFonts w:cs="Arial"/>
        </w:rPr>
        <w:t>and support them</w:t>
      </w:r>
      <w:r w:rsidR="007054E6">
        <w:rPr>
          <w:rFonts w:cs="Arial"/>
        </w:rPr>
        <w:t>,</w:t>
      </w:r>
      <w:r w:rsidR="009852B8">
        <w:rPr>
          <w:rFonts w:cs="Arial"/>
        </w:rPr>
        <w:t xml:space="preserve"> </w:t>
      </w:r>
      <w:r w:rsidR="004007D9">
        <w:rPr>
          <w:rFonts w:cs="Arial"/>
        </w:rPr>
        <w:t xml:space="preserve">recognise that an older person’s will and preferences may change and evolve </w:t>
      </w:r>
      <w:r w:rsidRPr="00606552">
        <w:rPr>
          <w:rFonts w:cs="Arial"/>
        </w:rPr>
        <w:t xml:space="preserve">and </w:t>
      </w:r>
      <w:r w:rsidR="00F10C60">
        <w:rPr>
          <w:rFonts w:cs="Arial"/>
        </w:rPr>
        <w:t xml:space="preserve">stay </w:t>
      </w:r>
      <w:r w:rsidRPr="00606552">
        <w:rPr>
          <w:rFonts w:cs="Arial"/>
        </w:rPr>
        <w:t>committed to continuous improvement</w:t>
      </w:r>
      <w:r w:rsidR="009852B8">
        <w:rPr>
          <w:rFonts w:cs="Arial"/>
        </w:rPr>
        <w:t xml:space="preserve"> in their role as a registered supporter</w:t>
      </w:r>
      <w:r w:rsidRPr="00606552">
        <w:rPr>
          <w:rFonts w:cs="Arial"/>
        </w:rPr>
        <w:t>. </w:t>
      </w:r>
    </w:p>
    <w:p w14:paraId="4AA77962" w14:textId="744A55A5" w:rsidR="00A56E22" w:rsidRDefault="00A56E22" w:rsidP="00D0183A">
      <w:pPr>
        <w:pStyle w:val="Heading3"/>
      </w:pPr>
      <w:bookmarkStart w:id="15" w:name="_Toc208321381"/>
      <w:r>
        <w:t>Supported decision-making in practice</w:t>
      </w:r>
      <w:bookmarkEnd w:id="15"/>
      <w:r>
        <w:t xml:space="preserve"> </w:t>
      </w:r>
    </w:p>
    <w:p w14:paraId="53471C14" w14:textId="063A5FD1" w:rsidR="00A56E22" w:rsidRDefault="008426F9" w:rsidP="0012773C">
      <w:pPr>
        <w:rPr>
          <w:rFonts w:cs="Arial"/>
        </w:rPr>
      </w:pPr>
      <w:r w:rsidRPr="008426F9">
        <w:rPr>
          <w:rFonts w:cs="Arial"/>
        </w:rPr>
        <w:t xml:space="preserve">The support that an older person may </w:t>
      </w:r>
      <w:r w:rsidR="00EB2777">
        <w:rPr>
          <w:rFonts w:cs="Arial"/>
        </w:rPr>
        <w:t xml:space="preserve">want or need </w:t>
      </w:r>
      <w:r w:rsidR="00D0183A">
        <w:rPr>
          <w:rFonts w:cs="Arial"/>
        </w:rPr>
        <w:t>may</w:t>
      </w:r>
      <w:r w:rsidR="00D0183A" w:rsidRPr="008426F9">
        <w:rPr>
          <w:rFonts w:cs="Arial"/>
        </w:rPr>
        <w:t xml:space="preserve"> </w:t>
      </w:r>
      <w:r w:rsidRPr="008426F9">
        <w:rPr>
          <w:rFonts w:cs="Arial"/>
        </w:rPr>
        <w:t>be different in each circumstance</w:t>
      </w:r>
      <w:r w:rsidR="00D0183A">
        <w:rPr>
          <w:rFonts w:cs="Arial"/>
        </w:rPr>
        <w:t xml:space="preserve">, and for each decision </w:t>
      </w:r>
      <w:r w:rsidR="00063E78">
        <w:rPr>
          <w:rFonts w:cs="Arial"/>
        </w:rPr>
        <w:t xml:space="preserve">the older person makes or </w:t>
      </w:r>
      <w:r w:rsidR="00D0183A">
        <w:rPr>
          <w:rFonts w:cs="Arial"/>
        </w:rPr>
        <w:t>communicate</w:t>
      </w:r>
      <w:r w:rsidR="00063E78">
        <w:rPr>
          <w:rFonts w:cs="Arial"/>
        </w:rPr>
        <w:t>s</w:t>
      </w:r>
      <w:r w:rsidRPr="008426F9">
        <w:rPr>
          <w:rFonts w:cs="Arial"/>
        </w:rPr>
        <w:t xml:space="preserve">. </w:t>
      </w:r>
      <w:r w:rsidR="00EB2777">
        <w:rPr>
          <w:rFonts w:cs="Arial"/>
        </w:rPr>
        <w:t>Registered s</w:t>
      </w:r>
      <w:r w:rsidRPr="008426F9">
        <w:rPr>
          <w:rFonts w:cs="Arial"/>
        </w:rPr>
        <w:t xml:space="preserve">upporters should seek direction from the older person on what supports they would like, </w:t>
      </w:r>
      <w:r w:rsidR="00BD46A4">
        <w:rPr>
          <w:rFonts w:cs="Arial"/>
        </w:rPr>
        <w:t>if any,</w:t>
      </w:r>
      <w:r w:rsidRPr="008426F9">
        <w:rPr>
          <w:rFonts w:cs="Arial"/>
        </w:rPr>
        <w:t xml:space="preserve"> </w:t>
      </w:r>
      <w:r w:rsidR="00D0183A">
        <w:rPr>
          <w:rFonts w:cs="Arial"/>
        </w:rPr>
        <w:t>coupled with</w:t>
      </w:r>
      <w:r w:rsidRPr="008426F9">
        <w:rPr>
          <w:rFonts w:cs="Arial"/>
        </w:rPr>
        <w:t xml:space="preserve"> the</w:t>
      </w:r>
      <w:r w:rsidR="00EB2777">
        <w:rPr>
          <w:rFonts w:cs="Arial"/>
        </w:rPr>
        <w:t xml:space="preserve"> registered</w:t>
      </w:r>
      <w:r w:rsidRPr="008426F9">
        <w:rPr>
          <w:rFonts w:cs="Arial"/>
        </w:rPr>
        <w:t xml:space="preserve"> supporter’s own knowledge</w:t>
      </w:r>
      <w:r w:rsidR="00D0183A">
        <w:rPr>
          <w:rFonts w:cs="Arial"/>
        </w:rPr>
        <w:t xml:space="preserve"> of, and experience</w:t>
      </w:r>
      <w:r w:rsidRPr="008426F9">
        <w:rPr>
          <w:rFonts w:cs="Arial"/>
        </w:rPr>
        <w:t xml:space="preserve"> </w:t>
      </w:r>
      <w:r w:rsidR="00D0183A">
        <w:rPr>
          <w:rFonts w:cs="Arial"/>
        </w:rPr>
        <w:t>with,</w:t>
      </w:r>
      <w:r w:rsidRPr="008426F9">
        <w:rPr>
          <w:rFonts w:cs="Arial"/>
        </w:rPr>
        <w:t xml:space="preserve"> the </w:t>
      </w:r>
      <w:r w:rsidR="00D0183A">
        <w:rPr>
          <w:rFonts w:cs="Arial"/>
        </w:rPr>
        <w:t xml:space="preserve">older </w:t>
      </w:r>
      <w:r w:rsidRPr="008426F9">
        <w:rPr>
          <w:rFonts w:cs="Arial"/>
        </w:rPr>
        <w:t>person. </w:t>
      </w:r>
      <w:r w:rsidR="00EA76DA">
        <w:rPr>
          <w:rFonts w:cs="Arial"/>
        </w:rPr>
        <w:t xml:space="preserve">This includes that for some decisions, the older person may not want their registered supporter </w:t>
      </w:r>
      <w:r w:rsidR="005B18D7">
        <w:rPr>
          <w:rFonts w:cs="Arial"/>
        </w:rPr>
        <w:t xml:space="preserve">or anyone else </w:t>
      </w:r>
      <w:r w:rsidR="00EA76DA">
        <w:rPr>
          <w:rFonts w:cs="Arial"/>
        </w:rPr>
        <w:t xml:space="preserve">to be involved. </w:t>
      </w:r>
    </w:p>
    <w:p w14:paraId="49184020" w14:textId="66BE589B" w:rsidR="00EB2777" w:rsidRDefault="00EB2777" w:rsidP="0012773C">
      <w:pPr>
        <w:rPr>
          <w:rFonts w:cs="Arial"/>
        </w:rPr>
      </w:pPr>
      <w:r>
        <w:rPr>
          <w:rFonts w:cs="Arial"/>
        </w:rPr>
        <w:t>Registered supporters should</w:t>
      </w:r>
      <w:r w:rsidR="00D0183A">
        <w:rPr>
          <w:rFonts w:cs="Arial"/>
        </w:rPr>
        <w:t xml:space="preserve"> enquire about and</w:t>
      </w:r>
      <w:r>
        <w:rPr>
          <w:rFonts w:cs="Arial"/>
        </w:rPr>
        <w:t xml:space="preserve"> listen to feedback from the older person on the supports they want or need. Registered supporters should also respect the decisions an older person makes, even if it is not a decision that the registered supporter would make. </w:t>
      </w:r>
    </w:p>
    <w:p w14:paraId="3ED9F831" w14:textId="326A8F5B" w:rsidR="0089619B" w:rsidRDefault="0089619B" w:rsidP="007A555D">
      <w:pPr>
        <w:pStyle w:val="Heading4"/>
      </w:pPr>
      <w:r>
        <w:t>Dignity of risk</w:t>
      </w:r>
    </w:p>
    <w:p w14:paraId="3F22ADF4" w14:textId="5321822A" w:rsidR="00A56E22" w:rsidRDefault="00287382" w:rsidP="0012773C">
      <w:pPr>
        <w:rPr>
          <w:rFonts w:cs="Arial"/>
        </w:rPr>
      </w:pPr>
      <w:r>
        <w:rPr>
          <w:rFonts w:cs="Arial"/>
        </w:rPr>
        <w:t>Registered s</w:t>
      </w:r>
      <w:r w:rsidRPr="00287382">
        <w:rPr>
          <w:rFonts w:cs="Arial"/>
        </w:rPr>
        <w:t xml:space="preserve">upporters </w:t>
      </w:r>
      <w:r>
        <w:rPr>
          <w:rFonts w:cs="Arial"/>
        </w:rPr>
        <w:t>may</w:t>
      </w:r>
      <w:r w:rsidRPr="00287382">
        <w:rPr>
          <w:rFonts w:cs="Arial"/>
        </w:rPr>
        <w:t xml:space="preserve"> feel pressure or a responsibility to protect an older person. While this may be a way to show they care, older people have the right to make their own decisions, even if those decision involve personal risks.</w:t>
      </w:r>
      <w:r w:rsidR="00C92C09" w:rsidRPr="00C92C09">
        <w:rPr>
          <w:rFonts w:cs="Arial"/>
          <w:color w:val="000000"/>
          <w:szCs w:val="22"/>
          <w:shd w:val="clear" w:color="auto" w:fill="FFFFFF"/>
        </w:rPr>
        <w:t xml:space="preserve"> </w:t>
      </w:r>
      <w:r w:rsidR="00C92C09" w:rsidRPr="00C92C09">
        <w:rPr>
          <w:rFonts w:cs="Arial"/>
        </w:rPr>
        <w:t xml:space="preserve">Their right to continue making their own informed decisions, with knowledge of the options and possible consequences, must be respected. </w:t>
      </w:r>
      <w:r w:rsidR="00A8646B">
        <w:rPr>
          <w:rFonts w:cs="Arial"/>
        </w:rPr>
        <w:t xml:space="preserve">Open and non-judgemental </w:t>
      </w:r>
      <w:r w:rsidR="0098537D">
        <w:rPr>
          <w:rFonts w:cs="Arial"/>
        </w:rPr>
        <w:t>discussion</w:t>
      </w:r>
      <w:r w:rsidR="001D0A2F">
        <w:rPr>
          <w:rFonts w:cs="Arial"/>
        </w:rPr>
        <w:t>s</w:t>
      </w:r>
      <w:r w:rsidR="0098537D">
        <w:rPr>
          <w:rFonts w:cs="Arial"/>
        </w:rPr>
        <w:t xml:space="preserve"> of options and consequences</w:t>
      </w:r>
      <w:r w:rsidR="00C92C09" w:rsidRPr="00C92C09">
        <w:rPr>
          <w:rFonts w:cs="Arial"/>
        </w:rPr>
        <w:t xml:space="preserve"> </w:t>
      </w:r>
      <w:r w:rsidR="001D0A2F">
        <w:rPr>
          <w:rFonts w:cs="Arial"/>
        </w:rPr>
        <w:t>are</w:t>
      </w:r>
      <w:r w:rsidR="001D0A2F" w:rsidRPr="00C92C09">
        <w:rPr>
          <w:rFonts w:cs="Arial"/>
        </w:rPr>
        <w:t xml:space="preserve"> </w:t>
      </w:r>
      <w:r w:rsidR="00EA76DA">
        <w:rPr>
          <w:rFonts w:cs="Arial"/>
        </w:rPr>
        <w:t>how registered supporters can give effect to an older per</w:t>
      </w:r>
      <w:r w:rsidR="005B18D7">
        <w:rPr>
          <w:rFonts w:cs="Arial"/>
        </w:rPr>
        <w:t>s</w:t>
      </w:r>
      <w:r w:rsidR="00EA76DA">
        <w:rPr>
          <w:rFonts w:cs="Arial"/>
        </w:rPr>
        <w:t>on’s righ</w:t>
      </w:r>
      <w:r w:rsidR="005B18D7">
        <w:rPr>
          <w:rFonts w:cs="Arial"/>
        </w:rPr>
        <w:t xml:space="preserve">t to take risks in their decision-making. </w:t>
      </w:r>
      <w:r w:rsidR="00C92C09" w:rsidRPr="00C92C09">
        <w:rPr>
          <w:rFonts w:cs="Arial"/>
        </w:rPr>
        <w:t>   </w:t>
      </w:r>
    </w:p>
    <w:p w14:paraId="0C2E4DDE" w14:textId="37E87D6B" w:rsidR="005125E3" w:rsidRDefault="005125E3" w:rsidP="004A039D">
      <w:pPr>
        <w:pStyle w:val="Heading2"/>
      </w:pPr>
      <w:bookmarkStart w:id="16" w:name="_Toc208321382"/>
      <w:r>
        <w:t xml:space="preserve">Registering </w:t>
      </w:r>
      <w:r w:rsidR="7802AAC8">
        <w:t>supporters</w:t>
      </w:r>
      <w:r>
        <w:t xml:space="preserve"> </w:t>
      </w:r>
      <w:r w:rsidR="00B034E0" w:rsidRPr="00094B6A">
        <w:t xml:space="preserve">from 1 </w:t>
      </w:r>
      <w:r w:rsidR="00CE7C0D">
        <w:t>November</w:t>
      </w:r>
      <w:bookmarkEnd w:id="16"/>
    </w:p>
    <w:p w14:paraId="546CEBA8" w14:textId="450FA82C" w:rsidR="00B034E0" w:rsidRDefault="00B034E0" w:rsidP="00B034E0">
      <w:pPr>
        <w:rPr>
          <w:rFonts w:cs="Arial"/>
        </w:rPr>
      </w:pPr>
      <w:r w:rsidRPr="00347392">
        <w:rPr>
          <w:rFonts w:cs="Arial"/>
        </w:rPr>
        <w:t xml:space="preserve">For older people and </w:t>
      </w:r>
      <w:r w:rsidR="007460D2">
        <w:rPr>
          <w:rFonts w:cs="Arial"/>
        </w:rPr>
        <w:t>people supporting them</w:t>
      </w:r>
      <w:r w:rsidRPr="00347392">
        <w:rPr>
          <w:rFonts w:cs="Arial"/>
        </w:rPr>
        <w:t>, the process to register or become a</w:t>
      </w:r>
      <w:r>
        <w:rPr>
          <w:rFonts w:cs="Arial"/>
        </w:rPr>
        <w:t xml:space="preserve"> registered</w:t>
      </w:r>
      <w:r w:rsidRPr="00347392">
        <w:rPr>
          <w:rFonts w:cs="Arial"/>
        </w:rPr>
        <w:t xml:space="preserve"> supporter will mostly stay the same</w:t>
      </w:r>
      <w:r w:rsidR="007460D2">
        <w:rPr>
          <w:rFonts w:cs="Arial"/>
        </w:rPr>
        <w:t xml:space="preserve"> as the previous process to register a representative relationship in My Aged Care.</w:t>
      </w:r>
    </w:p>
    <w:p w14:paraId="719963B2" w14:textId="50738ABA" w:rsidR="00B034E0" w:rsidRPr="00625B01" w:rsidRDefault="007460D2" w:rsidP="00B034E0">
      <w:pPr>
        <w:rPr>
          <w:rFonts w:cs="Arial"/>
        </w:rPr>
      </w:pPr>
      <w:r>
        <w:rPr>
          <w:rFonts w:cs="Arial"/>
        </w:rPr>
        <w:t xml:space="preserve">From 1 </w:t>
      </w:r>
      <w:r w:rsidR="00947ED0">
        <w:rPr>
          <w:rFonts w:cs="Arial"/>
        </w:rPr>
        <w:t>November</w:t>
      </w:r>
      <w:r>
        <w:rPr>
          <w:rFonts w:cs="Arial"/>
        </w:rPr>
        <w:t>, i</w:t>
      </w:r>
      <w:r w:rsidR="00B034E0" w:rsidRPr="00922525">
        <w:rPr>
          <w:rFonts w:cs="Arial"/>
        </w:rPr>
        <w:t xml:space="preserve">f you would like to </w:t>
      </w:r>
      <w:r w:rsidR="00AD204F">
        <w:rPr>
          <w:rFonts w:cs="Arial"/>
        </w:rPr>
        <w:t xml:space="preserve">request to </w:t>
      </w:r>
      <w:r w:rsidR="00B034E0" w:rsidRPr="00922525">
        <w:rPr>
          <w:rFonts w:cs="Arial"/>
        </w:rPr>
        <w:t xml:space="preserve">register a supporter, you can contact My Aged Care, an </w:t>
      </w:r>
      <w:r w:rsidR="00B034E0">
        <w:rPr>
          <w:rFonts w:cs="Arial"/>
        </w:rPr>
        <w:t xml:space="preserve">aged care </w:t>
      </w:r>
      <w:r w:rsidR="00B034E0" w:rsidRPr="00922525">
        <w:rPr>
          <w:rFonts w:cs="Arial"/>
        </w:rPr>
        <w:t xml:space="preserve">assessor, an Aged Care Specialist Officer, complete the </w:t>
      </w:r>
      <w:r w:rsidR="00BF1837">
        <w:rPr>
          <w:rFonts w:cs="Arial"/>
        </w:rPr>
        <w:t xml:space="preserve">registration </w:t>
      </w:r>
      <w:r w:rsidR="00B034E0" w:rsidRPr="00922525">
        <w:rPr>
          <w:rFonts w:cs="Arial"/>
        </w:rPr>
        <w:t>form</w:t>
      </w:r>
      <w:r w:rsidR="00AD204F">
        <w:rPr>
          <w:rFonts w:cs="Arial"/>
        </w:rPr>
        <w:t xml:space="preserve">, </w:t>
      </w:r>
      <w:r w:rsidR="00B034E0" w:rsidRPr="522F4D6D">
        <w:rPr>
          <w:rFonts w:cs="Arial"/>
        </w:rPr>
        <w:t xml:space="preserve">or </w:t>
      </w:r>
      <w:r w:rsidR="00AD204F">
        <w:rPr>
          <w:rFonts w:cs="Arial"/>
        </w:rPr>
        <w:t xml:space="preserve">apply </w:t>
      </w:r>
      <w:r w:rsidR="00B034E0" w:rsidRPr="2B2F6987">
        <w:rPr>
          <w:rFonts w:cs="Arial"/>
        </w:rPr>
        <w:t>via</w:t>
      </w:r>
      <w:r w:rsidR="00B034E0" w:rsidRPr="522F4D6D">
        <w:rPr>
          <w:rFonts w:cs="Arial"/>
        </w:rPr>
        <w:t xml:space="preserve"> your My Aged Care Online Account</w:t>
      </w:r>
      <w:r w:rsidR="00B034E0" w:rsidRPr="00922525">
        <w:rPr>
          <w:rFonts w:cs="Arial"/>
        </w:rPr>
        <w:t>.</w:t>
      </w:r>
      <w:r w:rsidR="00B034E0" w:rsidRPr="78EEAC71">
        <w:rPr>
          <w:rFonts w:cs="Arial"/>
        </w:rPr>
        <w:t xml:space="preserve"> </w:t>
      </w:r>
    </w:p>
    <w:p w14:paraId="24929170" w14:textId="56F3847E" w:rsidR="00B034E0" w:rsidRPr="00625B01" w:rsidRDefault="00B034E0" w:rsidP="00B034E0">
      <w:pPr>
        <w:rPr>
          <w:rFonts w:cs="Arial"/>
        </w:rPr>
      </w:pPr>
      <w:r w:rsidRPr="00625B01">
        <w:rPr>
          <w:rFonts w:cs="Arial"/>
        </w:rPr>
        <w:t xml:space="preserve">In most cases, an older person will </w:t>
      </w:r>
      <w:r w:rsidR="00AD204F">
        <w:rPr>
          <w:rFonts w:cs="Arial"/>
        </w:rPr>
        <w:t xml:space="preserve">be asked to </w:t>
      </w:r>
      <w:r w:rsidRPr="00625B01">
        <w:rPr>
          <w:rFonts w:cs="Arial"/>
        </w:rPr>
        <w:t xml:space="preserve">consent to registering a person as their </w:t>
      </w:r>
      <w:r>
        <w:rPr>
          <w:rFonts w:cs="Arial"/>
        </w:rPr>
        <w:t xml:space="preserve">registered </w:t>
      </w:r>
      <w:r w:rsidRPr="00625B01">
        <w:rPr>
          <w:rFonts w:cs="Arial"/>
        </w:rPr>
        <w:t>supporter</w:t>
      </w:r>
      <w:r w:rsidR="00BF1837">
        <w:rPr>
          <w:rFonts w:cs="Arial"/>
        </w:rPr>
        <w:t xml:space="preserve">. They will also be asked to consent to that </w:t>
      </w:r>
      <w:r w:rsidRPr="00625B01">
        <w:rPr>
          <w:rFonts w:cs="Arial"/>
        </w:rPr>
        <w:t xml:space="preserve">person </w:t>
      </w:r>
      <w:r w:rsidR="007460D2">
        <w:rPr>
          <w:rFonts w:cs="Arial"/>
        </w:rPr>
        <w:t xml:space="preserve">automatically being </w:t>
      </w:r>
      <w:r w:rsidR="007460D2">
        <w:rPr>
          <w:rFonts w:cs="Arial"/>
        </w:rPr>
        <w:lastRenderedPageBreak/>
        <w:t>given</w:t>
      </w:r>
      <w:r w:rsidR="007460D2" w:rsidRPr="00625B01">
        <w:rPr>
          <w:rFonts w:cs="Arial"/>
        </w:rPr>
        <w:t xml:space="preserve"> </w:t>
      </w:r>
      <w:r w:rsidR="007460D2">
        <w:rPr>
          <w:rFonts w:cs="Arial"/>
        </w:rPr>
        <w:t xml:space="preserve">certain </w:t>
      </w:r>
      <w:r w:rsidRPr="00625B01">
        <w:rPr>
          <w:rFonts w:cs="Arial"/>
        </w:rPr>
        <w:t xml:space="preserve">information about them. </w:t>
      </w:r>
      <w:r w:rsidR="007460D2">
        <w:rPr>
          <w:rFonts w:cs="Arial"/>
        </w:rPr>
        <w:t xml:space="preserve">This is information that, under the Act, may or must be provided to an older person. </w:t>
      </w:r>
    </w:p>
    <w:p w14:paraId="25E22D36" w14:textId="756946A2" w:rsidR="00B034E0" w:rsidRDefault="00B034E0" w:rsidP="00B034E0">
      <w:pPr>
        <w:rPr>
          <w:rFonts w:cs="Arial"/>
        </w:rPr>
      </w:pPr>
      <w:r w:rsidRPr="00B50E6F">
        <w:rPr>
          <w:rFonts w:cs="Arial"/>
        </w:rPr>
        <w:t xml:space="preserve">An older person does not need to consent to </w:t>
      </w:r>
      <w:r>
        <w:rPr>
          <w:rFonts w:cs="Arial"/>
        </w:rPr>
        <w:t xml:space="preserve">the registration of a supporter </w:t>
      </w:r>
      <w:r w:rsidRPr="00B50E6F">
        <w:rPr>
          <w:rFonts w:cs="Arial"/>
        </w:rPr>
        <w:t xml:space="preserve">if that </w:t>
      </w:r>
      <w:r w:rsidR="00AD204F">
        <w:rPr>
          <w:rFonts w:cs="Arial"/>
        </w:rPr>
        <w:t>person</w:t>
      </w:r>
      <w:r w:rsidR="00AD204F" w:rsidRPr="00B50E6F">
        <w:rPr>
          <w:rFonts w:cs="Arial"/>
        </w:rPr>
        <w:t xml:space="preserve"> </w:t>
      </w:r>
      <w:r w:rsidRPr="00B50E6F">
        <w:rPr>
          <w:rFonts w:cs="Arial"/>
        </w:rPr>
        <w:t xml:space="preserve">is also </w:t>
      </w:r>
      <w:r>
        <w:rPr>
          <w:rFonts w:cs="Arial"/>
        </w:rPr>
        <w:t xml:space="preserve">an appointed decision maker for the older person under a </w:t>
      </w:r>
      <w:r w:rsidR="00BF1837" w:rsidRPr="0073640B">
        <w:rPr>
          <w:rFonts w:cs="Arial"/>
        </w:rPr>
        <w:t>Commonwealth,</w:t>
      </w:r>
      <w:r w:rsidRPr="0073640B">
        <w:rPr>
          <w:rFonts w:cs="Arial"/>
        </w:rPr>
        <w:t xml:space="preserve"> state or territory arrangement</w:t>
      </w:r>
      <w:r>
        <w:rPr>
          <w:rFonts w:cs="Arial"/>
        </w:rPr>
        <w:t xml:space="preserve"> and their legal authority is active</w:t>
      </w:r>
      <w:r w:rsidRPr="00B50E6F">
        <w:rPr>
          <w:rFonts w:cs="Arial"/>
        </w:rPr>
        <w:t>.</w:t>
      </w:r>
    </w:p>
    <w:p w14:paraId="70ED3AF2" w14:textId="71D9916A" w:rsidR="00B034E0" w:rsidRPr="008D4959" w:rsidRDefault="00B034E0" w:rsidP="00B034E0">
      <w:pPr>
        <w:rPr>
          <w:rFonts w:cs="Arial"/>
        </w:rPr>
      </w:pPr>
      <w:r w:rsidRPr="78EEAC71">
        <w:rPr>
          <w:rFonts w:cs="Arial"/>
        </w:rPr>
        <w:t xml:space="preserve">Generally, </w:t>
      </w:r>
      <w:r w:rsidR="008F0CCF">
        <w:rPr>
          <w:rFonts w:cs="Arial"/>
        </w:rPr>
        <w:t>these appointments only become active when</w:t>
      </w:r>
      <w:r w:rsidRPr="78EEAC71">
        <w:rPr>
          <w:rFonts w:cs="Arial"/>
        </w:rPr>
        <w:t xml:space="preserve"> the older person </w:t>
      </w:r>
      <w:r w:rsidR="0037412B">
        <w:rPr>
          <w:rFonts w:cs="Arial"/>
        </w:rPr>
        <w:t>no longer has decision-making ability</w:t>
      </w:r>
      <w:r w:rsidRPr="78EEAC71">
        <w:rPr>
          <w:rFonts w:cs="Arial"/>
        </w:rPr>
        <w:t>. These</w:t>
      </w:r>
      <w:r>
        <w:rPr>
          <w:rFonts w:cs="Arial"/>
        </w:rPr>
        <w:t xml:space="preserve"> registered</w:t>
      </w:r>
      <w:r w:rsidRPr="78EEAC71">
        <w:rPr>
          <w:rFonts w:cs="Arial"/>
        </w:rPr>
        <w:t xml:space="preserve"> supporters are also entitled to receive </w:t>
      </w:r>
      <w:r w:rsidR="00947ED0">
        <w:rPr>
          <w:rFonts w:cs="Arial"/>
        </w:rPr>
        <w:t xml:space="preserve">information that, under the Act, may or must be provided to an older person, </w:t>
      </w:r>
      <w:r w:rsidRPr="78EEAC71">
        <w:rPr>
          <w:rFonts w:cs="Arial"/>
        </w:rPr>
        <w:t xml:space="preserve">without </w:t>
      </w:r>
      <w:r w:rsidR="00947ED0">
        <w:rPr>
          <w:rFonts w:cs="Arial"/>
        </w:rPr>
        <w:t>the older person’s</w:t>
      </w:r>
      <w:r w:rsidRPr="78EEAC71">
        <w:rPr>
          <w:rFonts w:cs="Arial"/>
        </w:rPr>
        <w:t xml:space="preserve"> consent. Evidence of the </w:t>
      </w:r>
      <w:r>
        <w:rPr>
          <w:rFonts w:cs="Arial"/>
        </w:rPr>
        <w:t xml:space="preserve">registered </w:t>
      </w:r>
      <w:r w:rsidRPr="78EEAC71">
        <w:rPr>
          <w:rFonts w:cs="Arial"/>
        </w:rPr>
        <w:t xml:space="preserve">supporter’s decision-making authority must be provided to My Aged Care as part of the registration process. </w:t>
      </w:r>
      <w:r w:rsidRPr="522F4D6D">
        <w:rPr>
          <w:rFonts w:cs="Arial"/>
        </w:rPr>
        <w:t>Medical evidence about the older person may also be needed.</w:t>
      </w:r>
    </w:p>
    <w:p w14:paraId="57FB36F2" w14:textId="77777777" w:rsidR="00B034E0" w:rsidRDefault="00B034E0" w:rsidP="00B034E0">
      <w:pPr>
        <w:rPr>
          <w:rFonts w:cs="Arial"/>
        </w:rPr>
      </w:pPr>
      <w:r w:rsidRPr="00E47B6E">
        <w:rPr>
          <w:rFonts w:cs="Arial"/>
        </w:rPr>
        <w:t xml:space="preserve">If a supporter has been registered without an older person’s consent, the older person will be notified and </w:t>
      </w:r>
      <w:r>
        <w:rPr>
          <w:rFonts w:cs="Arial"/>
        </w:rPr>
        <w:t xml:space="preserve">given information on how </w:t>
      </w:r>
      <w:r w:rsidRPr="00E47B6E">
        <w:rPr>
          <w:rFonts w:cs="Arial"/>
        </w:rPr>
        <w:t xml:space="preserve">to </w:t>
      </w:r>
      <w:r>
        <w:rPr>
          <w:rFonts w:cs="Arial"/>
        </w:rPr>
        <w:t>request a review of</w:t>
      </w:r>
      <w:r w:rsidRPr="00E47B6E">
        <w:rPr>
          <w:rFonts w:cs="Arial"/>
        </w:rPr>
        <w:t xml:space="preserve"> the decision</w:t>
      </w:r>
      <w:r>
        <w:rPr>
          <w:rFonts w:cs="Arial"/>
        </w:rPr>
        <w:t xml:space="preserve"> if they have concerns</w:t>
      </w:r>
      <w:r w:rsidRPr="00E47B6E">
        <w:rPr>
          <w:rFonts w:cs="Arial"/>
        </w:rPr>
        <w:t xml:space="preserve">. </w:t>
      </w:r>
    </w:p>
    <w:p w14:paraId="409E62A0" w14:textId="0833D918" w:rsidR="00B32650" w:rsidRPr="00CF610F" w:rsidRDefault="00115407" w:rsidP="00A775F2">
      <w:r>
        <w:t xml:space="preserve">Additionally, a supporter’s registration will not record whether the older person wanted support across </w:t>
      </w:r>
      <w:r w:rsidR="00BD6541">
        <w:t xml:space="preserve">all aged care decisions, </w:t>
      </w:r>
      <w:r>
        <w:t>or only for particular aspect</w:t>
      </w:r>
      <w:r w:rsidR="00B034E0">
        <w:t>s or decisions</w:t>
      </w:r>
      <w:r w:rsidR="00BD6541">
        <w:t xml:space="preserve"> of </w:t>
      </w:r>
      <w:r w:rsidR="000B4F4C">
        <w:t>their aged care</w:t>
      </w:r>
      <w:r>
        <w:t>. For example</w:t>
      </w:r>
      <w:r w:rsidR="005B03C2">
        <w:t>,</w:t>
      </w:r>
      <w:r>
        <w:t xml:space="preserve"> </w:t>
      </w:r>
      <w:r w:rsidR="00B034E0">
        <w:t xml:space="preserve">an older person may want </w:t>
      </w:r>
      <w:r>
        <w:t xml:space="preserve">support in understanding financial statements </w:t>
      </w:r>
      <w:r w:rsidR="00B034E0">
        <w:t xml:space="preserve">but </w:t>
      </w:r>
      <w:r w:rsidR="00456A22">
        <w:t>not in making decision</w:t>
      </w:r>
      <w:r w:rsidR="008D6BB9">
        <w:t>s</w:t>
      </w:r>
      <w:r w:rsidR="00456A22">
        <w:t xml:space="preserve"> about their</w:t>
      </w:r>
      <w:r>
        <w:t xml:space="preserve"> daily living. </w:t>
      </w:r>
      <w:r w:rsidR="00661395">
        <w:t>As part of registering, and once registered, o</w:t>
      </w:r>
      <w:r>
        <w:t>lder pe</w:t>
      </w:r>
      <w:r w:rsidR="00456A22">
        <w:t>ople</w:t>
      </w:r>
      <w:r>
        <w:t xml:space="preserve"> and their </w:t>
      </w:r>
      <w:r w:rsidR="00456A22">
        <w:t xml:space="preserve">registered </w:t>
      </w:r>
      <w:r>
        <w:t xml:space="preserve">supporters </w:t>
      </w:r>
      <w:r w:rsidR="00456A22">
        <w:t>should</w:t>
      </w:r>
      <w:r>
        <w:t xml:space="preserve"> discuss the older person’s wishes for </w:t>
      </w:r>
      <w:r w:rsidR="004528A1">
        <w:t xml:space="preserve">when </w:t>
      </w:r>
      <w:r w:rsidR="005B18D7">
        <w:t xml:space="preserve">and </w:t>
      </w:r>
      <w:r>
        <w:t xml:space="preserve">how they </w:t>
      </w:r>
      <w:r w:rsidR="00CD44D6">
        <w:t xml:space="preserve">want to </w:t>
      </w:r>
      <w:r>
        <w:t xml:space="preserve">receive support and what information they want to share with their </w:t>
      </w:r>
      <w:r w:rsidR="00923312">
        <w:t xml:space="preserve">registered </w:t>
      </w:r>
      <w:r>
        <w:t>supporters.</w:t>
      </w:r>
    </w:p>
    <w:p w14:paraId="498A664A" w14:textId="624970C5" w:rsidR="0085372A" w:rsidRDefault="00B73D33" w:rsidP="00B73D33">
      <w:pPr>
        <w:pStyle w:val="Heading2"/>
      </w:pPr>
      <w:bookmarkStart w:id="17" w:name="_Toc208321383"/>
      <w:r>
        <w:t>Other people who provide support</w:t>
      </w:r>
      <w:bookmarkEnd w:id="17"/>
    </w:p>
    <w:p w14:paraId="7452ADE1" w14:textId="77777777" w:rsidR="007D46D2" w:rsidRDefault="007D46D2" w:rsidP="001F27A2">
      <w:bookmarkStart w:id="18" w:name="_Hlk193278837"/>
      <w:r w:rsidRPr="001F27A2">
        <w:t xml:space="preserve">Not every older person will want or need someone to support them. </w:t>
      </w:r>
    </w:p>
    <w:p w14:paraId="0DC134B0" w14:textId="6FF597A6" w:rsidR="001F27A2" w:rsidRPr="001F27A2" w:rsidRDefault="007D46D2" w:rsidP="001F27A2">
      <w:r>
        <w:t xml:space="preserve">Conversely, if an older person wants support, there are numerous people, services and organisations who can support them in their decision-making. </w:t>
      </w:r>
      <w:r w:rsidR="001F27A2" w:rsidRPr="001F27A2">
        <w:t xml:space="preserve">An older person does not have to register a supporter. </w:t>
      </w:r>
    </w:p>
    <w:p w14:paraId="4D443A36" w14:textId="4A399B5C" w:rsidR="001F27A2" w:rsidRDefault="001F27A2" w:rsidP="004A039D">
      <w:pPr>
        <w:pStyle w:val="Heading3"/>
      </w:pPr>
      <w:bookmarkStart w:id="19" w:name="_Toc208321384"/>
      <w:r>
        <w:t>Carers and significant others</w:t>
      </w:r>
      <w:bookmarkEnd w:id="19"/>
    </w:p>
    <w:p w14:paraId="480F0DBE" w14:textId="4923BC73" w:rsidR="001F27A2" w:rsidRPr="001F27A2" w:rsidRDefault="00D24538" w:rsidP="001F27A2">
      <w:r>
        <w:rPr>
          <w:rFonts w:eastAsia="Arial" w:cs="Arial"/>
          <w:szCs w:val="22"/>
        </w:rPr>
        <w:t xml:space="preserve">A carer is a person who looks after another person in their day-to-day living. </w:t>
      </w:r>
      <w:r w:rsidR="001F27A2" w:rsidRPr="001F27A2">
        <w:t xml:space="preserve">Some older people might feel they are already supported by their </w:t>
      </w:r>
      <w:proofErr w:type="spellStart"/>
      <w:r w:rsidR="001F27A2" w:rsidRPr="001F27A2">
        <w:t>carers</w:t>
      </w:r>
      <w:proofErr w:type="spellEnd"/>
      <w:r w:rsidR="001F27A2" w:rsidRPr="001F27A2">
        <w:t xml:space="preserve"> and other significant people in their lives, without needing </w:t>
      </w:r>
      <w:r w:rsidR="001F27A2" w:rsidRPr="001F27A2" w:rsidDel="0004394E">
        <w:t xml:space="preserve">any of them </w:t>
      </w:r>
      <w:r w:rsidR="001F27A2" w:rsidRPr="001F27A2">
        <w:t>to become a registered supporter. These people can continue to play an important role in supporting an older person, regardless of whether they are a registered supporter.</w:t>
      </w:r>
      <w:bookmarkEnd w:id="18"/>
    </w:p>
    <w:p w14:paraId="5ED3092A" w14:textId="2AD243F0" w:rsidR="0085372A" w:rsidRDefault="000517C4" w:rsidP="004A039D">
      <w:pPr>
        <w:pStyle w:val="Heading3"/>
      </w:pPr>
      <w:bookmarkStart w:id="20" w:name="_Toc208321385"/>
      <w:r>
        <w:t>Active, a</w:t>
      </w:r>
      <w:r w:rsidR="0085372A">
        <w:t>ppointed decision makers</w:t>
      </w:r>
      <w:bookmarkEnd w:id="20"/>
    </w:p>
    <w:p w14:paraId="1CEE93B4" w14:textId="69973E81" w:rsidR="001F27A2" w:rsidRPr="00AC3E79" w:rsidRDefault="0085372A" w:rsidP="001F27A2">
      <w:r w:rsidRPr="005002F0">
        <w:t xml:space="preserve">An </w:t>
      </w:r>
      <w:r w:rsidR="000517C4">
        <w:t>active,</w:t>
      </w:r>
      <w:r w:rsidRPr="005002F0">
        <w:t xml:space="preserve"> appointed decision maker does not have to be a registered supporter to make decisions for an older person. </w:t>
      </w:r>
      <w:r w:rsidRPr="00AC3E79">
        <w:t>They can also act on behalf of the older person without notifying the System Governor.</w:t>
      </w:r>
      <w:r w:rsidR="000517C4">
        <w:t xml:space="preserve"> A</w:t>
      </w:r>
      <w:r w:rsidR="001F27A2">
        <w:t xml:space="preserve">ppointed decision makers may have decision-making authority for personal, health, financial </w:t>
      </w:r>
      <w:r w:rsidR="00841E7F">
        <w:t>and/</w:t>
      </w:r>
      <w:r w:rsidR="001F27A2">
        <w:t xml:space="preserve">or medical treatment matters. </w:t>
      </w:r>
    </w:p>
    <w:p w14:paraId="0F3E243B" w14:textId="3C8D7D61" w:rsidR="001F27A2" w:rsidRDefault="001F27A2" w:rsidP="001F27A2">
      <w:r>
        <w:t>I</w:t>
      </w:r>
      <w:r w:rsidR="0085372A">
        <w:t>n line with principles of supported decision-making,</w:t>
      </w:r>
      <w:r w:rsidR="0085372A" w:rsidRPr="005002F0">
        <w:t xml:space="preserve"> where possible, </w:t>
      </w:r>
      <w:r w:rsidR="0085372A">
        <w:t>appointed decision makers</w:t>
      </w:r>
      <w:r w:rsidR="0085372A" w:rsidRPr="005002F0">
        <w:t xml:space="preserve"> should support the older person to make their own decisions</w:t>
      </w:r>
      <w:r w:rsidR="0085372A">
        <w:t xml:space="preserve">. This includes listening to, respecting and giving effect to the older person’s will and preferences. </w:t>
      </w:r>
    </w:p>
    <w:p w14:paraId="6BB90151" w14:textId="03A27BDD" w:rsidR="00311B93" w:rsidRDefault="49341150" w:rsidP="004A039D">
      <w:pPr>
        <w:pStyle w:val="Heading4"/>
      </w:pPr>
      <w:r>
        <w:lastRenderedPageBreak/>
        <w:t>Where there is</w:t>
      </w:r>
      <w:r w:rsidR="00311B93">
        <w:t xml:space="preserve"> no appointed decision maker</w:t>
      </w:r>
    </w:p>
    <w:p w14:paraId="2430222B" w14:textId="7BFE2B25" w:rsidR="00311B93" w:rsidRPr="00311B93" w:rsidRDefault="00311B93" w:rsidP="00311B93">
      <w:r w:rsidRPr="00311B93">
        <w:t xml:space="preserve">There may be times where an older person is no longer able to make decisions and </w:t>
      </w:r>
      <w:r w:rsidR="00C52DCF">
        <w:t xml:space="preserve">does not have an appointed decision maker (or that person does not have the required type of decision-making authority). </w:t>
      </w:r>
      <w:r>
        <w:t>Becoming a registered supporter does not afford someone decision</w:t>
      </w:r>
      <w:r w:rsidR="00C52DCF">
        <w:t>-</w:t>
      </w:r>
      <w:r>
        <w:t xml:space="preserve">making authority </w:t>
      </w:r>
      <w:r w:rsidR="00FF2688">
        <w:t>for an older person</w:t>
      </w:r>
      <w:r w:rsidRPr="00311B93">
        <w:t xml:space="preserve">. </w:t>
      </w:r>
    </w:p>
    <w:p w14:paraId="659B8790" w14:textId="5874939A" w:rsidR="00311B93" w:rsidRPr="00311B93" w:rsidRDefault="00C52DCF" w:rsidP="00311B93">
      <w:r>
        <w:t xml:space="preserve">In these circumstances, substitute decision-making arrangements must be sought at a </w:t>
      </w:r>
      <w:r w:rsidR="003D63BF">
        <w:t>Commonwealth</w:t>
      </w:r>
      <w:r w:rsidR="003D63BF" w:rsidRPr="0073640B">
        <w:t>,</w:t>
      </w:r>
      <w:r w:rsidRPr="0073640B">
        <w:t xml:space="preserve"> state or territory level</w:t>
      </w:r>
      <w:r>
        <w:t xml:space="preserve">. This might include </w:t>
      </w:r>
      <w:r w:rsidR="00482128">
        <w:t>making an</w:t>
      </w:r>
      <w:r w:rsidR="00311B93" w:rsidRPr="00311B93">
        <w:t xml:space="preserve"> application for</w:t>
      </w:r>
      <w:r w:rsidR="00482128">
        <w:t xml:space="preserve"> an</w:t>
      </w:r>
      <w:r w:rsidR="00311B93" w:rsidRPr="00311B93">
        <w:t xml:space="preserve"> </w:t>
      </w:r>
      <w:r w:rsidR="00482128">
        <w:t>o</w:t>
      </w:r>
      <w:r w:rsidR="00311B93" w:rsidRPr="00311B93">
        <w:t xml:space="preserve">rder </w:t>
      </w:r>
      <w:r w:rsidR="00482128">
        <w:t>of a</w:t>
      </w:r>
      <w:r w:rsidR="00311B93" w:rsidRPr="00311B93">
        <w:t xml:space="preserve"> state or territory court, board, panel or tribunal</w:t>
      </w:r>
      <w:r w:rsidR="00482128">
        <w:t xml:space="preserve"> for someone to make a decision on behalf of an older person</w:t>
      </w:r>
      <w:r w:rsidR="00311B93" w:rsidRPr="00311B93">
        <w:t>. Some</w:t>
      </w:r>
      <w:r w:rsidR="003D63BF">
        <w:t xml:space="preserve"> </w:t>
      </w:r>
      <w:r w:rsidR="00311B93" w:rsidRPr="00311B93">
        <w:t xml:space="preserve">state and territory </w:t>
      </w:r>
      <w:r w:rsidR="00482128">
        <w:t>arrangements</w:t>
      </w:r>
      <w:r w:rsidR="00311B93" w:rsidRPr="00311B93">
        <w:t xml:space="preserve"> include emergency options to appoint a decision</w:t>
      </w:r>
      <w:r w:rsidR="00482128">
        <w:t xml:space="preserve"> </w:t>
      </w:r>
      <w:r w:rsidR="00311B93" w:rsidRPr="00311B93">
        <w:t>maker quickly</w:t>
      </w:r>
      <w:r w:rsidR="00482128">
        <w:t>,</w:t>
      </w:r>
      <w:r w:rsidR="00311B93" w:rsidRPr="00311B93">
        <w:t xml:space="preserve"> if necessary. </w:t>
      </w:r>
    </w:p>
    <w:p w14:paraId="735F6D89" w14:textId="19AEE001" w:rsidR="00664AE2" w:rsidRDefault="00664AE2" w:rsidP="004A039D">
      <w:pPr>
        <w:pStyle w:val="Heading3"/>
      </w:pPr>
      <w:bookmarkStart w:id="21" w:name="_Toc208321386"/>
      <w:r>
        <w:t>Representative or nominee arrangements with other agencies</w:t>
      </w:r>
      <w:bookmarkEnd w:id="21"/>
    </w:p>
    <w:p w14:paraId="77BCD6B0" w14:textId="4D82906E" w:rsidR="008E2D40" w:rsidRDefault="008E2D40" w:rsidP="008E2D40">
      <w:r>
        <w:t xml:space="preserve">An older person may want their registered supporter to help support their decision-making in other aspects of their life and care. </w:t>
      </w:r>
    </w:p>
    <w:p w14:paraId="2EFA0566" w14:textId="35553DF2" w:rsidR="00664AE2" w:rsidRDefault="00046218" w:rsidP="00664AE2">
      <w:r>
        <w:t>However, t</w:t>
      </w:r>
      <w:r w:rsidR="00664AE2">
        <w:t xml:space="preserve">he </w:t>
      </w:r>
      <w:r w:rsidR="00835984">
        <w:t>registered</w:t>
      </w:r>
      <w:r w:rsidR="00664AE2">
        <w:t xml:space="preserve"> supporter role does not extend to aged care means testing. </w:t>
      </w:r>
      <w:r w:rsidR="182FD6E1">
        <w:t>I</w:t>
      </w:r>
      <w:r w:rsidR="00664AE2">
        <w:t xml:space="preserve">f an older person </w:t>
      </w:r>
      <w:r w:rsidR="00835984">
        <w:t xml:space="preserve">wants support </w:t>
      </w:r>
      <w:r w:rsidR="00664AE2">
        <w:t xml:space="preserve">in matters relating to means testing, carried out by Services Australia or the Department of Veterans Affairs, </w:t>
      </w:r>
      <w:r w:rsidR="00DB233F">
        <w:t>the person they want supporting them</w:t>
      </w:r>
      <w:r w:rsidR="00664AE2">
        <w:t xml:space="preserve"> </w:t>
      </w:r>
      <w:r>
        <w:t>(including their registered supporter)</w:t>
      </w:r>
      <w:r w:rsidR="00664AE2">
        <w:t xml:space="preserve"> will have to </w:t>
      </w:r>
      <w:r w:rsidR="00835984">
        <w:t>be appointed by</w:t>
      </w:r>
      <w:r w:rsidR="00664AE2">
        <w:t xml:space="preserve"> those agencies separately. </w:t>
      </w:r>
    </w:p>
    <w:p w14:paraId="08CCDBED" w14:textId="451D1134" w:rsidR="004340C6" w:rsidRDefault="00664AE2" w:rsidP="00664AE2">
      <w:r>
        <w:t xml:space="preserve">Similarly, the </w:t>
      </w:r>
      <w:r w:rsidR="00DB233F">
        <w:t xml:space="preserve">registered </w:t>
      </w:r>
      <w:r>
        <w:t xml:space="preserve">supporter role does not extend to matters beyond </w:t>
      </w:r>
      <w:r w:rsidR="00091CA9">
        <w:t>Australian Government</w:t>
      </w:r>
      <w:r>
        <w:t xml:space="preserve">-funded aged care services. </w:t>
      </w:r>
      <w:r w:rsidR="009B6BAA">
        <w:t>I</w:t>
      </w:r>
      <w:r>
        <w:t xml:space="preserve">f an older person </w:t>
      </w:r>
      <w:r w:rsidR="00DB233F">
        <w:t>wants support</w:t>
      </w:r>
      <w:r>
        <w:t xml:space="preserve"> in matters such as disability support, pensions, Medicare and mental health care, the</w:t>
      </w:r>
      <w:r w:rsidR="00DB233F">
        <w:t xml:space="preserve"> person they want to support them</w:t>
      </w:r>
      <w:r>
        <w:t xml:space="preserve"> </w:t>
      </w:r>
      <w:r w:rsidR="00046218">
        <w:t>(including their registered supporter)</w:t>
      </w:r>
      <w:r>
        <w:t xml:space="preserve"> must establish separate arrangements with the Commonwealth or state and territory agencies or schemes responsible for those matters.</w:t>
      </w:r>
    </w:p>
    <w:p w14:paraId="0EBD53F5" w14:textId="27152F9F" w:rsidR="00C360CD" w:rsidRDefault="00046218" w:rsidP="00664AE2">
      <w:r>
        <w:t>Further</w:t>
      </w:r>
      <w:r w:rsidR="00C360CD">
        <w:t xml:space="preserve">, </w:t>
      </w:r>
      <w:r w:rsidR="007060F5">
        <w:t xml:space="preserve">the </w:t>
      </w:r>
      <w:r>
        <w:t>registered</w:t>
      </w:r>
      <w:r w:rsidR="007060F5">
        <w:t xml:space="preserve"> supporter role does not extend to </w:t>
      </w:r>
      <w:r w:rsidR="003D1E3F">
        <w:t>support in health, financial or personal matters that do not fall under the Act. This includes advance care planning (such as writing Advance Care Directives)</w:t>
      </w:r>
      <w:r w:rsidR="00754E8F">
        <w:t xml:space="preserve"> </w:t>
      </w:r>
      <w:r w:rsidR="00E8263A">
        <w:t xml:space="preserve">and </w:t>
      </w:r>
      <w:r w:rsidR="00DF2AE7">
        <w:t>estate planning</w:t>
      </w:r>
      <w:r w:rsidR="00A5724C">
        <w:t>,</w:t>
      </w:r>
      <w:r w:rsidR="00DF2AE7">
        <w:t xml:space="preserve"> unless they form part of an older person’s aged care services</w:t>
      </w:r>
      <w:r w:rsidR="00BB0607">
        <w:t xml:space="preserve"> under the Act</w:t>
      </w:r>
      <w:r w:rsidR="00DF2AE7">
        <w:t>.</w:t>
      </w:r>
      <w:r w:rsidR="00754E8F">
        <w:t xml:space="preserve"> </w:t>
      </w:r>
      <w:r w:rsidR="007060F5">
        <w:t xml:space="preserve"> </w:t>
      </w:r>
    </w:p>
    <w:p w14:paraId="4AFE7354" w14:textId="0FA4952A" w:rsidR="00DD7C3F" w:rsidRPr="009F0228" w:rsidRDefault="00DD7C3F" w:rsidP="004A039D">
      <w:pPr>
        <w:pStyle w:val="Heading3"/>
      </w:pPr>
      <w:bookmarkStart w:id="22" w:name="_Toc208321387"/>
      <w:r>
        <w:t xml:space="preserve">Representatives under the </w:t>
      </w:r>
      <w:r w:rsidRPr="009F0228">
        <w:t>Quality of Care Principles</w:t>
      </w:r>
      <w:r>
        <w:t xml:space="preserve"> 2014</w:t>
      </w:r>
      <w:bookmarkEnd w:id="22"/>
    </w:p>
    <w:p w14:paraId="2442DE3E" w14:textId="3022A42C" w:rsidR="00D67C42" w:rsidRPr="00D67C42" w:rsidRDefault="00D67C42" w:rsidP="00D67C42">
      <w:r w:rsidRPr="00D67C42">
        <w:t xml:space="preserve">Under the Act, representative arrangements made under the Quality of Care Principles 2014 no longer exist. </w:t>
      </w:r>
    </w:p>
    <w:p w14:paraId="4363B3F8" w14:textId="33936B42" w:rsidR="002B25B4" w:rsidRDefault="002B25B4" w:rsidP="002B25B4">
      <w:pPr>
        <w:spacing w:before="0" w:after="160" w:line="279" w:lineRule="auto"/>
      </w:pPr>
      <w:r w:rsidRPr="005538D9">
        <w:t xml:space="preserve">After 1 </w:t>
      </w:r>
      <w:r w:rsidR="00CE7C0D">
        <w:t>November</w:t>
      </w:r>
      <w:r w:rsidRPr="005538D9">
        <w:t xml:space="preserve"> 2025</w:t>
      </w:r>
      <w:r w:rsidRPr="005002F0">
        <w:t>, a former representative under the Quality of Care Principles 2014 can</w:t>
      </w:r>
      <w:r>
        <w:t xml:space="preserve">: </w:t>
      </w:r>
    </w:p>
    <w:p w14:paraId="16088EC0" w14:textId="35CE4E2D" w:rsidR="005538D9" w:rsidRDefault="002B25B4" w:rsidP="002436A9">
      <w:pPr>
        <w:pStyle w:val="ListParagraph"/>
        <w:numPr>
          <w:ilvl w:val="0"/>
          <w:numId w:val="13"/>
        </w:numPr>
        <w:spacing w:before="0" w:after="160" w:line="278" w:lineRule="auto"/>
        <w:ind w:left="357" w:hanging="357"/>
        <w:contextualSpacing w:val="0"/>
      </w:pPr>
      <w:r w:rsidRPr="005002F0">
        <w:t xml:space="preserve">If the older person asks, work with the aged care provider. This means an older person can ask the aged care provider to share information with, or receive information from, their former representative. </w:t>
      </w:r>
      <w:r w:rsidRPr="00BD720E">
        <w:t>However, this does not grant former representatives the ability to make decisions on behalf of an older person.</w:t>
      </w:r>
    </w:p>
    <w:p w14:paraId="78D4F4A9" w14:textId="6DE76BE8" w:rsidR="002B25B4" w:rsidRPr="005002F0" w:rsidRDefault="002B25B4" w:rsidP="002436A9">
      <w:pPr>
        <w:pStyle w:val="ListParagraph"/>
        <w:numPr>
          <w:ilvl w:val="0"/>
          <w:numId w:val="12"/>
        </w:numPr>
        <w:spacing w:before="0" w:after="160" w:line="278" w:lineRule="auto"/>
        <w:ind w:left="357" w:hanging="357"/>
        <w:contextualSpacing w:val="0"/>
      </w:pPr>
      <w:r w:rsidRPr="005002F0">
        <w:t>If the former representative is an appointed decision maker, work with the aged care provider.</w:t>
      </w:r>
    </w:p>
    <w:p w14:paraId="1CBAE132" w14:textId="215A61AF" w:rsidR="002B25B4" w:rsidRPr="005002F0" w:rsidRDefault="002B25B4" w:rsidP="002B25B4">
      <w:r w:rsidRPr="005002F0">
        <w:lastRenderedPageBreak/>
        <w:t>A former representative under the Quality of Care Principles 2014 can do either of the above things whether or not they are a registered supporter.</w:t>
      </w:r>
    </w:p>
    <w:p w14:paraId="485E00EC" w14:textId="23A2AABA" w:rsidR="002B25B4" w:rsidRPr="00AC508B" w:rsidRDefault="00EE1E67" w:rsidP="002B25B4">
      <w:pPr>
        <w:rPr>
          <w:rFonts w:cs="Arial"/>
        </w:rPr>
      </w:pPr>
      <w:r>
        <w:t>However, o</w:t>
      </w:r>
      <w:r w:rsidR="002B25B4" w:rsidRPr="005002F0">
        <w:t xml:space="preserve">nly appointed decision makers under </w:t>
      </w:r>
      <w:r w:rsidR="003538B0" w:rsidRPr="0073640B">
        <w:t>Commonwealth</w:t>
      </w:r>
      <w:r w:rsidR="00180514">
        <w:t>,</w:t>
      </w:r>
      <w:r w:rsidR="003538B0" w:rsidRPr="0073640B">
        <w:t xml:space="preserve"> </w:t>
      </w:r>
      <w:r w:rsidR="002B25B4" w:rsidRPr="0073640B">
        <w:t>state or territory arrangements</w:t>
      </w:r>
      <w:r w:rsidR="002B25B4" w:rsidRPr="005002F0">
        <w:t xml:space="preserve"> can make decision</w:t>
      </w:r>
      <w:r w:rsidR="00163D25">
        <w:t>s</w:t>
      </w:r>
      <w:r w:rsidR="002B25B4" w:rsidRPr="005002F0">
        <w:t xml:space="preserve"> on behalf of an older person</w:t>
      </w:r>
      <w:r>
        <w:t>, in line with their active, legal authority</w:t>
      </w:r>
      <w:r w:rsidR="002B25B4" w:rsidRPr="005002F0">
        <w:t xml:space="preserve">. </w:t>
      </w:r>
    </w:p>
    <w:p w14:paraId="37CDBC4E" w14:textId="79995CBE" w:rsidR="00C054C8" w:rsidRDefault="009C6C19" w:rsidP="004A039D">
      <w:pPr>
        <w:pStyle w:val="Heading2"/>
      </w:pPr>
      <w:bookmarkStart w:id="23" w:name="_Toc208321388"/>
      <w:r>
        <w:t>Physical settings</w:t>
      </w:r>
      <w:bookmarkEnd w:id="23"/>
    </w:p>
    <w:p w14:paraId="4FA7BBE8" w14:textId="0B87CFBA" w:rsidR="009C6C19" w:rsidRDefault="009C6C19" w:rsidP="009C6C19">
      <w:r>
        <w:t xml:space="preserve">The </w:t>
      </w:r>
      <w:r w:rsidR="00EE1E67">
        <w:t>registered supporter role</w:t>
      </w:r>
      <w:r>
        <w:t xml:space="preserve"> </w:t>
      </w:r>
      <w:r w:rsidR="005A33AD">
        <w:t>operate</w:t>
      </w:r>
      <w:r w:rsidR="00802260">
        <w:t>s</w:t>
      </w:r>
      <w:r w:rsidR="00FE31D9">
        <w:t xml:space="preserve"> across</w:t>
      </w:r>
      <w:r w:rsidR="005A33AD">
        <w:t xml:space="preserve"> </w:t>
      </w:r>
      <w:r w:rsidR="00802260">
        <w:t xml:space="preserve">the </w:t>
      </w:r>
      <w:r w:rsidR="005A33AD">
        <w:t xml:space="preserve">aged care </w:t>
      </w:r>
      <w:r w:rsidR="00802260">
        <w:t xml:space="preserve">system, </w:t>
      </w:r>
      <w:r w:rsidR="68B75E23">
        <w:t>except</w:t>
      </w:r>
      <w:r w:rsidR="00802260">
        <w:t xml:space="preserve"> for the limitations outlined above</w:t>
      </w:r>
      <w:r w:rsidR="00D74BD7">
        <w:t>, namely</w:t>
      </w:r>
      <w:r w:rsidR="00E0276F">
        <w:t xml:space="preserve"> with respect to means testing</w:t>
      </w:r>
      <w:r w:rsidR="005A33AD">
        <w:t>.</w:t>
      </w:r>
      <w:r w:rsidR="00FE31D9">
        <w:t xml:space="preserve"> There is no requirement for the </w:t>
      </w:r>
      <w:r w:rsidR="00802260">
        <w:t>registered supporter role</w:t>
      </w:r>
      <w:r w:rsidR="00FE31D9">
        <w:t xml:space="preserve"> to </w:t>
      </w:r>
      <w:r w:rsidR="003D0909">
        <w:t xml:space="preserve">only </w:t>
      </w:r>
      <w:r w:rsidR="00FE31D9">
        <w:t>operate in</w:t>
      </w:r>
      <w:r w:rsidR="003D0909">
        <w:t xml:space="preserve"> </w:t>
      </w:r>
      <w:r w:rsidR="00E0276F">
        <w:t>certain</w:t>
      </w:r>
      <w:r w:rsidR="00FE31D9">
        <w:t xml:space="preserve"> physical settings,</w:t>
      </w:r>
      <w:r w:rsidR="003D0909">
        <w:t xml:space="preserve"> such as a residential care home</w:t>
      </w:r>
      <w:r w:rsidR="00892148">
        <w:t xml:space="preserve">. </w:t>
      </w:r>
      <w:r w:rsidR="00802260">
        <w:t>Registered supporters can support an older person’s decision-making</w:t>
      </w:r>
      <w:r w:rsidR="00892148">
        <w:t xml:space="preserve"> </w:t>
      </w:r>
      <w:r w:rsidR="002761F0">
        <w:t>across</w:t>
      </w:r>
      <w:r w:rsidR="00892148">
        <w:t xml:space="preserve"> a</w:t>
      </w:r>
      <w:r w:rsidR="002761F0">
        <w:t>ll</w:t>
      </w:r>
      <w:r w:rsidR="00892148">
        <w:t xml:space="preserve"> settings,</w:t>
      </w:r>
      <w:r w:rsidR="00FE31D9">
        <w:t xml:space="preserve"> </w:t>
      </w:r>
      <w:r w:rsidR="00892148">
        <w:t>provided</w:t>
      </w:r>
      <w:r w:rsidR="00FE31D9">
        <w:t xml:space="preserve"> the support</w:t>
      </w:r>
      <w:r w:rsidR="00802260">
        <w:t xml:space="preserve"> they are giving</w:t>
      </w:r>
      <w:r w:rsidR="00FE31D9">
        <w:t xml:space="preserve">, actions </w:t>
      </w:r>
      <w:r w:rsidR="00802260">
        <w:t xml:space="preserve">they are taking </w:t>
      </w:r>
      <w:r w:rsidR="00FE31D9">
        <w:t xml:space="preserve">or decisions </w:t>
      </w:r>
      <w:r w:rsidR="00802260">
        <w:t xml:space="preserve">they are communicating </w:t>
      </w:r>
      <w:r w:rsidR="0046657C">
        <w:t>fall within the scope of the Act.</w:t>
      </w:r>
    </w:p>
    <w:p w14:paraId="4C6F1F58" w14:textId="18FD31F8" w:rsidR="00664AE2" w:rsidRPr="00AC3E79" w:rsidRDefault="00FE31D9" w:rsidP="00AC3E79">
      <w:r>
        <w:t xml:space="preserve">This means that a </w:t>
      </w:r>
      <w:r w:rsidR="00D74BD7">
        <w:t>registered</w:t>
      </w:r>
      <w:r>
        <w:t xml:space="preserve"> supporter can assist an older person in their own home,</w:t>
      </w:r>
      <w:r w:rsidR="00E5631D">
        <w:t xml:space="preserve"> in a community setting, general health care setting, hospital, or residential aged care home</w:t>
      </w:r>
      <w:r w:rsidR="00B70D63">
        <w:t>,</w:t>
      </w:r>
      <w:r w:rsidR="00E5631D">
        <w:t xml:space="preserve"> as long as </w:t>
      </w:r>
      <w:r w:rsidR="0046657C">
        <w:t xml:space="preserve">their support or actions relate to actions or decisions under the Act. That is, they relate to the access or receipt of </w:t>
      </w:r>
      <w:r w:rsidR="00D74BD7">
        <w:t>Australian Government-</w:t>
      </w:r>
      <w:r w:rsidR="0046657C">
        <w:t>funded aged care services</w:t>
      </w:r>
      <w:r w:rsidR="008533FE">
        <w:t xml:space="preserve"> and are within the role and duties of a supporter</w:t>
      </w:r>
      <w:r w:rsidR="0046657C">
        <w:t>.</w:t>
      </w:r>
    </w:p>
    <w:p w14:paraId="5F584501" w14:textId="7ACCB79A" w:rsidR="7CCF9203" w:rsidRPr="005351C9" w:rsidRDefault="3802A1CD" w:rsidP="005351C9">
      <w:pPr>
        <w:pStyle w:val="Heading2"/>
        <w:rPr>
          <w:rFonts w:eastAsia="Arial"/>
          <w:b w:val="0"/>
        </w:rPr>
      </w:pPr>
      <w:bookmarkStart w:id="24" w:name="_Toc208321389"/>
      <w:r w:rsidRPr="005351C9">
        <w:rPr>
          <w:rFonts w:eastAsia="Arial"/>
        </w:rPr>
        <w:t>Other resources</w:t>
      </w:r>
      <w:bookmarkEnd w:id="24"/>
      <w:r w:rsidRPr="005351C9">
        <w:rPr>
          <w:rFonts w:eastAsia="Arial"/>
        </w:rPr>
        <w:t xml:space="preserve"> </w:t>
      </w:r>
    </w:p>
    <w:p w14:paraId="2F41461D" w14:textId="11057A8C" w:rsidR="7CCF9203" w:rsidRDefault="3802A1CD">
      <w:pPr>
        <w:rPr>
          <w:rFonts w:eastAsia="Arial" w:cs="Arial"/>
          <w:szCs w:val="22"/>
        </w:rPr>
      </w:pPr>
      <w:r w:rsidRPr="6216A4B2">
        <w:rPr>
          <w:rFonts w:eastAsia="Arial" w:cs="Arial"/>
          <w:szCs w:val="22"/>
        </w:rPr>
        <w:t xml:space="preserve">Older people and </w:t>
      </w:r>
      <w:r w:rsidR="00E4345D">
        <w:rPr>
          <w:rFonts w:eastAsia="Arial" w:cs="Arial"/>
          <w:szCs w:val="22"/>
        </w:rPr>
        <w:t>those who</w:t>
      </w:r>
      <w:r w:rsidRPr="6216A4B2">
        <w:rPr>
          <w:rFonts w:eastAsia="Arial" w:cs="Arial"/>
          <w:szCs w:val="22"/>
        </w:rPr>
        <w:t xml:space="preserve"> support </w:t>
      </w:r>
      <w:r w:rsidR="00E4345D">
        <w:rPr>
          <w:rFonts w:eastAsia="Arial" w:cs="Arial"/>
          <w:szCs w:val="22"/>
        </w:rPr>
        <w:t>them</w:t>
      </w:r>
      <w:r w:rsidRPr="6216A4B2">
        <w:rPr>
          <w:rFonts w:eastAsia="Arial" w:cs="Arial"/>
          <w:szCs w:val="22"/>
        </w:rPr>
        <w:t xml:space="preserve"> </w:t>
      </w:r>
      <w:r w:rsidR="00A65728">
        <w:rPr>
          <w:rFonts w:eastAsia="Arial" w:cs="Arial"/>
          <w:szCs w:val="22"/>
        </w:rPr>
        <w:t xml:space="preserve">may wish to </w:t>
      </w:r>
      <w:r w:rsidR="00FA0FD3">
        <w:rPr>
          <w:rFonts w:eastAsia="Arial" w:cs="Arial"/>
          <w:szCs w:val="22"/>
        </w:rPr>
        <w:t>find out more about decision-making</w:t>
      </w:r>
      <w:r w:rsidR="00DD19EA">
        <w:rPr>
          <w:rFonts w:eastAsia="Arial" w:cs="Arial"/>
          <w:szCs w:val="22"/>
        </w:rPr>
        <w:t xml:space="preserve"> support</w:t>
      </w:r>
      <w:r w:rsidR="00544658">
        <w:rPr>
          <w:rFonts w:eastAsia="Arial" w:cs="Arial"/>
          <w:szCs w:val="22"/>
        </w:rPr>
        <w:t>, and who can provide it</w:t>
      </w:r>
      <w:r w:rsidRPr="6216A4B2">
        <w:rPr>
          <w:rFonts w:eastAsia="Arial" w:cs="Arial"/>
          <w:szCs w:val="22"/>
        </w:rPr>
        <w:t>. Options for information and support include:</w:t>
      </w:r>
    </w:p>
    <w:p w14:paraId="6383B1A1" w14:textId="5CE75452" w:rsidR="00E4345D" w:rsidRDefault="3802A1CD" w:rsidP="00DB0407">
      <w:pPr>
        <w:pStyle w:val="ListParagraph"/>
        <w:numPr>
          <w:ilvl w:val="0"/>
          <w:numId w:val="9"/>
        </w:numPr>
        <w:rPr>
          <w:rFonts w:eastAsia="Arial" w:cs="Arial"/>
          <w:szCs w:val="22"/>
        </w:rPr>
      </w:pPr>
      <w:r w:rsidRPr="6216A4B2">
        <w:rPr>
          <w:rFonts w:eastAsia="Arial" w:cs="Arial"/>
          <w:szCs w:val="22"/>
        </w:rPr>
        <w:t xml:space="preserve">The Older Person’s Advocacy Network (OPAN) </w:t>
      </w:r>
      <w:r w:rsidR="00964C54">
        <w:rPr>
          <w:rFonts w:eastAsia="Arial" w:cs="Arial"/>
          <w:szCs w:val="22"/>
        </w:rPr>
        <w:t>provides free, independent and confidential support and advocacy to older people and people wh</w:t>
      </w:r>
      <w:r w:rsidR="0012356A">
        <w:rPr>
          <w:rFonts w:eastAsia="Arial" w:cs="Arial"/>
          <w:szCs w:val="22"/>
        </w:rPr>
        <w:t>o support them. Learn more</w:t>
      </w:r>
      <w:r w:rsidRPr="6216A4B2">
        <w:rPr>
          <w:rFonts w:eastAsia="Arial" w:cs="Arial"/>
          <w:szCs w:val="22"/>
        </w:rPr>
        <w:t xml:space="preserve"> at </w:t>
      </w:r>
      <w:hyperlink r:id="rId13" w:history="1">
        <w:r w:rsidRPr="6216A4B2">
          <w:rPr>
            <w:rStyle w:val="Hyperlink"/>
            <w:rFonts w:eastAsia="Arial" w:cs="Arial"/>
            <w:szCs w:val="22"/>
          </w:rPr>
          <w:t>www.opan.org.au</w:t>
        </w:r>
      </w:hyperlink>
      <w:r w:rsidRPr="6216A4B2">
        <w:rPr>
          <w:rFonts w:eastAsia="Arial" w:cs="Arial"/>
          <w:szCs w:val="22"/>
        </w:rPr>
        <w:t xml:space="preserve"> and 1800 700 600</w:t>
      </w:r>
      <w:r w:rsidR="00A77F99">
        <w:rPr>
          <w:rFonts w:eastAsia="Arial" w:cs="Arial"/>
          <w:szCs w:val="22"/>
        </w:rPr>
        <w:t>.</w:t>
      </w:r>
    </w:p>
    <w:p w14:paraId="10D774EB" w14:textId="110858EC" w:rsidR="00E4345D" w:rsidRPr="00E4345D" w:rsidRDefault="005E4AED" w:rsidP="00DB0407">
      <w:pPr>
        <w:pStyle w:val="ListParagraph"/>
        <w:numPr>
          <w:ilvl w:val="0"/>
          <w:numId w:val="9"/>
        </w:numPr>
        <w:rPr>
          <w:rFonts w:eastAsia="Arial" w:cs="Arial"/>
          <w:szCs w:val="22"/>
        </w:rPr>
      </w:pPr>
      <w:r w:rsidRPr="005E4AED">
        <w:rPr>
          <w:rFonts w:eastAsia="Arial" w:cs="Arial"/>
          <w:szCs w:val="22"/>
        </w:rPr>
        <w:t>Aged Care Specialist Officer</w:t>
      </w:r>
      <w:r w:rsidR="00964C54">
        <w:rPr>
          <w:rFonts w:eastAsia="Arial" w:cs="Arial"/>
          <w:szCs w:val="22"/>
        </w:rPr>
        <w:t xml:space="preserve">s provide a face-to-face My Aged Care service at select Services Australia centres. Learn more </w:t>
      </w:r>
      <w:r w:rsidR="000D1E60">
        <w:rPr>
          <w:rFonts w:eastAsia="Arial" w:cs="Arial"/>
          <w:szCs w:val="22"/>
        </w:rPr>
        <w:t xml:space="preserve">at </w:t>
      </w:r>
      <w:hyperlink r:id="rId14" w:history="1">
        <w:r w:rsidR="009246E2" w:rsidRPr="009246E2">
          <w:rPr>
            <w:rStyle w:val="Hyperlink"/>
            <w:rFonts w:eastAsia="Arial" w:cs="Arial"/>
            <w:szCs w:val="22"/>
          </w:rPr>
          <w:t>www.servicesaustralia.gov.au/aged-care-specialist-officer-my-aged-care-face-to-face-services?context=55715</w:t>
        </w:r>
      </w:hyperlink>
      <w:r w:rsidR="00A77F99">
        <w:rPr>
          <w:rFonts w:eastAsia="Arial" w:cs="Arial"/>
          <w:szCs w:val="22"/>
        </w:rPr>
        <w:t>.</w:t>
      </w:r>
    </w:p>
    <w:p w14:paraId="623AAEAA" w14:textId="27B8FFB3" w:rsidR="00124067" w:rsidRPr="00EA37EC" w:rsidRDefault="00124067" w:rsidP="00124067">
      <w:pPr>
        <w:pStyle w:val="ListParagraph"/>
        <w:numPr>
          <w:ilvl w:val="0"/>
          <w:numId w:val="9"/>
        </w:numPr>
        <w:rPr>
          <w:rFonts w:eastAsia="Arial" w:cs="Arial"/>
          <w:szCs w:val="22"/>
        </w:rPr>
      </w:pPr>
      <w:r w:rsidRPr="00EA37EC">
        <w:rPr>
          <w:rFonts w:eastAsia="Arial" w:cs="Arial"/>
          <w:szCs w:val="22"/>
        </w:rPr>
        <w:t>Care</w:t>
      </w:r>
      <w:r w:rsidR="000A1675">
        <w:rPr>
          <w:rFonts w:eastAsia="Arial" w:cs="Arial"/>
          <w:szCs w:val="22"/>
        </w:rPr>
        <w:t xml:space="preserve"> </w:t>
      </w:r>
      <w:r w:rsidR="0012356A">
        <w:rPr>
          <w:rFonts w:eastAsia="Arial" w:cs="Arial"/>
          <w:szCs w:val="22"/>
        </w:rPr>
        <w:t>f</w:t>
      </w:r>
      <w:r w:rsidRPr="00EA37EC">
        <w:rPr>
          <w:rFonts w:eastAsia="Arial" w:cs="Arial"/>
          <w:szCs w:val="22"/>
        </w:rPr>
        <w:t>inders</w:t>
      </w:r>
      <w:r w:rsidR="00805242">
        <w:rPr>
          <w:rFonts w:eastAsia="Arial" w:cs="Arial"/>
          <w:szCs w:val="22"/>
        </w:rPr>
        <w:t xml:space="preserve"> provide </w:t>
      </w:r>
      <w:r w:rsidR="00CD0FAA">
        <w:rPr>
          <w:rFonts w:eastAsia="Arial" w:cs="Arial"/>
          <w:szCs w:val="22"/>
        </w:rPr>
        <w:t xml:space="preserve">extra, intensive support to vulnerable people who have no other support network. Learn more at </w:t>
      </w:r>
      <w:hyperlink r:id="rId15" w:history="1">
        <w:r w:rsidR="00CD0FAA" w:rsidRPr="00DF1D3E">
          <w:rPr>
            <w:rStyle w:val="Hyperlink"/>
            <w:rFonts w:eastAsia="Arial" w:cs="Arial"/>
            <w:szCs w:val="22"/>
          </w:rPr>
          <w:t>https://www.myagedcare.gov.au/help-care-finder</w:t>
        </w:r>
      </w:hyperlink>
      <w:r w:rsidR="00CD0FAA">
        <w:rPr>
          <w:rFonts w:eastAsia="Arial" w:cs="Arial"/>
          <w:szCs w:val="22"/>
        </w:rPr>
        <w:t xml:space="preserve">. </w:t>
      </w:r>
    </w:p>
    <w:p w14:paraId="05B26295" w14:textId="7E59E618" w:rsidR="00BE61F8" w:rsidRPr="00EA37EC" w:rsidRDefault="3802A1CD" w:rsidP="00DB0407">
      <w:pPr>
        <w:pStyle w:val="ListParagraph"/>
        <w:numPr>
          <w:ilvl w:val="0"/>
          <w:numId w:val="9"/>
        </w:numPr>
        <w:rPr>
          <w:rFonts w:eastAsia="Arial"/>
        </w:rPr>
      </w:pPr>
      <w:r w:rsidRPr="6216A4B2">
        <w:rPr>
          <w:rFonts w:eastAsia="Arial" w:cs="Arial"/>
          <w:szCs w:val="22"/>
        </w:rPr>
        <w:t xml:space="preserve">State and territory tribunals </w:t>
      </w:r>
      <w:r w:rsidR="000A1675">
        <w:rPr>
          <w:rFonts w:eastAsia="Arial" w:cs="Arial"/>
          <w:szCs w:val="22"/>
        </w:rPr>
        <w:t xml:space="preserve">can be contacted </w:t>
      </w:r>
      <w:r w:rsidRPr="6216A4B2">
        <w:rPr>
          <w:rFonts w:eastAsia="Arial" w:cs="Arial"/>
          <w:szCs w:val="22"/>
        </w:rPr>
        <w:t>for issues relating to a</w:t>
      </w:r>
      <w:r w:rsidR="00544658">
        <w:rPr>
          <w:rFonts w:eastAsia="Arial" w:cs="Arial"/>
          <w:szCs w:val="22"/>
        </w:rPr>
        <w:t xml:space="preserve">n </w:t>
      </w:r>
      <w:r w:rsidRPr="6216A4B2">
        <w:rPr>
          <w:rFonts w:eastAsia="Arial" w:cs="Arial"/>
          <w:szCs w:val="22"/>
        </w:rPr>
        <w:t>appointed decision</w:t>
      </w:r>
      <w:r w:rsidR="00544658">
        <w:rPr>
          <w:rFonts w:eastAsia="Arial" w:cs="Arial"/>
          <w:szCs w:val="22"/>
        </w:rPr>
        <w:t xml:space="preserve"> </w:t>
      </w:r>
      <w:r w:rsidRPr="6216A4B2">
        <w:rPr>
          <w:rFonts w:eastAsia="Arial" w:cs="Arial"/>
          <w:szCs w:val="22"/>
        </w:rPr>
        <w:t>maker under a state or territory arrangement</w:t>
      </w:r>
      <w:r w:rsidR="000A1675">
        <w:rPr>
          <w:rFonts w:eastAsia="Arial" w:cs="Arial"/>
          <w:szCs w:val="22"/>
        </w:rPr>
        <w:t>.</w:t>
      </w:r>
    </w:p>
    <w:p w14:paraId="22DD5C2C" w14:textId="2A1799A0" w:rsidR="00A77F99" w:rsidRDefault="00C92C09" w:rsidP="00D2488A">
      <w:pPr>
        <w:pStyle w:val="Heading3"/>
        <w:rPr>
          <w:rFonts w:eastAsia="Arial"/>
        </w:rPr>
      </w:pPr>
      <w:bookmarkStart w:id="25" w:name="_Toc208321390"/>
      <w:r>
        <w:rPr>
          <w:rFonts w:eastAsia="Arial"/>
          <w:szCs w:val="22"/>
        </w:rPr>
        <w:t xml:space="preserve">Support </w:t>
      </w:r>
      <w:r w:rsidR="009F569D">
        <w:rPr>
          <w:rFonts w:eastAsia="Arial"/>
          <w:szCs w:val="22"/>
        </w:rPr>
        <w:t xml:space="preserve">for </w:t>
      </w:r>
      <w:r w:rsidR="009F569D">
        <w:rPr>
          <w:rFonts w:eastAsia="Arial"/>
        </w:rPr>
        <w:t>c</w:t>
      </w:r>
      <w:r w:rsidR="00A77F99">
        <w:rPr>
          <w:rFonts w:eastAsia="Arial"/>
        </w:rPr>
        <w:t>arers</w:t>
      </w:r>
      <w:bookmarkEnd w:id="25"/>
    </w:p>
    <w:p w14:paraId="3F319B38" w14:textId="0CE4E243" w:rsidR="00FB1532" w:rsidRPr="00FB1532" w:rsidRDefault="008F7225" w:rsidP="00FB1532">
      <w:pPr>
        <w:rPr>
          <w:rFonts w:eastAsia="Arial" w:cs="Arial"/>
          <w:szCs w:val="22"/>
        </w:rPr>
      </w:pPr>
      <w:r>
        <w:rPr>
          <w:rFonts w:eastAsia="Arial" w:cs="Arial"/>
          <w:szCs w:val="22"/>
        </w:rPr>
        <w:t>Carer Gateway is an Australian Government program providing free services and support</w:t>
      </w:r>
      <w:r w:rsidR="009F569D">
        <w:rPr>
          <w:rFonts w:eastAsia="Arial" w:cs="Arial"/>
          <w:szCs w:val="22"/>
        </w:rPr>
        <w:t xml:space="preserve">s </w:t>
      </w:r>
      <w:r>
        <w:rPr>
          <w:rFonts w:eastAsia="Arial" w:cs="Arial"/>
          <w:szCs w:val="22"/>
        </w:rPr>
        <w:t>for unpaid carers</w:t>
      </w:r>
      <w:r w:rsidR="00A449EB">
        <w:rPr>
          <w:rFonts w:eastAsia="Arial" w:cs="Arial"/>
          <w:szCs w:val="22"/>
        </w:rPr>
        <w:t xml:space="preserve">. Anyone can contact Carer Gateway </w:t>
      </w:r>
      <w:r>
        <w:rPr>
          <w:rFonts w:eastAsia="Arial" w:cs="Arial"/>
          <w:szCs w:val="22"/>
        </w:rPr>
        <w:t>by phone at 1800 422 737 or seek further information online at</w:t>
      </w:r>
      <w:r w:rsidR="00525C1E">
        <w:rPr>
          <w:rFonts w:eastAsia="Arial" w:cs="Arial"/>
          <w:szCs w:val="22"/>
        </w:rPr>
        <w:t xml:space="preserve"> </w:t>
      </w:r>
      <w:hyperlink r:id="rId16" w:history="1">
        <w:r w:rsidR="00525C1E" w:rsidRPr="001E1907">
          <w:rPr>
            <w:rStyle w:val="Hyperlink"/>
            <w:rFonts w:eastAsia="Arial" w:cs="Arial"/>
            <w:szCs w:val="22"/>
          </w:rPr>
          <w:t>www.carergateway.gov.au/</w:t>
        </w:r>
      </w:hyperlink>
      <w:r w:rsidR="00525C1E">
        <w:rPr>
          <w:rFonts w:eastAsia="Arial" w:cs="Arial"/>
          <w:szCs w:val="22"/>
        </w:rPr>
        <w:t xml:space="preserve">. </w:t>
      </w:r>
    </w:p>
    <w:p w14:paraId="0228C0CC" w14:textId="1D0E290F" w:rsidR="002E2C12" w:rsidRDefault="002E2C12" w:rsidP="004A039D">
      <w:pPr>
        <w:pStyle w:val="Heading1"/>
      </w:pPr>
      <w:bookmarkStart w:id="26" w:name="_Toc208321391"/>
      <w:r>
        <w:t>Audience</w:t>
      </w:r>
      <w:bookmarkEnd w:id="26"/>
    </w:p>
    <w:p w14:paraId="6B36EE4D" w14:textId="7921496F" w:rsidR="00A215B6" w:rsidRPr="00F91431" w:rsidRDefault="00743EB6" w:rsidP="004A039D">
      <w:pPr>
        <w:pStyle w:val="NormalText"/>
      </w:pPr>
      <w:r w:rsidRPr="00F91431">
        <w:t>This policy is</w:t>
      </w:r>
      <w:r w:rsidR="0050170D" w:rsidRPr="00F91431">
        <w:t xml:space="preserve"> intended</w:t>
      </w:r>
      <w:r w:rsidRPr="00F91431">
        <w:t xml:space="preserve"> </w:t>
      </w:r>
      <w:r w:rsidR="007B7C77" w:rsidRPr="00F91431">
        <w:t xml:space="preserve">for </w:t>
      </w:r>
      <w:r w:rsidR="00A04F5E" w:rsidRPr="00F91431">
        <w:t xml:space="preserve">all stakeholders </w:t>
      </w:r>
      <w:r w:rsidR="00FA2018" w:rsidRPr="00F91431">
        <w:t xml:space="preserve">across the aged care system. </w:t>
      </w:r>
    </w:p>
    <w:p w14:paraId="7078FF23" w14:textId="07E1B9C8" w:rsidR="002E2C12" w:rsidRPr="00F91431" w:rsidRDefault="009E2516" w:rsidP="004A039D">
      <w:pPr>
        <w:pStyle w:val="NormalText"/>
      </w:pPr>
      <w:r w:rsidRPr="00F91431">
        <w:lastRenderedPageBreak/>
        <w:t xml:space="preserve">This policy </w:t>
      </w:r>
      <w:r w:rsidR="00FA2018" w:rsidRPr="00F91431">
        <w:t xml:space="preserve">applies to </w:t>
      </w:r>
      <w:r w:rsidR="00B03CB1" w:rsidRPr="00F91431">
        <w:t>older people</w:t>
      </w:r>
      <w:r w:rsidR="00B32AEB" w:rsidRPr="00F91431">
        <w:t xml:space="preserve"> and </w:t>
      </w:r>
      <w:r w:rsidR="002B10A6" w:rsidRPr="00F91431">
        <w:t>those people who</w:t>
      </w:r>
      <w:r w:rsidR="00ED110C" w:rsidRPr="00F91431">
        <w:t xml:space="preserve"> support </w:t>
      </w:r>
      <w:r w:rsidR="002B10A6" w:rsidRPr="00F91431">
        <w:t>them including their registered</w:t>
      </w:r>
      <w:r w:rsidR="00B03CB1" w:rsidRPr="00F91431">
        <w:t xml:space="preserve"> supporters, </w:t>
      </w:r>
      <w:r w:rsidR="000C6ABA" w:rsidRPr="00F91431">
        <w:t xml:space="preserve">aged care </w:t>
      </w:r>
      <w:r w:rsidR="00B03CB1" w:rsidRPr="00F91431">
        <w:t xml:space="preserve">providers and others </w:t>
      </w:r>
      <w:r w:rsidR="00B32AEB" w:rsidRPr="00F91431">
        <w:t xml:space="preserve">who </w:t>
      </w:r>
      <w:r w:rsidR="00B049B5" w:rsidRPr="00F91431">
        <w:t>engage My Aged Care</w:t>
      </w:r>
      <w:r w:rsidR="00902D0F" w:rsidRPr="00F91431">
        <w:t xml:space="preserve"> and the broader aged care system. </w:t>
      </w:r>
    </w:p>
    <w:p w14:paraId="1B4235DA" w14:textId="48DD62FE" w:rsidR="002E2C12" w:rsidRDefault="002E2C12" w:rsidP="002E2C12">
      <w:pPr>
        <w:pStyle w:val="Heading1"/>
      </w:pPr>
      <w:bookmarkStart w:id="27" w:name="_Toc208321392"/>
      <w:r>
        <w:t>Contact</w:t>
      </w:r>
      <w:bookmarkEnd w:id="27"/>
    </w:p>
    <w:p w14:paraId="18981E4A" w14:textId="7BEAC41D" w:rsidR="00E91496" w:rsidRDefault="00E91496" w:rsidP="00235924">
      <w:r>
        <w:t xml:space="preserve">For </w:t>
      </w:r>
      <w:r w:rsidR="001833E4">
        <w:t>any further information on this policy, please contact:</w:t>
      </w:r>
    </w:p>
    <w:p w14:paraId="034E4B90" w14:textId="78729414" w:rsidR="00235924" w:rsidRPr="00235924" w:rsidRDefault="00235924" w:rsidP="00A5201F">
      <w:pPr>
        <w:ind w:left="720" w:hanging="436"/>
      </w:pPr>
      <w:r w:rsidRPr="00235924">
        <w:t>Supported Decision-Making</w:t>
      </w:r>
      <w:r>
        <w:t xml:space="preserve"> Section</w:t>
      </w:r>
    </w:p>
    <w:p w14:paraId="562993BA" w14:textId="75BD5988" w:rsidR="00C33D2D" w:rsidRPr="00C33D2D" w:rsidRDefault="00A85799" w:rsidP="00DB0407">
      <w:pPr>
        <w:ind w:left="720" w:hanging="436"/>
      </w:pPr>
      <w:r w:rsidRPr="00A85799">
        <w:rPr>
          <w:b/>
          <w:bCs/>
        </w:rPr>
        <w:t>Email:</w:t>
      </w:r>
      <w:r>
        <w:t xml:space="preserve"> </w:t>
      </w:r>
      <w:r w:rsidR="00B46174" w:rsidRPr="00203D7C">
        <w:t>SupportedDecisionMaking@Health.gov.au</w:t>
      </w:r>
    </w:p>
    <w:p w14:paraId="067D063F" w14:textId="77777777" w:rsidR="002E2C12" w:rsidRPr="002E2C12" w:rsidRDefault="002E2C12" w:rsidP="004A039D">
      <w:pPr>
        <w:pStyle w:val="Heading1"/>
      </w:pPr>
      <w:bookmarkStart w:id="28" w:name="_Toc208321393"/>
      <w:r w:rsidRPr="002E2C12">
        <w:t>Definitions</w:t>
      </w:r>
      <w:bookmarkEnd w:id="28"/>
    </w:p>
    <w:p w14:paraId="3DED06E9" w14:textId="5C9846E1" w:rsidR="00B43D47" w:rsidRPr="000A0E28" w:rsidRDefault="000A0E28" w:rsidP="004A039D">
      <w:pPr>
        <w:pStyle w:val="NormalText"/>
      </w:pPr>
      <w:r w:rsidRPr="000A0E28">
        <w:t xml:space="preserve">To </w:t>
      </w:r>
      <w:r>
        <w:t xml:space="preserve">learn more about some of the terms used in this policy, and across the Policy Library for registered supporters, </w:t>
      </w:r>
      <w:r w:rsidR="00920EE7">
        <w:t xml:space="preserve">please go to the </w:t>
      </w:r>
      <w:hyperlink r:id="rId17" w:history="1">
        <w:r w:rsidR="00920EE7" w:rsidRPr="0060067C">
          <w:rPr>
            <w:rStyle w:val="Hyperlink"/>
            <w:rFonts w:cs="Times New Roman"/>
            <w:szCs w:val="24"/>
          </w:rPr>
          <w:t>Glossary</w:t>
        </w:r>
      </w:hyperlink>
      <w:r w:rsidR="00920EE7">
        <w:t xml:space="preserve">. </w:t>
      </w:r>
    </w:p>
    <w:p w14:paraId="2C568367" w14:textId="657B154D" w:rsidR="00C33D2D" w:rsidRDefault="00C33D2D" w:rsidP="004A039D">
      <w:pPr>
        <w:pStyle w:val="Heading1"/>
        <w:rPr>
          <w:rFonts w:cs="Times New Roman"/>
          <w:color w:val="000000" w:themeColor="text1"/>
          <w:sz w:val="22"/>
          <w:szCs w:val="24"/>
        </w:rPr>
      </w:pPr>
      <w:bookmarkStart w:id="29" w:name="_Toc208321394"/>
      <w:r w:rsidRPr="002E2C12">
        <w:t xml:space="preserve">Related </w:t>
      </w:r>
      <w:r>
        <w:t>legislation</w:t>
      </w:r>
      <w:r w:rsidR="0014338A">
        <w:t xml:space="preserve"> and </w:t>
      </w:r>
      <w:r w:rsidR="00DA2C4D">
        <w:t>conventions</w:t>
      </w:r>
      <w:bookmarkEnd w:id="29"/>
    </w:p>
    <w:p w14:paraId="62A5C38D" w14:textId="77777777" w:rsidR="00B43AC9" w:rsidRPr="00502A5F" w:rsidRDefault="00B43AC9" w:rsidP="00B43AC9">
      <w:pPr>
        <w:rPr>
          <w:i/>
        </w:rPr>
      </w:pPr>
      <w:hyperlink r:id="rId18" w:history="1">
        <w:r w:rsidRPr="00F406B7">
          <w:rPr>
            <w:rStyle w:val="Hyperlink"/>
            <w:i/>
            <w:iCs/>
          </w:rPr>
          <w:t>Aged Care Act 2024 (Cth)</w:t>
        </w:r>
      </w:hyperlink>
    </w:p>
    <w:p w14:paraId="2C28E42E" w14:textId="30BA6655" w:rsidR="002B10A6" w:rsidRPr="002B10A6" w:rsidRDefault="002B10A6" w:rsidP="002B10A6">
      <w:pPr>
        <w:rPr>
          <w:i/>
          <w:iCs/>
        </w:rPr>
      </w:pPr>
      <w:r w:rsidRPr="002B10A6">
        <w:rPr>
          <w:i/>
          <w:iCs/>
        </w:rPr>
        <w:t>Aged Care Rules 2025 (Cth)</w:t>
      </w:r>
    </w:p>
    <w:p w14:paraId="592CF241" w14:textId="48EA3019" w:rsidR="00C33D2D" w:rsidRDefault="00C83BAB" w:rsidP="004A039D">
      <w:pPr>
        <w:pStyle w:val="NormalText"/>
      </w:pPr>
      <w:hyperlink r:id="rId19" w:history="1">
        <w:r w:rsidRPr="00D618BD">
          <w:rPr>
            <w:rStyle w:val="Hyperlink"/>
          </w:rPr>
          <w:t>Convention on the Rights of Persons with Disabilities</w:t>
        </w:r>
        <w:r w:rsidR="009336B6" w:rsidRPr="00D618BD">
          <w:rPr>
            <w:rStyle w:val="Hyperlink"/>
          </w:rPr>
          <w:t>, Article 12</w:t>
        </w:r>
      </w:hyperlink>
    </w:p>
    <w:p w14:paraId="0D4C4E17" w14:textId="3D553967" w:rsidR="002E2C12" w:rsidRDefault="00403A76" w:rsidP="004A039D">
      <w:pPr>
        <w:numPr>
          <w:ilvl w:val="0"/>
          <w:numId w:val="7"/>
        </w:numPr>
        <w:tabs>
          <w:tab w:val="clear" w:pos="720"/>
          <w:tab w:val="num" w:pos="360"/>
        </w:tabs>
        <w:ind w:left="360"/>
      </w:pPr>
      <w:r>
        <w:t>Article 12 of the CPRD</w:t>
      </w:r>
      <w:r w:rsidRPr="00B269F1">
        <w:t xml:space="preserve"> recognise</w:t>
      </w:r>
      <w:r>
        <w:t>s</w:t>
      </w:r>
      <w:r w:rsidRPr="00B269F1">
        <w:t xml:space="preserve"> that pe</w:t>
      </w:r>
      <w:r>
        <w:t>ople</w:t>
      </w:r>
      <w:r w:rsidRPr="00B269F1">
        <w:t xml:space="preserve"> with disability</w:t>
      </w:r>
      <w:r>
        <w:t xml:space="preserve"> should</w:t>
      </w:r>
      <w:r w:rsidRPr="00B269F1">
        <w:t xml:space="preserve"> enjoy legal capacity on an equal basis with others in all aspects of life, and </w:t>
      </w:r>
      <w:r>
        <w:t xml:space="preserve">that </w:t>
      </w:r>
      <w:r w:rsidRPr="00B269F1">
        <w:t xml:space="preserve">appropriate measures </w:t>
      </w:r>
      <w:r>
        <w:t>should be</w:t>
      </w:r>
      <w:r w:rsidRPr="00B269F1">
        <w:t xml:space="preserve"> take</w:t>
      </w:r>
      <w:r>
        <w:t>n</w:t>
      </w:r>
      <w:r w:rsidRPr="00B269F1">
        <w:t xml:space="preserve"> to provide p</w:t>
      </w:r>
      <w:r>
        <w:t xml:space="preserve">eople </w:t>
      </w:r>
      <w:r w:rsidRPr="00B269F1">
        <w:t>with disability access to the support they may require in exercising their legal capacity</w:t>
      </w:r>
      <w:r w:rsidR="00DA2544">
        <w:t>.</w:t>
      </w:r>
    </w:p>
    <w:sectPr w:rsidR="002E2C12"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528B" w14:textId="77777777" w:rsidR="00435F35" w:rsidRDefault="00435F35" w:rsidP="006B56BB">
      <w:r>
        <w:separator/>
      </w:r>
    </w:p>
    <w:p w14:paraId="5FE362E7" w14:textId="77777777" w:rsidR="00435F35" w:rsidRDefault="00435F35"/>
  </w:endnote>
  <w:endnote w:type="continuationSeparator" w:id="0">
    <w:p w14:paraId="52C539AB" w14:textId="77777777" w:rsidR="00435F35" w:rsidRDefault="00435F35" w:rsidP="006B56BB">
      <w:r>
        <w:continuationSeparator/>
      </w:r>
    </w:p>
    <w:p w14:paraId="73422B49" w14:textId="77777777" w:rsidR="00435F35" w:rsidRDefault="00435F35"/>
  </w:endnote>
  <w:endnote w:type="continuationNotice" w:id="1">
    <w:p w14:paraId="6D86C574" w14:textId="77777777" w:rsidR="00435F35" w:rsidRDefault="00435F35"/>
  </w:endnote>
  <w:endnote w:id="2">
    <w:p w14:paraId="417FE618" w14:textId="7422284A" w:rsidR="00512F18" w:rsidRDefault="00512F18">
      <w:pPr>
        <w:pStyle w:val="EndnoteText"/>
      </w:pPr>
      <w:r>
        <w:rPr>
          <w:rStyle w:val="EndnoteReference"/>
        </w:rPr>
        <w:endnoteRef/>
      </w:r>
      <w:r>
        <w:t xml:space="preserve"> </w:t>
      </w:r>
      <w:r w:rsidR="00BB6832">
        <w:t>R</w:t>
      </w:r>
      <w:r w:rsidR="00BB6832" w:rsidRPr="00CE4919">
        <w:t>oyal Commission into Violence, Abuse, Neglect and Exploitation of People with Disability, ‘</w:t>
      </w:r>
      <w:r w:rsidR="00751858" w:rsidRPr="00CE4919">
        <w:t xml:space="preserve">Final Report Volume 6: </w:t>
      </w:r>
      <w:r w:rsidR="00BB6832" w:rsidRPr="00CE4919">
        <w:t>Enabling autonomy and access’</w:t>
      </w:r>
      <w:r w:rsidR="00D46C99" w:rsidRPr="00CE4919">
        <w:t>, p 118</w:t>
      </w:r>
      <w:r w:rsidR="00751858" w:rsidRPr="00CE4919">
        <w:t xml:space="preserve"> available at </w:t>
      </w:r>
      <w:hyperlink r:id="rId1" w:history="1">
        <w:r w:rsidR="00CE4919" w:rsidRPr="009F306C">
          <w:rPr>
            <w:rStyle w:val="Hyperlink"/>
          </w:rPr>
          <w:t>https://disability.royalcommission.gov.au/publications/final-report-volume-6-enabling-autonomy-and-access</w:t>
        </w:r>
      </w:hyperlink>
      <w:r w:rsidR="00CE4919">
        <w:t xml:space="preserve">. </w:t>
      </w:r>
    </w:p>
  </w:endnote>
  <w:endnote w:id="3">
    <w:p w14:paraId="79E76EFD" w14:textId="20664380" w:rsidR="005519DA" w:rsidRDefault="005519DA">
      <w:pPr>
        <w:pStyle w:val="EndnoteText"/>
      </w:pPr>
      <w:r>
        <w:rPr>
          <w:rStyle w:val="EndnoteReference"/>
        </w:rPr>
        <w:endnoteRef/>
      </w:r>
      <w:r>
        <w:t xml:space="preserve"> </w:t>
      </w:r>
      <w:r w:rsidR="003059A5" w:rsidRPr="003059A5">
        <w:t>Bigby, Christine; Carney, Terry; Then, Shih-Ning; Wiesel, Ilan; Sinclair, Craig; Douglas, Jacinta; et al. (2023). Diversity, dignity, equity and best practice: a framework for supported decision-making. La Trobe. Report. https://doi.org/10.26181/21965183.v2</w:t>
      </w:r>
    </w:p>
  </w:endnote>
  <w:endnote w:id="4">
    <w:p w14:paraId="22F39C6E" w14:textId="2A7B64D0" w:rsidR="00176FE3" w:rsidRDefault="00176FE3">
      <w:pPr>
        <w:pStyle w:val="EndnoteText"/>
      </w:pPr>
      <w:r>
        <w:rPr>
          <w:rStyle w:val="EndnoteReference"/>
        </w:rPr>
        <w:endnoteRef/>
      </w:r>
      <w:r>
        <w:t xml:space="preserve"> User Rights Principles 2014 (Cth</w:t>
      </w:r>
      <w:r w:rsidR="00636536">
        <w:t>)</w:t>
      </w:r>
      <w:r w:rsidR="00636536" w:rsidRPr="00664A8A">
        <w:t>,</w:t>
      </w:r>
      <w:r w:rsidR="00056591">
        <w:rPr>
          <w:i/>
          <w:iCs/>
        </w:rPr>
        <w:t xml:space="preserve"> </w:t>
      </w:r>
      <w:r>
        <w:t xml:space="preserve">Schedule 1. </w:t>
      </w:r>
    </w:p>
  </w:endnote>
  <w:endnote w:id="5">
    <w:p w14:paraId="1CADAF93" w14:textId="39403DA2" w:rsidR="000018C3" w:rsidRDefault="000018C3">
      <w:pPr>
        <w:pStyle w:val="EndnoteText"/>
      </w:pPr>
      <w:r>
        <w:rPr>
          <w:rStyle w:val="EndnoteReference"/>
        </w:rPr>
        <w:endnoteRef/>
      </w:r>
      <w:r>
        <w:t xml:space="preserve"> </w:t>
      </w:r>
      <w:r w:rsidRPr="000018C3">
        <w:t>Australian Law Reform Commission, Equality, capacity and disability in Commonwealth laws, Final report, ALRC report 124, August 2014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3088" w14:textId="2ACE1D96" w:rsidR="003E1529" w:rsidRDefault="00870BC5">
    <w:pPr>
      <w:pStyle w:val="Footer"/>
    </w:pPr>
    <w:r>
      <w:rPr>
        <w:noProof/>
      </w:rPr>
      <mc:AlternateContent>
        <mc:Choice Requires="wps">
          <w:drawing>
            <wp:anchor distT="0" distB="0" distL="0" distR="0" simplePos="0" relativeHeight="251663365" behindDoc="0" locked="0" layoutInCell="1" allowOverlap="1" wp14:anchorId="4051DADC" wp14:editId="019383A5">
              <wp:simplePos x="635" y="635"/>
              <wp:positionH relativeFrom="page">
                <wp:align>center</wp:align>
              </wp:positionH>
              <wp:positionV relativeFrom="page">
                <wp:align>bottom</wp:align>
              </wp:positionV>
              <wp:extent cx="551815" cy="480695"/>
              <wp:effectExtent l="0" t="0" r="635" b="0"/>
              <wp:wrapNone/>
              <wp:docPr id="21298108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DA6F38" w14:textId="08E99F93" w:rsidR="00870BC5" w:rsidRPr="00870BC5" w:rsidRDefault="00870BC5" w:rsidP="00870BC5">
                          <w:pPr>
                            <w:spacing w:after="0"/>
                            <w:rPr>
                              <w:rFonts w:ascii="Calibri" w:eastAsia="Calibri" w:hAnsi="Calibri" w:cs="Calibri"/>
                              <w:noProof/>
                              <w:color w:val="FF0000"/>
                              <w:sz w:val="24"/>
                            </w:rPr>
                          </w:pPr>
                          <w:r w:rsidRPr="00870BC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1DADC"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ADA6F38" w14:textId="08E99F93" w:rsidR="00870BC5" w:rsidRPr="00870BC5" w:rsidRDefault="00870BC5" w:rsidP="00870BC5">
                    <w:pPr>
                      <w:spacing w:after="0"/>
                      <w:rPr>
                        <w:rFonts w:ascii="Calibri" w:eastAsia="Calibri" w:hAnsi="Calibri" w:cs="Calibri"/>
                        <w:noProof/>
                        <w:color w:val="FF0000"/>
                        <w:sz w:val="24"/>
                      </w:rPr>
                    </w:pPr>
                    <w:r w:rsidRPr="00870BC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9509" w14:textId="63A8F62D" w:rsidR="001E537B" w:rsidRDefault="001E537B">
    <w:pPr>
      <w:pStyle w:val="Footer"/>
    </w:pPr>
  </w:p>
  <w:sdt>
    <w:sdtPr>
      <w:rPr>
        <w:lang w:val="en-GB"/>
      </w:rPr>
      <w:id w:val="793720363"/>
      <w:docPartObj>
        <w:docPartGallery w:val="Page Numbers (Bottom of Page)"/>
        <w:docPartUnique/>
      </w:docPartObj>
    </w:sdtPr>
    <w:sdtEndPr>
      <w:rPr>
        <w:lang w:val="en-AU"/>
      </w:rPr>
    </w:sdtEndPr>
    <w:sdtContent>
      <w:p w14:paraId="4074FA5C" w14:textId="77777777" w:rsidR="001E537B" w:rsidRDefault="001E537B">
        <w:pPr>
          <w:pStyle w:val="Footer"/>
        </w:pPr>
        <w:r>
          <w:rPr>
            <w:lang w:val="en-GB"/>
          </w:rPr>
          <w:t xml:space="preserve">Page | </w:t>
        </w:r>
        <w:r>
          <w:fldChar w:fldCharType="begin"/>
        </w:r>
        <w:r>
          <w:instrText>PAGE   \* MERGEFORMAT</w:instrText>
        </w:r>
        <w:r>
          <w:fldChar w:fldCharType="separate"/>
        </w:r>
        <w:r>
          <w:rPr>
            <w:lang w:val="en-GB"/>
          </w:rPr>
          <w:t>2</w:t>
        </w:r>
        <w:r>
          <w:fldChar w:fldCharType="end"/>
        </w:r>
      </w:p>
      <w:p w14:paraId="13364468" w14:textId="12FA486A" w:rsidR="001E537B" w:rsidRDefault="00AA262B" w:rsidP="006C2498">
        <w:pPr>
          <w:pStyle w:val="Footer"/>
          <w:jc w:val="left"/>
        </w:pPr>
        <w:r>
          <w:t>Department of Health</w:t>
        </w:r>
        <w:r w:rsidR="002B10A6">
          <w:t>, Disability</w:t>
        </w:r>
        <w:r>
          <w:t xml:space="preserve"> and </w:t>
        </w:r>
        <w:r w:rsidR="63BFF8AE">
          <w:t>Ageing</w:t>
        </w:r>
        <w:r w:rsidR="002B10A6">
          <w:t xml:space="preserve"> </w:t>
        </w:r>
        <w:r w:rsidR="00B53987">
          <w:t>–</w:t>
        </w:r>
        <w:r w:rsidR="00626165">
          <w:t xml:space="preserve"> </w:t>
        </w:r>
        <w:r w:rsidR="002B10A6">
          <w:t xml:space="preserve">Registered </w:t>
        </w:r>
        <w:r w:rsidR="001E537B">
          <w:t>Supporters</w:t>
        </w:r>
        <w:r w:rsidR="00D25E82">
          <w:t xml:space="preserve"> Policy</w:t>
        </w:r>
        <w:r w:rsidR="001E537B">
          <w:t xml:space="preserve"> 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52449687"/>
      <w:docPartObj>
        <w:docPartGallery w:val="Page Numbers (Bottom of Page)"/>
        <w:docPartUnique/>
      </w:docPartObj>
    </w:sdtPr>
    <w:sdtEndPr>
      <w:rPr>
        <w:lang w:val="en-AU"/>
      </w:rPr>
    </w:sdtEndPr>
    <w:sdtContent>
      <w:p w14:paraId="2C2E693B" w14:textId="78F8C164" w:rsidR="00174C3E" w:rsidRDefault="00174C3E" w:rsidP="006D536A">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3CFAC835" w14:textId="3E13BF61" w:rsidR="00B53987" w:rsidRDefault="00174C3E" w:rsidP="006C2498">
    <w:pPr>
      <w:pStyle w:val="Footer"/>
      <w:jc w:val="left"/>
    </w:pPr>
    <w:r>
      <w:t xml:space="preserve">Department of Health, Disability and Ageing – Registered </w:t>
    </w:r>
    <w:r w:rsidR="001E537B">
      <w:t>Supporters P</w:t>
    </w:r>
    <w:r>
      <w:t>olicy</w:t>
    </w:r>
    <w:r w:rsidR="001E537B">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A4BB" w14:textId="77777777" w:rsidR="00435F35" w:rsidRDefault="00435F35" w:rsidP="006B56BB">
      <w:r>
        <w:separator/>
      </w:r>
    </w:p>
    <w:p w14:paraId="097C6D42" w14:textId="77777777" w:rsidR="00435F35" w:rsidRDefault="00435F35"/>
  </w:footnote>
  <w:footnote w:type="continuationSeparator" w:id="0">
    <w:p w14:paraId="6ED0A4D8" w14:textId="77777777" w:rsidR="00435F35" w:rsidRDefault="00435F35" w:rsidP="006B56BB">
      <w:r>
        <w:continuationSeparator/>
      </w:r>
    </w:p>
    <w:p w14:paraId="5550ECD3" w14:textId="77777777" w:rsidR="00435F35" w:rsidRDefault="00435F35"/>
  </w:footnote>
  <w:footnote w:type="continuationNotice" w:id="1">
    <w:p w14:paraId="666EAE51" w14:textId="77777777" w:rsidR="00435F35" w:rsidRDefault="0043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7BC" w14:textId="38D3AA6A" w:rsidR="00DB24DB" w:rsidRDefault="00870BC5">
    <w:pPr>
      <w:pStyle w:val="Header"/>
    </w:pPr>
    <w:r>
      <w:rPr>
        <w:noProof/>
      </w:rPr>
      <mc:AlternateContent>
        <mc:Choice Requires="wps">
          <w:drawing>
            <wp:anchor distT="0" distB="0" distL="0" distR="0" simplePos="0" relativeHeight="251660293" behindDoc="0" locked="0" layoutInCell="1" allowOverlap="1" wp14:anchorId="2B3D7701" wp14:editId="5FAC3B02">
              <wp:simplePos x="635" y="635"/>
              <wp:positionH relativeFrom="page">
                <wp:align>center</wp:align>
              </wp:positionH>
              <wp:positionV relativeFrom="page">
                <wp:align>top</wp:align>
              </wp:positionV>
              <wp:extent cx="551815" cy="480695"/>
              <wp:effectExtent l="0" t="0" r="635" b="14605"/>
              <wp:wrapNone/>
              <wp:docPr id="117801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D6EC77" w14:textId="453A878B" w:rsidR="00870BC5" w:rsidRPr="00870BC5" w:rsidRDefault="00870BC5" w:rsidP="00870BC5">
                          <w:pPr>
                            <w:spacing w:after="0"/>
                            <w:rPr>
                              <w:rFonts w:ascii="Calibri" w:eastAsia="Calibri" w:hAnsi="Calibri" w:cs="Calibri"/>
                              <w:noProof/>
                              <w:color w:val="FF0000"/>
                              <w:sz w:val="24"/>
                            </w:rPr>
                          </w:pPr>
                          <w:r w:rsidRPr="00870BC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D770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9D6EC77" w14:textId="453A878B" w:rsidR="00870BC5" w:rsidRPr="00870BC5" w:rsidRDefault="00870BC5" w:rsidP="00870BC5">
                    <w:pPr>
                      <w:spacing w:after="0"/>
                      <w:rPr>
                        <w:rFonts w:ascii="Calibri" w:eastAsia="Calibri" w:hAnsi="Calibri" w:cs="Calibri"/>
                        <w:noProof/>
                        <w:color w:val="FF0000"/>
                        <w:sz w:val="24"/>
                      </w:rPr>
                    </w:pPr>
                    <w:r w:rsidRPr="00870BC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50165BA6" w:rsidR="008E0C77" w:rsidRDefault="008E0C77" w:rsidP="008D5BA5">
    <w:pPr>
      <w:pStyle w:val="Headertext"/>
      <w:tabs>
        <w:tab w:val="left" w:pos="7393"/>
      </w:tabs>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66C110EF" w:rsidR="00B53987" w:rsidRDefault="004411FE">
    <w:pPr>
      <w:pStyle w:val="Header"/>
    </w:pPr>
    <w:r>
      <w:rPr>
        <w:noProof/>
      </w:rPr>
      <w:drawing>
        <wp:inline distT="0" distB="0" distL="0" distR="0" wp14:anchorId="13ADFF57" wp14:editId="113044D8">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1FB"/>
    <w:multiLevelType w:val="multilevel"/>
    <w:tmpl w:val="6FD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87065"/>
    <w:multiLevelType w:val="multilevel"/>
    <w:tmpl w:val="1F04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C7E37"/>
    <w:multiLevelType w:val="multilevel"/>
    <w:tmpl w:val="A66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64B04"/>
    <w:multiLevelType w:val="hybridMultilevel"/>
    <w:tmpl w:val="19F05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6BD29A5"/>
    <w:multiLevelType w:val="hybridMultilevel"/>
    <w:tmpl w:val="A084528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EFA3721"/>
    <w:multiLevelType w:val="multilevel"/>
    <w:tmpl w:val="53D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177C3F"/>
    <w:multiLevelType w:val="multilevel"/>
    <w:tmpl w:val="A8E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F3064"/>
    <w:multiLevelType w:val="multilevel"/>
    <w:tmpl w:val="5D48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A0A0B"/>
    <w:multiLevelType w:val="multilevel"/>
    <w:tmpl w:val="06F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F12EF3"/>
    <w:multiLevelType w:val="hybridMultilevel"/>
    <w:tmpl w:val="D3284BA2"/>
    <w:lvl w:ilvl="0" w:tplc="0C090001">
      <w:start w:val="1"/>
      <w:numFmt w:val="bullet"/>
      <w:lvlText w:val=""/>
      <w:lvlJc w:val="left"/>
      <w:pPr>
        <w:ind w:left="-913" w:hanging="360"/>
      </w:pPr>
      <w:rPr>
        <w:rFonts w:ascii="Symbol" w:hAnsi="Symbol" w:hint="default"/>
      </w:rPr>
    </w:lvl>
    <w:lvl w:ilvl="1" w:tplc="0C090003" w:tentative="1">
      <w:start w:val="1"/>
      <w:numFmt w:val="bullet"/>
      <w:lvlText w:val="o"/>
      <w:lvlJc w:val="left"/>
      <w:pPr>
        <w:ind w:left="-193" w:hanging="360"/>
      </w:pPr>
      <w:rPr>
        <w:rFonts w:ascii="Courier New" w:hAnsi="Courier New" w:cs="Courier New" w:hint="default"/>
      </w:rPr>
    </w:lvl>
    <w:lvl w:ilvl="2" w:tplc="0C090005" w:tentative="1">
      <w:start w:val="1"/>
      <w:numFmt w:val="bullet"/>
      <w:lvlText w:val=""/>
      <w:lvlJc w:val="left"/>
      <w:pPr>
        <w:ind w:left="527" w:hanging="360"/>
      </w:pPr>
      <w:rPr>
        <w:rFonts w:ascii="Wingdings" w:hAnsi="Wingdings" w:hint="default"/>
      </w:rPr>
    </w:lvl>
    <w:lvl w:ilvl="3" w:tplc="0C090001" w:tentative="1">
      <w:start w:val="1"/>
      <w:numFmt w:val="bullet"/>
      <w:lvlText w:val=""/>
      <w:lvlJc w:val="left"/>
      <w:pPr>
        <w:ind w:left="1247" w:hanging="360"/>
      </w:pPr>
      <w:rPr>
        <w:rFonts w:ascii="Symbol" w:hAnsi="Symbol" w:hint="default"/>
      </w:rPr>
    </w:lvl>
    <w:lvl w:ilvl="4" w:tplc="0C090003" w:tentative="1">
      <w:start w:val="1"/>
      <w:numFmt w:val="bullet"/>
      <w:lvlText w:val="o"/>
      <w:lvlJc w:val="left"/>
      <w:pPr>
        <w:ind w:left="1967" w:hanging="360"/>
      </w:pPr>
      <w:rPr>
        <w:rFonts w:ascii="Courier New" w:hAnsi="Courier New" w:cs="Courier New" w:hint="default"/>
      </w:rPr>
    </w:lvl>
    <w:lvl w:ilvl="5" w:tplc="0C090005" w:tentative="1">
      <w:start w:val="1"/>
      <w:numFmt w:val="bullet"/>
      <w:lvlText w:val=""/>
      <w:lvlJc w:val="left"/>
      <w:pPr>
        <w:ind w:left="2687" w:hanging="360"/>
      </w:pPr>
      <w:rPr>
        <w:rFonts w:ascii="Wingdings" w:hAnsi="Wingdings" w:hint="default"/>
      </w:rPr>
    </w:lvl>
    <w:lvl w:ilvl="6" w:tplc="0C090001" w:tentative="1">
      <w:start w:val="1"/>
      <w:numFmt w:val="bullet"/>
      <w:lvlText w:val=""/>
      <w:lvlJc w:val="left"/>
      <w:pPr>
        <w:ind w:left="3407" w:hanging="360"/>
      </w:pPr>
      <w:rPr>
        <w:rFonts w:ascii="Symbol" w:hAnsi="Symbol" w:hint="default"/>
      </w:rPr>
    </w:lvl>
    <w:lvl w:ilvl="7" w:tplc="0C090003" w:tentative="1">
      <w:start w:val="1"/>
      <w:numFmt w:val="bullet"/>
      <w:lvlText w:val="o"/>
      <w:lvlJc w:val="left"/>
      <w:pPr>
        <w:ind w:left="4127" w:hanging="360"/>
      </w:pPr>
      <w:rPr>
        <w:rFonts w:ascii="Courier New" w:hAnsi="Courier New" w:cs="Courier New" w:hint="default"/>
      </w:rPr>
    </w:lvl>
    <w:lvl w:ilvl="8" w:tplc="0C090005" w:tentative="1">
      <w:start w:val="1"/>
      <w:numFmt w:val="bullet"/>
      <w:lvlText w:val=""/>
      <w:lvlJc w:val="left"/>
      <w:pPr>
        <w:ind w:left="4847" w:hanging="360"/>
      </w:pPr>
      <w:rPr>
        <w:rFonts w:ascii="Wingdings" w:hAnsi="Wingdings" w:hint="default"/>
      </w:rPr>
    </w:lvl>
  </w:abstractNum>
  <w:abstractNum w:abstractNumId="14" w15:restartNumberingAfterBreak="0">
    <w:nsid w:val="618A40BC"/>
    <w:multiLevelType w:val="hybridMultilevel"/>
    <w:tmpl w:val="76946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13480F"/>
    <w:multiLevelType w:val="hybridMultilevel"/>
    <w:tmpl w:val="71DA4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E370B3"/>
    <w:multiLevelType w:val="hybridMultilevel"/>
    <w:tmpl w:val="804EA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8F2542"/>
    <w:multiLevelType w:val="hybridMultilevel"/>
    <w:tmpl w:val="02B8C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EA00A59"/>
    <w:multiLevelType w:val="multilevel"/>
    <w:tmpl w:val="3EA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81F0D"/>
    <w:multiLevelType w:val="hybridMultilevel"/>
    <w:tmpl w:val="45A65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5171215">
    <w:abstractNumId w:val="3"/>
  </w:num>
  <w:num w:numId="2" w16cid:durableId="1306743019">
    <w:abstractNumId w:val="6"/>
  </w:num>
  <w:num w:numId="3" w16cid:durableId="1809544992">
    <w:abstractNumId w:val="19"/>
  </w:num>
  <w:num w:numId="4" w16cid:durableId="638191149">
    <w:abstractNumId w:val="12"/>
  </w:num>
  <w:num w:numId="5" w16cid:durableId="503975017">
    <w:abstractNumId w:val="16"/>
  </w:num>
  <w:num w:numId="6" w16cid:durableId="215359669">
    <w:abstractNumId w:val="1"/>
  </w:num>
  <w:num w:numId="7" w16cid:durableId="1821727763">
    <w:abstractNumId w:val="0"/>
  </w:num>
  <w:num w:numId="8" w16cid:durableId="1508247062">
    <w:abstractNumId w:val="7"/>
  </w:num>
  <w:num w:numId="9" w16cid:durableId="1345739798">
    <w:abstractNumId w:val="17"/>
  </w:num>
  <w:num w:numId="10" w16cid:durableId="431127205">
    <w:abstractNumId w:val="13"/>
  </w:num>
  <w:num w:numId="11" w16cid:durableId="1018390627">
    <w:abstractNumId w:val="5"/>
  </w:num>
  <w:num w:numId="12" w16cid:durableId="2002073979">
    <w:abstractNumId w:val="15"/>
  </w:num>
  <w:num w:numId="13" w16cid:durableId="1985161021">
    <w:abstractNumId w:val="18"/>
  </w:num>
  <w:num w:numId="14" w16cid:durableId="1573352330">
    <w:abstractNumId w:val="4"/>
  </w:num>
  <w:num w:numId="15" w16cid:durableId="1882670030">
    <w:abstractNumId w:val="8"/>
  </w:num>
  <w:num w:numId="16" w16cid:durableId="289022434">
    <w:abstractNumId w:val="20"/>
  </w:num>
  <w:num w:numId="17" w16cid:durableId="1158611919">
    <w:abstractNumId w:val="10"/>
  </w:num>
  <w:num w:numId="18" w16cid:durableId="1519079956">
    <w:abstractNumId w:val="9"/>
  </w:num>
  <w:num w:numId="19" w16cid:durableId="2112045605">
    <w:abstractNumId w:val="2"/>
  </w:num>
  <w:num w:numId="20" w16cid:durableId="1794473283">
    <w:abstractNumId w:val="11"/>
  </w:num>
  <w:num w:numId="21" w16cid:durableId="277296550">
    <w:abstractNumId w:val="14"/>
  </w:num>
  <w:num w:numId="22" w16cid:durableId="12251428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06BA"/>
    <w:rsid w:val="000018C3"/>
    <w:rsid w:val="000028ED"/>
    <w:rsid w:val="00003743"/>
    <w:rsid w:val="000047B4"/>
    <w:rsid w:val="00005627"/>
    <w:rsid w:val="00005712"/>
    <w:rsid w:val="00007FD8"/>
    <w:rsid w:val="000104F5"/>
    <w:rsid w:val="000110A9"/>
    <w:rsid w:val="000117F8"/>
    <w:rsid w:val="00011824"/>
    <w:rsid w:val="00012D67"/>
    <w:rsid w:val="00013A29"/>
    <w:rsid w:val="0001460F"/>
    <w:rsid w:val="00015241"/>
    <w:rsid w:val="00016D6A"/>
    <w:rsid w:val="0002018B"/>
    <w:rsid w:val="00022152"/>
    <w:rsid w:val="00022629"/>
    <w:rsid w:val="0002323B"/>
    <w:rsid w:val="00024680"/>
    <w:rsid w:val="000251F9"/>
    <w:rsid w:val="00025FDD"/>
    <w:rsid w:val="00026139"/>
    <w:rsid w:val="0002740A"/>
    <w:rsid w:val="00027601"/>
    <w:rsid w:val="0002789A"/>
    <w:rsid w:val="00031E4E"/>
    <w:rsid w:val="00033321"/>
    <w:rsid w:val="000338E5"/>
    <w:rsid w:val="00033ECC"/>
    <w:rsid w:val="0003422F"/>
    <w:rsid w:val="00035638"/>
    <w:rsid w:val="00036A63"/>
    <w:rsid w:val="00041FF9"/>
    <w:rsid w:val="000436F8"/>
    <w:rsid w:val="0004394E"/>
    <w:rsid w:val="00043DC0"/>
    <w:rsid w:val="00044987"/>
    <w:rsid w:val="00045264"/>
    <w:rsid w:val="000454B2"/>
    <w:rsid w:val="0004566E"/>
    <w:rsid w:val="00046218"/>
    <w:rsid w:val="00046FF0"/>
    <w:rsid w:val="00050176"/>
    <w:rsid w:val="00050342"/>
    <w:rsid w:val="000517C4"/>
    <w:rsid w:val="00051EA8"/>
    <w:rsid w:val="000551F7"/>
    <w:rsid w:val="00056591"/>
    <w:rsid w:val="00056A0B"/>
    <w:rsid w:val="00057CF9"/>
    <w:rsid w:val="0006044D"/>
    <w:rsid w:val="00061299"/>
    <w:rsid w:val="00061973"/>
    <w:rsid w:val="00062B32"/>
    <w:rsid w:val="00063E78"/>
    <w:rsid w:val="0006466F"/>
    <w:rsid w:val="000660C3"/>
    <w:rsid w:val="00066B1B"/>
    <w:rsid w:val="00067456"/>
    <w:rsid w:val="000705D8"/>
    <w:rsid w:val="00070FE4"/>
    <w:rsid w:val="0007102C"/>
    <w:rsid w:val="00071506"/>
    <w:rsid w:val="0007154F"/>
    <w:rsid w:val="00072407"/>
    <w:rsid w:val="000728C0"/>
    <w:rsid w:val="000740FE"/>
    <w:rsid w:val="00075544"/>
    <w:rsid w:val="00076FAC"/>
    <w:rsid w:val="000805C7"/>
    <w:rsid w:val="0008070D"/>
    <w:rsid w:val="00080ED0"/>
    <w:rsid w:val="00081414"/>
    <w:rsid w:val="00081AB1"/>
    <w:rsid w:val="000822C6"/>
    <w:rsid w:val="000853D2"/>
    <w:rsid w:val="00085D2B"/>
    <w:rsid w:val="00086000"/>
    <w:rsid w:val="00086E48"/>
    <w:rsid w:val="0008789A"/>
    <w:rsid w:val="00087C6D"/>
    <w:rsid w:val="00087C6E"/>
    <w:rsid w:val="00087E1E"/>
    <w:rsid w:val="00090316"/>
    <w:rsid w:val="0009195D"/>
    <w:rsid w:val="00091A34"/>
    <w:rsid w:val="00091CA9"/>
    <w:rsid w:val="00093260"/>
    <w:rsid w:val="0009334A"/>
    <w:rsid w:val="00093981"/>
    <w:rsid w:val="00093A1F"/>
    <w:rsid w:val="00094A98"/>
    <w:rsid w:val="000951D7"/>
    <w:rsid w:val="000953C7"/>
    <w:rsid w:val="0009557B"/>
    <w:rsid w:val="00095B37"/>
    <w:rsid w:val="000972F2"/>
    <w:rsid w:val="00097810"/>
    <w:rsid w:val="000A0E28"/>
    <w:rsid w:val="000A1675"/>
    <w:rsid w:val="000A3BF8"/>
    <w:rsid w:val="000A495B"/>
    <w:rsid w:val="000B067A"/>
    <w:rsid w:val="000B0A85"/>
    <w:rsid w:val="000B0EFB"/>
    <w:rsid w:val="000B1540"/>
    <w:rsid w:val="000B1E53"/>
    <w:rsid w:val="000B1F2E"/>
    <w:rsid w:val="000B2049"/>
    <w:rsid w:val="000B22A2"/>
    <w:rsid w:val="000B2BB3"/>
    <w:rsid w:val="000B33FD"/>
    <w:rsid w:val="000B3C9D"/>
    <w:rsid w:val="000B3F68"/>
    <w:rsid w:val="000B4ABA"/>
    <w:rsid w:val="000B4F4C"/>
    <w:rsid w:val="000B5BAE"/>
    <w:rsid w:val="000B6C2A"/>
    <w:rsid w:val="000B7AC9"/>
    <w:rsid w:val="000B7F9B"/>
    <w:rsid w:val="000C04F8"/>
    <w:rsid w:val="000C2471"/>
    <w:rsid w:val="000C2EBE"/>
    <w:rsid w:val="000C42DB"/>
    <w:rsid w:val="000C4441"/>
    <w:rsid w:val="000C48E5"/>
    <w:rsid w:val="000C4B16"/>
    <w:rsid w:val="000C50C3"/>
    <w:rsid w:val="000C5E14"/>
    <w:rsid w:val="000C6ABA"/>
    <w:rsid w:val="000C7D71"/>
    <w:rsid w:val="000D003E"/>
    <w:rsid w:val="000D0BB3"/>
    <w:rsid w:val="000D0E8F"/>
    <w:rsid w:val="000D1945"/>
    <w:rsid w:val="000D1B2B"/>
    <w:rsid w:val="000D1E60"/>
    <w:rsid w:val="000D21F6"/>
    <w:rsid w:val="000D237A"/>
    <w:rsid w:val="000D29BE"/>
    <w:rsid w:val="000D4427"/>
    <w:rsid w:val="000D4500"/>
    <w:rsid w:val="000D577C"/>
    <w:rsid w:val="000D728C"/>
    <w:rsid w:val="000D7381"/>
    <w:rsid w:val="000D75D9"/>
    <w:rsid w:val="000D7AEA"/>
    <w:rsid w:val="000E06CC"/>
    <w:rsid w:val="000E1284"/>
    <w:rsid w:val="000E2C66"/>
    <w:rsid w:val="000E43A1"/>
    <w:rsid w:val="000E5363"/>
    <w:rsid w:val="000E5836"/>
    <w:rsid w:val="000E6EF2"/>
    <w:rsid w:val="000E7D40"/>
    <w:rsid w:val="000F123C"/>
    <w:rsid w:val="000F2FED"/>
    <w:rsid w:val="000F3450"/>
    <w:rsid w:val="000F3796"/>
    <w:rsid w:val="000F4375"/>
    <w:rsid w:val="000F6865"/>
    <w:rsid w:val="000F6B04"/>
    <w:rsid w:val="000F74B3"/>
    <w:rsid w:val="000F7C48"/>
    <w:rsid w:val="0010139F"/>
    <w:rsid w:val="001028E6"/>
    <w:rsid w:val="0010313E"/>
    <w:rsid w:val="0010476C"/>
    <w:rsid w:val="001058CC"/>
    <w:rsid w:val="0010616D"/>
    <w:rsid w:val="0010661A"/>
    <w:rsid w:val="00106C8B"/>
    <w:rsid w:val="00107207"/>
    <w:rsid w:val="001073BA"/>
    <w:rsid w:val="00110478"/>
    <w:rsid w:val="00110836"/>
    <w:rsid w:val="0011156B"/>
    <w:rsid w:val="0011188B"/>
    <w:rsid w:val="00111893"/>
    <w:rsid w:val="00111F01"/>
    <w:rsid w:val="00115407"/>
    <w:rsid w:val="001157BD"/>
    <w:rsid w:val="0011711B"/>
    <w:rsid w:val="00117320"/>
    <w:rsid w:val="001176AA"/>
    <w:rsid w:val="00117A65"/>
    <w:rsid w:val="00117D14"/>
    <w:rsid w:val="00117F8A"/>
    <w:rsid w:val="00121B9B"/>
    <w:rsid w:val="00122ADC"/>
    <w:rsid w:val="0012356A"/>
    <w:rsid w:val="00124067"/>
    <w:rsid w:val="0012430B"/>
    <w:rsid w:val="0012773C"/>
    <w:rsid w:val="00127863"/>
    <w:rsid w:val="00130019"/>
    <w:rsid w:val="00130F59"/>
    <w:rsid w:val="0013138B"/>
    <w:rsid w:val="00131647"/>
    <w:rsid w:val="00131E67"/>
    <w:rsid w:val="00131ED0"/>
    <w:rsid w:val="00132375"/>
    <w:rsid w:val="001326D6"/>
    <w:rsid w:val="00133D73"/>
    <w:rsid w:val="00133EC0"/>
    <w:rsid w:val="00134F87"/>
    <w:rsid w:val="001356B0"/>
    <w:rsid w:val="00135DD3"/>
    <w:rsid w:val="00136EDE"/>
    <w:rsid w:val="001370AA"/>
    <w:rsid w:val="00141090"/>
    <w:rsid w:val="001414F2"/>
    <w:rsid w:val="00141CE5"/>
    <w:rsid w:val="0014235D"/>
    <w:rsid w:val="0014338A"/>
    <w:rsid w:val="001446C7"/>
    <w:rsid w:val="00144908"/>
    <w:rsid w:val="00145414"/>
    <w:rsid w:val="00145783"/>
    <w:rsid w:val="00145885"/>
    <w:rsid w:val="00145BC6"/>
    <w:rsid w:val="00147C5B"/>
    <w:rsid w:val="0015041D"/>
    <w:rsid w:val="0015094C"/>
    <w:rsid w:val="001519BA"/>
    <w:rsid w:val="00151CC3"/>
    <w:rsid w:val="0015262F"/>
    <w:rsid w:val="00152C22"/>
    <w:rsid w:val="001548C3"/>
    <w:rsid w:val="00155178"/>
    <w:rsid w:val="00156702"/>
    <w:rsid w:val="00156876"/>
    <w:rsid w:val="00156D96"/>
    <w:rsid w:val="001571C7"/>
    <w:rsid w:val="00160486"/>
    <w:rsid w:val="00161094"/>
    <w:rsid w:val="00162590"/>
    <w:rsid w:val="00162B21"/>
    <w:rsid w:val="001636F2"/>
    <w:rsid w:val="00163D25"/>
    <w:rsid w:val="00164451"/>
    <w:rsid w:val="00170C07"/>
    <w:rsid w:val="00170D79"/>
    <w:rsid w:val="00171540"/>
    <w:rsid w:val="0017259A"/>
    <w:rsid w:val="00172929"/>
    <w:rsid w:val="00174692"/>
    <w:rsid w:val="00174AF3"/>
    <w:rsid w:val="00174C3E"/>
    <w:rsid w:val="0017665C"/>
    <w:rsid w:val="00176F01"/>
    <w:rsid w:val="00176F2F"/>
    <w:rsid w:val="00176F4A"/>
    <w:rsid w:val="00176FE3"/>
    <w:rsid w:val="00177AD2"/>
    <w:rsid w:val="00180514"/>
    <w:rsid w:val="001815A8"/>
    <w:rsid w:val="00182B36"/>
    <w:rsid w:val="0018316A"/>
    <w:rsid w:val="001833E4"/>
    <w:rsid w:val="00183FEF"/>
    <w:rsid w:val="001840FA"/>
    <w:rsid w:val="00184FDE"/>
    <w:rsid w:val="00186820"/>
    <w:rsid w:val="00187C52"/>
    <w:rsid w:val="00190079"/>
    <w:rsid w:val="00192572"/>
    <w:rsid w:val="001925DD"/>
    <w:rsid w:val="00193A68"/>
    <w:rsid w:val="00194E21"/>
    <w:rsid w:val="00194FBC"/>
    <w:rsid w:val="001952D6"/>
    <w:rsid w:val="0019622E"/>
    <w:rsid w:val="001966A7"/>
    <w:rsid w:val="00196A2D"/>
    <w:rsid w:val="00196B67"/>
    <w:rsid w:val="00196F25"/>
    <w:rsid w:val="0019767C"/>
    <w:rsid w:val="001A0A39"/>
    <w:rsid w:val="001A0A41"/>
    <w:rsid w:val="001A0F1F"/>
    <w:rsid w:val="001A2238"/>
    <w:rsid w:val="001A2E26"/>
    <w:rsid w:val="001A4627"/>
    <w:rsid w:val="001A4979"/>
    <w:rsid w:val="001A61F2"/>
    <w:rsid w:val="001A647A"/>
    <w:rsid w:val="001A6DB8"/>
    <w:rsid w:val="001A7607"/>
    <w:rsid w:val="001B025B"/>
    <w:rsid w:val="001B0B97"/>
    <w:rsid w:val="001B15D3"/>
    <w:rsid w:val="001B25A9"/>
    <w:rsid w:val="001B3443"/>
    <w:rsid w:val="001B4E5F"/>
    <w:rsid w:val="001B5D2D"/>
    <w:rsid w:val="001B60F3"/>
    <w:rsid w:val="001B62B0"/>
    <w:rsid w:val="001B7FE4"/>
    <w:rsid w:val="001C0326"/>
    <w:rsid w:val="001C069D"/>
    <w:rsid w:val="001C192F"/>
    <w:rsid w:val="001C214C"/>
    <w:rsid w:val="001C29FA"/>
    <w:rsid w:val="001C3C42"/>
    <w:rsid w:val="001C40F3"/>
    <w:rsid w:val="001C4182"/>
    <w:rsid w:val="001C465C"/>
    <w:rsid w:val="001C63E3"/>
    <w:rsid w:val="001C6E5C"/>
    <w:rsid w:val="001C7086"/>
    <w:rsid w:val="001C7E03"/>
    <w:rsid w:val="001D0A2F"/>
    <w:rsid w:val="001D1185"/>
    <w:rsid w:val="001D24C0"/>
    <w:rsid w:val="001D2D94"/>
    <w:rsid w:val="001D315C"/>
    <w:rsid w:val="001D3595"/>
    <w:rsid w:val="001D388C"/>
    <w:rsid w:val="001D3A2F"/>
    <w:rsid w:val="001D5FF6"/>
    <w:rsid w:val="001D7869"/>
    <w:rsid w:val="001E0176"/>
    <w:rsid w:val="001E0AA2"/>
    <w:rsid w:val="001E3B17"/>
    <w:rsid w:val="001E4B59"/>
    <w:rsid w:val="001E5155"/>
    <w:rsid w:val="001E537B"/>
    <w:rsid w:val="001E6EA3"/>
    <w:rsid w:val="001E6FD0"/>
    <w:rsid w:val="001E71D9"/>
    <w:rsid w:val="001F11D8"/>
    <w:rsid w:val="001F27A2"/>
    <w:rsid w:val="001F2BB0"/>
    <w:rsid w:val="001F56FA"/>
    <w:rsid w:val="001F5F7C"/>
    <w:rsid w:val="00201989"/>
    <w:rsid w:val="002026CD"/>
    <w:rsid w:val="002031DA"/>
    <w:rsid w:val="002033FC"/>
    <w:rsid w:val="00203EAB"/>
    <w:rsid w:val="002041CE"/>
    <w:rsid w:val="002044BB"/>
    <w:rsid w:val="00205B54"/>
    <w:rsid w:val="00210B09"/>
    <w:rsid w:val="00210C9E"/>
    <w:rsid w:val="00211840"/>
    <w:rsid w:val="0021214F"/>
    <w:rsid w:val="00213281"/>
    <w:rsid w:val="002141CA"/>
    <w:rsid w:val="002150CF"/>
    <w:rsid w:val="002160F1"/>
    <w:rsid w:val="002161EA"/>
    <w:rsid w:val="0021769D"/>
    <w:rsid w:val="00220992"/>
    <w:rsid w:val="00220D16"/>
    <w:rsid w:val="00220E5F"/>
    <w:rsid w:val="002212B5"/>
    <w:rsid w:val="00222BA1"/>
    <w:rsid w:val="0022397C"/>
    <w:rsid w:val="00224B8A"/>
    <w:rsid w:val="0022655A"/>
    <w:rsid w:val="00226668"/>
    <w:rsid w:val="00226D0B"/>
    <w:rsid w:val="002278E6"/>
    <w:rsid w:val="00231823"/>
    <w:rsid w:val="00231FA9"/>
    <w:rsid w:val="00233809"/>
    <w:rsid w:val="002346DE"/>
    <w:rsid w:val="00235924"/>
    <w:rsid w:val="00235C6A"/>
    <w:rsid w:val="00237E62"/>
    <w:rsid w:val="00240046"/>
    <w:rsid w:val="002423E0"/>
    <w:rsid w:val="002436A9"/>
    <w:rsid w:val="002445AA"/>
    <w:rsid w:val="002449F2"/>
    <w:rsid w:val="0024595A"/>
    <w:rsid w:val="002477E7"/>
    <w:rsid w:val="0024797F"/>
    <w:rsid w:val="00247B9A"/>
    <w:rsid w:val="00247E88"/>
    <w:rsid w:val="0024C130"/>
    <w:rsid w:val="00250A1F"/>
    <w:rsid w:val="0025119E"/>
    <w:rsid w:val="00251269"/>
    <w:rsid w:val="002517A4"/>
    <w:rsid w:val="00251EC5"/>
    <w:rsid w:val="002535C0"/>
    <w:rsid w:val="002545D4"/>
    <w:rsid w:val="002566F0"/>
    <w:rsid w:val="002579FE"/>
    <w:rsid w:val="00260201"/>
    <w:rsid w:val="002605D0"/>
    <w:rsid w:val="00261A2D"/>
    <w:rsid w:val="0026261A"/>
    <w:rsid w:val="0026311C"/>
    <w:rsid w:val="002631E7"/>
    <w:rsid w:val="00263689"/>
    <w:rsid w:val="00264EBF"/>
    <w:rsid w:val="0026668C"/>
    <w:rsid w:val="00266AC1"/>
    <w:rsid w:val="00270375"/>
    <w:rsid w:val="00271091"/>
    <w:rsid w:val="00271529"/>
    <w:rsid w:val="0027178C"/>
    <w:rsid w:val="002719FA"/>
    <w:rsid w:val="00271A6F"/>
    <w:rsid w:val="00272556"/>
    <w:rsid w:val="00272668"/>
    <w:rsid w:val="002728C0"/>
    <w:rsid w:val="00272946"/>
    <w:rsid w:val="0027330B"/>
    <w:rsid w:val="002742E7"/>
    <w:rsid w:val="002761F0"/>
    <w:rsid w:val="0027707E"/>
    <w:rsid w:val="002803AD"/>
    <w:rsid w:val="00281178"/>
    <w:rsid w:val="00281184"/>
    <w:rsid w:val="00281A14"/>
    <w:rsid w:val="00281E97"/>
    <w:rsid w:val="00282052"/>
    <w:rsid w:val="002831A3"/>
    <w:rsid w:val="00283B00"/>
    <w:rsid w:val="0028519E"/>
    <w:rsid w:val="002856A5"/>
    <w:rsid w:val="002872ED"/>
    <w:rsid w:val="00287382"/>
    <w:rsid w:val="002905C2"/>
    <w:rsid w:val="00291375"/>
    <w:rsid w:val="00291605"/>
    <w:rsid w:val="00291E15"/>
    <w:rsid w:val="002929D6"/>
    <w:rsid w:val="00292F43"/>
    <w:rsid w:val="00292F95"/>
    <w:rsid w:val="00293504"/>
    <w:rsid w:val="002936CA"/>
    <w:rsid w:val="00293806"/>
    <w:rsid w:val="00295AF2"/>
    <w:rsid w:val="00295C91"/>
    <w:rsid w:val="00297151"/>
    <w:rsid w:val="002975A7"/>
    <w:rsid w:val="00297776"/>
    <w:rsid w:val="00297B91"/>
    <w:rsid w:val="002A1451"/>
    <w:rsid w:val="002A19EE"/>
    <w:rsid w:val="002A39A1"/>
    <w:rsid w:val="002A5847"/>
    <w:rsid w:val="002A5996"/>
    <w:rsid w:val="002A690C"/>
    <w:rsid w:val="002A7B80"/>
    <w:rsid w:val="002B0CD1"/>
    <w:rsid w:val="002B0E6E"/>
    <w:rsid w:val="002B10A6"/>
    <w:rsid w:val="002B20E6"/>
    <w:rsid w:val="002B250F"/>
    <w:rsid w:val="002B25B4"/>
    <w:rsid w:val="002B270C"/>
    <w:rsid w:val="002B27A4"/>
    <w:rsid w:val="002B42A3"/>
    <w:rsid w:val="002B681C"/>
    <w:rsid w:val="002B7A2C"/>
    <w:rsid w:val="002BDA62"/>
    <w:rsid w:val="002C0CDD"/>
    <w:rsid w:val="002C38C4"/>
    <w:rsid w:val="002C41E8"/>
    <w:rsid w:val="002C7D33"/>
    <w:rsid w:val="002D0D87"/>
    <w:rsid w:val="002D3B45"/>
    <w:rsid w:val="002D3EB4"/>
    <w:rsid w:val="002D4032"/>
    <w:rsid w:val="002D40EF"/>
    <w:rsid w:val="002D5C5D"/>
    <w:rsid w:val="002D6421"/>
    <w:rsid w:val="002E1A1D"/>
    <w:rsid w:val="002E2C12"/>
    <w:rsid w:val="002E2FF9"/>
    <w:rsid w:val="002E310B"/>
    <w:rsid w:val="002E39B1"/>
    <w:rsid w:val="002E4081"/>
    <w:rsid w:val="002E47F7"/>
    <w:rsid w:val="002E5B78"/>
    <w:rsid w:val="002E5C6F"/>
    <w:rsid w:val="002E6659"/>
    <w:rsid w:val="002F11DE"/>
    <w:rsid w:val="002F27A9"/>
    <w:rsid w:val="002F3AE3"/>
    <w:rsid w:val="002F5EDD"/>
    <w:rsid w:val="00301487"/>
    <w:rsid w:val="003024C6"/>
    <w:rsid w:val="00302909"/>
    <w:rsid w:val="0030292E"/>
    <w:rsid w:val="0030464B"/>
    <w:rsid w:val="00305103"/>
    <w:rsid w:val="003059A5"/>
    <w:rsid w:val="0030786C"/>
    <w:rsid w:val="00310293"/>
    <w:rsid w:val="00310A71"/>
    <w:rsid w:val="00311361"/>
    <w:rsid w:val="00311B93"/>
    <w:rsid w:val="00312FB2"/>
    <w:rsid w:val="003136A9"/>
    <w:rsid w:val="00313892"/>
    <w:rsid w:val="00315E34"/>
    <w:rsid w:val="00317569"/>
    <w:rsid w:val="00320C73"/>
    <w:rsid w:val="00321053"/>
    <w:rsid w:val="003224B8"/>
    <w:rsid w:val="00323203"/>
    <w:rsid w:val="003233DE"/>
    <w:rsid w:val="003236AB"/>
    <w:rsid w:val="00323B87"/>
    <w:rsid w:val="0032466B"/>
    <w:rsid w:val="00325949"/>
    <w:rsid w:val="0032699B"/>
    <w:rsid w:val="00326E88"/>
    <w:rsid w:val="00327932"/>
    <w:rsid w:val="003323F4"/>
    <w:rsid w:val="003330EB"/>
    <w:rsid w:val="00333307"/>
    <w:rsid w:val="003346D1"/>
    <w:rsid w:val="00334B00"/>
    <w:rsid w:val="00335554"/>
    <w:rsid w:val="00336824"/>
    <w:rsid w:val="003405D3"/>
    <w:rsid w:val="003415FD"/>
    <w:rsid w:val="003429F0"/>
    <w:rsid w:val="00343156"/>
    <w:rsid w:val="003438D4"/>
    <w:rsid w:val="00343CB6"/>
    <w:rsid w:val="003448C6"/>
    <w:rsid w:val="00345A82"/>
    <w:rsid w:val="00345EEA"/>
    <w:rsid w:val="003462DC"/>
    <w:rsid w:val="003465F2"/>
    <w:rsid w:val="0034687A"/>
    <w:rsid w:val="00347E9E"/>
    <w:rsid w:val="0035062E"/>
    <w:rsid w:val="0035097A"/>
    <w:rsid w:val="00351A6E"/>
    <w:rsid w:val="00353595"/>
    <w:rsid w:val="003538B0"/>
    <w:rsid w:val="00353C38"/>
    <w:rsid w:val="00353E94"/>
    <w:rsid w:val="003540A4"/>
    <w:rsid w:val="00356BEC"/>
    <w:rsid w:val="00357BCC"/>
    <w:rsid w:val="00360E4E"/>
    <w:rsid w:val="0036155B"/>
    <w:rsid w:val="00361A11"/>
    <w:rsid w:val="0036351B"/>
    <w:rsid w:val="003635BA"/>
    <w:rsid w:val="0036373F"/>
    <w:rsid w:val="00363B05"/>
    <w:rsid w:val="00363BF4"/>
    <w:rsid w:val="003640F5"/>
    <w:rsid w:val="0036527B"/>
    <w:rsid w:val="0036599B"/>
    <w:rsid w:val="00365D70"/>
    <w:rsid w:val="00366D94"/>
    <w:rsid w:val="003700B2"/>
    <w:rsid w:val="00370AAA"/>
    <w:rsid w:val="0037412B"/>
    <w:rsid w:val="00374696"/>
    <w:rsid w:val="003751A0"/>
    <w:rsid w:val="00375F77"/>
    <w:rsid w:val="00376B67"/>
    <w:rsid w:val="00376B6D"/>
    <w:rsid w:val="0037774F"/>
    <w:rsid w:val="00381BBE"/>
    <w:rsid w:val="00382903"/>
    <w:rsid w:val="003829F4"/>
    <w:rsid w:val="0038320D"/>
    <w:rsid w:val="00384189"/>
    <w:rsid w:val="003846FF"/>
    <w:rsid w:val="003857D4"/>
    <w:rsid w:val="00385AD4"/>
    <w:rsid w:val="003866CC"/>
    <w:rsid w:val="00386F7E"/>
    <w:rsid w:val="00387924"/>
    <w:rsid w:val="00391CF1"/>
    <w:rsid w:val="00392047"/>
    <w:rsid w:val="003936BE"/>
    <w:rsid w:val="0039384D"/>
    <w:rsid w:val="0039443A"/>
    <w:rsid w:val="00395BD7"/>
    <w:rsid w:val="00395C23"/>
    <w:rsid w:val="00396091"/>
    <w:rsid w:val="003969C7"/>
    <w:rsid w:val="00397656"/>
    <w:rsid w:val="003A14D1"/>
    <w:rsid w:val="003A19C0"/>
    <w:rsid w:val="003A1BFD"/>
    <w:rsid w:val="003A1E3A"/>
    <w:rsid w:val="003A1EAD"/>
    <w:rsid w:val="003A1EF4"/>
    <w:rsid w:val="003A2E4F"/>
    <w:rsid w:val="003A33B9"/>
    <w:rsid w:val="003A4438"/>
    <w:rsid w:val="003A4A66"/>
    <w:rsid w:val="003A4A87"/>
    <w:rsid w:val="003A5013"/>
    <w:rsid w:val="003A5078"/>
    <w:rsid w:val="003A530E"/>
    <w:rsid w:val="003A55D6"/>
    <w:rsid w:val="003A5AB9"/>
    <w:rsid w:val="003A62DD"/>
    <w:rsid w:val="003A63CA"/>
    <w:rsid w:val="003A775A"/>
    <w:rsid w:val="003B073B"/>
    <w:rsid w:val="003B106F"/>
    <w:rsid w:val="003B1AA0"/>
    <w:rsid w:val="003B2119"/>
    <w:rsid w:val="003B213A"/>
    <w:rsid w:val="003B265B"/>
    <w:rsid w:val="003B3034"/>
    <w:rsid w:val="003B3841"/>
    <w:rsid w:val="003B3D19"/>
    <w:rsid w:val="003B42A8"/>
    <w:rsid w:val="003B43AD"/>
    <w:rsid w:val="003B5226"/>
    <w:rsid w:val="003B5784"/>
    <w:rsid w:val="003B6200"/>
    <w:rsid w:val="003B6C73"/>
    <w:rsid w:val="003B7807"/>
    <w:rsid w:val="003C0420"/>
    <w:rsid w:val="003C0741"/>
    <w:rsid w:val="003C0FEC"/>
    <w:rsid w:val="003C113F"/>
    <w:rsid w:val="003C2AC8"/>
    <w:rsid w:val="003C3B51"/>
    <w:rsid w:val="003C5C1B"/>
    <w:rsid w:val="003C611B"/>
    <w:rsid w:val="003C64A2"/>
    <w:rsid w:val="003C6668"/>
    <w:rsid w:val="003C70D3"/>
    <w:rsid w:val="003C76D8"/>
    <w:rsid w:val="003D033A"/>
    <w:rsid w:val="003D0909"/>
    <w:rsid w:val="003D17F9"/>
    <w:rsid w:val="003D1E3F"/>
    <w:rsid w:val="003D2CEE"/>
    <w:rsid w:val="003D2D88"/>
    <w:rsid w:val="003D2DC7"/>
    <w:rsid w:val="003D326D"/>
    <w:rsid w:val="003D3A53"/>
    <w:rsid w:val="003D3B1C"/>
    <w:rsid w:val="003D41EA"/>
    <w:rsid w:val="003D4850"/>
    <w:rsid w:val="003D4A8B"/>
    <w:rsid w:val="003D4B26"/>
    <w:rsid w:val="003D535A"/>
    <w:rsid w:val="003D63BF"/>
    <w:rsid w:val="003D7101"/>
    <w:rsid w:val="003E08AA"/>
    <w:rsid w:val="003E1529"/>
    <w:rsid w:val="003E21F9"/>
    <w:rsid w:val="003E4F44"/>
    <w:rsid w:val="003E5265"/>
    <w:rsid w:val="003E56B7"/>
    <w:rsid w:val="003E5DBF"/>
    <w:rsid w:val="003E6368"/>
    <w:rsid w:val="003E700B"/>
    <w:rsid w:val="003E71CB"/>
    <w:rsid w:val="003E7E87"/>
    <w:rsid w:val="003F0955"/>
    <w:rsid w:val="003F1FD1"/>
    <w:rsid w:val="003F2F3C"/>
    <w:rsid w:val="003F3330"/>
    <w:rsid w:val="003F5949"/>
    <w:rsid w:val="003F5F4D"/>
    <w:rsid w:val="003F646F"/>
    <w:rsid w:val="004007D9"/>
    <w:rsid w:val="00400F00"/>
    <w:rsid w:val="004022A3"/>
    <w:rsid w:val="00403014"/>
    <w:rsid w:val="00403938"/>
    <w:rsid w:val="00403A76"/>
    <w:rsid w:val="00404519"/>
    <w:rsid w:val="00404F8B"/>
    <w:rsid w:val="00405256"/>
    <w:rsid w:val="00405604"/>
    <w:rsid w:val="0040720E"/>
    <w:rsid w:val="00410031"/>
    <w:rsid w:val="00411023"/>
    <w:rsid w:val="00411801"/>
    <w:rsid w:val="004137A1"/>
    <w:rsid w:val="0041407C"/>
    <w:rsid w:val="004151D6"/>
    <w:rsid w:val="00415758"/>
    <w:rsid w:val="00415C81"/>
    <w:rsid w:val="00417AE2"/>
    <w:rsid w:val="00420074"/>
    <w:rsid w:val="00423396"/>
    <w:rsid w:val="0042366B"/>
    <w:rsid w:val="004236BB"/>
    <w:rsid w:val="00423A50"/>
    <w:rsid w:val="00423CB7"/>
    <w:rsid w:val="00423FBB"/>
    <w:rsid w:val="00427BD4"/>
    <w:rsid w:val="00431032"/>
    <w:rsid w:val="00431F43"/>
    <w:rsid w:val="00432378"/>
    <w:rsid w:val="00433A18"/>
    <w:rsid w:val="00433EAF"/>
    <w:rsid w:val="004340C6"/>
    <w:rsid w:val="00435F35"/>
    <w:rsid w:val="00437E3A"/>
    <w:rsid w:val="00440D65"/>
    <w:rsid w:val="004411FE"/>
    <w:rsid w:val="00441530"/>
    <w:rsid w:val="004415C7"/>
    <w:rsid w:val="00441B18"/>
    <w:rsid w:val="00441E56"/>
    <w:rsid w:val="004435E6"/>
    <w:rsid w:val="00443C32"/>
    <w:rsid w:val="00447E31"/>
    <w:rsid w:val="0045198F"/>
    <w:rsid w:val="004528A1"/>
    <w:rsid w:val="004535B5"/>
    <w:rsid w:val="00453923"/>
    <w:rsid w:val="004548EA"/>
    <w:rsid w:val="00454B9B"/>
    <w:rsid w:val="00455A41"/>
    <w:rsid w:val="00456205"/>
    <w:rsid w:val="00456A22"/>
    <w:rsid w:val="00457048"/>
    <w:rsid w:val="00457858"/>
    <w:rsid w:val="0046099A"/>
    <w:rsid w:val="00460B0B"/>
    <w:rsid w:val="00461023"/>
    <w:rsid w:val="004616CB"/>
    <w:rsid w:val="00462FAC"/>
    <w:rsid w:val="004631AF"/>
    <w:rsid w:val="0046348E"/>
    <w:rsid w:val="00464631"/>
    <w:rsid w:val="00464B79"/>
    <w:rsid w:val="00464D29"/>
    <w:rsid w:val="004651D5"/>
    <w:rsid w:val="0046657C"/>
    <w:rsid w:val="00467BBF"/>
    <w:rsid w:val="00474086"/>
    <w:rsid w:val="00474DCB"/>
    <w:rsid w:val="00476438"/>
    <w:rsid w:val="00477596"/>
    <w:rsid w:val="0048014C"/>
    <w:rsid w:val="00480508"/>
    <w:rsid w:val="00480C22"/>
    <w:rsid w:val="00480D05"/>
    <w:rsid w:val="00480D3E"/>
    <w:rsid w:val="00481114"/>
    <w:rsid w:val="00481ACC"/>
    <w:rsid w:val="00482128"/>
    <w:rsid w:val="0048364E"/>
    <w:rsid w:val="004839D9"/>
    <w:rsid w:val="0048457A"/>
    <w:rsid w:val="004851FD"/>
    <w:rsid w:val="00485921"/>
    <w:rsid w:val="0048593C"/>
    <w:rsid w:val="00485C70"/>
    <w:rsid w:val="004867E2"/>
    <w:rsid w:val="004914D2"/>
    <w:rsid w:val="004918F0"/>
    <w:rsid w:val="00491F4A"/>
    <w:rsid w:val="004929A9"/>
    <w:rsid w:val="00492AFB"/>
    <w:rsid w:val="00492C5C"/>
    <w:rsid w:val="004968DB"/>
    <w:rsid w:val="00496C95"/>
    <w:rsid w:val="004A0095"/>
    <w:rsid w:val="004A00DB"/>
    <w:rsid w:val="004A039D"/>
    <w:rsid w:val="004A1663"/>
    <w:rsid w:val="004A182E"/>
    <w:rsid w:val="004A4063"/>
    <w:rsid w:val="004A4531"/>
    <w:rsid w:val="004A5CEB"/>
    <w:rsid w:val="004A78D9"/>
    <w:rsid w:val="004A78ED"/>
    <w:rsid w:val="004B0DBA"/>
    <w:rsid w:val="004B5615"/>
    <w:rsid w:val="004B7541"/>
    <w:rsid w:val="004C02D7"/>
    <w:rsid w:val="004C0A9F"/>
    <w:rsid w:val="004C1729"/>
    <w:rsid w:val="004C1BD2"/>
    <w:rsid w:val="004C1E62"/>
    <w:rsid w:val="004C3C8F"/>
    <w:rsid w:val="004C4179"/>
    <w:rsid w:val="004C45F6"/>
    <w:rsid w:val="004C489F"/>
    <w:rsid w:val="004C49C7"/>
    <w:rsid w:val="004C6A53"/>
    <w:rsid w:val="004C6BCF"/>
    <w:rsid w:val="004D1809"/>
    <w:rsid w:val="004D18E4"/>
    <w:rsid w:val="004D3EA7"/>
    <w:rsid w:val="004D58BF"/>
    <w:rsid w:val="004D76D3"/>
    <w:rsid w:val="004D79AF"/>
    <w:rsid w:val="004E0AB1"/>
    <w:rsid w:val="004E4335"/>
    <w:rsid w:val="004E4774"/>
    <w:rsid w:val="004E4B89"/>
    <w:rsid w:val="004E4EF4"/>
    <w:rsid w:val="004E5CC4"/>
    <w:rsid w:val="004E7CA0"/>
    <w:rsid w:val="004F13EE"/>
    <w:rsid w:val="004F2022"/>
    <w:rsid w:val="004F3202"/>
    <w:rsid w:val="004F382A"/>
    <w:rsid w:val="004F4435"/>
    <w:rsid w:val="004F47C2"/>
    <w:rsid w:val="004F7A5D"/>
    <w:rsid w:val="004F7C05"/>
    <w:rsid w:val="0050091B"/>
    <w:rsid w:val="00500BE8"/>
    <w:rsid w:val="0050170D"/>
    <w:rsid w:val="00501C94"/>
    <w:rsid w:val="005026A0"/>
    <w:rsid w:val="0050313E"/>
    <w:rsid w:val="005037AA"/>
    <w:rsid w:val="0050460D"/>
    <w:rsid w:val="00505CCD"/>
    <w:rsid w:val="00506432"/>
    <w:rsid w:val="0050698C"/>
    <w:rsid w:val="00506B46"/>
    <w:rsid w:val="00506E82"/>
    <w:rsid w:val="00507E47"/>
    <w:rsid w:val="005125E3"/>
    <w:rsid w:val="00512657"/>
    <w:rsid w:val="005129C4"/>
    <w:rsid w:val="00512A59"/>
    <w:rsid w:val="00512F18"/>
    <w:rsid w:val="00513C38"/>
    <w:rsid w:val="00515EA0"/>
    <w:rsid w:val="0052051D"/>
    <w:rsid w:val="00522556"/>
    <w:rsid w:val="005227A4"/>
    <w:rsid w:val="00523486"/>
    <w:rsid w:val="005249F8"/>
    <w:rsid w:val="00524C00"/>
    <w:rsid w:val="005253C8"/>
    <w:rsid w:val="00525C1E"/>
    <w:rsid w:val="00525D6D"/>
    <w:rsid w:val="00526957"/>
    <w:rsid w:val="0052780A"/>
    <w:rsid w:val="00532803"/>
    <w:rsid w:val="005339CB"/>
    <w:rsid w:val="00533A63"/>
    <w:rsid w:val="005351C9"/>
    <w:rsid w:val="00535267"/>
    <w:rsid w:val="00535C90"/>
    <w:rsid w:val="00535CA1"/>
    <w:rsid w:val="00535D9D"/>
    <w:rsid w:val="005369A3"/>
    <w:rsid w:val="00536BDB"/>
    <w:rsid w:val="005375B4"/>
    <w:rsid w:val="00537B48"/>
    <w:rsid w:val="0053DB0A"/>
    <w:rsid w:val="00540E31"/>
    <w:rsid w:val="00541935"/>
    <w:rsid w:val="00542332"/>
    <w:rsid w:val="00542400"/>
    <w:rsid w:val="00544658"/>
    <w:rsid w:val="00545BCC"/>
    <w:rsid w:val="00545EE6"/>
    <w:rsid w:val="00547558"/>
    <w:rsid w:val="00550EFB"/>
    <w:rsid w:val="005519DA"/>
    <w:rsid w:val="00552BD0"/>
    <w:rsid w:val="00552D7B"/>
    <w:rsid w:val="005538D9"/>
    <w:rsid w:val="005550E7"/>
    <w:rsid w:val="00555E46"/>
    <w:rsid w:val="00555FD3"/>
    <w:rsid w:val="00556496"/>
    <w:rsid w:val="005564FB"/>
    <w:rsid w:val="00556595"/>
    <w:rsid w:val="005572C7"/>
    <w:rsid w:val="00557429"/>
    <w:rsid w:val="00557C11"/>
    <w:rsid w:val="0056002B"/>
    <w:rsid w:val="00560D0C"/>
    <w:rsid w:val="00562AF0"/>
    <w:rsid w:val="00563025"/>
    <w:rsid w:val="00563A73"/>
    <w:rsid w:val="00564BEE"/>
    <w:rsid w:val="005650ED"/>
    <w:rsid w:val="0056545B"/>
    <w:rsid w:val="0056591D"/>
    <w:rsid w:val="00566122"/>
    <w:rsid w:val="00566492"/>
    <w:rsid w:val="00567116"/>
    <w:rsid w:val="00567264"/>
    <w:rsid w:val="00567FB8"/>
    <w:rsid w:val="00570E98"/>
    <w:rsid w:val="00571567"/>
    <w:rsid w:val="00571ABD"/>
    <w:rsid w:val="00572F09"/>
    <w:rsid w:val="00574DE2"/>
    <w:rsid w:val="00575754"/>
    <w:rsid w:val="00576E18"/>
    <w:rsid w:val="00577D2F"/>
    <w:rsid w:val="00580C03"/>
    <w:rsid w:val="00581FBA"/>
    <w:rsid w:val="00582359"/>
    <w:rsid w:val="0058308B"/>
    <w:rsid w:val="00584C70"/>
    <w:rsid w:val="00585054"/>
    <w:rsid w:val="0058701B"/>
    <w:rsid w:val="00587AE4"/>
    <w:rsid w:val="00590704"/>
    <w:rsid w:val="005910D9"/>
    <w:rsid w:val="00591E20"/>
    <w:rsid w:val="00591FFE"/>
    <w:rsid w:val="00592E58"/>
    <w:rsid w:val="00593B0D"/>
    <w:rsid w:val="00595408"/>
    <w:rsid w:val="005954BE"/>
    <w:rsid w:val="0059563F"/>
    <w:rsid w:val="00595A05"/>
    <w:rsid w:val="00595E84"/>
    <w:rsid w:val="00596A2F"/>
    <w:rsid w:val="005A0C59"/>
    <w:rsid w:val="005A144D"/>
    <w:rsid w:val="005A2EBB"/>
    <w:rsid w:val="005A33AD"/>
    <w:rsid w:val="005A3D94"/>
    <w:rsid w:val="005A48EB"/>
    <w:rsid w:val="005A4D4D"/>
    <w:rsid w:val="005A5BD1"/>
    <w:rsid w:val="005A6182"/>
    <w:rsid w:val="005A6CFB"/>
    <w:rsid w:val="005A7548"/>
    <w:rsid w:val="005A7C3F"/>
    <w:rsid w:val="005B0046"/>
    <w:rsid w:val="005B03C2"/>
    <w:rsid w:val="005B18D7"/>
    <w:rsid w:val="005B3A4B"/>
    <w:rsid w:val="005B46FA"/>
    <w:rsid w:val="005B5183"/>
    <w:rsid w:val="005B7807"/>
    <w:rsid w:val="005C0B75"/>
    <w:rsid w:val="005C12DB"/>
    <w:rsid w:val="005C1772"/>
    <w:rsid w:val="005C2D13"/>
    <w:rsid w:val="005C53FE"/>
    <w:rsid w:val="005C5AEB"/>
    <w:rsid w:val="005C5CFA"/>
    <w:rsid w:val="005C6E0A"/>
    <w:rsid w:val="005C6FB5"/>
    <w:rsid w:val="005D0B3A"/>
    <w:rsid w:val="005D4975"/>
    <w:rsid w:val="005D566C"/>
    <w:rsid w:val="005D57AC"/>
    <w:rsid w:val="005E026C"/>
    <w:rsid w:val="005E0A3F"/>
    <w:rsid w:val="005E0CD1"/>
    <w:rsid w:val="005E42BD"/>
    <w:rsid w:val="005E4AED"/>
    <w:rsid w:val="005E5D4A"/>
    <w:rsid w:val="005E6883"/>
    <w:rsid w:val="005E772F"/>
    <w:rsid w:val="005E7CF4"/>
    <w:rsid w:val="005F029E"/>
    <w:rsid w:val="005F0942"/>
    <w:rsid w:val="005F3810"/>
    <w:rsid w:val="005F4068"/>
    <w:rsid w:val="005F4561"/>
    <w:rsid w:val="005F4ECA"/>
    <w:rsid w:val="005F4EF1"/>
    <w:rsid w:val="005F63D8"/>
    <w:rsid w:val="005F72A4"/>
    <w:rsid w:val="00600479"/>
    <w:rsid w:val="0060067C"/>
    <w:rsid w:val="006010C0"/>
    <w:rsid w:val="00602B63"/>
    <w:rsid w:val="006033EC"/>
    <w:rsid w:val="00603E30"/>
    <w:rsid w:val="006041BE"/>
    <w:rsid w:val="006043C7"/>
    <w:rsid w:val="006063A1"/>
    <w:rsid w:val="00606552"/>
    <w:rsid w:val="00607A55"/>
    <w:rsid w:val="0061021A"/>
    <w:rsid w:val="0061129C"/>
    <w:rsid w:val="00611FED"/>
    <w:rsid w:val="00612637"/>
    <w:rsid w:val="00612799"/>
    <w:rsid w:val="00612ABC"/>
    <w:rsid w:val="0061465A"/>
    <w:rsid w:val="0061614D"/>
    <w:rsid w:val="00616CE5"/>
    <w:rsid w:val="00617785"/>
    <w:rsid w:val="00617811"/>
    <w:rsid w:val="0061785A"/>
    <w:rsid w:val="00617F8A"/>
    <w:rsid w:val="0062276D"/>
    <w:rsid w:val="00623443"/>
    <w:rsid w:val="00624B52"/>
    <w:rsid w:val="00626165"/>
    <w:rsid w:val="00626AA8"/>
    <w:rsid w:val="00630794"/>
    <w:rsid w:val="0063136A"/>
    <w:rsid w:val="00631DF4"/>
    <w:rsid w:val="00632150"/>
    <w:rsid w:val="00633AE7"/>
    <w:rsid w:val="00634175"/>
    <w:rsid w:val="00634738"/>
    <w:rsid w:val="0063505F"/>
    <w:rsid w:val="00636345"/>
    <w:rsid w:val="00636536"/>
    <w:rsid w:val="0063763F"/>
    <w:rsid w:val="00640244"/>
    <w:rsid w:val="006404F4"/>
    <w:rsid w:val="006408AC"/>
    <w:rsid w:val="00642D19"/>
    <w:rsid w:val="006450CB"/>
    <w:rsid w:val="00645C2B"/>
    <w:rsid w:val="00646408"/>
    <w:rsid w:val="0064661F"/>
    <w:rsid w:val="00646972"/>
    <w:rsid w:val="00646D83"/>
    <w:rsid w:val="0065094F"/>
    <w:rsid w:val="00650D2E"/>
    <w:rsid w:val="006511B6"/>
    <w:rsid w:val="00651B00"/>
    <w:rsid w:val="00653413"/>
    <w:rsid w:val="0065667E"/>
    <w:rsid w:val="00657B4A"/>
    <w:rsid w:val="00657FF8"/>
    <w:rsid w:val="00660ABF"/>
    <w:rsid w:val="00660BA7"/>
    <w:rsid w:val="00661395"/>
    <w:rsid w:val="006616A5"/>
    <w:rsid w:val="00661CC5"/>
    <w:rsid w:val="00663585"/>
    <w:rsid w:val="00663D54"/>
    <w:rsid w:val="006642AD"/>
    <w:rsid w:val="00664A8A"/>
    <w:rsid w:val="00664AE2"/>
    <w:rsid w:val="006651E0"/>
    <w:rsid w:val="00670570"/>
    <w:rsid w:val="0067085D"/>
    <w:rsid w:val="00670D99"/>
    <w:rsid w:val="00670E2B"/>
    <w:rsid w:val="006730FC"/>
    <w:rsid w:val="006734BB"/>
    <w:rsid w:val="00675300"/>
    <w:rsid w:val="006754E5"/>
    <w:rsid w:val="00675AC2"/>
    <w:rsid w:val="0067697A"/>
    <w:rsid w:val="00676C48"/>
    <w:rsid w:val="00680523"/>
    <w:rsid w:val="00680AF0"/>
    <w:rsid w:val="00680DC8"/>
    <w:rsid w:val="00680DDB"/>
    <w:rsid w:val="006821EB"/>
    <w:rsid w:val="006823A2"/>
    <w:rsid w:val="00682F7A"/>
    <w:rsid w:val="006838D8"/>
    <w:rsid w:val="00684D87"/>
    <w:rsid w:val="00685A19"/>
    <w:rsid w:val="006865A5"/>
    <w:rsid w:val="00686627"/>
    <w:rsid w:val="00686786"/>
    <w:rsid w:val="00686EFC"/>
    <w:rsid w:val="00687ED7"/>
    <w:rsid w:val="006912D3"/>
    <w:rsid w:val="006928AB"/>
    <w:rsid w:val="00694414"/>
    <w:rsid w:val="006947B7"/>
    <w:rsid w:val="00694A12"/>
    <w:rsid w:val="006961FF"/>
    <w:rsid w:val="00697BB1"/>
    <w:rsid w:val="006A18F0"/>
    <w:rsid w:val="006A20D4"/>
    <w:rsid w:val="006A2B78"/>
    <w:rsid w:val="006A7183"/>
    <w:rsid w:val="006A7413"/>
    <w:rsid w:val="006B2286"/>
    <w:rsid w:val="006B3224"/>
    <w:rsid w:val="006B34DA"/>
    <w:rsid w:val="006B449B"/>
    <w:rsid w:val="006B4CDA"/>
    <w:rsid w:val="006B56BB"/>
    <w:rsid w:val="006B78A4"/>
    <w:rsid w:val="006B795E"/>
    <w:rsid w:val="006C0237"/>
    <w:rsid w:val="006C1055"/>
    <w:rsid w:val="006C149F"/>
    <w:rsid w:val="006C1523"/>
    <w:rsid w:val="006C1E67"/>
    <w:rsid w:val="006C2498"/>
    <w:rsid w:val="006C2B21"/>
    <w:rsid w:val="006C2FB4"/>
    <w:rsid w:val="006C3762"/>
    <w:rsid w:val="006C38E9"/>
    <w:rsid w:val="006C4056"/>
    <w:rsid w:val="006C418F"/>
    <w:rsid w:val="006C44F7"/>
    <w:rsid w:val="006C4AB6"/>
    <w:rsid w:val="006C4F4F"/>
    <w:rsid w:val="006C6EE7"/>
    <w:rsid w:val="006C71F9"/>
    <w:rsid w:val="006C77A8"/>
    <w:rsid w:val="006D1177"/>
    <w:rsid w:val="006D1BBD"/>
    <w:rsid w:val="006D1DFB"/>
    <w:rsid w:val="006D2D2D"/>
    <w:rsid w:val="006D4098"/>
    <w:rsid w:val="006D536A"/>
    <w:rsid w:val="006D69AE"/>
    <w:rsid w:val="006D7225"/>
    <w:rsid w:val="006D7681"/>
    <w:rsid w:val="006D7B2E"/>
    <w:rsid w:val="006D7FA8"/>
    <w:rsid w:val="006E02EA"/>
    <w:rsid w:val="006E0968"/>
    <w:rsid w:val="006E2AF6"/>
    <w:rsid w:val="006E2F4C"/>
    <w:rsid w:val="006E3500"/>
    <w:rsid w:val="006E35D9"/>
    <w:rsid w:val="006E35EB"/>
    <w:rsid w:val="006E4DFD"/>
    <w:rsid w:val="006E7660"/>
    <w:rsid w:val="006F0A87"/>
    <w:rsid w:val="006F3F5E"/>
    <w:rsid w:val="006F4408"/>
    <w:rsid w:val="006F4892"/>
    <w:rsid w:val="006F6ACE"/>
    <w:rsid w:val="006F73F8"/>
    <w:rsid w:val="006F76A8"/>
    <w:rsid w:val="00700283"/>
    <w:rsid w:val="00701275"/>
    <w:rsid w:val="00704377"/>
    <w:rsid w:val="007054E6"/>
    <w:rsid w:val="007060F5"/>
    <w:rsid w:val="00706632"/>
    <w:rsid w:val="00707F56"/>
    <w:rsid w:val="0071088E"/>
    <w:rsid w:val="00710A2A"/>
    <w:rsid w:val="00710BFC"/>
    <w:rsid w:val="00710FED"/>
    <w:rsid w:val="0071209A"/>
    <w:rsid w:val="0071250B"/>
    <w:rsid w:val="00712B3A"/>
    <w:rsid w:val="00713558"/>
    <w:rsid w:val="0071410D"/>
    <w:rsid w:val="0071587E"/>
    <w:rsid w:val="00715E6C"/>
    <w:rsid w:val="00716AFB"/>
    <w:rsid w:val="00720D08"/>
    <w:rsid w:val="00722053"/>
    <w:rsid w:val="00722993"/>
    <w:rsid w:val="007230C9"/>
    <w:rsid w:val="00723566"/>
    <w:rsid w:val="00725244"/>
    <w:rsid w:val="007263B9"/>
    <w:rsid w:val="007323E0"/>
    <w:rsid w:val="007334F8"/>
    <w:rsid w:val="00733679"/>
    <w:rsid w:val="007339CD"/>
    <w:rsid w:val="007341DA"/>
    <w:rsid w:val="007359D8"/>
    <w:rsid w:val="007359E5"/>
    <w:rsid w:val="007362D4"/>
    <w:rsid w:val="0073640B"/>
    <w:rsid w:val="007375D8"/>
    <w:rsid w:val="00737CE9"/>
    <w:rsid w:val="00740620"/>
    <w:rsid w:val="00743EB6"/>
    <w:rsid w:val="00744EAD"/>
    <w:rsid w:val="0074520E"/>
    <w:rsid w:val="007460D2"/>
    <w:rsid w:val="00746756"/>
    <w:rsid w:val="00746E64"/>
    <w:rsid w:val="00750B45"/>
    <w:rsid w:val="007512F2"/>
    <w:rsid w:val="00751858"/>
    <w:rsid w:val="00752E72"/>
    <w:rsid w:val="00753045"/>
    <w:rsid w:val="00753F9E"/>
    <w:rsid w:val="00754E8F"/>
    <w:rsid w:val="00755344"/>
    <w:rsid w:val="00755B18"/>
    <w:rsid w:val="007564A5"/>
    <w:rsid w:val="0075681C"/>
    <w:rsid w:val="007602E9"/>
    <w:rsid w:val="007605C3"/>
    <w:rsid w:val="00760CFA"/>
    <w:rsid w:val="00766275"/>
    <w:rsid w:val="00766538"/>
    <w:rsid w:val="0076672A"/>
    <w:rsid w:val="0076732E"/>
    <w:rsid w:val="007724BC"/>
    <w:rsid w:val="007727C8"/>
    <w:rsid w:val="00772DB9"/>
    <w:rsid w:val="007742D7"/>
    <w:rsid w:val="007742F5"/>
    <w:rsid w:val="00774F6C"/>
    <w:rsid w:val="007754C7"/>
    <w:rsid w:val="00775E45"/>
    <w:rsid w:val="00776DBF"/>
    <w:rsid w:val="00776E74"/>
    <w:rsid w:val="00785169"/>
    <w:rsid w:val="007870C2"/>
    <w:rsid w:val="007873E7"/>
    <w:rsid w:val="007911B3"/>
    <w:rsid w:val="00793FD3"/>
    <w:rsid w:val="007947F3"/>
    <w:rsid w:val="00794F91"/>
    <w:rsid w:val="007954AB"/>
    <w:rsid w:val="00795FE5"/>
    <w:rsid w:val="0079668D"/>
    <w:rsid w:val="00797144"/>
    <w:rsid w:val="007A025A"/>
    <w:rsid w:val="007A14C5"/>
    <w:rsid w:val="007A4999"/>
    <w:rsid w:val="007A4A10"/>
    <w:rsid w:val="007A5032"/>
    <w:rsid w:val="007A555D"/>
    <w:rsid w:val="007A5725"/>
    <w:rsid w:val="007A6072"/>
    <w:rsid w:val="007A79F5"/>
    <w:rsid w:val="007A7FC6"/>
    <w:rsid w:val="007A7FDF"/>
    <w:rsid w:val="007B0148"/>
    <w:rsid w:val="007B1760"/>
    <w:rsid w:val="007B1C69"/>
    <w:rsid w:val="007B2248"/>
    <w:rsid w:val="007B3F1C"/>
    <w:rsid w:val="007B4399"/>
    <w:rsid w:val="007B4803"/>
    <w:rsid w:val="007B504C"/>
    <w:rsid w:val="007B5B15"/>
    <w:rsid w:val="007B5B51"/>
    <w:rsid w:val="007B6678"/>
    <w:rsid w:val="007B6A30"/>
    <w:rsid w:val="007B7C77"/>
    <w:rsid w:val="007C09CA"/>
    <w:rsid w:val="007C1FDC"/>
    <w:rsid w:val="007C3440"/>
    <w:rsid w:val="007C4DA7"/>
    <w:rsid w:val="007C5504"/>
    <w:rsid w:val="007C636F"/>
    <w:rsid w:val="007C6D9C"/>
    <w:rsid w:val="007C749D"/>
    <w:rsid w:val="007C7D55"/>
    <w:rsid w:val="007C7DDB"/>
    <w:rsid w:val="007C7F2A"/>
    <w:rsid w:val="007D108F"/>
    <w:rsid w:val="007D1C15"/>
    <w:rsid w:val="007D2863"/>
    <w:rsid w:val="007D2CC7"/>
    <w:rsid w:val="007D407B"/>
    <w:rsid w:val="007D4288"/>
    <w:rsid w:val="007D46D2"/>
    <w:rsid w:val="007D4DFF"/>
    <w:rsid w:val="007D5712"/>
    <w:rsid w:val="007D673D"/>
    <w:rsid w:val="007D7A89"/>
    <w:rsid w:val="007E0D15"/>
    <w:rsid w:val="007E0FB8"/>
    <w:rsid w:val="007E1925"/>
    <w:rsid w:val="007E426A"/>
    <w:rsid w:val="007E4D09"/>
    <w:rsid w:val="007E6C72"/>
    <w:rsid w:val="007E74C5"/>
    <w:rsid w:val="007E7504"/>
    <w:rsid w:val="007F0AC6"/>
    <w:rsid w:val="007F12A2"/>
    <w:rsid w:val="007F1AF6"/>
    <w:rsid w:val="007F2220"/>
    <w:rsid w:val="007F368B"/>
    <w:rsid w:val="007F37F9"/>
    <w:rsid w:val="007F3833"/>
    <w:rsid w:val="007F3C8B"/>
    <w:rsid w:val="007F4849"/>
    <w:rsid w:val="007F4B3E"/>
    <w:rsid w:val="00801157"/>
    <w:rsid w:val="008014E5"/>
    <w:rsid w:val="00801E95"/>
    <w:rsid w:val="00802260"/>
    <w:rsid w:val="008024ED"/>
    <w:rsid w:val="00802C90"/>
    <w:rsid w:val="00803108"/>
    <w:rsid w:val="0080419C"/>
    <w:rsid w:val="00804EA1"/>
    <w:rsid w:val="00805242"/>
    <w:rsid w:val="00806150"/>
    <w:rsid w:val="00806CC3"/>
    <w:rsid w:val="00807F46"/>
    <w:rsid w:val="008117AA"/>
    <w:rsid w:val="008121A5"/>
    <w:rsid w:val="008127AF"/>
    <w:rsid w:val="00812B46"/>
    <w:rsid w:val="0081418B"/>
    <w:rsid w:val="008149F1"/>
    <w:rsid w:val="00815700"/>
    <w:rsid w:val="00820489"/>
    <w:rsid w:val="00820C76"/>
    <w:rsid w:val="008222BE"/>
    <w:rsid w:val="00822768"/>
    <w:rsid w:val="008234A2"/>
    <w:rsid w:val="00823ABB"/>
    <w:rsid w:val="00825A4F"/>
    <w:rsid w:val="00826138"/>
    <w:rsid w:val="008264EB"/>
    <w:rsid w:val="00826B8F"/>
    <w:rsid w:val="00826F16"/>
    <w:rsid w:val="008276BE"/>
    <w:rsid w:val="00831734"/>
    <w:rsid w:val="00831E8A"/>
    <w:rsid w:val="00835498"/>
    <w:rsid w:val="00835984"/>
    <w:rsid w:val="00835C76"/>
    <w:rsid w:val="00835F37"/>
    <w:rsid w:val="008374E5"/>
    <w:rsid w:val="008376E2"/>
    <w:rsid w:val="00837B3F"/>
    <w:rsid w:val="00841E7F"/>
    <w:rsid w:val="008426F9"/>
    <w:rsid w:val="00843049"/>
    <w:rsid w:val="0084440E"/>
    <w:rsid w:val="008477C7"/>
    <w:rsid w:val="00847B18"/>
    <w:rsid w:val="008503E0"/>
    <w:rsid w:val="0085209B"/>
    <w:rsid w:val="0085283E"/>
    <w:rsid w:val="008533FE"/>
    <w:rsid w:val="0085372A"/>
    <w:rsid w:val="00854A60"/>
    <w:rsid w:val="008553F1"/>
    <w:rsid w:val="00856B66"/>
    <w:rsid w:val="00857DE5"/>
    <w:rsid w:val="00857F6C"/>
    <w:rsid w:val="008601AC"/>
    <w:rsid w:val="00861A5F"/>
    <w:rsid w:val="00863055"/>
    <w:rsid w:val="008644AD"/>
    <w:rsid w:val="00864572"/>
    <w:rsid w:val="00865210"/>
    <w:rsid w:val="00865735"/>
    <w:rsid w:val="00865DDB"/>
    <w:rsid w:val="0086672E"/>
    <w:rsid w:val="00867538"/>
    <w:rsid w:val="00870BC5"/>
    <w:rsid w:val="008718BD"/>
    <w:rsid w:val="00872A8A"/>
    <w:rsid w:val="00873D90"/>
    <w:rsid w:val="00873FC8"/>
    <w:rsid w:val="0087490F"/>
    <w:rsid w:val="0087492D"/>
    <w:rsid w:val="00875A0C"/>
    <w:rsid w:val="008775DD"/>
    <w:rsid w:val="0088185A"/>
    <w:rsid w:val="0088341B"/>
    <w:rsid w:val="008835CE"/>
    <w:rsid w:val="008838C8"/>
    <w:rsid w:val="00884C54"/>
    <w:rsid w:val="00884C63"/>
    <w:rsid w:val="00885017"/>
    <w:rsid w:val="0088524C"/>
    <w:rsid w:val="00885908"/>
    <w:rsid w:val="00885AED"/>
    <w:rsid w:val="00886149"/>
    <w:rsid w:val="008864B7"/>
    <w:rsid w:val="00890374"/>
    <w:rsid w:val="00891F89"/>
    <w:rsid w:val="00892148"/>
    <w:rsid w:val="0089619B"/>
    <w:rsid w:val="0089677E"/>
    <w:rsid w:val="00897037"/>
    <w:rsid w:val="0089773B"/>
    <w:rsid w:val="008A0F6D"/>
    <w:rsid w:val="008A3A8C"/>
    <w:rsid w:val="008A3E50"/>
    <w:rsid w:val="008A3FF6"/>
    <w:rsid w:val="008A4655"/>
    <w:rsid w:val="008A5365"/>
    <w:rsid w:val="008A7438"/>
    <w:rsid w:val="008A7770"/>
    <w:rsid w:val="008A794B"/>
    <w:rsid w:val="008B0D92"/>
    <w:rsid w:val="008B1334"/>
    <w:rsid w:val="008B25C7"/>
    <w:rsid w:val="008B311A"/>
    <w:rsid w:val="008B3630"/>
    <w:rsid w:val="008B3D51"/>
    <w:rsid w:val="008B462A"/>
    <w:rsid w:val="008B476A"/>
    <w:rsid w:val="008B5523"/>
    <w:rsid w:val="008B5CB9"/>
    <w:rsid w:val="008B5EB0"/>
    <w:rsid w:val="008C0278"/>
    <w:rsid w:val="008C24E9"/>
    <w:rsid w:val="008C2582"/>
    <w:rsid w:val="008C2747"/>
    <w:rsid w:val="008C679B"/>
    <w:rsid w:val="008D00CA"/>
    <w:rsid w:val="008D0533"/>
    <w:rsid w:val="008D2307"/>
    <w:rsid w:val="008D34FD"/>
    <w:rsid w:val="008D35EF"/>
    <w:rsid w:val="008D42CB"/>
    <w:rsid w:val="008D48C9"/>
    <w:rsid w:val="008D4C5A"/>
    <w:rsid w:val="008D5BA5"/>
    <w:rsid w:val="008D6381"/>
    <w:rsid w:val="008D6BB9"/>
    <w:rsid w:val="008D6D7F"/>
    <w:rsid w:val="008D741E"/>
    <w:rsid w:val="008D7A21"/>
    <w:rsid w:val="008E0C77"/>
    <w:rsid w:val="008E0E39"/>
    <w:rsid w:val="008E2D40"/>
    <w:rsid w:val="008E546E"/>
    <w:rsid w:val="008E625F"/>
    <w:rsid w:val="008E6A9F"/>
    <w:rsid w:val="008F0B10"/>
    <w:rsid w:val="008F0CCF"/>
    <w:rsid w:val="008F264D"/>
    <w:rsid w:val="008F3363"/>
    <w:rsid w:val="008F33E2"/>
    <w:rsid w:val="008F46CE"/>
    <w:rsid w:val="008F5362"/>
    <w:rsid w:val="008F71D0"/>
    <w:rsid w:val="008F7225"/>
    <w:rsid w:val="008F7434"/>
    <w:rsid w:val="0090026B"/>
    <w:rsid w:val="00900C80"/>
    <w:rsid w:val="00902BA3"/>
    <w:rsid w:val="00902D0F"/>
    <w:rsid w:val="00903644"/>
    <w:rsid w:val="00903785"/>
    <w:rsid w:val="009040E9"/>
    <w:rsid w:val="0090410E"/>
    <w:rsid w:val="009054E1"/>
    <w:rsid w:val="009057FF"/>
    <w:rsid w:val="00905931"/>
    <w:rsid w:val="009063B8"/>
    <w:rsid w:val="0090672A"/>
    <w:rsid w:val="00907282"/>
    <w:rsid w:val="009074E1"/>
    <w:rsid w:val="0090795A"/>
    <w:rsid w:val="009108C7"/>
    <w:rsid w:val="00910CF4"/>
    <w:rsid w:val="009112F7"/>
    <w:rsid w:val="00911371"/>
    <w:rsid w:val="009122AF"/>
    <w:rsid w:val="00912B6C"/>
    <w:rsid w:val="00912D54"/>
    <w:rsid w:val="0091389F"/>
    <w:rsid w:val="0091391A"/>
    <w:rsid w:val="0091466C"/>
    <w:rsid w:val="009146D4"/>
    <w:rsid w:val="00914BA2"/>
    <w:rsid w:val="00915E69"/>
    <w:rsid w:val="0091799F"/>
    <w:rsid w:val="009208F7"/>
    <w:rsid w:val="00920EE7"/>
    <w:rsid w:val="00921649"/>
    <w:rsid w:val="00922363"/>
    <w:rsid w:val="00922517"/>
    <w:rsid w:val="00922722"/>
    <w:rsid w:val="00923312"/>
    <w:rsid w:val="0092345B"/>
    <w:rsid w:val="009235A1"/>
    <w:rsid w:val="009243AE"/>
    <w:rsid w:val="009246E2"/>
    <w:rsid w:val="00924959"/>
    <w:rsid w:val="009261E6"/>
    <w:rsid w:val="009268E1"/>
    <w:rsid w:val="00926DA3"/>
    <w:rsid w:val="009271EE"/>
    <w:rsid w:val="00930583"/>
    <w:rsid w:val="00930B18"/>
    <w:rsid w:val="00931886"/>
    <w:rsid w:val="0093247F"/>
    <w:rsid w:val="009336B6"/>
    <w:rsid w:val="00934013"/>
    <w:rsid w:val="009344AE"/>
    <w:rsid w:val="009344DE"/>
    <w:rsid w:val="00934D91"/>
    <w:rsid w:val="009351B2"/>
    <w:rsid w:val="00935E39"/>
    <w:rsid w:val="00935EEE"/>
    <w:rsid w:val="00941952"/>
    <w:rsid w:val="00941BD5"/>
    <w:rsid w:val="00942278"/>
    <w:rsid w:val="009443B4"/>
    <w:rsid w:val="00945566"/>
    <w:rsid w:val="00945E7F"/>
    <w:rsid w:val="0094772F"/>
    <w:rsid w:val="00947ED0"/>
    <w:rsid w:val="009505E7"/>
    <w:rsid w:val="00951526"/>
    <w:rsid w:val="00951BD0"/>
    <w:rsid w:val="0095224E"/>
    <w:rsid w:val="00953587"/>
    <w:rsid w:val="009539C8"/>
    <w:rsid w:val="00955103"/>
    <w:rsid w:val="0095559E"/>
    <w:rsid w:val="009557C1"/>
    <w:rsid w:val="009566FE"/>
    <w:rsid w:val="00960848"/>
    <w:rsid w:val="00960CB5"/>
    <w:rsid w:val="00960D6E"/>
    <w:rsid w:val="0096332F"/>
    <w:rsid w:val="00963886"/>
    <w:rsid w:val="00963A57"/>
    <w:rsid w:val="0096462B"/>
    <w:rsid w:val="00964C54"/>
    <w:rsid w:val="0096752D"/>
    <w:rsid w:val="00971812"/>
    <w:rsid w:val="00971ED7"/>
    <w:rsid w:val="00973C7F"/>
    <w:rsid w:val="00974B59"/>
    <w:rsid w:val="00974D56"/>
    <w:rsid w:val="00974FFC"/>
    <w:rsid w:val="00975D4B"/>
    <w:rsid w:val="00975E10"/>
    <w:rsid w:val="009825D7"/>
    <w:rsid w:val="0098340B"/>
    <w:rsid w:val="009852B8"/>
    <w:rsid w:val="0098537D"/>
    <w:rsid w:val="00986830"/>
    <w:rsid w:val="00986CB0"/>
    <w:rsid w:val="0098766C"/>
    <w:rsid w:val="00987BDB"/>
    <w:rsid w:val="009924C3"/>
    <w:rsid w:val="00993102"/>
    <w:rsid w:val="009932B8"/>
    <w:rsid w:val="00993DE7"/>
    <w:rsid w:val="009942C8"/>
    <w:rsid w:val="009944EC"/>
    <w:rsid w:val="009955EB"/>
    <w:rsid w:val="00996230"/>
    <w:rsid w:val="0099724A"/>
    <w:rsid w:val="009A1C92"/>
    <w:rsid w:val="009A3FCE"/>
    <w:rsid w:val="009A4536"/>
    <w:rsid w:val="009A6A1D"/>
    <w:rsid w:val="009A6FA7"/>
    <w:rsid w:val="009A72BF"/>
    <w:rsid w:val="009B030A"/>
    <w:rsid w:val="009B1570"/>
    <w:rsid w:val="009B33AC"/>
    <w:rsid w:val="009B42DA"/>
    <w:rsid w:val="009B6BAA"/>
    <w:rsid w:val="009B6F7B"/>
    <w:rsid w:val="009C5CD3"/>
    <w:rsid w:val="009C6C19"/>
    <w:rsid w:val="009C6E68"/>
    <w:rsid w:val="009C6F10"/>
    <w:rsid w:val="009D0F8E"/>
    <w:rsid w:val="009D148F"/>
    <w:rsid w:val="009D1C77"/>
    <w:rsid w:val="009D3D70"/>
    <w:rsid w:val="009D5495"/>
    <w:rsid w:val="009D6E31"/>
    <w:rsid w:val="009D786A"/>
    <w:rsid w:val="009E11B6"/>
    <w:rsid w:val="009E1CE1"/>
    <w:rsid w:val="009E2332"/>
    <w:rsid w:val="009E2516"/>
    <w:rsid w:val="009E3276"/>
    <w:rsid w:val="009E5298"/>
    <w:rsid w:val="009E6E3E"/>
    <w:rsid w:val="009E6F7E"/>
    <w:rsid w:val="009E7745"/>
    <w:rsid w:val="009E7A57"/>
    <w:rsid w:val="009F14F7"/>
    <w:rsid w:val="009F4803"/>
    <w:rsid w:val="009F4F5C"/>
    <w:rsid w:val="009F4F6A"/>
    <w:rsid w:val="009F569D"/>
    <w:rsid w:val="009F5B94"/>
    <w:rsid w:val="009F62D4"/>
    <w:rsid w:val="009F6EB8"/>
    <w:rsid w:val="009F7C39"/>
    <w:rsid w:val="00A00CDA"/>
    <w:rsid w:val="00A01742"/>
    <w:rsid w:val="00A02BE6"/>
    <w:rsid w:val="00A02CA8"/>
    <w:rsid w:val="00A03EB0"/>
    <w:rsid w:val="00A03F8E"/>
    <w:rsid w:val="00A04F5E"/>
    <w:rsid w:val="00A076FA"/>
    <w:rsid w:val="00A07EA5"/>
    <w:rsid w:val="00A07F9E"/>
    <w:rsid w:val="00A11361"/>
    <w:rsid w:val="00A1288D"/>
    <w:rsid w:val="00A13DC6"/>
    <w:rsid w:val="00A13EB5"/>
    <w:rsid w:val="00A14C22"/>
    <w:rsid w:val="00A16080"/>
    <w:rsid w:val="00A16156"/>
    <w:rsid w:val="00A16E36"/>
    <w:rsid w:val="00A17363"/>
    <w:rsid w:val="00A17946"/>
    <w:rsid w:val="00A17C4B"/>
    <w:rsid w:val="00A17CAE"/>
    <w:rsid w:val="00A215B6"/>
    <w:rsid w:val="00A219EE"/>
    <w:rsid w:val="00A224E5"/>
    <w:rsid w:val="00A2354F"/>
    <w:rsid w:val="00A247CF"/>
    <w:rsid w:val="00A24961"/>
    <w:rsid w:val="00A24B10"/>
    <w:rsid w:val="00A24D42"/>
    <w:rsid w:val="00A24E30"/>
    <w:rsid w:val="00A277EF"/>
    <w:rsid w:val="00A30E9B"/>
    <w:rsid w:val="00A324D2"/>
    <w:rsid w:val="00A32970"/>
    <w:rsid w:val="00A32B50"/>
    <w:rsid w:val="00A37158"/>
    <w:rsid w:val="00A3792E"/>
    <w:rsid w:val="00A4041A"/>
    <w:rsid w:val="00A408E3"/>
    <w:rsid w:val="00A4185F"/>
    <w:rsid w:val="00A43CF8"/>
    <w:rsid w:val="00A449EB"/>
    <w:rsid w:val="00A4512D"/>
    <w:rsid w:val="00A4531D"/>
    <w:rsid w:val="00A46120"/>
    <w:rsid w:val="00A46744"/>
    <w:rsid w:val="00A4684B"/>
    <w:rsid w:val="00A50244"/>
    <w:rsid w:val="00A5027B"/>
    <w:rsid w:val="00A50C19"/>
    <w:rsid w:val="00A51722"/>
    <w:rsid w:val="00A51DA8"/>
    <w:rsid w:val="00A5201F"/>
    <w:rsid w:val="00A5638B"/>
    <w:rsid w:val="00A56E22"/>
    <w:rsid w:val="00A5724C"/>
    <w:rsid w:val="00A57F9E"/>
    <w:rsid w:val="00A60A4E"/>
    <w:rsid w:val="00A61D06"/>
    <w:rsid w:val="00A627D7"/>
    <w:rsid w:val="00A63571"/>
    <w:rsid w:val="00A651ED"/>
    <w:rsid w:val="00A656C7"/>
    <w:rsid w:val="00A65728"/>
    <w:rsid w:val="00A65B6F"/>
    <w:rsid w:val="00A66E41"/>
    <w:rsid w:val="00A6781B"/>
    <w:rsid w:val="00A67CE6"/>
    <w:rsid w:val="00A70445"/>
    <w:rsid w:val="00A705AF"/>
    <w:rsid w:val="00A70612"/>
    <w:rsid w:val="00A719F6"/>
    <w:rsid w:val="00A71C69"/>
    <w:rsid w:val="00A72454"/>
    <w:rsid w:val="00A7349E"/>
    <w:rsid w:val="00A749B9"/>
    <w:rsid w:val="00A759DA"/>
    <w:rsid w:val="00A768D2"/>
    <w:rsid w:val="00A76A13"/>
    <w:rsid w:val="00A76C8B"/>
    <w:rsid w:val="00A775F2"/>
    <w:rsid w:val="00A77696"/>
    <w:rsid w:val="00A77F99"/>
    <w:rsid w:val="00A802FB"/>
    <w:rsid w:val="00A804FE"/>
    <w:rsid w:val="00A80557"/>
    <w:rsid w:val="00A80766"/>
    <w:rsid w:val="00A81D33"/>
    <w:rsid w:val="00A827E3"/>
    <w:rsid w:val="00A83065"/>
    <w:rsid w:val="00A83226"/>
    <w:rsid w:val="00A8341C"/>
    <w:rsid w:val="00A840B3"/>
    <w:rsid w:val="00A85799"/>
    <w:rsid w:val="00A85C60"/>
    <w:rsid w:val="00A85EA7"/>
    <w:rsid w:val="00A8646B"/>
    <w:rsid w:val="00A90BB7"/>
    <w:rsid w:val="00A9193D"/>
    <w:rsid w:val="00A9231A"/>
    <w:rsid w:val="00A928B2"/>
    <w:rsid w:val="00A930AE"/>
    <w:rsid w:val="00A9373B"/>
    <w:rsid w:val="00A93FAB"/>
    <w:rsid w:val="00A951E0"/>
    <w:rsid w:val="00A963DD"/>
    <w:rsid w:val="00AA06F0"/>
    <w:rsid w:val="00AA076C"/>
    <w:rsid w:val="00AA10A4"/>
    <w:rsid w:val="00AA1A95"/>
    <w:rsid w:val="00AA260F"/>
    <w:rsid w:val="00AA262B"/>
    <w:rsid w:val="00AA26B2"/>
    <w:rsid w:val="00AA29CE"/>
    <w:rsid w:val="00AA5C0D"/>
    <w:rsid w:val="00AA65F8"/>
    <w:rsid w:val="00AB0044"/>
    <w:rsid w:val="00AB171B"/>
    <w:rsid w:val="00AB17D7"/>
    <w:rsid w:val="00AB1EE7"/>
    <w:rsid w:val="00AB2CA7"/>
    <w:rsid w:val="00AB4B37"/>
    <w:rsid w:val="00AB5762"/>
    <w:rsid w:val="00AB5897"/>
    <w:rsid w:val="00AB61BD"/>
    <w:rsid w:val="00AB740E"/>
    <w:rsid w:val="00AC0957"/>
    <w:rsid w:val="00AC1942"/>
    <w:rsid w:val="00AC1D09"/>
    <w:rsid w:val="00AC2323"/>
    <w:rsid w:val="00AC2679"/>
    <w:rsid w:val="00AC3136"/>
    <w:rsid w:val="00AC3E79"/>
    <w:rsid w:val="00AC4713"/>
    <w:rsid w:val="00AC4BE4"/>
    <w:rsid w:val="00AC6CF7"/>
    <w:rsid w:val="00AD018D"/>
    <w:rsid w:val="00AD05E6"/>
    <w:rsid w:val="00AD0D3F"/>
    <w:rsid w:val="00AD1041"/>
    <w:rsid w:val="00AD146A"/>
    <w:rsid w:val="00AD18D4"/>
    <w:rsid w:val="00AD204F"/>
    <w:rsid w:val="00AD2307"/>
    <w:rsid w:val="00AD29B2"/>
    <w:rsid w:val="00AD33BF"/>
    <w:rsid w:val="00AD3EAE"/>
    <w:rsid w:val="00AD4CFF"/>
    <w:rsid w:val="00AD4D7D"/>
    <w:rsid w:val="00AD70ED"/>
    <w:rsid w:val="00AE1D7D"/>
    <w:rsid w:val="00AE226A"/>
    <w:rsid w:val="00AE2A8B"/>
    <w:rsid w:val="00AE350C"/>
    <w:rsid w:val="00AE3ADF"/>
    <w:rsid w:val="00AE3AF3"/>
    <w:rsid w:val="00AE3F5E"/>
    <w:rsid w:val="00AE3F64"/>
    <w:rsid w:val="00AE44E8"/>
    <w:rsid w:val="00AE6E06"/>
    <w:rsid w:val="00AE7927"/>
    <w:rsid w:val="00AF1076"/>
    <w:rsid w:val="00AF174A"/>
    <w:rsid w:val="00AF204B"/>
    <w:rsid w:val="00AF2278"/>
    <w:rsid w:val="00AF3D8A"/>
    <w:rsid w:val="00AF3E10"/>
    <w:rsid w:val="00AF4D7B"/>
    <w:rsid w:val="00AF5800"/>
    <w:rsid w:val="00AF6F89"/>
    <w:rsid w:val="00AF7386"/>
    <w:rsid w:val="00AF76B2"/>
    <w:rsid w:val="00AF7934"/>
    <w:rsid w:val="00B00B81"/>
    <w:rsid w:val="00B00E97"/>
    <w:rsid w:val="00B010E2"/>
    <w:rsid w:val="00B0120B"/>
    <w:rsid w:val="00B0291C"/>
    <w:rsid w:val="00B030D1"/>
    <w:rsid w:val="00B034E0"/>
    <w:rsid w:val="00B03CB1"/>
    <w:rsid w:val="00B04580"/>
    <w:rsid w:val="00B046D6"/>
    <w:rsid w:val="00B049B5"/>
    <w:rsid w:val="00B04B09"/>
    <w:rsid w:val="00B064CA"/>
    <w:rsid w:val="00B066F8"/>
    <w:rsid w:val="00B102D8"/>
    <w:rsid w:val="00B12103"/>
    <w:rsid w:val="00B12653"/>
    <w:rsid w:val="00B12D20"/>
    <w:rsid w:val="00B13270"/>
    <w:rsid w:val="00B14972"/>
    <w:rsid w:val="00B153B9"/>
    <w:rsid w:val="00B16A51"/>
    <w:rsid w:val="00B204FE"/>
    <w:rsid w:val="00B20D93"/>
    <w:rsid w:val="00B21AFC"/>
    <w:rsid w:val="00B23791"/>
    <w:rsid w:val="00B23D3E"/>
    <w:rsid w:val="00B25B77"/>
    <w:rsid w:val="00B25E83"/>
    <w:rsid w:val="00B269F1"/>
    <w:rsid w:val="00B278BF"/>
    <w:rsid w:val="00B27EA3"/>
    <w:rsid w:val="00B31689"/>
    <w:rsid w:val="00B31848"/>
    <w:rsid w:val="00B32222"/>
    <w:rsid w:val="00B32650"/>
    <w:rsid w:val="00B3269F"/>
    <w:rsid w:val="00B32AEB"/>
    <w:rsid w:val="00B34EB4"/>
    <w:rsid w:val="00B3584C"/>
    <w:rsid w:val="00B3618D"/>
    <w:rsid w:val="00B36233"/>
    <w:rsid w:val="00B4007A"/>
    <w:rsid w:val="00B41862"/>
    <w:rsid w:val="00B42851"/>
    <w:rsid w:val="00B42B73"/>
    <w:rsid w:val="00B43AC9"/>
    <w:rsid w:val="00B43CAB"/>
    <w:rsid w:val="00B43D47"/>
    <w:rsid w:val="00B45AC7"/>
    <w:rsid w:val="00B46174"/>
    <w:rsid w:val="00B4702E"/>
    <w:rsid w:val="00B47A8E"/>
    <w:rsid w:val="00B5102F"/>
    <w:rsid w:val="00B5231B"/>
    <w:rsid w:val="00B52894"/>
    <w:rsid w:val="00B52CE1"/>
    <w:rsid w:val="00B5336A"/>
    <w:rsid w:val="00B5372F"/>
    <w:rsid w:val="00B53987"/>
    <w:rsid w:val="00B569DE"/>
    <w:rsid w:val="00B56D84"/>
    <w:rsid w:val="00B57209"/>
    <w:rsid w:val="00B57949"/>
    <w:rsid w:val="00B61129"/>
    <w:rsid w:val="00B639DA"/>
    <w:rsid w:val="00B6456E"/>
    <w:rsid w:val="00B6556D"/>
    <w:rsid w:val="00B67E7F"/>
    <w:rsid w:val="00B70096"/>
    <w:rsid w:val="00B70D63"/>
    <w:rsid w:val="00B71CE0"/>
    <w:rsid w:val="00B71D8B"/>
    <w:rsid w:val="00B73D33"/>
    <w:rsid w:val="00B73D5D"/>
    <w:rsid w:val="00B74D4D"/>
    <w:rsid w:val="00B75221"/>
    <w:rsid w:val="00B773D1"/>
    <w:rsid w:val="00B80BAE"/>
    <w:rsid w:val="00B8126F"/>
    <w:rsid w:val="00B82691"/>
    <w:rsid w:val="00B839B2"/>
    <w:rsid w:val="00B83E32"/>
    <w:rsid w:val="00B84ADD"/>
    <w:rsid w:val="00B853D8"/>
    <w:rsid w:val="00B85455"/>
    <w:rsid w:val="00B872AA"/>
    <w:rsid w:val="00B90FD0"/>
    <w:rsid w:val="00B912A1"/>
    <w:rsid w:val="00B93249"/>
    <w:rsid w:val="00B94252"/>
    <w:rsid w:val="00B942F4"/>
    <w:rsid w:val="00B944F6"/>
    <w:rsid w:val="00B94815"/>
    <w:rsid w:val="00B94C8E"/>
    <w:rsid w:val="00B95DA3"/>
    <w:rsid w:val="00B95EFA"/>
    <w:rsid w:val="00B96473"/>
    <w:rsid w:val="00B9715A"/>
    <w:rsid w:val="00BA0508"/>
    <w:rsid w:val="00BA14BE"/>
    <w:rsid w:val="00BA18F5"/>
    <w:rsid w:val="00BA1D7E"/>
    <w:rsid w:val="00BA2732"/>
    <w:rsid w:val="00BA293D"/>
    <w:rsid w:val="00BA29F4"/>
    <w:rsid w:val="00BA2F4A"/>
    <w:rsid w:val="00BA303E"/>
    <w:rsid w:val="00BA30E2"/>
    <w:rsid w:val="00BA3200"/>
    <w:rsid w:val="00BA35EA"/>
    <w:rsid w:val="00BA49BC"/>
    <w:rsid w:val="00BA56B7"/>
    <w:rsid w:val="00BA68B0"/>
    <w:rsid w:val="00BA7A1E"/>
    <w:rsid w:val="00BB0607"/>
    <w:rsid w:val="00BB0D79"/>
    <w:rsid w:val="00BB174A"/>
    <w:rsid w:val="00BB1ED0"/>
    <w:rsid w:val="00BB1F0F"/>
    <w:rsid w:val="00BB2F6C"/>
    <w:rsid w:val="00BB3875"/>
    <w:rsid w:val="00BB48AB"/>
    <w:rsid w:val="00BB5860"/>
    <w:rsid w:val="00BB6832"/>
    <w:rsid w:val="00BB6AAD"/>
    <w:rsid w:val="00BB7180"/>
    <w:rsid w:val="00BC02B3"/>
    <w:rsid w:val="00BC0706"/>
    <w:rsid w:val="00BC16DA"/>
    <w:rsid w:val="00BC172F"/>
    <w:rsid w:val="00BC1CDB"/>
    <w:rsid w:val="00BC2ADB"/>
    <w:rsid w:val="00BC3045"/>
    <w:rsid w:val="00BC3C25"/>
    <w:rsid w:val="00BC3ED4"/>
    <w:rsid w:val="00BC4A19"/>
    <w:rsid w:val="00BC4E6D"/>
    <w:rsid w:val="00BC5CA7"/>
    <w:rsid w:val="00BC679B"/>
    <w:rsid w:val="00BC6D54"/>
    <w:rsid w:val="00BC6DCD"/>
    <w:rsid w:val="00BC7B9A"/>
    <w:rsid w:val="00BD0617"/>
    <w:rsid w:val="00BD2005"/>
    <w:rsid w:val="00BD2E9B"/>
    <w:rsid w:val="00BD370A"/>
    <w:rsid w:val="00BD41D0"/>
    <w:rsid w:val="00BD46A4"/>
    <w:rsid w:val="00BD48E9"/>
    <w:rsid w:val="00BD4AF6"/>
    <w:rsid w:val="00BD6017"/>
    <w:rsid w:val="00BD6204"/>
    <w:rsid w:val="00BD6541"/>
    <w:rsid w:val="00BD786B"/>
    <w:rsid w:val="00BD78CA"/>
    <w:rsid w:val="00BD7E89"/>
    <w:rsid w:val="00BD7FB2"/>
    <w:rsid w:val="00BE100A"/>
    <w:rsid w:val="00BE1F24"/>
    <w:rsid w:val="00BE247E"/>
    <w:rsid w:val="00BE28C5"/>
    <w:rsid w:val="00BE3EBF"/>
    <w:rsid w:val="00BE457A"/>
    <w:rsid w:val="00BE4E9B"/>
    <w:rsid w:val="00BE61F8"/>
    <w:rsid w:val="00BE61FF"/>
    <w:rsid w:val="00BE6413"/>
    <w:rsid w:val="00BE6DAD"/>
    <w:rsid w:val="00BE7DF5"/>
    <w:rsid w:val="00BE7FCE"/>
    <w:rsid w:val="00BF132B"/>
    <w:rsid w:val="00BF1837"/>
    <w:rsid w:val="00BF19D9"/>
    <w:rsid w:val="00BF327F"/>
    <w:rsid w:val="00BF3721"/>
    <w:rsid w:val="00BF493E"/>
    <w:rsid w:val="00BF4C40"/>
    <w:rsid w:val="00C00083"/>
    <w:rsid w:val="00C006D7"/>
    <w:rsid w:val="00C00930"/>
    <w:rsid w:val="00C02000"/>
    <w:rsid w:val="00C04C5A"/>
    <w:rsid w:val="00C04C98"/>
    <w:rsid w:val="00C054C8"/>
    <w:rsid w:val="00C060AD"/>
    <w:rsid w:val="00C113BF"/>
    <w:rsid w:val="00C11C01"/>
    <w:rsid w:val="00C12D1B"/>
    <w:rsid w:val="00C12FEC"/>
    <w:rsid w:val="00C14233"/>
    <w:rsid w:val="00C14A7E"/>
    <w:rsid w:val="00C160FD"/>
    <w:rsid w:val="00C17EF0"/>
    <w:rsid w:val="00C20708"/>
    <w:rsid w:val="00C21695"/>
    <w:rsid w:val="00C2176E"/>
    <w:rsid w:val="00C2236B"/>
    <w:rsid w:val="00C23430"/>
    <w:rsid w:val="00C23DA2"/>
    <w:rsid w:val="00C24872"/>
    <w:rsid w:val="00C248F3"/>
    <w:rsid w:val="00C2680A"/>
    <w:rsid w:val="00C268C4"/>
    <w:rsid w:val="00C27D67"/>
    <w:rsid w:val="00C27F0E"/>
    <w:rsid w:val="00C31615"/>
    <w:rsid w:val="00C33390"/>
    <w:rsid w:val="00C33D2D"/>
    <w:rsid w:val="00C34BD2"/>
    <w:rsid w:val="00C34EB0"/>
    <w:rsid w:val="00C35338"/>
    <w:rsid w:val="00C360CD"/>
    <w:rsid w:val="00C37261"/>
    <w:rsid w:val="00C37B78"/>
    <w:rsid w:val="00C37F94"/>
    <w:rsid w:val="00C40300"/>
    <w:rsid w:val="00C405D2"/>
    <w:rsid w:val="00C40F06"/>
    <w:rsid w:val="00C416CE"/>
    <w:rsid w:val="00C41767"/>
    <w:rsid w:val="00C437F9"/>
    <w:rsid w:val="00C4401B"/>
    <w:rsid w:val="00C443EA"/>
    <w:rsid w:val="00C44839"/>
    <w:rsid w:val="00C44B37"/>
    <w:rsid w:val="00C44E13"/>
    <w:rsid w:val="00C45D0D"/>
    <w:rsid w:val="00C4631F"/>
    <w:rsid w:val="00C47CDE"/>
    <w:rsid w:val="00C50415"/>
    <w:rsid w:val="00C5085B"/>
    <w:rsid w:val="00C50E16"/>
    <w:rsid w:val="00C50F42"/>
    <w:rsid w:val="00C51193"/>
    <w:rsid w:val="00C514A0"/>
    <w:rsid w:val="00C51B10"/>
    <w:rsid w:val="00C52516"/>
    <w:rsid w:val="00C5273F"/>
    <w:rsid w:val="00C52DCF"/>
    <w:rsid w:val="00C5371F"/>
    <w:rsid w:val="00C53F31"/>
    <w:rsid w:val="00C54017"/>
    <w:rsid w:val="00C540D0"/>
    <w:rsid w:val="00C54367"/>
    <w:rsid w:val="00C55258"/>
    <w:rsid w:val="00C55981"/>
    <w:rsid w:val="00C56A73"/>
    <w:rsid w:val="00C57412"/>
    <w:rsid w:val="00C634CE"/>
    <w:rsid w:val="00C64EF9"/>
    <w:rsid w:val="00C65798"/>
    <w:rsid w:val="00C66B87"/>
    <w:rsid w:val="00C7032E"/>
    <w:rsid w:val="00C71169"/>
    <w:rsid w:val="00C719AC"/>
    <w:rsid w:val="00C7283D"/>
    <w:rsid w:val="00C733D3"/>
    <w:rsid w:val="00C748F8"/>
    <w:rsid w:val="00C75825"/>
    <w:rsid w:val="00C774B8"/>
    <w:rsid w:val="00C775F4"/>
    <w:rsid w:val="00C77F36"/>
    <w:rsid w:val="00C80838"/>
    <w:rsid w:val="00C80E00"/>
    <w:rsid w:val="00C8239C"/>
    <w:rsid w:val="00C8259E"/>
    <w:rsid w:val="00C82C4A"/>
    <w:rsid w:val="00C82EEB"/>
    <w:rsid w:val="00C8353D"/>
    <w:rsid w:val="00C8360B"/>
    <w:rsid w:val="00C837A4"/>
    <w:rsid w:val="00C83BAB"/>
    <w:rsid w:val="00C85288"/>
    <w:rsid w:val="00C85517"/>
    <w:rsid w:val="00C85524"/>
    <w:rsid w:val="00C8588D"/>
    <w:rsid w:val="00C86718"/>
    <w:rsid w:val="00C86933"/>
    <w:rsid w:val="00C87613"/>
    <w:rsid w:val="00C90F81"/>
    <w:rsid w:val="00C92303"/>
    <w:rsid w:val="00C92966"/>
    <w:rsid w:val="00C92C09"/>
    <w:rsid w:val="00C971DC"/>
    <w:rsid w:val="00C97A08"/>
    <w:rsid w:val="00C97E92"/>
    <w:rsid w:val="00CA0AF3"/>
    <w:rsid w:val="00CA1344"/>
    <w:rsid w:val="00CA16B7"/>
    <w:rsid w:val="00CA2B88"/>
    <w:rsid w:val="00CA62AE"/>
    <w:rsid w:val="00CA6AF7"/>
    <w:rsid w:val="00CA6D5C"/>
    <w:rsid w:val="00CA7201"/>
    <w:rsid w:val="00CA74BA"/>
    <w:rsid w:val="00CB1A67"/>
    <w:rsid w:val="00CB1D47"/>
    <w:rsid w:val="00CB3CEA"/>
    <w:rsid w:val="00CB5B1A"/>
    <w:rsid w:val="00CC0A89"/>
    <w:rsid w:val="00CC0C9E"/>
    <w:rsid w:val="00CC220B"/>
    <w:rsid w:val="00CC341A"/>
    <w:rsid w:val="00CC3AC5"/>
    <w:rsid w:val="00CC4782"/>
    <w:rsid w:val="00CC48F4"/>
    <w:rsid w:val="00CC4DF5"/>
    <w:rsid w:val="00CC5C43"/>
    <w:rsid w:val="00CC7785"/>
    <w:rsid w:val="00CD02AE"/>
    <w:rsid w:val="00CD0FAA"/>
    <w:rsid w:val="00CD2335"/>
    <w:rsid w:val="00CD2A4F"/>
    <w:rsid w:val="00CD41C8"/>
    <w:rsid w:val="00CD44D6"/>
    <w:rsid w:val="00CD7417"/>
    <w:rsid w:val="00CE03CA"/>
    <w:rsid w:val="00CE22F1"/>
    <w:rsid w:val="00CE338B"/>
    <w:rsid w:val="00CE4919"/>
    <w:rsid w:val="00CE50F2"/>
    <w:rsid w:val="00CE64DF"/>
    <w:rsid w:val="00CE6502"/>
    <w:rsid w:val="00CE7C0D"/>
    <w:rsid w:val="00CF1158"/>
    <w:rsid w:val="00CF1E5A"/>
    <w:rsid w:val="00CF23EA"/>
    <w:rsid w:val="00CF3B52"/>
    <w:rsid w:val="00CF3DA0"/>
    <w:rsid w:val="00CF480D"/>
    <w:rsid w:val="00CF4BAE"/>
    <w:rsid w:val="00CF590F"/>
    <w:rsid w:val="00CF5C16"/>
    <w:rsid w:val="00CF5E6E"/>
    <w:rsid w:val="00CF610F"/>
    <w:rsid w:val="00CF612B"/>
    <w:rsid w:val="00CF7931"/>
    <w:rsid w:val="00CF7D3C"/>
    <w:rsid w:val="00D00393"/>
    <w:rsid w:val="00D015A0"/>
    <w:rsid w:val="00D0183A"/>
    <w:rsid w:val="00D01ADF"/>
    <w:rsid w:val="00D01D18"/>
    <w:rsid w:val="00D01F09"/>
    <w:rsid w:val="00D030CD"/>
    <w:rsid w:val="00D0324D"/>
    <w:rsid w:val="00D038E3"/>
    <w:rsid w:val="00D05311"/>
    <w:rsid w:val="00D0661A"/>
    <w:rsid w:val="00D075F1"/>
    <w:rsid w:val="00D104D6"/>
    <w:rsid w:val="00D10B26"/>
    <w:rsid w:val="00D12473"/>
    <w:rsid w:val="00D13F75"/>
    <w:rsid w:val="00D147EB"/>
    <w:rsid w:val="00D1491C"/>
    <w:rsid w:val="00D2285F"/>
    <w:rsid w:val="00D23063"/>
    <w:rsid w:val="00D24538"/>
    <w:rsid w:val="00D2488A"/>
    <w:rsid w:val="00D25532"/>
    <w:rsid w:val="00D25959"/>
    <w:rsid w:val="00D25B94"/>
    <w:rsid w:val="00D25E82"/>
    <w:rsid w:val="00D2601C"/>
    <w:rsid w:val="00D30EBF"/>
    <w:rsid w:val="00D3274B"/>
    <w:rsid w:val="00D33544"/>
    <w:rsid w:val="00D345E2"/>
    <w:rsid w:val="00D34667"/>
    <w:rsid w:val="00D3473D"/>
    <w:rsid w:val="00D35698"/>
    <w:rsid w:val="00D401E1"/>
    <w:rsid w:val="00D4021B"/>
    <w:rsid w:val="00D408B4"/>
    <w:rsid w:val="00D40DEB"/>
    <w:rsid w:val="00D44169"/>
    <w:rsid w:val="00D46C99"/>
    <w:rsid w:val="00D473B7"/>
    <w:rsid w:val="00D50422"/>
    <w:rsid w:val="00D50565"/>
    <w:rsid w:val="00D51097"/>
    <w:rsid w:val="00D51B70"/>
    <w:rsid w:val="00D51C10"/>
    <w:rsid w:val="00D51F3F"/>
    <w:rsid w:val="00D524C8"/>
    <w:rsid w:val="00D5256B"/>
    <w:rsid w:val="00D5271E"/>
    <w:rsid w:val="00D5283B"/>
    <w:rsid w:val="00D54071"/>
    <w:rsid w:val="00D5532C"/>
    <w:rsid w:val="00D5544C"/>
    <w:rsid w:val="00D57347"/>
    <w:rsid w:val="00D618BD"/>
    <w:rsid w:val="00D61FED"/>
    <w:rsid w:val="00D630BB"/>
    <w:rsid w:val="00D63B1A"/>
    <w:rsid w:val="00D65099"/>
    <w:rsid w:val="00D65F0B"/>
    <w:rsid w:val="00D67326"/>
    <w:rsid w:val="00D67C42"/>
    <w:rsid w:val="00D70E24"/>
    <w:rsid w:val="00D72258"/>
    <w:rsid w:val="00D72B61"/>
    <w:rsid w:val="00D73BFE"/>
    <w:rsid w:val="00D74BD7"/>
    <w:rsid w:val="00D7542F"/>
    <w:rsid w:val="00D76C2F"/>
    <w:rsid w:val="00D8280A"/>
    <w:rsid w:val="00D87BCF"/>
    <w:rsid w:val="00D87CF8"/>
    <w:rsid w:val="00D92FED"/>
    <w:rsid w:val="00D9340F"/>
    <w:rsid w:val="00D9363C"/>
    <w:rsid w:val="00D94237"/>
    <w:rsid w:val="00D94EF3"/>
    <w:rsid w:val="00D952B0"/>
    <w:rsid w:val="00D95F4E"/>
    <w:rsid w:val="00D96AB6"/>
    <w:rsid w:val="00DA1EA4"/>
    <w:rsid w:val="00DA2544"/>
    <w:rsid w:val="00DA2C4D"/>
    <w:rsid w:val="00DA2C68"/>
    <w:rsid w:val="00DA2C6E"/>
    <w:rsid w:val="00DA2F03"/>
    <w:rsid w:val="00DA3D1D"/>
    <w:rsid w:val="00DA5804"/>
    <w:rsid w:val="00DA59B9"/>
    <w:rsid w:val="00DB0407"/>
    <w:rsid w:val="00DB1026"/>
    <w:rsid w:val="00DB1C31"/>
    <w:rsid w:val="00DB233F"/>
    <w:rsid w:val="00DB24DB"/>
    <w:rsid w:val="00DB2A12"/>
    <w:rsid w:val="00DB45E5"/>
    <w:rsid w:val="00DB4B8A"/>
    <w:rsid w:val="00DB4D3E"/>
    <w:rsid w:val="00DB5B52"/>
    <w:rsid w:val="00DB6286"/>
    <w:rsid w:val="00DB645F"/>
    <w:rsid w:val="00DB76E9"/>
    <w:rsid w:val="00DB7C3B"/>
    <w:rsid w:val="00DC0A67"/>
    <w:rsid w:val="00DC0B03"/>
    <w:rsid w:val="00DC0BC8"/>
    <w:rsid w:val="00DC1791"/>
    <w:rsid w:val="00DC1C31"/>
    <w:rsid w:val="00DC1D5E"/>
    <w:rsid w:val="00DC4E4A"/>
    <w:rsid w:val="00DC50B6"/>
    <w:rsid w:val="00DC5220"/>
    <w:rsid w:val="00DC62A1"/>
    <w:rsid w:val="00DC732A"/>
    <w:rsid w:val="00DD0481"/>
    <w:rsid w:val="00DD19EA"/>
    <w:rsid w:val="00DD2061"/>
    <w:rsid w:val="00DD2866"/>
    <w:rsid w:val="00DD34BA"/>
    <w:rsid w:val="00DD3C12"/>
    <w:rsid w:val="00DD6630"/>
    <w:rsid w:val="00DD694E"/>
    <w:rsid w:val="00DD6BF3"/>
    <w:rsid w:val="00DD7C3F"/>
    <w:rsid w:val="00DD7DAB"/>
    <w:rsid w:val="00DE0B81"/>
    <w:rsid w:val="00DE190E"/>
    <w:rsid w:val="00DE1F6A"/>
    <w:rsid w:val="00DE3355"/>
    <w:rsid w:val="00DE37F4"/>
    <w:rsid w:val="00DE42F2"/>
    <w:rsid w:val="00DE4B82"/>
    <w:rsid w:val="00DE4C22"/>
    <w:rsid w:val="00DE5B8C"/>
    <w:rsid w:val="00DE67EE"/>
    <w:rsid w:val="00DF0099"/>
    <w:rsid w:val="00DF0248"/>
    <w:rsid w:val="00DF0C60"/>
    <w:rsid w:val="00DF1B77"/>
    <w:rsid w:val="00DF1EA0"/>
    <w:rsid w:val="00DF2AE7"/>
    <w:rsid w:val="00DF376F"/>
    <w:rsid w:val="00DF486F"/>
    <w:rsid w:val="00DF5B5B"/>
    <w:rsid w:val="00DF7619"/>
    <w:rsid w:val="00E0276F"/>
    <w:rsid w:val="00E02B1D"/>
    <w:rsid w:val="00E0327C"/>
    <w:rsid w:val="00E042D8"/>
    <w:rsid w:val="00E06206"/>
    <w:rsid w:val="00E06A16"/>
    <w:rsid w:val="00E07E96"/>
    <w:rsid w:val="00E07EE7"/>
    <w:rsid w:val="00E07FEE"/>
    <w:rsid w:val="00E1061A"/>
    <w:rsid w:val="00E10BEB"/>
    <w:rsid w:val="00E1103B"/>
    <w:rsid w:val="00E11106"/>
    <w:rsid w:val="00E11520"/>
    <w:rsid w:val="00E11758"/>
    <w:rsid w:val="00E122C5"/>
    <w:rsid w:val="00E12A28"/>
    <w:rsid w:val="00E139B7"/>
    <w:rsid w:val="00E155A8"/>
    <w:rsid w:val="00E164A5"/>
    <w:rsid w:val="00E16C24"/>
    <w:rsid w:val="00E17B44"/>
    <w:rsid w:val="00E17BD5"/>
    <w:rsid w:val="00E205CA"/>
    <w:rsid w:val="00E20F27"/>
    <w:rsid w:val="00E22443"/>
    <w:rsid w:val="00E22CCF"/>
    <w:rsid w:val="00E25B1F"/>
    <w:rsid w:val="00E25B9A"/>
    <w:rsid w:val="00E26911"/>
    <w:rsid w:val="00E27441"/>
    <w:rsid w:val="00E27FEA"/>
    <w:rsid w:val="00E30972"/>
    <w:rsid w:val="00E31E83"/>
    <w:rsid w:val="00E32412"/>
    <w:rsid w:val="00E33A54"/>
    <w:rsid w:val="00E36BA6"/>
    <w:rsid w:val="00E4086F"/>
    <w:rsid w:val="00E424F4"/>
    <w:rsid w:val="00E42BCE"/>
    <w:rsid w:val="00E4345D"/>
    <w:rsid w:val="00E43B3C"/>
    <w:rsid w:val="00E467E9"/>
    <w:rsid w:val="00E47608"/>
    <w:rsid w:val="00E50188"/>
    <w:rsid w:val="00E50BB3"/>
    <w:rsid w:val="00E50E92"/>
    <w:rsid w:val="00E515CB"/>
    <w:rsid w:val="00E52260"/>
    <w:rsid w:val="00E53464"/>
    <w:rsid w:val="00E53490"/>
    <w:rsid w:val="00E53B6D"/>
    <w:rsid w:val="00E5631D"/>
    <w:rsid w:val="00E60B45"/>
    <w:rsid w:val="00E618E5"/>
    <w:rsid w:val="00E62F2F"/>
    <w:rsid w:val="00E634BF"/>
    <w:rsid w:val="00E639B6"/>
    <w:rsid w:val="00E6434B"/>
    <w:rsid w:val="00E6463D"/>
    <w:rsid w:val="00E647BF"/>
    <w:rsid w:val="00E64F2E"/>
    <w:rsid w:val="00E66D4A"/>
    <w:rsid w:val="00E701BD"/>
    <w:rsid w:val="00E70451"/>
    <w:rsid w:val="00E70D78"/>
    <w:rsid w:val="00E720F9"/>
    <w:rsid w:val="00E72E9B"/>
    <w:rsid w:val="00E73EDD"/>
    <w:rsid w:val="00E753ED"/>
    <w:rsid w:val="00E77B85"/>
    <w:rsid w:val="00E80D85"/>
    <w:rsid w:val="00E81859"/>
    <w:rsid w:val="00E81E85"/>
    <w:rsid w:val="00E8263A"/>
    <w:rsid w:val="00E8267D"/>
    <w:rsid w:val="00E8332C"/>
    <w:rsid w:val="00E83495"/>
    <w:rsid w:val="00E84CCD"/>
    <w:rsid w:val="00E850C3"/>
    <w:rsid w:val="00E85664"/>
    <w:rsid w:val="00E860E5"/>
    <w:rsid w:val="00E86168"/>
    <w:rsid w:val="00E87D00"/>
    <w:rsid w:val="00E87DF2"/>
    <w:rsid w:val="00E91496"/>
    <w:rsid w:val="00E91BE8"/>
    <w:rsid w:val="00E91D78"/>
    <w:rsid w:val="00E92C08"/>
    <w:rsid w:val="00E93F58"/>
    <w:rsid w:val="00E9462E"/>
    <w:rsid w:val="00E96AA9"/>
    <w:rsid w:val="00E96FFD"/>
    <w:rsid w:val="00EA084B"/>
    <w:rsid w:val="00EA26D0"/>
    <w:rsid w:val="00EA276A"/>
    <w:rsid w:val="00EA37EC"/>
    <w:rsid w:val="00EA38F0"/>
    <w:rsid w:val="00EA470E"/>
    <w:rsid w:val="00EA47A7"/>
    <w:rsid w:val="00EA47CD"/>
    <w:rsid w:val="00EA57EB"/>
    <w:rsid w:val="00EA70FA"/>
    <w:rsid w:val="00EA76DA"/>
    <w:rsid w:val="00EA7C80"/>
    <w:rsid w:val="00EB2777"/>
    <w:rsid w:val="00EB3226"/>
    <w:rsid w:val="00EB3BFA"/>
    <w:rsid w:val="00EB59BC"/>
    <w:rsid w:val="00EB6B3A"/>
    <w:rsid w:val="00EC0222"/>
    <w:rsid w:val="00EC14A8"/>
    <w:rsid w:val="00EC213A"/>
    <w:rsid w:val="00EC676A"/>
    <w:rsid w:val="00EC7744"/>
    <w:rsid w:val="00EC77A7"/>
    <w:rsid w:val="00EC7FE5"/>
    <w:rsid w:val="00ED019E"/>
    <w:rsid w:val="00ED0693"/>
    <w:rsid w:val="00ED0DAD"/>
    <w:rsid w:val="00ED0F46"/>
    <w:rsid w:val="00ED110C"/>
    <w:rsid w:val="00ED228F"/>
    <w:rsid w:val="00ED2373"/>
    <w:rsid w:val="00ED3372"/>
    <w:rsid w:val="00ED5097"/>
    <w:rsid w:val="00ED61DB"/>
    <w:rsid w:val="00EE06EE"/>
    <w:rsid w:val="00EE1E67"/>
    <w:rsid w:val="00EE29F3"/>
    <w:rsid w:val="00EE3414"/>
    <w:rsid w:val="00EE3A7B"/>
    <w:rsid w:val="00EE3E8A"/>
    <w:rsid w:val="00EE4F3E"/>
    <w:rsid w:val="00EE6277"/>
    <w:rsid w:val="00EE71EF"/>
    <w:rsid w:val="00EE763E"/>
    <w:rsid w:val="00EF2EE6"/>
    <w:rsid w:val="00EF3551"/>
    <w:rsid w:val="00EF5654"/>
    <w:rsid w:val="00EF58B8"/>
    <w:rsid w:val="00EF6BCA"/>
    <w:rsid w:val="00EF6E28"/>
    <w:rsid w:val="00EF6ECA"/>
    <w:rsid w:val="00EF70C5"/>
    <w:rsid w:val="00EF7BFF"/>
    <w:rsid w:val="00F00192"/>
    <w:rsid w:val="00F00DA6"/>
    <w:rsid w:val="00F024E1"/>
    <w:rsid w:val="00F02AD5"/>
    <w:rsid w:val="00F02DB7"/>
    <w:rsid w:val="00F05606"/>
    <w:rsid w:val="00F05C73"/>
    <w:rsid w:val="00F05C74"/>
    <w:rsid w:val="00F06C10"/>
    <w:rsid w:val="00F07661"/>
    <w:rsid w:val="00F10677"/>
    <w:rsid w:val="00F1096F"/>
    <w:rsid w:val="00F10C60"/>
    <w:rsid w:val="00F11FA3"/>
    <w:rsid w:val="00F12201"/>
    <w:rsid w:val="00F12589"/>
    <w:rsid w:val="00F12595"/>
    <w:rsid w:val="00F134D9"/>
    <w:rsid w:val="00F1403D"/>
    <w:rsid w:val="00F1463F"/>
    <w:rsid w:val="00F15392"/>
    <w:rsid w:val="00F15A8C"/>
    <w:rsid w:val="00F16751"/>
    <w:rsid w:val="00F16EA3"/>
    <w:rsid w:val="00F20309"/>
    <w:rsid w:val="00F2066C"/>
    <w:rsid w:val="00F21302"/>
    <w:rsid w:val="00F2138E"/>
    <w:rsid w:val="00F214F1"/>
    <w:rsid w:val="00F230A7"/>
    <w:rsid w:val="00F234B9"/>
    <w:rsid w:val="00F2430D"/>
    <w:rsid w:val="00F25491"/>
    <w:rsid w:val="00F27D4B"/>
    <w:rsid w:val="00F31F14"/>
    <w:rsid w:val="00F321DE"/>
    <w:rsid w:val="00F33777"/>
    <w:rsid w:val="00F34205"/>
    <w:rsid w:val="00F3563D"/>
    <w:rsid w:val="00F358D3"/>
    <w:rsid w:val="00F36CD0"/>
    <w:rsid w:val="00F37FAF"/>
    <w:rsid w:val="00F40648"/>
    <w:rsid w:val="00F4190B"/>
    <w:rsid w:val="00F4233C"/>
    <w:rsid w:val="00F434A4"/>
    <w:rsid w:val="00F43D42"/>
    <w:rsid w:val="00F45C23"/>
    <w:rsid w:val="00F45FF4"/>
    <w:rsid w:val="00F4619F"/>
    <w:rsid w:val="00F47DA2"/>
    <w:rsid w:val="00F50EBC"/>
    <w:rsid w:val="00F519FC"/>
    <w:rsid w:val="00F537A4"/>
    <w:rsid w:val="00F53B41"/>
    <w:rsid w:val="00F547FB"/>
    <w:rsid w:val="00F54CFD"/>
    <w:rsid w:val="00F55A80"/>
    <w:rsid w:val="00F5649C"/>
    <w:rsid w:val="00F57030"/>
    <w:rsid w:val="00F5721A"/>
    <w:rsid w:val="00F61C1A"/>
    <w:rsid w:val="00F6239D"/>
    <w:rsid w:val="00F62899"/>
    <w:rsid w:val="00F65CA1"/>
    <w:rsid w:val="00F65EFB"/>
    <w:rsid w:val="00F675E7"/>
    <w:rsid w:val="00F704EA"/>
    <w:rsid w:val="00F70652"/>
    <w:rsid w:val="00F7123F"/>
    <w:rsid w:val="00F715D2"/>
    <w:rsid w:val="00F7274F"/>
    <w:rsid w:val="00F72E08"/>
    <w:rsid w:val="00F72E2D"/>
    <w:rsid w:val="00F7327B"/>
    <w:rsid w:val="00F74E84"/>
    <w:rsid w:val="00F75B6D"/>
    <w:rsid w:val="00F76141"/>
    <w:rsid w:val="00F764AD"/>
    <w:rsid w:val="00F76974"/>
    <w:rsid w:val="00F76F19"/>
    <w:rsid w:val="00F76FA8"/>
    <w:rsid w:val="00F77356"/>
    <w:rsid w:val="00F802A5"/>
    <w:rsid w:val="00F8099D"/>
    <w:rsid w:val="00F810FC"/>
    <w:rsid w:val="00F81109"/>
    <w:rsid w:val="00F81793"/>
    <w:rsid w:val="00F81DE6"/>
    <w:rsid w:val="00F82181"/>
    <w:rsid w:val="00F835B4"/>
    <w:rsid w:val="00F84350"/>
    <w:rsid w:val="00F84DDE"/>
    <w:rsid w:val="00F86A3D"/>
    <w:rsid w:val="00F87717"/>
    <w:rsid w:val="00F87FDD"/>
    <w:rsid w:val="00F91431"/>
    <w:rsid w:val="00F934C3"/>
    <w:rsid w:val="00F93F08"/>
    <w:rsid w:val="00F9439C"/>
    <w:rsid w:val="00F94496"/>
    <w:rsid w:val="00F94A1F"/>
    <w:rsid w:val="00F94CED"/>
    <w:rsid w:val="00F96CBB"/>
    <w:rsid w:val="00FA02BB"/>
    <w:rsid w:val="00FA0FD3"/>
    <w:rsid w:val="00FA1888"/>
    <w:rsid w:val="00FA2018"/>
    <w:rsid w:val="00FA205C"/>
    <w:rsid w:val="00FA2CEE"/>
    <w:rsid w:val="00FA2D49"/>
    <w:rsid w:val="00FA318C"/>
    <w:rsid w:val="00FA3789"/>
    <w:rsid w:val="00FA3F05"/>
    <w:rsid w:val="00FA5836"/>
    <w:rsid w:val="00FA6C98"/>
    <w:rsid w:val="00FB09B3"/>
    <w:rsid w:val="00FB1532"/>
    <w:rsid w:val="00FB1793"/>
    <w:rsid w:val="00FB1BBD"/>
    <w:rsid w:val="00FB21C5"/>
    <w:rsid w:val="00FB266B"/>
    <w:rsid w:val="00FB2B1E"/>
    <w:rsid w:val="00FB301A"/>
    <w:rsid w:val="00FB4789"/>
    <w:rsid w:val="00FB6F92"/>
    <w:rsid w:val="00FB76C0"/>
    <w:rsid w:val="00FC026E"/>
    <w:rsid w:val="00FC159A"/>
    <w:rsid w:val="00FC1ECC"/>
    <w:rsid w:val="00FC1F84"/>
    <w:rsid w:val="00FC2809"/>
    <w:rsid w:val="00FC3D53"/>
    <w:rsid w:val="00FC4772"/>
    <w:rsid w:val="00FC50E8"/>
    <w:rsid w:val="00FC5124"/>
    <w:rsid w:val="00FC667C"/>
    <w:rsid w:val="00FC752B"/>
    <w:rsid w:val="00FD004D"/>
    <w:rsid w:val="00FD02F3"/>
    <w:rsid w:val="00FD14E6"/>
    <w:rsid w:val="00FD2C7A"/>
    <w:rsid w:val="00FD41D3"/>
    <w:rsid w:val="00FD4731"/>
    <w:rsid w:val="00FD5C6E"/>
    <w:rsid w:val="00FD6768"/>
    <w:rsid w:val="00FD6BAD"/>
    <w:rsid w:val="00FD77F1"/>
    <w:rsid w:val="00FE0C47"/>
    <w:rsid w:val="00FE2C1C"/>
    <w:rsid w:val="00FE30FD"/>
    <w:rsid w:val="00FE31D9"/>
    <w:rsid w:val="00FE6417"/>
    <w:rsid w:val="00FE685B"/>
    <w:rsid w:val="00FE6A93"/>
    <w:rsid w:val="00FE6AEF"/>
    <w:rsid w:val="00FF044F"/>
    <w:rsid w:val="00FF0642"/>
    <w:rsid w:val="00FF0804"/>
    <w:rsid w:val="00FF0AB0"/>
    <w:rsid w:val="00FF1950"/>
    <w:rsid w:val="00FF2688"/>
    <w:rsid w:val="00FF26A8"/>
    <w:rsid w:val="00FF28AC"/>
    <w:rsid w:val="00FF314B"/>
    <w:rsid w:val="00FF71B2"/>
    <w:rsid w:val="00FF777D"/>
    <w:rsid w:val="00FF7F62"/>
    <w:rsid w:val="0115F26C"/>
    <w:rsid w:val="01811EFE"/>
    <w:rsid w:val="01820E50"/>
    <w:rsid w:val="01B09679"/>
    <w:rsid w:val="02030433"/>
    <w:rsid w:val="0347351D"/>
    <w:rsid w:val="03ED6E47"/>
    <w:rsid w:val="03F6E1C1"/>
    <w:rsid w:val="0439642A"/>
    <w:rsid w:val="05CF6A31"/>
    <w:rsid w:val="06461E38"/>
    <w:rsid w:val="067A83B8"/>
    <w:rsid w:val="070C29DC"/>
    <w:rsid w:val="075C9D34"/>
    <w:rsid w:val="075CE6ED"/>
    <w:rsid w:val="0769A260"/>
    <w:rsid w:val="09152D12"/>
    <w:rsid w:val="09976B79"/>
    <w:rsid w:val="0A28C3D5"/>
    <w:rsid w:val="0A7EA22F"/>
    <w:rsid w:val="0AA5A9EA"/>
    <w:rsid w:val="0AA86E33"/>
    <w:rsid w:val="0ADE4FFD"/>
    <w:rsid w:val="0B4E34FD"/>
    <w:rsid w:val="0B566B8B"/>
    <w:rsid w:val="0BD3A4C4"/>
    <w:rsid w:val="0C191B93"/>
    <w:rsid w:val="0CAAC2C0"/>
    <w:rsid w:val="0CD40DCD"/>
    <w:rsid w:val="0CF265E5"/>
    <w:rsid w:val="0D07C535"/>
    <w:rsid w:val="0D62D673"/>
    <w:rsid w:val="0D7DCCB1"/>
    <w:rsid w:val="0DB9CC85"/>
    <w:rsid w:val="0E4F27CB"/>
    <w:rsid w:val="0ED93E48"/>
    <w:rsid w:val="0F60FC5C"/>
    <w:rsid w:val="107731E2"/>
    <w:rsid w:val="108D051E"/>
    <w:rsid w:val="10F6B90A"/>
    <w:rsid w:val="130590EA"/>
    <w:rsid w:val="13295296"/>
    <w:rsid w:val="134A87B8"/>
    <w:rsid w:val="13E4E92D"/>
    <w:rsid w:val="15226FA5"/>
    <w:rsid w:val="1569EB77"/>
    <w:rsid w:val="158B5544"/>
    <w:rsid w:val="15C5BBC6"/>
    <w:rsid w:val="15FE6ED7"/>
    <w:rsid w:val="1642F346"/>
    <w:rsid w:val="1662FCD6"/>
    <w:rsid w:val="17082A13"/>
    <w:rsid w:val="17689D3F"/>
    <w:rsid w:val="17CC3415"/>
    <w:rsid w:val="182FD6E1"/>
    <w:rsid w:val="18708DDB"/>
    <w:rsid w:val="18EFD3A0"/>
    <w:rsid w:val="1962A107"/>
    <w:rsid w:val="1ABAE9E1"/>
    <w:rsid w:val="1B261E04"/>
    <w:rsid w:val="1BC4D34D"/>
    <w:rsid w:val="1D228DCE"/>
    <w:rsid w:val="1D6382F6"/>
    <w:rsid w:val="1E5D0955"/>
    <w:rsid w:val="1E7EA4BD"/>
    <w:rsid w:val="1E9C3D82"/>
    <w:rsid w:val="1F0DCA4C"/>
    <w:rsid w:val="1F76F578"/>
    <w:rsid w:val="208736BE"/>
    <w:rsid w:val="20BB093B"/>
    <w:rsid w:val="20E1792B"/>
    <w:rsid w:val="21000CED"/>
    <w:rsid w:val="21525A1E"/>
    <w:rsid w:val="228DE4F6"/>
    <w:rsid w:val="2299CC7B"/>
    <w:rsid w:val="24237CC6"/>
    <w:rsid w:val="245903F0"/>
    <w:rsid w:val="2494A4BE"/>
    <w:rsid w:val="24ED6E2D"/>
    <w:rsid w:val="24FE718F"/>
    <w:rsid w:val="25493BC5"/>
    <w:rsid w:val="25AE789B"/>
    <w:rsid w:val="25B73B82"/>
    <w:rsid w:val="25B7430C"/>
    <w:rsid w:val="25C94FD5"/>
    <w:rsid w:val="25CA6345"/>
    <w:rsid w:val="26013D16"/>
    <w:rsid w:val="26391A02"/>
    <w:rsid w:val="2682A01C"/>
    <w:rsid w:val="26DB0C27"/>
    <w:rsid w:val="27793009"/>
    <w:rsid w:val="2848BA80"/>
    <w:rsid w:val="2876383C"/>
    <w:rsid w:val="2894862C"/>
    <w:rsid w:val="28EF6D7E"/>
    <w:rsid w:val="29E29F7E"/>
    <w:rsid w:val="2A07CA1C"/>
    <w:rsid w:val="2A0FD21A"/>
    <w:rsid w:val="2A4F7B71"/>
    <w:rsid w:val="2B49D555"/>
    <w:rsid w:val="2B63E341"/>
    <w:rsid w:val="2B73A03E"/>
    <w:rsid w:val="2C4FA080"/>
    <w:rsid w:val="2CCA8142"/>
    <w:rsid w:val="2D0B18B7"/>
    <w:rsid w:val="2DA355EC"/>
    <w:rsid w:val="2DE2970C"/>
    <w:rsid w:val="2FD13D26"/>
    <w:rsid w:val="307B31EC"/>
    <w:rsid w:val="30AA8CFB"/>
    <w:rsid w:val="30AD4D21"/>
    <w:rsid w:val="30B5ED5E"/>
    <w:rsid w:val="3136642F"/>
    <w:rsid w:val="315B17C1"/>
    <w:rsid w:val="32990205"/>
    <w:rsid w:val="3331852E"/>
    <w:rsid w:val="3385A2D7"/>
    <w:rsid w:val="33F9FDBF"/>
    <w:rsid w:val="33FC017B"/>
    <w:rsid w:val="343F907F"/>
    <w:rsid w:val="349E3955"/>
    <w:rsid w:val="34B9301C"/>
    <w:rsid w:val="34C77CF9"/>
    <w:rsid w:val="3500C91D"/>
    <w:rsid w:val="355B473B"/>
    <w:rsid w:val="358AA7C6"/>
    <w:rsid w:val="35E9E41F"/>
    <w:rsid w:val="3651F1DE"/>
    <w:rsid w:val="36B77A4A"/>
    <w:rsid w:val="37EAE0E6"/>
    <w:rsid w:val="3802A1CD"/>
    <w:rsid w:val="38CA05DA"/>
    <w:rsid w:val="395688BE"/>
    <w:rsid w:val="39A2F526"/>
    <w:rsid w:val="3A5CA3EB"/>
    <w:rsid w:val="3C90D8A9"/>
    <w:rsid w:val="3CC90EAC"/>
    <w:rsid w:val="3D96DD53"/>
    <w:rsid w:val="3DDE68F1"/>
    <w:rsid w:val="3E54FD96"/>
    <w:rsid w:val="3ED3220E"/>
    <w:rsid w:val="3EE3CBB8"/>
    <w:rsid w:val="400C7C79"/>
    <w:rsid w:val="4024F981"/>
    <w:rsid w:val="40FA249A"/>
    <w:rsid w:val="416343DB"/>
    <w:rsid w:val="41EE96BC"/>
    <w:rsid w:val="426C2A71"/>
    <w:rsid w:val="4282C602"/>
    <w:rsid w:val="42EBC9DB"/>
    <w:rsid w:val="4304B5AF"/>
    <w:rsid w:val="434824E0"/>
    <w:rsid w:val="43C5E67A"/>
    <w:rsid w:val="43E965F9"/>
    <w:rsid w:val="43EA7666"/>
    <w:rsid w:val="43F169E5"/>
    <w:rsid w:val="43F8618A"/>
    <w:rsid w:val="4467412A"/>
    <w:rsid w:val="452D2170"/>
    <w:rsid w:val="4535B565"/>
    <w:rsid w:val="46ECA19F"/>
    <w:rsid w:val="4780CD0A"/>
    <w:rsid w:val="482C1C66"/>
    <w:rsid w:val="484612D4"/>
    <w:rsid w:val="4869F26B"/>
    <w:rsid w:val="486F29CC"/>
    <w:rsid w:val="4894E88D"/>
    <w:rsid w:val="48A248D0"/>
    <w:rsid w:val="492D3961"/>
    <w:rsid w:val="49341150"/>
    <w:rsid w:val="4988D2F6"/>
    <w:rsid w:val="499061FB"/>
    <w:rsid w:val="49B1D5E6"/>
    <w:rsid w:val="4A013F1C"/>
    <w:rsid w:val="4A2BE324"/>
    <w:rsid w:val="4A8B6E8C"/>
    <w:rsid w:val="4ACFDFB5"/>
    <w:rsid w:val="4AEF3677"/>
    <w:rsid w:val="4B57A9BC"/>
    <w:rsid w:val="4B8ED20D"/>
    <w:rsid w:val="4C43186C"/>
    <w:rsid w:val="4C972966"/>
    <w:rsid w:val="4CABFF28"/>
    <w:rsid w:val="4DA7886C"/>
    <w:rsid w:val="4DEAA5FF"/>
    <w:rsid w:val="4E3D9AD9"/>
    <w:rsid w:val="4E7B6A4E"/>
    <w:rsid w:val="4E8AAA5E"/>
    <w:rsid w:val="4EBFEE8E"/>
    <w:rsid w:val="4F04F67C"/>
    <w:rsid w:val="4F3C735D"/>
    <w:rsid w:val="4F77B65D"/>
    <w:rsid w:val="502E683E"/>
    <w:rsid w:val="504D9E0F"/>
    <w:rsid w:val="50C5E128"/>
    <w:rsid w:val="51107081"/>
    <w:rsid w:val="5137848C"/>
    <w:rsid w:val="51AEA44D"/>
    <w:rsid w:val="51CF1F02"/>
    <w:rsid w:val="51D071BF"/>
    <w:rsid w:val="52A68681"/>
    <w:rsid w:val="52B21C8D"/>
    <w:rsid w:val="52D5B445"/>
    <w:rsid w:val="535E6E63"/>
    <w:rsid w:val="565339CC"/>
    <w:rsid w:val="572995CD"/>
    <w:rsid w:val="5770FABA"/>
    <w:rsid w:val="5873665D"/>
    <w:rsid w:val="58BB120D"/>
    <w:rsid w:val="598F85BD"/>
    <w:rsid w:val="59947021"/>
    <w:rsid w:val="59B8E111"/>
    <w:rsid w:val="5A7AD048"/>
    <w:rsid w:val="5A9B0A45"/>
    <w:rsid w:val="5B722F03"/>
    <w:rsid w:val="5BE2A7DD"/>
    <w:rsid w:val="5C814606"/>
    <w:rsid w:val="5C928516"/>
    <w:rsid w:val="5CFE9408"/>
    <w:rsid w:val="5D1F0712"/>
    <w:rsid w:val="5DE78C2E"/>
    <w:rsid w:val="5EABD9FC"/>
    <w:rsid w:val="5F143B2B"/>
    <w:rsid w:val="5F143EB8"/>
    <w:rsid w:val="5FC2FCD4"/>
    <w:rsid w:val="60A02477"/>
    <w:rsid w:val="6100FB61"/>
    <w:rsid w:val="61E25880"/>
    <w:rsid w:val="62097AEF"/>
    <w:rsid w:val="6216A4B2"/>
    <w:rsid w:val="621C9981"/>
    <w:rsid w:val="62CFF469"/>
    <w:rsid w:val="63B41D52"/>
    <w:rsid w:val="63BFF8AE"/>
    <w:rsid w:val="63C14BC2"/>
    <w:rsid w:val="63FE8F7B"/>
    <w:rsid w:val="658AAAB2"/>
    <w:rsid w:val="65ED8BFF"/>
    <w:rsid w:val="6734BF06"/>
    <w:rsid w:val="676AE13C"/>
    <w:rsid w:val="67D5B680"/>
    <w:rsid w:val="686269EC"/>
    <w:rsid w:val="68B75E23"/>
    <w:rsid w:val="6968B8A0"/>
    <w:rsid w:val="69C0F9EA"/>
    <w:rsid w:val="69CFC175"/>
    <w:rsid w:val="6A496E0B"/>
    <w:rsid w:val="6B23AE06"/>
    <w:rsid w:val="6B2C2EE1"/>
    <w:rsid w:val="6B327172"/>
    <w:rsid w:val="6B52C2F4"/>
    <w:rsid w:val="6B52E292"/>
    <w:rsid w:val="6B6BDAF2"/>
    <w:rsid w:val="6C1CAA7A"/>
    <w:rsid w:val="6C551C99"/>
    <w:rsid w:val="6C669F5B"/>
    <w:rsid w:val="6CB9E8F7"/>
    <w:rsid w:val="6CE7DFF2"/>
    <w:rsid w:val="6CFFC3D0"/>
    <w:rsid w:val="6D78469D"/>
    <w:rsid w:val="6DB22137"/>
    <w:rsid w:val="6DE9A9F2"/>
    <w:rsid w:val="6E340168"/>
    <w:rsid w:val="6F875FAF"/>
    <w:rsid w:val="71AD128B"/>
    <w:rsid w:val="71E25E86"/>
    <w:rsid w:val="720FB4FC"/>
    <w:rsid w:val="7213993F"/>
    <w:rsid w:val="7251CD2D"/>
    <w:rsid w:val="72DE665A"/>
    <w:rsid w:val="731FB9A7"/>
    <w:rsid w:val="732D7F29"/>
    <w:rsid w:val="75254BBC"/>
    <w:rsid w:val="757B6C1F"/>
    <w:rsid w:val="764DC5EB"/>
    <w:rsid w:val="764FE8FB"/>
    <w:rsid w:val="76844AE2"/>
    <w:rsid w:val="769FC926"/>
    <w:rsid w:val="76D22A8D"/>
    <w:rsid w:val="775D95E7"/>
    <w:rsid w:val="77811FD9"/>
    <w:rsid w:val="77B9725E"/>
    <w:rsid w:val="77BB74BF"/>
    <w:rsid w:val="77C014AA"/>
    <w:rsid w:val="77CB503C"/>
    <w:rsid w:val="77DA0BA8"/>
    <w:rsid w:val="77EC112E"/>
    <w:rsid w:val="7802AAC8"/>
    <w:rsid w:val="7802E9B9"/>
    <w:rsid w:val="786A6952"/>
    <w:rsid w:val="78892B1A"/>
    <w:rsid w:val="78FA1800"/>
    <w:rsid w:val="792CC5B3"/>
    <w:rsid w:val="79813D53"/>
    <w:rsid w:val="7A299036"/>
    <w:rsid w:val="7A9A6B46"/>
    <w:rsid w:val="7B83920C"/>
    <w:rsid w:val="7B989D56"/>
    <w:rsid w:val="7BED3D44"/>
    <w:rsid w:val="7C0C7611"/>
    <w:rsid w:val="7C211061"/>
    <w:rsid w:val="7C517EE2"/>
    <w:rsid w:val="7C54A066"/>
    <w:rsid w:val="7C8D4E99"/>
    <w:rsid w:val="7CCF9203"/>
    <w:rsid w:val="7CD1283E"/>
    <w:rsid w:val="7D438FA8"/>
    <w:rsid w:val="7E24BD2C"/>
    <w:rsid w:val="7F51B576"/>
    <w:rsid w:val="7F5AD92F"/>
    <w:rsid w:val="7F9A304C"/>
    <w:rsid w:val="7F9B373D"/>
    <w:rsid w:val="7FAF16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47A75A88-1DF2-4825-989C-5F14833B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C1729"/>
    <w:rPr>
      <w:color w:val="605E5C"/>
      <w:shd w:val="clear" w:color="auto" w:fill="E1DFDD"/>
    </w:rPr>
  </w:style>
  <w:style w:type="character" w:styleId="CommentReference">
    <w:name w:val="annotation reference"/>
    <w:basedOn w:val="DefaultParagraphFont"/>
    <w:uiPriority w:val="99"/>
    <w:semiHidden/>
    <w:unhideWhenUsed/>
    <w:rsid w:val="00522556"/>
    <w:rPr>
      <w:sz w:val="16"/>
      <w:szCs w:val="16"/>
    </w:rPr>
  </w:style>
  <w:style w:type="paragraph" w:styleId="CommentText">
    <w:name w:val="annotation text"/>
    <w:basedOn w:val="Normal"/>
    <w:link w:val="CommentTextChar"/>
    <w:uiPriority w:val="99"/>
    <w:unhideWhenUsed/>
    <w:rsid w:val="00522556"/>
    <w:pPr>
      <w:spacing w:line="240" w:lineRule="auto"/>
    </w:pPr>
    <w:rPr>
      <w:sz w:val="20"/>
      <w:szCs w:val="20"/>
    </w:rPr>
  </w:style>
  <w:style w:type="character" w:customStyle="1" w:styleId="CommentTextChar">
    <w:name w:val="Comment Text Char"/>
    <w:basedOn w:val="DefaultParagraphFont"/>
    <w:link w:val="CommentText"/>
    <w:uiPriority w:val="99"/>
    <w:rsid w:val="0052255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22556"/>
    <w:rPr>
      <w:b/>
      <w:bCs/>
    </w:rPr>
  </w:style>
  <w:style w:type="character" w:customStyle="1" w:styleId="CommentSubjectChar">
    <w:name w:val="Comment Subject Char"/>
    <w:basedOn w:val="CommentTextChar"/>
    <w:link w:val="CommentSubject"/>
    <w:semiHidden/>
    <w:rsid w:val="00522556"/>
    <w:rPr>
      <w:rFonts w:ascii="Arial" w:hAnsi="Arial"/>
      <w:b/>
      <w:bCs/>
      <w:color w:val="000000" w:themeColor="text1"/>
      <w:lang w:eastAsia="en-US"/>
    </w:rPr>
  </w:style>
  <w:style w:type="paragraph" w:styleId="Revision">
    <w:name w:val="Revision"/>
    <w:hidden/>
    <w:uiPriority w:val="99"/>
    <w:semiHidden/>
    <w:rsid w:val="00522556"/>
    <w:rPr>
      <w:rFonts w:ascii="Arial" w:hAnsi="Arial"/>
      <w:color w:val="000000" w:themeColor="text1"/>
      <w:sz w:val="22"/>
      <w:szCs w:val="24"/>
      <w:lang w:eastAsia="en-US"/>
    </w:rPr>
  </w:style>
  <w:style w:type="character" w:customStyle="1" w:styleId="Heading3Char">
    <w:name w:val="Heading 3 Char"/>
    <w:basedOn w:val="DefaultParagraphFont"/>
    <w:link w:val="Heading3"/>
    <w:rsid w:val="00664AE2"/>
    <w:rPr>
      <w:rFonts w:ascii="Arial" w:hAnsi="Arial" w:cs="Arial"/>
      <w:b/>
      <w:bCs/>
      <w:color w:val="358189"/>
      <w:sz w:val="32"/>
      <w:szCs w:val="26"/>
      <w:lang w:eastAsia="en-US"/>
    </w:rPr>
  </w:style>
  <w:style w:type="character" w:styleId="FollowedHyperlink">
    <w:name w:val="FollowedHyperlink"/>
    <w:basedOn w:val="DefaultParagraphFont"/>
    <w:semiHidden/>
    <w:unhideWhenUsed/>
    <w:rsid w:val="00DB24DB"/>
    <w:rPr>
      <w:color w:val="800080" w:themeColor="followedHyperlink"/>
      <w:u w:val="single"/>
    </w:rPr>
  </w:style>
  <w:style w:type="paragraph" w:customStyle="1" w:styleId="NormalText">
    <w:name w:val="Normal Text"/>
    <w:basedOn w:val="Normal"/>
    <w:qFormat/>
    <w:rsid w:val="00F91431"/>
    <w:pPr>
      <w:spacing w:line="288" w:lineRule="auto"/>
    </w:pPr>
    <w:rPr>
      <w:rFonts w:cstheme="minorBidi"/>
      <w:szCs w:val="20"/>
      <w:shd w:val="clear" w:color="auto" w:fill="FFFFFF"/>
      <w:lang w:eastAsia="en-GB"/>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480508"/>
    <w:rPr>
      <w:rFonts w:ascii="Arial" w:hAnsi="Arial"/>
      <w:color w:val="000000" w:themeColor="text1"/>
      <w:sz w:val="22"/>
      <w:szCs w:val="24"/>
      <w:lang w:eastAsia="en-US"/>
    </w:rPr>
  </w:style>
  <w:style w:type="paragraph" w:styleId="EndnoteText">
    <w:name w:val="endnote text"/>
    <w:basedOn w:val="Normal"/>
    <w:link w:val="EndnoteTextChar"/>
    <w:semiHidden/>
    <w:unhideWhenUsed/>
    <w:rsid w:val="005519DA"/>
    <w:pPr>
      <w:spacing w:before="0" w:after="0" w:line="240" w:lineRule="auto"/>
    </w:pPr>
    <w:rPr>
      <w:sz w:val="20"/>
      <w:szCs w:val="20"/>
    </w:rPr>
  </w:style>
  <w:style w:type="character" w:customStyle="1" w:styleId="EndnoteTextChar">
    <w:name w:val="Endnote Text Char"/>
    <w:basedOn w:val="DefaultParagraphFont"/>
    <w:link w:val="EndnoteText"/>
    <w:semiHidden/>
    <w:rsid w:val="005519DA"/>
    <w:rPr>
      <w:rFonts w:ascii="Arial" w:hAnsi="Arial"/>
      <w:color w:val="000000" w:themeColor="text1"/>
      <w:lang w:eastAsia="en-US"/>
    </w:rPr>
  </w:style>
  <w:style w:type="character" w:styleId="EndnoteReference">
    <w:name w:val="endnote reference"/>
    <w:basedOn w:val="DefaultParagraphFont"/>
    <w:semiHidden/>
    <w:unhideWhenUsed/>
    <w:rsid w:val="005519DA"/>
    <w:rPr>
      <w:vertAlign w:val="superscript"/>
    </w:rPr>
  </w:style>
  <w:style w:type="character" w:styleId="Mention">
    <w:name w:val="Mention"/>
    <w:basedOn w:val="DefaultParagraphFont"/>
    <w:uiPriority w:val="99"/>
    <w:unhideWhenUsed/>
    <w:rsid w:val="00192572"/>
    <w:rPr>
      <w:color w:val="2B579A"/>
      <w:shd w:val="clear" w:color="auto" w:fill="E1DFDD"/>
    </w:rPr>
  </w:style>
  <w:style w:type="table" w:styleId="GridTable1Light-Accent1">
    <w:name w:val="Grid Table 1 Light Accent 1"/>
    <w:basedOn w:val="TableNormal"/>
    <w:uiPriority w:val="46"/>
    <w:rsid w:val="003E1529"/>
    <w:rPr>
      <w:rFonts w:asciiTheme="minorHAnsi" w:eastAsiaTheme="minorEastAsia" w:hAnsiTheme="minorHAnsi" w:cstheme="minorBidi"/>
      <w:sz w:val="24"/>
      <w:szCs w:val="24"/>
      <w:lang w:val="en-US" w:eastAsia="ja-JP"/>
    </w:rPr>
    <w:tblPr>
      <w:tblStyleRowBandSize w:val="1"/>
      <w:tblStyleColBandSize w:val="1"/>
      <w:tblBorders>
        <w:top w:val="single" w:sz="4" w:space="0" w:color="A9B1D0" w:themeColor="accent1" w:themeTint="66"/>
        <w:left w:val="single" w:sz="4" w:space="0" w:color="A9B1D0" w:themeColor="accent1" w:themeTint="66"/>
        <w:bottom w:val="single" w:sz="4" w:space="0" w:color="A9B1D0" w:themeColor="accent1" w:themeTint="66"/>
        <w:right w:val="single" w:sz="4" w:space="0" w:color="A9B1D0" w:themeColor="accent1" w:themeTint="66"/>
        <w:insideH w:val="single" w:sz="4" w:space="0" w:color="A9B1D0" w:themeColor="accent1" w:themeTint="66"/>
        <w:insideV w:val="single" w:sz="4" w:space="0" w:color="A9B1D0" w:themeColor="accent1" w:themeTint="66"/>
      </w:tblBorders>
    </w:tblPr>
    <w:tblStylePr w:type="firstRow">
      <w:rPr>
        <w:b/>
        <w:bCs/>
      </w:rPr>
      <w:tblPr/>
      <w:tcPr>
        <w:tcBorders>
          <w:bottom w:val="single" w:sz="12" w:space="0" w:color="7E8AB9" w:themeColor="accent1" w:themeTint="99"/>
        </w:tcBorders>
      </w:tcPr>
    </w:tblStylePr>
    <w:tblStylePr w:type="lastRow">
      <w:rPr>
        <w:b/>
        <w:bCs/>
      </w:rPr>
      <w:tblPr/>
      <w:tcPr>
        <w:tcBorders>
          <w:top w:val="double" w:sz="2" w:space="0" w:color="7E8AB9"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5C6E"/>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93DE7"/>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993DE7"/>
    <w:pPr>
      <w:spacing w:after="100"/>
    </w:pPr>
  </w:style>
  <w:style w:type="paragraph" w:styleId="TOC2">
    <w:name w:val="toc 2"/>
    <w:basedOn w:val="Normal"/>
    <w:next w:val="Normal"/>
    <w:autoRedefine/>
    <w:uiPriority w:val="39"/>
    <w:unhideWhenUsed/>
    <w:rsid w:val="00993DE7"/>
    <w:pPr>
      <w:spacing w:after="100"/>
      <w:ind w:left="220"/>
    </w:pPr>
  </w:style>
  <w:style w:type="paragraph" w:styleId="TOC3">
    <w:name w:val="toc 3"/>
    <w:basedOn w:val="Normal"/>
    <w:next w:val="Normal"/>
    <w:autoRedefine/>
    <w:uiPriority w:val="39"/>
    <w:unhideWhenUsed/>
    <w:rsid w:val="00993DE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7782">
      <w:bodyDiv w:val="1"/>
      <w:marLeft w:val="0"/>
      <w:marRight w:val="0"/>
      <w:marTop w:val="0"/>
      <w:marBottom w:val="0"/>
      <w:divBdr>
        <w:top w:val="none" w:sz="0" w:space="0" w:color="auto"/>
        <w:left w:val="none" w:sz="0" w:space="0" w:color="auto"/>
        <w:bottom w:val="none" w:sz="0" w:space="0" w:color="auto"/>
        <w:right w:val="none" w:sz="0" w:space="0" w:color="auto"/>
      </w:divBdr>
      <w:divsChild>
        <w:div w:id="472792150">
          <w:marLeft w:val="0"/>
          <w:marRight w:val="0"/>
          <w:marTop w:val="0"/>
          <w:marBottom w:val="0"/>
          <w:divBdr>
            <w:top w:val="none" w:sz="0" w:space="0" w:color="auto"/>
            <w:left w:val="none" w:sz="0" w:space="0" w:color="auto"/>
            <w:bottom w:val="none" w:sz="0" w:space="0" w:color="auto"/>
            <w:right w:val="none" w:sz="0" w:space="0" w:color="auto"/>
          </w:divBdr>
        </w:div>
        <w:div w:id="714700149">
          <w:marLeft w:val="0"/>
          <w:marRight w:val="0"/>
          <w:marTop w:val="0"/>
          <w:marBottom w:val="0"/>
          <w:divBdr>
            <w:top w:val="none" w:sz="0" w:space="0" w:color="auto"/>
            <w:left w:val="none" w:sz="0" w:space="0" w:color="auto"/>
            <w:bottom w:val="none" w:sz="0" w:space="0" w:color="auto"/>
            <w:right w:val="none" w:sz="0" w:space="0" w:color="auto"/>
          </w:divBdr>
        </w:div>
        <w:div w:id="825904021">
          <w:marLeft w:val="0"/>
          <w:marRight w:val="0"/>
          <w:marTop w:val="0"/>
          <w:marBottom w:val="0"/>
          <w:divBdr>
            <w:top w:val="none" w:sz="0" w:space="0" w:color="auto"/>
            <w:left w:val="none" w:sz="0" w:space="0" w:color="auto"/>
            <w:bottom w:val="none" w:sz="0" w:space="0" w:color="auto"/>
            <w:right w:val="none" w:sz="0" w:space="0" w:color="auto"/>
          </w:divBdr>
        </w:div>
        <w:div w:id="981421849">
          <w:marLeft w:val="0"/>
          <w:marRight w:val="0"/>
          <w:marTop w:val="0"/>
          <w:marBottom w:val="0"/>
          <w:divBdr>
            <w:top w:val="none" w:sz="0" w:space="0" w:color="auto"/>
            <w:left w:val="none" w:sz="0" w:space="0" w:color="auto"/>
            <w:bottom w:val="none" w:sz="0" w:space="0" w:color="auto"/>
            <w:right w:val="none" w:sz="0" w:space="0" w:color="auto"/>
          </w:divBdr>
        </w:div>
        <w:div w:id="1127352591">
          <w:marLeft w:val="0"/>
          <w:marRight w:val="0"/>
          <w:marTop w:val="0"/>
          <w:marBottom w:val="0"/>
          <w:divBdr>
            <w:top w:val="none" w:sz="0" w:space="0" w:color="auto"/>
            <w:left w:val="none" w:sz="0" w:space="0" w:color="auto"/>
            <w:bottom w:val="none" w:sz="0" w:space="0" w:color="auto"/>
            <w:right w:val="none" w:sz="0" w:space="0" w:color="auto"/>
          </w:divBdr>
        </w:div>
      </w:divsChild>
    </w:div>
    <w:div w:id="128668212">
      <w:bodyDiv w:val="1"/>
      <w:marLeft w:val="0"/>
      <w:marRight w:val="0"/>
      <w:marTop w:val="0"/>
      <w:marBottom w:val="0"/>
      <w:divBdr>
        <w:top w:val="none" w:sz="0" w:space="0" w:color="auto"/>
        <w:left w:val="none" w:sz="0" w:space="0" w:color="auto"/>
        <w:bottom w:val="none" w:sz="0" w:space="0" w:color="auto"/>
        <w:right w:val="none" w:sz="0" w:space="0" w:color="auto"/>
      </w:divBdr>
    </w:div>
    <w:div w:id="142086548">
      <w:bodyDiv w:val="1"/>
      <w:marLeft w:val="0"/>
      <w:marRight w:val="0"/>
      <w:marTop w:val="0"/>
      <w:marBottom w:val="0"/>
      <w:divBdr>
        <w:top w:val="none" w:sz="0" w:space="0" w:color="auto"/>
        <w:left w:val="none" w:sz="0" w:space="0" w:color="auto"/>
        <w:bottom w:val="none" w:sz="0" w:space="0" w:color="auto"/>
        <w:right w:val="none" w:sz="0" w:space="0" w:color="auto"/>
      </w:divBdr>
      <w:divsChild>
        <w:div w:id="1044913391">
          <w:marLeft w:val="0"/>
          <w:marRight w:val="0"/>
          <w:marTop w:val="0"/>
          <w:marBottom w:val="0"/>
          <w:divBdr>
            <w:top w:val="none" w:sz="0" w:space="0" w:color="auto"/>
            <w:left w:val="none" w:sz="0" w:space="0" w:color="auto"/>
            <w:bottom w:val="none" w:sz="0" w:space="0" w:color="auto"/>
            <w:right w:val="none" w:sz="0" w:space="0" w:color="auto"/>
          </w:divBdr>
        </w:div>
        <w:div w:id="2065785306">
          <w:marLeft w:val="0"/>
          <w:marRight w:val="0"/>
          <w:marTop w:val="0"/>
          <w:marBottom w:val="0"/>
          <w:divBdr>
            <w:top w:val="none" w:sz="0" w:space="0" w:color="auto"/>
            <w:left w:val="none" w:sz="0" w:space="0" w:color="auto"/>
            <w:bottom w:val="none" w:sz="0" w:space="0" w:color="auto"/>
            <w:right w:val="none" w:sz="0" w:space="0" w:color="auto"/>
          </w:divBdr>
        </w:div>
      </w:divsChild>
    </w:div>
    <w:div w:id="313682316">
      <w:bodyDiv w:val="1"/>
      <w:marLeft w:val="0"/>
      <w:marRight w:val="0"/>
      <w:marTop w:val="0"/>
      <w:marBottom w:val="0"/>
      <w:divBdr>
        <w:top w:val="none" w:sz="0" w:space="0" w:color="auto"/>
        <w:left w:val="none" w:sz="0" w:space="0" w:color="auto"/>
        <w:bottom w:val="none" w:sz="0" w:space="0" w:color="auto"/>
        <w:right w:val="none" w:sz="0" w:space="0" w:color="auto"/>
      </w:divBdr>
      <w:divsChild>
        <w:div w:id="49109729">
          <w:marLeft w:val="0"/>
          <w:marRight w:val="0"/>
          <w:marTop w:val="0"/>
          <w:marBottom w:val="0"/>
          <w:divBdr>
            <w:top w:val="none" w:sz="0" w:space="0" w:color="auto"/>
            <w:left w:val="none" w:sz="0" w:space="0" w:color="auto"/>
            <w:bottom w:val="none" w:sz="0" w:space="0" w:color="auto"/>
            <w:right w:val="none" w:sz="0" w:space="0" w:color="auto"/>
          </w:divBdr>
        </w:div>
        <w:div w:id="314452538">
          <w:marLeft w:val="0"/>
          <w:marRight w:val="0"/>
          <w:marTop w:val="0"/>
          <w:marBottom w:val="0"/>
          <w:divBdr>
            <w:top w:val="none" w:sz="0" w:space="0" w:color="auto"/>
            <w:left w:val="none" w:sz="0" w:space="0" w:color="auto"/>
            <w:bottom w:val="none" w:sz="0" w:space="0" w:color="auto"/>
            <w:right w:val="none" w:sz="0" w:space="0" w:color="auto"/>
          </w:divBdr>
        </w:div>
        <w:div w:id="1241719904">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5476394">
      <w:bodyDiv w:val="1"/>
      <w:marLeft w:val="0"/>
      <w:marRight w:val="0"/>
      <w:marTop w:val="0"/>
      <w:marBottom w:val="0"/>
      <w:divBdr>
        <w:top w:val="none" w:sz="0" w:space="0" w:color="auto"/>
        <w:left w:val="none" w:sz="0" w:space="0" w:color="auto"/>
        <w:bottom w:val="none" w:sz="0" w:space="0" w:color="auto"/>
        <w:right w:val="none" w:sz="0" w:space="0" w:color="auto"/>
      </w:divBdr>
    </w:div>
    <w:div w:id="429203248">
      <w:bodyDiv w:val="1"/>
      <w:marLeft w:val="0"/>
      <w:marRight w:val="0"/>
      <w:marTop w:val="0"/>
      <w:marBottom w:val="0"/>
      <w:divBdr>
        <w:top w:val="none" w:sz="0" w:space="0" w:color="auto"/>
        <w:left w:val="none" w:sz="0" w:space="0" w:color="auto"/>
        <w:bottom w:val="none" w:sz="0" w:space="0" w:color="auto"/>
        <w:right w:val="none" w:sz="0" w:space="0" w:color="auto"/>
      </w:divBdr>
      <w:divsChild>
        <w:div w:id="940912122">
          <w:marLeft w:val="0"/>
          <w:marRight w:val="0"/>
          <w:marTop w:val="0"/>
          <w:marBottom w:val="0"/>
          <w:divBdr>
            <w:top w:val="none" w:sz="0" w:space="0" w:color="auto"/>
            <w:left w:val="none" w:sz="0" w:space="0" w:color="auto"/>
            <w:bottom w:val="none" w:sz="0" w:space="0" w:color="auto"/>
            <w:right w:val="none" w:sz="0" w:space="0" w:color="auto"/>
          </w:divBdr>
        </w:div>
        <w:div w:id="1785690405">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770842">
      <w:bodyDiv w:val="1"/>
      <w:marLeft w:val="0"/>
      <w:marRight w:val="0"/>
      <w:marTop w:val="0"/>
      <w:marBottom w:val="0"/>
      <w:divBdr>
        <w:top w:val="none" w:sz="0" w:space="0" w:color="auto"/>
        <w:left w:val="none" w:sz="0" w:space="0" w:color="auto"/>
        <w:bottom w:val="none" w:sz="0" w:space="0" w:color="auto"/>
        <w:right w:val="none" w:sz="0" w:space="0" w:color="auto"/>
      </w:divBdr>
      <w:divsChild>
        <w:div w:id="1075973777">
          <w:marLeft w:val="0"/>
          <w:marRight w:val="0"/>
          <w:marTop w:val="0"/>
          <w:marBottom w:val="0"/>
          <w:divBdr>
            <w:top w:val="none" w:sz="0" w:space="0" w:color="auto"/>
            <w:left w:val="none" w:sz="0" w:space="0" w:color="auto"/>
            <w:bottom w:val="none" w:sz="0" w:space="0" w:color="auto"/>
            <w:right w:val="none" w:sz="0" w:space="0" w:color="auto"/>
          </w:divBdr>
        </w:div>
        <w:div w:id="1369644822">
          <w:marLeft w:val="0"/>
          <w:marRight w:val="0"/>
          <w:marTop w:val="0"/>
          <w:marBottom w:val="0"/>
          <w:divBdr>
            <w:top w:val="none" w:sz="0" w:space="0" w:color="auto"/>
            <w:left w:val="none" w:sz="0" w:space="0" w:color="auto"/>
            <w:bottom w:val="none" w:sz="0" w:space="0" w:color="auto"/>
            <w:right w:val="none" w:sz="0" w:space="0" w:color="auto"/>
          </w:divBdr>
        </w:div>
      </w:divsChild>
    </w:div>
    <w:div w:id="498614629">
      <w:bodyDiv w:val="1"/>
      <w:marLeft w:val="0"/>
      <w:marRight w:val="0"/>
      <w:marTop w:val="0"/>
      <w:marBottom w:val="0"/>
      <w:divBdr>
        <w:top w:val="none" w:sz="0" w:space="0" w:color="auto"/>
        <w:left w:val="none" w:sz="0" w:space="0" w:color="auto"/>
        <w:bottom w:val="none" w:sz="0" w:space="0" w:color="auto"/>
        <w:right w:val="none" w:sz="0" w:space="0" w:color="auto"/>
      </w:divBdr>
      <w:divsChild>
        <w:div w:id="907955514">
          <w:marLeft w:val="0"/>
          <w:marRight w:val="0"/>
          <w:marTop w:val="0"/>
          <w:marBottom w:val="0"/>
          <w:divBdr>
            <w:top w:val="none" w:sz="0" w:space="0" w:color="auto"/>
            <w:left w:val="none" w:sz="0" w:space="0" w:color="auto"/>
            <w:bottom w:val="none" w:sz="0" w:space="0" w:color="auto"/>
            <w:right w:val="none" w:sz="0" w:space="0" w:color="auto"/>
          </w:divBdr>
        </w:div>
        <w:div w:id="1131634772">
          <w:marLeft w:val="0"/>
          <w:marRight w:val="0"/>
          <w:marTop w:val="0"/>
          <w:marBottom w:val="0"/>
          <w:divBdr>
            <w:top w:val="none" w:sz="0" w:space="0" w:color="auto"/>
            <w:left w:val="none" w:sz="0" w:space="0" w:color="auto"/>
            <w:bottom w:val="none" w:sz="0" w:space="0" w:color="auto"/>
            <w:right w:val="none" w:sz="0" w:space="0" w:color="auto"/>
          </w:divBdr>
        </w:div>
      </w:divsChild>
    </w:div>
    <w:div w:id="501776056">
      <w:bodyDiv w:val="1"/>
      <w:marLeft w:val="0"/>
      <w:marRight w:val="0"/>
      <w:marTop w:val="0"/>
      <w:marBottom w:val="0"/>
      <w:divBdr>
        <w:top w:val="none" w:sz="0" w:space="0" w:color="auto"/>
        <w:left w:val="none" w:sz="0" w:space="0" w:color="auto"/>
        <w:bottom w:val="none" w:sz="0" w:space="0" w:color="auto"/>
        <w:right w:val="none" w:sz="0" w:space="0" w:color="auto"/>
      </w:divBdr>
      <w:divsChild>
        <w:div w:id="100491795">
          <w:marLeft w:val="0"/>
          <w:marRight w:val="0"/>
          <w:marTop w:val="0"/>
          <w:marBottom w:val="0"/>
          <w:divBdr>
            <w:top w:val="none" w:sz="0" w:space="0" w:color="auto"/>
            <w:left w:val="none" w:sz="0" w:space="0" w:color="auto"/>
            <w:bottom w:val="none" w:sz="0" w:space="0" w:color="auto"/>
            <w:right w:val="none" w:sz="0" w:space="0" w:color="auto"/>
          </w:divBdr>
        </w:div>
        <w:div w:id="1018656079">
          <w:marLeft w:val="0"/>
          <w:marRight w:val="0"/>
          <w:marTop w:val="0"/>
          <w:marBottom w:val="0"/>
          <w:divBdr>
            <w:top w:val="none" w:sz="0" w:space="0" w:color="auto"/>
            <w:left w:val="none" w:sz="0" w:space="0" w:color="auto"/>
            <w:bottom w:val="none" w:sz="0" w:space="0" w:color="auto"/>
            <w:right w:val="none" w:sz="0" w:space="0" w:color="auto"/>
          </w:divBdr>
        </w:div>
      </w:divsChild>
    </w:div>
    <w:div w:id="507330771">
      <w:bodyDiv w:val="1"/>
      <w:marLeft w:val="0"/>
      <w:marRight w:val="0"/>
      <w:marTop w:val="0"/>
      <w:marBottom w:val="0"/>
      <w:divBdr>
        <w:top w:val="none" w:sz="0" w:space="0" w:color="auto"/>
        <w:left w:val="none" w:sz="0" w:space="0" w:color="auto"/>
        <w:bottom w:val="none" w:sz="0" w:space="0" w:color="auto"/>
        <w:right w:val="none" w:sz="0" w:space="0" w:color="auto"/>
      </w:divBdr>
    </w:div>
    <w:div w:id="515459366">
      <w:bodyDiv w:val="1"/>
      <w:marLeft w:val="0"/>
      <w:marRight w:val="0"/>
      <w:marTop w:val="0"/>
      <w:marBottom w:val="0"/>
      <w:divBdr>
        <w:top w:val="none" w:sz="0" w:space="0" w:color="auto"/>
        <w:left w:val="none" w:sz="0" w:space="0" w:color="auto"/>
        <w:bottom w:val="none" w:sz="0" w:space="0" w:color="auto"/>
        <w:right w:val="none" w:sz="0" w:space="0" w:color="auto"/>
      </w:divBdr>
      <w:divsChild>
        <w:div w:id="64039215">
          <w:marLeft w:val="0"/>
          <w:marRight w:val="0"/>
          <w:marTop w:val="0"/>
          <w:marBottom w:val="0"/>
          <w:divBdr>
            <w:top w:val="none" w:sz="0" w:space="0" w:color="auto"/>
            <w:left w:val="none" w:sz="0" w:space="0" w:color="auto"/>
            <w:bottom w:val="none" w:sz="0" w:space="0" w:color="auto"/>
            <w:right w:val="none" w:sz="0" w:space="0" w:color="auto"/>
          </w:divBdr>
        </w:div>
        <w:div w:id="335957859">
          <w:marLeft w:val="0"/>
          <w:marRight w:val="0"/>
          <w:marTop w:val="0"/>
          <w:marBottom w:val="0"/>
          <w:divBdr>
            <w:top w:val="none" w:sz="0" w:space="0" w:color="auto"/>
            <w:left w:val="none" w:sz="0" w:space="0" w:color="auto"/>
            <w:bottom w:val="none" w:sz="0" w:space="0" w:color="auto"/>
            <w:right w:val="none" w:sz="0" w:space="0" w:color="auto"/>
          </w:divBdr>
        </w:div>
        <w:div w:id="2097480935">
          <w:marLeft w:val="0"/>
          <w:marRight w:val="0"/>
          <w:marTop w:val="0"/>
          <w:marBottom w:val="0"/>
          <w:divBdr>
            <w:top w:val="none" w:sz="0" w:space="0" w:color="auto"/>
            <w:left w:val="none" w:sz="0" w:space="0" w:color="auto"/>
            <w:bottom w:val="none" w:sz="0" w:space="0" w:color="auto"/>
            <w:right w:val="none" w:sz="0" w:space="0" w:color="auto"/>
          </w:divBdr>
        </w:div>
      </w:divsChild>
    </w:div>
    <w:div w:id="55859272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5399437">
      <w:bodyDiv w:val="1"/>
      <w:marLeft w:val="0"/>
      <w:marRight w:val="0"/>
      <w:marTop w:val="0"/>
      <w:marBottom w:val="0"/>
      <w:divBdr>
        <w:top w:val="none" w:sz="0" w:space="0" w:color="auto"/>
        <w:left w:val="none" w:sz="0" w:space="0" w:color="auto"/>
        <w:bottom w:val="none" w:sz="0" w:space="0" w:color="auto"/>
        <w:right w:val="none" w:sz="0" w:space="0" w:color="auto"/>
      </w:divBdr>
    </w:div>
    <w:div w:id="709307808">
      <w:bodyDiv w:val="1"/>
      <w:marLeft w:val="0"/>
      <w:marRight w:val="0"/>
      <w:marTop w:val="0"/>
      <w:marBottom w:val="0"/>
      <w:divBdr>
        <w:top w:val="none" w:sz="0" w:space="0" w:color="auto"/>
        <w:left w:val="none" w:sz="0" w:space="0" w:color="auto"/>
        <w:bottom w:val="none" w:sz="0" w:space="0" w:color="auto"/>
        <w:right w:val="none" w:sz="0" w:space="0" w:color="auto"/>
      </w:divBdr>
      <w:divsChild>
        <w:div w:id="285897477">
          <w:marLeft w:val="0"/>
          <w:marRight w:val="0"/>
          <w:marTop w:val="0"/>
          <w:marBottom w:val="0"/>
          <w:divBdr>
            <w:top w:val="none" w:sz="0" w:space="0" w:color="auto"/>
            <w:left w:val="none" w:sz="0" w:space="0" w:color="auto"/>
            <w:bottom w:val="none" w:sz="0" w:space="0" w:color="auto"/>
            <w:right w:val="none" w:sz="0" w:space="0" w:color="auto"/>
          </w:divBdr>
        </w:div>
        <w:div w:id="362562830">
          <w:marLeft w:val="0"/>
          <w:marRight w:val="0"/>
          <w:marTop w:val="0"/>
          <w:marBottom w:val="0"/>
          <w:divBdr>
            <w:top w:val="none" w:sz="0" w:space="0" w:color="auto"/>
            <w:left w:val="none" w:sz="0" w:space="0" w:color="auto"/>
            <w:bottom w:val="none" w:sz="0" w:space="0" w:color="auto"/>
            <w:right w:val="none" w:sz="0" w:space="0" w:color="auto"/>
          </w:divBdr>
        </w:div>
        <w:div w:id="498010834">
          <w:marLeft w:val="0"/>
          <w:marRight w:val="0"/>
          <w:marTop w:val="0"/>
          <w:marBottom w:val="0"/>
          <w:divBdr>
            <w:top w:val="none" w:sz="0" w:space="0" w:color="auto"/>
            <w:left w:val="none" w:sz="0" w:space="0" w:color="auto"/>
            <w:bottom w:val="none" w:sz="0" w:space="0" w:color="auto"/>
            <w:right w:val="none" w:sz="0" w:space="0" w:color="auto"/>
          </w:divBdr>
        </w:div>
        <w:div w:id="845823671">
          <w:marLeft w:val="0"/>
          <w:marRight w:val="0"/>
          <w:marTop w:val="0"/>
          <w:marBottom w:val="0"/>
          <w:divBdr>
            <w:top w:val="none" w:sz="0" w:space="0" w:color="auto"/>
            <w:left w:val="none" w:sz="0" w:space="0" w:color="auto"/>
            <w:bottom w:val="none" w:sz="0" w:space="0" w:color="auto"/>
            <w:right w:val="none" w:sz="0" w:space="0" w:color="auto"/>
          </w:divBdr>
        </w:div>
        <w:div w:id="1137455139">
          <w:marLeft w:val="0"/>
          <w:marRight w:val="0"/>
          <w:marTop w:val="0"/>
          <w:marBottom w:val="0"/>
          <w:divBdr>
            <w:top w:val="none" w:sz="0" w:space="0" w:color="auto"/>
            <w:left w:val="none" w:sz="0" w:space="0" w:color="auto"/>
            <w:bottom w:val="none" w:sz="0" w:space="0" w:color="auto"/>
            <w:right w:val="none" w:sz="0" w:space="0" w:color="auto"/>
          </w:divBdr>
        </w:div>
        <w:div w:id="1334530418">
          <w:marLeft w:val="0"/>
          <w:marRight w:val="0"/>
          <w:marTop w:val="0"/>
          <w:marBottom w:val="0"/>
          <w:divBdr>
            <w:top w:val="none" w:sz="0" w:space="0" w:color="auto"/>
            <w:left w:val="none" w:sz="0" w:space="0" w:color="auto"/>
            <w:bottom w:val="none" w:sz="0" w:space="0" w:color="auto"/>
            <w:right w:val="none" w:sz="0" w:space="0" w:color="auto"/>
          </w:divBdr>
        </w:div>
        <w:div w:id="1941982214">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901597439">
      <w:bodyDiv w:val="1"/>
      <w:marLeft w:val="0"/>
      <w:marRight w:val="0"/>
      <w:marTop w:val="0"/>
      <w:marBottom w:val="0"/>
      <w:divBdr>
        <w:top w:val="none" w:sz="0" w:space="0" w:color="auto"/>
        <w:left w:val="none" w:sz="0" w:space="0" w:color="auto"/>
        <w:bottom w:val="none" w:sz="0" w:space="0" w:color="auto"/>
        <w:right w:val="none" w:sz="0" w:space="0" w:color="auto"/>
      </w:divBdr>
    </w:div>
    <w:div w:id="961694826">
      <w:bodyDiv w:val="1"/>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
      </w:divsChild>
    </w:div>
    <w:div w:id="978460513">
      <w:bodyDiv w:val="1"/>
      <w:marLeft w:val="0"/>
      <w:marRight w:val="0"/>
      <w:marTop w:val="0"/>
      <w:marBottom w:val="0"/>
      <w:divBdr>
        <w:top w:val="none" w:sz="0" w:space="0" w:color="auto"/>
        <w:left w:val="none" w:sz="0" w:space="0" w:color="auto"/>
        <w:bottom w:val="none" w:sz="0" w:space="0" w:color="auto"/>
        <w:right w:val="none" w:sz="0" w:space="0" w:color="auto"/>
      </w:divBdr>
      <w:divsChild>
        <w:div w:id="70780720">
          <w:marLeft w:val="0"/>
          <w:marRight w:val="0"/>
          <w:marTop w:val="0"/>
          <w:marBottom w:val="0"/>
          <w:divBdr>
            <w:top w:val="none" w:sz="0" w:space="0" w:color="auto"/>
            <w:left w:val="none" w:sz="0" w:space="0" w:color="auto"/>
            <w:bottom w:val="none" w:sz="0" w:space="0" w:color="auto"/>
            <w:right w:val="none" w:sz="0" w:space="0" w:color="auto"/>
          </w:divBdr>
        </w:div>
        <w:div w:id="651445246">
          <w:marLeft w:val="0"/>
          <w:marRight w:val="0"/>
          <w:marTop w:val="0"/>
          <w:marBottom w:val="0"/>
          <w:divBdr>
            <w:top w:val="none" w:sz="0" w:space="0" w:color="auto"/>
            <w:left w:val="none" w:sz="0" w:space="0" w:color="auto"/>
            <w:bottom w:val="none" w:sz="0" w:space="0" w:color="auto"/>
            <w:right w:val="none" w:sz="0" w:space="0" w:color="auto"/>
          </w:divBdr>
        </w:div>
      </w:divsChild>
    </w:div>
    <w:div w:id="1106315748">
      <w:bodyDiv w:val="1"/>
      <w:marLeft w:val="0"/>
      <w:marRight w:val="0"/>
      <w:marTop w:val="0"/>
      <w:marBottom w:val="0"/>
      <w:divBdr>
        <w:top w:val="none" w:sz="0" w:space="0" w:color="auto"/>
        <w:left w:val="none" w:sz="0" w:space="0" w:color="auto"/>
        <w:bottom w:val="none" w:sz="0" w:space="0" w:color="auto"/>
        <w:right w:val="none" w:sz="0" w:space="0" w:color="auto"/>
      </w:divBdr>
      <w:divsChild>
        <w:div w:id="453867253">
          <w:marLeft w:val="0"/>
          <w:marRight w:val="0"/>
          <w:marTop w:val="0"/>
          <w:marBottom w:val="0"/>
          <w:divBdr>
            <w:top w:val="none" w:sz="0" w:space="0" w:color="auto"/>
            <w:left w:val="none" w:sz="0" w:space="0" w:color="auto"/>
            <w:bottom w:val="none" w:sz="0" w:space="0" w:color="auto"/>
            <w:right w:val="none" w:sz="0" w:space="0" w:color="auto"/>
          </w:divBdr>
        </w:div>
        <w:div w:id="688870369">
          <w:marLeft w:val="0"/>
          <w:marRight w:val="0"/>
          <w:marTop w:val="0"/>
          <w:marBottom w:val="0"/>
          <w:divBdr>
            <w:top w:val="none" w:sz="0" w:space="0" w:color="auto"/>
            <w:left w:val="none" w:sz="0" w:space="0" w:color="auto"/>
            <w:bottom w:val="none" w:sz="0" w:space="0" w:color="auto"/>
            <w:right w:val="none" w:sz="0" w:space="0" w:color="auto"/>
          </w:divBdr>
        </w:div>
        <w:div w:id="1062214503">
          <w:marLeft w:val="0"/>
          <w:marRight w:val="0"/>
          <w:marTop w:val="0"/>
          <w:marBottom w:val="0"/>
          <w:divBdr>
            <w:top w:val="none" w:sz="0" w:space="0" w:color="auto"/>
            <w:left w:val="none" w:sz="0" w:space="0" w:color="auto"/>
            <w:bottom w:val="none" w:sz="0" w:space="0" w:color="auto"/>
            <w:right w:val="none" w:sz="0" w:space="0" w:color="auto"/>
          </w:divBdr>
        </w:div>
        <w:div w:id="1187526272">
          <w:marLeft w:val="0"/>
          <w:marRight w:val="0"/>
          <w:marTop w:val="0"/>
          <w:marBottom w:val="0"/>
          <w:divBdr>
            <w:top w:val="none" w:sz="0" w:space="0" w:color="auto"/>
            <w:left w:val="none" w:sz="0" w:space="0" w:color="auto"/>
            <w:bottom w:val="none" w:sz="0" w:space="0" w:color="auto"/>
            <w:right w:val="none" w:sz="0" w:space="0" w:color="auto"/>
          </w:divBdr>
        </w:div>
        <w:div w:id="1400470992">
          <w:marLeft w:val="0"/>
          <w:marRight w:val="0"/>
          <w:marTop w:val="0"/>
          <w:marBottom w:val="0"/>
          <w:divBdr>
            <w:top w:val="none" w:sz="0" w:space="0" w:color="auto"/>
            <w:left w:val="none" w:sz="0" w:space="0" w:color="auto"/>
            <w:bottom w:val="none" w:sz="0" w:space="0" w:color="auto"/>
            <w:right w:val="none" w:sz="0" w:space="0" w:color="auto"/>
          </w:divBdr>
        </w:div>
        <w:div w:id="1752851634">
          <w:marLeft w:val="0"/>
          <w:marRight w:val="0"/>
          <w:marTop w:val="0"/>
          <w:marBottom w:val="0"/>
          <w:divBdr>
            <w:top w:val="none" w:sz="0" w:space="0" w:color="auto"/>
            <w:left w:val="none" w:sz="0" w:space="0" w:color="auto"/>
            <w:bottom w:val="none" w:sz="0" w:space="0" w:color="auto"/>
            <w:right w:val="none" w:sz="0" w:space="0" w:color="auto"/>
          </w:divBdr>
        </w:div>
        <w:div w:id="1928035297">
          <w:marLeft w:val="0"/>
          <w:marRight w:val="0"/>
          <w:marTop w:val="0"/>
          <w:marBottom w:val="0"/>
          <w:divBdr>
            <w:top w:val="none" w:sz="0" w:space="0" w:color="auto"/>
            <w:left w:val="none" w:sz="0" w:space="0" w:color="auto"/>
            <w:bottom w:val="none" w:sz="0" w:space="0" w:color="auto"/>
            <w:right w:val="none" w:sz="0" w:space="0" w:color="auto"/>
          </w:divBdr>
        </w:div>
      </w:divsChild>
    </w:div>
    <w:div w:id="1161896706">
      <w:bodyDiv w:val="1"/>
      <w:marLeft w:val="0"/>
      <w:marRight w:val="0"/>
      <w:marTop w:val="0"/>
      <w:marBottom w:val="0"/>
      <w:divBdr>
        <w:top w:val="none" w:sz="0" w:space="0" w:color="auto"/>
        <w:left w:val="none" w:sz="0" w:space="0" w:color="auto"/>
        <w:bottom w:val="none" w:sz="0" w:space="0" w:color="auto"/>
        <w:right w:val="none" w:sz="0" w:space="0" w:color="auto"/>
      </w:divBdr>
    </w:div>
    <w:div w:id="1177234400">
      <w:bodyDiv w:val="1"/>
      <w:marLeft w:val="0"/>
      <w:marRight w:val="0"/>
      <w:marTop w:val="0"/>
      <w:marBottom w:val="0"/>
      <w:divBdr>
        <w:top w:val="none" w:sz="0" w:space="0" w:color="auto"/>
        <w:left w:val="none" w:sz="0" w:space="0" w:color="auto"/>
        <w:bottom w:val="none" w:sz="0" w:space="0" w:color="auto"/>
        <w:right w:val="none" w:sz="0" w:space="0" w:color="auto"/>
      </w:divBdr>
      <w:divsChild>
        <w:div w:id="1912814913">
          <w:marLeft w:val="0"/>
          <w:marRight w:val="0"/>
          <w:marTop w:val="0"/>
          <w:marBottom w:val="0"/>
          <w:divBdr>
            <w:top w:val="none" w:sz="0" w:space="0" w:color="auto"/>
            <w:left w:val="none" w:sz="0" w:space="0" w:color="auto"/>
            <w:bottom w:val="none" w:sz="0" w:space="0" w:color="auto"/>
            <w:right w:val="none" w:sz="0" w:space="0" w:color="auto"/>
          </w:divBdr>
        </w:div>
        <w:div w:id="2062437500">
          <w:marLeft w:val="0"/>
          <w:marRight w:val="0"/>
          <w:marTop w:val="0"/>
          <w:marBottom w:val="0"/>
          <w:divBdr>
            <w:top w:val="none" w:sz="0" w:space="0" w:color="auto"/>
            <w:left w:val="none" w:sz="0" w:space="0" w:color="auto"/>
            <w:bottom w:val="none" w:sz="0" w:space="0" w:color="auto"/>
            <w:right w:val="none" w:sz="0" w:space="0" w:color="auto"/>
          </w:divBdr>
        </w:div>
      </w:divsChild>
    </w:div>
    <w:div w:id="118575163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4966687">
      <w:bodyDiv w:val="1"/>
      <w:marLeft w:val="0"/>
      <w:marRight w:val="0"/>
      <w:marTop w:val="0"/>
      <w:marBottom w:val="0"/>
      <w:divBdr>
        <w:top w:val="none" w:sz="0" w:space="0" w:color="auto"/>
        <w:left w:val="none" w:sz="0" w:space="0" w:color="auto"/>
        <w:bottom w:val="none" w:sz="0" w:space="0" w:color="auto"/>
        <w:right w:val="none" w:sz="0" w:space="0" w:color="auto"/>
      </w:divBdr>
    </w:div>
    <w:div w:id="1287590303">
      <w:bodyDiv w:val="1"/>
      <w:marLeft w:val="0"/>
      <w:marRight w:val="0"/>
      <w:marTop w:val="0"/>
      <w:marBottom w:val="0"/>
      <w:divBdr>
        <w:top w:val="none" w:sz="0" w:space="0" w:color="auto"/>
        <w:left w:val="none" w:sz="0" w:space="0" w:color="auto"/>
        <w:bottom w:val="none" w:sz="0" w:space="0" w:color="auto"/>
        <w:right w:val="none" w:sz="0" w:space="0" w:color="auto"/>
      </w:divBdr>
      <w:divsChild>
        <w:div w:id="331297160">
          <w:marLeft w:val="0"/>
          <w:marRight w:val="0"/>
          <w:marTop w:val="0"/>
          <w:marBottom w:val="0"/>
          <w:divBdr>
            <w:top w:val="none" w:sz="0" w:space="0" w:color="auto"/>
            <w:left w:val="none" w:sz="0" w:space="0" w:color="auto"/>
            <w:bottom w:val="none" w:sz="0" w:space="0" w:color="auto"/>
            <w:right w:val="none" w:sz="0" w:space="0" w:color="auto"/>
          </w:divBdr>
          <w:divsChild>
            <w:div w:id="1303658057">
              <w:marLeft w:val="0"/>
              <w:marRight w:val="0"/>
              <w:marTop w:val="0"/>
              <w:marBottom w:val="0"/>
              <w:divBdr>
                <w:top w:val="none" w:sz="0" w:space="0" w:color="auto"/>
                <w:left w:val="none" w:sz="0" w:space="0" w:color="auto"/>
                <w:bottom w:val="none" w:sz="0" w:space="0" w:color="auto"/>
                <w:right w:val="none" w:sz="0" w:space="0" w:color="auto"/>
              </w:divBdr>
            </w:div>
          </w:divsChild>
        </w:div>
        <w:div w:id="1253852333">
          <w:marLeft w:val="0"/>
          <w:marRight w:val="0"/>
          <w:marTop w:val="0"/>
          <w:marBottom w:val="0"/>
          <w:divBdr>
            <w:top w:val="none" w:sz="0" w:space="0" w:color="auto"/>
            <w:left w:val="none" w:sz="0" w:space="0" w:color="auto"/>
            <w:bottom w:val="none" w:sz="0" w:space="0" w:color="auto"/>
            <w:right w:val="none" w:sz="0" w:space="0" w:color="auto"/>
          </w:divBdr>
          <w:divsChild>
            <w:div w:id="1082723734">
              <w:marLeft w:val="0"/>
              <w:marRight w:val="0"/>
              <w:marTop w:val="0"/>
              <w:marBottom w:val="0"/>
              <w:divBdr>
                <w:top w:val="none" w:sz="0" w:space="0" w:color="auto"/>
                <w:left w:val="none" w:sz="0" w:space="0" w:color="auto"/>
                <w:bottom w:val="none" w:sz="0" w:space="0" w:color="auto"/>
                <w:right w:val="none" w:sz="0" w:space="0" w:color="auto"/>
              </w:divBdr>
            </w:div>
          </w:divsChild>
        </w:div>
        <w:div w:id="1546526798">
          <w:marLeft w:val="0"/>
          <w:marRight w:val="0"/>
          <w:marTop w:val="0"/>
          <w:marBottom w:val="0"/>
          <w:divBdr>
            <w:top w:val="none" w:sz="0" w:space="0" w:color="auto"/>
            <w:left w:val="none" w:sz="0" w:space="0" w:color="auto"/>
            <w:bottom w:val="none" w:sz="0" w:space="0" w:color="auto"/>
            <w:right w:val="none" w:sz="0" w:space="0" w:color="auto"/>
          </w:divBdr>
          <w:divsChild>
            <w:div w:id="1709530945">
              <w:marLeft w:val="0"/>
              <w:marRight w:val="0"/>
              <w:marTop w:val="0"/>
              <w:marBottom w:val="0"/>
              <w:divBdr>
                <w:top w:val="none" w:sz="0" w:space="0" w:color="auto"/>
                <w:left w:val="none" w:sz="0" w:space="0" w:color="auto"/>
                <w:bottom w:val="none" w:sz="0" w:space="0" w:color="auto"/>
                <w:right w:val="none" w:sz="0" w:space="0" w:color="auto"/>
              </w:divBdr>
            </w:div>
          </w:divsChild>
        </w:div>
        <w:div w:id="1722092967">
          <w:marLeft w:val="0"/>
          <w:marRight w:val="0"/>
          <w:marTop w:val="0"/>
          <w:marBottom w:val="0"/>
          <w:divBdr>
            <w:top w:val="none" w:sz="0" w:space="0" w:color="auto"/>
            <w:left w:val="none" w:sz="0" w:space="0" w:color="auto"/>
            <w:bottom w:val="none" w:sz="0" w:space="0" w:color="auto"/>
            <w:right w:val="none" w:sz="0" w:space="0" w:color="auto"/>
          </w:divBdr>
          <w:divsChild>
            <w:div w:id="1748500890">
              <w:marLeft w:val="0"/>
              <w:marRight w:val="0"/>
              <w:marTop w:val="0"/>
              <w:marBottom w:val="0"/>
              <w:divBdr>
                <w:top w:val="none" w:sz="0" w:space="0" w:color="auto"/>
                <w:left w:val="none" w:sz="0" w:space="0" w:color="auto"/>
                <w:bottom w:val="none" w:sz="0" w:space="0" w:color="auto"/>
                <w:right w:val="none" w:sz="0" w:space="0" w:color="auto"/>
              </w:divBdr>
            </w:div>
          </w:divsChild>
        </w:div>
        <w:div w:id="1910116448">
          <w:marLeft w:val="0"/>
          <w:marRight w:val="0"/>
          <w:marTop w:val="0"/>
          <w:marBottom w:val="0"/>
          <w:divBdr>
            <w:top w:val="none" w:sz="0" w:space="0" w:color="auto"/>
            <w:left w:val="none" w:sz="0" w:space="0" w:color="auto"/>
            <w:bottom w:val="none" w:sz="0" w:space="0" w:color="auto"/>
            <w:right w:val="none" w:sz="0" w:space="0" w:color="auto"/>
          </w:divBdr>
          <w:divsChild>
            <w:div w:id="1157962330">
              <w:marLeft w:val="0"/>
              <w:marRight w:val="0"/>
              <w:marTop w:val="0"/>
              <w:marBottom w:val="0"/>
              <w:divBdr>
                <w:top w:val="none" w:sz="0" w:space="0" w:color="auto"/>
                <w:left w:val="none" w:sz="0" w:space="0" w:color="auto"/>
                <w:bottom w:val="none" w:sz="0" w:space="0" w:color="auto"/>
                <w:right w:val="none" w:sz="0" w:space="0" w:color="auto"/>
              </w:divBdr>
            </w:div>
          </w:divsChild>
        </w:div>
        <w:div w:id="1988893173">
          <w:marLeft w:val="0"/>
          <w:marRight w:val="0"/>
          <w:marTop w:val="0"/>
          <w:marBottom w:val="0"/>
          <w:divBdr>
            <w:top w:val="none" w:sz="0" w:space="0" w:color="auto"/>
            <w:left w:val="none" w:sz="0" w:space="0" w:color="auto"/>
            <w:bottom w:val="none" w:sz="0" w:space="0" w:color="auto"/>
            <w:right w:val="none" w:sz="0" w:space="0" w:color="auto"/>
          </w:divBdr>
          <w:divsChild>
            <w:div w:id="16317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8078">
      <w:bodyDiv w:val="1"/>
      <w:marLeft w:val="0"/>
      <w:marRight w:val="0"/>
      <w:marTop w:val="0"/>
      <w:marBottom w:val="0"/>
      <w:divBdr>
        <w:top w:val="none" w:sz="0" w:space="0" w:color="auto"/>
        <w:left w:val="none" w:sz="0" w:space="0" w:color="auto"/>
        <w:bottom w:val="none" w:sz="0" w:space="0" w:color="auto"/>
        <w:right w:val="none" w:sz="0" w:space="0" w:color="auto"/>
      </w:divBdr>
      <w:divsChild>
        <w:div w:id="398213582">
          <w:marLeft w:val="0"/>
          <w:marRight w:val="0"/>
          <w:marTop w:val="0"/>
          <w:marBottom w:val="0"/>
          <w:divBdr>
            <w:top w:val="none" w:sz="0" w:space="0" w:color="auto"/>
            <w:left w:val="none" w:sz="0" w:space="0" w:color="auto"/>
            <w:bottom w:val="none" w:sz="0" w:space="0" w:color="auto"/>
            <w:right w:val="none" w:sz="0" w:space="0" w:color="auto"/>
          </w:divBdr>
        </w:div>
        <w:div w:id="1236940532">
          <w:marLeft w:val="0"/>
          <w:marRight w:val="0"/>
          <w:marTop w:val="0"/>
          <w:marBottom w:val="0"/>
          <w:divBdr>
            <w:top w:val="none" w:sz="0" w:space="0" w:color="auto"/>
            <w:left w:val="none" w:sz="0" w:space="0" w:color="auto"/>
            <w:bottom w:val="none" w:sz="0" w:space="0" w:color="auto"/>
            <w:right w:val="none" w:sz="0" w:space="0" w:color="auto"/>
          </w:divBdr>
        </w:div>
        <w:div w:id="1442338865">
          <w:marLeft w:val="0"/>
          <w:marRight w:val="0"/>
          <w:marTop w:val="0"/>
          <w:marBottom w:val="0"/>
          <w:divBdr>
            <w:top w:val="none" w:sz="0" w:space="0" w:color="auto"/>
            <w:left w:val="none" w:sz="0" w:space="0" w:color="auto"/>
            <w:bottom w:val="none" w:sz="0" w:space="0" w:color="auto"/>
            <w:right w:val="none" w:sz="0" w:space="0" w:color="auto"/>
          </w:divBdr>
        </w:div>
        <w:div w:id="1578586914">
          <w:marLeft w:val="0"/>
          <w:marRight w:val="0"/>
          <w:marTop w:val="0"/>
          <w:marBottom w:val="0"/>
          <w:divBdr>
            <w:top w:val="none" w:sz="0" w:space="0" w:color="auto"/>
            <w:left w:val="none" w:sz="0" w:space="0" w:color="auto"/>
            <w:bottom w:val="none" w:sz="0" w:space="0" w:color="auto"/>
            <w:right w:val="none" w:sz="0" w:space="0" w:color="auto"/>
          </w:divBdr>
        </w:div>
        <w:div w:id="1703477510">
          <w:marLeft w:val="0"/>
          <w:marRight w:val="0"/>
          <w:marTop w:val="0"/>
          <w:marBottom w:val="0"/>
          <w:divBdr>
            <w:top w:val="none" w:sz="0" w:space="0" w:color="auto"/>
            <w:left w:val="none" w:sz="0" w:space="0" w:color="auto"/>
            <w:bottom w:val="none" w:sz="0" w:space="0" w:color="auto"/>
            <w:right w:val="none" w:sz="0" w:space="0" w:color="auto"/>
          </w:divBdr>
        </w:div>
      </w:divsChild>
    </w:div>
    <w:div w:id="1329361055">
      <w:bodyDiv w:val="1"/>
      <w:marLeft w:val="0"/>
      <w:marRight w:val="0"/>
      <w:marTop w:val="0"/>
      <w:marBottom w:val="0"/>
      <w:divBdr>
        <w:top w:val="none" w:sz="0" w:space="0" w:color="auto"/>
        <w:left w:val="none" w:sz="0" w:space="0" w:color="auto"/>
        <w:bottom w:val="none" w:sz="0" w:space="0" w:color="auto"/>
        <w:right w:val="none" w:sz="0" w:space="0" w:color="auto"/>
      </w:divBdr>
      <w:divsChild>
        <w:div w:id="291063405">
          <w:marLeft w:val="0"/>
          <w:marRight w:val="0"/>
          <w:marTop w:val="0"/>
          <w:marBottom w:val="0"/>
          <w:divBdr>
            <w:top w:val="none" w:sz="0" w:space="0" w:color="auto"/>
            <w:left w:val="none" w:sz="0" w:space="0" w:color="auto"/>
            <w:bottom w:val="none" w:sz="0" w:space="0" w:color="auto"/>
            <w:right w:val="none" w:sz="0" w:space="0" w:color="auto"/>
          </w:divBdr>
          <w:divsChild>
            <w:div w:id="139736418">
              <w:marLeft w:val="0"/>
              <w:marRight w:val="0"/>
              <w:marTop w:val="0"/>
              <w:marBottom w:val="0"/>
              <w:divBdr>
                <w:top w:val="none" w:sz="0" w:space="0" w:color="auto"/>
                <w:left w:val="none" w:sz="0" w:space="0" w:color="auto"/>
                <w:bottom w:val="none" w:sz="0" w:space="0" w:color="auto"/>
                <w:right w:val="none" w:sz="0" w:space="0" w:color="auto"/>
              </w:divBdr>
            </w:div>
          </w:divsChild>
        </w:div>
        <w:div w:id="390228349">
          <w:marLeft w:val="0"/>
          <w:marRight w:val="0"/>
          <w:marTop w:val="0"/>
          <w:marBottom w:val="0"/>
          <w:divBdr>
            <w:top w:val="none" w:sz="0" w:space="0" w:color="auto"/>
            <w:left w:val="none" w:sz="0" w:space="0" w:color="auto"/>
            <w:bottom w:val="none" w:sz="0" w:space="0" w:color="auto"/>
            <w:right w:val="none" w:sz="0" w:space="0" w:color="auto"/>
          </w:divBdr>
          <w:divsChild>
            <w:div w:id="97139703">
              <w:marLeft w:val="0"/>
              <w:marRight w:val="0"/>
              <w:marTop w:val="0"/>
              <w:marBottom w:val="0"/>
              <w:divBdr>
                <w:top w:val="none" w:sz="0" w:space="0" w:color="auto"/>
                <w:left w:val="none" w:sz="0" w:space="0" w:color="auto"/>
                <w:bottom w:val="none" w:sz="0" w:space="0" w:color="auto"/>
                <w:right w:val="none" w:sz="0" w:space="0" w:color="auto"/>
              </w:divBdr>
            </w:div>
          </w:divsChild>
        </w:div>
        <w:div w:id="501626883">
          <w:marLeft w:val="0"/>
          <w:marRight w:val="0"/>
          <w:marTop w:val="0"/>
          <w:marBottom w:val="0"/>
          <w:divBdr>
            <w:top w:val="none" w:sz="0" w:space="0" w:color="auto"/>
            <w:left w:val="none" w:sz="0" w:space="0" w:color="auto"/>
            <w:bottom w:val="none" w:sz="0" w:space="0" w:color="auto"/>
            <w:right w:val="none" w:sz="0" w:space="0" w:color="auto"/>
          </w:divBdr>
          <w:divsChild>
            <w:div w:id="424232996">
              <w:marLeft w:val="0"/>
              <w:marRight w:val="0"/>
              <w:marTop w:val="0"/>
              <w:marBottom w:val="0"/>
              <w:divBdr>
                <w:top w:val="none" w:sz="0" w:space="0" w:color="auto"/>
                <w:left w:val="none" w:sz="0" w:space="0" w:color="auto"/>
                <w:bottom w:val="none" w:sz="0" w:space="0" w:color="auto"/>
                <w:right w:val="none" w:sz="0" w:space="0" w:color="auto"/>
              </w:divBdr>
            </w:div>
          </w:divsChild>
        </w:div>
        <w:div w:id="1368527224">
          <w:marLeft w:val="0"/>
          <w:marRight w:val="0"/>
          <w:marTop w:val="0"/>
          <w:marBottom w:val="0"/>
          <w:divBdr>
            <w:top w:val="none" w:sz="0" w:space="0" w:color="auto"/>
            <w:left w:val="none" w:sz="0" w:space="0" w:color="auto"/>
            <w:bottom w:val="none" w:sz="0" w:space="0" w:color="auto"/>
            <w:right w:val="none" w:sz="0" w:space="0" w:color="auto"/>
          </w:divBdr>
          <w:divsChild>
            <w:div w:id="1867937055">
              <w:marLeft w:val="0"/>
              <w:marRight w:val="0"/>
              <w:marTop w:val="0"/>
              <w:marBottom w:val="0"/>
              <w:divBdr>
                <w:top w:val="none" w:sz="0" w:space="0" w:color="auto"/>
                <w:left w:val="none" w:sz="0" w:space="0" w:color="auto"/>
                <w:bottom w:val="none" w:sz="0" w:space="0" w:color="auto"/>
                <w:right w:val="none" w:sz="0" w:space="0" w:color="auto"/>
              </w:divBdr>
            </w:div>
          </w:divsChild>
        </w:div>
        <w:div w:id="1572305595">
          <w:marLeft w:val="0"/>
          <w:marRight w:val="0"/>
          <w:marTop w:val="0"/>
          <w:marBottom w:val="0"/>
          <w:divBdr>
            <w:top w:val="none" w:sz="0" w:space="0" w:color="auto"/>
            <w:left w:val="none" w:sz="0" w:space="0" w:color="auto"/>
            <w:bottom w:val="none" w:sz="0" w:space="0" w:color="auto"/>
            <w:right w:val="none" w:sz="0" w:space="0" w:color="auto"/>
          </w:divBdr>
          <w:divsChild>
            <w:div w:id="978413968">
              <w:marLeft w:val="0"/>
              <w:marRight w:val="0"/>
              <w:marTop w:val="0"/>
              <w:marBottom w:val="0"/>
              <w:divBdr>
                <w:top w:val="none" w:sz="0" w:space="0" w:color="auto"/>
                <w:left w:val="none" w:sz="0" w:space="0" w:color="auto"/>
                <w:bottom w:val="none" w:sz="0" w:space="0" w:color="auto"/>
                <w:right w:val="none" w:sz="0" w:space="0" w:color="auto"/>
              </w:divBdr>
            </w:div>
          </w:divsChild>
        </w:div>
        <w:div w:id="1916431581">
          <w:marLeft w:val="0"/>
          <w:marRight w:val="0"/>
          <w:marTop w:val="0"/>
          <w:marBottom w:val="0"/>
          <w:divBdr>
            <w:top w:val="none" w:sz="0" w:space="0" w:color="auto"/>
            <w:left w:val="none" w:sz="0" w:space="0" w:color="auto"/>
            <w:bottom w:val="none" w:sz="0" w:space="0" w:color="auto"/>
            <w:right w:val="none" w:sz="0" w:space="0" w:color="auto"/>
          </w:divBdr>
          <w:divsChild>
            <w:div w:id="9443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618">
      <w:bodyDiv w:val="1"/>
      <w:marLeft w:val="0"/>
      <w:marRight w:val="0"/>
      <w:marTop w:val="0"/>
      <w:marBottom w:val="0"/>
      <w:divBdr>
        <w:top w:val="none" w:sz="0" w:space="0" w:color="auto"/>
        <w:left w:val="none" w:sz="0" w:space="0" w:color="auto"/>
        <w:bottom w:val="none" w:sz="0" w:space="0" w:color="auto"/>
        <w:right w:val="none" w:sz="0" w:space="0" w:color="auto"/>
      </w:divBdr>
      <w:divsChild>
        <w:div w:id="218515309">
          <w:marLeft w:val="0"/>
          <w:marRight w:val="0"/>
          <w:marTop w:val="0"/>
          <w:marBottom w:val="0"/>
          <w:divBdr>
            <w:top w:val="none" w:sz="0" w:space="0" w:color="auto"/>
            <w:left w:val="none" w:sz="0" w:space="0" w:color="auto"/>
            <w:bottom w:val="none" w:sz="0" w:space="0" w:color="auto"/>
            <w:right w:val="none" w:sz="0" w:space="0" w:color="auto"/>
          </w:divBdr>
        </w:div>
        <w:div w:id="333608952">
          <w:marLeft w:val="0"/>
          <w:marRight w:val="0"/>
          <w:marTop w:val="0"/>
          <w:marBottom w:val="0"/>
          <w:divBdr>
            <w:top w:val="none" w:sz="0" w:space="0" w:color="auto"/>
            <w:left w:val="none" w:sz="0" w:space="0" w:color="auto"/>
            <w:bottom w:val="none" w:sz="0" w:space="0" w:color="auto"/>
            <w:right w:val="none" w:sz="0" w:space="0" w:color="auto"/>
          </w:divBdr>
        </w:div>
        <w:div w:id="1145313829">
          <w:marLeft w:val="0"/>
          <w:marRight w:val="0"/>
          <w:marTop w:val="0"/>
          <w:marBottom w:val="0"/>
          <w:divBdr>
            <w:top w:val="none" w:sz="0" w:space="0" w:color="auto"/>
            <w:left w:val="none" w:sz="0" w:space="0" w:color="auto"/>
            <w:bottom w:val="none" w:sz="0" w:space="0" w:color="auto"/>
            <w:right w:val="none" w:sz="0" w:space="0" w:color="auto"/>
          </w:divBdr>
        </w:div>
        <w:div w:id="2127848831">
          <w:marLeft w:val="0"/>
          <w:marRight w:val="0"/>
          <w:marTop w:val="0"/>
          <w:marBottom w:val="0"/>
          <w:divBdr>
            <w:top w:val="none" w:sz="0" w:space="0" w:color="auto"/>
            <w:left w:val="none" w:sz="0" w:space="0" w:color="auto"/>
            <w:bottom w:val="none" w:sz="0" w:space="0" w:color="auto"/>
            <w:right w:val="none" w:sz="0" w:space="0" w:color="auto"/>
          </w:divBdr>
        </w:div>
      </w:divsChild>
    </w:div>
    <w:div w:id="1488781669">
      <w:bodyDiv w:val="1"/>
      <w:marLeft w:val="0"/>
      <w:marRight w:val="0"/>
      <w:marTop w:val="0"/>
      <w:marBottom w:val="0"/>
      <w:divBdr>
        <w:top w:val="none" w:sz="0" w:space="0" w:color="auto"/>
        <w:left w:val="none" w:sz="0" w:space="0" w:color="auto"/>
        <w:bottom w:val="none" w:sz="0" w:space="0" w:color="auto"/>
        <w:right w:val="none" w:sz="0" w:space="0" w:color="auto"/>
      </w:divBdr>
      <w:divsChild>
        <w:div w:id="481896000">
          <w:marLeft w:val="0"/>
          <w:marRight w:val="0"/>
          <w:marTop w:val="0"/>
          <w:marBottom w:val="0"/>
          <w:divBdr>
            <w:top w:val="none" w:sz="0" w:space="0" w:color="auto"/>
            <w:left w:val="none" w:sz="0" w:space="0" w:color="auto"/>
            <w:bottom w:val="none" w:sz="0" w:space="0" w:color="auto"/>
            <w:right w:val="none" w:sz="0" w:space="0" w:color="auto"/>
          </w:divBdr>
        </w:div>
        <w:div w:id="622272353">
          <w:marLeft w:val="0"/>
          <w:marRight w:val="0"/>
          <w:marTop w:val="0"/>
          <w:marBottom w:val="0"/>
          <w:divBdr>
            <w:top w:val="none" w:sz="0" w:space="0" w:color="auto"/>
            <w:left w:val="none" w:sz="0" w:space="0" w:color="auto"/>
            <w:bottom w:val="none" w:sz="0" w:space="0" w:color="auto"/>
            <w:right w:val="none" w:sz="0" w:space="0" w:color="auto"/>
          </w:divBdr>
        </w:div>
        <w:div w:id="1726291881">
          <w:marLeft w:val="0"/>
          <w:marRight w:val="0"/>
          <w:marTop w:val="0"/>
          <w:marBottom w:val="0"/>
          <w:divBdr>
            <w:top w:val="none" w:sz="0" w:space="0" w:color="auto"/>
            <w:left w:val="none" w:sz="0" w:space="0" w:color="auto"/>
            <w:bottom w:val="none" w:sz="0" w:space="0" w:color="auto"/>
            <w:right w:val="none" w:sz="0" w:space="0" w:color="auto"/>
          </w:divBdr>
        </w:div>
        <w:div w:id="1782796719">
          <w:marLeft w:val="0"/>
          <w:marRight w:val="0"/>
          <w:marTop w:val="0"/>
          <w:marBottom w:val="0"/>
          <w:divBdr>
            <w:top w:val="none" w:sz="0" w:space="0" w:color="auto"/>
            <w:left w:val="none" w:sz="0" w:space="0" w:color="auto"/>
            <w:bottom w:val="none" w:sz="0" w:space="0" w:color="auto"/>
            <w:right w:val="none" w:sz="0" w:space="0" w:color="auto"/>
          </w:divBdr>
        </w:div>
      </w:divsChild>
    </w:div>
    <w:div w:id="1556625599">
      <w:bodyDiv w:val="1"/>
      <w:marLeft w:val="0"/>
      <w:marRight w:val="0"/>
      <w:marTop w:val="0"/>
      <w:marBottom w:val="0"/>
      <w:divBdr>
        <w:top w:val="none" w:sz="0" w:space="0" w:color="auto"/>
        <w:left w:val="none" w:sz="0" w:space="0" w:color="auto"/>
        <w:bottom w:val="none" w:sz="0" w:space="0" w:color="auto"/>
        <w:right w:val="none" w:sz="0" w:space="0" w:color="auto"/>
      </w:divBdr>
      <w:divsChild>
        <w:div w:id="212738662">
          <w:marLeft w:val="0"/>
          <w:marRight w:val="0"/>
          <w:marTop w:val="0"/>
          <w:marBottom w:val="0"/>
          <w:divBdr>
            <w:top w:val="none" w:sz="0" w:space="0" w:color="auto"/>
            <w:left w:val="none" w:sz="0" w:space="0" w:color="auto"/>
            <w:bottom w:val="none" w:sz="0" w:space="0" w:color="auto"/>
            <w:right w:val="none" w:sz="0" w:space="0" w:color="auto"/>
          </w:divBdr>
        </w:div>
        <w:div w:id="755322081">
          <w:marLeft w:val="0"/>
          <w:marRight w:val="0"/>
          <w:marTop w:val="0"/>
          <w:marBottom w:val="0"/>
          <w:divBdr>
            <w:top w:val="none" w:sz="0" w:space="0" w:color="auto"/>
            <w:left w:val="none" w:sz="0" w:space="0" w:color="auto"/>
            <w:bottom w:val="none" w:sz="0" w:space="0" w:color="auto"/>
            <w:right w:val="none" w:sz="0" w:space="0" w:color="auto"/>
          </w:divBdr>
        </w:div>
        <w:div w:id="1083918386">
          <w:marLeft w:val="0"/>
          <w:marRight w:val="0"/>
          <w:marTop w:val="0"/>
          <w:marBottom w:val="0"/>
          <w:divBdr>
            <w:top w:val="none" w:sz="0" w:space="0" w:color="auto"/>
            <w:left w:val="none" w:sz="0" w:space="0" w:color="auto"/>
            <w:bottom w:val="none" w:sz="0" w:space="0" w:color="auto"/>
            <w:right w:val="none" w:sz="0" w:space="0" w:color="auto"/>
          </w:divBdr>
        </w:div>
        <w:div w:id="1135100314">
          <w:marLeft w:val="0"/>
          <w:marRight w:val="0"/>
          <w:marTop w:val="0"/>
          <w:marBottom w:val="0"/>
          <w:divBdr>
            <w:top w:val="none" w:sz="0" w:space="0" w:color="auto"/>
            <w:left w:val="none" w:sz="0" w:space="0" w:color="auto"/>
            <w:bottom w:val="none" w:sz="0" w:space="0" w:color="auto"/>
            <w:right w:val="none" w:sz="0" w:space="0" w:color="auto"/>
          </w:divBdr>
        </w:div>
        <w:div w:id="1690595436">
          <w:marLeft w:val="0"/>
          <w:marRight w:val="0"/>
          <w:marTop w:val="0"/>
          <w:marBottom w:val="0"/>
          <w:divBdr>
            <w:top w:val="none" w:sz="0" w:space="0" w:color="auto"/>
            <w:left w:val="none" w:sz="0" w:space="0" w:color="auto"/>
            <w:bottom w:val="none" w:sz="0" w:space="0" w:color="auto"/>
            <w:right w:val="none" w:sz="0" w:space="0" w:color="auto"/>
          </w:divBdr>
        </w:div>
      </w:divsChild>
    </w:div>
    <w:div w:id="1749615576">
      <w:bodyDiv w:val="1"/>
      <w:marLeft w:val="0"/>
      <w:marRight w:val="0"/>
      <w:marTop w:val="0"/>
      <w:marBottom w:val="0"/>
      <w:divBdr>
        <w:top w:val="none" w:sz="0" w:space="0" w:color="auto"/>
        <w:left w:val="none" w:sz="0" w:space="0" w:color="auto"/>
        <w:bottom w:val="none" w:sz="0" w:space="0" w:color="auto"/>
        <w:right w:val="none" w:sz="0" w:space="0" w:color="auto"/>
      </w:divBdr>
    </w:div>
    <w:div w:id="1798914287">
      <w:bodyDiv w:val="1"/>
      <w:marLeft w:val="0"/>
      <w:marRight w:val="0"/>
      <w:marTop w:val="0"/>
      <w:marBottom w:val="0"/>
      <w:divBdr>
        <w:top w:val="none" w:sz="0" w:space="0" w:color="auto"/>
        <w:left w:val="none" w:sz="0" w:space="0" w:color="auto"/>
        <w:bottom w:val="none" w:sz="0" w:space="0" w:color="auto"/>
        <w:right w:val="none" w:sz="0" w:space="0" w:color="auto"/>
      </w:divBdr>
      <w:divsChild>
        <w:div w:id="460924293">
          <w:marLeft w:val="0"/>
          <w:marRight w:val="0"/>
          <w:marTop w:val="0"/>
          <w:marBottom w:val="0"/>
          <w:divBdr>
            <w:top w:val="none" w:sz="0" w:space="0" w:color="auto"/>
            <w:left w:val="none" w:sz="0" w:space="0" w:color="auto"/>
            <w:bottom w:val="none" w:sz="0" w:space="0" w:color="auto"/>
            <w:right w:val="none" w:sz="0" w:space="0" w:color="auto"/>
          </w:divBdr>
        </w:div>
        <w:div w:id="481964446">
          <w:marLeft w:val="0"/>
          <w:marRight w:val="0"/>
          <w:marTop w:val="0"/>
          <w:marBottom w:val="0"/>
          <w:divBdr>
            <w:top w:val="none" w:sz="0" w:space="0" w:color="auto"/>
            <w:left w:val="none" w:sz="0" w:space="0" w:color="auto"/>
            <w:bottom w:val="none" w:sz="0" w:space="0" w:color="auto"/>
            <w:right w:val="none" w:sz="0" w:space="0" w:color="auto"/>
          </w:divBdr>
        </w:div>
        <w:div w:id="861209734">
          <w:marLeft w:val="0"/>
          <w:marRight w:val="0"/>
          <w:marTop w:val="0"/>
          <w:marBottom w:val="0"/>
          <w:divBdr>
            <w:top w:val="none" w:sz="0" w:space="0" w:color="auto"/>
            <w:left w:val="none" w:sz="0" w:space="0" w:color="auto"/>
            <w:bottom w:val="none" w:sz="0" w:space="0" w:color="auto"/>
            <w:right w:val="none" w:sz="0" w:space="0" w:color="auto"/>
          </w:divBdr>
        </w:div>
        <w:div w:id="1010529774">
          <w:marLeft w:val="0"/>
          <w:marRight w:val="0"/>
          <w:marTop w:val="0"/>
          <w:marBottom w:val="0"/>
          <w:divBdr>
            <w:top w:val="none" w:sz="0" w:space="0" w:color="auto"/>
            <w:left w:val="none" w:sz="0" w:space="0" w:color="auto"/>
            <w:bottom w:val="none" w:sz="0" w:space="0" w:color="auto"/>
            <w:right w:val="none" w:sz="0" w:space="0" w:color="auto"/>
          </w:divBdr>
        </w:div>
        <w:div w:id="1167332594">
          <w:marLeft w:val="0"/>
          <w:marRight w:val="0"/>
          <w:marTop w:val="0"/>
          <w:marBottom w:val="0"/>
          <w:divBdr>
            <w:top w:val="none" w:sz="0" w:space="0" w:color="auto"/>
            <w:left w:val="none" w:sz="0" w:space="0" w:color="auto"/>
            <w:bottom w:val="none" w:sz="0" w:space="0" w:color="auto"/>
            <w:right w:val="none" w:sz="0" w:space="0" w:color="auto"/>
          </w:divBdr>
        </w:div>
      </w:divsChild>
    </w:div>
    <w:div w:id="2004620804">
      <w:bodyDiv w:val="1"/>
      <w:marLeft w:val="0"/>
      <w:marRight w:val="0"/>
      <w:marTop w:val="0"/>
      <w:marBottom w:val="0"/>
      <w:divBdr>
        <w:top w:val="none" w:sz="0" w:space="0" w:color="auto"/>
        <w:left w:val="none" w:sz="0" w:space="0" w:color="auto"/>
        <w:bottom w:val="none" w:sz="0" w:space="0" w:color="auto"/>
        <w:right w:val="none" w:sz="0" w:space="0" w:color="auto"/>
      </w:divBdr>
      <w:divsChild>
        <w:div w:id="805244919">
          <w:marLeft w:val="0"/>
          <w:marRight w:val="0"/>
          <w:marTop w:val="0"/>
          <w:marBottom w:val="0"/>
          <w:divBdr>
            <w:top w:val="none" w:sz="0" w:space="0" w:color="auto"/>
            <w:left w:val="none" w:sz="0" w:space="0" w:color="auto"/>
            <w:bottom w:val="none" w:sz="0" w:space="0" w:color="auto"/>
            <w:right w:val="none" w:sz="0" w:space="0" w:color="auto"/>
          </w:divBdr>
        </w:div>
        <w:div w:id="1151290758">
          <w:marLeft w:val="0"/>
          <w:marRight w:val="0"/>
          <w:marTop w:val="0"/>
          <w:marBottom w:val="0"/>
          <w:divBdr>
            <w:top w:val="none" w:sz="0" w:space="0" w:color="auto"/>
            <w:left w:val="none" w:sz="0" w:space="0" w:color="auto"/>
            <w:bottom w:val="none" w:sz="0" w:space="0" w:color="auto"/>
            <w:right w:val="none" w:sz="0" w:space="0" w:color="auto"/>
          </w:divBdr>
        </w:div>
      </w:divsChild>
    </w:div>
    <w:div w:id="21004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pan.org.au/" TargetMode="External"/><Relationship Id="rId18" Type="http://schemas.openxmlformats.org/officeDocument/2006/relationships/hyperlink" Target="https://www.legislation.gov.au/C2024A00104/asmade/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opan.org.au/video/decision-making/" TargetMode="External"/><Relationship Id="rId17" Type="http://schemas.openxmlformats.org/officeDocument/2006/relationships/hyperlink" Target="https://www.health.gov.au/resources/publications/registered-supporters-glossar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arergateway.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an.org.au/toolkit/supported-decision-makin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myagedcare.gov.au/help-care-finder" TargetMode="External"/><Relationship Id="rId23" Type="http://schemas.openxmlformats.org/officeDocument/2006/relationships/footer" Target="footer2.xml"/><Relationship Id="rId10" Type="http://schemas.openxmlformats.org/officeDocument/2006/relationships/hyperlink" Target="https://www.health.gov.au/our-work/aged-care-act/about/supported-decision-making-under-the-new-aged-care-act/registered-supporter-resources" TargetMode="External"/><Relationship Id="rId19" Type="http://schemas.openxmlformats.org/officeDocument/2006/relationships/hyperlink" Target="https://social.desa.un.org/issues/disability/crpd/article-12-equal-recognition-before-the-la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rvicesaustralia.gov.au/aged-care-specialist-officer-my-aged-care-face-to-face-services?context=55715" TargetMode="External"/><Relationship Id="rId22" Type="http://schemas.openxmlformats.org/officeDocument/2006/relationships/footer" Target="foot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disability.royalcommission.gov.au/publications/final-report-volume-6-enabling-autonomy-and-acces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61263-DBD3-4B7B-A20E-468329AC11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2AABD-AD90-436E-B9AF-968D374DCC88}">
  <ds:schemaRefs>
    <ds:schemaRef ds:uri="http://schemas.microsoft.com/sharepoint/v3/contenttype/forms"/>
  </ds:schemaRefs>
</ds:datastoreItem>
</file>

<file path=customXml/itemProps3.xml><?xml version="1.0" encoding="utf-8"?>
<ds:datastoreItem xmlns:ds="http://schemas.openxmlformats.org/officeDocument/2006/customXml" ds:itemID="{79A0DAC9-0AA1-47D5-A69B-F6FF5202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5426</Words>
  <Characters>30826</Characters>
  <Application>Microsoft Office Word</Application>
  <DocSecurity>0</DocSecurity>
  <Lines>550</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Links>
    <vt:vector size="234" baseType="variant">
      <vt:variant>
        <vt:i4>4849742</vt:i4>
      </vt:variant>
      <vt:variant>
        <vt:i4>198</vt:i4>
      </vt:variant>
      <vt:variant>
        <vt:i4>0</vt:i4>
      </vt:variant>
      <vt:variant>
        <vt:i4>5</vt:i4>
      </vt:variant>
      <vt:variant>
        <vt:lpwstr>https://social.desa.un.org/issues/disability/crpd/article-12-equal-recognition-before-the-law</vt:lpwstr>
      </vt:variant>
      <vt:variant>
        <vt:lpwstr/>
      </vt:variant>
      <vt:variant>
        <vt:i4>2949172</vt:i4>
      </vt:variant>
      <vt:variant>
        <vt:i4>195</vt:i4>
      </vt:variant>
      <vt:variant>
        <vt:i4>0</vt:i4>
      </vt:variant>
      <vt:variant>
        <vt:i4>5</vt:i4>
      </vt:variant>
      <vt:variant>
        <vt:lpwstr>https://www.legislation.gov.au/C2024A00104/asmade/text</vt:lpwstr>
      </vt:variant>
      <vt:variant>
        <vt:lpwstr/>
      </vt:variant>
      <vt:variant>
        <vt:i4>7667750</vt:i4>
      </vt:variant>
      <vt:variant>
        <vt:i4>192</vt:i4>
      </vt:variant>
      <vt:variant>
        <vt:i4>0</vt:i4>
      </vt:variant>
      <vt:variant>
        <vt:i4>5</vt:i4>
      </vt:variant>
      <vt:variant>
        <vt:lpwstr>https://www.health.gov.au/resources/publications/registered-supporters-glossary</vt:lpwstr>
      </vt:variant>
      <vt:variant>
        <vt:lpwstr/>
      </vt:variant>
      <vt:variant>
        <vt:i4>3604537</vt:i4>
      </vt:variant>
      <vt:variant>
        <vt:i4>189</vt:i4>
      </vt:variant>
      <vt:variant>
        <vt:i4>0</vt:i4>
      </vt:variant>
      <vt:variant>
        <vt:i4>5</vt:i4>
      </vt:variant>
      <vt:variant>
        <vt:lpwstr>http://www.carergateway.gov.au/</vt:lpwstr>
      </vt:variant>
      <vt:variant>
        <vt:lpwstr/>
      </vt:variant>
      <vt:variant>
        <vt:i4>4128866</vt:i4>
      </vt:variant>
      <vt:variant>
        <vt:i4>186</vt:i4>
      </vt:variant>
      <vt:variant>
        <vt:i4>0</vt:i4>
      </vt:variant>
      <vt:variant>
        <vt:i4>5</vt:i4>
      </vt:variant>
      <vt:variant>
        <vt:lpwstr>https://www.myagedcare.gov.au/help-care-finder</vt:lpwstr>
      </vt:variant>
      <vt:variant>
        <vt:lpwstr/>
      </vt:variant>
      <vt:variant>
        <vt:i4>1179713</vt:i4>
      </vt:variant>
      <vt:variant>
        <vt:i4>183</vt:i4>
      </vt:variant>
      <vt:variant>
        <vt:i4>0</vt:i4>
      </vt:variant>
      <vt:variant>
        <vt:i4>5</vt:i4>
      </vt:variant>
      <vt:variant>
        <vt:lpwstr>http://www.servicesaustralia.gov.au/aged-care-specialist-officer-my-aged-care-face-to-face-services?context=55715</vt:lpwstr>
      </vt:variant>
      <vt:variant>
        <vt:lpwstr/>
      </vt:variant>
      <vt:variant>
        <vt:i4>2228263</vt:i4>
      </vt:variant>
      <vt:variant>
        <vt:i4>180</vt:i4>
      </vt:variant>
      <vt:variant>
        <vt:i4>0</vt:i4>
      </vt:variant>
      <vt:variant>
        <vt:i4>5</vt:i4>
      </vt:variant>
      <vt:variant>
        <vt:lpwstr>http://www.opan.org.au/</vt:lpwstr>
      </vt:variant>
      <vt:variant>
        <vt:lpwstr/>
      </vt:variant>
      <vt:variant>
        <vt:i4>2490477</vt:i4>
      </vt:variant>
      <vt:variant>
        <vt:i4>177</vt:i4>
      </vt:variant>
      <vt:variant>
        <vt:i4>0</vt:i4>
      </vt:variant>
      <vt:variant>
        <vt:i4>5</vt:i4>
      </vt:variant>
      <vt:variant>
        <vt:lpwstr>https://opan.org.au/video/decision-making/</vt:lpwstr>
      </vt:variant>
      <vt:variant>
        <vt:lpwstr/>
      </vt:variant>
      <vt:variant>
        <vt:i4>8323176</vt:i4>
      </vt:variant>
      <vt:variant>
        <vt:i4>174</vt:i4>
      </vt:variant>
      <vt:variant>
        <vt:i4>0</vt:i4>
      </vt:variant>
      <vt:variant>
        <vt:i4>5</vt:i4>
      </vt:variant>
      <vt:variant>
        <vt:lpwstr>https://opan.org.au/toolkit/supported-decision-making/</vt:lpwstr>
      </vt:variant>
      <vt:variant>
        <vt:lpwstr/>
      </vt:variant>
      <vt:variant>
        <vt:i4>1835067</vt:i4>
      </vt:variant>
      <vt:variant>
        <vt:i4>167</vt:i4>
      </vt:variant>
      <vt:variant>
        <vt:i4>0</vt:i4>
      </vt:variant>
      <vt:variant>
        <vt:i4>5</vt:i4>
      </vt:variant>
      <vt:variant>
        <vt:lpwstr/>
      </vt:variant>
      <vt:variant>
        <vt:lpwstr>_Toc208321394</vt:lpwstr>
      </vt:variant>
      <vt:variant>
        <vt:i4>1835067</vt:i4>
      </vt:variant>
      <vt:variant>
        <vt:i4>161</vt:i4>
      </vt:variant>
      <vt:variant>
        <vt:i4>0</vt:i4>
      </vt:variant>
      <vt:variant>
        <vt:i4>5</vt:i4>
      </vt:variant>
      <vt:variant>
        <vt:lpwstr/>
      </vt:variant>
      <vt:variant>
        <vt:lpwstr>_Toc208321393</vt:lpwstr>
      </vt:variant>
      <vt:variant>
        <vt:i4>1835067</vt:i4>
      </vt:variant>
      <vt:variant>
        <vt:i4>155</vt:i4>
      </vt:variant>
      <vt:variant>
        <vt:i4>0</vt:i4>
      </vt:variant>
      <vt:variant>
        <vt:i4>5</vt:i4>
      </vt:variant>
      <vt:variant>
        <vt:lpwstr/>
      </vt:variant>
      <vt:variant>
        <vt:lpwstr>_Toc208321392</vt:lpwstr>
      </vt:variant>
      <vt:variant>
        <vt:i4>1835067</vt:i4>
      </vt:variant>
      <vt:variant>
        <vt:i4>149</vt:i4>
      </vt:variant>
      <vt:variant>
        <vt:i4>0</vt:i4>
      </vt:variant>
      <vt:variant>
        <vt:i4>5</vt:i4>
      </vt:variant>
      <vt:variant>
        <vt:lpwstr/>
      </vt:variant>
      <vt:variant>
        <vt:lpwstr>_Toc208321391</vt:lpwstr>
      </vt:variant>
      <vt:variant>
        <vt:i4>1835067</vt:i4>
      </vt:variant>
      <vt:variant>
        <vt:i4>143</vt:i4>
      </vt:variant>
      <vt:variant>
        <vt:i4>0</vt:i4>
      </vt:variant>
      <vt:variant>
        <vt:i4>5</vt:i4>
      </vt:variant>
      <vt:variant>
        <vt:lpwstr/>
      </vt:variant>
      <vt:variant>
        <vt:lpwstr>_Toc208321390</vt:lpwstr>
      </vt:variant>
      <vt:variant>
        <vt:i4>1900603</vt:i4>
      </vt:variant>
      <vt:variant>
        <vt:i4>137</vt:i4>
      </vt:variant>
      <vt:variant>
        <vt:i4>0</vt:i4>
      </vt:variant>
      <vt:variant>
        <vt:i4>5</vt:i4>
      </vt:variant>
      <vt:variant>
        <vt:lpwstr/>
      </vt:variant>
      <vt:variant>
        <vt:lpwstr>_Toc208321389</vt:lpwstr>
      </vt:variant>
      <vt:variant>
        <vt:i4>1900603</vt:i4>
      </vt:variant>
      <vt:variant>
        <vt:i4>131</vt:i4>
      </vt:variant>
      <vt:variant>
        <vt:i4>0</vt:i4>
      </vt:variant>
      <vt:variant>
        <vt:i4>5</vt:i4>
      </vt:variant>
      <vt:variant>
        <vt:lpwstr/>
      </vt:variant>
      <vt:variant>
        <vt:lpwstr>_Toc208321388</vt:lpwstr>
      </vt:variant>
      <vt:variant>
        <vt:i4>1900603</vt:i4>
      </vt:variant>
      <vt:variant>
        <vt:i4>125</vt:i4>
      </vt:variant>
      <vt:variant>
        <vt:i4>0</vt:i4>
      </vt:variant>
      <vt:variant>
        <vt:i4>5</vt:i4>
      </vt:variant>
      <vt:variant>
        <vt:lpwstr/>
      </vt:variant>
      <vt:variant>
        <vt:lpwstr>_Toc208321387</vt:lpwstr>
      </vt:variant>
      <vt:variant>
        <vt:i4>1900603</vt:i4>
      </vt:variant>
      <vt:variant>
        <vt:i4>119</vt:i4>
      </vt:variant>
      <vt:variant>
        <vt:i4>0</vt:i4>
      </vt:variant>
      <vt:variant>
        <vt:i4>5</vt:i4>
      </vt:variant>
      <vt:variant>
        <vt:lpwstr/>
      </vt:variant>
      <vt:variant>
        <vt:lpwstr>_Toc208321386</vt:lpwstr>
      </vt:variant>
      <vt:variant>
        <vt:i4>1900603</vt:i4>
      </vt:variant>
      <vt:variant>
        <vt:i4>113</vt:i4>
      </vt:variant>
      <vt:variant>
        <vt:i4>0</vt:i4>
      </vt:variant>
      <vt:variant>
        <vt:i4>5</vt:i4>
      </vt:variant>
      <vt:variant>
        <vt:lpwstr/>
      </vt:variant>
      <vt:variant>
        <vt:lpwstr>_Toc208321385</vt:lpwstr>
      </vt:variant>
      <vt:variant>
        <vt:i4>1900603</vt:i4>
      </vt:variant>
      <vt:variant>
        <vt:i4>107</vt:i4>
      </vt:variant>
      <vt:variant>
        <vt:i4>0</vt:i4>
      </vt:variant>
      <vt:variant>
        <vt:i4>5</vt:i4>
      </vt:variant>
      <vt:variant>
        <vt:lpwstr/>
      </vt:variant>
      <vt:variant>
        <vt:lpwstr>_Toc208321384</vt:lpwstr>
      </vt:variant>
      <vt:variant>
        <vt:i4>1900603</vt:i4>
      </vt:variant>
      <vt:variant>
        <vt:i4>101</vt:i4>
      </vt:variant>
      <vt:variant>
        <vt:i4>0</vt:i4>
      </vt:variant>
      <vt:variant>
        <vt:i4>5</vt:i4>
      </vt:variant>
      <vt:variant>
        <vt:lpwstr/>
      </vt:variant>
      <vt:variant>
        <vt:lpwstr>_Toc208321383</vt:lpwstr>
      </vt:variant>
      <vt:variant>
        <vt:i4>1900603</vt:i4>
      </vt:variant>
      <vt:variant>
        <vt:i4>95</vt:i4>
      </vt:variant>
      <vt:variant>
        <vt:i4>0</vt:i4>
      </vt:variant>
      <vt:variant>
        <vt:i4>5</vt:i4>
      </vt:variant>
      <vt:variant>
        <vt:lpwstr/>
      </vt:variant>
      <vt:variant>
        <vt:lpwstr>_Toc208321382</vt:lpwstr>
      </vt:variant>
      <vt:variant>
        <vt:i4>1900603</vt:i4>
      </vt:variant>
      <vt:variant>
        <vt:i4>89</vt:i4>
      </vt:variant>
      <vt:variant>
        <vt:i4>0</vt:i4>
      </vt:variant>
      <vt:variant>
        <vt:i4>5</vt:i4>
      </vt:variant>
      <vt:variant>
        <vt:lpwstr/>
      </vt:variant>
      <vt:variant>
        <vt:lpwstr>_Toc208321381</vt:lpwstr>
      </vt:variant>
      <vt:variant>
        <vt:i4>1900603</vt:i4>
      </vt:variant>
      <vt:variant>
        <vt:i4>83</vt:i4>
      </vt:variant>
      <vt:variant>
        <vt:i4>0</vt:i4>
      </vt:variant>
      <vt:variant>
        <vt:i4>5</vt:i4>
      </vt:variant>
      <vt:variant>
        <vt:lpwstr/>
      </vt:variant>
      <vt:variant>
        <vt:lpwstr>_Toc208321380</vt:lpwstr>
      </vt:variant>
      <vt:variant>
        <vt:i4>1179707</vt:i4>
      </vt:variant>
      <vt:variant>
        <vt:i4>77</vt:i4>
      </vt:variant>
      <vt:variant>
        <vt:i4>0</vt:i4>
      </vt:variant>
      <vt:variant>
        <vt:i4>5</vt:i4>
      </vt:variant>
      <vt:variant>
        <vt:lpwstr/>
      </vt:variant>
      <vt:variant>
        <vt:lpwstr>_Toc208321379</vt:lpwstr>
      </vt:variant>
      <vt:variant>
        <vt:i4>1179707</vt:i4>
      </vt:variant>
      <vt:variant>
        <vt:i4>71</vt:i4>
      </vt:variant>
      <vt:variant>
        <vt:i4>0</vt:i4>
      </vt:variant>
      <vt:variant>
        <vt:i4>5</vt:i4>
      </vt:variant>
      <vt:variant>
        <vt:lpwstr/>
      </vt:variant>
      <vt:variant>
        <vt:lpwstr>_Toc208321378</vt:lpwstr>
      </vt:variant>
      <vt:variant>
        <vt:i4>1179707</vt:i4>
      </vt:variant>
      <vt:variant>
        <vt:i4>65</vt:i4>
      </vt:variant>
      <vt:variant>
        <vt:i4>0</vt:i4>
      </vt:variant>
      <vt:variant>
        <vt:i4>5</vt:i4>
      </vt:variant>
      <vt:variant>
        <vt:lpwstr/>
      </vt:variant>
      <vt:variant>
        <vt:lpwstr>_Toc208321377</vt:lpwstr>
      </vt:variant>
      <vt:variant>
        <vt:i4>1179707</vt:i4>
      </vt:variant>
      <vt:variant>
        <vt:i4>59</vt:i4>
      </vt:variant>
      <vt:variant>
        <vt:i4>0</vt:i4>
      </vt:variant>
      <vt:variant>
        <vt:i4>5</vt:i4>
      </vt:variant>
      <vt:variant>
        <vt:lpwstr/>
      </vt:variant>
      <vt:variant>
        <vt:lpwstr>_Toc208321376</vt:lpwstr>
      </vt:variant>
      <vt:variant>
        <vt:i4>1179707</vt:i4>
      </vt:variant>
      <vt:variant>
        <vt:i4>53</vt:i4>
      </vt:variant>
      <vt:variant>
        <vt:i4>0</vt:i4>
      </vt:variant>
      <vt:variant>
        <vt:i4>5</vt:i4>
      </vt:variant>
      <vt:variant>
        <vt:lpwstr/>
      </vt:variant>
      <vt:variant>
        <vt:lpwstr>_Toc208321375</vt:lpwstr>
      </vt:variant>
      <vt:variant>
        <vt:i4>1179707</vt:i4>
      </vt:variant>
      <vt:variant>
        <vt:i4>47</vt:i4>
      </vt:variant>
      <vt:variant>
        <vt:i4>0</vt:i4>
      </vt:variant>
      <vt:variant>
        <vt:i4>5</vt:i4>
      </vt:variant>
      <vt:variant>
        <vt:lpwstr/>
      </vt:variant>
      <vt:variant>
        <vt:lpwstr>_Toc208321374</vt:lpwstr>
      </vt:variant>
      <vt:variant>
        <vt:i4>1179707</vt:i4>
      </vt:variant>
      <vt:variant>
        <vt:i4>41</vt:i4>
      </vt:variant>
      <vt:variant>
        <vt:i4>0</vt:i4>
      </vt:variant>
      <vt:variant>
        <vt:i4>5</vt:i4>
      </vt:variant>
      <vt:variant>
        <vt:lpwstr/>
      </vt:variant>
      <vt:variant>
        <vt:lpwstr>_Toc208321373</vt:lpwstr>
      </vt:variant>
      <vt:variant>
        <vt:i4>1179707</vt:i4>
      </vt:variant>
      <vt:variant>
        <vt:i4>35</vt:i4>
      </vt:variant>
      <vt:variant>
        <vt:i4>0</vt:i4>
      </vt:variant>
      <vt:variant>
        <vt:i4>5</vt:i4>
      </vt:variant>
      <vt:variant>
        <vt:lpwstr/>
      </vt:variant>
      <vt:variant>
        <vt:lpwstr>_Toc208321372</vt:lpwstr>
      </vt:variant>
      <vt:variant>
        <vt:i4>1179707</vt:i4>
      </vt:variant>
      <vt:variant>
        <vt:i4>29</vt:i4>
      </vt:variant>
      <vt:variant>
        <vt:i4>0</vt:i4>
      </vt:variant>
      <vt:variant>
        <vt:i4>5</vt:i4>
      </vt:variant>
      <vt:variant>
        <vt:lpwstr/>
      </vt:variant>
      <vt:variant>
        <vt:lpwstr>_Toc208321371</vt:lpwstr>
      </vt:variant>
      <vt:variant>
        <vt:i4>1179707</vt:i4>
      </vt:variant>
      <vt:variant>
        <vt:i4>23</vt:i4>
      </vt:variant>
      <vt:variant>
        <vt:i4>0</vt:i4>
      </vt:variant>
      <vt:variant>
        <vt:i4>5</vt:i4>
      </vt:variant>
      <vt:variant>
        <vt:lpwstr/>
      </vt:variant>
      <vt:variant>
        <vt:lpwstr>_Toc208321370</vt:lpwstr>
      </vt:variant>
      <vt:variant>
        <vt:i4>1245243</vt:i4>
      </vt:variant>
      <vt:variant>
        <vt:i4>17</vt:i4>
      </vt:variant>
      <vt:variant>
        <vt:i4>0</vt:i4>
      </vt:variant>
      <vt:variant>
        <vt:i4>5</vt:i4>
      </vt:variant>
      <vt:variant>
        <vt:lpwstr/>
      </vt:variant>
      <vt:variant>
        <vt:lpwstr>_Toc208321369</vt:lpwstr>
      </vt:variant>
      <vt:variant>
        <vt:i4>1245243</vt:i4>
      </vt:variant>
      <vt:variant>
        <vt:i4>11</vt:i4>
      </vt:variant>
      <vt:variant>
        <vt:i4>0</vt:i4>
      </vt:variant>
      <vt:variant>
        <vt:i4>5</vt:i4>
      </vt:variant>
      <vt:variant>
        <vt:lpwstr/>
      </vt:variant>
      <vt:variant>
        <vt:lpwstr>_Toc208321368</vt:lpwstr>
      </vt:variant>
      <vt:variant>
        <vt:i4>1245243</vt:i4>
      </vt:variant>
      <vt:variant>
        <vt:i4>5</vt:i4>
      </vt:variant>
      <vt:variant>
        <vt:i4>0</vt:i4>
      </vt:variant>
      <vt:variant>
        <vt:i4>5</vt:i4>
      </vt:variant>
      <vt:variant>
        <vt:lpwstr/>
      </vt:variant>
      <vt:variant>
        <vt:lpwstr>_Toc208321367</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ariant>
        <vt:i4>2031630</vt:i4>
      </vt:variant>
      <vt:variant>
        <vt:i4>0</vt:i4>
      </vt:variant>
      <vt:variant>
        <vt:i4>0</vt:i4>
      </vt:variant>
      <vt:variant>
        <vt:i4>5</vt:i4>
      </vt:variant>
      <vt:variant>
        <vt:lpwstr>https://disability.royalcommission.gov.au/publications/final-report-volume-6-enabling-autonomy-and-access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policy</dc:title>
  <dc:subject>Policy for Registered Supporters</dc:subject>
  <dc:creator>Australian Government Department of Health, Disability and Ageing</dc:creator>
  <cp:keywords>Registered Supporters policy; Registered Supporters</cp:keywords>
  <cp:lastModifiedBy>MASCHKE, Elvia</cp:lastModifiedBy>
  <cp:revision>4</cp:revision>
  <dcterms:created xsi:type="dcterms:W3CDTF">2025-09-10T06:14:00Z</dcterms:created>
  <dcterms:modified xsi:type="dcterms:W3CDTF">2025-09-10T07:05:00Z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442a1181,70581d9,28a3b05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36c280a9,7ef255b6,4a96526e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2025-09-10T06:14:57Z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fdf2d8df-7305-4534-8166-7309691a26e6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