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463"/>
        <w:tblW w:w="9299" w:type="dxa"/>
        <w:tblLook w:val="04A0" w:firstRow="1" w:lastRow="0" w:firstColumn="1" w:lastColumn="0" w:noHBand="0" w:noVBand="1"/>
      </w:tblPr>
      <w:tblGrid>
        <w:gridCol w:w="9299"/>
      </w:tblGrid>
      <w:tr w:rsidR="009623A6" w:rsidRPr="006340F9" w14:paraId="563E56F5" w14:textId="77777777" w:rsidTr="0046292F">
        <w:tc>
          <w:tcPr>
            <w:tcW w:w="0" w:type="auto"/>
          </w:tcPr>
          <w:p w14:paraId="1BDBB1BD" w14:textId="3C0DDF8D" w:rsidR="009623A6" w:rsidRPr="006340F9" w:rsidRDefault="009623A6" w:rsidP="009623A6">
            <w:pPr>
              <w:pStyle w:val="Documenttitle"/>
            </w:pPr>
            <w:r w:rsidRPr="006340F9">
              <w:t>Rapid</w:t>
            </w:r>
            <w:r w:rsidRPr="006340F9" w:rsidDel="00A365F2">
              <w:t xml:space="preserve"> </w:t>
            </w:r>
            <w:r w:rsidRPr="006340F9">
              <w:t xml:space="preserve">Review of Assisted Reproductive Technology and </w:t>
            </w:r>
            <w:r w:rsidRPr="006340F9">
              <w:rPr>
                <w:i/>
              </w:rPr>
              <w:t>In Vitro</w:t>
            </w:r>
            <w:r w:rsidRPr="006340F9">
              <w:t xml:space="preserve"> Fertilisation Regulation and Accreditation in Australia</w:t>
            </w:r>
          </w:p>
        </w:tc>
      </w:tr>
      <w:tr w:rsidR="009623A6" w:rsidRPr="006340F9" w14:paraId="08652DA1" w14:textId="77777777" w:rsidTr="0046292F">
        <w:tc>
          <w:tcPr>
            <w:tcW w:w="0" w:type="auto"/>
          </w:tcPr>
          <w:p w14:paraId="309AD0CB" w14:textId="77777777" w:rsidR="009623A6" w:rsidRPr="006340F9" w:rsidRDefault="009623A6" w:rsidP="009623A6">
            <w:pPr>
              <w:pStyle w:val="Documentsubtitle"/>
            </w:pPr>
            <w:r w:rsidRPr="006340F9">
              <w:t>Professor Euan M Wallace AM and</w:t>
            </w:r>
          </w:p>
          <w:p w14:paraId="3E48C2C7" w14:textId="77777777" w:rsidR="009623A6" w:rsidRPr="006340F9" w:rsidRDefault="009623A6" w:rsidP="009623A6">
            <w:pPr>
              <w:pStyle w:val="Documentsubtitle"/>
            </w:pPr>
            <w:r w:rsidRPr="006340F9">
              <w:t>Victorian Department of Health</w:t>
            </w:r>
          </w:p>
        </w:tc>
      </w:tr>
      <w:tr w:rsidR="009623A6" w:rsidRPr="006340F9" w14:paraId="4B45F4A3" w14:textId="77777777" w:rsidTr="0046292F">
        <w:tc>
          <w:tcPr>
            <w:tcW w:w="0" w:type="auto"/>
          </w:tcPr>
          <w:p w14:paraId="2C942B18" w14:textId="0F03D9E9" w:rsidR="009623A6" w:rsidRPr="006340F9" w:rsidRDefault="00B40B1F" w:rsidP="009623A6">
            <w:pPr>
              <w:pStyle w:val="Bannermarking"/>
            </w:pPr>
            <w:fldSimple w:instr="FILLIN  &quot;Type the protective marking&quot; \d OFFICIAL \o  \* MERGEFORMAT">
              <w:r w:rsidRPr="006340F9">
                <w:t>OFFICIAL</w:t>
              </w:r>
            </w:fldSimple>
          </w:p>
        </w:tc>
      </w:tr>
    </w:tbl>
    <w:p w14:paraId="50817F88" w14:textId="77777777" w:rsidR="00056EC4" w:rsidRPr="006340F9" w:rsidRDefault="00E9042A" w:rsidP="00056EC4">
      <w:pPr>
        <w:pStyle w:val="Body"/>
      </w:pPr>
      <w:r w:rsidRPr="006340F9">
        <w:rPr>
          <w:noProof/>
        </w:rPr>
        <w:drawing>
          <wp:anchor distT="0" distB="0" distL="114300" distR="114300" simplePos="0" relativeHeight="251658240" behindDoc="1" locked="1" layoutInCell="1" allowOverlap="0" wp14:anchorId="2849C858" wp14:editId="31979DE1">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p w14:paraId="3B490FFE" w14:textId="7301A23B" w:rsidR="074C4BEF" w:rsidRPr="006340F9" w:rsidRDefault="074C4BEF"/>
    <w:p w14:paraId="18DA0B6B" w14:textId="1939D47C" w:rsidR="074C4BEF" w:rsidRPr="006340F9" w:rsidRDefault="074C4BEF"/>
    <w:p w14:paraId="3DC8B0FD" w14:textId="6FD2991C" w:rsidR="074C4BEF" w:rsidRPr="006340F9" w:rsidRDefault="074C4BEF"/>
    <w:p w14:paraId="5BC87C23" w14:textId="4A3B3A6C" w:rsidR="074C4BEF" w:rsidRPr="006340F9" w:rsidRDefault="074C4BEF"/>
    <w:p w14:paraId="6B7AEBF8" w14:textId="77777777" w:rsidR="00FE4081" w:rsidRPr="006340F9" w:rsidRDefault="00FE4081" w:rsidP="00FE4081">
      <w:pPr>
        <w:pStyle w:val="Body"/>
      </w:pPr>
    </w:p>
    <w:p w14:paraId="65BB6AE0" w14:textId="77777777" w:rsidR="00FE4081" w:rsidRPr="006340F9" w:rsidRDefault="00FE4081" w:rsidP="00FE4081">
      <w:pPr>
        <w:pStyle w:val="Body"/>
        <w:sectPr w:rsidR="00FE4081" w:rsidRPr="006340F9"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3BFB784D" w14:textId="40B2EF40" w:rsidR="009F2182" w:rsidRPr="006340F9" w:rsidRDefault="000C0512" w:rsidP="009F2182">
      <w:pPr>
        <w:pStyle w:val="Body"/>
      </w:pPr>
      <w:r w:rsidRPr="006340F9">
        <w:lastRenderedPageBreak/>
        <w:br w:type="page"/>
      </w:r>
    </w:p>
    <w:p w14:paraId="3E495C0D" w14:textId="00B75602" w:rsidR="00AD784C" w:rsidRPr="006340F9" w:rsidRDefault="00AD784C" w:rsidP="003C6C09">
      <w:pPr>
        <w:pStyle w:val="Heading1"/>
        <w:numPr>
          <w:ilvl w:val="0"/>
          <w:numId w:val="0"/>
        </w:numPr>
      </w:pPr>
      <w:bookmarkStart w:id="0" w:name="_Toc207976220"/>
      <w:bookmarkStart w:id="1" w:name="_Toc209441973"/>
      <w:r w:rsidRPr="006340F9">
        <w:lastRenderedPageBreak/>
        <w:t>Contents</w:t>
      </w:r>
      <w:bookmarkEnd w:id="0"/>
      <w:bookmarkEnd w:id="1"/>
    </w:p>
    <w:p w14:paraId="6D5E8136" w14:textId="4794F300" w:rsidR="00B40B1F" w:rsidRPr="006340F9" w:rsidRDefault="00053FFA">
      <w:pPr>
        <w:pStyle w:val="TOC1"/>
        <w:rPr>
          <w:rFonts w:asciiTheme="minorHAnsi" w:eastAsiaTheme="minorEastAsia" w:hAnsiTheme="minorHAnsi" w:cstheme="minorBidi"/>
          <w:b w:val="0"/>
          <w:kern w:val="2"/>
          <w:sz w:val="24"/>
          <w:szCs w:val="24"/>
          <w:lang w:eastAsia="en-AU"/>
          <w14:ligatures w14:val="standardContextual"/>
        </w:rPr>
      </w:pPr>
      <w:r w:rsidRPr="006340F9">
        <w:fldChar w:fldCharType="begin"/>
      </w:r>
      <w:r w:rsidRPr="006340F9">
        <w:instrText xml:space="preserve"> TOC \o "1-2" \h \z \u </w:instrText>
      </w:r>
      <w:r w:rsidRPr="006340F9">
        <w:fldChar w:fldCharType="separate"/>
      </w:r>
      <w:hyperlink w:anchor="_Toc209441973" w:history="1">
        <w:r w:rsidR="00B40B1F" w:rsidRPr="006340F9">
          <w:rPr>
            <w:rStyle w:val="Hyperlink"/>
          </w:rPr>
          <w:t>Contents</w:t>
        </w:r>
        <w:r w:rsidR="00B40B1F" w:rsidRPr="006340F9">
          <w:rPr>
            <w:webHidden/>
          </w:rPr>
          <w:tab/>
        </w:r>
        <w:r w:rsidR="00B40B1F" w:rsidRPr="006340F9">
          <w:rPr>
            <w:webHidden/>
          </w:rPr>
          <w:fldChar w:fldCharType="begin"/>
        </w:r>
        <w:r w:rsidR="00B40B1F" w:rsidRPr="006340F9">
          <w:rPr>
            <w:webHidden/>
          </w:rPr>
          <w:instrText xml:space="preserve"> PAGEREF _Toc209441973 \h </w:instrText>
        </w:r>
        <w:r w:rsidR="00B40B1F" w:rsidRPr="006340F9">
          <w:rPr>
            <w:webHidden/>
          </w:rPr>
        </w:r>
        <w:r w:rsidR="00B40B1F" w:rsidRPr="006340F9">
          <w:rPr>
            <w:webHidden/>
          </w:rPr>
          <w:fldChar w:fldCharType="separate"/>
        </w:r>
        <w:r w:rsidR="001751FE">
          <w:rPr>
            <w:webHidden/>
          </w:rPr>
          <w:t>3</w:t>
        </w:r>
        <w:r w:rsidR="00B40B1F" w:rsidRPr="006340F9">
          <w:rPr>
            <w:webHidden/>
          </w:rPr>
          <w:fldChar w:fldCharType="end"/>
        </w:r>
      </w:hyperlink>
    </w:p>
    <w:p w14:paraId="5D8FF3B2" w14:textId="30B5CC5B" w:rsidR="00B40B1F" w:rsidRPr="006340F9" w:rsidRDefault="00B40B1F">
      <w:pPr>
        <w:pStyle w:val="TOC1"/>
        <w:rPr>
          <w:rFonts w:asciiTheme="minorHAnsi" w:eastAsiaTheme="minorEastAsia" w:hAnsiTheme="minorHAnsi" w:cstheme="minorBidi"/>
          <w:b w:val="0"/>
          <w:kern w:val="2"/>
          <w:sz w:val="24"/>
          <w:szCs w:val="24"/>
          <w:lang w:eastAsia="en-AU"/>
          <w14:ligatures w14:val="standardContextual"/>
        </w:rPr>
      </w:pPr>
      <w:hyperlink w:anchor="_Toc209441974" w:history="1">
        <w:r w:rsidRPr="006340F9">
          <w:rPr>
            <w:rStyle w:val="Hyperlink"/>
          </w:rPr>
          <w:t>Executive summary</w:t>
        </w:r>
        <w:r w:rsidRPr="006340F9">
          <w:rPr>
            <w:webHidden/>
          </w:rPr>
          <w:tab/>
        </w:r>
        <w:r w:rsidRPr="006340F9">
          <w:rPr>
            <w:webHidden/>
          </w:rPr>
          <w:fldChar w:fldCharType="begin"/>
        </w:r>
        <w:r w:rsidRPr="006340F9">
          <w:rPr>
            <w:webHidden/>
          </w:rPr>
          <w:instrText xml:space="preserve"> PAGEREF _Toc209441974 \h </w:instrText>
        </w:r>
        <w:r w:rsidRPr="006340F9">
          <w:rPr>
            <w:webHidden/>
          </w:rPr>
        </w:r>
        <w:r w:rsidRPr="006340F9">
          <w:rPr>
            <w:webHidden/>
          </w:rPr>
          <w:fldChar w:fldCharType="separate"/>
        </w:r>
        <w:r w:rsidR="001751FE">
          <w:rPr>
            <w:webHidden/>
          </w:rPr>
          <w:t>4</w:t>
        </w:r>
        <w:r w:rsidRPr="006340F9">
          <w:rPr>
            <w:webHidden/>
          </w:rPr>
          <w:fldChar w:fldCharType="end"/>
        </w:r>
      </w:hyperlink>
    </w:p>
    <w:p w14:paraId="7684CFE6" w14:textId="0D4D38B2" w:rsidR="00B40B1F" w:rsidRPr="006340F9" w:rsidRDefault="00B40B1F">
      <w:pPr>
        <w:pStyle w:val="TOC1"/>
        <w:rPr>
          <w:rFonts w:asciiTheme="minorHAnsi" w:eastAsiaTheme="minorEastAsia" w:hAnsiTheme="minorHAnsi" w:cstheme="minorBidi"/>
          <w:b w:val="0"/>
          <w:kern w:val="2"/>
          <w:sz w:val="24"/>
          <w:szCs w:val="24"/>
          <w:lang w:eastAsia="en-AU"/>
          <w14:ligatures w14:val="standardContextual"/>
        </w:rPr>
      </w:pPr>
      <w:hyperlink w:anchor="_Toc209441975" w:history="1">
        <w:r w:rsidRPr="006340F9">
          <w:rPr>
            <w:rStyle w:val="Hyperlink"/>
          </w:rPr>
          <w:t>Summary of recommendations</w:t>
        </w:r>
        <w:r w:rsidRPr="006340F9">
          <w:rPr>
            <w:webHidden/>
          </w:rPr>
          <w:tab/>
        </w:r>
        <w:r w:rsidRPr="006340F9">
          <w:rPr>
            <w:webHidden/>
          </w:rPr>
          <w:fldChar w:fldCharType="begin"/>
        </w:r>
        <w:r w:rsidRPr="006340F9">
          <w:rPr>
            <w:webHidden/>
          </w:rPr>
          <w:instrText xml:space="preserve"> PAGEREF _Toc209441975 \h </w:instrText>
        </w:r>
        <w:r w:rsidRPr="006340F9">
          <w:rPr>
            <w:webHidden/>
          </w:rPr>
        </w:r>
        <w:r w:rsidRPr="006340F9">
          <w:rPr>
            <w:webHidden/>
          </w:rPr>
          <w:fldChar w:fldCharType="separate"/>
        </w:r>
        <w:r w:rsidR="001751FE">
          <w:rPr>
            <w:webHidden/>
          </w:rPr>
          <w:t>6</w:t>
        </w:r>
        <w:r w:rsidRPr="006340F9">
          <w:rPr>
            <w:webHidden/>
          </w:rPr>
          <w:fldChar w:fldCharType="end"/>
        </w:r>
      </w:hyperlink>
    </w:p>
    <w:p w14:paraId="60289B65" w14:textId="0C03957A" w:rsidR="00B40B1F" w:rsidRPr="006340F9" w:rsidRDefault="00B40B1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09441976" w:history="1">
        <w:r w:rsidRPr="006340F9">
          <w:rPr>
            <w:rStyle w:val="Hyperlink"/>
          </w:rPr>
          <w:t>1</w:t>
        </w:r>
        <w:r w:rsidRPr="006340F9">
          <w:rPr>
            <w:rFonts w:asciiTheme="minorHAnsi" w:eastAsiaTheme="minorEastAsia" w:hAnsiTheme="minorHAnsi" w:cstheme="minorBidi"/>
            <w:b w:val="0"/>
            <w:kern w:val="2"/>
            <w:sz w:val="24"/>
            <w:szCs w:val="24"/>
            <w:lang w:eastAsia="en-AU"/>
            <w14:ligatures w14:val="standardContextual"/>
          </w:rPr>
          <w:tab/>
        </w:r>
        <w:r w:rsidRPr="006340F9">
          <w:rPr>
            <w:rStyle w:val="Hyperlink"/>
          </w:rPr>
          <w:t>Background and context</w:t>
        </w:r>
        <w:r w:rsidRPr="006340F9">
          <w:rPr>
            <w:webHidden/>
          </w:rPr>
          <w:tab/>
        </w:r>
        <w:r w:rsidRPr="006340F9">
          <w:rPr>
            <w:webHidden/>
          </w:rPr>
          <w:fldChar w:fldCharType="begin"/>
        </w:r>
        <w:r w:rsidRPr="006340F9">
          <w:rPr>
            <w:webHidden/>
          </w:rPr>
          <w:instrText xml:space="preserve"> PAGEREF _Toc209441976 \h </w:instrText>
        </w:r>
        <w:r w:rsidRPr="006340F9">
          <w:rPr>
            <w:webHidden/>
          </w:rPr>
        </w:r>
        <w:r w:rsidRPr="006340F9">
          <w:rPr>
            <w:webHidden/>
          </w:rPr>
          <w:fldChar w:fldCharType="separate"/>
        </w:r>
        <w:r w:rsidR="001751FE">
          <w:rPr>
            <w:webHidden/>
          </w:rPr>
          <w:t>7</w:t>
        </w:r>
        <w:r w:rsidRPr="006340F9">
          <w:rPr>
            <w:webHidden/>
          </w:rPr>
          <w:fldChar w:fldCharType="end"/>
        </w:r>
      </w:hyperlink>
    </w:p>
    <w:p w14:paraId="10DE60D0" w14:textId="50CCA9C2"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77" w:history="1">
        <w:r w:rsidRPr="006340F9">
          <w:rPr>
            <w:rStyle w:val="Hyperlink"/>
            <w:bCs/>
          </w:rPr>
          <w:t>1.1</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Pr>
          <w:t>Context for this rapid review</w:t>
        </w:r>
        <w:r w:rsidRPr="006340F9">
          <w:rPr>
            <w:webHidden/>
          </w:rPr>
          <w:tab/>
        </w:r>
        <w:r w:rsidRPr="006340F9">
          <w:rPr>
            <w:webHidden/>
          </w:rPr>
          <w:fldChar w:fldCharType="begin"/>
        </w:r>
        <w:r w:rsidRPr="006340F9">
          <w:rPr>
            <w:webHidden/>
          </w:rPr>
          <w:instrText xml:space="preserve"> PAGEREF _Toc209441977 \h </w:instrText>
        </w:r>
        <w:r w:rsidRPr="006340F9">
          <w:rPr>
            <w:webHidden/>
          </w:rPr>
        </w:r>
        <w:r w:rsidRPr="006340F9">
          <w:rPr>
            <w:webHidden/>
          </w:rPr>
          <w:fldChar w:fldCharType="separate"/>
        </w:r>
        <w:r w:rsidR="001751FE">
          <w:rPr>
            <w:webHidden/>
          </w:rPr>
          <w:t>7</w:t>
        </w:r>
        <w:r w:rsidRPr="006340F9">
          <w:rPr>
            <w:webHidden/>
          </w:rPr>
          <w:fldChar w:fldCharType="end"/>
        </w:r>
      </w:hyperlink>
    </w:p>
    <w:p w14:paraId="3E34CD5A" w14:textId="552752A9"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78" w:history="1">
        <w:r w:rsidRPr="006340F9">
          <w:rPr>
            <w:rStyle w:val="Hyperlink"/>
            <w:rFonts w:cs="Arial"/>
            <w:bCs/>
          </w:rPr>
          <w:t>1.2</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Fonts w:cs="Arial"/>
          </w:rPr>
          <w:t>Previous reviews found a growing need for national reform of ART</w:t>
        </w:r>
        <w:r w:rsidRPr="006340F9">
          <w:rPr>
            <w:webHidden/>
          </w:rPr>
          <w:tab/>
        </w:r>
        <w:r w:rsidRPr="006340F9">
          <w:rPr>
            <w:webHidden/>
          </w:rPr>
          <w:fldChar w:fldCharType="begin"/>
        </w:r>
        <w:r w:rsidRPr="006340F9">
          <w:rPr>
            <w:webHidden/>
          </w:rPr>
          <w:instrText xml:space="preserve"> PAGEREF _Toc209441978 \h </w:instrText>
        </w:r>
        <w:r w:rsidRPr="006340F9">
          <w:rPr>
            <w:webHidden/>
          </w:rPr>
        </w:r>
        <w:r w:rsidRPr="006340F9">
          <w:rPr>
            <w:webHidden/>
          </w:rPr>
          <w:fldChar w:fldCharType="separate"/>
        </w:r>
        <w:r w:rsidR="001751FE">
          <w:rPr>
            <w:webHidden/>
          </w:rPr>
          <w:t>8</w:t>
        </w:r>
        <w:r w:rsidRPr="006340F9">
          <w:rPr>
            <w:webHidden/>
          </w:rPr>
          <w:fldChar w:fldCharType="end"/>
        </w:r>
      </w:hyperlink>
    </w:p>
    <w:p w14:paraId="0AB6BB9B" w14:textId="368C8DA1"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79" w:history="1">
        <w:r w:rsidRPr="006340F9">
          <w:rPr>
            <w:rStyle w:val="Hyperlink"/>
            <w:rFonts w:eastAsia="MS Gothic"/>
            <w:bCs/>
          </w:rPr>
          <w:t>1.3</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Fonts w:eastAsia="MS Gothic"/>
          </w:rPr>
          <w:t>ART in Australia is complex and demand is growing in volume and complexity</w:t>
        </w:r>
        <w:r w:rsidRPr="006340F9">
          <w:rPr>
            <w:webHidden/>
          </w:rPr>
          <w:tab/>
        </w:r>
        <w:r w:rsidRPr="006340F9">
          <w:rPr>
            <w:webHidden/>
          </w:rPr>
          <w:fldChar w:fldCharType="begin"/>
        </w:r>
        <w:r w:rsidRPr="006340F9">
          <w:rPr>
            <w:webHidden/>
          </w:rPr>
          <w:instrText xml:space="preserve"> PAGEREF _Toc209441979 \h </w:instrText>
        </w:r>
        <w:r w:rsidRPr="006340F9">
          <w:rPr>
            <w:webHidden/>
          </w:rPr>
        </w:r>
        <w:r w:rsidRPr="006340F9">
          <w:rPr>
            <w:webHidden/>
          </w:rPr>
          <w:fldChar w:fldCharType="separate"/>
        </w:r>
        <w:r w:rsidR="001751FE">
          <w:rPr>
            <w:webHidden/>
          </w:rPr>
          <w:t>8</w:t>
        </w:r>
        <w:r w:rsidRPr="006340F9">
          <w:rPr>
            <w:webHidden/>
          </w:rPr>
          <w:fldChar w:fldCharType="end"/>
        </w:r>
      </w:hyperlink>
    </w:p>
    <w:p w14:paraId="1F47EED8" w14:textId="4048CCFD" w:rsidR="00B40B1F" w:rsidRPr="006340F9" w:rsidRDefault="00B40B1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09441980" w:history="1">
        <w:r w:rsidRPr="006340F9">
          <w:rPr>
            <w:rStyle w:val="Hyperlink"/>
          </w:rPr>
          <w:t>2</w:t>
        </w:r>
        <w:r w:rsidRPr="006340F9">
          <w:rPr>
            <w:rFonts w:asciiTheme="minorHAnsi" w:eastAsiaTheme="minorEastAsia" w:hAnsiTheme="minorHAnsi" w:cstheme="minorBidi"/>
            <w:b w:val="0"/>
            <w:kern w:val="2"/>
            <w:sz w:val="24"/>
            <w:szCs w:val="24"/>
            <w:lang w:eastAsia="en-AU"/>
            <w14:ligatures w14:val="standardContextual"/>
          </w:rPr>
          <w:tab/>
        </w:r>
        <w:r w:rsidRPr="006340F9">
          <w:rPr>
            <w:rStyle w:val="Hyperlink"/>
          </w:rPr>
          <w:t>Current state of ART sector accreditation and regulation</w:t>
        </w:r>
        <w:r w:rsidRPr="006340F9">
          <w:rPr>
            <w:webHidden/>
          </w:rPr>
          <w:tab/>
        </w:r>
        <w:r w:rsidRPr="006340F9">
          <w:rPr>
            <w:webHidden/>
          </w:rPr>
          <w:fldChar w:fldCharType="begin"/>
        </w:r>
        <w:r w:rsidRPr="006340F9">
          <w:rPr>
            <w:webHidden/>
          </w:rPr>
          <w:instrText xml:space="preserve"> PAGEREF _Toc209441980 \h </w:instrText>
        </w:r>
        <w:r w:rsidRPr="006340F9">
          <w:rPr>
            <w:webHidden/>
          </w:rPr>
        </w:r>
        <w:r w:rsidRPr="006340F9">
          <w:rPr>
            <w:webHidden/>
          </w:rPr>
          <w:fldChar w:fldCharType="separate"/>
        </w:r>
        <w:r w:rsidR="001751FE">
          <w:rPr>
            <w:webHidden/>
          </w:rPr>
          <w:t>13</w:t>
        </w:r>
        <w:r w:rsidRPr="006340F9">
          <w:rPr>
            <w:webHidden/>
          </w:rPr>
          <w:fldChar w:fldCharType="end"/>
        </w:r>
      </w:hyperlink>
    </w:p>
    <w:p w14:paraId="25A29D87" w14:textId="723F2FAF"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81" w:history="1">
        <w:r w:rsidRPr="006340F9">
          <w:rPr>
            <w:rStyle w:val="Hyperlink"/>
            <w:bCs/>
          </w:rPr>
          <w:t>2.1</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Pr>
          <w:t>A conceptual framework for this rapid review</w:t>
        </w:r>
        <w:r w:rsidRPr="006340F9">
          <w:rPr>
            <w:webHidden/>
          </w:rPr>
          <w:tab/>
        </w:r>
        <w:r w:rsidRPr="006340F9">
          <w:rPr>
            <w:webHidden/>
          </w:rPr>
          <w:fldChar w:fldCharType="begin"/>
        </w:r>
        <w:r w:rsidRPr="006340F9">
          <w:rPr>
            <w:webHidden/>
          </w:rPr>
          <w:instrText xml:space="preserve"> PAGEREF _Toc209441981 \h </w:instrText>
        </w:r>
        <w:r w:rsidRPr="006340F9">
          <w:rPr>
            <w:webHidden/>
          </w:rPr>
        </w:r>
        <w:r w:rsidRPr="006340F9">
          <w:rPr>
            <w:webHidden/>
          </w:rPr>
          <w:fldChar w:fldCharType="separate"/>
        </w:r>
        <w:r w:rsidR="001751FE">
          <w:rPr>
            <w:webHidden/>
          </w:rPr>
          <w:t>13</w:t>
        </w:r>
        <w:r w:rsidRPr="006340F9">
          <w:rPr>
            <w:webHidden/>
          </w:rPr>
          <w:fldChar w:fldCharType="end"/>
        </w:r>
      </w:hyperlink>
    </w:p>
    <w:p w14:paraId="6A81FB56" w14:textId="35999B2E"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82" w:history="1">
        <w:r w:rsidRPr="006340F9">
          <w:rPr>
            <w:rStyle w:val="Hyperlink"/>
            <w:bCs/>
          </w:rPr>
          <w:t>2.2</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Pr>
          <w:t>Governance of ART accreditation and regulation is fragmented</w:t>
        </w:r>
        <w:r w:rsidRPr="006340F9">
          <w:rPr>
            <w:webHidden/>
          </w:rPr>
          <w:tab/>
        </w:r>
        <w:r w:rsidRPr="006340F9">
          <w:rPr>
            <w:webHidden/>
          </w:rPr>
          <w:fldChar w:fldCharType="begin"/>
        </w:r>
        <w:r w:rsidRPr="006340F9">
          <w:rPr>
            <w:webHidden/>
          </w:rPr>
          <w:instrText xml:space="preserve"> PAGEREF _Toc209441982 \h </w:instrText>
        </w:r>
        <w:r w:rsidRPr="006340F9">
          <w:rPr>
            <w:webHidden/>
          </w:rPr>
        </w:r>
        <w:r w:rsidRPr="006340F9">
          <w:rPr>
            <w:webHidden/>
          </w:rPr>
          <w:fldChar w:fldCharType="separate"/>
        </w:r>
        <w:r w:rsidR="001751FE">
          <w:rPr>
            <w:webHidden/>
          </w:rPr>
          <w:t>14</w:t>
        </w:r>
        <w:r w:rsidRPr="006340F9">
          <w:rPr>
            <w:webHidden/>
          </w:rPr>
          <w:fldChar w:fldCharType="end"/>
        </w:r>
      </w:hyperlink>
    </w:p>
    <w:p w14:paraId="17941465" w14:textId="01A2AADD"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83" w:history="1">
        <w:r w:rsidRPr="006340F9">
          <w:rPr>
            <w:rStyle w:val="Hyperlink"/>
            <w:bCs/>
          </w:rPr>
          <w:t>2.3</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Pr>
          <w:t>Market entry – accreditation</w:t>
        </w:r>
        <w:r w:rsidRPr="006340F9">
          <w:rPr>
            <w:webHidden/>
          </w:rPr>
          <w:tab/>
        </w:r>
        <w:r w:rsidRPr="006340F9">
          <w:rPr>
            <w:webHidden/>
          </w:rPr>
          <w:fldChar w:fldCharType="begin"/>
        </w:r>
        <w:r w:rsidRPr="006340F9">
          <w:rPr>
            <w:webHidden/>
          </w:rPr>
          <w:instrText xml:space="preserve"> PAGEREF _Toc209441983 \h </w:instrText>
        </w:r>
        <w:r w:rsidRPr="006340F9">
          <w:rPr>
            <w:webHidden/>
          </w:rPr>
        </w:r>
        <w:r w:rsidRPr="006340F9">
          <w:rPr>
            <w:webHidden/>
          </w:rPr>
          <w:fldChar w:fldCharType="separate"/>
        </w:r>
        <w:r w:rsidR="001751FE">
          <w:rPr>
            <w:webHidden/>
          </w:rPr>
          <w:t>19</w:t>
        </w:r>
        <w:r w:rsidRPr="006340F9">
          <w:rPr>
            <w:webHidden/>
          </w:rPr>
          <w:fldChar w:fldCharType="end"/>
        </w:r>
      </w:hyperlink>
    </w:p>
    <w:p w14:paraId="26DF2DBA" w14:textId="7ECC28F9"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84" w:history="1">
        <w:r w:rsidRPr="006340F9">
          <w:rPr>
            <w:rStyle w:val="Hyperlink"/>
            <w:bCs/>
          </w:rPr>
          <w:t>2.4</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Pr>
          <w:t>Market entry – regulation</w:t>
        </w:r>
        <w:r w:rsidRPr="006340F9">
          <w:rPr>
            <w:webHidden/>
          </w:rPr>
          <w:tab/>
        </w:r>
        <w:r w:rsidRPr="006340F9">
          <w:rPr>
            <w:webHidden/>
          </w:rPr>
          <w:fldChar w:fldCharType="begin"/>
        </w:r>
        <w:r w:rsidRPr="006340F9">
          <w:rPr>
            <w:webHidden/>
          </w:rPr>
          <w:instrText xml:space="preserve"> PAGEREF _Toc209441984 \h </w:instrText>
        </w:r>
        <w:r w:rsidRPr="006340F9">
          <w:rPr>
            <w:webHidden/>
          </w:rPr>
        </w:r>
        <w:r w:rsidRPr="006340F9">
          <w:rPr>
            <w:webHidden/>
          </w:rPr>
          <w:fldChar w:fldCharType="separate"/>
        </w:r>
        <w:r w:rsidR="001751FE">
          <w:rPr>
            <w:webHidden/>
          </w:rPr>
          <w:t>20</w:t>
        </w:r>
        <w:r w:rsidRPr="006340F9">
          <w:rPr>
            <w:webHidden/>
          </w:rPr>
          <w:fldChar w:fldCharType="end"/>
        </w:r>
      </w:hyperlink>
    </w:p>
    <w:p w14:paraId="5AE9F38A" w14:textId="1542F002"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85" w:history="1">
        <w:r w:rsidRPr="006340F9">
          <w:rPr>
            <w:rStyle w:val="Hyperlink"/>
            <w:bCs/>
          </w:rPr>
          <w:t>2.5</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Pr>
          <w:t>Market conduct – accreditation</w:t>
        </w:r>
        <w:r w:rsidRPr="006340F9">
          <w:rPr>
            <w:webHidden/>
          </w:rPr>
          <w:tab/>
        </w:r>
        <w:r w:rsidRPr="006340F9">
          <w:rPr>
            <w:webHidden/>
          </w:rPr>
          <w:fldChar w:fldCharType="begin"/>
        </w:r>
        <w:r w:rsidRPr="006340F9">
          <w:rPr>
            <w:webHidden/>
          </w:rPr>
          <w:instrText xml:space="preserve"> PAGEREF _Toc209441985 \h </w:instrText>
        </w:r>
        <w:r w:rsidRPr="006340F9">
          <w:rPr>
            <w:webHidden/>
          </w:rPr>
        </w:r>
        <w:r w:rsidRPr="006340F9">
          <w:rPr>
            <w:webHidden/>
          </w:rPr>
          <w:fldChar w:fldCharType="separate"/>
        </w:r>
        <w:r w:rsidR="001751FE">
          <w:rPr>
            <w:webHidden/>
          </w:rPr>
          <w:t>22</w:t>
        </w:r>
        <w:r w:rsidRPr="006340F9">
          <w:rPr>
            <w:webHidden/>
          </w:rPr>
          <w:fldChar w:fldCharType="end"/>
        </w:r>
      </w:hyperlink>
    </w:p>
    <w:p w14:paraId="5C30CD19" w14:textId="0A5B0341"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86" w:history="1">
        <w:r w:rsidRPr="006340F9">
          <w:rPr>
            <w:rStyle w:val="Hyperlink"/>
            <w:bCs/>
          </w:rPr>
          <w:t>2.6</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Pr>
          <w:t>Market conduct – regulation</w:t>
        </w:r>
        <w:r w:rsidRPr="006340F9">
          <w:rPr>
            <w:webHidden/>
          </w:rPr>
          <w:tab/>
        </w:r>
        <w:r w:rsidRPr="006340F9">
          <w:rPr>
            <w:webHidden/>
          </w:rPr>
          <w:fldChar w:fldCharType="begin"/>
        </w:r>
        <w:r w:rsidRPr="006340F9">
          <w:rPr>
            <w:webHidden/>
          </w:rPr>
          <w:instrText xml:space="preserve"> PAGEREF _Toc209441986 \h </w:instrText>
        </w:r>
        <w:r w:rsidRPr="006340F9">
          <w:rPr>
            <w:webHidden/>
          </w:rPr>
        </w:r>
        <w:r w:rsidRPr="006340F9">
          <w:rPr>
            <w:webHidden/>
          </w:rPr>
          <w:fldChar w:fldCharType="separate"/>
        </w:r>
        <w:r w:rsidR="001751FE">
          <w:rPr>
            <w:webHidden/>
          </w:rPr>
          <w:t>26</w:t>
        </w:r>
        <w:r w:rsidRPr="006340F9">
          <w:rPr>
            <w:webHidden/>
          </w:rPr>
          <w:fldChar w:fldCharType="end"/>
        </w:r>
      </w:hyperlink>
    </w:p>
    <w:p w14:paraId="57391B5C" w14:textId="581F5B37"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87" w:history="1">
        <w:r w:rsidRPr="006340F9">
          <w:rPr>
            <w:rStyle w:val="Hyperlink"/>
            <w:bCs/>
          </w:rPr>
          <w:t>2.7</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Pr>
          <w:t>Enforcement and recourse</w:t>
        </w:r>
        <w:r w:rsidRPr="006340F9">
          <w:rPr>
            <w:webHidden/>
          </w:rPr>
          <w:tab/>
        </w:r>
        <w:r w:rsidRPr="006340F9">
          <w:rPr>
            <w:webHidden/>
          </w:rPr>
          <w:fldChar w:fldCharType="begin"/>
        </w:r>
        <w:r w:rsidRPr="006340F9">
          <w:rPr>
            <w:webHidden/>
          </w:rPr>
          <w:instrText xml:space="preserve"> PAGEREF _Toc209441987 \h </w:instrText>
        </w:r>
        <w:r w:rsidRPr="006340F9">
          <w:rPr>
            <w:webHidden/>
          </w:rPr>
        </w:r>
        <w:r w:rsidRPr="006340F9">
          <w:rPr>
            <w:webHidden/>
          </w:rPr>
          <w:fldChar w:fldCharType="separate"/>
        </w:r>
        <w:r w:rsidR="001751FE">
          <w:rPr>
            <w:webHidden/>
          </w:rPr>
          <w:t>30</w:t>
        </w:r>
        <w:r w:rsidRPr="006340F9">
          <w:rPr>
            <w:webHidden/>
          </w:rPr>
          <w:fldChar w:fldCharType="end"/>
        </w:r>
      </w:hyperlink>
    </w:p>
    <w:p w14:paraId="44DB8C1C" w14:textId="4F2F9669" w:rsidR="00B40B1F" w:rsidRPr="006340F9" w:rsidRDefault="00B40B1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09441988" w:history="1">
        <w:r w:rsidRPr="006340F9">
          <w:rPr>
            <w:rStyle w:val="Hyperlink"/>
          </w:rPr>
          <w:t>3</w:t>
        </w:r>
        <w:r w:rsidRPr="006340F9">
          <w:rPr>
            <w:rFonts w:asciiTheme="minorHAnsi" w:eastAsiaTheme="minorEastAsia" w:hAnsiTheme="minorHAnsi" w:cstheme="minorBidi"/>
            <w:b w:val="0"/>
            <w:kern w:val="2"/>
            <w:sz w:val="24"/>
            <w:szCs w:val="24"/>
            <w:lang w:eastAsia="en-AU"/>
            <w14:ligatures w14:val="standardContextual"/>
          </w:rPr>
          <w:tab/>
        </w:r>
        <w:r w:rsidRPr="006340F9">
          <w:rPr>
            <w:rStyle w:val="Hyperlink"/>
          </w:rPr>
          <w:t>Strengths and weaknesses of current ART accreditation and regulation</w:t>
        </w:r>
        <w:r w:rsidRPr="006340F9">
          <w:rPr>
            <w:webHidden/>
          </w:rPr>
          <w:tab/>
        </w:r>
        <w:r w:rsidRPr="006340F9">
          <w:rPr>
            <w:webHidden/>
          </w:rPr>
          <w:fldChar w:fldCharType="begin"/>
        </w:r>
        <w:r w:rsidRPr="006340F9">
          <w:rPr>
            <w:webHidden/>
          </w:rPr>
          <w:instrText xml:space="preserve"> PAGEREF _Toc209441988 \h </w:instrText>
        </w:r>
        <w:r w:rsidRPr="006340F9">
          <w:rPr>
            <w:webHidden/>
          </w:rPr>
        </w:r>
        <w:r w:rsidRPr="006340F9">
          <w:rPr>
            <w:webHidden/>
          </w:rPr>
          <w:fldChar w:fldCharType="separate"/>
        </w:r>
        <w:r w:rsidR="001751FE">
          <w:rPr>
            <w:webHidden/>
          </w:rPr>
          <w:t>35</w:t>
        </w:r>
        <w:r w:rsidRPr="006340F9">
          <w:rPr>
            <w:webHidden/>
          </w:rPr>
          <w:fldChar w:fldCharType="end"/>
        </w:r>
      </w:hyperlink>
    </w:p>
    <w:p w14:paraId="359AF965" w14:textId="6912D022"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89" w:history="1">
        <w:r w:rsidRPr="006340F9">
          <w:rPr>
            <w:rStyle w:val="Hyperlink"/>
            <w:bCs/>
          </w:rPr>
          <w:t>3.1</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Pr>
          <w:t>Market entry – accreditation</w:t>
        </w:r>
        <w:r w:rsidRPr="006340F9">
          <w:rPr>
            <w:webHidden/>
          </w:rPr>
          <w:tab/>
        </w:r>
        <w:r w:rsidRPr="006340F9">
          <w:rPr>
            <w:webHidden/>
          </w:rPr>
          <w:fldChar w:fldCharType="begin"/>
        </w:r>
        <w:r w:rsidRPr="006340F9">
          <w:rPr>
            <w:webHidden/>
          </w:rPr>
          <w:instrText xml:space="preserve"> PAGEREF _Toc209441989 \h </w:instrText>
        </w:r>
        <w:r w:rsidRPr="006340F9">
          <w:rPr>
            <w:webHidden/>
          </w:rPr>
        </w:r>
        <w:r w:rsidRPr="006340F9">
          <w:rPr>
            <w:webHidden/>
          </w:rPr>
          <w:fldChar w:fldCharType="separate"/>
        </w:r>
        <w:r w:rsidR="001751FE">
          <w:rPr>
            <w:webHidden/>
          </w:rPr>
          <w:t>35</w:t>
        </w:r>
        <w:r w:rsidRPr="006340F9">
          <w:rPr>
            <w:webHidden/>
          </w:rPr>
          <w:fldChar w:fldCharType="end"/>
        </w:r>
      </w:hyperlink>
    </w:p>
    <w:p w14:paraId="155E6EC3" w14:textId="30E8404C"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90" w:history="1">
        <w:r w:rsidRPr="006340F9">
          <w:rPr>
            <w:rStyle w:val="Hyperlink"/>
            <w:bCs/>
          </w:rPr>
          <w:t>3.2</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Pr>
          <w:t>Market entry – regulation</w:t>
        </w:r>
        <w:r w:rsidRPr="006340F9">
          <w:rPr>
            <w:webHidden/>
          </w:rPr>
          <w:tab/>
        </w:r>
        <w:r w:rsidRPr="006340F9">
          <w:rPr>
            <w:webHidden/>
          </w:rPr>
          <w:fldChar w:fldCharType="begin"/>
        </w:r>
        <w:r w:rsidRPr="006340F9">
          <w:rPr>
            <w:webHidden/>
          </w:rPr>
          <w:instrText xml:space="preserve"> PAGEREF _Toc209441990 \h </w:instrText>
        </w:r>
        <w:r w:rsidRPr="006340F9">
          <w:rPr>
            <w:webHidden/>
          </w:rPr>
        </w:r>
        <w:r w:rsidRPr="006340F9">
          <w:rPr>
            <w:webHidden/>
          </w:rPr>
          <w:fldChar w:fldCharType="separate"/>
        </w:r>
        <w:r w:rsidR="001751FE">
          <w:rPr>
            <w:webHidden/>
          </w:rPr>
          <w:t>42</w:t>
        </w:r>
        <w:r w:rsidRPr="006340F9">
          <w:rPr>
            <w:webHidden/>
          </w:rPr>
          <w:fldChar w:fldCharType="end"/>
        </w:r>
      </w:hyperlink>
    </w:p>
    <w:p w14:paraId="62CBE4DD" w14:textId="284145B6"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91" w:history="1">
        <w:r w:rsidRPr="006340F9">
          <w:rPr>
            <w:rStyle w:val="Hyperlink"/>
            <w:bCs/>
          </w:rPr>
          <w:t>3.3</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Pr>
          <w:t>Market conduct – accreditation</w:t>
        </w:r>
        <w:r w:rsidRPr="006340F9">
          <w:rPr>
            <w:webHidden/>
          </w:rPr>
          <w:tab/>
        </w:r>
        <w:r w:rsidRPr="006340F9">
          <w:rPr>
            <w:webHidden/>
          </w:rPr>
          <w:fldChar w:fldCharType="begin"/>
        </w:r>
        <w:r w:rsidRPr="006340F9">
          <w:rPr>
            <w:webHidden/>
          </w:rPr>
          <w:instrText xml:space="preserve"> PAGEREF _Toc209441991 \h </w:instrText>
        </w:r>
        <w:r w:rsidRPr="006340F9">
          <w:rPr>
            <w:webHidden/>
          </w:rPr>
        </w:r>
        <w:r w:rsidRPr="006340F9">
          <w:rPr>
            <w:webHidden/>
          </w:rPr>
          <w:fldChar w:fldCharType="separate"/>
        </w:r>
        <w:r w:rsidR="001751FE">
          <w:rPr>
            <w:webHidden/>
          </w:rPr>
          <w:t>43</w:t>
        </w:r>
        <w:r w:rsidRPr="006340F9">
          <w:rPr>
            <w:webHidden/>
          </w:rPr>
          <w:fldChar w:fldCharType="end"/>
        </w:r>
      </w:hyperlink>
    </w:p>
    <w:p w14:paraId="4317CAB3" w14:textId="31A08EEC"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92" w:history="1">
        <w:r w:rsidRPr="006340F9">
          <w:rPr>
            <w:rStyle w:val="Hyperlink"/>
            <w:bCs/>
          </w:rPr>
          <w:t>3.4</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Pr>
          <w:t>Market conduct – regulation</w:t>
        </w:r>
        <w:r w:rsidRPr="006340F9">
          <w:rPr>
            <w:webHidden/>
          </w:rPr>
          <w:tab/>
        </w:r>
        <w:r w:rsidRPr="006340F9">
          <w:rPr>
            <w:webHidden/>
          </w:rPr>
          <w:fldChar w:fldCharType="begin"/>
        </w:r>
        <w:r w:rsidRPr="006340F9">
          <w:rPr>
            <w:webHidden/>
          </w:rPr>
          <w:instrText xml:space="preserve"> PAGEREF _Toc209441992 \h </w:instrText>
        </w:r>
        <w:r w:rsidRPr="006340F9">
          <w:rPr>
            <w:webHidden/>
          </w:rPr>
        </w:r>
        <w:r w:rsidRPr="006340F9">
          <w:rPr>
            <w:webHidden/>
          </w:rPr>
          <w:fldChar w:fldCharType="separate"/>
        </w:r>
        <w:r w:rsidR="001751FE">
          <w:rPr>
            <w:webHidden/>
          </w:rPr>
          <w:t>48</w:t>
        </w:r>
        <w:r w:rsidRPr="006340F9">
          <w:rPr>
            <w:webHidden/>
          </w:rPr>
          <w:fldChar w:fldCharType="end"/>
        </w:r>
      </w:hyperlink>
    </w:p>
    <w:p w14:paraId="02C81BC2" w14:textId="12A87541"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93" w:history="1">
        <w:r w:rsidRPr="006340F9">
          <w:rPr>
            <w:rStyle w:val="Hyperlink"/>
            <w:bCs/>
          </w:rPr>
          <w:t>3.5</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Pr>
          <w:t>Enforcement and recourse</w:t>
        </w:r>
        <w:r w:rsidRPr="006340F9">
          <w:rPr>
            <w:webHidden/>
          </w:rPr>
          <w:tab/>
        </w:r>
        <w:r w:rsidRPr="006340F9">
          <w:rPr>
            <w:webHidden/>
          </w:rPr>
          <w:fldChar w:fldCharType="begin"/>
        </w:r>
        <w:r w:rsidRPr="006340F9">
          <w:rPr>
            <w:webHidden/>
          </w:rPr>
          <w:instrText xml:space="preserve"> PAGEREF _Toc209441993 \h </w:instrText>
        </w:r>
        <w:r w:rsidRPr="006340F9">
          <w:rPr>
            <w:webHidden/>
          </w:rPr>
        </w:r>
        <w:r w:rsidRPr="006340F9">
          <w:rPr>
            <w:webHidden/>
          </w:rPr>
          <w:fldChar w:fldCharType="separate"/>
        </w:r>
        <w:r w:rsidR="001751FE">
          <w:rPr>
            <w:webHidden/>
          </w:rPr>
          <w:t>51</w:t>
        </w:r>
        <w:r w:rsidRPr="006340F9">
          <w:rPr>
            <w:webHidden/>
          </w:rPr>
          <w:fldChar w:fldCharType="end"/>
        </w:r>
      </w:hyperlink>
    </w:p>
    <w:p w14:paraId="51DD9613" w14:textId="17D8A010" w:rsidR="00B40B1F" w:rsidRPr="006340F9" w:rsidRDefault="00B40B1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09441994" w:history="1">
        <w:r w:rsidRPr="006340F9">
          <w:rPr>
            <w:rStyle w:val="Hyperlink"/>
          </w:rPr>
          <w:t>4</w:t>
        </w:r>
        <w:r w:rsidRPr="006340F9">
          <w:rPr>
            <w:rFonts w:asciiTheme="minorHAnsi" w:eastAsiaTheme="minorEastAsia" w:hAnsiTheme="minorHAnsi" w:cstheme="minorBidi"/>
            <w:b w:val="0"/>
            <w:kern w:val="2"/>
            <w:sz w:val="24"/>
            <w:szCs w:val="24"/>
            <w:lang w:eastAsia="en-AU"/>
            <w14:ligatures w14:val="standardContextual"/>
          </w:rPr>
          <w:tab/>
        </w:r>
        <w:r w:rsidRPr="006340F9">
          <w:rPr>
            <w:rStyle w:val="Hyperlink"/>
          </w:rPr>
          <w:t>Consumer insights</w:t>
        </w:r>
        <w:r w:rsidRPr="006340F9">
          <w:rPr>
            <w:webHidden/>
          </w:rPr>
          <w:tab/>
        </w:r>
        <w:r w:rsidRPr="006340F9">
          <w:rPr>
            <w:webHidden/>
          </w:rPr>
          <w:fldChar w:fldCharType="begin"/>
        </w:r>
        <w:r w:rsidRPr="006340F9">
          <w:rPr>
            <w:webHidden/>
          </w:rPr>
          <w:instrText xml:space="preserve"> PAGEREF _Toc209441994 \h </w:instrText>
        </w:r>
        <w:r w:rsidRPr="006340F9">
          <w:rPr>
            <w:webHidden/>
          </w:rPr>
        </w:r>
        <w:r w:rsidRPr="006340F9">
          <w:rPr>
            <w:webHidden/>
          </w:rPr>
          <w:fldChar w:fldCharType="separate"/>
        </w:r>
        <w:r w:rsidR="001751FE">
          <w:rPr>
            <w:webHidden/>
          </w:rPr>
          <w:t>54</w:t>
        </w:r>
        <w:r w:rsidRPr="006340F9">
          <w:rPr>
            <w:webHidden/>
          </w:rPr>
          <w:fldChar w:fldCharType="end"/>
        </w:r>
      </w:hyperlink>
    </w:p>
    <w:p w14:paraId="3CD34460" w14:textId="36B8C3F3"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95" w:history="1">
        <w:r w:rsidRPr="006340F9">
          <w:rPr>
            <w:rStyle w:val="Hyperlink"/>
            <w:bCs/>
          </w:rPr>
          <w:t>4.1</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Fonts w:eastAsia="Arial"/>
          </w:rPr>
          <w:t>Introduction</w:t>
        </w:r>
        <w:r w:rsidRPr="006340F9">
          <w:rPr>
            <w:webHidden/>
          </w:rPr>
          <w:tab/>
        </w:r>
        <w:r w:rsidRPr="006340F9">
          <w:rPr>
            <w:webHidden/>
          </w:rPr>
          <w:fldChar w:fldCharType="begin"/>
        </w:r>
        <w:r w:rsidRPr="006340F9">
          <w:rPr>
            <w:webHidden/>
          </w:rPr>
          <w:instrText xml:space="preserve"> PAGEREF _Toc209441995 \h </w:instrText>
        </w:r>
        <w:r w:rsidRPr="006340F9">
          <w:rPr>
            <w:webHidden/>
          </w:rPr>
        </w:r>
        <w:r w:rsidRPr="006340F9">
          <w:rPr>
            <w:webHidden/>
          </w:rPr>
          <w:fldChar w:fldCharType="separate"/>
        </w:r>
        <w:r w:rsidR="001751FE">
          <w:rPr>
            <w:webHidden/>
          </w:rPr>
          <w:t>54</w:t>
        </w:r>
        <w:r w:rsidRPr="006340F9">
          <w:rPr>
            <w:webHidden/>
          </w:rPr>
          <w:fldChar w:fldCharType="end"/>
        </w:r>
      </w:hyperlink>
    </w:p>
    <w:p w14:paraId="0FF2EFD1" w14:textId="26793232"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96" w:history="1">
        <w:r w:rsidRPr="006340F9">
          <w:rPr>
            <w:rStyle w:val="Hyperlink"/>
            <w:bCs/>
          </w:rPr>
          <w:t>4.2</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Fonts w:eastAsia="Arial"/>
          </w:rPr>
          <w:t>Consumers highlighted barriers to making informed choices</w:t>
        </w:r>
        <w:r w:rsidRPr="006340F9">
          <w:rPr>
            <w:webHidden/>
          </w:rPr>
          <w:tab/>
        </w:r>
        <w:r w:rsidRPr="006340F9">
          <w:rPr>
            <w:webHidden/>
          </w:rPr>
          <w:fldChar w:fldCharType="begin"/>
        </w:r>
        <w:r w:rsidRPr="006340F9">
          <w:rPr>
            <w:webHidden/>
          </w:rPr>
          <w:instrText xml:space="preserve"> PAGEREF _Toc209441996 \h </w:instrText>
        </w:r>
        <w:r w:rsidRPr="006340F9">
          <w:rPr>
            <w:webHidden/>
          </w:rPr>
        </w:r>
        <w:r w:rsidRPr="006340F9">
          <w:rPr>
            <w:webHidden/>
          </w:rPr>
          <w:fldChar w:fldCharType="separate"/>
        </w:r>
        <w:r w:rsidR="001751FE">
          <w:rPr>
            <w:webHidden/>
          </w:rPr>
          <w:t>54</w:t>
        </w:r>
        <w:r w:rsidRPr="006340F9">
          <w:rPr>
            <w:webHidden/>
          </w:rPr>
          <w:fldChar w:fldCharType="end"/>
        </w:r>
      </w:hyperlink>
    </w:p>
    <w:p w14:paraId="75E6EFB4" w14:textId="707415FC"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97" w:history="1">
        <w:r w:rsidRPr="006340F9">
          <w:rPr>
            <w:rStyle w:val="Hyperlink"/>
            <w:rFonts w:eastAsia="Arial"/>
            <w:bCs/>
          </w:rPr>
          <w:t>4.3</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Fonts w:eastAsia="Arial"/>
          </w:rPr>
          <w:t>Profit-driven practices adversely impact consumer experience</w:t>
        </w:r>
        <w:r w:rsidRPr="006340F9">
          <w:rPr>
            <w:webHidden/>
          </w:rPr>
          <w:tab/>
        </w:r>
        <w:r w:rsidRPr="006340F9">
          <w:rPr>
            <w:webHidden/>
          </w:rPr>
          <w:fldChar w:fldCharType="begin"/>
        </w:r>
        <w:r w:rsidRPr="006340F9">
          <w:rPr>
            <w:webHidden/>
          </w:rPr>
          <w:instrText xml:space="preserve"> PAGEREF _Toc209441997 \h </w:instrText>
        </w:r>
        <w:r w:rsidRPr="006340F9">
          <w:rPr>
            <w:webHidden/>
          </w:rPr>
        </w:r>
        <w:r w:rsidRPr="006340F9">
          <w:rPr>
            <w:webHidden/>
          </w:rPr>
          <w:fldChar w:fldCharType="separate"/>
        </w:r>
        <w:r w:rsidR="001751FE">
          <w:rPr>
            <w:webHidden/>
          </w:rPr>
          <w:t>56</w:t>
        </w:r>
        <w:r w:rsidRPr="006340F9">
          <w:rPr>
            <w:webHidden/>
          </w:rPr>
          <w:fldChar w:fldCharType="end"/>
        </w:r>
      </w:hyperlink>
    </w:p>
    <w:p w14:paraId="3786B0DF" w14:textId="2E577554"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98" w:history="1">
        <w:r w:rsidRPr="006340F9">
          <w:rPr>
            <w:rStyle w:val="Hyperlink"/>
            <w:bCs/>
          </w:rPr>
          <w:t>4.4</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Fonts w:eastAsia="Arial"/>
          </w:rPr>
          <w:t>Consumers experience difficulties making and resolving complaints</w:t>
        </w:r>
        <w:r w:rsidRPr="006340F9">
          <w:rPr>
            <w:webHidden/>
          </w:rPr>
          <w:tab/>
        </w:r>
        <w:r w:rsidRPr="006340F9">
          <w:rPr>
            <w:webHidden/>
          </w:rPr>
          <w:fldChar w:fldCharType="begin"/>
        </w:r>
        <w:r w:rsidRPr="006340F9">
          <w:rPr>
            <w:webHidden/>
          </w:rPr>
          <w:instrText xml:space="preserve"> PAGEREF _Toc209441998 \h </w:instrText>
        </w:r>
        <w:r w:rsidRPr="006340F9">
          <w:rPr>
            <w:webHidden/>
          </w:rPr>
        </w:r>
        <w:r w:rsidRPr="006340F9">
          <w:rPr>
            <w:webHidden/>
          </w:rPr>
          <w:fldChar w:fldCharType="separate"/>
        </w:r>
        <w:r w:rsidR="001751FE">
          <w:rPr>
            <w:webHidden/>
          </w:rPr>
          <w:t>57</w:t>
        </w:r>
        <w:r w:rsidRPr="006340F9">
          <w:rPr>
            <w:webHidden/>
          </w:rPr>
          <w:fldChar w:fldCharType="end"/>
        </w:r>
      </w:hyperlink>
    </w:p>
    <w:p w14:paraId="453C24D1" w14:textId="752FCDD4"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1999" w:history="1">
        <w:r w:rsidRPr="006340F9">
          <w:rPr>
            <w:rStyle w:val="Hyperlink"/>
            <w:rFonts w:eastAsia="Arial"/>
            <w:bCs/>
          </w:rPr>
          <w:t>4.5</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Fonts w:eastAsia="Arial"/>
          </w:rPr>
          <w:t>Consumers raised concerns about donor gamete issues</w:t>
        </w:r>
        <w:r w:rsidRPr="006340F9">
          <w:rPr>
            <w:webHidden/>
          </w:rPr>
          <w:tab/>
        </w:r>
        <w:r w:rsidRPr="006340F9">
          <w:rPr>
            <w:webHidden/>
          </w:rPr>
          <w:fldChar w:fldCharType="begin"/>
        </w:r>
        <w:r w:rsidRPr="006340F9">
          <w:rPr>
            <w:webHidden/>
          </w:rPr>
          <w:instrText xml:space="preserve"> PAGEREF _Toc209441999 \h </w:instrText>
        </w:r>
        <w:r w:rsidRPr="006340F9">
          <w:rPr>
            <w:webHidden/>
          </w:rPr>
        </w:r>
        <w:r w:rsidRPr="006340F9">
          <w:rPr>
            <w:webHidden/>
          </w:rPr>
          <w:fldChar w:fldCharType="separate"/>
        </w:r>
        <w:r w:rsidR="001751FE">
          <w:rPr>
            <w:webHidden/>
          </w:rPr>
          <w:t>57</w:t>
        </w:r>
        <w:r w:rsidRPr="006340F9">
          <w:rPr>
            <w:webHidden/>
          </w:rPr>
          <w:fldChar w:fldCharType="end"/>
        </w:r>
      </w:hyperlink>
    </w:p>
    <w:p w14:paraId="2F5D3C8B" w14:textId="5D4A152E" w:rsidR="00B40B1F" w:rsidRPr="006340F9" w:rsidRDefault="00B40B1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09442000" w:history="1">
        <w:r w:rsidRPr="006340F9">
          <w:rPr>
            <w:rStyle w:val="Hyperlink"/>
          </w:rPr>
          <w:t>5</w:t>
        </w:r>
        <w:r w:rsidRPr="006340F9">
          <w:rPr>
            <w:rFonts w:asciiTheme="minorHAnsi" w:eastAsiaTheme="minorEastAsia" w:hAnsiTheme="minorHAnsi" w:cstheme="minorBidi"/>
            <w:b w:val="0"/>
            <w:kern w:val="2"/>
            <w:sz w:val="24"/>
            <w:szCs w:val="24"/>
            <w:lang w:eastAsia="en-AU"/>
            <w14:ligatures w14:val="standardContextual"/>
          </w:rPr>
          <w:tab/>
        </w:r>
        <w:r w:rsidRPr="006340F9">
          <w:rPr>
            <w:rStyle w:val="Hyperlink"/>
          </w:rPr>
          <w:t>System improvement</w:t>
        </w:r>
        <w:r w:rsidRPr="006340F9">
          <w:rPr>
            <w:webHidden/>
          </w:rPr>
          <w:tab/>
        </w:r>
        <w:r w:rsidRPr="006340F9">
          <w:rPr>
            <w:webHidden/>
          </w:rPr>
          <w:fldChar w:fldCharType="begin"/>
        </w:r>
        <w:r w:rsidRPr="006340F9">
          <w:rPr>
            <w:webHidden/>
          </w:rPr>
          <w:instrText xml:space="preserve"> PAGEREF _Toc209442000 \h </w:instrText>
        </w:r>
        <w:r w:rsidRPr="006340F9">
          <w:rPr>
            <w:webHidden/>
          </w:rPr>
        </w:r>
        <w:r w:rsidRPr="006340F9">
          <w:rPr>
            <w:webHidden/>
          </w:rPr>
          <w:fldChar w:fldCharType="separate"/>
        </w:r>
        <w:r w:rsidR="001751FE">
          <w:rPr>
            <w:webHidden/>
          </w:rPr>
          <w:t>59</w:t>
        </w:r>
        <w:r w:rsidRPr="006340F9">
          <w:rPr>
            <w:webHidden/>
          </w:rPr>
          <w:fldChar w:fldCharType="end"/>
        </w:r>
      </w:hyperlink>
    </w:p>
    <w:p w14:paraId="26E87970" w14:textId="7B3BD53F"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2001" w:history="1">
        <w:r w:rsidRPr="006340F9">
          <w:rPr>
            <w:rStyle w:val="Hyperlink"/>
            <w:bCs/>
          </w:rPr>
          <w:t>5.1</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Pr>
          <w:t>Accreditation reform opportunities</w:t>
        </w:r>
        <w:r w:rsidRPr="006340F9">
          <w:rPr>
            <w:webHidden/>
          </w:rPr>
          <w:tab/>
        </w:r>
        <w:r w:rsidRPr="006340F9">
          <w:rPr>
            <w:webHidden/>
          </w:rPr>
          <w:fldChar w:fldCharType="begin"/>
        </w:r>
        <w:r w:rsidRPr="006340F9">
          <w:rPr>
            <w:webHidden/>
          </w:rPr>
          <w:instrText xml:space="preserve"> PAGEREF _Toc209442001 \h </w:instrText>
        </w:r>
        <w:r w:rsidRPr="006340F9">
          <w:rPr>
            <w:webHidden/>
          </w:rPr>
        </w:r>
        <w:r w:rsidRPr="006340F9">
          <w:rPr>
            <w:webHidden/>
          </w:rPr>
          <w:fldChar w:fldCharType="separate"/>
        </w:r>
        <w:r w:rsidR="001751FE">
          <w:rPr>
            <w:webHidden/>
          </w:rPr>
          <w:t>60</w:t>
        </w:r>
        <w:r w:rsidRPr="006340F9">
          <w:rPr>
            <w:webHidden/>
          </w:rPr>
          <w:fldChar w:fldCharType="end"/>
        </w:r>
      </w:hyperlink>
    </w:p>
    <w:p w14:paraId="3F878877" w14:textId="1D13B251"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2002" w:history="1">
        <w:r w:rsidRPr="006340F9">
          <w:rPr>
            <w:rStyle w:val="Hyperlink"/>
            <w:bCs/>
          </w:rPr>
          <w:t>5.2</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Pr>
          <w:t>Regulation reform opportunities</w:t>
        </w:r>
        <w:r w:rsidRPr="006340F9">
          <w:rPr>
            <w:webHidden/>
          </w:rPr>
          <w:tab/>
        </w:r>
        <w:r w:rsidRPr="006340F9">
          <w:rPr>
            <w:webHidden/>
          </w:rPr>
          <w:fldChar w:fldCharType="begin"/>
        </w:r>
        <w:r w:rsidRPr="006340F9">
          <w:rPr>
            <w:webHidden/>
          </w:rPr>
          <w:instrText xml:space="preserve"> PAGEREF _Toc209442002 \h </w:instrText>
        </w:r>
        <w:r w:rsidRPr="006340F9">
          <w:rPr>
            <w:webHidden/>
          </w:rPr>
        </w:r>
        <w:r w:rsidRPr="006340F9">
          <w:rPr>
            <w:webHidden/>
          </w:rPr>
          <w:fldChar w:fldCharType="separate"/>
        </w:r>
        <w:r w:rsidR="001751FE">
          <w:rPr>
            <w:webHidden/>
          </w:rPr>
          <w:t>66</w:t>
        </w:r>
        <w:r w:rsidRPr="006340F9">
          <w:rPr>
            <w:webHidden/>
          </w:rPr>
          <w:fldChar w:fldCharType="end"/>
        </w:r>
      </w:hyperlink>
    </w:p>
    <w:p w14:paraId="4D8B21B5" w14:textId="5146FF2A"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2003" w:history="1">
        <w:r w:rsidRPr="006340F9">
          <w:rPr>
            <w:rStyle w:val="Hyperlink"/>
            <w:bCs/>
          </w:rPr>
          <w:t>5.3</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Pr>
          <w:t>Enablers of reform opportunities</w:t>
        </w:r>
        <w:r w:rsidRPr="006340F9">
          <w:rPr>
            <w:webHidden/>
          </w:rPr>
          <w:tab/>
        </w:r>
        <w:r w:rsidRPr="006340F9">
          <w:rPr>
            <w:webHidden/>
          </w:rPr>
          <w:fldChar w:fldCharType="begin"/>
        </w:r>
        <w:r w:rsidRPr="006340F9">
          <w:rPr>
            <w:webHidden/>
          </w:rPr>
          <w:instrText xml:space="preserve"> PAGEREF _Toc209442003 \h </w:instrText>
        </w:r>
        <w:r w:rsidRPr="006340F9">
          <w:rPr>
            <w:webHidden/>
          </w:rPr>
        </w:r>
        <w:r w:rsidRPr="006340F9">
          <w:rPr>
            <w:webHidden/>
          </w:rPr>
          <w:fldChar w:fldCharType="separate"/>
        </w:r>
        <w:r w:rsidR="001751FE">
          <w:rPr>
            <w:webHidden/>
          </w:rPr>
          <w:t>69</w:t>
        </w:r>
        <w:r w:rsidRPr="006340F9">
          <w:rPr>
            <w:webHidden/>
          </w:rPr>
          <w:fldChar w:fldCharType="end"/>
        </w:r>
      </w:hyperlink>
    </w:p>
    <w:p w14:paraId="6D990CD8" w14:textId="468101DD" w:rsidR="00B40B1F" w:rsidRPr="006340F9" w:rsidRDefault="00B40B1F">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9442004" w:history="1">
        <w:r w:rsidRPr="006340F9">
          <w:rPr>
            <w:rStyle w:val="Hyperlink"/>
            <w:bCs/>
          </w:rPr>
          <w:t>5.4</w:t>
        </w:r>
        <w:r w:rsidRPr="006340F9">
          <w:rPr>
            <w:rFonts w:asciiTheme="minorHAnsi" w:eastAsiaTheme="minorEastAsia" w:hAnsiTheme="minorHAnsi" w:cstheme="minorBidi"/>
            <w:kern w:val="2"/>
            <w:sz w:val="24"/>
            <w:szCs w:val="24"/>
            <w:lang w:eastAsia="en-AU"/>
            <w14:ligatures w14:val="standardContextual"/>
          </w:rPr>
          <w:tab/>
        </w:r>
        <w:r w:rsidRPr="006340F9">
          <w:rPr>
            <w:rStyle w:val="Hyperlink"/>
          </w:rPr>
          <w:t>Further work to be commissioned</w:t>
        </w:r>
        <w:r w:rsidRPr="006340F9">
          <w:rPr>
            <w:webHidden/>
          </w:rPr>
          <w:tab/>
        </w:r>
        <w:r w:rsidRPr="006340F9">
          <w:rPr>
            <w:webHidden/>
          </w:rPr>
          <w:fldChar w:fldCharType="begin"/>
        </w:r>
        <w:r w:rsidRPr="006340F9">
          <w:rPr>
            <w:webHidden/>
          </w:rPr>
          <w:instrText xml:space="preserve"> PAGEREF _Toc209442004 \h </w:instrText>
        </w:r>
        <w:r w:rsidRPr="006340F9">
          <w:rPr>
            <w:webHidden/>
          </w:rPr>
        </w:r>
        <w:r w:rsidRPr="006340F9">
          <w:rPr>
            <w:webHidden/>
          </w:rPr>
          <w:fldChar w:fldCharType="separate"/>
        </w:r>
        <w:r w:rsidR="001751FE">
          <w:rPr>
            <w:webHidden/>
          </w:rPr>
          <w:t>75</w:t>
        </w:r>
        <w:r w:rsidRPr="006340F9">
          <w:rPr>
            <w:webHidden/>
          </w:rPr>
          <w:fldChar w:fldCharType="end"/>
        </w:r>
      </w:hyperlink>
    </w:p>
    <w:p w14:paraId="238EB07C" w14:textId="25761FFB" w:rsidR="00B40B1F" w:rsidRPr="006340F9" w:rsidRDefault="00B40B1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09442005" w:history="1">
        <w:r w:rsidRPr="006340F9">
          <w:rPr>
            <w:rStyle w:val="Hyperlink"/>
          </w:rPr>
          <w:t>6</w:t>
        </w:r>
        <w:r w:rsidRPr="006340F9">
          <w:rPr>
            <w:rFonts w:asciiTheme="minorHAnsi" w:eastAsiaTheme="minorEastAsia" w:hAnsiTheme="minorHAnsi" w:cstheme="minorBidi"/>
            <w:b w:val="0"/>
            <w:kern w:val="2"/>
            <w:sz w:val="24"/>
            <w:szCs w:val="24"/>
            <w:lang w:eastAsia="en-AU"/>
            <w14:ligatures w14:val="standardContextual"/>
          </w:rPr>
          <w:tab/>
        </w:r>
        <w:r w:rsidRPr="006340F9">
          <w:rPr>
            <w:rStyle w:val="Hyperlink"/>
          </w:rPr>
          <w:t>Proposed implementation approach</w:t>
        </w:r>
        <w:r w:rsidRPr="006340F9">
          <w:rPr>
            <w:webHidden/>
          </w:rPr>
          <w:tab/>
        </w:r>
        <w:r w:rsidRPr="006340F9">
          <w:rPr>
            <w:webHidden/>
          </w:rPr>
          <w:fldChar w:fldCharType="begin"/>
        </w:r>
        <w:r w:rsidRPr="006340F9">
          <w:rPr>
            <w:webHidden/>
          </w:rPr>
          <w:instrText xml:space="preserve"> PAGEREF _Toc209442005 \h </w:instrText>
        </w:r>
        <w:r w:rsidRPr="006340F9">
          <w:rPr>
            <w:webHidden/>
          </w:rPr>
        </w:r>
        <w:r w:rsidRPr="006340F9">
          <w:rPr>
            <w:webHidden/>
          </w:rPr>
          <w:fldChar w:fldCharType="separate"/>
        </w:r>
        <w:r w:rsidR="001751FE">
          <w:rPr>
            <w:webHidden/>
          </w:rPr>
          <w:t>77</w:t>
        </w:r>
        <w:r w:rsidRPr="006340F9">
          <w:rPr>
            <w:webHidden/>
          </w:rPr>
          <w:fldChar w:fldCharType="end"/>
        </w:r>
      </w:hyperlink>
    </w:p>
    <w:p w14:paraId="34153BD2" w14:textId="3624D297" w:rsidR="00B40B1F" w:rsidRPr="006340F9" w:rsidRDefault="00B40B1F">
      <w:pPr>
        <w:pStyle w:val="TOC1"/>
        <w:rPr>
          <w:rFonts w:asciiTheme="minorHAnsi" w:eastAsiaTheme="minorEastAsia" w:hAnsiTheme="minorHAnsi" w:cstheme="minorBidi"/>
          <w:b w:val="0"/>
          <w:kern w:val="2"/>
          <w:sz w:val="24"/>
          <w:szCs w:val="24"/>
          <w:lang w:eastAsia="en-AU"/>
          <w14:ligatures w14:val="standardContextual"/>
        </w:rPr>
      </w:pPr>
      <w:hyperlink w:anchor="_Toc209442006" w:history="1">
        <w:r w:rsidRPr="006340F9">
          <w:rPr>
            <w:rStyle w:val="Hyperlink"/>
          </w:rPr>
          <w:t>Appendix 1</w:t>
        </w:r>
        <w:r w:rsidRPr="006340F9">
          <w:rPr>
            <w:webHidden/>
          </w:rPr>
          <w:tab/>
        </w:r>
        <w:r w:rsidRPr="006340F9">
          <w:rPr>
            <w:webHidden/>
          </w:rPr>
          <w:fldChar w:fldCharType="begin"/>
        </w:r>
        <w:r w:rsidRPr="006340F9">
          <w:rPr>
            <w:webHidden/>
          </w:rPr>
          <w:instrText xml:space="preserve"> PAGEREF _Toc209442006 \h </w:instrText>
        </w:r>
        <w:r w:rsidRPr="006340F9">
          <w:rPr>
            <w:webHidden/>
          </w:rPr>
        </w:r>
        <w:r w:rsidRPr="006340F9">
          <w:rPr>
            <w:webHidden/>
          </w:rPr>
          <w:fldChar w:fldCharType="separate"/>
        </w:r>
        <w:r w:rsidR="001751FE">
          <w:rPr>
            <w:webHidden/>
          </w:rPr>
          <w:t>78</w:t>
        </w:r>
        <w:r w:rsidRPr="006340F9">
          <w:rPr>
            <w:webHidden/>
          </w:rPr>
          <w:fldChar w:fldCharType="end"/>
        </w:r>
      </w:hyperlink>
    </w:p>
    <w:p w14:paraId="2DA4B8AA" w14:textId="1A19DDD9" w:rsidR="00B40B1F" w:rsidRPr="006340F9" w:rsidRDefault="00B40B1F">
      <w:pPr>
        <w:pStyle w:val="TOC1"/>
        <w:rPr>
          <w:rFonts w:asciiTheme="minorHAnsi" w:eastAsiaTheme="minorEastAsia" w:hAnsiTheme="minorHAnsi" w:cstheme="minorBidi"/>
          <w:b w:val="0"/>
          <w:kern w:val="2"/>
          <w:sz w:val="24"/>
          <w:szCs w:val="24"/>
          <w:lang w:eastAsia="en-AU"/>
          <w14:ligatures w14:val="standardContextual"/>
        </w:rPr>
      </w:pPr>
      <w:hyperlink w:anchor="_Toc209442007" w:history="1">
        <w:r w:rsidRPr="006340F9">
          <w:rPr>
            <w:rStyle w:val="Hyperlink"/>
          </w:rPr>
          <w:t>Appendix 2</w:t>
        </w:r>
        <w:r w:rsidRPr="006340F9">
          <w:rPr>
            <w:webHidden/>
          </w:rPr>
          <w:tab/>
        </w:r>
        <w:r w:rsidRPr="006340F9">
          <w:rPr>
            <w:webHidden/>
          </w:rPr>
          <w:fldChar w:fldCharType="begin"/>
        </w:r>
        <w:r w:rsidRPr="006340F9">
          <w:rPr>
            <w:webHidden/>
          </w:rPr>
          <w:instrText xml:space="preserve"> PAGEREF _Toc209442007 \h </w:instrText>
        </w:r>
        <w:r w:rsidRPr="006340F9">
          <w:rPr>
            <w:webHidden/>
          </w:rPr>
        </w:r>
        <w:r w:rsidRPr="006340F9">
          <w:rPr>
            <w:webHidden/>
          </w:rPr>
          <w:fldChar w:fldCharType="separate"/>
        </w:r>
        <w:r w:rsidR="001751FE">
          <w:rPr>
            <w:webHidden/>
          </w:rPr>
          <w:t>79</w:t>
        </w:r>
        <w:r w:rsidRPr="006340F9">
          <w:rPr>
            <w:webHidden/>
          </w:rPr>
          <w:fldChar w:fldCharType="end"/>
        </w:r>
      </w:hyperlink>
    </w:p>
    <w:p w14:paraId="234D0F47" w14:textId="2D754108" w:rsidR="00B40B1F" w:rsidRPr="006340F9" w:rsidRDefault="00B40B1F">
      <w:pPr>
        <w:pStyle w:val="TOC1"/>
        <w:rPr>
          <w:rFonts w:asciiTheme="minorHAnsi" w:eastAsiaTheme="minorEastAsia" w:hAnsiTheme="minorHAnsi" w:cstheme="minorBidi"/>
          <w:b w:val="0"/>
          <w:kern w:val="2"/>
          <w:sz w:val="24"/>
          <w:szCs w:val="24"/>
          <w:lang w:eastAsia="en-AU"/>
          <w14:ligatures w14:val="standardContextual"/>
        </w:rPr>
      </w:pPr>
      <w:hyperlink w:anchor="_Toc209442008" w:history="1">
        <w:r w:rsidRPr="006340F9">
          <w:rPr>
            <w:rStyle w:val="Hyperlink"/>
          </w:rPr>
          <w:t>Glossary</w:t>
        </w:r>
        <w:r w:rsidRPr="006340F9">
          <w:rPr>
            <w:webHidden/>
          </w:rPr>
          <w:tab/>
        </w:r>
        <w:r w:rsidRPr="006340F9">
          <w:rPr>
            <w:webHidden/>
          </w:rPr>
          <w:fldChar w:fldCharType="begin"/>
        </w:r>
        <w:r w:rsidRPr="006340F9">
          <w:rPr>
            <w:webHidden/>
          </w:rPr>
          <w:instrText xml:space="preserve"> PAGEREF _Toc209442008 \h </w:instrText>
        </w:r>
        <w:r w:rsidRPr="006340F9">
          <w:rPr>
            <w:webHidden/>
          </w:rPr>
        </w:r>
        <w:r w:rsidRPr="006340F9">
          <w:rPr>
            <w:webHidden/>
          </w:rPr>
          <w:fldChar w:fldCharType="separate"/>
        </w:r>
        <w:r w:rsidR="001751FE">
          <w:rPr>
            <w:webHidden/>
          </w:rPr>
          <w:t>81</w:t>
        </w:r>
        <w:r w:rsidRPr="006340F9">
          <w:rPr>
            <w:webHidden/>
          </w:rPr>
          <w:fldChar w:fldCharType="end"/>
        </w:r>
      </w:hyperlink>
    </w:p>
    <w:p w14:paraId="705E2E62" w14:textId="15C7DF59" w:rsidR="00454A7D" w:rsidRPr="006340F9" w:rsidRDefault="00053FFA" w:rsidP="00103530">
      <w:pPr>
        <w:pStyle w:val="Body"/>
      </w:pPr>
      <w:r w:rsidRPr="006340F9">
        <w:rPr>
          <w:rFonts w:eastAsia="Times New Roman"/>
          <w:noProof/>
          <w:sz w:val="21"/>
          <w:szCs w:val="20"/>
        </w:rPr>
        <w:fldChar w:fldCharType="end"/>
      </w:r>
      <w:r w:rsidR="00454A7D" w:rsidRPr="006340F9">
        <w:br w:type="page"/>
      </w:r>
    </w:p>
    <w:p w14:paraId="69DFB824" w14:textId="77777777" w:rsidR="004419DF" w:rsidRPr="006340F9" w:rsidRDefault="004419DF" w:rsidP="004419DF">
      <w:pPr>
        <w:pStyle w:val="Heading1"/>
        <w:numPr>
          <w:ilvl w:val="0"/>
          <w:numId w:val="0"/>
        </w:numPr>
        <w:ind w:left="432" w:hanging="432"/>
      </w:pPr>
      <w:bookmarkStart w:id="2" w:name="_Chapter_1"/>
      <w:bookmarkStart w:id="3" w:name="_Toc207976221"/>
      <w:bookmarkStart w:id="4" w:name="_Ref209189427"/>
      <w:bookmarkStart w:id="5" w:name="_Toc209441974"/>
      <w:bookmarkStart w:id="6" w:name="_Ref207633484"/>
      <w:bookmarkStart w:id="7" w:name="_Toc205489517"/>
      <w:bookmarkEnd w:id="2"/>
      <w:r w:rsidRPr="006340F9">
        <w:lastRenderedPageBreak/>
        <w:t>Executive summary</w:t>
      </w:r>
      <w:bookmarkEnd w:id="3"/>
      <w:bookmarkEnd w:id="4"/>
      <w:bookmarkEnd w:id="5"/>
      <w:r w:rsidRPr="006340F9">
        <w:t xml:space="preserve"> </w:t>
      </w:r>
    </w:p>
    <w:p w14:paraId="031C54BF" w14:textId="4F4A15FF" w:rsidR="00AD1815" w:rsidRPr="006340F9" w:rsidRDefault="00AD1815" w:rsidP="00653DC3">
      <w:pPr>
        <w:pStyle w:val="Body"/>
      </w:pPr>
      <w:r w:rsidRPr="006340F9">
        <w:t xml:space="preserve">Australia’s Assisted Reproductive Technology (ART) sector has changed </w:t>
      </w:r>
      <w:r w:rsidR="098BDD74" w:rsidRPr="006340F9">
        <w:t>significantly</w:t>
      </w:r>
      <w:r w:rsidRPr="006340F9">
        <w:t xml:space="preserve"> since </w:t>
      </w:r>
      <w:r w:rsidR="00FB2F5F" w:rsidRPr="006340F9">
        <w:rPr>
          <w:i/>
          <w:iCs/>
        </w:rPr>
        <w:t>in</w:t>
      </w:r>
      <w:r w:rsidRPr="006340F9">
        <w:rPr>
          <w:i/>
          <w:iCs/>
        </w:rPr>
        <w:t xml:space="preserve"> </w:t>
      </w:r>
      <w:r w:rsidR="00FB2F5F" w:rsidRPr="006340F9">
        <w:rPr>
          <w:i/>
          <w:iCs/>
        </w:rPr>
        <w:t>vitro</w:t>
      </w:r>
      <w:r w:rsidR="00FB2F5F" w:rsidRPr="006340F9">
        <w:t xml:space="preserve"> fertilisation </w:t>
      </w:r>
      <w:r w:rsidRPr="006340F9">
        <w:t xml:space="preserve">(IVF) was first pioneered in the early 1980s. From the beginning, ART providers sought to establish a </w:t>
      </w:r>
      <w:r w:rsidR="00BB27F9" w:rsidRPr="006340F9">
        <w:t>self-</w:t>
      </w:r>
      <w:r w:rsidRPr="006340F9">
        <w:t>regulatory framework that would ensure high quality, safe</w:t>
      </w:r>
      <w:r w:rsidR="003F0A11" w:rsidRPr="006340F9">
        <w:t>,</w:t>
      </w:r>
      <w:r w:rsidRPr="006340F9">
        <w:t xml:space="preserve"> and ethical care. </w:t>
      </w:r>
    </w:p>
    <w:p w14:paraId="70EBD3CA" w14:textId="4F0EA46E" w:rsidR="00AD1815" w:rsidRPr="006340F9" w:rsidRDefault="00AD1815" w:rsidP="00653DC3">
      <w:pPr>
        <w:pStyle w:val="Body"/>
      </w:pPr>
      <w:r w:rsidRPr="006340F9">
        <w:t>However, whether industry-based self-regulation remains sufficient to govern the increased size and complexity of Australia’s ART sector has been recently questioned</w:t>
      </w:r>
      <w:r w:rsidR="009901D9" w:rsidRPr="006340F9">
        <w:t xml:space="preserve">. </w:t>
      </w:r>
      <w:r w:rsidRPr="006340F9">
        <w:t>Further, significant errors by some ART providers have raised broader concerns about the adequacy of current governance and oversight of the ART sector in Australia.</w:t>
      </w:r>
    </w:p>
    <w:p w14:paraId="2228D344" w14:textId="716ED1FA" w:rsidR="00BB27F9" w:rsidRPr="006340F9" w:rsidRDefault="00AD1815" w:rsidP="00653DC3">
      <w:pPr>
        <w:pStyle w:val="Body"/>
      </w:pPr>
      <w:r w:rsidRPr="006340F9">
        <w:t xml:space="preserve">It is within this context that, at the joint Health and Mental Health Ministers Meeting on 13 June 2025, Health Ministers agreed to request the Health Chief Executives Forum to commission a rapid review of the regulatory and accreditation environment for the ART and IVF sectors and identify opportunities for improvement. </w:t>
      </w:r>
    </w:p>
    <w:p w14:paraId="256B1EA9" w14:textId="66F913D1" w:rsidR="00653DC3" w:rsidRPr="006340F9" w:rsidRDefault="003D7C93" w:rsidP="007B6F04">
      <w:pPr>
        <w:pStyle w:val="ExecsumL2"/>
      </w:pPr>
      <w:r w:rsidRPr="006340F9">
        <w:t xml:space="preserve">Chapter 1: </w:t>
      </w:r>
      <w:r w:rsidR="00653DC3" w:rsidRPr="006340F9">
        <w:t>Background and context</w:t>
      </w:r>
    </w:p>
    <w:p w14:paraId="75A172FE" w14:textId="0A3A6CCB" w:rsidR="00653DC3" w:rsidRPr="006340F9" w:rsidRDefault="00111CED" w:rsidP="00653DC3">
      <w:pPr>
        <w:pStyle w:val="Body"/>
      </w:pPr>
      <w:r w:rsidRPr="006340F9">
        <w:t xml:space="preserve">This </w:t>
      </w:r>
      <w:r w:rsidR="00C10C13" w:rsidRPr="006340F9">
        <w:t xml:space="preserve">chapter seeks to set the scene for this </w:t>
      </w:r>
      <w:r w:rsidRPr="006340F9">
        <w:t>rapid review</w:t>
      </w:r>
      <w:r w:rsidR="00C10C13" w:rsidRPr="006340F9">
        <w:t>. Th</w:t>
      </w:r>
      <w:r w:rsidR="003F735C" w:rsidRPr="006340F9">
        <w:t>is review</w:t>
      </w:r>
      <w:r w:rsidRPr="006340F9">
        <w:t xml:space="preserve"> follows 12 </w:t>
      </w:r>
      <w:r w:rsidR="003F735C" w:rsidRPr="006340F9">
        <w:t xml:space="preserve">other </w:t>
      </w:r>
      <w:r w:rsidRPr="006340F9">
        <w:t>reviews and inquiries into various aspects of ART legislation and care provision</w:t>
      </w:r>
      <w:r w:rsidR="000C6D03" w:rsidRPr="006340F9">
        <w:t xml:space="preserve"> </w:t>
      </w:r>
      <w:r w:rsidR="003F735C" w:rsidRPr="006340F9">
        <w:t xml:space="preserve">that have been undertaken </w:t>
      </w:r>
      <w:r w:rsidR="000C6D03" w:rsidRPr="006340F9">
        <w:t xml:space="preserve">over the past </w:t>
      </w:r>
      <w:r w:rsidR="00F83B3B" w:rsidRPr="006340F9">
        <w:t>11</w:t>
      </w:r>
      <w:r w:rsidR="000C6D03" w:rsidRPr="006340F9">
        <w:t xml:space="preserve"> years. Those reviews have</w:t>
      </w:r>
      <w:r w:rsidR="003A2F5C" w:rsidRPr="006340F9">
        <w:t xml:space="preserve"> found a growing need for national reform of </w:t>
      </w:r>
      <w:r w:rsidR="00412443" w:rsidRPr="006340F9">
        <w:t xml:space="preserve">various aspects of </w:t>
      </w:r>
      <w:r w:rsidR="003A2F5C" w:rsidRPr="006340F9">
        <w:t>ART</w:t>
      </w:r>
      <w:r w:rsidR="00412443" w:rsidRPr="006340F9">
        <w:t xml:space="preserve"> provision, including its regulation</w:t>
      </w:r>
      <w:r w:rsidR="003A2F5C" w:rsidRPr="006340F9">
        <w:t xml:space="preserve">. </w:t>
      </w:r>
    </w:p>
    <w:p w14:paraId="6D684CAA" w14:textId="38D4664B" w:rsidR="00CA061F" w:rsidRPr="006340F9" w:rsidRDefault="00CA061F" w:rsidP="00CA061F">
      <w:pPr>
        <w:pStyle w:val="Body"/>
        <w:rPr>
          <w:rFonts w:cs="Arial"/>
        </w:rPr>
      </w:pPr>
      <w:r w:rsidRPr="006340F9">
        <w:rPr>
          <w:rFonts w:cs="Arial"/>
        </w:rPr>
        <w:t>ART services in Australia are shaped by a complex and evolving landscape, marked by concentrated private sector delivery, rising demand, and expanding service offerings. While Medicare provides</w:t>
      </w:r>
      <w:r w:rsidRPr="006340F9" w:rsidDel="003E0980">
        <w:rPr>
          <w:rFonts w:cs="Arial"/>
        </w:rPr>
        <w:t xml:space="preserve"> </w:t>
      </w:r>
      <w:r w:rsidRPr="006340F9">
        <w:rPr>
          <w:rFonts w:cs="Arial"/>
        </w:rPr>
        <w:t xml:space="preserve">funding support, significant out-of-pocket costs and limited access to public services continue to </w:t>
      </w:r>
      <w:r w:rsidR="003524DD" w:rsidRPr="006340F9">
        <w:rPr>
          <w:rFonts w:cs="Arial"/>
        </w:rPr>
        <w:t xml:space="preserve">compromise </w:t>
      </w:r>
      <w:r w:rsidRPr="006340F9">
        <w:rPr>
          <w:rFonts w:cs="Arial"/>
        </w:rPr>
        <w:t>equit</w:t>
      </w:r>
      <w:r w:rsidR="007A0ED3" w:rsidRPr="006340F9">
        <w:rPr>
          <w:rFonts w:cs="Arial"/>
        </w:rPr>
        <w:t>able</w:t>
      </w:r>
      <w:r w:rsidRPr="006340F9">
        <w:rPr>
          <w:rFonts w:cs="Arial"/>
        </w:rPr>
        <w:t xml:space="preserve"> acces</w:t>
      </w:r>
      <w:r w:rsidR="001A4141" w:rsidRPr="006340F9">
        <w:rPr>
          <w:rFonts w:cs="Arial"/>
        </w:rPr>
        <w:t>s</w:t>
      </w:r>
      <w:r w:rsidRPr="006340F9">
        <w:rPr>
          <w:rFonts w:cs="Arial"/>
        </w:rPr>
        <w:t>.</w:t>
      </w:r>
    </w:p>
    <w:p w14:paraId="5C182ED1" w14:textId="1C1F39BD" w:rsidR="00BB27F9" w:rsidRPr="006340F9" w:rsidRDefault="007976CE" w:rsidP="007B6F04">
      <w:pPr>
        <w:pStyle w:val="ExecsumL2"/>
      </w:pPr>
      <w:r w:rsidRPr="006340F9">
        <w:t xml:space="preserve">Chapter 2: </w:t>
      </w:r>
      <w:r w:rsidR="0027526C" w:rsidRPr="006340F9">
        <w:t xml:space="preserve">Current state of ART sector accreditation and regulation </w:t>
      </w:r>
    </w:p>
    <w:p w14:paraId="604F889F" w14:textId="56A9E7DF" w:rsidR="009901D9" w:rsidRPr="006340F9" w:rsidRDefault="007C7766" w:rsidP="009901D9">
      <w:pPr>
        <w:pStyle w:val="Body"/>
      </w:pPr>
      <w:r w:rsidRPr="006340F9">
        <w:t>In this chapter</w:t>
      </w:r>
      <w:r w:rsidR="0089213C" w:rsidRPr="006340F9">
        <w:t xml:space="preserve"> we outline</w:t>
      </w:r>
      <w:r w:rsidRPr="006340F9">
        <w:t xml:space="preserve"> </w:t>
      </w:r>
      <w:r w:rsidR="006E1A9F" w:rsidRPr="006340F9">
        <w:t xml:space="preserve">the current state of ART accreditation and regulation in Australia. </w:t>
      </w:r>
      <w:r w:rsidR="007D5738" w:rsidRPr="006340F9">
        <w:t>Governance of ART accreditation and regulation is fragmented</w:t>
      </w:r>
      <w:r w:rsidR="002C54B8" w:rsidRPr="006340F9">
        <w:t xml:space="preserve"> with six different entities involved in the accreditation and regulation of ART units in Australia.</w:t>
      </w:r>
      <w:r w:rsidR="005C3E17" w:rsidRPr="006340F9">
        <w:t xml:space="preserve"> </w:t>
      </w:r>
      <w:r w:rsidR="008E0BA4" w:rsidRPr="006340F9">
        <w:t>Figure</w:t>
      </w:r>
      <w:r w:rsidR="00E634B9" w:rsidRPr="006340F9">
        <w:t xml:space="preserve"> 1.1 </w:t>
      </w:r>
      <w:r w:rsidR="009901D9" w:rsidRPr="006340F9">
        <w:t>summarises the six entities.</w:t>
      </w:r>
    </w:p>
    <w:p w14:paraId="66393152" w14:textId="38A1F812" w:rsidR="009901D9" w:rsidRPr="006340F9" w:rsidRDefault="009901D9" w:rsidP="009901D9">
      <w:pPr>
        <w:pStyle w:val="FigureCaption0"/>
      </w:pPr>
      <w:bookmarkStart w:id="8" w:name="_Ref207810044"/>
      <w:r w:rsidRPr="006340F9">
        <w:t>Figur</w:t>
      </w:r>
      <w:r w:rsidR="00E634B9" w:rsidRPr="006340F9">
        <w:t>e 1.1:</w:t>
      </w:r>
      <w:bookmarkEnd w:id="8"/>
      <w:r w:rsidRPr="006340F9">
        <w:t xml:space="preserve"> Snapshot of the ART regulatory landscape in Australia.</w:t>
      </w:r>
    </w:p>
    <w:p w14:paraId="3B2616C4" w14:textId="5138A1D2" w:rsidR="009901D9" w:rsidRPr="006340F9" w:rsidRDefault="002663AA" w:rsidP="009901D9">
      <w:pPr>
        <w:pStyle w:val="FigureCaption0"/>
        <w:keepNext w:val="0"/>
      </w:pPr>
      <w:r>
        <w:rPr>
          <w:noProof/>
        </w:rPr>
        <w:drawing>
          <wp:inline distT="0" distB="0" distL="0" distR="0" wp14:anchorId="2B75CF59" wp14:editId="512085EC">
            <wp:extent cx="5151549" cy="2193274"/>
            <wp:effectExtent l="0" t="0" r="0" b="0"/>
            <wp:docPr id="678213296" name="Picture 1" descr="Figure 1.1: Snapshot of the ART regulatory landscap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13296" name="Picture 1" descr="Figure 1.1: Snapshot of the ART regulatory landscape in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7471" cy="2204310"/>
                    </a:xfrm>
                    <a:prstGeom prst="rect">
                      <a:avLst/>
                    </a:prstGeom>
                    <a:noFill/>
                  </pic:spPr>
                </pic:pic>
              </a:graphicData>
            </a:graphic>
          </wp:inline>
        </w:drawing>
      </w:r>
    </w:p>
    <w:p w14:paraId="3B83EF98" w14:textId="06A6136E" w:rsidR="0027526C" w:rsidRPr="006340F9" w:rsidRDefault="007976CE" w:rsidP="007B6F04">
      <w:pPr>
        <w:pStyle w:val="ExecsumL2"/>
      </w:pPr>
      <w:r w:rsidRPr="006340F9">
        <w:lastRenderedPageBreak/>
        <w:t xml:space="preserve">Chapter 3: </w:t>
      </w:r>
      <w:r w:rsidR="008A354B" w:rsidRPr="006340F9">
        <w:t xml:space="preserve">Strengths and weaknesses of </w:t>
      </w:r>
      <w:r w:rsidR="00863482" w:rsidRPr="006340F9">
        <w:t xml:space="preserve">current </w:t>
      </w:r>
      <w:r w:rsidR="008A354B" w:rsidRPr="006340F9">
        <w:t>ART</w:t>
      </w:r>
      <w:r w:rsidR="008A354B" w:rsidRPr="006340F9" w:rsidDel="00863482">
        <w:t xml:space="preserve"> </w:t>
      </w:r>
      <w:r w:rsidR="008A354B" w:rsidRPr="006340F9">
        <w:t>accreditation and regulation</w:t>
      </w:r>
    </w:p>
    <w:p w14:paraId="22687BC3" w14:textId="3436DBDD" w:rsidR="00407E3C" w:rsidRPr="006340F9" w:rsidRDefault="00AC6A1A" w:rsidP="00406AD6">
      <w:pPr>
        <w:pStyle w:val="Body"/>
      </w:pPr>
      <w:r w:rsidRPr="006340F9">
        <w:t xml:space="preserve">In this </w:t>
      </w:r>
      <w:r w:rsidR="00A812AC" w:rsidRPr="006340F9">
        <w:t>chapter</w:t>
      </w:r>
      <w:r w:rsidRPr="006340F9">
        <w:t xml:space="preserve"> we</w:t>
      </w:r>
      <w:r w:rsidR="00A812AC" w:rsidRPr="006340F9">
        <w:t xml:space="preserve"> describe the strengths and weaknesses of the current ART accreditation and regulatory landscape.</w:t>
      </w:r>
      <w:r w:rsidR="007A3E7D" w:rsidRPr="006340F9">
        <w:t xml:space="preserve"> In summary, the </w:t>
      </w:r>
      <w:r w:rsidR="00CE3DB1" w:rsidRPr="006340F9">
        <w:t xml:space="preserve">Reproductive Technology Accreditation Committee </w:t>
      </w:r>
      <w:r w:rsidR="00CE3DB1">
        <w:t>(</w:t>
      </w:r>
      <w:r w:rsidR="007A3E7D" w:rsidRPr="006340F9">
        <w:t>RTAC</w:t>
      </w:r>
      <w:r w:rsidR="00CE3DB1">
        <w:t>)</w:t>
      </w:r>
      <w:r w:rsidR="007A3E7D" w:rsidRPr="006340F9">
        <w:t xml:space="preserve"> accreditation scheme no longer meets current needs, and the standards </w:t>
      </w:r>
      <w:r w:rsidR="0007634C" w:rsidRPr="006340F9">
        <w:t xml:space="preserve">underpinning accreditation </w:t>
      </w:r>
      <w:r w:rsidR="007A3E7D" w:rsidRPr="006340F9">
        <w:t xml:space="preserve">lack sufficient rigour. State and </w:t>
      </w:r>
      <w:r w:rsidR="00B47B3B" w:rsidRPr="006340F9">
        <w:t>T</w:t>
      </w:r>
      <w:r w:rsidR="007A3E7D" w:rsidRPr="006340F9">
        <w:t xml:space="preserve">erritory regulatory oversight varies </w:t>
      </w:r>
      <w:r w:rsidR="00F17EFE" w:rsidRPr="006340F9">
        <w:t xml:space="preserve">across jurisdictions </w:t>
      </w:r>
      <w:r w:rsidR="00926E53" w:rsidRPr="006340F9">
        <w:t>in terms of role and posture. C</w:t>
      </w:r>
      <w:r w:rsidR="00F6686F" w:rsidRPr="006340F9">
        <w:t>urrent c</w:t>
      </w:r>
      <w:r w:rsidR="007A3E7D" w:rsidRPr="006340F9">
        <w:t xml:space="preserve">ompliance monitoring </w:t>
      </w:r>
      <w:r w:rsidR="00926E53" w:rsidRPr="006340F9">
        <w:t xml:space="preserve">is </w:t>
      </w:r>
      <w:r w:rsidR="00F90BA5" w:rsidRPr="006340F9">
        <w:t>insufficient,</w:t>
      </w:r>
      <w:r w:rsidR="00926E53" w:rsidRPr="006340F9">
        <w:t xml:space="preserve"> and enforcement powers are limited and under-utilised.</w:t>
      </w:r>
      <w:r w:rsidR="00F90BA5" w:rsidRPr="006340F9">
        <w:t xml:space="preserve"> Further, </w:t>
      </w:r>
      <w:r w:rsidR="00F17EFE" w:rsidRPr="006340F9">
        <w:t xml:space="preserve">consumers find </w:t>
      </w:r>
      <w:r w:rsidR="00F90BA5" w:rsidRPr="006340F9">
        <w:t>complaints avenues</w:t>
      </w:r>
      <w:r w:rsidR="00F90BA5" w:rsidRPr="006340F9" w:rsidDel="004B4470">
        <w:t xml:space="preserve"> </w:t>
      </w:r>
      <w:r w:rsidR="00F90BA5" w:rsidRPr="006340F9">
        <w:t xml:space="preserve">confusing </w:t>
      </w:r>
      <w:r w:rsidR="00F17EFE" w:rsidRPr="006340F9">
        <w:t xml:space="preserve">and </w:t>
      </w:r>
      <w:r w:rsidR="004B4470" w:rsidRPr="006340F9">
        <w:t>ineffective</w:t>
      </w:r>
      <w:r w:rsidR="00F90BA5" w:rsidRPr="006340F9">
        <w:t>.</w:t>
      </w:r>
    </w:p>
    <w:p w14:paraId="20248DBA" w14:textId="6DAEA735" w:rsidR="00407E3C" w:rsidRPr="006340F9" w:rsidRDefault="006F66E6" w:rsidP="007B6F04">
      <w:pPr>
        <w:pStyle w:val="ExecsumL2"/>
      </w:pPr>
      <w:r w:rsidRPr="006340F9">
        <w:t xml:space="preserve">Chapter 4: </w:t>
      </w:r>
      <w:r w:rsidR="00407E3C" w:rsidRPr="006340F9">
        <w:t xml:space="preserve">Consumer insights </w:t>
      </w:r>
    </w:p>
    <w:p w14:paraId="4AAB6CB0" w14:textId="45D5D6AD" w:rsidR="00407E3C" w:rsidRPr="006340F9" w:rsidRDefault="00A903FF" w:rsidP="003C3083">
      <w:pPr>
        <w:pStyle w:val="Body"/>
      </w:pPr>
      <w:r w:rsidRPr="006340F9">
        <w:t xml:space="preserve">In this </w:t>
      </w:r>
      <w:r w:rsidR="00D90D86" w:rsidRPr="006340F9">
        <w:t>chapter</w:t>
      </w:r>
      <w:r w:rsidRPr="006340F9">
        <w:t>, we</w:t>
      </w:r>
      <w:r w:rsidR="00D90D86" w:rsidRPr="006340F9">
        <w:t xml:space="preserve"> present some preliminary consumer insights on the current provision of ART in Australia. These </w:t>
      </w:r>
      <w:proofErr w:type="gramStart"/>
      <w:r w:rsidR="00D36B65" w:rsidRPr="006340F9">
        <w:t>include:</w:t>
      </w:r>
      <w:proofErr w:type="gramEnd"/>
      <w:r w:rsidR="00D36B65" w:rsidRPr="006340F9">
        <w:t xml:space="preserve"> barriers to making informed choices about ART treatment; profit-driven practices that adversely impact the consumer experience; </w:t>
      </w:r>
      <w:r w:rsidR="00CF3B53" w:rsidRPr="006340F9">
        <w:t>difficulties making and resolving complaints; and concerns about donor gamete issues.</w:t>
      </w:r>
      <w:r w:rsidR="00243F94" w:rsidRPr="006340F9">
        <w:t xml:space="preserve"> While not exhaustive, the insights provide valuable consumer perspectives and offer an awareness of the concerns that matter most to those using ART, if only to suggest what issues would be worth exploring further. </w:t>
      </w:r>
    </w:p>
    <w:p w14:paraId="02F380B3" w14:textId="17B078F8" w:rsidR="00407E3C" w:rsidRPr="006340F9" w:rsidRDefault="006F66E6" w:rsidP="007B6F04">
      <w:pPr>
        <w:pStyle w:val="ExecsumL2"/>
      </w:pPr>
      <w:r w:rsidRPr="006340F9">
        <w:t xml:space="preserve">Chapter 5: </w:t>
      </w:r>
      <w:r w:rsidR="00407E3C" w:rsidRPr="006340F9">
        <w:t xml:space="preserve">System improvement </w:t>
      </w:r>
    </w:p>
    <w:p w14:paraId="1EDD4AEF" w14:textId="7FEAF1D8" w:rsidR="00B5689F" w:rsidRPr="006340F9" w:rsidRDefault="009371BF" w:rsidP="00407E3C">
      <w:pPr>
        <w:pStyle w:val="Body"/>
      </w:pPr>
      <w:r w:rsidRPr="006340F9">
        <w:t xml:space="preserve">In this </w:t>
      </w:r>
      <w:r w:rsidR="00B5689F" w:rsidRPr="006340F9">
        <w:t>chapter</w:t>
      </w:r>
      <w:r w:rsidRPr="006340F9">
        <w:t>, we</w:t>
      </w:r>
      <w:r w:rsidR="00B5689F" w:rsidRPr="006340F9">
        <w:t xml:space="preserve"> outline ten opportunities to improve accreditation, regulation</w:t>
      </w:r>
      <w:r w:rsidR="00E542C2" w:rsidRPr="006340F9">
        <w:t>,</w:t>
      </w:r>
      <w:r w:rsidR="00B5689F" w:rsidRPr="006340F9">
        <w:t xml:space="preserve"> and oversight of the ART sector, each with the intent of delivering better quality and safety of care, and better outcomes for consumers. These </w:t>
      </w:r>
      <w:r w:rsidR="1A2555EB" w:rsidRPr="006340F9">
        <w:t>ar</w:t>
      </w:r>
      <w:r w:rsidR="00B5689F" w:rsidRPr="006340F9">
        <w:t>e:</w:t>
      </w:r>
    </w:p>
    <w:p w14:paraId="48251FCA" w14:textId="30A390DF" w:rsidR="009D1F9E" w:rsidRPr="006340F9" w:rsidRDefault="0064032E" w:rsidP="007C2C61">
      <w:pPr>
        <w:pStyle w:val="Body"/>
        <w:numPr>
          <w:ilvl w:val="0"/>
          <w:numId w:val="13"/>
        </w:numPr>
        <w:spacing w:line="200" w:lineRule="atLeast"/>
        <w:ind w:left="567" w:hanging="425"/>
      </w:pPr>
      <w:r w:rsidRPr="006340F9">
        <w:t>Establishing a</w:t>
      </w:r>
      <w:r w:rsidR="009D1F9E" w:rsidRPr="006340F9">
        <w:t>n independent accreditation entity and process.</w:t>
      </w:r>
    </w:p>
    <w:p w14:paraId="53415E1A" w14:textId="0DF98F62" w:rsidR="009D1F9E" w:rsidRPr="006340F9" w:rsidRDefault="009108B2" w:rsidP="007C2C61">
      <w:pPr>
        <w:pStyle w:val="Body"/>
        <w:numPr>
          <w:ilvl w:val="0"/>
          <w:numId w:val="13"/>
        </w:numPr>
        <w:spacing w:line="200" w:lineRule="atLeast"/>
        <w:ind w:left="567" w:hanging="425"/>
      </w:pPr>
      <w:r w:rsidRPr="006340F9">
        <w:t>Developing and implementing m</w:t>
      </w:r>
      <w:r w:rsidR="009D1F9E" w:rsidRPr="006340F9">
        <w:t>ore comprehensive national quality and safety standards for ART practice.</w:t>
      </w:r>
    </w:p>
    <w:p w14:paraId="0DC3DD7F" w14:textId="70412C04" w:rsidR="009D1F9E" w:rsidRPr="006340F9" w:rsidRDefault="009108B2" w:rsidP="007C2C61">
      <w:pPr>
        <w:pStyle w:val="Body"/>
        <w:numPr>
          <w:ilvl w:val="0"/>
          <w:numId w:val="13"/>
        </w:numPr>
        <w:spacing w:line="200" w:lineRule="atLeast"/>
        <w:ind w:left="567" w:hanging="425"/>
      </w:pPr>
      <w:r w:rsidRPr="006340F9">
        <w:t xml:space="preserve">Improving </w:t>
      </w:r>
      <w:r w:rsidR="009D1F9E" w:rsidRPr="006340F9">
        <w:t xml:space="preserve">oversight </w:t>
      </w:r>
      <w:r w:rsidRPr="006340F9">
        <w:t xml:space="preserve">of </w:t>
      </w:r>
      <w:r w:rsidR="003168ED" w:rsidRPr="006340F9">
        <w:t xml:space="preserve">and guidance for </w:t>
      </w:r>
      <w:r w:rsidR="009D1F9E" w:rsidRPr="006340F9">
        <w:t>professional workers in the ART sector.</w:t>
      </w:r>
    </w:p>
    <w:p w14:paraId="40678BB2" w14:textId="58D592C1" w:rsidR="009D1F9E" w:rsidRPr="006340F9" w:rsidRDefault="00D26FDE" w:rsidP="007C2C61">
      <w:pPr>
        <w:pStyle w:val="Body"/>
        <w:numPr>
          <w:ilvl w:val="0"/>
          <w:numId w:val="13"/>
        </w:numPr>
        <w:spacing w:line="200" w:lineRule="atLeast"/>
        <w:ind w:left="567" w:hanging="425"/>
      </w:pPr>
      <w:r w:rsidRPr="006340F9">
        <w:t xml:space="preserve">Harmonising </w:t>
      </w:r>
      <w:r w:rsidR="009D1F9E" w:rsidRPr="006340F9">
        <w:t>registration and reporting requirements across jurisdictions</w:t>
      </w:r>
      <w:r w:rsidR="00C25FEA" w:rsidRPr="006340F9">
        <w:t>.</w:t>
      </w:r>
    </w:p>
    <w:p w14:paraId="5F66FBFC" w14:textId="085D20D1" w:rsidR="009D1F9E" w:rsidRPr="006340F9" w:rsidRDefault="00D26FDE" w:rsidP="007C2C61">
      <w:pPr>
        <w:pStyle w:val="Body"/>
        <w:numPr>
          <w:ilvl w:val="0"/>
          <w:numId w:val="13"/>
        </w:numPr>
        <w:spacing w:line="200" w:lineRule="atLeast"/>
        <w:ind w:left="567" w:hanging="425"/>
      </w:pPr>
      <w:r w:rsidRPr="006340F9">
        <w:t>Implementing m</w:t>
      </w:r>
      <w:r w:rsidR="009D1F9E" w:rsidRPr="006340F9">
        <w:t>ore effective compliance monitoring.</w:t>
      </w:r>
    </w:p>
    <w:p w14:paraId="0CDDE7F7" w14:textId="77C0A686" w:rsidR="009D1F9E" w:rsidRPr="006340F9" w:rsidRDefault="00D26FDE" w:rsidP="007C2C61">
      <w:pPr>
        <w:pStyle w:val="Body"/>
        <w:numPr>
          <w:ilvl w:val="0"/>
          <w:numId w:val="13"/>
        </w:numPr>
        <w:spacing w:line="200" w:lineRule="atLeast"/>
        <w:ind w:left="567" w:hanging="425"/>
      </w:pPr>
      <w:r w:rsidRPr="006340F9">
        <w:t xml:space="preserve">Enabling more </w:t>
      </w:r>
      <w:r w:rsidR="009D1F9E" w:rsidRPr="006340F9">
        <w:t xml:space="preserve">effective regulatory enforcement. </w:t>
      </w:r>
    </w:p>
    <w:p w14:paraId="11BCC9C9" w14:textId="772CAA2D" w:rsidR="009D1F9E" w:rsidRPr="006340F9" w:rsidRDefault="009D1F9E" w:rsidP="007C2C61">
      <w:pPr>
        <w:pStyle w:val="Body"/>
        <w:numPr>
          <w:ilvl w:val="0"/>
          <w:numId w:val="13"/>
        </w:numPr>
        <w:spacing w:line="200" w:lineRule="atLeast"/>
        <w:ind w:left="567" w:hanging="425"/>
      </w:pPr>
      <w:r w:rsidRPr="006340F9">
        <w:t>Shar</w:t>
      </w:r>
      <w:r w:rsidR="00BF1C05" w:rsidRPr="006340F9">
        <w:t>ing</w:t>
      </w:r>
      <w:r w:rsidRPr="006340F9">
        <w:t xml:space="preserve"> and publish</w:t>
      </w:r>
      <w:r w:rsidR="00BF1C05" w:rsidRPr="006340F9">
        <w:t>ing</w:t>
      </w:r>
      <w:r w:rsidRPr="006340F9">
        <w:t xml:space="preserve"> data on safety and quality improvement.</w:t>
      </w:r>
    </w:p>
    <w:p w14:paraId="1295E6DC" w14:textId="07898187" w:rsidR="009D1F9E" w:rsidRPr="006340F9" w:rsidRDefault="009D1F9E" w:rsidP="007C2C61">
      <w:pPr>
        <w:pStyle w:val="Body"/>
        <w:numPr>
          <w:ilvl w:val="0"/>
          <w:numId w:val="13"/>
        </w:numPr>
        <w:spacing w:line="200" w:lineRule="atLeast"/>
        <w:ind w:left="567" w:hanging="425"/>
      </w:pPr>
      <w:r w:rsidRPr="006340F9">
        <w:t>Improv</w:t>
      </w:r>
      <w:r w:rsidR="00BF1C05" w:rsidRPr="006340F9">
        <w:t>ing</w:t>
      </w:r>
      <w:r w:rsidRPr="006340F9">
        <w:t xml:space="preserve"> transparency and guidance to enable informed consumer choice and consent.</w:t>
      </w:r>
    </w:p>
    <w:p w14:paraId="1BC63A4D" w14:textId="4F636373" w:rsidR="009D1F9E" w:rsidRPr="006340F9" w:rsidRDefault="009D1F9E" w:rsidP="007C2C61">
      <w:pPr>
        <w:pStyle w:val="Body"/>
        <w:numPr>
          <w:ilvl w:val="0"/>
          <w:numId w:val="13"/>
        </w:numPr>
        <w:spacing w:line="200" w:lineRule="atLeast"/>
        <w:ind w:left="567" w:hanging="425"/>
      </w:pPr>
      <w:r w:rsidRPr="006340F9">
        <w:t>Clarify</w:t>
      </w:r>
      <w:r w:rsidR="00BF1C05" w:rsidRPr="006340F9">
        <w:t>ing</w:t>
      </w:r>
      <w:r w:rsidRPr="006340F9">
        <w:t xml:space="preserve"> establish</w:t>
      </w:r>
      <w:r w:rsidR="0060225E" w:rsidRPr="006340F9">
        <w:t>ed</w:t>
      </w:r>
      <w:r w:rsidRPr="006340F9">
        <w:t xml:space="preserve"> complaints pathways and processes.</w:t>
      </w:r>
    </w:p>
    <w:p w14:paraId="1EB74E2D" w14:textId="0878F52A" w:rsidR="009D1F9E" w:rsidRPr="006340F9" w:rsidRDefault="00BF1C05" w:rsidP="007C2C61">
      <w:pPr>
        <w:pStyle w:val="Body"/>
        <w:numPr>
          <w:ilvl w:val="0"/>
          <w:numId w:val="13"/>
        </w:numPr>
        <w:spacing w:line="200" w:lineRule="atLeast"/>
        <w:ind w:left="567" w:hanging="425"/>
      </w:pPr>
      <w:r w:rsidRPr="006340F9">
        <w:t xml:space="preserve">Sharing </w:t>
      </w:r>
      <w:r w:rsidR="009D1F9E" w:rsidRPr="006340F9">
        <w:t>and us</w:t>
      </w:r>
      <w:r w:rsidRPr="006340F9">
        <w:t>ing</w:t>
      </w:r>
      <w:r w:rsidR="009D1F9E" w:rsidRPr="006340F9">
        <w:t xml:space="preserve"> complaints data to support accreditation and regulatory activities.</w:t>
      </w:r>
    </w:p>
    <w:p w14:paraId="57AC601C" w14:textId="2C16E953" w:rsidR="00156681" w:rsidRPr="006340F9" w:rsidRDefault="00156681" w:rsidP="00406AD6">
      <w:pPr>
        <w:pStyle w:val="Bodyaftertablefigurebullets"/>
      </w:pPr>
      <w:r w:rsidRPr="006340F9">
        <w:t>In addition to progressing the above reform opportunities, we</w:t>
      </w:r>
      <w:r w:rsidRPr="006340F9" w:rsidDel="00C2606F">
        <w:t xml:space="preserve"> recommend </w:t>
      </w:r>
      <w:r w:rsidRPr="006340F9" w:rsidDel="00877CFE">
        <w:t xml:space="preserve">that </w:t>
      </w:r>
      <w:r w:rsidRPr="006340F9">
        <w:t>health ministers commission a project that engages a broad range of consumers to gain a deeper understanding of ART consumers’ experiences. We</w:t>
      </w:r>
      <w:r w:rsidR="00877CFE" w:rsidRPr="006340F9">
        <w:t xml:space="preserve"> </w:t>
      </w:r>
      <w:r w:rsidRPr="006340F9">
        <w:t>also recommend that health ministers endorse a referral to the Australian Law Reform Commission to explore harmonisation opportunities in relation to donor issues.</w:t>
      </w:r>
    </w:p>
    <w:p w14:paraId="636C2B20" w14:textId="643F2FA2" w:rsidR="00353608" w:rsidRPr="006340F9" w:rsidRDefault="00353608" w:rsidP="007B6F04">
      <w:pPr>
        <w:pStyle w:val="ExecsumL2"/>
      </w:pPr>
      <w:r w:rsidRPr="006340F9">
        <w:t xml:space="preserve">Chapter </w:t>
      </w:r>
      <w:r w:rsidR="006111D1" w:rsidRPr="006340F9">
        <w:t>6</w:t>
      </w:r>
      <w:r w:rsidRPr="006340F9">
        <w:t xml:space="preserve">: Proposed implementation approach </w:t>
      </w:r>
    </w:p>
    <w:p w14:paraId="7BB2631E" w14:textId="7FF4481D" w:rsidR="00187563" w:rsidRPr="006340F9" w:rsidRDefault="006111D1" w:rsidP="00CD616C">
      <w:pPr>
        <w:pStyle w:val="Body"/>
      </w:pPr>
      <w:r w:rsidRPr="006340F9" w:rsidDel="00B842B0">
        <w:t xml:space="preserve">Chapter </w:t>
      </w:r>
      <w:r w:rsidRPr="006340F9">
        <w:t xml:space="preserve">6 outlines a proposed three-phased approach to implementing the reform </w:t>
      </w:r>
      <w:r w:rsidR="00C311D5" w:rsidRPr="006340F9">
        <w:t xml:space="preserve">opportunities </w:t>
      </w:r>
      <w:r w:rsidRPr="006340F9">
        <w:t>set out in this report</w:t>
      </w:r>
      <w:r w:rsidR="00BC3173" w:rsidRPr="006340F9">
        <w:t xml:space="preserve"> with the first phase to be completed </w:t>
      </w:r>
      <w:r w:rsidR="00E03CEB" w:rsidRPr="006340F9">
        <w:t>by</w:t>
      </w:r>
      <w:r w:rsidR="001B41B0" w:rsidRPr="006340F9">
        <w:t xml:space="preserve"> January 2027</w:t>
      </w:r>
      <w:r w:rsidR="00BC3173" w:rsidRPr="006340F9">
        <w:t>.</w:t>
      </w:r>
    </w:p>
    <w:p w14:paraId="0B08D61B" w14:textId="77777777" w:rsidR="00157A47" w:rsidRPr="006340F9" w:rsidRDefault="00157A47" w:rsidP="00454E7D">
      <w:pPr>
        <w:pStyle w:val="Heading4"/>
        <w:sectPr w:rsidR="00157A47" w:rsidRPr="006340F9" w:rsidSect="00DC625A">
          <w:headerReference w:type="even" r:id="rId19"/>
          <w:headerReference w:type="default" r:id="rId20"/>
          <w:footerReference w:type="default" r:id="rId21"/>
          <w:headerReference w:type="first" r:id="rId22"/>
          <w:pgSz w:w="11906" w:h="16838" w:code="9"/>
          <w:pgMar w:top="1440" w:right="1440" w:bottom="1440" w:left="1440" w:header="720" w:footer="720" w:gutter="0"/>
          <w:cols w:space="720"/>
          <w:docGrid w:linePitch="360"/>
        </w:sectPr>
      </w:pPr>
    </w:p>
    <w:p w14:paraId="793CAE99" w14:textId="56DF6AD3" w:rsidR="001C1B64" w:rsidRPr="006340F9" w:rsidRDefault="001C1B64" w:rsidP="00454E7D">
      <w:pPr>
        <w:pStyle w:val="Heading1"/>
        <w:numPr>
          <w:ilvl w:val="0"/>
          <w:numId w:val="0"/>
        </w:numPr>
        <w:spacing w:before="80"/>
        <w:ind w:left="431" w:hanging="431"/>
      </w:pPr>
      <w:bookmarkStart w:id="9" w:name="_Toc207976222"/>
      <w:bookmarkStart w:id="10" w:name="_Toc209441975"/>
      <w:r w:rsidRPr="006340F9">
        <w:lastRenderedPageBreak/>
        <w:t>Summary of recommendations</w:t>
      </w:r>
      <w:bookmarkEnd w:id="9"/>
      <w:bookmarkEnd w:id="10"/>
    </w:p>
    <w:p w14:paraId="6001F36D" w14:textId="4CB6D033" w:rsidR="00753D6C" w:rsidRPr="006340F9" w:rsidRDefault="00E51493" w:rsidP="00141025">
      <w:pPr>
        <w:pStyle w:val="Body"/>
      </w:pPr>
      <w:r w:rsidRPr="006340F9">
        <w:t>These</w:t>
      </w:r>
      <w:r w:rsidR="00753D6C" w:rsidRPr="006340F9">
        <w:t xml:space="preserve"> recommendations are </w:t>
      </w:r>
      <w:r w:rsidR="002E71E7" w:rsidRPr="006340F9">
        <w:t>discussed in detail in chapter 5.</w:t>
      </w:r>
    </w:p>
    <w:p w14:paraId="4BF7998F" w14:textId="2FD5F8ED" w:rsidR="42C0CF9A" w:rsidRPr="006340F9" w:rsidRDefault="42C0CF9A" w:rsidP="5EEA0A5C">
      <w:pPr>
        <w:pStyle w:val="Body"/>
      </w:pPr>
      <w:r w:rsidRPr="006340F9">
        <w:t>We recommend that:</w:t>
      </w:r>
    </w:p>
    <w:p w14:paraId="13966915" w14:textId="4259D3CE" w:rsidR="001C1B64" w:rsidRPr="006340F9" w:rsidRDefault="002654A4" w:rsidP="5EEA0A5C">
      <w:pPr>
        <w:pStyle w:val="Body"/>
        <w:numPr>
          <w:ilvl w:val="0"/>
          <w:numId w:val="15"/>
        </w:numPr>
        <w:ind w:left="360"/>
      </w:pPr>
      <w:r>
        <w:t>I</w:t>
      </w:r>
      <w:r w:rsidR="001338EC" w:rsidRPr="006340F9">
        <w:t>ndependent accreditation be pursued through the existing national health care accreditation body, the Australian Commission on Safety and Quality in Health Care.</w:t>
      </w:r>
    </w:p>
    <w:p w14:paraId="0A89C0AE" w14:textId="4B395D74" w:rsidR="001338EC" w:rsidRPr="006340F9" w:rsidRDefault="002654A4" w:rsidP="5EEA0A5C">
      <w:pPr>
        <w:pStyle w:val="Body"/>
        <w:numPr>
          <w:ilvl w:val="0"/>
          <w:numId w:val="15"/>
        </w:numPr>
        <w:ind w:left="360"/>
        <w:rPr>
          <w:rFonts w:cs="Arial"/>
          <w:color w:val="000000" w:themeColor="text1"/>
          <w:lang w:eastAsia="en-AU"/>
        </w:rPr>
      </w:pPr>
      <w:r>
        <w:rPr>
          <w:rFonts w:cs="Arial"/>
          <w:color w:val="000000" w:themeColor="text1"/>
          <w:kern w:val="24"/>
          <w:lang w:eastAsia="en-AU"/>
        </w:rPr>
        <w:t>A</w:t>
      </w:r>
      <w:r w:rsidR="004F113E" w:rsidRPr="006340F9">
        <w:rPr>
          <w:rFonts w:cs="Arial"/>
          <w:color w:val="000000" w:themeColor="text1"/>
          <w:kern w:val="24"/>
          <w:lang w:eastAsia="en-AU"/>
        </w:rPr>
        <w:t xml:space="preserve">n updated Code of Practice or </w:t>
      </w:r>
      <w:r w:rsidR="6F5E7993" w:rsidRPr="006340F9">
        <w:rPr>
          <w:rFonts w:cs="Arial"/>
          <w:color w:val="000000" w:themeColor="text1"/>
          <w:kern w:val="24"/>
          <w:lang w:eastAsia="en-AU"/>
        </w:rPr>
        <w:t xml:space="preserve">a </w:t>
      </w:r>
      <w:r w:rsidR="004F113E" w:rsidRPr="006340F9">
        <w:rPr>
          <w:rFonts w:cs="Arial"/>
          <w:color w:val="000000" w:themeColor="text1"/>
          <w:kern w:val="24"/>
          <w:lang w:eastAsia="en-AU"/>
        </w:rPr>
        <w:t>suite of new ART standards be developed, aligned with the NSQHS Standards and includ</w:t>
      </w:r>
      <w:r w:rsidR="1AC15CF7" w:rsidRPr="006340F9">
        <w:rPr>
          <w:rFonts w:cs="Arial"/>
          <w:color w:val="000000" w:themeColor="text1"/>
          <w:kern w:val="24"/>
          <w:lang w:eastAsia="en-AU"/>
        </w:rPr>
        <w:t>ing</w:t>
      </w:r>
      <w:r w:rsidR="004F113E" w:rsidRPr="006340F9">
        <w:rPr>
          <w:rFonts w:cs="Arial"/>
          <w:color w:val="000000" w:themeColor="text1"/>
          <w:kern w:val="24"/>
          <w:lang w:eastAsia="en-AU"/>
        </w:rPr>
        <w:t xml:space="preserve"> uniform minimum standards, performance monitoring metrics</w:t>
      </w:r>
      <w:r w:rsidR="601DD92F" w:rsidRPr="006340F9">
        <w:rPr>
          <w:rFonts w:cs="Arial"/>
          <w:color w:val="000000" w:themeColor="text1"/>
          <w:kern w:val="24"/>
          <w:lang w:eastAsia="en-AU"/>
        </w:rPr>
        <w:t>,</w:t>
      </w:r>
      <w:r w:rsidR="004F113E" w:rsidRPr="006340F9">
        <w:rPr>
          <w:rFonts w:cs="Arial"/>
          <w:color w:val="000000" w:themeColor="text1"/>
          <w:kern w:val="24"/>
          <w:lang w:eastAsia="en-AU"/>
        </w:rPr>
        <w:t xml:space="preserve"> and guardrails for adjuvant treatments and new technology.</w:t>
      </w:r>
    </w:p>
    <w:p w14:paraId="218965FC" w14:textId="3FBC962F" w:rsidR="004F113E" w:rsidRPr="006340F9" w:rsidRDefault="002654A4" w:rsidP="5EEA0A5C">
      <w:pPr>
        <w:pStyle w:val="Body"/>
        <w:numPr>
          <w:ilvl w:val="0"/>
          <w:numId w:val="15"/>
        </w:numPr>
        <w:ind w:left="360"/>
        <w:rPr>
          <w:rFonts w:cs="Arial"/>
        </w:rPr>
      </w:pPr>
      <w:r>
        <w:rPr>
          <w:rFonts w:cs="Arial"/>
        </w:rPr>
        <w:t>W</w:t>
      </w:r>
      <w:r w:rsidR="006B2699" w:rsidRPr="006340F9">
        <w:rPr>
          <w:rFonts w:cs="Arial"/>
        </w:rPr>
        <w:t>orkforce requirements, including minimum qualifications, continuing professional development requirements</w:t>
      </w:r>
      <w:r w:rsidR="662EA314" w:rsidRPr="006340F9">
        <w:rPr>
          <w:rFonts w:cs="Arial"/>
        </w:rPr>
        <w:t>,</w:t>
      </w:r>
      <w:r w:rsidR="006B2699" w:rsidRPr="006340F9">
        <w:rPr>
          <w:rFonts w:cs="Arial"/>
        </w:rPr>
        <w:t xml:space="preserve"> and staffing guidance, be embedded in the </w:t>
      </w:r>
      <w:r w:rsidR="2FFE4417" w:rsidRPr="006340F9">
        <w:rPr>
          <w:rFonts w:cs="Arial"/>
        </w:rPr>
        <w:t xml:space="preserve">new </w:t>
      </w:r>
      <w:r w:rsidR="23C7B912" w:rsidRPr="006340F9">
        <w:rPr>
          <w:rFonts w:cs="Arial"/>
        </w:rPr>
        <w:t>standards</w:t>
      </w:r>
      <w:r w:rsidR="006B2699" w:rsidRPr="006340F9">
        <w:rPr>
          <w:rFonts w:cs="Arial"/>
        </w:rPr>
        <w:t>.</w:t>
      </w:r>
    </w:p>
    <w:p w14:paraId="4CD57070" w14:textId="11F82060" w:rsidR="006B2699" w:rsidRPr="006340F9" w:rsidRDefault="002654A4" w:rsidP="5EEA0A5C">
      <w:pPr>
        <w:pStyle w:val="Body"/>
        <w:numPr>
          <w:ilvl w:val="0"/>
          <w:numId w:val="15"/>
        </w:numPr>
        <w:ind w:left="360"/>
      </w:pPr>
      <w:r>
        <w:t>C</w:t>
      </w:r>
      <w:r w:rsidR="006B2699" w:rsidRPr="006340F9">
        <w:t xml:space="preserve">onsistent registration and reporting requirements be imposed by individual </w:t>
      </w:r>
      <w:r w:rsidR="00AD180F" w:rsidRPr="006340F9">
        <w:t>S</w:t>
      </w:r>
      <w:r w:rsidR="006B2699" w:rsidRPr="006340F9">
        <w:t xml:space="preserve">tate and </w:t>
      </w:r>
      <w:r w:rsidR="00AD180F" w:rsidRPr="006340F9">
        <w:t>T</w:t>
      </w:r>
      <w:r w:rsidR="006B2699" w:rsidRPr="006340F9">
        <w:t>erritory regulatory authorities.</w:t>
      </w:r>
    </w:p>
    <w:p w14:paraId="4CEF20E7" w14:textId="5D71BDE4" w:rsidR="00375E6A" w:rsidRPr="006340F9" w:rsidRDefault="00375E6A" w:rsidP="5EEA0A5C">
      <w:pPr>
        <w:pStyle w:val="Body"/>
        <w:numPr>
          <w:ilvl w:val="0"/>
          <w:numId w:val="15"/>
        </w:numPr>
        <w:ind w:left="360"/>
      </w:pPr>
      <w:r w:rsidRPr="006340F9">
        <w:t xml:space="preserve">State and </w:t>
      </w:r>
      <w:r w:rsidR="00ED7528" w:rsidRPr="006340F9">
        <w:t>T</w:t>
      </w:r>
      <w:r w:rsidRPr="006340F9">
        <w:t>erritory regulatory authorities take a proactive, risk-based approach to compliance monitoring.</w:t>
      </w:r>
    </w:p>
    <w:p w14:paraId="260BC154" w14:textId="0F9D1E55" w:rsidR="00375E6A" w:rsidRPr="006340F9" w:rsidRDefault="00375E6A" w:rsidP="5EEA0A5C">
      <w:pPr>
        <w:pStyle w:val="Body"/>
        <w:numPr>
          <w:ilvl w:val="0"/>
          <w:numId w:val="15"/>
        </w:numPr>
        <w:ind w:left="360"/>
      </w:pPr>
      <w:r w:rsidRPr="006340F9">
        <w:t xml:space="preserve">State and </w:t>
      </w:r>
      <w:r w:rsidR="00ED7528" w:rsidRPr="006340F9">
        <w:t>T</w:t>
      </w:r>
      <w:r w:rsidRPr="006340F9">
        <w:t xml:space="preserve">erritory regulatory authorities draw on a spectrum of enforcement tools to enable decisive, proportionate action that </w:t>
      </w:r>
      <w:r w:rsidR="649479C6" w:rsidRPr="006340F9">
        <w:t xml:space="preserve">more effectively </w:t>
      </w:r>
      <w:r w:rsidRPr="006340F9">
        <w:t>deters misconduct.</w:t>
      </w:r>
    </w:p>
    <w:p w14:paraId="24CFF99D" w14:textId="284F8235" w:rsidR="00BE23E9" w:rsidRPr="006340F9" w:rsidRDefault="002654A4" w:rsidP="5EEA0A5C">
      <w:pPr>
        <w:pStyle w:val="Body"/>
        <w:numPr>
          <w:ilvl w:val="0"/>
          <w:numId w:val="15"/>
        </w:numPr>
        <w:ind w:left="360"/>
        <w:rPr>
          <w:rFonts w:cs="Arial"/>
        </w:rPr>
      </w:pPr>
      <w:r>
        <w:rPr>
          <w:rFonts w:cs="Arial"/>
        </w:rPr>
        <w:t>T</w:t>
      </w:r>
      <w:r w:rsidR="00BE23E9" w:rsidRPr="006340F9">
        <w:rPr>
          <w:rFonts w:cs="Arial"/>
        </w:rPr>
        <w:t xml:space="preserve">he accreditor and </w:t>
      </w:r>
      <w:r w:rsidR="005D35C5" w:rsidRPr="006340F9">
        <w:rPr>
          <w:rFonts w:cs="Arial"/>
        </w:rPr>
        <w:t xml:space="preserve">State and Territory regulatory authorities </w:t>
      </w:r>
      <w:r w:rsidR="00BE23E9" w:rsidRPr="006340F9">
        <w:rPr>
          <w:rFonts w:cs="Arial"/>
        </w:rPr>
        <w:t>share safety data, and that accreditation data and thematic analysis of safety and quality improvement data be published.</w:t>
      </w:r>
    </w:p>
    <w:p w14:paraId="033A43D3" w14:textId="16EB1A08" w:rsidR="00BE23E9" w:rsidRPr="006340F9" w:rsidRDefault="00BE23E9" w:rsidP="5EEA0A5C">
      <w:pPr>
        <w:pStyle w:val="Body"/>
        <w:numPr>
          <w:ilvl w:val="0"/>
          <w:numId w:val="15"/>
        </w:numPr>
        <w:ind w:left="360"/>
        <w:rPr>
          <w:rFonts w:cs="Arial"/>
        </w:rPr>
      </w:pPr>
      <w:proofErr w:type="spellStart"/>
      <w:r w:rsidRPr="006340F9">
        <w:rPr>
          <w:rFonts w:cs="Arial"/>
          <w:i/>
          <w:iCs/>
        </w:rPr>
        <w:t>YourIVFSuccess</w:t>
      </w:r>
      <w:proofErr w:type="spellEnd"/>
      <w:r w:rsidRPr="006340F9">
        <w:rPr>
          <w:rFonts w:cs="Arial"/>
        </w:rPr>
        <w:t xml:space="preserve"> be expanded to enable more informed consumer choice and consent</w:t>
      </w:r>
      <w:r w:rsidR="00496110" w:rsidRPr="006340F9">
        <w:rPr>
          <w:rFonts w:cs="Arial"/>
        </w:rPr>
        <w:t>.</w:t>
      </w:r>
    </w:p>
    <w:p w14:paraId="081807EA" w14:textId="5EF93D75" w:rsidR="00496110" w:rsidRPr="006340F9" w:rsidRDefault="002654A4" w:rsidP="5EEA0A5C">
      <w:pPr>
        <w:pStyle w:val="Body"/>
        <w:numPr>
          <w:ilvl w:val="0"/>
          <w:numId w:val="15"/>
        </w:numPr>
        <w:ind w:left="360"/>
      </w:pPr>
      <w:r>
        <w:t>C</w:t>
      </w:r>
      <w:r w:rsidR="00496110" w:rsidRPr="006340F9">
        <w:t>onsumers are better supported to use existing complaints handling bodies and processes.</w:t>
      </w:r>
    </w:p>
    <w:p w14:paraId="1BACB039" w14:textId="75393BC5" w:rsidR="00496110" w:rsidRPr="006340F9" w:rsidRDefault="736C44FD" w:rsidP="5EEA0A5C">
      <w:pPr>
        <w:pStyle w:val="Body"/>
        <w:numPr>
          <w:ilvl w:val="0"/>
          <w:numId w:val="15"/>
        </w:numPr>
        <w:ind w:left="360"/>
        <w:rPr>
          <w:rFonts w:cs="Arial"/>
        </w:rPr>
      </w:pPr>
      <w:r w:rsidRPr="006340F9">
        <w:rPr>
          <w:rFonts w:cs="Arial"/>
        </w:rPr>
        <w:t xml:space="preserve">ART </w:t>
      </w:r>
      <w:r w:rsidR="00496110" w:rsidRPr="006340F9">
        <w:rPr>
          <w:rFonts w:cs="Arial"/>
        </w:rPr>
        <w:t>providers, the accreditor, regulators</w:t>
      </w:r>
      <w:r w:rsidR="6C712606" w:rsidRPr="006340F9">
        <w:rPr>
          <w:rFonts w:cs="Arial"/>
        </w:rPr>
        <w:t>,</w:t>
      </w:r>
      <w:r w:rsidR="00496110" w:rsidRPr="006340F9">
        <w:rPr>
          <w:rFonts w:cs="Arial"/>
        </w:rPr>
        <w:t xml:space="preserve"> and complaints handling bodies share complaints data. </w:t>
      </w:r>
    </w:p>
    <w:p w14:paraId="798D0456" w14:textId="6E0F3349" w:rsidR="00C75021" w:rsidRPr="006340F9" w:rsidRDefault="5BE94F64" w:rsidP="5EEA0A5C">
      <w:pPr>
        <w:pStyle w:val="Body"/>
        <w:spacing w:before="360"/>
        <w:rPr>
          <w:rFonts w:cs="Arial"/>
        </w:rPr>
      </w:pPr>
      <w:r w:rsidRPr="006340F9">
        <w:rPr>
          <w:rFonts w:cs="Arial"/>
        </w:rPr>
        <w:t>We</w:t>
      </w:r>
      <w:r w:rsidR="009B4599" w:rsidRPr="006340F9">
        <w:rPr>
          <w:rFonts w:cs="Arial"/>
        </w:rPr>
        <w:t xml:space="preserve"> also recommend</w:t>
      </w:r>
      <w:r w:rsidR="5B400D02" w:rsidRPr="006340F9">
        <w:rPr>
          <w:rFonts w:cs="Arial"/>
        </w:rPr>
        <w:t xml:space="preserve"> </w:t>
      </w:r>
      <w:r w:rsidR="00DA624F" w:rsidRPr="006340F9">
        <w:rPr>
          <w:rFonts w:cs="Arial"/>
        </w:rPr>
        <w:t xml:space="preserve">further work related to improving ART </w:t>
      </w:r>
      <w:r w:rsidR="777B8A29" w:rsidRPr="006340F9">
        <w:rPr>
          <w:rFonts w:cs="Arial"/>
        </w:rPr>
        <w:t xml:space="preserve">governance and </w:t>
      </w:r>
      <w:r w:rsidR="00E77468" w:rsidRPr="006340F9">
        <w:rPr>
          <w:rFonts w:cs="Arial"/>
        </w:rPr>
        <w:t>oversight</w:t>
      </w:r>
      <w:r w:rsidR="00DA624F" w:rsidRPr="006340F9">
        <w:rPr>
          <w:rFonts w:cs="Arial"/>
        </w:rPr>
        <w:t xml:space="preserve"> nationally but </w:t>
      </w:r>
      <w:r w:rsidR="3397A68B" w:rsidRPr="006340F9">
        <w:rPr>
          <w:rFonts w:cs="Arial"/>
        </w:rPr>
        <w:t xml:space="preserve">that was </w:t>
      </w:r>
      <w:r w:rsidR="00DA624F" w:rsidRPr="006340F9">
        <w:rPr>
          <w:rFonts w:cs="Arial"/>
        </w:rPr>
        <w:t>beyond the scope of this review:</w:t>
      </w:r>
    </w:p>
    <w:p w14:paraId="4D8D6A52" w14:textId="580F91D6" w:rsidR="00DA624F" w:rsidRPr="006340F9" w:rsidRDefault="00D2767C" w:rsidP="00165C7B">
      <w:pPr>
        <w:pStyle w:val="Bullet1"/>
      </w:pPr>
      <w:r w:rsidRPr="006340F9">
        <w:t>Commissioning consumer engagement</w:t>
      </w:r>
      <w:r w:rsidR="00962D87" w:rsidRPr="006340F9">
        <w:t xml:space="preserve"> </w:t>
      </w:r>
      <w:r w:rsidR="00BE0F9A" w:rsidRPr="006340F9">
        <w:t>to gain a deeper understanding of ART consumers’ experiences</w:t>
      </w:r>
      <w:r w:rsidR="00420B96" w:rsidRPr="006340F9">
        <w:t xml:space="preserve"> and inform the design and implementation of future reform</w:t>
      </w:r>
      <w:r w:rsidR="00BE0F9A" w:rsidRPr="006340F9">
        <w:t>.</w:t>
      </w:r>
    </w:p>
    <w:p w14:paraId="69F2AAB8" w14:textId="71F16DD4" w:rsidR="001565BA" w:rsidRPr="006340F9" w:rsidRDefault="3925E182" w:rsidP="00165C7B">
      <w:pPr>
        <w:pStyle w:val="Bullet1"/>
      </w:pPr>
      <w:r w:rsidRPr="006340F9">
        <w:t>Referral of donor issues to the Australian Law Reform Commission</w:t>
      </w:r>
      <w:r w:rsidR="42F09B2B" w:rsidRPr="006340F9">
        <w:t xml:space="preserve"> </w:t>
      </w:r>
      <w:r w:rsidR="001838B5" w:rsidRPr="006340F9">
        <w:t>to explore</w:t>
      </w:r>
      <w:r w:rsidR="008A3CFC" w:rsidRPr="006340F9">
        <w:t xml:space="preserve"> opportunities to harmonise legislation in relation to donated </w:t>
      </w:r>
      <w:proofErr w:type="gramStart"/>
      <w:r w:rsidR="00A813B8" w:rsidRPr="006340F9">
        <w:t>gametes</w:t>
      </w:r>
      <w:r w:rsidR="38027B10" w:rsidRPr="006340F9">
        <w:t>,</w:t>
      </w:r>
      <w:r w:rsidR="00A813B8" w:rsidRPr="006340F9">
        <w:t xml:space="preserve"> and</w:t>
      </w:r>
      <w:proofErr w:type="gramEnd"/>
      <w:r w:rsidR="00A813B8" w:rsidRPr="006340F9">
        <w:t xml:space="preserve"> ensure integrated and effective legislation aligned with contemporary issues and community expectations</w:t>
      </w:r>
      <w:r w:rsidR="008A3CFC" w:rsidRPr="006340F9">
        <w:t>.</w:t>
      </w:r>
    </w:p>
    <w:p w14:paraId="048C5D20" w14:textId="77777777" w:rsidR="001C1B64" w:rsidRPr="006340F9" w:rsidRDefault="001C1B64" w:rsidP="00CD616C">
      <w:pPr>
        <w:pStyle w:val="Body"/>
      </w:pPr>
    </w:p>
    <w:p w14:paraId="3F664347" w14:textId="68ED891F" w:rsidR="004419DF" w:rsidRPr="006340F9" w:rsidRDefault="004419DF" w:rsidP="00CD616C">
      <w:pPr>
        <w:pStyle w:val="Body"/>
        <w:rPr>
          <w:rFonts w:eastAsia="MS Gothic" w:cs="Arial"/>
          <w:bCs/>
          <w:color w:val="201547"/>
          <w:kern w:val="32"/>
          <w:sz w:val="44"/>
          <w:szCs w:val="44"/>
        </w:rPr>
      </w:pPr>
      <w:r w:rsidRPr="006340F9">
        <w:br w:type="page"/>
      </w:r>
    </w:p>
    <w:p w14:paraId="35B52037" w14:textId="46A83E2E" w:rsidR="00B104E4" w:rsidRPr="006340F9" w:rsidRDefault="00431446" w:rsidP="000361A0">
      <w:pPr>
        <w:pStyle w:val="Heading1"/>
      </w:pPr>
      <w:bookmarkStart w:id="11" w:name="_Toc207976223"/>
      <w:bookmarkStart w:id="12" w:name="_Ref209189477"/>
      <w:bookmarkStart w:id="13" w:name="_Toc209441976"/>
      <w:r w:rsidRPr="006340F9">
        <w:lastRenderedPageBreak/>
        <w:t>Background and context</w:t>
      </w:r>
      <w:bookmarkEnd w:id="6"/>
      <w:bookmarkEnd w:id="11"/>
      <w:bookmarkEnd w:id="12"/>
      <w:bookmarkEnd w:id="13"/>
    </w:p>
    <w:p w14:paraId="3A72EAE9" w14:textId="17452B6B" w:rsidR="00B104E4" w:rsidRPr="006340F9" w:rsidRDefault="00B104E4" w:rsidP="0062093F">
      <w:pPr>
        <w:pStyle w:val="Heading2"/>
      </w:pPr>
      <w:bookmarkStart w:id="14" w:name="_Toc205489518"/>
      <w:bookmarkStart w:id="15" w:name="_Toc207976224"/>
      <w:bookmarkStart w:id="16" w:name="_Toc209441977"/>
      <w:bookmarkEnd w:id="7"/>
      <w:r w:rsidRPr="006340F9">
        <w:t>Context for this rapid review</w:t>
      </w:r>
      <w:bookmarkEnd w:id="14"/>
      <w:bookmarkEnd w:id="15"/>
      <w:bookmarkEnd w:id="16"/>
    </w:p>
    <w:p w14:paraId="65AAC2F6" w14:textId="2B7459D3" w:rsidR="00B104E4" w:rsidRPr="006340F9" w:rsidRDefault="00B104E4" w:rsidP="00A47BDF">
      <w:pPr>
        <w:pStyle w:val="Body"/>
      </w:pPr>
      <w:r w:rsidRPr="006340F9">
        <w:t xml:space="preserve">Australia’s Assisted Reproductive Technology (ART) sector has changed rapidly since </w:t>
      </w:r>
      <w:r w:rsidR="00FF5BE0" w:rsidRPr="006340F9">
        <w:rPr>
          <w:i/>
          <w:iCs/>
        </w:rPr>
        <w:t>in</w:t>
      </w:r>
      <w:r w:rsidRPr="006340F9" w:rsidDel="00FF5BE0">
        <w:rPr>
          <w:i/>
        </w:rPr>
        <w:t xml:space="preserve"> </w:t>
      </w:r>
      <w:r w:rsidR="00FF5BE0" w:rsidRPr="006340F9">
        <w:rPr>
          <w:i/>
          <w:iCs/>
        </w:rPr>
        <w:t>vitro</w:t>
      </w:r>
      <w:r w:rsidR="00FF5BE0" w:rsidRPr="006340F9">
        <w:t xml:space="preserve"> fertilisation </w:t>
      </w:r>
      <w:r w:rsidRPr="006340F9">
        <w:t xml:space="preserve">(IVF) was first pioneered </w:t>
      </w:r>
      <w:r w:rsidR="00FF5BE0" w:rsidRPr="006340F9">
        <w:t xml:space="preserve">as a treatment for infertility </w:t>
      </w:r>
      <w:r w:rsidRPr="006340F9">
        <w:t>in the early 1980s. What began in the 1980s as a small, clinician-led sector that primarily delivered IVF services to heterosexual couples has grown to become a $810 million a year industry</w:t>
      </w:r>
      <w:bookmarkStart w:id="17" w:name="_Ref207713403"/>
      <w:r w:rsidRPr="006340F9">
        <w:rPr>
          <w:vertAlign w:val="superscript"/>
        </w:rPr>
        <w:footnoteReference w:id="1"/>
      </w:r>
      <w:bookmarkEnd w:id="17"/>
      <w:r w:rsidRPr="006340F9">
        <w:rPr>
          <w:vertAlign w:val="superscript"/>
        </w:rPr>
        <w:t xml:space="preserve"> </w:t>
      </w:r>
      <w:r w:rsidRPr="006340F9">
        <w:t xml:space="preserve">that now provides increasingly complex fertility services to diverse Australian communities in a largely private market. </w:t>
      </w:r>
    </w:p>
    <w:p w14:paraId="63063ACC" w14:textId="087BB428" w:rsidR="00B104E4" w:rsidRPr="006340F9" w:rsidRDefault="00B104E4" w:rsidP="00B7757E">
      <w:pPr>
        <w:pStyle w:val="Body"/>
      </w:pPr>
      <w:r w:rsidRPr="006340F9">
        <w:t xml:space="preserve">From the beginning, ART providers sought to establish a regulatory framework that would ensure high quality, safe and ethical care. </w:t>
      </w:r>
      <w:r w:rsidR="00F72BA1" w:rsidRPr="006340F9">
        <w:t>In 1987, t</w:t>
      </w:r>
      <w:r w:rsidRPr="006340F9">
        <w:t>his intent saw</w:t>
      </w:r>
      <w:r w:rsidR="00F72BA1" w:rsidRPr="006340F9">
        <w:t xml:space="preserve"> </w:t>
      </w:r>
      <w:r w:rsidRPr="006340F9">
        <w:t>the establishment of the Reproductive Technology Accreditation Committee (RTAC) of the Fertility Society of Australia</w:t>
      </w:r>
      <w:r w:rsidR="000355C9" w:rsidRPr="006340F9">
        <w:t xml:space="preserve"> (FSA)</w:t>
      </w:r>
      <w:r w:rsidR="00CE304C" w:rsidRPr="006340F9">
        <w:t xml:space="preserve">, </w:t>
      </w:r>
      <w:r w:rsidRPr="006340F9">
        <w:t>now the Fertility Society of Australia and New Zealand (FSANZ)</w:t>
      </w:r>
      <w:r w:rsidR="00CE304C" w:rsidRPr="006340F9">
        <w:t>.</w:t>
      </w:r>
      <w:r w:rsidR="00234D01" w:rsidRPr="006340F9">
        <w:t xml:space="preserve"> In many ways, this </w:t>
      </w:r>
      <w:r w:rsidR="00613A5A" w:rsidRPr="006340F9">
        <w:t>self-regulatory step was</w:t>
      </w:r>
      <w:r w:rsidR="00CF1C39" w:rsidRPr="006340F9">
        <w:t xml:space="preserve"> </w:t>
      </w:r>
      <w:r w:rsidR="00613A5A" w:rsidRPr="006340F9">
        <w:t>ahead of</w:t>
      </w:r>
      <w:r w:rsidR="00CF1C39" w:rsidRPr="006340F9">
        <w:t xml:space="preserve"> much of the rest of health</w:t>
      </w:r>
      <w:r w:rsidR="00E23925" w:rsidRPr="006340F9">
        <w:t xml:space="preserve"> </w:t>
      </w:r>
      <w:r w:rsidR="00CF1C39" w:rsidRPr="006340F9">
        <w:t>care.</w:t>
      </w:r>
      <w:r w:rsidR="00613A5A" w:rsidRPr="006340F9">
        <w:t xml:space="preserve"> </w:t>
      </w:r>
    </w:p>
    <w:p w14:paraId="010A7F60" w14:textId="0CB12FF0" w:rsidR="00B104E4" w:rsidRPr="006340F9" w:rsidRDefault="00B104E4" w:rsidP="00B7757E">
      <w:pPr>
        <w:pStyle w:val="Body"/>
      </w:pPr>
      <w:r w:rsidRPr="006340F9">
        <w:t xml:space="preserve">However, whether </w:t>
      </w:r>
      <w:r w:rsidR="005543A0" w:rsidRPr="006340F9">
        <w:t>industry</w:t>
      </w:r>
      <w:r w:rsidRPr="006340F9">
        <w:t>-</w:t>
      </w:r>
      <w:r w:rsidR="005543A0" w:rsidRPr="006340F9">
        <w:t>based</w:t>
      </w:r>
      <w:r w:rsidRPr="006340F9">
        <w:t xml:space="preserve"> self-regulat</w:t>
      </w:r>
      <w:r w:rsidR="005543A0" w:rsidRPr="006340F9">
        <w:t>ion</w:t>
      </w:r>
      <w:r w:rsidRPr="006340F9">
        <w:t xml:space="preserve"> remains sufficien</w:t>
      </w:r>
      <w:r w:rsidR="005543A0" w:rsidRPr="006340F9">
        <w:t>t</w:t>
      </w:r>
      <w:r w:rsidRPr="006340F9">
        <w:t xml:space="preserve"> to govern</w:t>
      </w:r>
      <w:r w:rsidR="00F86D92" w:rsidRPr="006340F9">
        <w:t xml:space="preserve"> effectively</w:t>
      </w:r>
      <w:r w:rsidRPr="006340F9">
        <w:t xml:space="preserve"> the increased </w:t>
      </w:r>
      <w:r w:rsidR="005543A0" w:rsidRPr="006340F9">
        <w:t>size and</w:t>
      </w:r>
      <w:r w:rsidRPr="006340F9">
        <w:t xml:space="preserve"> complexity of Australia’s ART sector has been recently questioned, including by the industry itself.</w:t>
      </w:r>
      <w:bookmarkStart w:id="18" w:name="_Ref207713279"/>
      <w:r w:rsidRPr="006340F9">
        <w:rPr>
          <w:vertAlign w:val="superscript"/>
        </w:rPr>
        <w:footnoteReference w:id="2"/>
      </w:r>
      <w:bookmarkEnd w:id="18"/>
      <w:r w:rsidRPr="006340F9">
        <w:t xml:space="preserve"> Further, significant errors by some ART providers have raised broader concerns about the adequacy of current governance and oversight of the ART sector in Australia.</w:t>
      </w:r>
    </w:p>
    <w:p w14:paraId="4C94B397" w14:textId="07D16E35" w:rsidR="00B104E4" w:rsidRPr="006340F9" w:rsidRDefault="00B104E4" w:rsidP="00A956AB">
      <w:pPr>
        <w:pStyle w:val="Body"/>
      </w:pPr>
      <w:r w:rsidRPr="006340F9">
        <w:t xml:space="preserve">It is within this context that, at the joint Health and Mental Health Ministers Meeting on 13 June 2025, Health Ministers agreed to request the Health Chief Executives Forum to commission a </w:t>
      </w:r>
      <w:r w:rsidR="00344390" w:rsidRPr="006340F9">
        <w:t xml:space="preserve">rapid review of the regulatory and accreditation environment for the ART and IVF sectors and identify opportunities for improvement and action to be reported back within </w:t>
      </w:r>
      <w:r w:rsidR="0035413A" w:rsidRPr="006340F9">
        <w:t>three</w:t>
      </w:r>
      <w:r w:rsidR="00344390" w:rsidRPr="006340F9">
        <w:t xml:space="preserve"> months</w:t>
      </w:r>
      <w:r w:rsidR="008617D5" w:rsidRPr="006340F9">
        <w:t>.</w:t>
      </w:r>
      <w:r w:rsidRPr="006340F9">
        <w:t xml:space="preserve"> The review was to include:</w:t>
      </w:r>
    </w:p>
    <w:p w14:paraId="7FBA88B2" w14:textId="02AB0FAB" w:rsidR="00B104E4" w:rsidRPr="006340F9" w:rsidRDefault="00B104E4" w:rsidP="5EEA0A5C">
      <w:pPr>
        <w:pStyle w:val="Bullet1"/>
        <w:ind w:left="360" w:hanging="360"/>
      </w:pPr>
      <w:r w:rsidRPr="006340F9">
        <w:t>options for implementation of an independent accreditation body and process</w:t>
      </w:r>
    </w:p>
    <w:p w14:paraId="321B1F48" w14:textId="7784D428" w:rsidR="00B104E4" w:rsidRPr="006340F9" w:rsidRDefault="00B104E4" w:rsidP="5EEA0A5C">
      <w:pPr>
        <w:pStyle w:val="Bullet1"/>
        <w:ind w:left="360" w:hanging="360"/>
      </w:pPr>
      <w:r w:rsidRPr="006340F9">
        <w:t>consideration of how existing state based regulatory regimes could be strengthened</w:t>
      </w:r>
    </w:p>
    <w:p w14:paraId="558BE87E" w14:textId="77777777" w:rsidR="00B104E4" w:rsidRPr="006340F9" w:rsidRDefault="00B104E4" w:rsidP="5EEA0A5C">
      <w:pPr>
        <w:pStyle w:val="Bullet1"/>
        <w:ind w:left="360" w:hanging="360"/>
      </w:pPr>
      <w:r w:rsidRPr="006340F9">
        <w:t>consideration of whether a national regulatory approach would deliver benefit.</w:t>
      </w:r>
    </w:p>
    <w:p w14:paraId="5BA59C30" w14:textId="466BC097" w:rsidR="00A33D71" w:rsidRPr="006340F9" w:rsidRDefault="005316C1" w:rsidP="00141025">
      <w:pPr>
        <w:pStyle w:val="Bodyaftertablefigurebullets"/>
      </w:pPr>
      <w:r w:rsidRPr="006340F9">
        <w:t xml:space="preserve">Victoria </w:t>
      </w:r>
      <w:r w:rsidR="7704A1CF" w:rsidRPr="006340F9">
        <w:t xml:space="preserve">agreed to </w:t>
      </w:r>
      <w:r w:rsidR="00556535" w:rsidRPr="006340F9">
        <w:t>le</w:t>
      </w:r>
      <w:r w:rsidR="2DB5D4DF" w:rsidRPr="006340F9">
        <w:t>a</w:t>
      </w:r>
      <w:r w:rsidR="00556535" w:rsidRPr="006340F9">
        <w:t xml:space="preserve">d the commissioning of the review. Professor Euan Wallace AM was appointed as the independent reviewer, </w:t>
      </w:r>
      <w:r w:rsidR="00DD679E" w:rsidRPr="006340F9">
        <w:t xml:space="preserve">supported by a team from the </w:t>
      </w:r>
      <w:r w:rsidR="00090D96" w:rsidRPr="006340F9">
        <w:t xml:space="preserve">Strategic Policy and Evidence (SPE) branch of the </w:t>
      </w:r>
      <w:r w:rsidR="00DD679E" w:rsidRPr="006340F9">
        <w:t xml:space="preserve">Victorian Department of Health. </w:t>
      </w:r>
      <w:r w:rsidR="00791512" w:rsidRPr="006340F9">
        <w:t xml:space="preserve">This report is the </w:t>
      </w:r>
      <w:r w:rsidR="00B827DC" w:rsidRPr="006340F9">
        <w:t xml:space="preserve">result of </w:t>
      </w:r>
      <w:r w:rsidR="00315609" w:rsidRPr="006340F9">
        <w:t>the</w:t>
      </w:r>
      <w:r w:rsidR="00B827DC" w:rsidRPr="006340F9">
        <w:t xml:space="preserve"> rapid review.</w:t>
      </w:r>
    </w:p>
    <w:p w14:paraId="736313B8" w14:textId="4C32FA7A" w:rsidR="00B104E4" w:rsidRPr="006340F9" w:rsidRDefault="00A33D71" w:rsidP="00A33D71">
      <w:pPr>
        <w:pStyle w:val="Heading2"/>
        <w:rPr>
          <w:rFonts w:cs="Arial"/>
        </w:rPr>
      </w:pPr>
      <w:r w:rsidRPr="006340F9">
        <w:br w:type="column"/>
      </w:r>
      <w:bookmarkStart w:id="19" w:name="_Toc205467122"/>
      <w:bookmarkStart w:id="20" w:name="_Toc207976225"/>
      <w:bookmarkStart w:id="21" w:name="_Toc209441978"/>
      <w:bookmarkStart w:id="22" w:name="_Toc205489520"/>
      <w:bookmarkEnd w:id="19"/>
      <w:r w:rsidR="00B104E4" w:rsidRPr="006340F9">
        <w:rPr>
          <w:rFonts w:cs="Arial"/>
        </w:rPr>
        <w:lastRenderedPageBreak/>
        <w:t>Previous reviews found a growing need for national reform of ART</w:t>
      </w:r>
      <w:bookmarkEnd w:id="20"/>
      <w:bookmarkEnd w:id="21"/>
      <w:r w:rsidR="00B104E4" w:rsidRPr="006340F9">
        <w:rPr>
          <w:rFonts w:cs="Arial"/>
        </w:rPr>
        <w:t xml:space="preserve"> </w:t>
      </w:r>
      <w:bookmarkEnd w:id="22"/>
    </w:p>
    <w:p w14:paraId="3AF873E7" w14:textId="70940FD6" w:rsidR="00B104E4" w:rsidRPr="006340F9" w:rsidRDefault="00B104E4" w:rsidP="00B7757E">
      <w:pPr>
        <w:pStyle w:val="Body"/>
      </w:pPr>
      <w:r w:rsidRPr="006340F9">
        <w:t>This rapid review follows 12 reviews and inquiries into various aspects of ART legislation and care provision that have been undertaken in different state</w:t>
      </w:r>
      <w:r w:rsidR="005F5C7C" w:rsidRPr="006340F9">
        <w:t>s</w:t>
      </w:r>
      <w:r w:rsidRPr="006340F9">
        <w:t xml:space="preserve"> and territor</w:t>
      </w:r>
      <w:r w:rsidR="005F5C7C" w:rsidRPr="006340F9">
        <w:t>ies</w:t>
      </w:r>
      <w:r w:rsidRPr="006340F9">
        <w:t xml:space="preserve"> since 2014 (see</w:t>
      </w:r>
      <w:r w:rsidR="00B17E86" w:rsidRPr="006340F9">
        <w:t xml:space="preserve"> </w:t>
      </w:r>
      <w:r w:rsidR="003A6C07" w:rsidRPr="006340F9">
        <w:t>Table</w:t>
      </w:r>
      <w:r w:rsidR="000B1173" w:rsidRPr="006340F9">
        <w:t xml:space="preserve"> A1)</w:t>
      </w:r>
      <w:r w:rsidRPr="006340F9">
        <w:t>. Reviews of ART delivery in the Australian Capital Territory</w:t>
      </w:r>
      <w:r w:rsidR="005A25C5" w:rsidRPr="006340F9">
        <w:t xml:space="preserve">, </w:t>
      </w:r>
      <w:r w:rsidRPr="006340F9">
        <w:t>Queensland, South Australia</w:t>
      </w:r>
      <w:r w:rsidR="005A25C5" w:rsidRPr="006340F9">
        <w:t xml:space="preserve">, </w:t>
      </w:r>
      <w:r w:rsidRPr="006340F9">
        <w:t>Victoria, and Western Australia</w:t>
      </w:r>
      <w:r w:rsidR="005A25C5" w:rsidRPr="006340F9">
        <w:t xml:space="preserve"> </w:t>
      </w:r>
      <w:r w:rsidRPr="006340F9">
        <w:t xml:space="preserve">all identified the need for reform in the ART sector, including improvements to accreditation processes and regulatory oversight that: </w:t>
      </w:r>
    </w:p>
    <w:p w14:paraId="68833AB5" w14:textId="4A7ACBB8" w:rsidR="00B104E4" w:rsidRPr="006340F9" w:rsidRDefault="00B104E4" w:rsidP="5EEA0A5C">
      <w:pPr>
        <w:pStyle w:val="Bullet1"/>
        <w:ind w:left="360" w:hanging="360"/>
      </w:pPr>
      <w:r w:rsidRPr="006340F9">
        <w:t xml:space="preserve">prioritise the health, safety, and welfare of people accessing </w:t>
      </w:r>
      <w:r w:rsidR="00A62E95" w:rsidRPr="006340F9">
        <w:t xml:space="preserve">ART </w:t>
      </w:r>
      <w:r w:rsidRPr="006340F9">
        <w:t xml:space="preserve">and of those born </w:t>
      </w:r>
      <w:proofErr w:type="gramStart"/>
      <w:r w:rsidRPr="006340F9">
        <w:t>as a result of</w:t>
      </w:r>
      <w:proofErr w:type="gramEnd"/>
      <w:r w:rsidRPr="006340F9">
        <w:t xml:space="preserve"> ART</w:t>
      </w:r>
    </w:p>
    <w:p w14:paraId="0D703123" w14:textId="5312382B" w:rsidR="00B104E4" w:rsidRPr="006340F9" w:rsidRDefault="00B104E4" w:rsidP="5EEA0A5C">
      <w:pPr>
        <w:pStyle w:val="Bullet1"/>
        <w:ind w:left="360" w:hanging="360"/>
      </w:pPr>
      <w:r w:rsidRPr="006340F9">
        <w:t>improve the oversight, transparency</w:t>
      </w:r>
      <w:r w:rsidR="00A62E95" w:rsidRPr="006340F9">
        <w:t>,</w:t>
      </w:r>
      <w:r w:rsidRPr="006340F9">
        <w:t xml:space="preserve"> and safeguards in the ART </w:t>
      </w:r>
      <w:r w:rsidR="0059544A" w:rsidRPr="006340F9">
        <w:t>sector</w:t>
      </w:r>
    </w:p>
    <w:p w14:paraId="2419B71A" w14:textId="77777777" w:rsidR="00B104E4" w:rsidRPr="006340F9" w:rsidRDefault="00B104E4" w:rsidP="5EEA0A5C">
      <w:pPr>
        <w:pStyle w:val="Bullet1"/>
        <w:ind w:left="360" w:hanging="360"/>
      </w:pPr>
      <w:r w:rsidRPr="006340F9">
        <w:t>enable increased oversight of ART clinic auditing, registration, and workforce standards</w:t>
      </w:r>
    </w:p>
    <w:p w14:paraId="09921A72" w14:textId="77777777" w:rsidR="00B104E4" w:rsidRPr="006340F9" w:rsidRDefault="00B104E4" w:rsidP="5EEA0A5C">
      <w:pPr>
        <w:pStyle w:val="Bullet1"/>
        <w:ind w:left="360" w:hanging="360"/>
      </w:pPr>
      <w:r w:rsidRPr="006340F9">
        <w:t>provide more effective enforcement powers to regulators where lower-level compliance mechanisms fail.</w:t>
      </w:r>
    </w:p>
    <w:p w14:paraId="450D2B28" w14:textId="681266AA" w:rsidR="00B104E4" w:rsidRPr="006340F9" w:rsidRDefault="00B104E4" w:rsidP="00141025">
      <w:pPr>
        <w:pStyle w:val="Bodyaftertablefigurebullets"/>
      </w:pPr>
      <w:r w:rsidRPr="006340F9">
        <w:t>Several jurisdictions have either already made amendments to their ART legislation and associated regulations or have reform underway.</w:t>
      </w:r>
      <w:r w:rsidRPr="006340F9" w:rsidDel="00A4224F">
        <w:t xml:space="preserve"> </w:t>
      </w:r>
      <w:r w:rsidRPr="006340F9">
        <w:t xml:space="preserve">However, this is the first time that an independent review of ART accreditation and regulation has been undertaken at a national level. </w:t>
      </w:r>
    </w:p>
    <w:p w14:paraId="253D69A9" w14:textId="4D341286" w:rsidR="00B104E4" w:rsidRPr="006340F9" w:rsidRDefault="00B104E4" w:rsidP="00B7757E">
      <w:pPr>
        <w:pStyle w:val="Body"/>
        <w:rPr>
          <w:color w:val="EE0000"/>
          <w:vertAlign w:val="superscript"/>
        </w:rPr>
      </w:pPr>
      <w:r w:rsidRPr="006340F9">
        <w:t xml:space="preserve">In 2024, FSANZ commissioned </w:t>
      </w:r>
      <w:r w:rsidR="001B1635" w:rsidRPr="006340F9">
        <w:t xml:space="preserve">the </w:t>
      </w:r>
      <w:r w:rsidR="001B1635" w:rsidRPr="006340F9">
        <w:rPr>
          <w:i/>
          <w:iCs/>
        </w:rPr>
        <w:t>Findings, Recommendations, and Framework for an</w:t>
      </w:r>
      <w:r w:rsidR="001B1635" w:rsidRPr="006340F9">
        <w:t xml:space="preserve"> </w:t>
      </w:r>
      <w:r w:rsidR="00E26D53" w:rsidRPr="006340F9">
        <w:rPr>
          <w:i/>
          <w:iCs/>
        </w:rPr>
        <w:t xml:space="preserve">Australian </w:t>
      </w:r>
      <w:r w:rsidRPr="006340F9">
        <w:rPr>
          <w:i/>
          <w:iCs/>
        </w:rPr>
        <w:t>10</w:t>
      </w:r>
      <w:r w:rsidR="00D539EF" w:rsidRPr="006340F9">
        <w:rPr>
          <w:i/>
          <w:iCs/>
        </w:rPr>
        <w:t>-</w:t>
      </w:r>
      <w:r w:rsidRPr="006340F9">
        <w:rPr>
          <w:i/>
          <w:iCs/>
        </w:rPr>
        <w:t>Year</w:t>
      </w:r>
      <w:r w:rsidR="00EE30F2" w:rsidRPr="006340F9">
        <w:rPr>
          <w:i/>
          <w:iCs/>
        </w:rPr>
        <w:t xml:space="preserve"> </w:t>
      </w:r>
      <w:r w:rsidRPr="006340F9">
        <w:rPr>
          <w:i/>
          <w:iCs/>
        </w:rPr>
        <w:t>Fertility Roadmap</w:t>
      </w:r>
      <w:r w:rsidRPr="006340F9">
        <w:t xml:space="preserve"> </w:t>
      </w:r>
      <w:r w:rsidR="001B1635" w:rsidRPr="006340F9">
        <w:t>(</w:t>
      </w:r>
      <w:r w:rsidR="00F3516E" w:rsidRPr="006340F9">
        <w:t>Framework for an Australian 10-Year Fertility Roadmap</w:t>
      </w:r>
      <w:r w:rsidR="004C0CAA" w:rsidRPr="006340F9">
        <w:t xml:space="preserve">) </w:t>
      </w:r>
      <w:r w:rsidRPr="006340F9">
        <w:t>that included consideration of the current ART legislative and regulatory landscapes.</w:t>
      </w:r>
      <w:bookmarkStart w:id="23" w:name="_Ref207713213"/>
      <w:r w:rsidR="00E84DA8" w:rsidRPr="006340F9">
        <w:rPr>
          <w:vertAlign w:val="superscript"/>
        </w:rPr>
        <w:footnoteReference w:id="3"/>
      </w:r>
      <w:bookmarkEnd w:id="23"/>
      <w:r w:rsidRPr="006340F9">
        <w:rPr>
          <w:vertAlign w:val="superscript"/>
        </w:rPr>
        <w:t xml:space="preserve"> </w:t>
      </w:r>
      <w:r w:rsidRPr="006340F9">
        <w:t xml:space="preserve">The roadmap outlined a strategic vision focused on improving care, supporting ethical and sustainable practices, and fostering innovation across Australia and New Zealand. It also identified that current accreditation processes are no longer suitable for today’s ART </w:t>
      </w:r>
      <w:r w:rsidR="000E474B" w:rsidRPr="006340F9">
        <w:t>sector</w:t>
      </w:r>
      <w:r w:rsidR="003007ED" w:rsidRPr="006340F9">
        <w:t>.</w:t>
      </w:r>
      <w:r w:rsidR="00E85112" w:rsidRPr="006340F9">
        <w:t xml:space="preserve"> </w:t>
      </w:r>
      <w:r w:rsidR="003007ED" w:rsidRPr="006340F9">
        <w:t>I</w:t>
      </w:r>
      <w:r w:rsidR="000E474B" w:rsidRPr="006340F9">
        <w:t>n</w:t>
      </w:r>
      <w:r w:rsidR="006C29DA" w:rsidRPr="006340F9">
        <w:t xml:space="preserve"> </w:t>
      </w:r>
      <w:r w:rsidRPr="006340F9">
        <w:t>particular</w:t>
      </w:r>
      <w:r w:rsidR="39322CFA" w:rsidRPr="006340F9">
        <w:t>,</w:t>
      </w:r>
      <w:r w:rsidRPr="006340F9">
        <w:t xml:space="preserve"> </w:t>
      </w:r>
      <w:r w:rsidR="002A03E7" w:rsidRPr="006340F9">
        <w:t xml:space="preserve">the roadmap noted </w:t>
      </w:r>
      <w:r w:rsidRPr="006340F9">
        <w:t xml:space="preserve">that the accreditation agency, RTAC, </w:t>
      </w:r>
      <w:r w:rsidR="00531FD3" w:rsidRPr="006340F9">
        <w:t>may not have the capacity to handle the growth in IVF services and that its lack of</w:t>
      </w:r>
      <w:r w:rsidRPr="006340F9">
        <w:t xml:space="preserve"> independen</w:t>
      </w:r>
      <w:r w:rsidR="00531FD3" w:rsidRPr="006340F9">
        <w:t>ce</w:t>
      </w:r>
      <w:r w:rsidRPr="006340F9">
        <w:t xml:space="preserve"> from FSANZ</w:t>
      </w:r>
      <w:r w:rsidR="00531FD3" w:rsidRPr="006340F9">
        <w:t xml:space="preserve"> – </w:t>
      </w:r>
      <w:r w:rsidR="0090349A" w:rsidRPr="006340F9">
        <w:t>as a sub-committee of this organisation</w:t>
      </w:r>
      <w:r w:rsidR="00BB2340" w:rsidRPr="006340F9">
        <w:t xml:space="preserve"> – is problematic</w:t>
      </w:r>
      <w:r w:rsidRPr="006340F9">
        <w:t>.</w:t>
      </w:r>
      <w:r w:rsidRPr="006340F9">
        <w:rPr>
          <w:vertAlign w:val="superscript"/>
        </w:rPr>
        <w:footnoteReference w:id="4"/>
      </w:r>
    </w:p>
    <w:p w14:paraId="400B40DA" w14:textId="7639D705" w:rsidR="00B104E4" w:rsidRPr="006340F9" w:rsidRDefault="00B104E4" w:rsidP="0062093F">
      <w:pPr>
        <w:pStyle w:val="Heading2"/>
        <w:rPr>
          <w:rStyle w:val="Heading2Char"/>
          <w:rFonts w:eastAsia="MS Gothic"/>
          <w:b/>
        </w:rPr>
      </w:pPr>
      <w:bookmarkStart w:id="24" w:name="_Ref207915487"/>
      <w:bookmarkStart w:id="25" w:name="_Toc207976226"/>
      <w:bookmarkStart w:id="26" w:name="_Toc209441979"/>
      <w:r w:rsidRPr="006340F9">
        <w:rPr>
          <w:rStyle w:val="Heading2Char"/>
          <w:rFonts w:eastAsia="MS Gothic"/>
          <w:b/>
        </w:rPr>
        <w:t xml:space="preserve">ART in Australia is </w:t>
      </w:r>
      <w:proofErr w:type="gramStart"/>
      <w:r w:rsidRPr="006340F9">
        <w:rPr>
          <w:rStyle w:val="Heading2Char"/>
          <w:rFonts w:eastAsia="MS Gothic"/>
          <w:b/>
        </w:rPr>
        <w:t>complex</w:t>
      </w:r>
      <w:proofErr w:type="gramEnd"/>
      <w:r w:rsidRPr="006340F9">
        <w:rPr>
          <w:rStyle w:val="Heading2Char"/>
          <w:rFonts w:eastAsia="MS Gothic"/>
          <w:b/>
        </w:rPr>
        <w:t xml:space="preserve"> and demand is growing</w:t>
      </w:r>
      <w:r w:rsidR="00772FE6" w:rsidRPr="006340F9">
        <w:rPr>
          <w:rStyle w:val="Heading2Char"/>
          <w:rFonts w:eastAsia="MS Gothic"/>
          <w:b/>
        </w:rPr>
        <w:t xml:space="preserve"> in volume and complexity</w:t>
      </w:r>
      <w:bookmarkEnd w:id="24"/>
      <w:bookmarkEnd w:id="25"/>
      <w:bookmarkEnd w:id="26"/>
    </w:p>
    <w:p w14:paraId="0AC3B77A" w14:textId="22985FA8" w:rsidR="00B104E4" w:rsidRPr="006340F9" w:rsidRDefault="00B104E4" w:rsidP="00B7757E">
      <w:pPr>
        <w:pStyle w:val="Body"/>
        <w:rPr>
          <w:rFonts w:cs="Arial"/>
        </w:rPr>
      </w:pPr>
      <w:r w:rsidRPr="006340F9">
        <w:rPr>
          <w:rFonts w:cs="Arial"/>
        </w:rPr>
        <w:t xml:space="preserve">ART services in Australia are shaped by a complex and evolving landscape, marked by concentrated private sector delivery, rising demand, and expanding service offerings. While Medicare provides substantial funding support, significant out-of-pocket costs and limited access to public services continue to </w:t>
      </w:r>
      <w:r w:rsidR="00763D46" w:rsidRPr="006340F9">
        <w:rPr>
          <w:rFonts w:cs="Arial"/>
        </w:rPr>
        <w:t xml:space="preserve">compromise </w:t>
      </w:r>
      <w:r w:rsidRPr="006340F9">
        <w:rPr>
          <w:rFonts w:cs="Arial"/>
        </w:rPr>
        <w:t>equit</w:t>
      </w:r>
      <w:r w:rsidR="00763D46" w:rsidRPr="006340F9">
        <w:rPr>
          <w:rFonts w:cs="Arial"/>
        </w:rPr>
        <w:t>able</w:t>
      </w:r>
      <w:r w:rsidRPr="006340F9">
        <w:rPr>
          <w:rFonts w:cs="Arial"/>
        </w:rPr>
        <w:t xml:space="preserve"> access.</w:t>
      </w:r>
    </w:p>
    <w:p w14:paraId="1162735A" w14:textId="2F5F377A" w:rsidR="00B104E4" w:rsidRPr="006340F9" w:rsidRDefault="00B104E4" w:rsidP="00B7757E">
      <w:pPr>
        <w:pStyle w:val="Body"/>
        <w:rPr>
          <w:rFonts w:cs="Arial"/>
        </w:rPr>
      </w:pPr>
      <w:r w:rsidRPr="006340F9">
        <w:rPr>
          <w:rFonts w:cs="Arial"/>
        </w:rPr>
        <w:t>Before considering the current accreditation and regulatory landscape</w:t>
      </w:r>
      <w:r w:rsidR="00FC2A01" w:rsidRPr="006340F9">
        <w:rPr>
          <w:rFonts w:cs="Arial"/>
        </w:rPr>
        <w:t>,</w:t>
      </w:r>
      <w:r w:rsidRPr="006340F9">
        <w:rPr>
          <w:rFonts w:cs="Arial"/>
        </w:rPr>
        <w:t xml:space="preserve"> it is useful to briefly summarise the current demand and provision of ART in Australia, including consideration of trends in care demand and care provision. </w:t>
      </w:r>
    </w:p>
    <w:p w14:paraId="08F007BC" w14:textId="55D7F821" w:rsidR="00B104E4" w:rsidRPr="006340F9" w:rsidRDefault="00B104E4" w:rsidP="5EEA0A5C">
      <w:pPr>
        <w:pStyle w:val="Heading3"/>
        <w:rPr>
          <w:strike/>
        </w:rPr>
      </w:pPr>
      <w:bookmarkStart w:id="27" w:name="_Toc205489524"/>
      <w:r w:rsidRPr="006340F9">
        <w:lastRenderedPageBreak/>
        <w:t>Demand for ART</w:t>
      </w:r>
      <w:r w:rsidR="003A3002" w:rsidRPr="006340F9">
        <w:t xml:space="preserve"> services</w:t>
      </w:r>
      <w:r w:rsidRPr="006340F9">
        <w:t xml:space="preserve"> is increasing</w:t>
      </w:r>
      <w:bookmarkEnd w:id="27"/>
    </w:p>
    <w:p w14:paraId="7B656812" w14:textId="372394C1" w:rsidR="00B104E4" w:rsidRPr="006340F9" w:rsidRDefault="00B104E4" w:rsidP="00C34747">
      <w:pPr>
        <w:pStyle w:val="Body"/>
      </w:pPr>
      <w:r w:rsidRPr="006340F9">
        <w:t xml:space="preserve">Reflecting broader societal trends, both the demand for </w:t>
      </w:r>
      <w:r w:rsidR="00696D0C" w:rsidRPr="006340F9">
        <w:t xml:space="preserve">ART services </w:t>
      </w:r>
      <w:r w:rsidRPr="006340F9">
        <w:t xml:space="preserve">and the complexity of ART </w:t>
      </w:r>
      <w:r w:rsidR="00081D0E" w:rsidRPr="006340F9">
        <w:t xml:space="preserve">services </w:t>
      </w:r>
      <w:r w:rsidRPr="006340F9">
        <w:t xml:space="preserve">being sought continue to grow. In </w:t>
      </w:r>
      <w:r w:rsidR="00212EF5" w:rsidRPr="006340F9">
        <w:t>2023</w:t>
      </w:r>
      <w:r w:rsidRPr="006340F9">
        <w:t xml:space="preserve">, </w:t>
      </w:r>
      <w:r w:rsidR="00F368FB" w:rsidRPr="006340F9">
        <w:t>10</w:t>
      </w:r>
      <w:r w:rsidR="00F341F8" w:rsidRPr="006340F9">
        <w:t>4</w:t>
      </w:r>
      <w:r w:rsidR="00F368FB" w:rsidRPr="006340F9">
        <w:t>,</w:t>
      </w:r>
      <w:r w:rsidR="00F341F8" w:rsidRPr="006340F9">
        <w:t>000</w:t>
      </w:r>
      <w:r w:rsidRPr="006340F9">
        <w:t xml:space="preserve"> ART treatment cycles were performed</w:t>
      </w:r>
      <w:r w:rsidR="00692DDD" w:rsidRPr="006340F9">
        <w:t xml:space="preserve"> in Australia</w:t>
      </w:r>
      <w:r w:rsidRPr="006340F9">
        <w:t>,</w:t>
      </w:r>
      <w:bookmarkStart w:id="28" w:name="_Ref207802069"/>
      <w:r w:rsidRPr="006340F9">
        <w:rPr>
          <w:rStyle w:val="FootnoteReference"/>
        </w:rPr>
        <w:footnoteReference w:id="5"/>
      </w:r>
      <w:bookmarkEnd w:id="28"/>
      <w:r w:rsidRPr="006340F9">
        <w:t xml:space="preserve"> compared to </w:t>
      </w:r>
      <w:r w:rsidR="00197CA5" w:rsidRPr="006340F9">
        <w:t>56</w:t>
      </w:r>
      <w:r w:rsidRPr="006340F9">
        <w:t>,000 in 2010.</w:t>
      </w:r>
      <w:r w:rsidRPr="006340F9">
        <w:rPr>
          <w:rStyle w:val="FootnoteReference"/>
        </w:rPr>
        <w:footnoteReference w:id="6"/>
      </w:r>
      <w:r w:rsidRPr="006340F9">
        <w:t xml:space="preserve"> Australia has one of the highest </w:t>
      </w:r>
      <w:r w:rsidRPr="006340F9">
        <w:rPr>
          <w:i/>
        </w:rPr>
        <w:t>per capita</w:t>
      </w:r>
      <w:r w:rsidRPr="006340F9">
        <w:t xml:space="preserve"> uptake rates of ART services in the world. One in 16 babies born in Australia are attributable to ART.</w:t>
      </w:r>
      <w:r w:rsidRPr="006340F9">
        <w:rPr>
          <w:rStyle w:val="FootnoteReference"/>
        </w:rPr>
        <w:footnoteReference w:id="7"/>
      </w:r>
      <w:r w:rsidRPr="006340F9" w:rsidDel="00F81EA1">
        <w:rPr>
          <w:rStyle w:val="FootnoteReference"/>
        </w:rPr>
        <w:t xml:space="preserve"> </w:t>
      </w:r>
    </w:p>
    <w:p w14:paraId="7C568441" w14:textId="503E9BBF" w:rsidR="00B104E4" w:rsidRPr="006340F9" w:rsidRDefault="00B104E4" w:rsidP="00C34747">
      <w:pPr>
        <w:pStyle w:val="Body"/>
      </w:pPr>
      <w:r w:rsidRPr="006340F9">
        <w:t xml:space="preserve">A key driver of this growing demand is the evolving profile of consumers accessing ART services. The sector continues to serve </w:t>
      </w:r>
      <w:r w:rsidR="00A4066C" w:rsidRPr="006340F9">
        <w:t xml:space="preserve">heterosexual </w:t>
      </w:r>
      <w:r w:rsidRPr="006340F9">
        <w:t xml:space="preserve">couples </w:t>
      </w:r>
      <w:r w:rsidR="4CC374CB" w:rsidRPr="006340F9">
        <w:t>with</w:t>
      </w:r>
      <w:r w:rsidRPr="006340F9">
        <w:t xml:space="preserve"> subfertility or infertility</w:t>
      </w:r>
      <w:r w:rsidR="3E08805D" w:rsidRPr="006340F9">
        <w:t>. A</w:t>
      </w:r>
      <w:r w:rsidRPr="006340F9">
        <w:t>bout one in six Australian couples</w:t>
      </w:r>
      <w:r w:rsidR="00B63E5E" w:rsidRPr="006340F9">
        <w:t xml:space="preserve"> experienc</w:t>
      </w:r>
      <w:r w:rsidR="75FF7A25" w:rsidRPr="006340F9">
        <w:t xml:space="preserve">e </w:t>
      </w:r>
      <w:r w:rsidRPr="006340F9">
        <w:t>infertility.</w:t>
      </w:r>
      <w:r w:rsidRPr="006340F9">
        <w:rPr>
          <w:rStyle w:val="FootnoteReference"/>
        </w:rPr>
        <w:footnoteReference w:id="8"/>
      </w:r>
      <w:r w:rsidRPr="006340F9">
        <w:t xml:space="preserve"> However, the uptake of ART in the community has progressively broadened over time, with an increasing number of single women and female-female couples accessing care. </w:t>
      </w:r>
      <w:r w:rsidR="4483F1DB" w:rsidRPr="006340F9">
        <w:t>I</w:t>
      </w:r>
      <w:r w:rsidRPr="006340F9">
        <w:t>n 202</w:t>
      </w:r>
      <w:r w:rsidR="003C4C18" w:rsidRPr="006340F9">
        <w:t>3</w:t>
      </w:r>
      <w:r w:rsidRPr="006340F9">
        <w:t>, 8</w:t>
      </w:r>
      <w:r w:rsidR="00287953" w:rsidRPr="006340F9">
        <w:t>1</w:t>
      </w:r>
      <w:r w:rsidRPr="006340F9">
        <w:t>% of ART cycles were provided to male-female couples, 1</w:t>
      </w:r>
      <w:r w:rsidR="00051B87" w:rsidRPr="006340F9">
        <w:t>4.6</w:t>
      </w:r>
      <w:r w:rsidRPr="006340F9">
        <w:t xml:space="preserve">% were </w:t>
      </w:r>
      <w:r w:rsidR="00E40541" w:rsidRPr="006340F9">
        <w:t xml:space="preserve">to </w:t>
      </w:r>
      <w:r w:rsidRPr="006340F9">
        <w:t>single women, and 4.</w:t>
      </w:r>
      <w:r w:rsidR="0007252B" w:rsidRPr="006340F9">
        <w:t>4</w:t>
      </w:r>
      <w:r w:rsidRPr="006340F9">
        <w:t xml:space="preserve">% were </w:t>
      </w:r>
      <w:r w:rsidR="00E40541" w:rsidRPr="006340F9">
        <w:t xml:space="preserve">to </w:t>
      </w:r>
      <w:r w:rsidRPr="006340F9">
        <w:t>female-female couples</w:t>
      </w:r>
      <w:r w:rsidR="0056101C" w:rsidRPr="006340F9">
        <w:t>.</w:t>
      </w:r>
      <w:r w:rsidR="00114E78" w:rsidRPr="006340F9">
        <w:rPr>
          <w:rStyle w:val="FootnoteReference"/>
        </w:rPr>
        <w:footnoteReference w:id="9"/>
      </w:r>
      <w:r w:rsidR="0056101C" w:rsidRPr="006340F9">
        <w:t xml:space="preserve"> </w:t>
      </w:r>
      <w:r w:rsidRPr="006340F9">
        <w:t xml:space="preserve">For oocyte and embryo recipient cycles, almost </w:t>
      </w:r>
      <w:r w:rsidR="00B80F4E" w:rsidRPr="006340F9">
        <w:t>40</w:t>
      </w:r>
      <w:r w:rsidRPr="006340F9">
        <w:t>% were provided to single women or female</w:t>
      </w:r>
      <w:r w:rsidR="00A34458" w:rsidRPr="006340F9">
        <w:t>-</w:t>
      </w:r>
      <w:r w:rsidRPr="006340F9">
        <w:t>female couples, indicating growing inclusivity in access to fertility services.</w:t>
      </w:r>
      <w:r w:rsidRPr="006340F9">
        <w:rPr>
          <w:rStyle w:val="FootnoteReference"/>
        </w:rPr>
        <w:footnoteReference w:id="10"/>
      </w:r>
      <w:r w:rsidRPr="006340F9">
        <w:rPr>
          <w:vertAlign w:val="superscript"/>
        </w:rPr>
        <w:t xml:space="preserve"> </w:t>
      </w:r>
      <w:r w:rsidRPr="006340F9">
        <w:t xml:space="preserve">This is also reflected in </w:t>
      </w:r>
      <w:r w:rsidR="00B31CAC" w:rsidRPr="006340F9">
        <w:t xml:space="preserve">a </w:t>
      </w:r>
      <w:r w:rsidRPr="006340F9">
        <w:t>growing demand for donor gametes that exceeds supply</w:t>
      </w:r>
      <w:r w:rsidR="00A44762" w:rsidRPr="006340F9">
        <w:t>.</w:t>
      </w:r>
      <w:r w:rsidRPr="006340F9">
        <w:rPr>
          <w:rStyle w:val="FootnoteReference"/>
        </w:rPr>
        <w:footnoteReference w:id="11"/>
      </w:r>
      <w:r w:rsidR="00B31CAC" w:rsidRPr="006340F9">
        <w:t xml:space="preserve"> This </w:t>
      </w:r>
      <w:r w:rsidR="00A42580" w:rsidRPr="006340F9">
        <w:t xml:space="preserve">has </w:t>
      </w:r>
      <w:r w:rsidRPr="006340F9">
        <w:t>result</w:t>
      </w:r>
      <w:r w:rsidR="00A42580" w:rsidRPr="006340F9">
        <w:t>ed</w:t>
      </w:r>
      <w:r w:rsidRPr="006340F9">
        <w:t xml:space="preserve"> in increased importation of gametes from international gamete banks and the increased use of informal channels by consumers for gamete donations.</w:t>
      </w:r>
      <w:bookmarkStart w:id="29" w:name="_Ref207713890"/>
      <w:r w:rsidRPr="006340F9">
        <w:rPr>
          <w:rStyle w:val="FootnoteReference"/>
        </w:rPr>
        <w:footnoteReference w:id="12"/>
      </w:r>
      <w:bookmarkEnd w:id="29"/>
    </w:p>
    <w:p w14:paraId="1E1CAC6C" w14:textId="281D4843" w:rsidR="00B104E4" w:rsidRPr="006340F9" w:rsidRDefault="00B104E4" w:rsidP="004600B7">
      <w:pPr>
        <w:pStyle w:val="Heading3"/>
      </w:pPr>
      <w:bookmarkStart w:id="30" w:name="_ART_services_are"/>
      <w:bookmarkStart w:id="31" w:name="_Toc205489523"/>
      <w:bookmarkStart w:id="32" w:name="_Ref207277450"/>
      <w:bookmarkEnd w:id="30"/>
      <w:r w:rsidRPr="006340F9">
        <w:t>ART services</w:t>
      </w:r>
      <w:bookmarkEnd w:id="31"/>
      <w:r w:rsidRPr="006340F9">
        <w:t xml:space="preserve"> are predominantly delivered by private providers</w:t>
      </w:r>
      <w:bookmarkEnd w:id="32"/>
    </w:p>
    <w:p w14:paraId="4D0F79FC" w14:textId="77550B3A" w:rsidR="00B104E4" w:rsidRPr="006340F9" w:rsidRDefault="00B104E4" w:rsidP="00DD14C0">
      <w:pPr>
        <w:pStyle w:val="Body"/>
      </w:pPr>
      <w:r w:rsidRPr="006340F9">
        <w:t xml:space="preserve">The number of ART providers and ART clinics in Australia continues to grow. As of 2024, there are 100 </w:t>
      </w:r>
      <w:r w:rsidR="00A07EC3" w:rsidRPr="006340F9">
        <w:t>ART</w:t>
      </w:r>
      <w:r w:rsidRPr="006340F9">
        <w:t xml:space="preserve"> clinics nation</w:t>
      </w:r>
      <w:r w:rsidR="00327888" w:rsidRPr="006340F9">
        <w:t>ally</w:t>
      </w:r>
      <w:r w:rsidRPr="006340F9">
        <w:t>,</w:t>
      </w:r>
      <w:bookmarkStart w:id="33" w:name="_Ref207714269"/>
      <w:r w:rsidRPr="006340F9">
        <w:rPr>
          <w:rStyle w:val="FootnoteReference"/>
        </w:rPr>
        <w:footnoteReference w:id="13"/>
      </w:r>
      <w:bookmarkEnd w:id="33"/>
      <w:r w:rsidRPr="006340F9">
        <w:rPr>
          <w:vertAlign w:val="superscript"/>
        </w:rPr>
        <w:t xml:space="preserve"> </w:t>
      </w:r>
      <w:r w:rsidRPr="006340F9">
        <w:t>a 20% increase from the 83 clinics in 2017</w:t>
      </w:r>
      <w:bookmarkStart w:id="34" w:name="_Ref205555623"/>
      <w:r w:rsidRPr="006340F9">
        <w:t>.</w:t>
      </w:r>
      <w:r w:rsidRPr="006340F9">
        <w:rPr>
          <w:rStyle w:val="FootnoteReference"/>
        </w:rPr>
        <w:footnoteReference w:id="14"/>
      </w:r>
      <w:bookmarkEnd w:id="34"/>
      <w:r w:rsidRPr="006340F9">
        <w:rPr>
          <w:vertAlign w:val="superscript"/>
        </w:rPr>
        <w:t xml:space="preserve"> </w:t>
      </w:r>
      <w:r w:rsidRPr="006340F9">
        <w:t>The majority of these clinics – about 95% of the clinics in market – are operated by private providers.</w:t>
      </w:r>
      <w:r w:rsidR="00101229" w:rsidRPr="006340F9">
        <w:rPr>
          <w:rStyle w:val="FootnoteReference"/>
        </w:rPr>
        <w:footnoteReference w:id="15"/>
      </w:r>
      <w:r w:rsidRPr="006340F9">
        <w:t xml:space="preserve"> </w:t>
      </w:r>
    </w:p>
    <w:p w14:paraId="65C78EB6" w14:textId="6693720F" w:rsidR="00B104E4" w:rsidRPr="006340F9" w:rsidRDefault="00B104E4" w:rsidP="00DD14C0">
      <w:pPr>
        <w:pStyle w:val="Body"/>
      </w:pPr>
      <w:r w:rsidRPr="006340F9">
        <w:t>Over the past two decades the ownership and company structures of private ART providers has progressively shifted from being predominantly small owner-operated units to large corporate ownership models.</w:t>
      </w:r>
      <w:r w:rsidRPr="006340F9">
        <w:rPr>
          <w:rStyle w:val="FootnoteReference"/>
        </w:rPr>
        <w:footnoteReference w:id="16"/>
      </w:r>
      <w:r w:rsidRPr="006340F9">
        <w:t xml:space="preserve"> Currently, the ownership structures for ART units include </w:t>
      </w:r>
      <w:r w:rsidRPr="006340F9">
        <w:lastRenderedPageBreak/>
        <w:t xml:space="preserve">publicly listed entities, corporations owned by private equity firms, large private corporations, and some smaller doctor-owned and operated units. These ownership structures bring different public reporting obligations, such as reporting to </w:t>
      </w:r>
      <w:r w:rsidR="0053477B" w:rsidRPr="006340F9">
        <w:t>the Australian Securities and Investment Commission</w:t>
      </w:r>
      <w:r w:rsidRPr="006340F9">
        <w:t xml:space="preserve"> </w:t>
      </w:r>
      <w:r w:rsidR="007A2A69" w:rsidRPr="006340F9">
        <w:t xml:space="preserve">and to shareholders </w:t>
      </w:r>
      <w:r w:rsidRPr="006340F9">
        <w:t>for listed entities.</w:t>
      </w:r>
    </w:p>
    <w:p w14:paraId="33BAD7FA" w14:textId="2F51F2C1" w:rsidR="00B104E4" w:rsidRPr="006340F9" w:rsidRDefault="00B104E4" w:rsidP="00DD14C0">
      <w:pPr>
        <w:pStyle w:val="Body"/>
      </w:pPr>
      <w:r w:rsidRPr="006340F9">
        <w:t xml:space="preserve">Four large ART providers currently account for about 80% of the </w:t>
      </w:r>
      <w:r w:rsidR="007A2A69" w:rsidRPr="006340F9">
        <w:t xml:space="preserve">Australian </w:t>
      </w:r>
      <w:r w:rsidRPr="006340F9">
        <w:t>market share: Virtus Health (37%), Monash IVF (31%), Genea (12%), and City Fertility Centre (5%).</w:t>
      </w:r>
      <w:r w:rsidRPr="006340F9">
        <w:rPr>
          <w:rStyle w:val="FootnoteReference"/>
        </w:rPr>
        <w:footnoteReference w:id="17"/>
      </w:r>
      <w:r w:rsidRPr="006340F9">
        <w:rPr>
          <w:vertAlign w:val="superscript"/>
        </w:rPr>
        <w:t xml:space="preserve"> </w:t>
      </w:r>
      <w:r w:rsidRPr="006340F9">
        <w:t xml:space="preserve">The emergence of these four providers reflects </w:t>
      </w:r>
      <w:r w:rsidR="00E974E4" w:rsidRPr="006340F9">
        <w:t xml:space="preserve">a </w:t>
      </w:r>
      <w:r w:rsidRPr="006340F9">
        <w:t>progressive consolidation of the ART sector, with the major providers expanding their market share through mergers and acquisition</w:t>
      </w:r>
      <w:r w:rsidR="00011DFB" w:rsidRPr="006340F9">
        <w:t>s</w:t>
      </w:r>
      <w:r w:rsidR="00DF4E5E" w:rsidRPr="006340F9">
        <w:t>.</w:t>
      </w:r>
      <w:r w:rsidRPr="006340F9">
        <w:rPr>
          <w:rStyle w:val="FootnoteReference"/>
        </w:rPr>
        <w:footnoteReference w:id="18"/>
      </w:r>
      <w:r w:rsidRPr="006340F9">
        <w:rPr>
          <w:vertAlign w:val="superscript"/>
        </w:rPr>
        <w:t xml:space="preserve"> </w:t>
      </w:r>
      <w:r w:rsidRPr="006340F9">
        <w:t xml:space="preserve">It </w:t>
      </w:r>
      <w:r w:rsidR="4AF93130" w:rsidRPr="006340F9">
        <w:t>is likely</w:t>
      </w:r>
      <w:r w:rsidRPr="006340F9">
        <w:t xml:space="preserve"> that the trend for consolidation will continue with the larger companies pursuing further clinic acquisitions.</w:t>
      </w:r>
      <w:r w:rsidRPr="006340F9">
        <w:rPr>
          <w:rStyle w:val="FootnoteReference"/>
        </w:rPr>
        <w:footnoteReference w:id="19"/>
      </w:r>
      <w:r w:rsidRPr="006340F9" w:rsidDel="004111FD">
        <w:rPr>
          <w:vertAlign w:val="superscript"/>
        </w:rPr>
        <w:t xml:space="preserve"> </w:t>
      </w:r>
    </w:p>
    <w:p w14:paraId="492E5852" w14:textId="4D6A5223" w:rsidR="00F375F8" w:rsidRPr="006340F9" w:rsidRDefault="00B104E4" w:rsidP="00DD14C0">
      <w:pPr>
        <w:pStyle w:val="Body"/>
      </w:pPr>
      <w:r w:rsidRPr="006340F9">
        <w:t xml:space="preserve">ART services are </w:t>
      </w:r>
      <w:r w:rsidR="008630DB" w:rsidRPr="006340F9">
        <w:t>delivered</w:t>
      </w:r>
      <w:r w:rsidRPr="006340F9">
        <w:t xml:space="preserve"> in all states and territories. Largely reflecting population distribution</w:t>
      </w:r>
      <w:r w:rsidR="006F75D3" w:rsidRPr="006340F9">
        <w:t>,</w:t>
      </w:r>
      <w:r w:rsidRPr="006340F9">
        <w:rPr>
          <w:rStyle w:val="FootnoteReference"/>
        </w:rPr>
        <w:footnoteReference w:id="20"/>
      </w:r>
      <w:r w:rsidRPr="006340F9">
        <w:t xml:space="preserve"> about 80% of services are provided in New South Wales, Queensland and Victoria.</w:t>
      </w:r>
      <w:r w:rsidRPr="006340F9">
        <w:rPr>
          <w:rStyle w:val="FootnoteReference"/>
        </w:rPr>
        <w:footnoteReference w:id="21"/>
      </w:r>
      <w:r w:rsidRPr="006340F9">
        <w:rPr>
          <w:vertAlign w:val="superscript"/>
        </w:rPr>
        <w:t xml:space="preserve"> </w:t>
      </w:r>
      <w:r w:rsidRPr="006340F9">
        <w:t>Access to ART services is limited for those living in rural and remote areas, with most located in large regional or metropolitan cities</w:t>
      </w:r>
      <w:r w:rsidR="00574EC8" w:rsidRPr="006340F9">
        <w:t>.</w:t>
      </w:r>
      <w:r w:rsidRPr="006340F9">
        <w:rPr>
          <w:rStyle w:val="FootnoteReference"/>
        </w:rPr>
        <w:footnoteReference w:id="22"/>
      </w:r>
      <w:r w:rsidRPr="006340F9">
        <w:t xml:space="preserve"> </w:t>
      </w:r>
      <w:r w:rsidR="00027E83" w:rsidRPr="006340F9">
        <w:t>H</w:t>
      </w:r>
      <w:r w:rsidRPr="006340F9">
        <w:t xml:space="preserve">owever, some </w:t>
      </w:r>
      <w:r w:rsidR="00027E83" w:rsidRPr="006340F9">
        <w:t xml:space="preserve">metropolitan-based </w:t>
      </w:r>
      <w:r w:rsidRPr="006340F9">
        <w:t xml:space="preserve">providers operate satellite units in regional </w:t>
      </w:r>
      <w:r w:rsidR="00027E83" w:rsidRPr="006340F9">
        <w:t xml:space="preserve">and country </w:t>
      </w:r>
      <w:r w:rsidRPr="006340F9">
        <w:t>areas.</w:t>
      </w:r>
    </w:p>
    <w:p w14:paraId="21FC4EF7" w14:textId="6FAAA870" w:rsidR="00B104E4" w:rsidRPr="006340F9" w:rsidRDefault="00B104E4" w:rsidP="5EEA0A5C">
      <w:pPr>
        <w:pStyle w:val="Body"/>
        <w:rPr>
          <w:vertAlign w:val="superscript"/>
        </w:rPr>
      </w:pPr>
      <w:r w:rsidRPr="006340F9">
        <w:t>Several ART providers operate clinics across multiple jurisdictions</w:t>
      </w:r>
      <w:r w:rsidR="5FEFC91E" w:rsidRPr="006340F9">
        <w:t>. T</w:t>
      </w:r>
      <w:r w:rsidRPr="006340F9">
        <w:t>he four</w:t>
      </w:r>
      <w:r w:rsidR="00B44D07" w:rsidRPr="006340F9">
        <w:t xml:space="preserve"> largest</w:t>
      </w:r>
      <w:r w:rsidRPr="006340F9">
        <w:t xml:space="preserve"> providers occupy more than half </w:t>
      </w:r>
      <w:r w:rsidR="23793650" w:rsidRPr="006340F9">
        <w:t xml:space="preserve">of </w:t>
      </w:r>
      <w:r w:rsidRPr="006340F9">
        <w:t xml:space="preserve">the market in each jurisdiction. </w:t>
      </w:r>
      <w:r w:rsidR="009F2608" w:rsidRPr="006340F9">
        <w:t>Table</w:t>
      </w:r>
      <w:r w:rsidR="000B1173" w:rsidRPr="006340F9">
        <w:t xml:space="preserve"> 1.1</w:t>
      </w:r>
      <w:r w:rsidR="00E45287" w:rsidRPr="006340F9">
        <w:t xml:space="preserve"> </w:t>
      </w:r>
      <w:r w:rsidR="00CC2586" w:rsidRPr="006340F9">
        <w:t xml:space="preserve">sets out the number of ART units in each </w:t>
      </w:r>
      <w:r w:rsidR="00B47B3B" w:rsidRPr="006340F9">
        <w:rPr>
          <w:rFonts w:cs="Arial"/>
        </w:rPr>
        <w:t>State and Territory</w:t>
      </w:r>
      <w:r w:rsidR="00CC2586" w:rsidRPr="006340F9">
        <w:t xml:space="preserve">. There is greatest choice </w:t>
      </w:r>
      <w:r w:rsidR="001465F1" w:rsidRPr="006340F9">
        <w:t>of</w:t>
      </w:r>
      <w:r w:rsidR="00CC2586" w:rsidRPr="006340F9">
        <w:t xml:space="preserve"> provider in the larger</w:t>
      </w:r>
      <w:r w:rsidR="006D3609" w:rsidRPr="006340F9">
        <w:t xml:space="preserve"> jurisdictions</w:t>
      </w:r>
      <w:r w:rsidRPr="006340F9">
        <w:t>.</w:t>
      </w:r>
      <w:r w:rsidRPr="006340F9">
        <w:rPr>
          <w:rStyle w:val="FootnoteReference"/>
        </w:rPr>
        <w:footnoteReference w:id="23"/>
      </w:r>
      <w:r w:rsidRPr="006340F9">
        <w:rPr>
          <w:vertAlign w:val="superscript"/>
        </w:rPr>
        <w:t xml:space="preserve">  </w:t>
      </w:r>
    </w:p>
    <w:p w14:paraId="145F895F" w14:textId="3D8740EB" w:rsidR="00E86F8C" w:rsidRPr="006340F9" w:rsidRDefault="00A33D71" w:rsidP="00E86F8C">
      <w:pPr>
        <w:pStyle w:val="Tablecaption"/>
      </w:pPr>
      <w:bookmarkStart w:id="35" w:name="_Ref207639533"/>
      <w:bookmarkStart w:id="36" w:name="_Ref207639509"/>
      <w:r w:rsidRPr="006340F9">
        <w:br w:type="column"/>
      </w:r>
      <w:bookmarkEnd w:id="35"/>
      <w:r w:rsidR="009F2608" w:rsidRPr="006340F9">
        <w:lastRenderedPageBreak/>
        <w:t>Table</w:t>
      </w:r>
      <w:r w:rsidR="000B1173" w:rsidRPr="006340F9">
        <w:t xml:space="preserve"> 1.1:</w:t>
      </w:r>
      <w:r w:rsidR="00E86F8C" w:rsidRPr="006340F9">
        <w:t xml:space="preserve"> Number of private and public ART clinics by jurisdiction</w:t>
      </w:r>
      <w:r w:rsidR="00B30B4D" w:rsidRPr="006340F9">
        <w:t>.</w:t>
      </w:r>
      <w:r w:rsidR="00E86F8C" w:rsidRPr="006340F9">
        <w:rPr>
          <w:rStyle w:val="FootnoteReference"/>
        </w:rPr>
        <w:footnoteReference w:id="24"/>
      </w:r>
      <w:bookmarkEnd w:id="36"/>
    </w:p>
    <w:tbl>
      <w:tblPr>
        <w:tblStyle w:val="GridTable4-Accent1"/>
        <w:tblW w:w="5000" w:type="pct"/>
        <w:tblLook w:val="04A0" w:firstRow="1" w:lastRow="0" w:firstColumn="1" w:lastColumn="0" w:noHBand="0" w:noVBand="1"/>
      </w:tblPr>
      <w:tblGrid>
        <w:gridCol w:w="2254"/>
        <w:gridCol w:w="2254"/>
        <w:gridCol w:w="2254"/>
        <w:gridCol w:w="2254"/>
      </w:tblGrid>
      <w:tr w:rsidR="00416E8A" w:rsidRPr="006340F9" w14:paraId="09A62AC2" w14:textId="77777777" w:rsidTr="00165C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3025CDDD" w14:textId="77777777" w:rsidR="00E86F8C" w:rsidRPr="006340F9" w:rsidRDefault="00E86F8C" w:rsidP="00A53A15">
            <w:pPr>
              <w:spacing w:before="40" w:after="40"/>
              <w:jc w:val="center"/>
              <w:rPr>
                <w:rFonts w:cs="Arial"/>
                <w:sz w:val="18"/>
                <w:szCs w:val="18"/>
              </w:rPr>
            </w:pPr>
            <w:r w:rsidRPr="006340F9">
              <w:rPr>
                <w:rFonts w:cs="Arial"/>
                <w:sz w:val="18"/>
                <w:szCs w:val="18"/>
              </w:rPr>
              <w:t>State</w:t>
            </w:r>
          </w:p>
        </w:tc>
        <w:tc>
          <w:tcPr>
            <w:tcW w:w="1250" w:type="pct"/>
          </w:tcPr>
          <w:p w14:paraId="355774A6" w14:textId="77777777" w:rsidR="00E86F8C" w:rsidRPr="006340F9" w:rsidRDefault="00E86F8C" w:rsidP="00A53A15">
            <w:pPr>
              <w:spacing w:before="40" w:after="4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340F9">
              <w:rPr>
                <w:rFonts w:cs="Arial"/>
                <w:sz w:val="18"/>
                <w:szCs w:val="18"/>
              </w:rPr>
              <w:t>Private clinics</w:t>
            </w:r>
          </w:p>
        </w:tc>
        <w:tc>
          <w:tcPr>
            <w:tcW w:w="1250" w:type="pct"/>
          </w:tcPr>
          <w:p w14:paraId="7722C437" w14:textId="77777777" w:rsidR="00E86F8C" w:rsidRPr="006340F9" w:rsidRDefault="00E86F8C" w:rsidP="00A53A15">
            <w:pPr>
              <w:spacing w:before="40" w:after="4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340F9">
              <w:rPr>
                <w:rFonts w:cs="Arial"/>
                <w:sz w:val="18"/>
                <w:szCs w:val="18"/>
              </w:rPr>
              <w:t>Public clinics</w:t>
            </w:r>
          </w:p>
        </w:tc>
        <w:tc>
          <w:tcPr>
            <w:tcW w:w="1250" w:type="pct"/>
          </w:tcPr>
          <w:p w14:paraId="0BCE6FDD" w14:textId="77777777" w:rsidR="00E86F8C" w:rsidRPr="006340F9" w:rsidRDefault="00E86F8C" w:rsidP="00A53A15">
            <w:pPr>
              <w:spacing w:before="40" w:after="4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340F9">
              <w:rPr>
                <w:rFonts w:cs="Arial"/>
                <w:sz w:val="18"/>
                <w:szCs w:val="18"/>
              </w:rPr>
              <w:t>Total</w:t>
            </w:r>
          </w:p>
        </w:tc>
      </w:tr>
      <w:tr w:rsidR="00416E8A" w:rsidRPr="006340F9" w14:paraId="6EAA1A0B" w14:textId="77777777" w:rsidTr="00165C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46C3142A" w14:textId="77777777" w:rsidR="00E86F8C" w:rsidRPr="006340F9" w:rsidRDefault="00E86F8C" w:rsidP="00A53A15">
            <w:pPr>
              <w:pStyle w:val="Tabletext"/>
              <w:spacing w:before="40" w:after="40"/>
              <w:jc w:val="center"/>
              <w:rPr>
                <w:sz w:val="18"/>
              </w:rPr>
            </w:pPr>
            <w:r w:rsidRPr="006340F9">
              <w:rPr>
                <w:sz w:val="18"/>
              </w:rPr>
              <w:t>ACT</w:t>
            </w:r>
          </w:p>
        </w:tc>
        <w:tc>
          <w:tcPr>
            <w:tcW w:w="1250" w:type="pct"/>
          </w:tcPr>
          <w:p w14:paraId="44E9783B" w14:textId="77777777" w:rsidR="00E86F8C" w:rsidRPr="006340F9" w:rsidRDefault="00E86F8C" w:rsidP="00A53A15">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sz w:val="18"/>
              </w:rPr>
            </w:pPr>
            <w:r w:rsidRPr="006340F9">
              <w:rPr>
                <w:sz w:val="18"/>
              </w:rPr>
              <w:t>3</w:t>
            </w:r>
          </w:p>
        </w:tc>
        <w:tc>
          <w:tcPr>
            <w:tcW w:w="1250" w:type="pct"/>
          </w:tcPr>
          <w:p w14:paraId="4BB65BA1" w14:textId="77777777" w:rsidR="00E86F8C" w:rsidRPr="006340F9" w:rsidRDefault="00E86F8C" w:rsidP="00A53A15">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sz w:val="18"/>
              </w:rPr>
            </w:pPr>
            <w:r w:rsidRPr="006340F9">
              <w:rPr>
                <w:sz w:val="18"/>
              </w:rPr>
              <w:t>0</w:t>
            </w:r>
          </w:p>
        </w:tc>
        <w:tc>
          <w:tcPr>
            <w:tcW w:w="1250" w:type="pct"/>
          </w:tcPr>
          <w:p w14:paraId="2DE6146B" w14:textId="77777777" w:rsidR="00E86F8C" w:rsidRPr="006340F9" w:rsidRDefault="00E86F8C" w:rsidP="00A53A15">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sz w:val="18"/>
              </w:rPr>
            </w:pPr>
            <w:r w:rsidRPr="006340F9">
              <w:rPr>
                <w:sz w:val="18"/>
              </w:rPr>
              <w:t>3</w:t>
            </w:r>
          </w:p>
        </w:tc>
      </w:tr>
      <w:tr w:rsidR="00E86F8C" w:rsidRPr="006340F9" w14:paraId="02CD9884" w14:textId="77777777" w:rsidTr="00165C7B">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0EB61BA6" w14:textId="77777777" w:rsidR="00E86F8C" w:rsidRPr="006340F9" w:rsidRDefault="00E86F8C" w:rsidP="00A53A15">
            <w:pPr>
              <w:pStyle w:val="Tabletext"/>
              <w:spacing w:before="40" w:after="40"/>
              <w:jc w:val="center"/>
              <w:rPr>
                <w:sz w:val="18"/>
              </w:rPr>
            </w:pPr>
            <w:r w:rsidRPr="006340F9">
              <w:rPr>
                <w:sz w:val="18"/>
              </w:rPr>
              <w:t>NSW</w:t>
            </w:r>
          </w:p>
        </w:tc>
        <w:tc>
          <w:tcPr>
            <w:tcW w:w="1250" w:type="pct"/>
          </w:tcPr>
          <w:p w14:paraId="7B4F6852" w14:textId="7C7F0047" w:rsidR="00E86F8C" w:rsidRPr="006340F9" w:rsidRDefault="00E86F8C" w:rsidP="00A53A15">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8"/>
              </w:rPr>
            </w:pPr>
            <w:r w:rsidRPr="006340F9">
              <w:rPr>
                <w:sz w:val="18"/>
              </w:rPr>
              <w:t>3</w:t>
            </w:r>
            <w:r w:rsidR="00F000F1" w:rsidRPr="006340F9">
              <w:rPr>
                <w:sz w:val="18"/>
              </w:rPr>
              <w:t>1</w:t>
            </w:r>
          </w:p>
        </w:tc>
        <w:tc>
          <w:tcPr>
            <w:tcW w:w="1250" w:type="pct"/>
          </w:tcPr>
          <w:p w14:paraId="30621AC2" w14:textId="77777777" w:rsidR="00E86F8C" w:rsidRPr="006340F9" w:rsidRDefault="00E86F8C" w:rsidP="00A53A15">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8"/>
              </w:rPr>
            </w:pPr>
            <w:r w:rsidRPr="006340F9">
              <w:rPr>
                <w:sz w:val="18"/>
              </w:rPr>
              <w:t>3</w:t>
            </w:r>
          </w:p>
        </w:tc>
        <w:tc>
          <w:tcPr>
            <w:tcW w:w="1250" w:type="pct"/>
          </w:tcPr>
          <w:p w14:paraId="3EA95FD1" w14:textId="2F3AA280" w:rsidR="00E86F8C" w:rsidRPr="006340F9" w:rsidRDefault="00E86F8C" w:rsidP="00A53A15">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8"/>
              </w:rPr>
            </w:pPr>
            <w:r w:rsidRPr="006340F9">
              <w:rPr>
                <w:sz w:val="18"/>
              </w:rPr>
              <w:t>3</w:t>
            </w:r>
            <w:r w:rsidR="00913CA0" w:rsidRPr="006340F9">
              <w:rPr>
                <w:sz w:val="18"/>
              </w:rPr>
              <w:t>4</w:t>
            </w:r>
          </w:p>
        </w:tc>
      </w:tr>
      <w:tr w:rsidR="00416E8A" w:rsidRPr="006340F9" w14:paraId="3BE7B0CB" w14:textId="77777777" w:rsidTr="00165C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47DB4E4C" w14:textId="68F1F6CC" w:rsidR="00BC3FD1" w:rsidRPr="006340F9" w:rsidRDefault="00BC3FD1" w:rsidP="00576B76">
            <w:pPr>
              <w:pStyle w:val="Tabletext"/>
              <w:spacing w:before="40" w:after="40"/>
              <w:jc w:val="center"/>
              <w:rPr>
                <w:sz w:val="18"/>
              </w:rPr>
            </w:pPr>
            <w:r w:rsidRPr="006340F9">
              <w:rPr>
                <w:sz w:val="18"/>
              </w:rPr>
              <w:t>NT</w:t>
            </w:r>
          </w:p>
        </w:tc>
        <w:tc>
          <w:tcPr>
            <w:tcW w:w="1250" w:type="pct"/>
          </w:tcPr>
          <w:p w14:paraId="435791F3" w14:textId="2595CF6C" w:rsidR="00BC3FD1" w:rsidRPr="006340F9" w:rsidRDefault="00BC3FD1" w:rsidP="00576B76">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sz w:val="18"/>
              </w:rPr>
            </w:pPr>
            <w:r w:rsidRPr="006340F9">
              <w:rPr>
                <w:sz w:val="18"/>
              </w:rPr>
              <w:t>1</w:t>
            </w:r>
          </w:p>
        </w:tc>
        <w:tc>
          <w:tcPr>
            <w:tcW w:w="1250" w:type="pct"/>
          </w:tcPr>
          <w:p w14:paraId="1186F70A" w14:textId="7F431781" w:rsidR="00BC3FD1" w:rsidRPr="006340F9" w:rsidRDefault="00BC3FD1" w:rsidP="00576B76">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sz w:val="18"/>
              </w:rPr>
            </w:pPr>
            <w:r w:rsidRPr="006340F9">
              <w:rPr>
                <w:sz w:val="18"/>
              </w:rPr>
              <w:t>0</w:t>
            </w:r>
          </w:p>
        </w:tc>
        <w:tc>
          <w:tcPr>
            <w:tcW w:w="1250" w:type="pct"/>
          </w:tcPr>
          <w:p w14:paraId="01BFF35C" w14:textId="4BE9B5AF" w:rsidR="00BC3FD1" w:rsidRPr="006340F9" w:rsidRDefault="00BC3FD1" w:rsidP="00576B76">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sz w:val="18"/>
              </w:rPr>
            </w:pPr>
            <w:r w:rsidRPr="006340F9">
              <w:rPr>
                <w:sz w:val="18"/>
              </w:rPr>
              <w:t>1</w:t>
            </w:r>
          </w:p>
        </w:tc>
      </w:tr>
      <w:tr w:rsidR="00E73318" w:rsidRPr="006340F9" w14:paraId="4F240DC1" w14:textId="77777777" w:rsidTr="00165C7B">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2460AD49" w14:textId="77777777" w:rsidR="00E86F8C" w:rsidRPr="006340F9" w:rsidRDefault="00E86F8C" w:rsidP="00E53912">
            <w:pPr>
              <w:pStyle w:val="Tabletext"/>
              <w:spacing w:before="40" w:after="40"/>
              <w:jc w:val="center"/>
              <w:rPr>
                <w:sz w:val="18"/>
              </w:rPr>
            </w:pPr>
            <w:r w:rsidRPr="006340F9">
              <w:rPr>
                <w:sz w:val="18"/>
              </w:rPr>
              <w:t>QLD</w:t>
            </w:r>
          </w:p>
        </w:tc>
        <w:tc>
          <w:tcPr>
            <w:tcW w:w="1250" w:type="pct"/>
          </w:tcPr>
          <w:p w14:paraId="2BE49F3E" w14:textId="77777777" w:rsidR="00E86F8C" w:rsidRPr="006340F9" w:rsidRDefault="00E86F8C" w:rsidP="00E53912">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8"/>
              </w:rPr>
            </w:pPr>
            <w:r w:rsidRPr="006340F9">
              <w:rPr>
                <w:sz w:val="18"/>
              </w:rPr>
              <w:t>24</w:t>
            </w:r>
          </w:p>
        </w:tc>
        <w:tc>
          <w:tcPr>
            <w:tcW w:w="1250" w:type="pct"/>
          </w:tcPr>
          <w:p w14:paraId="7CBDD035" w14:textId="77777777" w:rsidR="00E86F8C" w:rsidRPr="006340F9" w:rsidRDefault="00E86F8C" w:rsidP="00E53912">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8"/>
              </w:rPr>
            </w:pPr>
            <w:r w:rsidRPr="006340F9">
              <w:rPr>
                <w:sz w:val="18"/>
              </w:rPr>
              <w:t>0</w:t>
            </w:r>
          </w:p>
        </w:tc>
        <w:tc>
          <w:tcPr>
            <w:tcW w:w="1250" w:type="pct"/>
          </w:tcPr>
          <w:p w14:paraId="18E9746C" w14:textId="77777777" w:rsidR="00E86F8C" w:rsidRPr="006340F9" w:rsidRDefault="00E86F8C" w:rsidP="00E53912">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8"/>
              </w:rPr>
            </w:pPr>
            <w:r w:rsidRPr="006340F9">
              <w:rPr>
                <w:sz w:val="18"/>
              </w:rPr>
              <w:t>24</w:t>
            </w:r>
          </w:p>
        </w:tc>
      </w:tr>
      <w:tr w:rsidR="00416E8A" w:rsidRPr="006340F9" w14:paraId="71E464B3" w14:textId="77777777" w:rsidTr="00165C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353079A2" w14:textId="77777777" w:rsidR="00E86F8C" w:rsidRPr="006340F9" w:rsidRDefault="00E86F8C" w:rsidP="00E53912">
            <w:pPr>
              <w:pStyle w:val="Tabletext"/>
              <w:spacing w:before="40" w:after="40"/>
              <w:jc w:val="center"/>
              <w:rPr>
                <w:sz w:val="18"/>
              </w:rPr>
            </w:pPr>
            <w:r w:rsidRPr="006340F9">
              <w:rPr>
                <w:sz w:val="18"/>
              </w:rPr>
              <w:t>SA</w:t>
            </w:r>
          </w:p>
        </w:tc>
        <w:tc>
          <w:tcPr>
            <w:tcW w:w="1250" w:type="pct"/>
          </w:tcPr>
          <w:p w14:paraId="1FB7117F" w14:textId="77777777" w:rsidR="00E86F8C" w:rsidRPr="006340F9" w:rsidRDefault="00E86F8C" w:rsidP="00E5391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sz w:val="18"/>
              </w:rPr>
            </w:pPr>
            <w:r w:rsidRPr="006340F9">
              <w:rPr>
                <w:sz w:val="18"/>
              </w:rPr>
              <w:t>4</w:t>
            </w:r>
          </w:p>
        </w:tc>
        <w:tc>
          <w:tcPr>
            <w:tcW w:w="1250" w:type="pct"/>
          </w:tcPr>
          <w:p w14:paraId="4D270037" w14:textId="77777777" w:rsidR="00E86F8C" w:rsidRPr="006340F9" w:rsidRDefault="00E86F8C" w:rsidP="00E5391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sz w:val="18"/>
              </w:rPr>
            </w:pPr>
            <w:r w:rsidRPr="006340F9">
              <w:rPr>
                <w:sz w:val="18"/>
              </w:rPr>
              <w:t>0</w:t>
            </w:r>
          </w:p>
        </w:tc>
        <w:tc>
          <w:tcPr>
            <w:tcW w:w="1250" w:type="pct"/>
          </w:tcPr>
          <w:p w14:paraId="6C4017F8" w14:textId="77777777" w:rsidR="00E86F8C" w:rsidRPr="006340F9" w:rsidRDefault="00E86F8C" w:rsidP="00E5391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sz w:val="18"/>
              </w:rPr>
            </w:pPr>
            <w:r w:rsidRPr="006340F9">
              <w:rPr>
                <w:sz w:val="18"/>
              </w:rPr>
              <w:t>4</w:t>
            </w:r>
          </w:p>
        </w:tc>
      </w:tr>
      <w:tr w:rsidR="00E73318" w:rsidRPr="006340F9" w14:paraId="02FFCC45" w14:textId="77777777" w:rsidTr="00165C7B">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61F81E89" w14:textId="77777777" w:rsidR="00E86F8C" w:rsidRPr="006340F9" w:rsidRDefault="00E86F8C" w:rsidP="00E53912">
            <w:pPr>
              <w:pStyle w:val="Tabletext"/>
              <w:spacing w:before="40" w:after="40"/>
              <w:jc w:val="center"/>
              <w:rPr>
                <w:sz w:val="18"/>
              </w:rPr>
            </w:pPr>
            <w:r w:rsidRPr="006340F9">
              <w:rPr>
                <w:sz w:val="18"/>
              </w:rPr>
              <w:t>TAS</w:t>
            </w:r>
          </w:p>
        </w:tc>
        <w:tc>
          <w:tcPr>
            <w:tcW w:w="1250" w:type="pct"/>
          </w:tcPr>
          <w:p w14:paraId="06B86330" w14:textId="77777777" w:rsidR="00E86F8C" w:rsidRPr="006340F9" w:rsidRDefault="00E86F8C" w:rsidP="00E53912">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8"/>
              </w:rPr>
            </w:pPr>
            <w:r w:rsidRPr="006340F9">
              <w:rPr>
                <w:sz w:val="18"/>
              </w:rPr>
              <w:t>2</w:t>
            </w:r>
          </w:p>
        </w:tc>
        <w:tc>
          <w:tcPr>
            <w:tcW w:w="1250" w:type="pct"/>
          </w:tcPr>
          <w:p w14:paraId="6AC1CDC0" w14:textId="77777777" w:rsidR="00E86F8C" w:rsidRPr="006340F9" w:rsidRDefault="00E86F8C" w:rsidP="00E53912">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8"/>
              </w:rPr>
            </w:pPr>
            <w:r w:rsidRPr="006340F9">
              <w:rPr>
                <w:sz w:val="18"/>
              </w:rPr>
              <w:t>0</w:t>
            </w:r>
          </w:p>
        </w:tc>
        <w:tc>
          <w:tcPr>
            <w:tcW w:w="1250" w:type="pct"/>
          </w:tcPr>
          <w:p w14:paraId="27FF2A20" w14:textId="77777777" w:rsidR="00E86F8C" w:rsidRPr="006340F9" w:rsidRDefault="00E86F8C" w:rsidP="00E53912">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8"/>
              </w:rPr>
            </w:pPr>
            <w:r w:rsidRPr="006340F9">
              <w:rPr>
                <w:sz w:val="18"/>
              </w:rPr>
              <w:t>2</w:t>
            </w:r>
          </w:p>
        </w:tc>
      </w:tr>
      <w:tr w:rsidR="00416E8A" w:rsidRPr="006340F9" w14:paraId="3192BFA5" w14:textId="77777777" w:rsidTr="00165C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2A4C20D9" w14:textId="77777777" w:rsidR="00E86F8C" w:rsidRPr="006340F9" w:rsidRDefault="00E86F8C" w:rsidP="00E53912">
            <w:pPr>
              <w:pStyle w:val="Tabletext"/>
              <w:spacing w:before="40" w:after="40"/>
              <w:jc w:val="center"/>
              <w:rPr>
                <w:sz w:val="18"/>
              </w:rPr>
            </w:pPr>
            <w:r w:rsidRPr="006340F9">
              <w:rPr>
                <w:sz w:val="18"/>
              </w:rPr>
              <w:t>VIC</w:t>
            </w:r>
          </w:p>
        </w:tc>
        <w:tc>
          <w:tcPr>
            <w:tcW w:w="1250" w:type="pct"/>
          </w:tcPr>
          <w:p w14:paraId="4594FE00" w14:textId="44298F6E" w:rsidR="00E86F8C" w:rsidRPr="006340F9" w:rsidRDefault="00E86F8C" w:rsidP="00E5391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sz w:val="18"/>
              </w:rPr>
            </w:pPr>
            <w:r w:rsidRPr="006340F9">
              <w:rPr>
                <w:sz w:val="18"/>
              </w:rPr>
              <w:t>2</w:t>
            </w:r>
            <w:r w:rsidR="001D12A0" w:rsidRPr="006340F9">
              <w:rPr>
                <w:sz w:val="18"/>
              </w:rPr>
              <w:t>2</w:t>
            </w:r>
          </w:p>
        </w:tc>
        <w:tc>
          <w:tcPr>
            <w:tcW w:w="1250" w:type="pct"/>
          </w:tcPr>
          <w:p w14:paraId="7FE11652" w14:textId="77777777" w:rsidR="00E86F8C" w:rsidRPr="006340F9" w:rsidRDefault="00E86F8C" w:rsidP="00E5391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sz w:val="18"/>
              </w:rPr>
            </w:pPr>
            <w:r w:rsidRPr="006340F9">
              <w:rPr>
                <w:sz w:val="18"/>
              </w:rPr>
              <w:t>1</w:t>
            </w:r>
          </w:p>
        </w:tc>
        <w:tc>
          <w:tcPr>
            <w:tcW w:w="1250" w:type="pct"/>
          </w:tcPr>
          <w:p w14:paraId="79223D33" w14:textId="45C5AC69" w:rsidR="00E86F8C" w:rsidRPr="006340F9" w:rsidRDefault="00E86F8C" w:rsidP="00E5391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sz w:val="18"/>
              </w:rPr>
            </w:pPr>
            <w:r w:rsidRPr="006340F9">
              <w:rPr>
                <w:sz w:val="18"/>
              </w:rPr>
              <w:t>2</w:t>
            </w:r>
            <w:r w:rsidR="00913CA0" w:rsidRPr="006340F9">
              <w:rPr>
                <w:sz w:val="18"/>
              </w:rPr>
              <w:t>3</w:t>
            </w:r>
          </w:p>
        </w:tc>
      </w:tr>
      <w:tr w:rsidR="00E73318" w:rsidRPr="006340F9" w14:paraId="3CFB7416" w14:textId="77777777" w:rsidTr="00165C7B">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65CEE8FE" w14:textId="77777777" w:rsidR="00E86F8C" w:rsidRPr="006340F9" w:rsidRDefault="00E86F8C" w:rsidP="00E53912">
            <w:pPr>
              <w:pStyle w:val="Tabletext"/>
              <w:spacing w:before="40" w:after="40"/>
              <w:jc w:val="center"/>
              <w:rPr>
                <w:sz w:val="18"/>
              </w:rPr>
            </w:pPr>
            <w:r w:rsidRPr="006340F9">
              <w:rPr>
                <w:sz w:val="18"/>
              </w:rPr>
              <w:t>WA</w:t>
            </w:r>
            <w:r w:rsidRPr="006340F9">
              <w:rPr>
                <w:rStyle w:val="FootnoteReference"/>
                <w:rFonts w:cs="Arial"/>
                <w:sz w:val="18"/>
              </w:rPr>
              <w:footnoteReference w:id="25"/>
            </w:r>
          </w:p>
        </w:tc>
        <w:tc>
          <w:tcPr>
            <w:tcW w:w="1250" w:type="pct"/>
          </w:tcPr>
          <w:p w14:paraId="4DCD4020" w14:textId="77777777" w:rsidR="00E86F8C" w:rsidRPr="006340F9" w:rsidRDefault="00E86F8C" w:rsidP="00E53912">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8"/>
              </w:rPr>
            </w:pPr>
            <w:r w:rsidRPr="006340F9">
              <w:rPr>
                <w:sz w:val="18"/>
              </w:rPr>
              <w:t>8</w:t>
            </w:r>
          </w:p>
        </w:tc>
        <w:tc>
          <w:tcPr>
            <w:tcW w:w="1250" w:type="pct"/>
          </w:tcPr>
          <w:p w14:paraId="5621DC06" w14:textId="77777777" w:rsidR="00E86F8C" w:rsidRPr="006340F9" w:rsidRDefault="00E86F8C" w:rsidP="00E53912">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8"/>
              </w:rPr>
            </w:pPr>
            <w:r w:rsidRPr="006340F9">
              <w:rPr>
                <w:sz w:val="18"/>
              </w:rPr>
              <w:t>1</w:t>
            </w:r>
          </w:p>
        </w:tc>
        <w:tc>
          <w:tcPr>
            <w:tcW w:w="1250" w:type="pct"/>
          </w:tcPr>
          <w:p w14:paraId="6C02A832" w14:textId="77777777" w:rsidR="00E86F8C" w:rsidRPr="006340F9" w:rsidRDefault="00E86F8C" w:rsidP="00E53912">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sz w:val="18"/>
              </w:rPr>
            </w:pPr>
            <w:r w:rsidRPr="006340F9">
              <w:rPr>
                <w:sz w:val="18"/>
              </w:rPr>
              <w:t>9</w:t>
            </w:r>
          </w:p>
        </w:tc>
      </w:tr>
      <w:tr w:rsidR="00416E8A" w:rsidRPr="006340F9" w14:paraId="6113985E" w14:textId="77777777" w:rsidTr="00165C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2D04A4A5" w14:textId="77777777" w:rsidR="00E86F8C" w:rsidRPr="006340F9" w:rsidRDefault="00E86F8C" w:rsidP="00E53912">
            <w:pPr>
              <w:pStyle w:val="Tabletext"/>
              <w:spacing w:before="40" w:after="40"/>
              <w:jc w:val="center"/>
              <w:rPr>
                <w:sz w:val="18"/>
              </w:rPr>
            </w:pPr>
            <w:r w:rsidRPr="006340F9">
              <w:rPr>
                <w:sz w:val="18"/>
              </w:rPr>
              <w:t>Total</w:t>
            </w:r>
          </w:p>
        </w:tc>
        <w:tc>
          <w:tcPr>
            <w:tcW w:w="1250" w:type="pct"/>
          </w:tcPr>
          <w:p w14:paraId="262D2409" w14:textId="2CA447EC" w:rsidR="00E86F8C" w:rsidRPr="006340F9" w:rsidRDefault="00E86F8C" w:rsidP="00E5391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sz w:val="18"/>
              </w:rPr>
            </w:pPr>
            <w:r w:rsidRPr="006340F9">
              <w:rPr>
                <w:sz w:val="18"/>
              </w:rPr>
              <w:t>9</w:t>
            </w:r>
            <w:r w:rsidR="001D12A0" w:rsidRPr="006340F9">
              <w:rPr>
                <w:sz w:val="18"/>
              </w:rPr>
              <w:t>5</w:t>
            </w:r>
          </w:p>
        </w:tc>
        <w:tc>
          <w:tcPr>
            <w:tcW w:w="1250" w:type="pct"/>
          </w:tcPr>
          <w:p w14:paraId="2CCC3BCC" w14:textId="15576ADB" w:rsidR="00E86F8C" w:rsidRPr="006340F9" w:rsidRDefault="00FC3737" w:rsidP="00E5391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sz w:val="18"/>
              </w:rPr>
            </w:pPr>
            <w:r w:rsidRPr="006340F9">
              <w:rPr>
                <w:sz w:val="18"/>
              </w:rPr>
              <w:t>5</w:t>
            </w:r>
          </w:p>
        </w:tc>
        <w:tc>
          <w:tcPr>
            <w:tcW w:w="1250" w:type="pct"/>
          </w:tcPr>
          <w:p w14:paraId="321EC260" w14:textId="41008BCE" w:rsidR="00E86F8C" w:rsidRPr="006340F9" w:rsidRDefault="00E86F8C" w:rsidP="00E5391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sz w:val="18"/>
              </w:rPr>
            </w:pPr>
            <w:r w:rsidRPr="006340F9">
              <w:rPr>
                <w:sz w:val="18"/>
              </w:rPr>
              <w:t>10</w:t>
            </w:r>
            <w:r w:rsidR="004C33F9" w:rsidRPr="006340F9">
              <w:rPr>
                <w:sz w:val="18"/>
              </w:rPr>
              <w:t>0</w:t>
            </w:r>
          </w:p>
        </w:tc>
      </w:tr>
    </w:tbl>
    <w:p w14:paraId="676E1599" w14:textId="2D7071BD" w:rsidR="00B104E4" w:rsidRPr="006340F9" w:rsidRDefault="00B104E4" w:rsidP="004600B7">
      <w:pPr>
        <w:pStyle w:val="Heading3"/>
      </w:pPr>
      <w:r w:rsidRPr="006340F9">
        <w:t xml:space="preserve">ART services are increasingly complex </w:t>
      </w:r>
    </w:p>
    <w:p w14:paraId="053F6D72" w14:textId="303584FB" w:rsidR="00B104E4" w:rsidRPr="006340F9" w:rsidRDefault="00B104E4" w:rsidP="0033528B">
      <w:pPr>
        <w:pStyle w:val="Body"/>
      </w:pPr>
      <w:r w:rsidRPr="006340F9">
        <w:t>In addition to changing demand volume, the nature of ART services being sought is evolving. There is a growing demand for fertility preservation</w:t>
      </w:r>
      <w:r w:rsidR="000D74F6" w:rsidRPr="006340F9">
        <w:rPr>
          <w:rStyle w:val="FootnoteReference"/>
        </w:rPr>
        <w:footnoteReference w:id="26"/>
      </w:r>
      <w:r w:rsidRPr="006340F9">
        <w:t>, principally oocyte freezing, and advanced genetic screening, as well as an increasing range of infertility treatment options. For example, in addition to the common fertility treatments (such as intracytoplasmic sperm injection, IVF, frozen embryo transfer, and intrauterine insemination treatments), there is increasing demand for:</w:t>
      </w:r>
    </w:p>
    <w:p w14:paraId="6D56603D" w14:textId="695D05D9" w:rsidR="00B104E4" w:rsidRPr="006340F9" w:rsidRDefault="00EE2C88" w:rsidP="5EEA0A5C">
      <w:pPr>
        <w:pStyle w:val="Bullet1"/>
        <w:ind w:left="360" w:hanging="360"/>
      </w:pPr>
      <w:r w:rsidRPr="006340F9">
        <w:rPr>
          <w:b/>
        </w:rPr>
        <w:t>F</w:t>
      </w:r>
      <w:r w:rsidR="00B104E4" w:rsidRPr="006340F9">
        <w:rPr>
          <w:b/>
        </w:rPr>
        <w:t>ertility preservation services (oocyte/embryo freezing)</w:t>
      </w:r>
      <w:r w:rsidR="00AB0F0E" w:rsidRPr="006340F9">
        <w:t>:</w:t>
      </w:r>
      <w:r w:rsidR="00B104E4" w:rsidRPr="006340F9">
        <w:t xml:space="preserve"> The number of fertility preservation cycles performed almost doubled over two years, from 3,642 in 2020 to </w:t>
      </w:r>
      <w:r w:rsidR="002C64F0" w:rsidRPr="006340F9">
        <w:t>8,827</w:t>
      </w:r>
      <w:r w:rsidR="00B104E4" w:rsidRPr="006340F9">
        <w:t xml:space="preserve"> in 202</w:t>
      </w:r>
      <w:r w:rsidR="002C64F0" w:rsidRPr="006340F9">
        <w:t>3</w:t>
      </w:r>
      <w:r w:rsidR="00B104E4" w:rsidRPr="006340F9">
        <w:rPr>
          <w:rStyle w:val="BodyChar"/>
        </w:rPr>
        <w:t>.</w:t>
      </w:r>
      <w:r w:rsidR="00B104E4" w:rsidRPr="006340F9">
        <w:rPr>
          <w:rStyle w:val="BodyChar"/>
          <w:vertAlign w:val="superscript"/>
        </w:rPr>
        <w:footnoteReference w:id="27"/>
      </w:r>
    </w:p>
    <w:p w14:paraId="25B6FC59" w14:textId="4F9C58EB" w:rsidR="00B104E4" w:rsidRPr="006340F9" w:rsidRDefault="00EE2C88" w:rsidP="5EEA0A5C">
      <w:pPr>
        <w:pStyle w:val="Bullet1"/>
        <w:ind w:left="360" w:hanging="360"/>
      </w:pPr>
      <w:r w:rsidRPr="006340F9">
        <w:rPr>
          <w:b/>
        </w:rPr>
        <w:t>P</w:t>
      </w:r>
      <w:r w:rsidR="00B104E4" w:rsidRPr="006340F9">
        <w:rPr>
          <w:b/>
        </w:rPr>
        <w:t>reimplantation genetic testing (PGT)</w:t>
      </w:r>
      <w:r w:rsidR="00AB0F0E" w:rsidRPr="006340F9">
        <w:t>:</w:t>
      </w:r>
      <w:r w:rsidR="00B104E4" w:rsidRPr="006340F9">
        <w:t xml:space="preserve"> The number of cycles where PGT was performed increased from 7,697 in 2020 to </w:t>
      </w:r>
      <w:r w:rsidR="006D4D7D" w:rsidRPr="006340F9">
        <w:t>9,865</w:t>
      </w:r>
      <w:r w:rsidR="00B104E4" w:rsidRPr="006340F9">
        <w:t xml:space="preserve"> in 202</w:t>
      </w:r>
      <w:r w:rsidR="00350710" w:rsidRPr="006340F9">
        <w:t>3</w:t>
      </w:r>
      <w:r w:rsidR="00B104E4" w:rsidRPr="006340F9">
        <w:t>.</w:t>
      </w:r>
      <w:r w:rsidR="00101229" w:rsidRPr="006340F9">
        <w:rPr>
          <w:rStyle w:val="FootnoteReference"/>
        </w:rPr>
        <w:footnoteReference w:id="28"/>
      </w:r>
    </w:p>
    <w:p w14:paraId="77FBA34B" w14:textId="37D7C598" w:rsidR="00B104E4" w:rsidRPr="006340F9" w:rsidRDefault="00B104E4" w:rsidP="00101229">
      <w:pPr>
        <w:pStyle w:val="Bodyaftertablefigurebullets"/>
      </w:pPr>
      <w:r w:rsidRPr="006340F9">
        <w:t>Notably, 38% of the cycles performed for fertility preservation in 2022 were reported as being for non-medical reasons (e.g. not having a partner but seeking future fertility).</w:t>
      </w:r>
      <w:r w:rsidR="00101229" w:rsidRPr="006340F9">
        <w:rPr>
          <w:rStyle w:val="FootnoteReference"/>
        </w:rPr>
        <w:footnoteReference w:id="29"/>
      </w:r>
      <w:r w:rsidRPr="006340F9">
        <w:t xml:space="preserve"> These trends are likely to continue </w:t>
      </w:r>
      <w:r w:rsidR="003F63D4" w:rsidRPr="006340F9">
        <w:t>further increasing</w:t>
      </w:r>
      <w:r w:rsidRPr="006340F9">
        <w:t xml:space="preserve"> ART demand.</w:t>
      </w:r>
    </w:p>
    <w:p w14:paraId="0BB46099" w14:textId="4DC82472" w:rsidR="00B104E4" w:rsidRPr="006340F9" w:rsidRDefault="00B104E4" w:rsidP="004600B7">
      <w:pPr>
        <w:pStyle w:val="Heading3"/>
      </w:pPr>
      <w:r w:rsidRPr="006340F9">
        <w:t>ART services receive public funding through Medicare and state programs</w:t>
      </w:r>
    </w:p>
    <w:p w14:paraId="21EA73DF" w14:textId="7C4EF0DC" w:rsidR="00B104E4" w:rsidRPr="006340F9" w:rsidRDefault="00B104E4" w:rsidP="00CB1CDE">
      <w:pPr>
        <w:pStyle w:val="Body"/>
      </w:pPr>
      <w:r w:rsidRPr="006340F9">
        <w:t xml:space="preserve">As detailed above, almost all ART </w:t>
      </w:r>
      <w:r w:rsidR="00DC5971" w:rsidRPr="006340F9">
        <w:t>services are</w:t>
      </w:r>
      <w:r w:rsidRPr="006340F9">
        <w:t xml:space="preserve"> provided by the private sector. ART services receive Commonwealth funding support through </w:t>
      </w:r>
      <w:r w:rsidR="007C611A" w:rsidRPr="006340F9">
        <w:t>the</w:t>
      </w:r>
      <w:r w:rsidRPr="006340F9">
        <w:t xml:space="preserve"> Medicare Benefits Scheme (MBS). </w:t>
      </w:r>
      <w:r w:rsidR="004A2D4E" w:rsidRPr="006340F9">
        <w:t xml:space="preserve">This </w:t>
      </w:r>
      <w:r w:rsidR="004A2D4E" w:rsidRPr="006340F9">
        <w:lastRenderedPageBreak/>
        <w:t xml:space="preserve">includes rebates for privately delivered ART services, subsidies for ART-related medications through the Pharmaceutical Benefits Scheme, and support for public patients in public hospitals. </w:t>
      </w:r>
      <w:r w:rsidRPr="006340F9">
        <w:t>Currently, MBS funding is available with</w:t>
      </w:r>
      <w:r w:rsidR="00420125" w:rsidRPr="006340F9">
        <w:t>out</w:t>
      </w:r>
      <w:r w:rsidRPr="006340F9">
        <w:t xml:space="preserve"> restriction of the number of cycles </w:t>
      </w:r>
      <w:r w:rsidR="009B4EFF" w:rsidRPr="006340F9">
        <w:t>available</w:t>
      </w:r>
      <w:r w:rsidRPr="006340F9">
        <w:t xml:space="preserve"> to medically infertile patients undergoing non-surrogacy related fertility treatments. Prior to 2000</w:t>
      </w:r>
      <w:r w:rsidR="002F72D3" w:rsidRPr="006340F9">
        <w:t>,</w:t>
      </w:r>
      <w:r w:rsidRPr="006340F9">
        <w:t xml:space="preserve"> MBS funding </w:t>
      </w:r>
      <w:r w:rsidR="00FB2AC8" w:rsidRPr="006340F9">
        <w:t xml:space="preserve">was </w:t>
      </w:r>
      <w:r w:rsidRPr="006340F9">
        <w:t>limit</w:t>
      </w:r>
      <w:r w:rsidR="002F72D3" w:rsidRPr="006340F9">
        <w:t>ed</w:t>
      </w:r>
      <w:r w:rsidRPr="006340F9">
        <w:t xml:space="preserve"> </w:t>
      </w:r>
      <w:r w:rsidR="002F72D3" w:rsidRPr="006340F9">
        <w:t>to</w:t>
      </w:r>
      <w:r w:rsidRPr="006340F9">
        <w:t xml:space="preserve"> six cycles per patient.</w:t>
      </w:r>
      <w:r w:rsidRPr="006340F9">
        <w:rPr>
          <w:rStyle w:val="FootnoteReference"/>
        </w:rPr>
        <w:footnoteReference w:id="30"/>
      </w:r>
      <w:r w:rsidRPr="006340F9">
        <w:t xml:space="preserve"> Medicare does not </w:t>
      </w:r>
      <w:r w:rsidR="00C819E6" w:rsidRPr="006340F9">
        <w:t>fund</w:t>
      </w:r>
      <w:r w:rsidRPr="006340F9">
        <w:t xml:space="preserve"> ART services provided in conjunction with surrogacy, hospital-based procedures, or diagnostic imaging and pathology services during an ART cycle, except for specific pathology services.</w:t>
      </w:r>
      <w:r w:rsidR="001F7CC2" w:rsidRPr="006340F9">
        <w:rPr>
          <w:rStyle w:val="FootnoteReference"/>
        </w:rPr>
        <w:footnoteReference w:id="31"/>
      </w:r>
      <w:r w:rsidR="007868C2" w:rsidRPr="006340F9">
        <w:rPr>
          <w:vertAlign w:val="superscript"/>
        </w:rPr>
        <w:t xml:space="preserve"> </w:t>
      </w:r>
    </w:p>
    <w:p w14:paraId="3A6C04E2" w14:textId="2E0D29BC" w:rsidR="00B104E4" w:rsidRPr="006340F9" w:rsidRDefault="00B104E4" w:rsidP="00CB1CDE">
      <w:pPr>
        <w:pStyle w:val="Body"/>
      </w:pPr>
      <w:r w:rsidRPr="006340F9">
        <w:t>On the pre-condition that the patient is infertile, specialists and fertility clinics can bill MBS items for ART services. Medicare rebates</w:t>
      </w:r>
      <w:r w:rsidR="004440F4" w:rsidRPr="006340F9">
        <w:t xml:space="preserve"> provide</w:t>
      </w:r>
      <w:r w:rsidRPr="006340F9">
        <w:t xml:space="preserve"> 75% of the fee for inpatient services and 85% for outpatient services</w:t>
      </w:r>
      <w:r w:rsidR="00CB1CDE" w:rsidRPr="006340F9">
        <w:t>.</w:t>
      </w:r>
      <w:r w:rsidR="00C430FD" w:rsidRPr="006340F9">
        <w:rPr>
          <w:rStyle w:val="FootnoteReference"/>
        </w:rPr>
        <w:footnoteReference w:id="32"/>
      </w:r>
      <w:r w:rsidR="0056101C" w:rsidRPr="006340F9">
        <w:t xml:space="preserve"> </w:t>
      </w:r>
      <w:r w:rsidRPr="006340F9">
        <w:t xml:space="preserve">Patients </w:t>
      </w:r>
      <w:r w:rsidR="0054740A" w:rsidRPr="006340F9">
        <w:t>nonetheless</w:t>
      </w:r>
      <w:r w:rsidRPr="006340F9">
        <w:t xml:space="preserve"> face significant out-of-pocket costs due to the gap between clinic fees and Medicare coverage. For example, IVF Australia, a member of Virtus Health, projects the out-of-pocket costs for patients for an initial IVF cycle as of 1st June 2025 at $6,711.65</w:t>
      </w:r>
      <w:r w:rsidR="004E6341" w:rsidRPr="006340F9">
        <w:t>.</w:t>
      </w:r>
      <w:r w:rsidRPr="006340F9">
        <w:rPr>
          <w:rStyle w:val="FootnoteReference"/>
        </w:rPr>
        <w:footnoteReference w:id="33"/>
      </w:r>
      <w:r w:rsidRPr="006340F9">
        <w:t xml:space="preserve"> Once annual out-of-pocket medical expenses exceed the Extended Medicare Safety Net (EMSN) threshold of $</w:t>
      </w:r>
      <w:r w:rsidR="00E3377C" w:rsidRPr="006340F9">
        <w:t xml:space="preserve">2,615.50 </w:t>
      </w:r>
      <w:r w:rsidRPr="006340F9">
        <w:t>for general patients or $</w:t>
      </w:r>
      <w:r w:rsidR="00E3377C" w:rsidRPr="006340F9">
        <w:t>834.50</w:t>
      </w:r>
      <w:r w:rsidRPr="006340F9">
        <w:t xml:space="preserve"> for concessional patients, Medicare provides an additional rebate of 80% of the out-of-pocket cost or the EMSN cap for the item, whichever is lower.</w:t>
      </w:r>
      <w:r w:rsidR="001F7CC2" w:rsidRPr="006340F9">
        <w:rPr>
          <w:rStyle w:val="FootnoteReference"/>
        </w:rPr>
        <w:footnoteReference w:id="34"/>
      </w:r>
      <w:r w:rsidR="008827EA" w:rsidRPr="006340F9">
        <w:rPr>
          <w:vertAlign w:val="superscript"/>
        </w:rPr>
        <w:t xml:space="preserve"> </w:t>
      </w:r>
      <w:r w:rsidRPr="006340F9">
        <w:t>Out-of-pocket costs for ART treatments can be compounded by multiple cycles of treatment, the cost of additional services such as genetic screening and adjuvant treatments like acupuncture,</w:t>
      </w:r>
      <w:r w:rsidRPr="006340F9">
        <w:rPr>
          <w:rStyle w:val="FootnoteReference"/>
        </w:rPr>
        <w:footnoteReference w:id="35"/>
      </w:r>
      <w:r w:rsidRPr="006340F9">
        <w:t xml:space="preserve"> and the cost of medications. </w:t>
      </w:r>
    </w:p>
    <w:p w14:paraId="5D0427E5" w14:textId="61AAEF11" w:rsidR="00B104E4" w:rsidRPr="006340F9" w:rsidRDefault="00B104E4" w:rsidP="00CB1CDE">
      <w:pPr>
        <w:pStyle w:val="Body"/>
      </w:pPr>
      <w:r w:rsidRPr="006340F9">
        <w:t xml:space="preserve">Public fertility services are available in </w:t>
      </w:r>
      <w:r w:rsidR="00A444F0" w:rsidRPr="006340F9">
        <w:t>New South Wales</w:t>
      </w:r>
      <w:r w:rsidR="006E786C" w:rsidRPr="006340F9">
        <w:t>,</w:t>
      </w:r>
      <w:r w:rsidRPr="006340F9">
        <w:rPr>
          <w:rStyle w:val="FootnoteReference"/>
        </w:rPr>
        <w:footnoteReference w:id="36"/>
      </w:r>
      <w:r w:rsidRPr="006340F9">
        <w:t xml:space="preserve"> Victoria</w:t>
      </w:r>
      <w:r w:rsidR="001404BF" w:rsidRPr="006340F9">
        <w:t>,</w:t>
      </w:r>
      <w:r w:rsidRPr="006340F9">
        <w:t xml:space="preserve"> and </w:t>
      </w:r>
      <w:r w:rsidR="00456576" w:rsidRPr="006340F9">
        <w:t>Western Australia</w:t>
      </w:r>
      <w:r w:rsidRPr="006340F9">
        <w:rPr>
          <w:rStyle w:val="FootnoteReference"/>
        </w:rPr>
        <w:footnoteReference w:id="37"/>
      </w:r>
      <w:r w:rsidRPr="006340F9">
        <w:rPr>
          <w:vertAlign w:val="superscript"/>
        </w:rPr>
        <w:t xml:space="preserve"> </w:t>
      </w:r>
      <w:r w:rsidRPr="006340F9">
        <w:t>but access is limited by conditions such as age, means</w:t>
      </w:r>
      <w:r w:rsidR="001169C9" w:rsidRPr="006340F9">
        <w:t xml:space="preserve"> </w:t>
      </w:r>
      <w:r w:rsidRPr="006340F9">
        <w:t>testing</w:t>
      </w:r>
      <w:r w:rsidR="001404BF" w:rsidRPr="006340F9">
        <w:t>,</w:t>
      </w:r>
      <w:r w:rsidRPr="006340F9">
        <w:t xml:space="preserve"> and the number of cycles supported.</w:t>
      </w:r>
    </w:p>
    <w:p w14:paraId="15E85EB6" w14:textId="77777777" w:rsidR="00D2458B" w:rsidRPr="006340F9" w:rsidRDefault="00D2458B" w:rsidP="5EEA0A5C">
      <w:pPr>
        <w:pStyle w:val="Heading1"/>
        <w:numPr>
          <w:ilvl w:val="0"/>
          <w:numId w:val="0"/>
        </w:numPr>
        <w:sectPr w:rsidR="00D2458B" w:rsidRPr="006340F9" w:rsidSect="00DC625A">
          <w:pgSz w:w="11906" w:h="16838" w:code="9"/>
          <w:pgMar w:top="1440" w:right="1440" w:bottom="1440" w:left="1440" w:header="720" w:footer="720" w:gutter="0"/>
          <w:cols w:space="720"/>
          <w:docGrid w:linePitch="360"/>
        </w:sectPr>
      </w:pPr>
    </w:p>
    <w:p w14:paraId="1D8FE2AB" w14:textId="57993A03" w:rsidR="005C554F" w:rsidRPr="006340F9" w:rsidRDefault="00BC7FF7" w:rsidP="005C554F">
      <w:pPr>
        <w:pStyle w:val="Heading1"/>
      </w:pPr>
      <w:bookmarkStart w:id="37" w:name="_Toc207976227"/>
      <w:bookmarkStart w:id="38" w:name="_Toc209441980"/>
      <w:bookmarkStart w:id="39" w:name="_Toc207262014"/>
      <w:bookmarkStart w:id="40" w:name="_Ref207633302"/>
      <w:bookmarkStart w:id="41" w:name="_Ref207633418"/>
      <w:bookmarkStart w:id="42" w:name="_Ref207633431"/>
      <w:bookmarkStart w:id="43" w:name="_Ref207633438"/>
      <w:bookmarkStart w:id="44" w:name="_Ref207633520"/>
      <w:bookmarkStart w:id="45" w:name="_Ref207633531"/>
      <w:bookmarkStart w:id="46" w:name="_Ref207633707"/>
      <w:r w:rsidRPr="006340F9">
        <w:lastRenderedPageBreak/>
        <w:t>Current state of ART sector accreditation and regulation</w:t>
      </w:r>
      <w:bookmarkEnd w:id="37"/>
      <w:bookmarkEnd w:id="38"/>
      <w:r w:rsidR="005C554F" w:rsidRPr="006340F9">
        <w:tab/>
      </w:r>
      <w:bookmarkEnd w:id="39"/>
      <w:bookmarkEnd w:id="40"/>
      <w:bookmarkEnd w:id="41"/>
      <w:bookmarkEnd w:id="42"/>
      <w:bookmarkEnd w:id="43"/>
      <w:bookmarkEnd w:id="44"/>
      <w:bookmarkEnd w:id="45"/>
      <w:bookmarkEnd w:id="46"/>
    </w:p>
    <w:p w14:paraId="362BB8A5" w14:textId="615F5402" w:rsidR="002C3197" w:rsidRPr="006340F9" w:rsidRDefault="00443023" w:rsidP="00B7757E">
      <w:pPr>
        <w:pStyle w:val="Body"/>
      </w:pPr>
      <w:bookmarkStart w:id="47" w:name="_Toc205489521"/>
      <w:r w:rsidRPr="006340F9">
        <w:t xml:space="preserve">In this </w:t>
      </w:r>
      <w:r w:rsidR="00131743" w:rsidRPr="006340F9">
        <w:t>chapter</w:t>
      </w:r>
      <w:r w:rsidR="002C3197" w:rsidRPr="006340F9">
        <w:t xml:space="preserve"> </w:t>
      </w:r>
      <w:r w:rsidRPr="006340F9">
        <w:t xml:space="preserve">we </w:t>
      </w:r>
      <w:r w:rsidR="002C3197" w:rsidRPr="006340F9">
        <w:t>outline the current state of accreditation and regulation of Australia’s ART sector.</w:t>
      </w:r>
    </w:p>
    <w:p w14:paraId="46575155" w14:textId="6295DD3C" w:rsidR="005C554F" w:rsidRPr="006340F9" w:rsidRDefault="005C554F" w:rsidP="0062093F">
      <w:pPr>
        <w:pStyle w:val="Heading2"/>
      </w:pPr>
      <w:bookmarkStart w:id="48" w:name="_Toc207976228"/>
      <w:bookmarkStart w:id="49" w:name="_Toc209441981"/>
      <w:r w:rsidRPr="006340F9">
        <w:t xml:space="preserve">A conceptual framework </w:t>
      </w:r>
      <w:r w:rsidR="091C172B" w:rsidRPr="006340F9">
        <w:t>for</w:t>
      </w:r>
      <w:bookmarkEnd w:id="47"/>
      <w:r w:rsidR="00D63DAF" w:rsidRPr="006340F9">
        <w:t xml:space="preserve"> this r</w:t>
      </w:r>
      <w:r w:rsidR="003A1B0C" w:rsidRPr="006340F9">
        <w:t>apid review</w:t>
      </w:r>
      <w:bookmarkEnd w:id="48"/>
      <w:bookmarkEnd w:id="49"/>
    </w:p>
    <w:p w14:paraId="1ED7F6FC" w14:textId="47832000" w:rsidR="005C554F" w:rsidRPr="006340F9" w:rsidRDefault="005C554F" w:rsidP="00B7757E">
      <w:pPr>
        <w:pStyle w:val="Body"/>
      </w:pPr>
      <w:bookmarkStart w:id="50" w:name="_Toc205489527"/>
      <w:r w:rsidRPr="006340F9">
        <w:t xml:space="preserve">With the aim of providing clarity about </w:t>
      </w:r>
      <w:r w:rsidR="00CA0576" w:rsidRPr="006340F9">
        <w:t>ART</w:t>
      </w:r>
      <w:r w:rsidRPr="006340F9">
        <w:t xml:space="preserve"> accreditation and regulation, we structured the rapid review </w:t>
      </w:r>
      <w:r w:rsidR="00FC393C" w:rsidRPr="006340F9">
        <w:t>using</w:t>
      </w:r>
      <w:r w:rsidRPr="006340F9">
        <w:t xml:space="preserve"> a framework that conceptualises both elements – accreditation and regulation – into three phases: market entry</w:t>
      </w:r>
      <w:r w:rsidR="24953455" w:rsidRPr="006340F9">
        <w:t xml:space="preserve"> (when a new ART provider seeks to operate)</w:t>
      </w:r>
      <w:r w:rsidRPr="006340F9">
        <w:t>, market conduct</w:t>
      </w:r>
      <w:r w:rsidR="636AC55C" w:rsidRPr="006340F9">
        <w:t xml:space="preserve"> (oversight of existing ART providers)</w:t>
      </w:r>
      <w:r w:rsidRPr="006340F9">
        <w:t>, and enforcement</w:t>
      </w:r>
      <w:r w:rsidR="008107E5" w:rsidRPr="006340F9">
        <w:t xml:space="preserve"> and recourse</w:t>
      </w:r>
      <w:r w:rsidR="5EA580DA" w:rsidRPr="006340F9">
        <w:t xml:space="preserve"> (actions </w:t>
      </w:r>
      <w:r w:rsidR="3036A236" w:rsidRPr="006340F9">
        <w:t>taken in response to provider non-compliance).</w:t>
      </w:r>
      <w:r w:rsidR="00506BCC">
        <w:t xml:space="preserve"> </w:t>
      </w:r>
      <w:r w:rsidR="00F04691">
        <w:t>Figure 2.1 provides an overview of this conceptual framework.</w:t>
      </w:r>
      <w:r w:rsidR="008B51B4">
        <w:t xml:space="preserve"> </w:t>
      </w:r>
    </w:p>
    <w:p w14:paraId="0CD57EA2" w14:textId="1A99DE29" w:rsidR="007E1312" w:rsidRPr="006340F9" w:rsidRDefault="007E1312" w:rsidP="007E1312">
      <w:pPr>
        <w:pStyle w:val="FigureCaption0"/>
      </w:pPr>
      <w:r w:rsidRPr="006340F9">
        <w:t>Figure</w:t>
      </w:r>
      <w:r w:rsidR="00AA54F3" w:rsidRPr="006340F9">
        <w:t xml:space="preserve"> 2.1</w:t>
      </w:r>
      <w:r w:rsidRPr="006340F9">
        <w:t>: Conceptual framework underpinning this review</w:t>
      </w:r>
      <w:r w:rsidR="00D83BDB" w:rsidRPr="006340F9">
        <w:t>.</w:t>
      </w:r>
    </w:p>
    <w:p w14:paraId="6073D948" w14:textId="6702D61A" w:rsidR="007F53AA" w:rsidRPr="006340F9" w:rsidRDefault="009F7F3A" w:rsidP="007E1312">
      <w:pPr>
        <w:pStyle w:val="FigureCaption0"/>
      </w:pPr>
      <w:r w:rsidRPr="006340F9">
        <w:rPr>
          <w:noProof/>
        </w:rPr>
        <w:drawing>
          <wp:inline distT="0" distB="0" distL="0" distR="0" wp14:anchorId="41614876" wp14:editId="3BD3A702">
            <wp:extent cx="5821251" cy="4137342"/>
            <wp:effectExtent l="0" t="0" r="8255" b="0"/>
            <wp:docPr id="943439580" name="Picture 6" descr="Figure 2.1: Conceptual framework underpinning thi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39580" name="Picture 6" descr="Figure 2.1: Conceptual framework underpinning this re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5527" cy="4140381"/>
                    </a:xfrm>
                    <a:prstGeom prst="rect">
                      <a:avLst/>
                    </a:prstGeom>
                    <a:noFill/>
                  </pic:spPr>
                </pic:pic>
              </a:graphicData>
            </a:graphic>
          </wp:inline>
        </w:drawing>
      </w:r>
    </w:p>
    <w:p w14:paraId="62959E74" w14:textId="42475355" w:rsidR="004C20DC" w:rsidRPr="006340F9" w:rsidRDefault="004C20DC" w:rsidP="007E1312">
      <w:pPr>
        <w:pStyle w:val="Body"/>
      </w:pPr>
      <w:bookmarkStart w:id="51" w:name="_Hlk66712316"/>
      <w:bookmarkEnd w:id="50"/>
    </w:p>
    <w:p w14:paraId="3347CBBA" w14:textId="5CA28CA5" w:rsidR="005C554F" w:rsidRPr="006340F9" w:rsidRDefault="003D093D" w:rsidP="0062093F">
      <w:pPr>
        <w:pStyle w:val="Heading2"/>
      </w:pPr>
      <w:bookmarkStart w:id="52" w:name="_Ref207915591"/>
      <w:bookmarkStart w:id="53" w:name="_Toc207976229"/>
      <w:bookmarkStart w:id="54" w:name="_Toc209441982"/>
      <w:r w:rsidRPr="006340F9">
        <w:lastRenderedPageBreak/>
        <w:t>Governance of ART accreditation and regulation is fragmented</w:t>
      </w:r>
      <w:bookmarkEnd w:id="52"/>
      <w:bookmarkEnd w:id="53"/>
      <w:bookmarkEnd w:id="54"/>
    </w:p>
    <w:p w14:paraId="1BA65AC7" w14:textId="2D71B5F3" w:rsidR="001B042B" w:rsidRPr="006340F9" w:rsidRDefault="005C554F" w:rsidP="00B7757E">
      <w:pPr>
        <w:pStyle w:val="Body"/>
      </w:pPr>
      <w:r w:rsidRPr="006340F9">
        <w:t xml:space="preserve">There are principally </w:t>
      </w:r>
      <w:r w:rsidR="00B324E2" w:rsidRPr="006340F9">
        <w:t>six</w:t>
      </w:r>
      <w:r w:rsidRPr="006340F9">
        <w:t xml:space="preserve"> different entities involved in the accreditation and regulation of ART units in Australia. An ART unit is defined as a facility that includes a laboratory involved in collecting or preparing human gametes and/or embryos for therapeutic purposes.</w:t>
      </w:r>
      <w:bookmarkStart w:id="55" w:name="_Ref207714715"/>
      <w:r w:rsidRPr="006340F9">
        <w:rPr>
          <w:vertAlign w:val="superscript"/>
        </w:rPr>
        <w:footnoteReference w:id="38"/>
      </w:r>
      <w:bookmarkEnd w:id="55"/>
      <w:r w:rsidRPr="006340F9">
        <w:rPr>
          <w:vertAlign w:val="superscript"/>
        </w:rPr>
        <w:t xml:space="preserve"> </w:t>
      </w:r>
      <w:r w:rsidR="00BE2F26" w:rsidRPr="006340F9">
        <w:t>Figure</w:t>
      </w:r>
      <w:r w:rsidR="00BA15A7" w:rsidRPr="006340F9">
        <w:t xml:space="preserve"> 2.2 </w:t>
      </w:r>
      <w:r w:rsidRPr="006340F9">
        <w:t xml:space="preserve">summarises the </w:t>
      </w:r>
      <w:r w:rsidR="002146F9" w:rsidRPr="006340F9">
        <w:t>six</w:t>
      </w:r>
      <w:r w:rsidRPr="006340F9">
        <w:t xml:space="preserve"> entities.</w:t>
      </w:r>
    </w:p>
    <w:p w14:paraId="02D56DE2" w14:textId="4F7D7991" w:rsidR="009627D3" w:rsidRPr="006340F9" w:rsidRDefault="009627D3" w:rsidP="009627D3">
      <w:pPr>
        <w:pStyle w:val="FigureCaption0"/>
      </w:pPr>
      <w:bookmarkStart w:id="56" w:name="_Ref207785120"/>
      <w:r w:rsidRPr="006340F9">
        <w:t>Figure</w:t>
      </w:r>
      <w:r w:rsidR="00BA15A7" w:rsidRPr="006340F9">
        <w:t xml:space="preserve"> 2.2:</w:t>
      </w:r>
      <w:bookmarkEnd w:id="56"/>
      <w:r w:rsidRPr="006340F9">
        <w:t xml:space="preserve"> </w:t>
      </w:r>
      <w:r w:rsidR="00452936" w:rsidRPr="006340F9">
        <w:t xml:space="preserve">Summary </w:t>
      </w:r>
      <w:r w:rsidRPr="006340F9">
        <w:t>of the ART regulatory landscape in Australia</w:t>
      </w:r>
      <w:r w:rsidR="00D83BDB" w:rsidRPr="006340F9">
        <w:t>.</w:t>
      </w:r>
    </w:p>
    <w:p w14:paraId="0A8BFF9A" w14:textId="3ECA0A95" w:rsidR="00640B61" w:rsidRPr="006340F9" w:rsidRDefault="009627D3" w:rsidP="00746004">
      <w:pPr>
        <w:pStyle w:val="FigureCaption0"/>
        <w:keepNext w:val="0"/>
      </w:pPr>
      <w:r w:rsidRPr="006340F9">
        <w:rPr>
          <w:noProof/>
        </w:rPr>
        <w:drawing>
          <wp:inline distT="0" distB="0" distL="0" distR="0" wp14:anchorId="2F4992F3" wp14:editId="779F7A28">
            <wp:extent cx="5680292" cy="2414016"/>
            <wp:effectExtent l="0" t="0" r="0" b="5715"/>
            <wp:docPr id="1884002768" name="Picture 2" descr="Figure 2.2: Summary of the ART regulatory landscap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02768" name="Picture 2" descr="Figure 2.2: Summary of the ART regulatory landscape in Austral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1270" cy="2431431"/>
                    </a:xfrm>
                    <a:prstGeom prst="rect">
                      <a:avLst/>
                    </a:prstGeom>
                    <a:noFill/>
                  </pic:spPr>
                </pic:pic>
              </a:graphicData>
            </a:graphic>
          </wp:inline>
        </w:drawing>
      </w:r>
    </w:p>
    <w:p w14:paraId="7C4FC182" w14:textId="336E7A8C" w:rsidR="005C554F" w:rsidRPr="006340F9" w:rsidRDefault="005C554F" w:rsidP="00985788">
      <w:pPr>
        <w:pStyle w:val="Body"/>
      </w:pPr>
      <w:r w:rsidRPr="006340F9">
        <w:t xml:space="preserve">The role of these different accreditation and </w:t>
      </w:r>
      <w:r w:rsidR="00553566" w:rsidRPr="006340F9">
        <w:t>regulatory authorities</w:t>
      </w:r>
      <w:r w:rsidRPr="006340F9">
        <w:t xml:space="preserve"> is summarised below</w:t>
      </w:r>
      <w:r w:rsidR="00CF3A0C" w:rsidRPr="006340F9">
        <w:t>.</w:t>
      </w:r>
    </w:p>
    <w:p w14:paraId="1ABF9CB4" w14:textId="008F8894" w:rsidR="005C554F" w:rsidRPr="006340F9" w:rsidRDefault="005C554F" w:rsidP="004600B7">
      <w:pPr>
        <w:pStyle w:val="Heading3"/>
      </w:pPr>
      <w:bookmarkStart w:id="57" w:name="_Ref207277408"/>
      <w:r w:rsidRPr="006340F9">
        <w:t>Reproductive Technology Accreditation Committee</w:t>
      </w:r>
      <w:bookmarkEnd w:id="57"/>
    </w:p>
    <w:p w14:paraId="43EB5E43" w14:textId="002C6E75" w:rsidR="005C554F" w:rsidRPr="006340F9" w:rsidRDefault="005C554F" w:rsidP="00B7757E">
      <w:pPr>
        <w:pStyle w:val="Body"/>
      </w:pPr>
      <w:r w:rsidRPr="006340F9">
        <w:t xml:space="preserve">RTAC was established by the </w:t>
      </w:r>
      <w:r w:rsidR="000355C9" w:rsidRPr="006340F9">
        <w:t>FSA</w:t>
      </w:r>
      <w:r w:rsidRPr="006340F9">
        <w:t>, now FSANZ, in 1987 to set standards for ART care and to oversee the accreditation of ART units against those standards. RTAC</w:t>
      </w:r>
      <w:r w:rsidRPr="006340F9" w:rsidDel="00C6208C">
        <w:t xml:space="preserve"> </w:t>
      </w:r>
      <w:r w:rsidR="00C6208C" w:rsidRPr="006340F9">
        <w:t xml:space="preserve">is </w:t>
      </w:r>
      <w:r w:rsidRPr="006340F9">
        <w:t>a committee of FSANZ</w:t>
      </w:r>
      <w:r w:rsidR="00C6208C" w:rsidRPr="006340F9">
        <w:t xml:space="preserve"> and reports directly to the FSANZ board.</w:t>
      </w:r>
      <w:r w:rsidR="00BA1AB8" w:rsidRPr="006340F9">
        <w:rPr>
          <w:rStyle w:val="FootnoteReference"/>
        </w:rPr>
        <w:t xml:space="preserve"> </w:t>
      </w:r>
      <w:bookmarkStart w:id="58" w:name="_Ref207891366"/>
      <w:r w:rsidR="00BA1AB8" w:rsidRPr="006340F9">
        <w:rPr>
          <w:rStyle w:val="FootnoteReference"/>
        </w:rPr>
        <w:footnoteReference w:id="39"/>
      </w:r>
      <w:bookmarkEnd w:id="58"/>
      <w:r w:rsidRPr="006340F9">
        <w:t xml:space="preserve"> </w:t>
      </w:r>
      <w:r w:rsidR="0045000B" w:rsidRPr="006340F9">
        <w:t>The</w:t>
      </w:r>
      <w:r w:rsidRPr="006340F9">
        <w:t xml:space="preserve"> </w:t>
      </w:r>
      <w:r w:rsidR="00BB54BB" w:rsidRPr="006340F9">
        <w:t>members</w:t>
      </w:r>
      <w:r w:rsidR="0045000B" w:rsidRPr="006340F9">
        <w:t xml:space="preserve"> of RTAC</w:t>
      </w:r>
      <w:r w:rsidR="00BB54BB" w:rsidRPr="006340F9">
        <w:t xml:space="preserve"> </w:t>
      </w:r>
      <w:r w:rsidR="0045000B" w:rsidRPr="006340F9">
        <w:t>are</w:t>
      </w:r>
      <w:r w:rsidRPr="006340F9">
        <w:t xml:space="preserve"> appointed by the representative professional groups within FSANZ: FSANZ Medical Directors Subcommittee, Australian and New Zealand Infertility Counsellors Association, Fertility Nurses of Austral</w:t>
      </w:r>
      <w:r w:rsidR="00CC7A10" w:rsidRPr="006340F9">
        <w:t>asia</w:t>
      </w:r>
      <w:r w:rsidRPr="006340F9">
        <w:t>, Scientists in Reproductive Technology, and Access or fertility NZ.</w:t>
      </w:r>
      <w:bookmarkStart w:id="59" w:name="_Ref207715331"/>
      <w:r w:rsidR="00BA1AB8" w:rsidRPr="006340F9">
        <w:rPr>
          <w:rStyle w:val="FootnoteReference"/>
        </w:rPr>
        <w:t xml:space="preserve"> </w:t>
      </w:r>
      <w:r w:rsidR="00BA1AB8" w:rsidRPr="006340F9">
        <w:rPr>
          <w:rStyle w:val="FootnoteReference"/>
        </w:rPr>
        <w:footnoteReference w:id="40"/>
      </w:r>
      <w:bookmarkEnd w:id="59"/>
      <w:r w:rsidRPr="006340F9">
        <w:t xml:space="preserve"> There is currently</w:t>
      </w:r>
      <w:r w:rsidRPr="006340F9" w:rsidDel="00310253">
        <w:t xml:space="preserve"> </w:t>
      </w:r>
      <w:r w:rsidR="00310253" w:rsidRPr="006340F9">
        <w:t xml:space="preserve">a vacancy for a </w:t>
      </w:r>
      <w:r w:rsidRPr="006340F9">
        <w:t>consumer representati</w:t>
      </w:r>
      <w:r w:rsidR="000945C0" w:rsidRPr="006340F9">
        <w:t>ve</w:t>
      </w:r>
      <w:r w:rsidRPr="006340F9">
        <w:t xml:space="preserve"> </w:t>
      </w:r>
      <w:r w:rsidR="004F3919" w:rsidRPr="006340F9">
        <w:t>on</w:t>
      </w:r>
      <w:r w:rsidRPr="006340F9">
        <w:t xml:space="preserve"> </w:t>
      </w:r>
      <w:r w:rsidR="000945C0" w:rsidRPr="006340F9">
        <w:t xml:space="preserve">both </w:t>
      </w:r>
      <w:r w:rsidRPr="006340F9">
        <w:t>RTAC</w:t>
      </w:r>
      <w:r w:rsidR="00885A01" w:rsidRPr="006340F9">
        <w:t xml:space="preserve"> </w:t>
      </w:r>
      <w:r w:rsidR="000945C0" w:rsidRPr="006340F9">
        <w:t xml:space="preserve">and </w:t>
      </w:r>
      <w:r w:rsidRPr="006340F9">
        <w:t>the FSANZ board.</w:t>
      </w:r>
      <w:r w:rsidRPr="006340F9">
        <w:rPr>
          <w:vertAlign w:val="superscript"/>
        </w:rPr>
        <w:footnoteReference w:id="41"/>
      </w:r>
      <w:r w:rsidR="00310253" w:rsidRPr="006340F9">
        <w:t xml:space="preserve"> The RTAC Chair is appointed </w:t>
      </w:r>
      <w:r w:rsidR="0046782A" w:rsidRPr="006340F9">
        <w:t>by the FSANZ board</w:t>
      </w:r>
      <w:r w:rsidR="00577579" w:rsidRPr="006340F9">
        <w:t xml:space="preserve"> and reports</w:t>
      </w:r>
      <w:r w:rsidR="000945C0" w:rsidRPr="006340F9">
        <w:t xml:space="preserve"> regularly to </w:t>
      </w:r>
      <w:r w:rsidR="00C2558B" w:rsidRPr="006340F9">
        <w:t>the board</w:t>
      </w:r>
      <w:r w:rsidR="0046782A" w:rsidRPr="006340F9">
        <w:t xml:space="preserve">. </w:t>
      </w:r>
    </w:p>
    <w:p w14:paraId="37429BFB" w14:textId="5CFA81F4" w:rsidR="00833895" w:rsidRPr="006340F9" w:rsidRDefault="00833895" w:rsidP="00B7757E">
      <w:pPr>
        <w:pStyle w:val="Body"/>
      </w:pPr>
      <w:r w:rsidRPr="006340F9">
        <w:t xml:space="preserve">RTAC remains the </w:t>
      </w:r>
      <w:r w:rsidR="002D6F71" w:rsidRPr="006340F9">
        <w:t xml:space="preserve">national accreditation </w:t>
      </w:r>
      <w:r w:rsidR="005E4C90" w:rsidRPr="006340F9">
        <w:t>body</w:t>
      </w:r>
      <w:r w:rsidR="002D6F71" w:rsidRPr="006340F9">
        <w:t xml:space="preserve"> for ART in Australia.</w:t>
      </w:r>
    </w:p>
    <w:p w14:paraId="6E735B87" w14:textId="77777777" w:rsidR="003A00BD" w:rsidRPr="006340F9" w:rsidRDefault="003A00BD" w:rsidP="0045659C">
      <w:pPr>
        <w:pStyle w:val="Body"/>
        <w:sectPr w:rsidR="003A00BD" w:rsidRPr="006340F9" w:rsidSect="00DC625A">
          <w:pgSz w:w="11906" w:h="16838" w:code="9"/>
          <w:pgMar w:top="1440" w:right="1440" w:bottom="1440" w:left="1440" w:header="720" w:footer="720" w:gutter="0"/>
          <w:cols w:space="720"/>
          <w:docGrid w:linePitch="360"/>
        </w:sectPr>
      </w:pPr>
    </w:p>
    <w:p w14:paraId="378C0502" w14:textId="09EA33D7" w:rsidR="005C554F" w:rsidRPr="006340F9" w:rsidRDefault="005C554F" w:rsidP="0045659C">
      <w:pPr>
        <w:pStyle w:val="Body"/>
      </w:pPr>
      <w:r w:rsidRPr="006340F9">
        <w:lastRenderedPageBreak/>
        <w:t>As the national accreditation body, RTAC responsibilities include:</w:t>
      </w:r>
    </w:p>
    <w:p w14:paraId="50F086F3" w14:textId="4F060CB6" w:rsidR="007D001E" w:rsidRPr="006340F9" w:rsidRDefault="00A703EA" w:rsidP="00FE6E67">
      <w:pPr>
        <w:pStyle w:val="Bullet1"/>
      </w:pPr>
      <w:r w:rsidRPr="006340F9">
        <w:t>s</w:t>
      </w:r>
      <w:r w:rsidR="00B73A2B" w:rsidRPr="006340F9">
        <w:t>etting a</w:t>
      </w:r>
      <w:r w:rsidRPr="006340F9">
        <w:t xml:space="preserve">nd reviewing </w:t>
      </w:r>
      <w:r w:rsidR="00B73A2B" w:rsidRPr="006340F9">
        <w:t>the accreditation standards (referred to as the Code of Practice)</w:t>
      </w:r>
    </w:p>
    <w:p w14:paraId="11A9014F" w14:textId="703EFACC" w:rsidR="005C554F" w:rsidRPr="006340F9" w:rsidRDefault="00343FDC" w:rsidP="00FE6E67">
      <w:pPr>
        <w:pStyle w:val="Bullet1"/>
      </w:pPr>
      <w:r w:rsidRPr="006340F9">
        <w:t xml:space="preserve">designing and </w:t>
      </w:r>
      <w:r w:rsidR="00C35082" w:rsidRPr="006340F9">
        <w:t>o</w:t>
      </w:r>
      <w:r w:rsidR="005C554F" w:rsidRPr="006340F9">
        <w:t>versee</w:t>
      </w:r>
      <w:r w:rsidR="00CD11AA" w:rsidRPr="006340F9">
        <w:t>ing</w:t>
      </w:r>
      <w:r w:rsidR="005C554F" w:rsidRPr="006340F9">
        <w:t xml:space="preserve"> the RTAC accreditation scheme</w:t>
      </w:r>
      <w:bookmarkStart w:id="60" w:name="_Ref207892736"/>
      <w:r w:rsidR="001D5A02" w:rsidRPr="006340F9">
        <w:t>, including effectiveness of certifying bodies</w:t>
      </w:r>
      <w:r w:rsidR="001D5A02" w:rsidRPr="006340F9">
        <w:rPr>
          <w:vertAlign w:val="superscript"/>
        </w:rPr>
        <w:t xml:space="preserve"> </w:t>
      </w:r>
      <w:r w:rsidR="007B7A45" w:rsidRPr="006340F9">
        <w:rPr>
          <w:vertAlign w:val="superscript"/>
        </w:rPr>
        <w:footnoteReference w:id="42"/>
      </w:r>
      <w:bookmarkEnd w:id="60"/>
    </w:p>
    <w:p w14:paraId="1BA3F68A" w14:textId="79F3F716" w:rsidR="005C554F" w:rsidRPr="006340F9" w:rsidRDefault="006421E5" w:rsidP="00FE6E67">
      <w:pPr>
        <w:pStyle w:val="Bullet1"/>
      </w:pPr>
      <w:r w:rsidRPr="006340F9">
        <w:t>licen</w:t>
      </w:r>
      <w:r w:rsidR="00A53A15" w:rsidRPr="006340F9">
        <w:t>s</w:t>
      </w:r>
      <w:r w:rsidRPr="006340F9">
        <w:t xml:space="preserve">ing </w:t>
      </w:r>
      <w:r w:rsidR="005C554F" w:rsidRPr="006340F9">
        <w:t>ART providers to deliver ART services in Australia</w:t>
      </w:r>
    </w:p>
    <w:p w14:paraId="4512C6C3" w14:textId="48B54B3C" w:rsidR="006F5545" w:rsidRPr="006340F9" w:rsidRDefault="006421E5" w:rsidP="00FE6E67">
      <w:pPr>
        <w:pStyle w:val="Bullet1"/>
      </w:pPr>
      <w:r w:rsidRPr="006340F9">
        <w:t>issuing, suspending and withdrawing RTAC licences</w:t>
      </w:r>
    </w:p>
    <w:p w14:paraId="352713CB" w14:textId="42490FE8" w:rsidR="005C554F" w:rsidRPr="006340F9" w:rsidRDefault="00C35082">
      <w:pPr>
        <w:pStyle w:val="Bullet1"/>
      </w:pPr>
      <w:r w:rsidRPr="006340F9">
        <w:t>p</w:t>
      </w:r>
      <w:r w:rsidR="005C554F" w:rsidRPr="006340F9">
        <w:t>romot</w:t>
      </w:r>
      <w:r w:rsidR="00343FDC" w:rsidRPr="006340F9">
        <w:t>ing</w:t>
      </w:r>
      <w:r w:rsidR="005C554F" w:rsidRPr="006340F9">
        <w:t xml:space="preserve"> continuous improvement among ART providers</w:t>
      </w:r>
    </w:p>
    <w:p w14:paraId="372F2132" w14:textId="3716DCE5" w:rsidR="005C554F" w:rsidRPr="006340F9" w:rsidRDefault="00C35082" w:rsidP="00FE6E67">
      <w:pPr>
        <w:pStyle w:val="Bullet1"/>
      </w:pPr>
      <w:r w:rsidRPr="006340F9">
        <w:t>s</w:t>
      </w:r>
      <w:r w:rsidR="005C554F" w:rsidRPr="006340F9">
        <w:t>upport</w:t>
      </w:r>
      <w:r w:rsidR="00343FDC" w:rsidRPr="006340F9">
        <w:t>ing</w:t>
      </w:r>
      <w:r w:rsidR="005C554F" w:rsidRPr="006340F9">
        <w:t xml:space="preserve"> </w:t>
      </w:r>
      <w:r w:rsidR="00B47B3B" w:rsidRPr="006340F9">
        <w:rPr>
          <w:szCs w:val="22"/>
        </w:rPr>
        <w:t>State and Territory</w:t>
      </w:r>
      <w:r w:rsidR="00B47B3B" w:rsidRPr="006340F9" w:rsidDel="00EC182E">
        <w:rPr>
          <w:szCs w:val="22"/>
        </w:rPr>
        <w:t xml:space="preserve"> </w:t>
      </w:r>
      <w:r w:rsidR="005C554F" w:rsidRPr="006340F9">
        <w:t>ART regulatory functions.</w:t>
      </w:r>
    </w:p>
    <w:p w14:paraId="26195BD3" w14:textId="3366BCF3" w:rsidR="005C554F" w:rsidRPr="006340F9" w:rsidRDefault="005C554F" w:rsidP="002B4BBF">
      <w:pPr>
        <w:pStyle w:val="Bodyaftertablefigurebullets"/>
      </w:pPr>
      <w:r w:rsidRPr="006340F9">
        <w:t xml:space="preserve">Over time RTAC has codified the standards into a Code of Practice, against which ART units are </w:t>
      </w:r>
      <w:r w:rsidR="0012316B" w:rsidRPr="006340F9">
        <w:t>certified</w:t>
      </w:r>
      <w:r w:rsidRPr="006340F9">
        <w:t xml:space="preserve"> by one of two independent </w:t>
      </w:r>
      <w:r w:rsidR="004545AC" w:rsidRPr="006340F9">
        <w:t>certifying bodies</w:t>
      </w:r>
      <w:r w:rsidRPr="006340F9">
        <w:t xml:space="preserve"> (see </w:t>
      </w:r>
      <w:r w:rsidR="00AE2EFD" w:rsidRPr="006340F9">
        <w:t xml:space="preserve">section </w:t>
      </w:r>
      <w:r w:rsidR="00B20B49" w:rsidRPr="006340F9">
        <w:fldChar w:fldCharType="begin"/>
      </w:r>
      <w:r w:rsidR="00B20B49" w:rsidRPr="006340F9">
        <w:instrText xml:space="preserve"> REF _Ref207975484 \n \h </w:instrText>
      </w:r>
      <w:r w:rsidR="00B20B49" w:rsidRPr="006340F9">
        <w:fldChar w:fldCharType="separate"/>
      </w:r>
      <w:r w:rsidR="007D732A">
        <w:t>2.3</w:t>
      </w:r>
      <w:r w:rsidR="00B20B49" w:rsidRPr="006340F9">
        <w:fldChar w:fldCharType="end"/>
      </w:r>
      <w:r w:rsidR="003332C1" w:rsidRPr="006340F9">
        <w:t>)</w:t>
      </w:r>
      <w:r w:rsidRPr="006340F9">
        <w:t xml:space="preserve"> for the purpose of RTAC accreditation.</w:t>
      </w:r>
      <w:r w:rsidRPr="006340F9">
        <w:rPr>
          <w:rStyle w:val="FootnoteReference"/>
        </w:rPr>
        <w:footnoteReference w:id="43"/>
      </w:r>
      <w:r w:rsidRPr="006340F9">
        <w:t xml:space="preserve"> The Code of Practice outlines requirements for governance, clinical practice, patient safety, data reporting and continuous improvement, divided into two sets of criteria:</w:t>
      </w:r>
    </w:p>
    <w:p w14:paraId="35E46D44" w14:textId="49D3B5D0" w:rsidR="005C554F" w:rsidRPr="006340F9" w:rsidRDefault="005C554F" w:rsidP="007C2C61">
      <w:pPr>
        <w:pStyle w:val="Bullet1"/>
        <w:numPr>
          <w:ilvl w:val="0"/>
          <w:numId w:val="12"/>
        </w:numPr>
      </w:pPr>
      <w:r w:rsidRPr="006340F9">
        <w:t>14 Critical Criteria that are audited annually, including requirements relating to compliance, adverse event reporting</w:t>
      </w:r>
      <w:r w:rsidR="005E581B" w:rsidRPr="006340F9">
        <w:t>,</w:t>
      </w:r>
      <w:r w:rsidRPr="006340F9">
        <w:t xml:space="preserve"> and infection control</w:t>
      </w:r>
      <w:r w:rsidR="00C67BFE" w:rsidRPr="006340F9">
        <w:rPr>
          <w:rStyle w:val="FootnoteReference"/>
        </w:rPr>
        <w:footnoteReference w:id="44"/>
      </w:r>
    </w:p>
    <w:p w14:paraId="1740ABB6" w14:textId="702C444F" w:rsidR="005C554F" w:rsidRPr="006340F9" w:rsidRDefault="00614F78" w:rsidP="007C2C61">
      <w:pPr>
        <w:pStyle w:val="Bullet1"/>
        <w:numPr>
          <w:ilvl w:val="0"/>
          <w:numId w:val="12"/>
        </w:numPr>
      </w:pPr>
      <w:r w:rsidRPr="006340F9">
        <w:t>Five</w:t>
      </w:r>
      <w:r w:rsidR="005C554F" w:rsidRPr="006340F9">
        <w:t xml:space="preserve"> Good Practice Criteria, a third of which is audited annually in a three-year cycle, including requirements relating to quality management systems.</w:t>
      </w:r>
      <w:r w:rsidR="00E210E6" w:rsidRPr="006340F9">
        <w:rPr>
          <w:rStyle w:val="FootnoteReference"/>
        </w:rPr>
        <w:footnoteReference w:id="45"/>
      </w:r>
      <w:r w:rsidR="00DF75F8" w:rsidRPr="006340F9">
        <w:t xml:space="preserve"> </w:t>
      </w:r>
    </w:p>
    <w:p w14:paraId="27082F13" w14:textId="714563D5" w:rsidR="005C554F" w:rsidRPr="006340F9" w:rsidRDefault="005C554F" w:rsidP="00F5534F">
      <w:pPr>
        <w:pStyle w:val="Bodyaftertablefigurebullets"/>
      </w:pPr>
      <w:r w:rsidRPr="006340F9">
        <w:t>The Code of Practice also includes the requirement to comply with relevant sections of the National Health and Medical Research Council Ethical Guidelines on the Use of Assisted Reproductive Technology in Clinical Practice and Research.</w:t>
      </w:r>
      <w:r w:rsidR="00CE02EF" w:rsidRPr="006340F9">
        <w:rPr>
          <w:rStyle w:val="FootnoteReference"/>
        </w:rPr>
        <w:footnoteReference w:id="46"/>
      </w:r>
      <w:r w:rsidRPr="006340F9">
        <w:t xml:space="preserve"> </w:t>
      </w:r>
    </w:p>
    <w:p w14:paraId="0002AA19" w14:textId="6D9763CA" w:rsidR="005C554F" w:rsidRPr="006340F9" w:rsidRDefault="005C554F" w:rsidP="00593669">
      <w:pPr>
        <w:pStyle w:val="Body"/>
      </w:pPr>
      <w:r w:rsidRPr="006340F9">
        <w:t>The Code of Practice is revised every three years through a peer review process led by RTAC</w:t>
      </w:r>
      <w:r w:rsidR="00D132E5" w:rsidRPr="006340F9">
        <w:t>.</w:t>
      </w:r>
      <w:r w:rsidR="003324F0" w:rsidRPr="006340F9">
        <w:rPr>
          <w:rStyle w:val="FootnoteReference"/>
        </w:rPr>
        <w:footnoteReference w:id="47"/>
      </w:r>
      <w:r w:rsidR="00D132E5" w:rsidRPr="006340F9">
        <w:t xml:space="preserve"> Changes to the Code of Practice are recommended by RTAC for approval </w:t>
      </w:r>
      <w:r w:rsidR="0003015E" w:rsidRPr="006340F9">
        <w:t>by</w:t>
      </w:r>
      <w:r w:rsidR="00D132E5" w:rsidRPr="006340F9">
        <w:t xml:space="preserve"> the FSA board</w:t>
      </w:r>
      <w:r w:rsidR="008A15A7" w:rsidRPr="006340F9">
        <w:t>.</w:t>
      </w:r>
      <w:r w:rsidRPr="006340F9">
        <w:rPr>
          <w:rStyle w:val="FootnoteReference"/>
        </w:rPr>
        <w:footnoteReference w:id="48"/>
      </w:r>
      <w:r w:rsidRPr="006340F9">
        <w:t xml:space="preserve"> No independent agencies are involved in the development or revision of the Code of Practice.</w:t>
      </w:r>
      <w:r w:rsidR="005E581B" w:rsidRPr="006340F9">
        <w:t xml:space="preserve"> </w:t>
      </w:r>
    </w:p>
    <w:p w14:paraId="01442B6C" w14:textId="110289FD" w:rsidR="005C554F" w:rsidRPr="006340F9" w:rsidRDefault="168C4E1F" w:rsidP="0088362D">
      <w:pPr>
        <w:pStyle w:val="Body"/>
      </w:pPr>
      <w:r w:rsidRPr="006340F9">
        <w:t>I</w:t>
      </w:r>
      <w:r w:rsidR="005C554F" w:rsidRPr="006340F9">
        <w:t xml:space="preserve">t is </w:t>
      </w:r>
      <w:r w:rsidR="1B04B145" w:rsidRPr="006340F9">
        <w:t xml:space="preserve">also </w:t>
      </w:r>
      <w:r w:rsidR="005C554F" w:rsidRPr="006340F9">
        <w:t>a requirement of the Code of Practice that all staff are authorised to perform the functions they have been employed to carry out,</w:t>
      </w:r>
      <w:r w:rsidR="00A02039" w:rsidRPr="006340F9">
        <w:rPr>
          <w:rStyle w:val="FootnoteReference"/>
        </w:rPr>
        <w:footnoteReference w:id="49"/>
      </w:r>
      <w:r w:rsidR="00B0230B" w:rsidRPr="006340F9">
        <w:t xml:space="preserve"> </w:t>
      </w:r>
      <w:r w:rsidR="005C554F" w:rsidRPr="006340F9">
        <w:t xml:space="preserve">with specific qualification, training, education and experience requirements for several key personnel, including </w:t>
      </w:r>
      <w:r w:rsidR="00493E01" w:rsidRPr="006340F9">
        <w:t xml:space="preserve">professions </w:t>
      </w:r>
      <w:r w:rsidR="004B17C1" w:rsidRPr="006340F9">
        <w:t xml:space="preserve">that are </w:t>
      </w:r>
      <w:r w:rsidR="00AF7FE0" w:rsidRPr="006340F9">
        <w:t xml:space="preserve">not </w:t>
      </w:r>
      <w:r w:rsidR="00712E22" w:rsidRPr="006340F9">
        <w:t>covered</w:t>
      </w:r>
      <w:r w:rsidR="00AF7FE0" w:rsidRPr="006340F9">
        <w:t xml:space="preserve"> </w:t>
      </w:r>
      <w:r w:rsidR="00BD6F0A" w:rsidRPr="006340F9">
        <w:t>under the</w:t>
      </w:r>
      <w:r w:rsidR="00493E01" w:rsidRPr="006340F9">
        <w:t xml:space="preserve"> </w:t>
      </w:r>
      <w:r w:rsidR="000E7A66" w:rsidRPr="006340F9">
        <w:t xml:space="preserve">National Registration and Accreditation Scheme </w:t>
      </w:r>
      <w:r w:rsidR="00493E01" w:rsidRPr="006340F9">
        <w:t>(</w:t>
      </w:r>
      <w:r w:rsidR="005C554F" w:rsidRPr="006340F9">
        <w:t>NRAS</w:t>
      </w:r>
      <w:r w:rsidR="00493E01" w:rsidRPr="006340F9">
        <w:t>)</w:t>
      </w:r>
      <w:r w:rsidR="005C554F" w:rsidRPr="006340F9">
        <w:t xml:space="preserve"> such as laboratory managers, counsellors and quality managers.</w:t>
      </w:r>
      <w:r w:rsidR="005C554F" w:rsidRPr="006340F9">
        <w:rPr>
          <w:rStyle w:val="FootnoteReference"/>
        </w:rPr>
        <w:footnoteReference w:id="50"/>
      </w:r>
      <w:r w:rsidR="005C554F" w:rsidRPr="006340F9">
        <w:t xml:space="preserve"> This includes a requirement for Medical and Clinical Directors to have a Certificate of Reproductive Endocrinology and </w:t>
      </w:r>
      <w:r w:rsidR="005C554F" w:rsidRPr="006340F9">
        <w:lastRenderedPageBreak/>
        <w:t>Infertility, and recommendation for scientists to be certified with the Australian Council for Certification of the Medical Laboratory Scientific Workforce.</w:t>
      </w:r>
      <w:r w:rsidR="005C554F" w:rsidRPr="006340F9">
        <w:rPr>
          <w:rStyle w:val="FootnoteReference"/>
        </w:rPr>
        <w:footnoteReference w:id="51"/>
      </w:r>
      <w:r w:rsidR="005C554F" w:rsidRPr="006340F9">
        <w:t xml:space="preserve"> </w:t>
      </w:r>
    </w:p>
    <w:p w14:paraId="2F427367" w14:textId="417147D8" w:rsidR="005C554F" w:rsidRPr="006340F9" w:rsidRDefault="005C554F" w:rsidP="004600B7">
      <w:pPr>
        <w:pStyle w:val="Heading3"/>
      </w:pPr>
      <w:r w:rsidRPr="006340F9">
        <w:t>Accreditation certifying bodies</w:t>
      </w:r>
    </w:p>
    <w:p w14:paraId="2351FB54" w14:textId="63DC38C3" w:rsidR="005C554F" w:rsidRPr="006340F9" w:rsidRDefault="005C554F" w:rsidP="00313D48">
      <w:pPr>
        <w:pStyle w:val="Body"/>
      </w:pPr>
      <w:r w:rsidRPr="006340F9">
        <w:t>ART units may elect one of two independent certifying bodies registered by the Joint Accreditation System of Australia and New Zealand (JAS</w:t>
      </w:r>
      <w:r w:rsidR="00095E77" w:rsidRPr="006340F9">
        <w:t>-</w:t>
      </w:r>
      <w:r w:rsidRPr="006340F9">
        <w:t>ANZ) to conduct the primary and secondary audits</w:t>
      </w:r>
      <w:r w:rsidR="00A1316E" w:rsidRPr="006340F9">
        <w:t>:</w:t>
      </w:r>
      <w:r w:rsidRPr="006340F9">
        <w:rPr>
          <w:rStyle w:val="FootnoteReference"/>
        </w:rPr>
        <w:footnoteReference w:id="52"/>
      </w:r>
      <w:r w:rsidRPr="006340F9">
        <w:rPr>
          <w:vertAlign w:val="superscript"/>
        </w:rPr>
        <w:t xml:space="preserve"> </w:t>
      </w:r>
      <w:r w:rsidRPr="006340F9">
        <w:t xml:space="preserve">Global-Mark and Certified Partner Global. </w:t>
      </w:r>
      <w:r w:rsidR="00BC7125" w:rsidRPr="006340F9">
        <w:t>The RTAC Scheme Rules specif</w:t>
      </w:r>
      <w:r w:rsidR="00DE7D07" w:rsidRPr="006340F9">
        <w:t>y</w:t>
      </w:r>
      <w:r w:rsidR="00BC7125" w:rsidRPr="006340F9">
        <w:t xml:space="preserve"> the requir</w:t>
      </w:r>
      <w:r w:rsidR="00024707" w:rsidRPr="006340F9">
        <w:t xml:space="preserve">ements for the </w:t>
      </w:r>
      <w:r w:rsidR="002B76AB" w:rsidRPr="006340F9">
        <w:t xml:space="preserve">JAS-ANZ </w:t>
      </w:r>
      <w:r w:rsidR="00024707" w:rsidRPr="006340F9">
        <w:t>accreditation of the certifying bodies</w:t>
      </w:r>
      <w:r w:rsidR="002B76AB" w:rsidRPr="006340F9">
        <w:t>, as well as c</w:t>
      </w:r>
      <w:r w:rsidR="00D21491" w:rsidRPr="006340F9">
        <w:t>ertification criteria for ART units.</w:t>
      </w:r>
      <w:bookmarkStart w:id="61" w:name="_Ref207716690"/>
      <w:r w:rsidR="00FE6A5B" w:rsidRPr="006340F9">
        <w:rPr>
          <w:rStyle w:val="FootnoteReference"/>
        </w:rPr>
        <w:footnoteReference w:id="53"/>
      </w:r>
      <w:bookmarkEnd w:id="61"/>
    </w:p>
    <w:p w14:paraId="1B238146" w14:textId="66D397F4" w:rsidR="005C554F" w:rsidRPr="006340F9" w:rsidRDefault="005C554F" w:rsidP="00313D48">
      <w:pPr>
        <w:pStyle w:val="Body"/>
      </w:pPr>
      <w:r w:rsidRPr="006340F9">
        <w:t xml:space="preserve">Across the two </w:t>
      </w:r>
      <w:r w:rsidR="00A1316E" w:rsidRPr="006340F9">
        <w:t>certifying bodies</w:t>
      </w:r>
      <w:r w:rsidRPr="006340F9">
        <w:t xml:space="preserve">, there are five individual auditors who deliver </w:t>
      </w:r>
      <w:r w:rsidR="00DE7D07" w:rsidRPr="006340F9">
        <w:t xml:space="preserve">all </w:t>
      </w:r>
      <w:r w:rsidRPr="006340F9">
        <w:t>audits</w:t>
      </w:r>
      <w:r w:rsidR="00DE7D07" w:rsidRPr="006340F9">
        <w:t xml:space="preserve"> of ART units</w:t>
      </w:r>
      <w:r w:rsidRPr="006340F9">
        <w:t xml:space="preserve"> across Australia.</w:t>
      </w:r>
      <w:r w:rsidR="00FB188B" w:rsidRPr="006340F9">
        <w:t xml:space="preserve"> It is typical that an individual auditor will have undertaken all audits of a given ART unit over many years.</w:t>
      </w:r>
      <w:r w:rsidR="00987CB3" w:rsidRPr="006340F9">
        <w:t xml:space="preserve"> </w:t>
      </w:r>
      <w:r w:rsidR="006B3144" w:rsidRPr="006340F9">
        <w:t>RTAC advised</w:t>
      </w:r>
      <w:r w:rsidR="00DB6906" w:rsidRPr="006340F9">
        <w:t xml:space="preserve"> </w:t>
      </w:r>
      <w:r w:rsidR="005344B5" w:rsidRPr="006340F9">
        <w:t xml:space="preserve">auditors </w:t>
      </w:r>
      <w:r w:rsidR="00CF52F2" w:rsidRPr="006340F9">
        <w:t xml:space="preserve">are </w:t>
      </w:r>
      <w:r w:rsidR="00BE5947" w:rsidRPr="006340F9">
        <w:t>approved</w:t>
      </w:r>
      <w:r w:rsidR="00CF52F2" w:rsidRPr="006340F9">
        <w:t xml:space="preserve"> to </w:t>
      </w:r>
      <w:r w:rsidR="00AB7779" w:rsidRPr="006340F9">
        <w:t>be involved in the certification process if they are certified by JAS-ANZ.</w:t>
      </w:r>
    </w:p>
    <w:p w14:paraId="21317741" w14:textId="491461FD" w:rsidR="0025120F" w:rsidRPr="006340F9" w:rsidRDefault="00A20FC8" w:rsidP="00313D48">
      <w:pPr>
        <w:pStyle w:val="Body"/>
      </w:pPr>
      <w:r w:rsidRPr="006340F9">
        <w:t>C</w:t>
      </w:r>
      <w:r w:rsidR="00831A6C" w:rsidRPr="006340F9">
        <w:t xml:space="preserve">ertifying </w:t>
      </w:r>
      <w:r w:rsidRPr="006340F9">
        <w:t>bodies are</w:t>
      </w:r>
      <w:r w:rsidR="00831A6C" w:rsidRPr="006340F9">
        <w:t xml:space="preserve"> responsible for </w:t>
      </w:r>
      <w:r w:rsidR="00821484" w:rsidRPr="006340F9">
        <w:t xml:space="preserve">developing </w:t>
      </w:r>
      <w:r w:rsidR="008F6F48" w:rsidRPr="006340F9">
        <w:t xml:space="preserve">and submitting </w:t>
      </w:r>
      <w:r w:rsidR="00821484" w:rsidRPr="006340F9">
        <w:t xml:space="preserve">a final written audit report </w:t>
      </w:r>
      <w:r w:rsidR="008F6F48" w:rsidRPr="006340F9">
        <w:t>to RTAC</w:t>
      </w:r>
      <w:r w:rsidR="00370E57" w:rsidRPr="006340F9">
        <w:t>.</w:t>
      </w:r>
      <w:r w:rsidR="00700687" w:rsidRPr="006340F9">
        <w:t xml:space="preserve"> </w:t>
      </w:r>
      <w:r w:rsidR="00370E57" w:rsidRPr="006340F9">
        <w:t xml:space="preserve">This details </w:t>
      </w:r>
      <w:r w:rsidR="00821484" w:rsidRPr="006340F9">
        <w:t xml:space="preserve">recommendations for </w:t>
      </w:r>
      <w:r w:rsidR="00FA33D4" w:rsidRPr="006340F9">
        <w:t>granting certification or continuing certification</w:t>
      </w:r>
      <w:r w:rsidR="00370E57" w:rsidRPr="006340F9">
        <w:t xml:space="preserve">, </w:t>
      </w:r>
      <w:r w:rsidR="007473EE" w:rsidRPr="006340F9">
        <w:t>providing a</w:t>
      </w:r>
      <w:r w:rsidR="000E47D0" w:rsidRPr="006340F9">
        <w:t xml:space="preserve"> bas</w:t>
      </w:r>
      <w:r w:rsidR="00EB73CF" w:rsidRPr="006340F9">
        <w:t>i</w:t>
      </w:r>
      <w:r w:rsidR="000E47D0" w:rsidRPr="006340F9">
        <w:t xml:space="preserve">s for </w:t>
      </w:r>
      <w:r w:rsidR="00901040" w:rsidRPr="006340F9">
        <w:t xml:space="preserve">RTAC </w:t>
      </w:r>
      <w:r w:rsidR="00CA2C84" w:rsidRPr="006340F9">
        <w:t>to make a licensing decision</w:t>
      </w:r>
      <w:r w:rsidR="00370E57" w:rsidRPr="006340F9">
        <w:t>.</w:t>
      </w:r>
      <w:r w:rsidR="00370E57" w:rsidRPr="006340F9">
        <w:rPr>
          <w:rStyle w:val="FootnoteReference"/>
        </w:rPr>
        <w:footnoteReference w:id="54"/>
      </w:r>
      <w:r w:rsidR="007473EE" w:rsidRPr="006340F9">
        <w:t xml:space="preserve"> </w:t>
      </w:r>
      <w:r w:rsidR="00AF6E57" w:rsidRPr="006340F9">
        <w:t>RTAC advised that these audit reports are only sighted by the RTAC Chair</w:t>
      </w:r>
      <w:r w:rsidR="00C119AA" w:rsidRPr="006340F9">
        <w:t xml:space="preserve"> and are not shared with </w:t>
      </w:r>
      <w:r w:rsidR="52F84B38" w:rsidRPr="006340F9">
        <w:t>the RTAC board</w:t>
      </w:r>
      <w:r w:rsidR="006000FD" w:rsidRPr="006340F9">
        <w:t xml:space="preserve">. </w:t>
      </w:r>
      <w:r w:rsidR="00D00575" w:rsidRPr="006340F9">
        <w:t>Final a</w:t>
      </w:r>
      <w:r w:rsidR="006000FD" w:rsidRPr="006340F9">
        <w:t xml:space="preserve">udit reports </w:t>
      </w:r>
      <w:r w:rsidR="00D00575" w:rsidRPr="006340F9">
        <w:t xml:space="preserve">are </w:t>
      </w:r>
      <w:r w:rsidR="006000FD" w:rsidRPr="006340F9">
        <w:t xml:space="preserve">shared with </w:t>
      </w:r>
      <w:r w:rsidR="00D00575" w:rsidRPr="006340F9">
        <w:t xml:space="preserve">the Queensland, South </w:t>
      </w:r>
      <w:r w:rsidR="00294E6A" w:rsidRPr="006340F9">
        <w:t>Australian, Victorian</w:t>
      </w:r>
      <w:r w:rsidR="00904215" w:rsidRPr="006340F9">
        <w:t>, and Western Australian</w:t>
      </w:r>
      <w:r w:rsidR="006000FD" w:rsidRPr="006340F9">
        <w:t xml:space="preserve"> regulatory authorities via ART providers as a condition of their registration (</w:t>
      </w:r>
      <w:r w:rsidR="00D00575" w:rsidRPr="006340F9">
        <w:t>see section 2.4).</w:t>
      </w:r>
      <w:r w:rsidR="00AF6E57" w:rsidRPr="006340F9">
        <w:t xml:space="preserve"> </w:t>
      </w:r>
    </w:p>
    <w:p w14:paraId="3C231BA8" w14:textId="2105A00F" w:rsidR="005C554F" w:rsidRPr="006340F9" w:rsidRDefault="005C554F" w:rsidP="004600B7">
      <w:pPr>
        <w:pStyle w:val="Heading3"/>
      </w:pPr>
      <w:bookmarkStart w:id="62" w:name="_State_and_territory"/>
      <w:bookmarkStart w:id="63" w:name="_Ref207277474"/>
      <w:bookmarkStart w:id="64" w:name="_Ref207724802"/>
      <w:bookmarkEnd w:id="62"/>
      <w:r w:rsidRPr="006340F9">
        <w:t xml:space="preserve">State and </w:t>
      </w:r>
      <w:r w:rsidR="000B665C" w:rsidRPr="006340F9">
        <w:t>T</w:t>
      </w:r>
      <w:r w:rsidRPr="006340F9">
        <w:t xml:space="preserve">erritory </w:t>
      </w:r>
      <w:bookmarkEnd w:id="63"/>
      <w:r w:rsidR="00000D42" w:rsidRPr="006340F9">
        <w:t>regulatory authorities</w:t>
      </w:r>
      <w:bookmarkEnd w:id="64"/>
    </w:p>
    <w:p w14:paraId="589B1C02" w14:textId="5C2583BD" w:rsidR="00696AA7" w:rsidRPr="006340F9" w:rsidRDefault="005C554F" w:rsidP="00B7757E">
      <w:pPr>
        <w:pStyle w:val="Body"/>
      </w:pPr>
      <w:r w:rsidRPr="006340F9">
        <w:t>While accreditation standards are defined by RTAC</w:t>
      </w:r>
      <w:r w:rsidR="4F829AF8" w:rsidRPr="006340F9">
        <w:t xml:space="preserve"> </w:t>
      </w:r>
      <w:r w:rsidR="009917E6" w:rsidRPr="006340F9">
        <w:t>and approved by the FSANZ board,</w:t>
      </w:r>
      <w:r w:rsidRPr="006340F9">
        <w:t xml:space="preserve"> and the auditors use those standards for accreditation</w:t>
      </w:r>
      <w:r w:rsidR="00460F34" w:rsidRPr="006340F9">
        <w:t xml:space="preserve"> audit</w:t>
      </w:r>
      <w:r w:rsidRPr="006340F9">
        <w:t xml:space="preserve"> purposes</w:t>
      </w:r>
      <w:r w:rsidR="00460F34" w:rsidRPr="006340F9">
        <w:t>,</w:t>
      </w:r>
      <w:r w:rsidR="236DE6EE" w:rsidRPr="006340F9">
        <w:t xml:space="preserve"> </w:t>
      </w:r>
      <w:r w:rsidRPr="006340F9">
        <w:t>regulation is, mostly, undertaken by jurisdictions.</w:t>
      </w:r>
    </w:p>
    <w:p w14:paraId="7B5DE9A7" w14:textId="7088B705" w:rsidR="001B1EA9" w:rsidRPr="006340F9" w:rsidRDefault="005C554F" w:rsidP="00B7757E">
      <w:pPr>
        <w:pStyle w:val="Body"/>
        <w:rPr>
          <w:b/>
        </w:rPr>
      </w:pPr>
      <w:r w:rsidRPr="006340F9">
        <w:t xml:space="preserve">Where present, </w:t>
      </w:r>
      <w:r w:rsidR="000B665C" w:rsidRPr="006340F9">
        <w:rPr>
          <w:bCs/>
        </w:rPr>
        <w:t>S</w:t>
      </w:r>
      <w:r w:rsidRPr="006340F9">
        <w:rPr>
          <w:bCs/>
        </w:rPr>
        <w:t>tate and</w:t>
      </w:r>
      <w:r w:rsidRPr="006340F9">
        <w:t xml:space="preserve"> </w:t>
      </w:r>
      <w:r w:rsidR="000B665C" w:rsidRPr="006340F9">
        <w:rPr>
          <w:bCs/>
        </w:rPr>
        <w:t>T</w:t>
      </w:r>
      <w:r w:rsidR="000B665C" w:rsidRPr="006340F9">
        <w:t xml:space="preserve">erritory </w:t>
      </w:r>
      <w:r w:rsidRPr="006340F9">
        <w:t>regulatory authorities</w:t>
      </w:r>
      <w:r w:rsidRPr="006340F9">
        <w:rPr>
          <w:b/>
        </w:rPr>
        <w:t xml:space="preserve"> </w:t>
      </w:r>
      <w:r w:rsidRPr="006340F9">
        <w:t>are based within health departments</w:t>
      </w:r>
      <w:r w:rsidRPr="006340F9">
        <w:rPr>
          <w:vertAlign w:val="superscript"/>
        </w:rPr>
        <w:footnoteReference w:id="55"/>
      </w:r>
      <w:r w:rsidRPr="006340F9">
        <w:rPr>
          <w:vertAlign w:val="superscript"/>
        </w:rPr>
        <w:t xml:space="preserve"> </w:t>
      </w:r>
      <w:r w:rsidRPr="006340F9">
        <w:t>and are responsible for the registration and subsequent regulation of ART units operating in their jurisdiction under the relevant local legislation</w:t>
      </w:r>
      <w:r w:rsidR="001B1EA9" w:rsidRPr="006340F9">
        <w:t>.</w:t>
      </w:r>
      <w:r w:rsidR="001B1EA9" w:rsidRPr="006340F9">
        <w:rPr>
          <w:vertAlign w:val="subscript"/>
        </w:rPr>
        <w:t xml:space="preserve"> </w:t>
      </w:r>
      <w:proofErr w:type="gramStart"/>
      <w:r w:rsidR="00766796" w:rsidRPr="006340F9">
        <w:t>For the purpose of</w:t>
      </w:r>
      <w:proofErr w:type="gramEnd"/>
      <w:r w:rsidR="00766796" w:rsidRPr="006340F9">
        <w:t xml:space="preserve"> this report, </w:t>
      </w:r>
      <w:r w:rsidR="00DC6A78" w:rsidRPr="006340F9">
        <w:t xml:space="preserve">we use </w:t>
      </w:r>
      <w:r w:rsidR="007C7991" w:rsidRPr="006340F9">
        <w:t xml:space="preserve">the term </w:t>
      </w:r>
      <w:r w:rsidR="00CA673B" w:rsidRPr="006340F9">
        <w:t>‘</w:t>
      </w:r>
      <w:r w:rsidR="00766796" w:rsidRPr="006340F9">
        <w:t>registration</w:t>
      </w:r>
      <w:r w:rsidR="00CA673B" w:rsidRPr="006340F9">
        <w:t>’</w:t>
      </w:r>
      <w:r w:rsidR="00766796" w:rsidRPr="006340F9">
        <w:t xml:space="preserve"> </w:t>
      </w:r>
      <w:r w:rsidR="00DC6A78" w:rsidRPr="006340F9">
        <w:t xml:space="preserve">to </w:t>
      </w:r>
      <w:r w:rsidR="00766796" w:rsidRPr="006340F9">
        <w:t xml:space="preserve">also </w:t>
      </w:r>
      <w:r w:rsidR="007A56AD" w:rsidRPr="006340F9">
        <w:t xml:space="preserve">encompass </w:t>
      </w:r>
      <w:r w:rsidR="00CA673B" w:rsidRPr="006340F9">
        <w:t xml:space="preserve">the </w:t>
      </w:r>
      <w:r w:rsidR="00290A2F" w:rsidRPr="006340F9">
        <w:t>concept of a licensing scheme</w:t>
      </w:r>
      <w:r w:rsidR="002748A6" w:rsidRPr="006340F9">
        <w:t xml:space="preserve"> (for example, </w:t>
      </w:r>
      <w:r w:rsidR="00E47C35" w:rsidRPr="006340F9">
        <w:t xml:space="preserve">the scheme recently established in </w:t>
      </w:r>
      <w:r w:rsidR="002748A6" w:rsidRPr="006340F9">
        <w:t>Queensland)</w:t>
      </w:r>
      <w:r w:rsidR="00CA673B" w:rsidRPr="006340F9">
        <w:t>.</w:t>
      </w:r>
      <w:r w:rsidR="00CA673B" w:rsidRPr="006340F9">
        <w:rPr>
          <w:vertAlign w:val="subscript"/>
        </w:rPr>
        <w:t xml:space="preserve"> </w:t>
      </w:r>
      <w:r w:rsidR="001B1EA9" w:rsidRPr="006340F9">
        <w:t>In all jurisdictions</w:t>
      </w:r>
      <w:r w:rsidR="006953EB" w:rsidRPr="006340F9">
        <w:t xml:space="preserve"> with ART regulatory arrangements</w:t>
      </w:r>
      <w:r w:rsidR="001B1EA9" w:rsidRPr="006340F9">
        <w:t xml:space="preserve">, </w:t>
      </w:r>
      <w:r w:rsidR="00BF347C" w:rsidRPr="006340F9">
        <w:t>registration of an ART unit requires current accreditation by RTAC</w:t>
      </w:r>
      <w:r w:rsidR="000E3D13" w:rsidRPr="006340F9">
        <w:t>.</w:t>
      </w:r>
    </w:p>
    <w:p w14:paraId="29E8C739" w14:textId="35916DB0" w:rsidR="005C554F" w:rsidRPr="006340F9" w:rsidRDefault="00BF347C" w:rsidP="00B7757E">
      <w:pPr>
        <w:pStyle w:val="Body"/>
      </w:pPr>
      <w:r w:rsidRPr="006340F9">
        <w:t xml:space="preserve">However, </w:t>
      </w:r>
      <w:r w:rsidR="006C6930" w:rsidRPr="006340F9">
        <w:t>j</w:t>
      </w:r>
      <w:r w:rsidR="005C554F" w:rsidRPr="006340F9">
        <w:t xml:space="preserve">urisdictional regulatory approaches vary widely in their scope and powers, reflecting differences in both </w:t>
      </w:r>
      <w:r w:rsidR="00B87AD5" w:rsidRPr="006340F9">
        <w:rPr>
          <w:bCs/>
        </w:rPr>
        <w:t>State and Territory</w:t>
      </w:r>
      <w:r w:rsidR="00B87AD5" w:rsidRPr="006340F9" w:rsidDel="00B87AD5">
        <w:t xml:space="preserve"> </w:t>
      </w:r>
      <w:r w:rsidR="005C554F" w:rsidRPr="006340F9">
        <w:t xml:space="preserve">legislation and regulatory posture. </w:t>
      </w:r>
      <w:r w:rsidR="0008217F">
        <w:t xml:space="preserve">Figure 2.3 </w:t>
      </w:r>
      <w:r w:rsidR="00035087">
        <w:t>outlines</w:t>
      </w:r>
      <w:r w:rsidR="0008217F">
        <w:t xml:space="preserve"> </w:t>
      </w:r>
      <w:r w:rsidR="00035087">
        <w:t>legislation regulating ART in each jurisdiction.</w:t>
      </w:r>
    </w:p>
    <w:p w14:paraId="622FA6ED" w14:textId="6CBCA8DA" w:rsidR="005C554F" w:rsidRPr="006340F9" w:rsidRDefault="005C554F" w:rsidP="00B7757E">
      <w:pPr>
        <w:pStyle w:val="Body"/>
      </w:pPr>
      <w:r w:rsidRPr="006340F9">
        <w:lastRenderedPageBreak/>
        <w:t>Further jurisdictional differences exist in the regulation of gamete and embryo use and transportation, donor conception registers, health information disclosure and the limits on the number of donor related families.</w:t>
      </w:r>
      <w:r w:rsidRPr="006340F9">
        <w:rPr>
          <w:vertAlign w:val="superscript"/>
        </w:rPr>
        <w:footnoteReference w:id="56"/>
      </w:r>
      <w:r w:rsidRPr="006340F9">
        <w:rPr>
          <w:vertAlign w:val="superscript"/>
        </w:rPr>
        <w:t xml:space="preserve"> </w:t>
      </w:r>
    </w:p>
    <w:p w14:paraId="75FAC2F1" w14:textId="17412AAA" w:rsidR="00D35F05" w:rsidRPr="006340F9" w:rsidRDefault="00D35F05" w:rsidP="00D35F05">
      <w:pPr>
        <w:pStyle w:val="FigureCaption0"/>
      </w:pPr>
      <w:r w:rsidRPr="006340F9">
        <w:t>Figure</w:t>
      </w:r>
      <w:r w:rsidR="004626D8" w:rsidRPr="006340F9">
        <w:t xml:space="preserve"> </w:t>
      </w:r>
      <w:r w:rsidR="00BA15A7" w:rsidRPr="006340F9">
        <w:t>2.3:</w:t>
      </w:r>
      <w:r w:rsidRPr="006340F9">
        <w:t xml:space="preserve"> Legislation regulating ART in jurisdictions across Australia.</w:t>
      </w:r>
    </w:p>
    <w:p w14:paraId="4DB22C5E" w14:textId="698E7DB2" w:rsidR="005C554F" w:rsidRPr="006340F9" w:rsidRDefault="00670BBA" w:rsidP="002C06D8">
      <w:pPr>
        <w:pStyle w:val="FigureCaption0"/>
        <w:rPr>
          <w:rFonts w:cs="Arial"/>
        </w:rPr>
      </w:pPr>
      <w:r w:rsidRPr="006340F9">
        <w:rPr>
          <w:rFonts w:cs="Arial"/>
          <w:noProof/>
        </w:rPr>
        <w:drawing>
          <wp:inline distT="0" distB="0" distL="0" distR="0" wp14:anchorId="16EA2AD9" wp14:editId="268DF923">
            <wp:extent cx="5858510" cy="1804670"/>
            <wp:effectExtent l="0" t="0" r="8890" b="5080"/>
            <wp:docPr id="1374280205" name="Picture 2" descr="Figure 2.3: Legislation regulating ART in jurisdiction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80205" name="Picture 2" descr="Figure 2.3: Legislation regulating ART in jurisdictions across Austral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8510" cy="1804670"/>
                    </a:xfrm>
                    <a:prstGeom prst="rect">
                      <a:avLst/>
                    </a:prstGeom>
                    <a:noFill/>
                  </pic:spPr>
                </pic:pic>
              </a:graphicData>
            </a:graphic>
          </wp:inline>
        </w:drawing>
      </w:r>
    </w:p>
    <w:p w14:paraId="27CE5AB3" w14:textId="63BEE5A6" w:rsidR="00D9513D" w:rsidRPr="006340F9" w:rsidRDefault="00510B75" w:rsidP="007E43EB">
      <w:pPr>
        <w:pStyle w:val="Body"/>
      </w:pPr>
      <w:r w:rsidRPr="006340F9">
        <w:rPr>
          <w:rFonts w:cs="Arial"/>
        </w:rPr>
        <w:t>L</w:t>
      </w:r>
      <w:r w:rsidR="00AF327E" w:rsidRPr="006340F9">
        <w:rPr>
          <w:rFonts w:cs="Arial"/>
        </w:rPr>
        <w:t>egislative frameworks in some jurisdictions are evolving.</w:t>
      </w:r>
      <w:r w:rsidR="00FD5E0E" w:rsidRPr="006340F9">
        <w:rPr>
          <w:rFonts w:cs="Arial"/>
        </w:rPr>
        <w:t xml:space="preserve"> </w:t>
      </w:r>
      <w:r w:rsidR="00274B51" w:rsidRPr="006340F9">
        <w:t>The A</w:t>
      </w:r>
      <w:r w:rsidR="00AD5E0E" w:rsidRPr="006340F9">
        <w:t xml:space="preserve">ustralian </w:t>
      </w:r>
      <w:r w:rsidR="00274B51" w:rsidRPr="006340F9">
        <w:t>C</w:t>
      </w:r>
      <w:r w:rsidR="00AD5E0E" w:rsidRPr="006340F9">
        <w:t xml:space="preserve">apital </w:t>
      </w:r>
      <w:r w:rsidR="00274B51" w:rsidRPr="006340F9">
        <w:t>T</w:t>
      </w:r>
      <w:r w:rsidR="00AD5E0E" w:rsidRPr="006340F9">
        <w:t>erritory</w:t>
      </w:r>
      <w:r w:rsidR="00274B51" w:rsidRPr="006340F9">
        <w:t xml:space="preserve">, Queensland and Victoria </w:t>
      </w:r>
      <w:r w:rsidR="009E4FF6" w:rsidRPr="006340F9">
        <w:t>underwent</w:t>
      </w:r>
      <w:r w:rsidR="00274B51" w:rsidRPr="006340F9">
        <w:t xml:space="preserve"> </w:t>
      </w:r>
      <w:r w:rsidR="00E4040B" w:rsidRPr="006340F9">
        <w:t>reform</w:t>
      </w:r>
      <w:r w:rsidR="009E4FF6" w:rsidRPr="006340F9">
        <w:t xml:space="preserve"> of</w:t>
      </w:r>
      <w:r w:rsidR="00E4040B" w:rsidRPr="006340F9">
        <w:t xml:space="preserve"> </w:t>
      </w:r>
      <w:r w:rsidR="00EF4812" w:rsidRPr="006340F9">
        <w:t xml:space="preserve">their </w:t>
      </w:r>
      <w:r w:rsidR="00DB7BB6" w:rsidRPr="006340F9">
        <w:t>ART legislation</w:t>
      </w:r>
      <w:r w:rsidR="006E70A8" w:rsidRPr="006340F9">
        <w:t xml:space="preserve"> in 2024</w:t>
      </w:r>
      <w:r w:rsidR="00B2094F" w:rsidRPr="006340F9">
        <w:t>.</w:t>
      </w:r>
      <w:r w:rsidR="008E4B51" w:rsidRPr="006340F9">
        <w:t xml:space="preserve"> The </w:t>
      </w:r>
      <w:r w:rsidR="00B2094F" w:rsidRPr="006340F9">
        <w:t xml:space="preserve">new </w:t>
      </w:r>
      <w:r w:rsidR="008E4B51" w:rsidRPr="006340F9">
        <w:t>A</w:t>
      </w:r>
      <w:r w:rsidR="00AD5E0E" w:rsidRPr="006340F9">
        <w:t xml:space="preserve">ustralian </w:t>
      </w:r>
      <w:r w:rsidR="008E4B51" w:rsidRPr="006340F9">
        <w:t>C</w:t>
      </w:r>
      <w:r w:rsidR="00AD5E0E" w:rsidRPr="006340F9">
        <w:t xml:space="preserve">apital </w:t>
      </w:r>
      <w:r w:rsidR="008E4B51" w:rsidRPr="006340F9">
        <w:t>T</w:t>
      </w:r>
      <w:r w:rsidR="00AD5E0E" w:rsidRPr="006340F9">
        <w:t>erritory</w:t>
      </w:r>
      <w:r w:rsidR="008E4B51" w:rsidRPr="006340F9">
        <w:t xml:space="preserve"> legislation came into effect </w:t>
      </w:r>
      <w:r w:rsidR="00E259A4" w:rsidRPr="006340F9">
        <w:t xml:space="preserve">earlier </w:t>
      </w:r>
      <w:r w:rsidR="00520DB9" w:rsidRPr="006340F9">
        <w:t>this year</w:t>
      </w:r>
      <w:r w:rsidR="00B2094F" w:rsidRPr="006340F9">
        <w:t>, while</w:t>
      </w:r>
      <w:r w:rsidR="00DB7BB6" w:rsidRPr="006340F9">
        <w:t xml:space="preserve"> the </w:t>
      </w:r>
      <w:r w:rsidR="006E2B4D" w:rsidRPr="006340F9">
        <w:t>new</w:t>
      </w:r>
      <w:r w:rsidR="00DB7BB6" w:rsidRPr="006340F9">
        <w:t xml:space="preserve"> Queensland </w:t>
      </w:r>
      <w:r w:rsidR="00B2094F" w:rsidRPr="006340F9">
        <w:t>legislation</w:t>
      </w:r>
      <w:r w:rsidR="007C3F09" w:rsidRPr="006340F9">
        <w:t xml:space="preserve"> is </w:t>
      </w:r>
      <w:r w:rsidR="0014306C" w:rsidRPr="006340F9">
        <w:t xml:space="preserve">commencing in stages, with </w:t>
      </w:r>
      <w:r w:rsidR="000D0604" w:rsidRPr="006340F9">
        <w:t xml:space="preserve">its new licensing </w:t>
      </w:r>
      <w:r w:rsidR="00D02865" w:rsidRPr="006340F9">
        <w:t xml:space="preserve">scheme </w:t>
      </w:r>
      <w:r w:rsidR="00AD5E0E" w:rsidRPr="006340F9">
        <w:t>to</w:t>
      </w:r>
      <w:r w:rsidR="00D02865" w:rsidRPr="006340F9">
        <w:t xml:space="preserve"> come into effect from March 2026.</w:t>
      </w:r>
      <w:r w:rsidR="006E2B4D" w:rsidRPr="006340F9">
        <w:t xml:space="preserve"> The Victorian reforms</w:t>
      </w:r>
      <w:r w:rsidR="00461153" w:rsidRPr="006340F9">
        <w:t xml:space="preserve"> came into effect on 1 January 2025.</w:t>
      </w:r>
      <w:r w:rsidR="003E034D" w:rsidRPr="006340F9">
        <w:t xml:space="preserve"> </w:t>
      </w:r>
      <w:r w:rsidR="00DB512A" w:rsidRPr="006340F9">
        <w:t>Additionally, as of the date of this report, t</w:t>
      </w:r>
      <w:r w:rsidR="003E034D" w:rsidRPr="006340F9">
        <w:t xml:space="preserve">he Western Australian Parliament is debating </w:t>
      </w:r>
      <w:r w:rsidR="00E164CD" w:rsidRPr="006340F9">
        <w:t xml:space="preserve">the Assisted Reproductive Technology and Surrogacy Bill 2025, which </w:t>
      </w:r>
      <w:r w:rsidR="0001764E" w:rsidRPr="006340F9">
        <w:t>would repeal current legislation.</w:t>
      </w:r>
    </w:p>
    <w:p w14:paraId="475D0204" w14:textId="690CB6D1" w:rsidR="005C554F" w:rsidRPr="006340F9" w:rsidRDefault="005C554F" w:rsidP="004600B7">
      <w:pPr>
        <w:pStyle w:val="Heading3"/>
      </w:pPr>
      <w:r w:rsidRPr="006340F9">
        <w:t>Australian Health Practitioner Regulation Agency</w:t>
      </w:r>
    </w:p>
    <w:p w14:paraId="5623348F" w14:textId="7527FE52" w:rsidR="005C554F" w:rsidRPr="006340F9" w:rsidRDefault="002C3197" w:rsidP="00B7757E">
      <w:pPr>
        <w:pStyle w:val="Body"/>
      </w:pPr>
      <w:r w:rsidRPr="006340F9">
        <w:t>The Australian Health Practitioner Regulation Agency (</w:t>
      </w:r>
      <w:proofErr w:type="spellStart"/>
      <w:r w:rsidRPr="006340F9">
        <w:t>Ahpra</w:t>
      </w:r>
      <w:proofErr w:type="spellEnd"/>
      <w:r w:rsidRPr="006340F9">
        <w:t xml:space="preserve">) </w:t>
      </w:r>
      <w:r w:rsidR="005C554F" w:rsidRPr="006340F9">
        <w:t>is responsible for the nationwide registration and regulation of health professionals</w:t>
      </w:r>
      <w:r w:rsidR="00AC7C8E" w:rsidRPr="006340F9">
        <w:t xml:space="preserve"> working in ART units</w:t>
      </w:r>
      <w:r w:rsidR="005C554F" w:rsidRPr="006340F9">
        <w:t>, including medical practitioners, nurses</w:t>
      </w:r>
      <w:r w:rsidR="00C714F7" w:rsidRPr="006340F9">
        <w:t xml:space="preserve">, </w:t>
      </w:r>
      <w:r w:rsidR="005C554F" w:rsidRPr="006340F9">
        <w:t xml:space="preserve">midwives, and psychologists. Regulation of registered health practitioners is undertaken by </w:t>
      </w:r>
      <w:proofErr w:type="spellStart"/>
      <w:r w:rsidR="005C554F" w:rsidRPr="006340F9">
        <w:t>Ahpra</w:t>
      </w:r>
      <w:proofErr w:type="spellEnd"/>
      <w:r w:rsidR="005C554F" w:rsidRPr="006340F9">
        <w:t xml:space="preserve"> through the NRAS </w:t>
      </w:r>
      <w:r w:rsidR="0024744E" w:rsidRPr="006340F9">
        <w:t xml:space="preserve">that is </w:t>
      </w:r>
      <w:r w:rsidR="005C554F" w:rsidRPr="006340F9">
        <w:t xml:space="preserve">legislated nationally. The NRAS </w:t>
      </w:r>
      <w:r w:rsidR="00575C1C" w:rsidRPr="006340F9">
        <w:t xml:space="preserve">defines which health professionals are regulated by </w:t>
      </w:r>
      <w:proofErr w:type="spellStart"/>
      <w:r w:rsidR="00575C1C" w:rsidRPr="006340F9">
        <w:t>Ahpra</w:t>
      </w:r>
      <w:proofErr w:type="spellEnd"/>
      <w:r w:rsidR="00575C1C" w:rsidRPr="006340F9">
        <w:t xml:space="preserve"> and </w:t>
      </w:r>
      <w:r w:rsidR="005C554F" w:rsidRPr="006340F9">
        <w:t>does not extend to some key ART personnel, including embryologists, laboratory managers, counsellors</w:t>
      </w:r>
      <w:r w:rsidR="00995F2F" w:rsidRPr="006340F9">
        <w:t>,</w:t>
      </w:r>
      <w:r w:rsidR="005C554F" w:rsidRPr="006340F9">
        <w:t xml:space="preserve"> and quality managers.</w:t>
      </w:r>
      <w:r w:rsidR="005C554F" w:rsidRPr="006340F9">
        <w:rPr>
          <w:vertAlign w:val="superscript"/>
        </w:rPr>
        <w:t xml:space="preserve"> </w:t>
      </w:r>
    </w:p>
    <w:p w14:paraId="1FA43B60" w14:textId="524A72AF" w:rsidR="005C554F" w:rsidRPr="006340F9" w:rsidRDefault="005C554F" w:rsidP="00B7757E">
      <w:pPr>
        <w:pStyle w:val="Body"/>
      </w:pPr>
      <w:r w:rsidRPr="006340F9">
        <w:t xml:space="preserve">For </w:t>
      </w:r>
      <w:r w:rsidR="00995F2F" w:rsidRPr="006340F9">
        <w:t>those workforces not regulated</w:t>
      </w:r>
      <w:r w:rsidRPr="006340F9">
        <w:t xml:space="preserve"> through </w:t>
      </w:r>
      <w:proofErr w:type="spellStart"/>
      <w:r w:rsidRPr="006340F9">
        <w:t>Ahpra</w:t>
      </w:r>
      <w:r w:rsidR="00995F2F" w:rsidRPr="006340F9">
        <w:t>’s</w:t>
      </w:r>
      <w:proofErr w:type="spellEnd"/>
      <w:r w:rsidR="00995F2F" w:rsidRPr="006340F9">
        <w:t xml:space="preserve"> NRAS</w:t>
      </w:r>
      <w:r w:rsidRPr="006340F9">
        <w:t xml:space="preserve">, the ART sector relies on other mechanisms to ensure quality and safety: </w:t>
      </w:r>
    </w:p>
    <w:p w14:paraId="7A869B27" w14:textId="64B9149B" w:rsidR="005C554F" w:rsidRPr="006340F9" w:rsidRDefault="00614F78" w:rsidP="00730983">
      <w:pPr>
        <w:pStyle w:val="Bullet1"/>
        <w:ind w:left="284" w:hanging="284"/>
      </w:pPr>
      <w:r w:rsidRPr="006340F9">
        <w:t>T</w:t>
      </w:r>
      <w:r w:rsidR="005C554F" w:rsidRPr="006340F9">
        <w:t>he Code of Practice requires ART</w:t>
      </w:r>
      <w:r w:rsidR="005C554F" w:rsidRPr="006340F9" w:rsidDel="000D2FC0">
        <w:t xml:space="preserve"> </w:t>
      </w:r>
      <w:r w:rsidR="005C554F" w:rsidRPr="006340F9">
        <w:t xml:space="preserve">units to ensure that </w:t>
      </w:r>
      <w:r w:rsidR="00B2247E" w:rsidRPr="006340F9">
        <w:t>all staff are authorised to perform the functions they have been employed to carry out,</w:t>
      </w:r>
      <w:r w:rsidR="00B2247E" w:rsidRPr="006340F9">
        <w:rPr>
          <w:rStyle w:val="FootnoteReference"/>
        </w:rPr>
        <w:footnoteReference w:id="57"/>
      </w:r>
      <w:r w:rsidR="00B2247E" w:rsidRPr="006340F9">
        <w:t xml:space="preserve"> with specific qualification, training, education</w:t>
      </w:r>
      <w:r w:rsidR="00995F2F" w:rsidRPr="006340F9">
        <w:t>,</w:t>
      </w:r>
      <w:r w:rsidR="00B2247E" w:rsidRPr="006340F9">
        <w:t xml:space="preserve"> and experience requirements for several key personnel.</w:t>
      </w:r>
      <w:r w:rsidR="00B2247E" w:rsidRPr="006340F9">
        <w:rPr>
          <w:rStyle w:val="FootnoteReference"/>
        </w:rPr>
        <w:footnoteReference w:id="58"/>
      </w:r>
      <w:r w:rsidR="00F841AC" w:rsidRPr="006340F9">
        <w:t xml:space="preserve"> </w:t>
      </w:r>
      <w:r w:rsidR="005C554F" w:rsidRPr="006340F9">
        <w:t xml:space="preserve">As with other Code of </w:t>
      </w:r>
      <w:r w:rsidR="005C554F" w:rsidRPr="006340F9">
        <w:lastRenderedPageBreak/>
        <w:t>Practice requirements, adherence to these standards is audited annually</w:t>
      </w:r>
      <w:r w:rsidR="00995F2F" w:rsidRPr="006340F9">
        <w:t xml:space="preserve"> by a certifying body</w:t>
      </w:r>
      <w:r w:rsidR="005C554F" w:rsidRPr="006340F9">
        <w:t>.</w:t>
      </w:r>
    </w:p>
    <w:p w14:paraId="18FB19BC" w14:textId="18551849" w:rsidR="005C554F" w:rsidRPr="006340F9" w:rsidRDefault="00614F78" w:rsidP="00730983">
      <w:pPr>
        <w:pStyle w:val="Bullet1"/>
        <w:ind w:left="284" w:hanging="284"/>
      </w:pPr>
      <w:r w:rsidRPr="006340F9">
        <w:t>T</w:t>
      </w:r>
      <w:r w:rsidR="005C554F" w:rsidRPr="006340F9">
        <w:t xml:space="preserve">he National Code of Conduct for </w:t>
      </w:r>
      <w:r w:rsidR="008F5EA5" w:rsidRPr="006340F9">
        <w:t>h</w:t>
      </w:r>
      <w:r w:rsidR="005C554F" w:rsidRPr="006340F9">
        <w:t>ealth</w:t>
      </w:r>
      <w:r w:rsidR="00B24E25" w:rsidRPr="006340F9">
        <w:t xml:space="preserve"> </w:t>
      </w:r>
      <w:r w:rsidR="008F5EA5" w:rsidRPr="006340F9">
        <w:t>c</w:t>
      </w:r>
      <w:r w:rsidR="005C554F" w:rsidRPr="006340F9">
        <w:t xml:space="preserve">are </w:t>
      </w:r>
      <w:r w:rsidR="008F5EA5" w:rsidRPr="006340F9">
        <w:t>w</w:t>
      </w:r>
      <w:r w:rsidR="005C554F" w:rsidRPr="006340F9">
        <w:t>orkers applies to all unregistered health care workers in Australia and sets out minimum practice</w:t>
      </w:r>
      <w:r w:rsidR="00AE3485" w:rsidRPr="006340F9">
        <w:t xml:space="preserve"> and ethical standards</w:t>
      </w:r>
      <w:r w:rsidR="005C554F" w:rsidRPr="006340F9">
        <w:rPr>
          <w:rStyle w:val="BodyChar"/>
        </w:rPr>
        <w:t>.</w:t>
      </w:r>
      <w:r w:rsidR="005C554F" w:rsidRPr="006340F9">
        <w:rPr>
          <w:rStyle w:val="BodyChar"/>
          <w:vertAlign w:val="superscript"/>
        </w:rPr>
        <w:footnoteReference w:id="59"/>
      </w:r>
    </w:p>
    <w:p w14:paraId="741710CB" w14:textId="225F09D1" w:rsidR="005C554F" w:rsidRPr="006340F9" w:rsidRDefault="005C554F" w:rsidP="00730983">
      <w:pPr>
        <w:pStyle w:val="Bullet1"/>
        <w:ind w:left="284" w:hanging="284"/>
      </w:pPr>
      <w:r w:rsidRPr="006340F9">
        <w:t>Organisational policies specify necessary qualifications, experience and professional development obligation</w:t>
      </w:r>
      <w:r w:rsidRPr="006340F9">
        <w:rPr>
          <w:rStyle w:val="BodyChar"/>
        </w:rPr>
        <w:t>s.</w:t>
      </w:r>
      <w:r w:rsidRPr="006340F9">
        <w:rPr>
          <w:rStyle w:val="BodyChar"/>
          <w:vertAlign w:val="superscript"/>
        </w:rPr>
        <w:footnoteReference w:id="60"/>
      </w:r>
      <w:r w:rsidRPr="006340F9">
        <w:rPr>
          <w:vertAlign w:val="superscript"/>
        </w:rPr>
        <w:t xml:space="preserve"> </w:t>
      </w:r>
    </w:p>
    <w:p w14:paraId="33EC313C" w14:textId="17A71859" w:rsidR="005C554F" w:rsidRPr="006340F9" w:rsidRDefault="005C554F" w:rsidP="004600B7">
      <w:pPr>
        <w:pStyle w:val="Heading3"/>
      </w:pPr>
      <w:r w:rsidRPr="006340F9">
        <w:t xml:space="preserve">Australian Commission on Safety and Quality in Health Care </w:t>
      </w:r>
    </w:p>
    <w:p w14:paraId="471A5846" w14:textId="6E017988" w:rsidR="005F5FC4" w:rsidRPr="006340F9" w:rsidRDefault="005C554F" w:rsidP="00B7757E">
      <w:pPr>
        <w:pStyle w:val="Body"/>
      </w:pPr>
      <w:r w:rsidRPr="006340F9">
        <w:t>The Australian Commission on Safety and Quality in Health Care</w:t>
      </w:r>
      <w:r w:rsidRPr="006340F9">
        <w:rPr>
          <w:b/>
        </w:rPr>
        <w:t xml:space="preserve"> </w:t>
      </w:r>
      <w:r w:rsidRPr="006340F9">
        <w:t>(</w:t>
      </w:r>
      <w:r w:rsidR="005664E2" w:rsidRPr="006340F9">
        <w:t>the Commission</w:t>
      </w:r>
      <w:r w:rsidRPr="006340F9">
        <w:t xml:space="preserve">) is responsible for overseeing the accreditation of healthcare facilities </w:t>
      </w:r>
      <w:r w:rsidR="00D628F3" w:rsidRPr="006340F9">
        <w:t>including</w:t>
      </w:r>
      <w:r w:rsidRPr="006340F9">
        <w:t xml:space="preserve"> health services</w:t>
      </w:r>
      <w:r w:rsidR="00424AE1" w:rsidRPr="006340F9">
        <w:t xml:space="preserve">; </w:t>
      </w:r>
      <w:r w:rsidR="003D6BE4" w:rsidRPr="006340F9">
        <w:t>public</w:t>
      </w:r>
      <w:r w:rsidR="00424AE1" w:rsidRPr="006340F9">
        <w:t xml:space="preserve">, </w:t>
      </w:r>
      <w:r w:rsidR="003D6BE4" w:rsidRPr="006340F9">
        <w:t>private</w:t>
      </w:r>
      <w:r w:rsidR="00424AE1" w:rsidRPr="006340F9">
        <w:t xml:space="preserve"> and day</w:t>
      </w:r>
      <w:r w:rsidRPr="006340F9">
        <w:t xml:space="preserve"> hospitals</w:t>
      </w:r>
      <w:r w:rsidR="00424AE1" w:rsidRPr="006340F9">
        <w:t>;</w:t>
      </w:r>
      <w:r w:rsidR="003D6BE4" w:rsidRPr="006340F9">
        <w:t xml:space="preserve"> </w:t>
      </w:r>
      <w:r w:rsidR="003E2F26" w:rsidRPr="006340F9">
        <w:t xml:space="preserve">and </w:t>
      </w:r>
      <w:r w:rsidRPr="006340F9">
        <w:t xml:space="preserve">cosmetic surgery clinics. </w:t>
      </w:r>
      <w:r w:rsidR="005F5FC4" w:rsidRPr="006340F9">
        <w:t xml:space="preserve">The Commission is governed by the </w:t>
      </w:r>
      <w:r w:rsidR="005F5FC4" w:rsidRPr="006340F9">
        <w:rPr>
          <w:i/>
          <w:iCs/>
        </w:rPr>
        <w:t xml:space="preserve">National Health Reform Act 2011 </w:t>
      </w:r>
      <w:r w:rsidR="005F5FC4" w:rsidRPr="006340F9">
        <w:t>(</w:t>
      </w:r>
      <w:proofErr w:type="spellStart"/>
      <w:r w:rsidR="005F5FC4" w:rsidRPr="006340F9">
        <w:t>Cth</w:t>
      </w:r>
      <w:proofErr w:type="spellEnd"/>
      <w:r w:rsidR="005F5FC4" w:rsidRPr="006340F9">
        <w:t>)</w:t>
      </w:r>
      <w:r w:rsidR="005F5FC4" w:rsidRPr="006340F9">
        <w:rPr>
          <w:i/>
          <w:iCs/>
        </w:rPr>
        <w:t xml:space="preserve"> </w:t>
      </w:r>
      <w:r w:rsidR="005F5FC4" w:rsidRPr="006340F9">
        <w:t xml:space="preserve">and is accountable to the Australian parliament through the </w:t>
      </w:r>
      <w:proofErr w:type="gramStart"/>
      <w:r w:rsidR="005F5FC4" w:rsidRPr="006340F9">
        <w:t>Commonwealth Minister</w:t>
      </w:r>
      <w:proofErr w:type="gramEnd"/>
      <w:r w:rsidR="005F5FC4" w:rsidRPr="006340F9">
        <w:t xml:space="preserve"> for Health, Disability and Ageing. It is funded jointly by the Australian Government and </w:t>
      </w:r>
      <w:r w:rsidR="00A25923" w:rsidRPr="006340F9">
        <w:rPr>
          <w:bCs/>
        </w:rPr>
        <w:t>State</w:t>
      </w:r>
      <w:r w:rsidR="005F5FC4" w:rsidRPr="006340F9">
        <w:t xml:space="preserve"> and </w:t>
      </w:r>
      <w:r w:rsidR="00A25923" w:rsidRPr="006340F9">
        <w:rPr>
          <w:bCs/>
        </w:rPr>
        <w:t>Territory</w:t>
      </w:r>
      <w:r w:rsidR="005F5FC4" w:rsidRPr="006340F9">
        <w:t xml:space="preserve"> governments</w:t>
      </w:r>
      <w:r w:rsidR="005F5FC4" w:rsidRPr="006340F9">
        <w:rPr>
          <w:i/>
          <w:iCs/>
        </w:rPr>
        <w:t xml:space="preserve">. </w:t>
      </w:r>
    </w:p>
    <w:p w14:paraId="44488615" w14:textId="7EBA2258" w:rsidR="00FE3027" w:rsidRPr="006340F9" w:rsidRDefault="005C554F" w:rsidP="00B7757E">
      <w:pPr>
        <w:pStyle w:val="Body"/>
      </w:pPr>
      <w:r w:rsidRPr="006340F9">
        <w:t xml:space="preserve">The </w:t>
      </w:r>
      <w:r w:rsidR="00B14136" w:rsidRPr="006340F9">
        <w:t>Commission</w:t>
      </w:r>
      <w:r w:rsidRPr="006340F9">
        <w:t xml:space="preserve"> develops and maintains the National Safety and Quality Health Service (NSQHS) Standards against which health</w:t>
      </w:r>
      <w:r w:rsidR="008356CD" w:rsidRPr="006340F9">
        <w:t>care</w:t>
      </w:r>
      <w:r w:rsidRPr="006340F9">
        <w:t xml:space="preserve"> facilities are accredited. While ART units are not covered by the NSQHS Standards, ART providers that operate day hospital facilities fall within its remit.</w:t>
      </w:r>
      <w:r w:rsidR="007729EB" w:rsidRPr="006340F9">
        <w:t xml:space="preserve"> </w:t>
      </w:r>
    </w:p>
    <w:p w14:paraId="6289DF4D" w14:textId="4F8CFA9C" w:rsidR="005C554F" w:rsidRPr="006340F9" w:rsidRDefault="005C554F" w:rsidP="00B7757E">
      <w:pPr>
        <w:pStyle w:val="Body"/>
      </w:pPr>
      <w:r w:rsidRPr="006340F9">
        <w:t>Accreditation of healthcare facilities</w:t>
      </w:r>
      <w:r w:rsidR="00AB0C81" w:rsidRPr="006340F9">
        <w:t xml:space="preserve"> to the NSQHS Standards</w:t>
      </w:r>
      <w:r w:rsidRPr="006340F9">
        <w:t xml:space="preserve"> is undertaken by one of six </w:t>
      </w:r>
      <w:r w:rsidR="00BE4AD7" w:rsidRPr="006340F9">
        <w:t>accrediting</w:t>
      </w:r>
      <w:r w:rsidR="00946924" w:rsidRPr="006340F9">
        <w:t xml:space="preserve"> </w:t>
      </w:r>
      <w:r w:rsidR="00B34B93" w:rsidRPr="006340F9">
        <w:t>agencies that</w:t>
      </w:r>
      <w:r w:rsidR="00327096" w:rsidRPr="006340F9">
        <w:t xml:space="preserve"> are approved by the Commission</w:t>
      </w:r>
      <w:r w:rsidRPr="006340F9">
        <w:t xml:space="preserve">, of which Global-Mark and Certified Partner Global are two. The </w:t>
      </w:r>
      <w:r w:rsidR="00B14136" w:rsidRPr="006340F9">
        <w:t>Commission</w:t>
      </w:r>
      <w:r w:rsidRPr="006340F9">
        <w:t xml:space="preserve"> is responsible for overseeing the performance of these agencies, including checking on the quality of their </w:t>
      </w:r>
      <w:r w:rsidR="00264934" w:rsidRPr="006340F9">
        <w:t xml:space="preserve">assessment </w:t>
      </w:r>
      <w:r w:rsidRPr="006340F9">
        <w:t xml:space="preserve">processes and reports. </w:t>
      </w:r>
      <w:r w:rsidR="00507365" w:rsidRPr="006340F9">
        <w:t>As part of</w:t>
      </w:r>
      <w:r w:rsidR="00765F3A" w:rsidRPr="006340F9">
        <w:t xml:space="preserve"> the Australian </w:t>
      </w:r>
      <w:r w:rsidR="00E846F1" w:rsidRPr="006340F9">
        <w:t>H</w:t>
      </w:r>
      <w:r w:rsidR="00765F3A" w:rsidRPr="006340F9">
        <w:t>ealth Service Safety and Quality Accreditation Scheme</w:t>
      </w:r>
      <w:r w:rsidR="00D7317A" w:rsidRPr="006340F9">
        <w:t xml:space="preserve">, </w:t>
      </w:r>
      <w:r w:rsidR="00507365" w:rsidRPr="006340F9">
        <w:t xml:space="preserve">the Commission is also required </w:t>
      </w:r>
      <w:r w:rsidR="00D7317A" w:rsidRPr="006340F9">
        <w:t>to share</w:t>
      </w:r>
      <w:r w:rsidR="00FC687F" w:rsidRPr="006340F9">
        <w:t xml:space="preserve"> accreditation failure or issues with jurisdictions and </w:t>
      </w:r>
      <w:r w:rsidR="00706E29" w:rsidRPr="006340F9">
        <w:t>publish</w:t>
      </w:r>
      <w:r w:rsidR="00FC687F" w:rsidRPr="006340F9">
        <w:t xml:space="preserve"> accreditation outcomes</w:t>
      </w:r>
      <w:r w:rsidR="009241C1" w:rsidRPr="006340F9">
        <w:t xml:space="preserve">, </w:t>
      </w:r>
      <w:r w:rsidR="00A5522D" w:rsidRPr="006340F9">
        <w:t>including</w:t>
      </w:r>
      <w:r w:rsidR="009241C1" w:rsidRPr="006340F9">
        <w:t xml:space="preserve"> assessment </w:t>
      </w:r>
      <w:r w:rsidR="00E94217" w:rsidRPr="006340F9">
        <w:t xml:space="preserve">results </w:t>
      </w:r>
      <w:r w:rsidR="009241C1" w:rsidRPr="006340F9">
        <w:t>against the NSQHS Standards</w:t>
      </w:r>
      <w:r w:rsidR="00A5522D" w:rsidRPr="006340F9">
        <w:t>,</w:t>
      </w:r>
      <w:r w:rsidR="00FC687F" w:rsidRPr="006340F9">
        <w:t xml:space="preserve"> on their website</w:t>
      </w:r>
      <w:r w:rsidRPr="006340F9">
        <w:t>.</w:t>
      </w:r>
      <w:r w:rsidR="002434B3" w:rsidRPr="006340F9">
        <w:rPr>
          <w:rStyle w:val="FootnoteReference"/>
        </w:rPr>
        <w:footnoteReference w:id="61"/>
      </w:r>
      <w:r w:rsidRPr="006340F9">
        <w:t xml:space="preserve"> The </w:t>
      </w:r>
      <w:r w:rsidR="00B14136" w:rsidRPr="006340F9">
        <w:t>Commission</w:t>
      </w:r>
      <w:r w:rsidRPr="006340F9">
        <w:t xml:space="preserve"> does not undertake this function for audits of ART units.</w:t>
      </w:r>
      <w:r w:rsidR="00FC6EEC" w:rsidRPr="006340F9">
        <w:t xml:space="preserve"> </w:t>
      </w:r>
    </w:p>
    <w:p w14:paraId="5E487259" w14:textId="3E8D3BCC" w:rsidR="005C554F" w:rsidRPr="006340F9" w:rsidRDefault="00CF3D26" w:rsidP="00B7757E">
      <w:pPr>
        <w:pStyle w:val="Body"/>
      </w:pPr>
      <w:r w:rsidRPr="006340F9">
        <w:t xml:space="preserve">The </w:t>
      </w:r>
      <w:r w:rsidR="00B14136" w:rsidRPr="006340F9">
        <w:t>Commission</w:t>
      </w:r>
      <w:r w:rsidR="005C554F" w:rsidRPr="006340F9">
        <w:t xml:space="preserve"> </w:t>
      </w:r>
      <w:r w:rsidR="001111F9" w:rsidRPr="006340F9">
        <w:t>is</w:t>
      </w:r>
      <w:r w:rsidR="005C554F" w:rsidRPr="006340F9">
        <w:t xml:space="preserve"> not a </w:t>
      </w:r>
      <w:r w:rsidR="001111F9" w:rsidRPr="006340F9">
        <w:t>regulator</w:t>
      </w:r>
      <w:r w:rsidR="00DC3644" w:rsidRPr="006340F9">
        <w:t>.</w:t>
      </w:r>
      <w:r w:rsidR="005C554F" w:rsidRPr="006340F9">
        <w:t xml:space="preserve"> The </w:t>
      </w:r>
      <w:r w:rsidR="00B14136" w:rsidRPr="006340F9">
        <w:t>Commission</w:t>
      </w:r>
      <w:r w:rsidR="005C554F" w:rsidRPr="006340F9">
        <w:t xml:space="preserve"> develops the NSQHS Standards, which are implemented and enforced by jurisdictions. </w:t>
      </w:r>
      <w:r w:rsidRPr="006340F9">
        <w:t xml:space="preserve">The </w:t>
      </w:r>
      <w:r w:rsidR="00B14136" w:rsidRPr="006340F9">
        <w:t>Commission</w:t>
      </w:r>
      <w:r w:rsidR="005C554F" w:rsidRPr="006340F9">
        <w:t xml:space="preserve"> communicates with states and territories through the Inter-Jurisdictional Committee</w:t>
      </w:r>
      <w:r w:rsidR="00864F6D" w:rsidRPr="006340F9">
        <w:t xml:space="preserve"> (IJC)</w:t>
      </w:r>
      <w:r w:rsidR="005C554F" w:rsidRPr="006340F9">
        <w:t xml:space="preserve">, comprising safety and quality officials from Commonwealth, </w:t>
      </w:r>
      <w:r w:rsidR="00A83F6F" w:rsidRPr="006340F9">
        <w:rPr>
          <w:bCs/>
        </w:rPr>
        <w:t>State and Territory</w:t>
      </w:r>
      <w:r w:rsidR="00A83F6F" w:rsidRPr="006340F9" w:rsidDel="00A83F6F">
        <w:t xml:space="preserve"> </w:t>
      </w:r>
      <w:r w:rsidR="005C554F" w:rsidRPr="006340F9">
        <w:t>health agencies. Th</w:t>
      </w:r>
      <w:r w:rsidR="00384507" w:rsidRPr="006340F9">
        <w:t>e IJC</w:t>
      </w:r>
      <w:r w:rsidR="005C554F" w:rsidRPr="006340F9" w:rsidDel="00384507">
        <w:t xml:space="preserve"> </w:t>
      </w:r>
      <w:r w:rsidR="005C554F" w:rsidRPr="006340F9">
        <w:t xml:space="preserve">meets regularly to provide advice to </w:t>
      </w:r>
      <w:r w:rsidRPr="006340F9">
        <w:t xml:space="preserve">the </w:t>
      </w:r>
      <w:r w:rsidR="00B14136" w:rsidRPr="006340F9">
        <w:t>Commission</w:t>
      </w:r>
      <w:r w:rsidR="005C554F" w:rsidRPr="006340F9">
        <w:t xml:space="preserve"> and discuss its policies, programs, standards and guidelines.</w:t>
      </w:r>
      <w:r w:rsidR="005C554F" w:rsidRPr="006340F9">
        <w:rPr>
          <w:vertAlign w:val="superscript"/>
        </w:rPr>
        <w:footnoteReference w:id="62"/>
      </w:r>
      <w:r w:rsidR="005C554F" w:rsidRPr="006340F9">
        <w:rPr>
          <w:vertAlign w:val="superscript"/>
        </w:rPr>
        <w:t xml:space="preserve"> </w:t>
      </w:r>
      <w:r w:rsidR="005C554F" w:rsidRPr="006340F9">
        <w:t xml:space="preserve"> </w:t>
      </w:r>
    </w:p>
    <w:p w14:paraId="1C57B752" w14:textId="248A1D2B" w:rsidR="005C554F" w:rsidRPr="006340F9" w:rsidRDefault="005C554F" w:rsidP="004600B7">
      <w:pPr>
        <w:pStyle w:val="Heading3"/>
        <w:rPr>
          <w:sz w:val="21"/>
          <w:szCs w:val="21"/>
        </w:rPr>
      </w:pPr>
      <w:r w:rsidRPr="006340F9">
        <w:lastRenderedPageBreak/>
        <w:t>N</w:t>
      </w:r>
      <w:r w:rsidR="00CB0F1C" w:rsidRPr="006340F9">
        <w:t xml:space="preserve">ational </w:t>
      </w:r>
      <w:r w:rsidRPr="006340F9">
        <w:t>A</w:t>
      </w:r>
      <w:r w:rsidR="00CB0F1C" w:rsidRPr="006340F9">
        <w:t xml:space="preserve">ssociation of </w:t>
      </w:r>
      <w:r w:rsidRPr="006340F9">
        <w:t>T</w:t>
      </w:r>
      <w:r w:rsidR="00CB0F1C" w:rsidRPr="006340F9">
        <w:t xml:space="preserve">esting </w:t>
      </w:r>
      <w:r w:rsidR="00DF4CDF" w:rsidRPr="006340F9">
        <w:t>Authorities</w:t>
      </w:r>
    </w:p>
    <w:p w14:paraId="6C208959" w14:textId="4D529791" w:rsidR="005C554F" w:rsidRPr="006340F9" w:rsidRDefault="009E1E1B" w:rsidP="00B7757E">
      <w:pPr>
        <w:pStyle w:val="Body"/>
      </w:pPr>
      <w:r w:rsidRPr="006340F9">
        <w:t xml:space="preserve">For </w:t>
      </w:r>
      <w:r w:rsidR="003B4BF4" w:rsidRPr="006340F9">
        <w:t xml:space="preserve">an </w:t>
      </w:r>
      <w:r w:rsidR="00176107" w:rsidRPr="006340F9">
        <w:t xml:space="preserve">ART unit </w:t>
      </w:r>
      <w:r w:rsidR="003B4BF4" w:rsidRPr="006340F9">
        <w:t xml:space="preserve">to </w:t>
      </w:r>
      <w:r w:rsidR="00267F3A" w:rsidRPr="006340F9">
        <w:t>deliver</w:t>
      </w:r>
      <w:r w:rsidR="003B4BF4" w:rsidRPr="006340F9">
        <w:t xml:space="preserve"> </w:t>
      </w:r>
      <w:r w:rsidR="002C231B" w:rsidRPr="006340F9">
        <w:t>pathology</w:t>
      </w:r>
      <w:r w:rsidRPr="006340F9">
        <w:t xml:space="preserve"> services </w:t>
      </w:r>
      <w:r w:rsidR="003B4BF4" w:rsidRPr="006340F9">
        <w:t>that are</w:t>
      </w:r>
      <w:r w:rsidR="00A1238E" w:rsidRPr="006340F9">
        <w:t xml:space="preserve"> eligible for Medicare funding</w:t>
      </w:r>
      <w:r w:rsidR="005C554F" w:rsidRPr="006340F9">
        <w:t xml:space="preserve">, </w:t>
      </w:r>
      <w:r w:rsidR="009360D2" w:rsidRPr="006340F9">
        <w:t xml:space="preserve">Services Australia must approve </w:t>
      </w:r>
      <w:r w:rsidR="00A95741" w:rsidRPr="006340F9">
        <w:t>its</w:t>
      </w:r>
      <w:r w:rsidR="00F230F1" w:rsidRPr="006340F9">
        <w:t xml:space="preserve"> laboratory</w:t>
      </w:r>
      <w:r w:rsidR="005B2B31" w:rsidRPr="006340F9">
        <w:t xml:space="preserve"> </w:t>
      </w:r>
      <w:r w:rsidR="000B34C7" w:rsidRPr="006340F9">
        <w:t xml:space="preserve">as </w:t>
      </w:r>
      <w:r w:rsidR="00067BD7" w:rsidRPr="006340F9">
        <w:t>an Accredited Pathology Laboratory</w:t>
      </w:r>
      <w:r w:rsidR="00F230F1" w:rsidRPr="006340F9">
        <w:t>.</w:t>
      </w:r>
      <w:bookmarkStart w:id="65" w:name="_Ref207716551"/>
      <w:r w:rsidR="008C5F26" w:rsidRPr="006340F9">
        <w:rPr>
          <w:rStyle w:val="FootnoteReference"/>
        </w:rPr>
        <w:footnoteReference w:id="63"/>
      </w:r>
      <w:bookmarkEnd w:id="65"/>
      <w:r w:rsidR="00974BA1" w:rsidRPr="006340F9">
        <w:t xml:space="preserve"> </w:t>
      </w:r>
      <w:r w:rsidR="00F230F1" w:rsidRPr="006340F9">
        <w:t xml:space="preserve">This </w:t>
      </w:r>
      <w:r w:rsidR="00E30E4E" w:rsidRPr="006340F9">
        <w:t xml:space="preserve">requires </w:t>
      </w:r>
      <w:r w:rsidR="00596F7A" w:rsidRPr="006340F9">
        <w:t xml:space="preserve">the laboratory to meet several criteria, including </w:t>
      </w:r>
      <w:r w:rsidR="00E30E4E" w:rsidRPr="006340F9">
        <w:t xml:space="preserve">an advisory or assessment report from </w:t>
      </w:r>
      <w:r w:rsidR="0042373C" w:rsidRPr="006340F9">
        <w:t>the National Association of Testing Authorities (</w:t>
      </w:r>
      <w:r w:rsidR="005C554F" w:rsidRPr="006340F9">
        <w:t>NATA</w:t>
      </w:r>
      <w:r w:rsidR="0042373C" w:rsidRPr="006340F9">
        <w:t>)</w:t>
      </w:r>
      <w:r w:rsidR="00F02721" w:rsidRPr="006340F9">
        <w:t xml:space="preserve"> </w:t>
      </w:r>
      <w:r w:rsidR="006A5CFB" w:rsidRPr="006340F9">
        <w:t>that recommends</w:t>
      </w:r>
      <w:r w:rsidR="00F02721" w:rsidRPr="006340F9">
        <w:t xml:space="preserve"> Medicare accreditation.</w:t>
      </w:r>
      <w:r w:rsidR="00CA7289" w:rsidRPr="006340F9">
        <w:t xml:space="preserve"> </w:t>
      </w:r>
      <w:r w:rsidR="001610DC" w:rsidRPr="006340F9">
        <w:t>In undertaking this assessment,</w:t>
      </w:r>
      <w:r w:rsidR="00DC3367" w:rsidRPr="006340F9">
        <w:t xml:space="preserve"> NATA </w:t>
      </w:r>
      <w:r w:rsidR="001610DC" w:rsidRPr="006340F9">
        <w:t>evaluates</w:t>
      </w:r>
      <w:r w:rsidR="00D90D30" w:rsidRPr="006340F9">
        <w:t xml:space="preserve"> the</w:t>
      </w:r>
      <w:r w:rsidR="005C554F" w:rsidRPr="006340F9">
        <w:t xml:space="preserve"> laboratory </w:t>
      </w:r>
      <w:r w:rsidR="006A5CFB" w:rsidRPr="006340F9">
        <w:t>against the National Pathology Accreditation Advisory Council</w:t>
      </w:r>
      <w:r w:rsidR="00A63720" w:rsidRPr="006340F9">
        <w:t xml:space="preserve"> (NPAAC)</w:t>
      </w:r>
      <w:r w:rsidR="006A5CFB" w:rsidRPr="006340F9">
        <w:t xml:space="preserve"> standards.</w:t>
      </w:r>
      <w:r w:rsidR="005C554F" w:rsidRPr="006340F9">
        <w:t xml:space="preserve"> </w:t>
      </w:r>
      <w:r w:rsidR="000A5810" w:rsidRPr="006340F9">
        <w:t xml:space="preserve">Generally, </w:t>
      </w:r>
      <w:r w:rsidR="00AB7E99" w:rsidRPr="006340F9">
        <w:t xml:space="preserve">NATA accreditation must be </w:t>
      </w:r>
      <w:r w:rsidR="00B92765" w:rsidRPr="006340F9">
        <w:t>renewed</w:t>
      </w:r>
      <w:r w:rsidR="00AB7E99" w:rsidRPr="006340F9">
        <w:t xml:space="preserve"> every </w:t>
      </w:r>
      <w:r w:rsidR="00CB13B5" w:rsidRPr="006340F9">
        <w:t>four</w:t>
      </w:r>
      <w:r w:rsidR="00AB7E99" w:rsidRPr="006340F9">
        <w:t xml:space="preserve"> years</w:t>
      </w:r>
      <w:r w:rsidR="000A5810" w:rsidRPr="006340F9">
        <w:t xml:space="preserve"> following an on-site reassessment</w:t>
      </w:r>
      <w:r w:rsidR="00A63720" w:rsidRPr="006340F9">
        <w:t xml:space="preserve">, with accredited laboratories also subject to </w:t>
      </w:r>
      <w:r w:rsidR="00ED04F6" w:rsidRPr="006340F9">
        <w:t xml:space="preserve">an on-site </w:t>
      </w:r>
      <w:r w:rsidR="00A63720" w:rsidRPr="006340F9">
        <w:t xml:space="preserve">surveillance </w:t>
      </w:r>
      <w:r w:rsidR="00ED04F6" w:rsidRPr="006340F9">
        <w:t>visit</w:t>
      </w:r>
      <w:r w:rsidR="00A63720" w:rsidRPr="006340F9">
        <w:t xml:space="preserve"> during this period to ensure continued compliance with the NPAAC standards</w:t>
      </w:r>
      <w:r w:rsidR="00AB7E99" w:rsidRPr="006340F9">
        <w:t>.</w:t>
      </w:r>
      <w:r w:rsidR="000F09A4" w:rsidRPr="006340F9">
        <w:rPr>
          <w:rStyle w:val="FootnoteReference"/>
        </w:rPr>
        <w:footnoteReference w:id="64"/>
      </w:r>
    </w:p>
    <w:p w14:paraId="3741FCE4" w14:textId="36E3297E" w:rsidR="005C554F" w:rsidRPr="006340F9" w:rsidRDefault="005C554F" w:rsidP="004600B7">
      <w:pPr>
        <w:pStyle w:val="Heading3"/>
      </w:pPr>
      <w:r w:rsidRPr="006340F9">
        <w:t>Other legislation</w:t>
      </w:r>
    </w:p>
    <w:p w14:paraId="798F7D7B" w14:textId="77777777" w:rsidR="005C554F" w:rsidRPr="006340F9" w:rsidRDefault="005C554F" w:rsidP="00B7757E">
      <w:pPr>
        <w:pStyle w:val="Body"/>
      </w:pPr>
      <w:r w:rsidRPr="006340F9">
        <w:t>Other legislation, outside the scope of this rapid review, also interacts with the ART regulatory environment, including legislation relating to:</w:t>
      </w:r>
    </w:p>
    <w:p w14:paraId="10CDE2E7" w14:textId="49DD275C" w:rsidR="005C554F" w:rsidRPr="006340F9" w:rsidRDefault="00B613F8" w:rsidP="00DF4CDF">
      <w:pPr>
        <w:pStyle w:val="Bullet1"/>
      </w:pPr>
      <w:r w:rsidRPr="006340F9">
        <w:t>c</w:t>
      </w:r>
      <w:r w:rsidR="005C554F" w:rsidRPr="006340F9">
        <w:t>orporations law</w:t>
      </w:r>
    </w:p>
    <w:p w14:paraId="45867E47" w14:textId="443BCBF0" w:rsidR="005C554F" w:rsidRPr="006340F9" w:rsidRDefault="00B613F8" w:rsidP="00DF4CDF">
      <w:pPr>
        <w:pStyle w:val="Bullet1"/>
      </w:pPr>
      <w:r w:rsidRPr="006340F9">
        <w:t>f</w:t>
      </w:r>
      <w:r w:rsidR="005C554F" w:rsidRPr="006340F9">
        <w:t>amily law (surrogacy, birth registration, discrimination)</w:t>
      </w:r>
    </w:p>
    <w:p w14:paraId="53A732C6" w14:textId="450B9605" w:rsidR="005C554F" w:rsidRPr="006340F9" w:rsidRDefault="00B613F8" w:rsidP="00DF4CDF">
      <w:pPr>
        <w:pStyle w:val="Bullet1"/>
      </w:pPr>
      <w:r w:rsidRPr="006340F9">
        <w:t>a</w:t>
      </w:r>
      <w:r w:rsidR="005C554F" w:rsidRPr="006340F9">
        <w:t>dministrative procedures (information handling, complaints)</w:t>
      </w:r>
    </w:p>
    <w:p w14:paraId="5053AC9F" w14:textId="688723DE" w:rsidR="005C554F" w:rsidRPr="006340F9" w:rsidRDefault="00B613F8" w:rsidP="00DF4CDF">
      <w:pPr>
        <w:pStyle w:val="Bullet1"/>
      </w:pPr>
      <w:r w:rsidRPr="006340F9">
        <w:t>c</w:t>
      </w:r>
      <w:r w:rsidR="005C554F" w:rsidRPr="006340F9">
        <w:t>linical and research practices (customs regulations for importing gametes and embryos, human tissue and embryo handling, prohibitions against cloning)</w:t>
      </w:r>
      <w:r w:rsidR="00015212" w:rsidRPr="006340F9">
        <w:rPr>
          <w:rStyle w:val="BodyChar"/>
          <w:vertAlign w:val="superscript"/>
        </w:rPr>
        <w:footnoteReference w:id="65"/>
      </w:r>
    </w:p>
    <w:p w14:paraId="35122FAC" w14:textId="0140E89E" w:rsidR="005C554F" w:rsidRPr="006340F9" w:rsidRDefault="00B613F8" w:rsidP="00DF4CDF">
      <w:pPr>
        <w:pStyle w:val="Bullet1"/>
      </w:pPr>
      <w:r w:rsidRPr="006340F9">
        <w:t>c</w:t>
      </w:r>
      <w:r w:rsidR="005C554F" w:rsidRPr="006340F9">
        <w:t xml:space="preserve">ompetition and consumer law (providers are required to comply with obligations around guarantees of service quality, </w:t>
      </w:r>
      <w:r w:rsidR="00044F3D" w:rsidRPr="006340F9">
        <w:t>prohibition</w:t>
      </w:r>
      <w:r w:rsidR="00777183" w:rsidRPr="006340F9">
        <w:t xml:space="preserve"> of misleading </w:t>
      </w:r>
      <w:r w:rsidR="00E93702" w:rsidRPr="006340F9">
        <w:t>or</w:t>
      </w:r>
      <w:r w:rsidR="00777183" w:rsidRPr="006340F9">
        <w:t xml:space="preserve"> deceptive conduct</w:t>
      </w:r>
      <w:r w:rsidR="005C554F" w:rsidRPr="006340F9">
        <w:t>, and contracts and refunds).</w:t>
      </w:r>
    </w:p>
    <w:p w14:paraId="15BBA025" w14:textId="5127EC5D" w:rsidR="005C554F" w:rsidRPr="006340F9" w:rsidRDefault="005C554F" w:rsidP="0062093F">
      <w:pPr>
        <w:pStyle w:val="Heading2"/>
      </w:pPr>
      <w:bookmarkStart w:id="66" w:name="_Toc205489529"/>
      <w:bookmarkStart w:id="67" w:name="_Toc207262016"/>
      <w:bookmarkStart w:id="68" w:name="_Ref207975484"/>
      <w:bookmarkStart w:id="69" w:name="_Toc207976230"/>
      <w:bookmarkStart w:id="70" w:name="_Toc209441983"/>
      <w:r w:rsidRPr="006340F9">
        <w:t>Market entry</w:t>
      </w:r>
      <w:bookmarkEnd w:id="66"/>
      <w:bookmarkEnd w:id="67"/>
      <w:r w:rsidR="002647EC" w:rsidRPr="006340F9">
        <w:t xml:space="preserve"> – accreditation</w:t>
      </w:r>
      <w:bookmarkEnd w:id="68"/>
      <w:bookmarkEnd w:id="69"/>
      <w:bookmarkEnd w:id="70"/>
    </w:p>
    <w:p w14:paraId="59FB69EE" w14:textId="0647E64E" w:rsidR="005C554F" w:rsidRPr="006340F9" w:rsidRDefault="005C554F" w:rsidP="0088362D">
      <w:pPr>
        <w:pStyle w:val="Body"/>
      </w:pPr>
      <w:r w:rsidRPr="006340F9">
        <w:t>Market entry refers to the requirements that a</w:t>
      </w:r>
      <w:r w:rsidR="00193043" w:rsidRPr="006340F9">
        <w:t>n</w:t>
      </w:r>
      <w:r w:rsidRPr="006340F9">
        <w:t xml:space="preserve"> </w:t>
      </w:r>
      <w:r w:rsidR="00193043" w:rsidRPr="006340F9">
        <w:t>entity</w:t>
      </w:r>
      <w:r w:rsidRPr="006340F9">
        <w:t xml:space="preserve"> must meet to be able to commence service delivery. </w:t>
      </w:r>
      <w:r w:rsidR="00FA140C" w:rsidRPr="006340F9">
        <w:t>Accreditation is a process</w:t>
      </w:r>
      <w:r w:rsidR="00154BEE" w:rsidRPr="006340F9">
        <w:t xml:space="preserve"> conducted by an external body</w:t>
      </w:r>
      <w:r w:rsidR="00FA140C" w:rsidRPr="006340F9">
        <w:t xml:space="preserve"> that </w:t>
      </w:r>
      <w:r w:rsidR="00154BEE" w:rsidRPr="006340F9">
        <w:t xml:space="preserve">establishes whether </w:t>
      </w:r>
      <w:r w:rsidR="00FA140C" w:rsidRPr="006340F9">
        <w:t>an organisation meets the requirements of governing industry standards.</w:t>
      </w:r>
    </w:p>
    <w:p w14:paraId="1D1BBC09" w14:textId="7ED5C3D5" w:rsidR="005C554F" w:rsidRPr="006340F9" w:rsidRDefault="005C554F" w:rsidP="004600B7">
      <w:pPr>
        <w:pStyle w:val="Heading3"/>
      </w:pPr>
      <w:bookmarkStart w:id="71" w:name="_Providers_must_be"/>
      <w:bookmarkStart w:id="72" w:name="_Ref207283225"/>
      <w:bookmarkStart w:id="73" w:name="_Toc205489530"/>
      <w:bookmarkEnd w:id="71"/>
      <w:r w:rsidRPr="006340F9">
        <w:t>Providers must be accredited by RTAC to operate in the sector</w:t>
      </w:r>
      <w:bookmarkEnd w:id="72"/>
      <w:r w:rsidRPr="006340F9">
        <w:t xml:space="preserve"> </w:t>
      </w:r>
      <w:bookmarkEnd w:id="73"/>
    </w:p>
    <w:p w14:paraId="4C096050" w14:textId="6F061562" w:rsidR="005C554F" w:rsidRPr="006340F9" w:rsidRDefault="005B0590" w:rsidP="00B7757E">
      <w:pPr>
        <w:pStyle w:val="Body"/>
      </w:pPr>
      <w:r w:rsidRPr="006340F9">
        <w:t>Most</w:t>
      </w:r>
      <w:r w:rsidR="005C554F" w:rsidRPr="006340F9">
        <w:t xml:space="preserve"> states and territories require </w:t>
      </w:r>
      <w:r w:rsidR="004E6A95" w:rsidRPr="006340F9">
        <w:t xml:space="preserve">a </w:t>
      </w:r>
      <w:r w:rsidR="005C554F" w:rsidRPr="006340F9">
        <w:t xml:space="preserve">new ART unit to obtain RTAC accreditation prior to commencing provision of ART services. The </w:t>
      </w:r>
      <w:r w:rsidR="005C554F" w:rsidRPr="006340F9">
        <w:rPr>
          <w:i/>
        </w:rPr>
        <w:t>Research Involving Human Embryos Act 2002</w:t>
      </w:r>
      <w:r w:rsidR="005C554F" w:rsidRPr="006340F9">
        <w:t xml:space="preserve"> (</w:t>
      </w:r>
      <w:proofErr w:type="spellStart"/>
      <w:r w:rsidR="005C554F" w:rsidRPr="006340F9">
        <w:t>Cth</w:t>
      </w:r>
      <w:proofErr w:type="spellEnd"/>
      <w:r w:rsidR="005C554F" w:rsidRPr="006340F9">
        <w:t>) also prescribes that all new ART units must</w:t>
      </w:r>
      <w:r w:rsidR="005C554F" w:rsidRPr="006340F9" w:rsidDel="009767CA">
        <w:t xml:space="preserve"> </w:t>
      </w:r>
      <w:r w:rsidR="005C554F" w:rsidRPr="006340F9">
        <w:t>obtain initial RTAC accreditation</w:t>
      </w:r>
      <w:r w:rsidR="005C554F" w:rsidRPr="006340F9" w:rsidDel="009223F9">
        <w:t>.</w:t>
      </w:r>
    </w:p>
    <w:p w14:paraId="29A24474" w14:textId="32B239EB" w:rsidR="002D3E7F" w:rsidRPr="006340F9" w:rsidRDefault="005C554F" w:rsidP="002D3E7F">
      <w:pPr>
        <w:pStyle w:val="Body"/>
      </w:pPr>
      <w:r w:rsidRPr="006340F9">
        <w:t xml:space="preserve">As summarised above, RTAC accreditation involves the ART unit undergoing a primary audit by one of </w:t>
      </w:r>
      <w:r w:rsidR="009E73EC" w:rsidRPr="006340F9">
        <w:t xml:space="preserve">the </w:t>
      </w:r>
      <w:r w:rsidRPr="006340F9">
        <w:t xml:space="preserve">two </w:t>
      </w:r>
      <w:r w:rsidR="00D626FD" w:rsidRPr="006340F9">
        <w:t xml:space="preserve">approved </w:t>
      </w:r>
      <w:r w:rsidRPr="006340F9">
        <w:t>accreditation agencies</w:t>
      </w:r>
      <w:r w:rsidR="009B33BE" w:rsidRPr="006340F9">
        <w:t xml:space="preserve"> (certifying bodies)</w:t>
      </w:r>
      <w:r w:rsidRPr="006340F9">
        <w:t xml:space="preserve">. The primary audit involves two stages: a document review and an onsite audit of facilities and equipment. On </w:t>
      </w:r>
      <w:r w:rsidRPr="006340F9">
        <w:lastRenderedPageBreak/>
        <w:t>passing the primary audit, the ART unit is certified by the auditor and granted an RTAC licence to operate, typically for 12 months.</w:t>
      </w:r>
      <w:r w:rsidRPr="006340F9">
        <w:rPr>
          <w:rStyle w:val="FootnoteReference"/>
          <w:rFonts w:cs="Arial"/>
        </w:rPr>
        <w:footnoteReference w:id="66"/>
      </w:r>
      <w:r w:rsidRPr="006340F9">
        <w:t xml:space="preserve"> A summary of the process is outlined in </w:t>
      </w:r>
      <w:r w:rsidR="00C4552E" w:rsidRPr="006340F9">
        <w:t>Figure</w:t>
      </w:r>
      <w:r w:rsidR="00A415FB" w:rsidRPr="006340F9">
        <w:t xml:space="preserve"> 2.4 </w:t>
      </w:r>
      <w:r w:rsidR="000534F3" w:rsidRPr="006340F9">
        <w:t>below</w:t>
      </w:r>
      <w:r w:rsidR="00A17ABA" w:rsidRPr="006340F9">
        <w:t>.</w:t>
      </w:r>
    </w:p>
    <w:p w14:paraId="339950F4" w14:textId="0DAEE947" w:rsidR="006537B9" w:rsidRPr="006340F9" w:rsidRDefault="005C554F" w:rsidP="002D2D74">
      <w:pPr>
        <w:pStyle w:val="Body"/>
      </w:pPr>
      <w:r w:rsidRPr="006340F9">
        <w:t>Within six months of commencing operations, each new ART unit must then undergo a secondary audit involving inspection of unit operations.</w:t>
      </w:r>
      <w:r w:rsidRPr="006340F9">
        <w:rPr>
          <w:vertAlign w:val="superscript"/>
        </w:rPr>
        <w:footnoteReference w:id="67"/>
      </w:r>
      <w:r w:rsidRPr="006340F9" w:rsidDel="00700CAB">
        <w:rPr>
          <w:vertAlign w:val="superscript"/>
        </w:rPr>
        <w:t xml:space="preserve"> </w:t>
      </w:r>
      <w:r w:rsidRPr="006340F9">
        <w:rPr>
          <w:vertAlign w:val="superscript"/>
        </w:rPr>
        <w:t xml:space="preserve"> </w:t>
      </w:r>
    </w:p>
    <w:p w14:paraId="2B6F18B1" w14:textId="0F594D1E" w:rsidR="002D2D74" w:rsidRPr="006340F9" w:rsidRDefault="002D2D74" w:rsidP="00121AA7">
      <w:pPr>
        <w:pStyle w:val="FigureCaption0"/>
        <w:keepLines w:val="0"/>
      </w:pPr>
      <w:bookmarkStart w:id="74" w:name="_Ref207785069"/>
      <w:r w:rsidRPr="006340F9">
        <w:t>Figure</w:t>
      </w:r>
      <w:r w:rsidR="004626D8" w:rsidRPr="006340F9">
        <w:t xml:space="preserve"> </w:t>
      </w:r>
      <w:r w:rsidR="00A415FB" w:rsidRPr="006340F9">
        <w:t>2.4:</w:t>
      </w:r>
      <w:bookmarkEnd w:id="74"/>
      <w:r w:rsidRPr="006340F9">
        <w:t xml:space="preserve"> RTAC accreditation process and auditing inclusions</w:t>
      </w:r>
      <w:r w:rsidR="00D83BDB" w:rsidRPr="006340F9">
        <w:t>.</w:t>
      </w:r>
      <w:r w:rsidRPr="006340F9">
        <w:rPr>
          <w:rStyle w:val="FootnoteReference"/>
        </w:rPr>
        <w:footnoteReference w:id="68"/>
      </w:r>
    </w:p>
    <w:p w14:paraId="0D23D1F6" w14:textId="6864F602" w:rsidR="00C842B9" w:rsidRPr="006340F9" w:rsidRDefault="0033564E" w:rsidP="00576B76">
      <w:pPr>
        <w:pStyle w:val="FigureCaption0"/>
        <w:keepNext w:val="0"/>
        <w:keepLines w:val="0"/>
      </w:pPr>
      <w:r w:rsidRPr="006340F9">
        <w:rPr>
          <w:noProof/>
        </w:rPr>
        <w:drawing>
          <wp:inline distT="0" distB="0" distL="0" distR="0" wp14:anchorId="126A0D1F" wp14:editId="16FEDF3B">
            <wp:extent cx="4925695" cy="3084830"/>
            <wp:effectExtent l="0" t="0" r="8255" b="1270"/>
            <wp:docPr id="1867165057" name="Picture 1" descr="Figure 2.4: RTAC accreditation process and auditing inc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65057" name="Picture 1" descr="Figure 2.4: RTAC accreditation process and auditing inclusi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5695" cy="3084830"/>
                    </a:xfrm>
                    <a:prstGeom prst="rect">
                      <a:avLst/>
                    </a:prstGeom>
                    <a:noFill/>
                  </pic:spPr>
                </pic:pic>
              </a:graphicData>
            </a:graphic>
          </wp:inline>
        </w:drawing>
      </w:r>
    </w:p>
    <w:p w14:paraId="6D003D5B" w14:textId="3FD0ACC6" w:rsidR="005C554F" w:rsidRPr="006340F9" w:rsidRDefault="00767283" w:rsidP="00C842B9">
      <w:pPr>
        <w:pStyle w:val="Body"/>
      </w:pPr>
      <w:r w:rsidRPr="006340F9">
        <w:t>I</w:t>
      </w:r>
      <w:r w:rsidR="005C554F" w:rsidRPr="006340F9">
        <w:t xml:space="preserve">f an ART unit </w:t>
      </w:r>
      <w:r w:rsidR="00775D4A" w:rsidRPr="006340F9">
        <w:t>seeks</w:t>
      </w:r>
      <w:r w:rsidR="005C554F" w:rsidRPr="006340F9">
        <w:t xml:space="preserve"> to add a procedure from its scope of practice, a certifying body must first audit the procedure before RTAC may decide whether to amend the scope of practice.</w:t>
      </w:r>
      <w:r w:rsidR="005C554F" w:rsidRPr="006340F9">
        <w:rPr>
          <w:rStyle w:val="FootnoteReference"/>
        </w:rPr>
        <w:footnoteReference w:id="69"/>
      </w:r>
    </w:p>
    <w:p w14:paraId="360A6894" w14:textId="672E52F7" w:rsidR="002647EC" w:rsidRPr="006340F9" w:rsidRDefault="002647EC" w:rsidP="0062093F">
      <w:pPr>
        <w:pStyle w:val="Heading2"/>
      </w:pPr>
      <w:bookmarkStart w:id="75" w:name="_Toc207976231"/>
      <w:bookmarkStart w:id="76" w:name="_Toc209441984"/>
      <w:r w:rsidRPr="006340F9">
        <w:t>Market entry – regulation</w:t>
      </w:r>
      <w:bookmarkEnd w:id="75"/>
      <w:bookmarkEnd w:id="76"/>
    </w:p>
    <w:p w14:paraId="05F7B244" w14:textId="5DC1C0F6" w:rsidR="004D594C" w:rsidRPr="006340F9" w:rsidRDefault="00FF2BD8" w:rsidP="004D594C">
      <w:pPr>
        <w:pStyle w:val="Body"/>
      </w:pPr>
      <w:r w:rsidRPr="006340F9">
        <w:t>Following RTAC accreditation, a</w:t>
      </w:r>
      <w:r w:rsidR="004D7D6F" w:rsidRPr="006340F9">
        <w:t>ll jurisdictions</w:t>
      </w:r>
      <w:r w:rsidRPr="006340F9">
        <w:t xml:space="preserve"> – </w:t>
      </w:r>
      <w:proofErr w:type="gramStart"/>
      <w:r w:rsidR="004D7D6F" w:rsidRPr="006340F9">
        <w:t>with the exception of</w:t>
      </w:r>
      <w:proofErr w:type="gramEnd"/>
      <w:r w:rsidR="004D7D6F" w:rsidRPr="006340F9">
        <w:t xml:space="preserve"> the Northern Territory</w:t>
      </w:r>
      <w:r w:rsidRPr="006340F9">
        <w:t xml:space="preserve"> – </w:t>
      </w:r>
      <w:r w:rsidR="003D5F09" w:rsidRPr="006340F9">
        <w:t xml:space="preserve">require registration </w:t>
      </w:r>
      <w:r w:rsidR="00124F9B" w:rsidRPr="006340F9">
        <w:t>(or licensing)</w:t>
      </w:r>
      <w:r w:rsidR="003D5F09" w:rsidRPr="006340F9">
        <w:t xml:space="preserve"> with the relevant state or territory regulatory authority.</w:t>
      </w:r>
      <w:r w:rsidR="00563D5B" w:rsidRPr="006340F9">
        <w:t xml:space="preserve"> </w:t>
      </w:r>
      <w:r w:rsidR="00920050" w:rsidRPr="006340F9">
        <w:t>R</w:t>
      </w:r>
      <w:r w:rsidR="00563D5B" w:rsidRPr="006340F9">
        <w:t xml:space="preserve">egulation </w:t>
      </w:r>
      <w:r w:rsidR="00920050" w:rsidRPr="006340F9">
        <w:t>represents mandator</w:t>
      </w:r>
      <w:r w:rsidR="00563D5B" w:rsidRPr="006340F9">
        <w:t>y government oversight and rules that define minimum standards for safety and quality, enforced by law.</w:t>
      </w:r>
    </w:p>
    <w:p w14:paraId="3D3EC3B8" w14:textId="76CE59CC" w:rsidR="005C554F" w:rsidRPr="006340F9" w:rsidRDefault="005C554F" w:rsidP="004600B7">
      <w:pPr>
        <w:pStyle w:val="Heading3"/>
      </w:pPr>
      <w:r w:rsidRPr="006340F9">
        <w:lastRenderedPageBreak/>
        <w:t xml:space="preserve">Providers must be registered with a </w:t>
      </w:r>
      <w:r w:rsidR="00B73C29" w:rsidRPr="006340F9">
        <w:t>s</w:t>
      </w:r>
      <w:r w:rsidRPr="006340F9">
        <w:t xml:space="preserve">tate or territory regulator   </w:t>
      </w:r>
    </w:p>
    <w:p w14:paraId="682050B5" w14:textId="3417715C" w:rsidR="00973D3C" w:rsidRPr="006340F9" w:rsidRDefault="009F2608" w:rsidP="00121AA7">
      <w:pPr>
        <w:pStyle w:val="Body"/>
        <w:spacing w:after="0"/>
      </w:pPr>
      <w:r w:rsidRPr="006340F9">
        <w:t>Table</w:t>
      </w:r>
      <w:r w:rsidR="000B1173" w:rsidRPr="006340F9">
        <w:t xml:space="preserve"> 2.1 </w:t>
      </w:r>
      <w:r w:rsidR="005C554F" w:rsidRPr="006340F9">
        <w:t xml:space="preserve">sets out the registration requirements by </w:t>
      </w:r>
      <w:r w:rsidR="003D5F09" w:rsidRPr="006340F9">
        <w:t>jurisdiction</w:t>
      </w:r>
      <w:r w:rsidR="00EA1411" w:rsidRPr="006340F9">
        <w:t>.</w:t>
      </w:r>
      <w:r w:rsidR="00123150" w:rsidRPr="006340F9">
        <w:t xml:space="preserve"> Note that </w:t>
      </w:r>
      <w:r w:rsidRPr="006340F9">
        <w:t>Tables 2.1 – 2.8</w:t>
      </w:r>
      <w:r w:rsidR="00123150" w:rsidRPr="006340F9">
        <w:t xml:space="preserve"> are also consolidated in </w:t>
      </w:r>
      <w:r w:rsidR="00264631" w:rsidRPr="006340F9">
        <w:t>Appendix 2</w:t>
      </w:r>
      <w:r w:rsidR="00123150" w:rsidRPr="006340F9">
        <w:t>, which summarises</w:t>
      </w:r>
      <w:r w:rsidR="00123150" w:rsidRPr="006340F9">
        <w:rPr>
          <w:bCs/>
        </w:rPr>
        <w:t xml:space="preserve"> State and Territory regulatory powers and jurisdictional features</w:t>
      </w:r>
      <w:r w:rsidR="0029446D" w:rsidRPr="006340F9">
        <w:rPr>
          <w:bCs/>
        </w:rPr>
        <w:t>.</w:t>
      </w:r>
    </w:p>
    <w:p w14:paraId="6B14600F" w14:textId="60BA3296" w:rsidR="00A845D5" w:rsidRPr="006340F9" w:rsidRDefault="009F2608" w:rsidP="00121AA7">
      <w:pPr>
        <w:pStyle w:val="FigureCaption0"/>
        <w:keepLines w:val="0"/>
      </w:pPr>
      <w:bookmarkStart w:id="77" w:name="_Ref207278949"/>
      <w:r w:rsidRPr="006340F9">
        <w:t>Table</w:t>
      </w:r>
      <w:r w:rsidR="000B1173" w:rsidRPr="006340F9">
        <w:t xml:space="preserve"> 2.1: </w:t>
      </w:r>
      <w:bookmarkEnd w:id="77"/>
      <w:r w:rsidR="00F90FCE" w:rsidRPr="006340F9">
        <w:t>Registration requirements by jurisdiction</w:t>
      </w:r>
      <w:r w:rsidR="00D83BDB" w:rsidRPr="006340F9">
        <w:t>.</w:t>
      </w:r>
    </w:p>
    <w:tbl>
      <w:tblPr>
        <w:tblStyle w:val="TableGrid"/>
        <w:tblW w:w="9016" w:type="dxa"/>
        <w:tblCellMar>
          <w:left w:w="57" w:type="dxa"/>
          <w:right w:w="57" w:type="dxa"/>
        </w:tblCellMar>
        <w:tblLook w:val="06A0" w:firstRow="1" w:lastRow="0" w:firstColumn="1" w:lastColumn="0" w:noHBand="1" w:noVBand="1"/>
      </w:tblPr>
      <w:tblGrid>
        <w:gridCol w:w="1350"/>
        <w:gridCol w:w="825"/>
        <w:gridCol w:w="975"/>
        <w:gridCol w:w="623"/>
        <w:gridCol w:w="864"/>
        <w:gridCol w:w="904"/>
        <w:gridCol w:w="915"/>
        <w:gridCol w:w="1442"/>
        <w:gridCol w:w="1118"/>
      </w:tblGrid>
      <w:tr w:rsidR="00EA42B8" w:rsidRPr="006340F9" w14:paraId="1231103E" w14:textId="118B6C07" w:rsidTr="5EEA0A5C">
        <w:trPr>
          <w:trHeight w:val="20"/>
          <w:tblHeader/>
        </w:trPr>
        <w:tc>
          <w:tcPr>
            <w:tcW w:w="1350" w:type="dxa"/>
            <w:shd w:val="clear" w:color="auto" w:fill="C6D9F1" w:themeFill="text2" w:themeFillTint="33"/>
          </w:tcPr>
          <w:p w14:paraId="4A24BDEA" w14:textId="669783DB" w:rsidR="00EA42B8" w:rsidRPr="006340F9" w:rsidRDefault="00EA42B8" w:rsidP="00121AA7">
            <w:pPr>
              <w:pStyle w:val="Tablecolhead"/>
              <w:keepNext/>
              <w:spacing w:before="0" w:after="0"/>
              <w:rPr>
                <w:sz w:val="20"/>
                <w:szCs w:val="20"/>
              </w:rPr>
            </w:pPr>
          </w:p>
        </w:tc>
        <w:tc>
          <w:tcPr>
            <w:tcW w:w="825" w:type="dxa"/>
            <w:shd w:val="clear" w:color="auto" w:fill="C6D9F1" w:themeFill="text2" w:themeFillTint="33"/>
            <w:vAlign w:val="center"/>
          </w:tcPr>
          <w:p w14:paraId="7E96974A" w14:textId="2B1C4B37" w:rsidR="00EA42B8" w:rsidRPr="006340F9" w:rsidRDefault="00EA42B8" w:rsidP="00121AA7">
            <w:pPr>
              <w:keepNext/>
              <w:spacing w:after="0"/>
              <w:jc w:val="center"/>
              <w:rPr>
                <w:b/>
                <w:color w:val="53565A"/>
                <w:sz w:val="20"/>
                <w:szCs w:val="18"/>
              </w:rPr>
            </w:pPr>
            <w:r w:rsidRPr="006340F9">
              <w:rPr>
                <w:b/>
                <w:color w:val="53565A"/>
                <w:sz w:val="20"/>
                <w:szCs w:val="18"/>
              </w:rPr>
              <w:t>ACT</w:t>
            </w:r>
          </w:p>
        </w:tc>
        <w:tc>
          <w:tcPr>
            <w:tcW w:w="975" w:type="dxa"/>
            <w:shd w:val="clear" w:color="auto" w:fill="C6D9F1" w:themeFill="text2" w:themeFillTint="33"/>
            <w:vAlign w:val="center"/>
          </w:tcPr>
          <w:p w14:paraId="3F129F6D" w14:textId="777E4EE0" w:rsidR="00EA42B8" w:rsidRPr="006340F9" w:rsidRDefault="00EA42B8" w:rsidP="00121AA7">
            <w:pPr>
              <w:keepNext/>
              <w:spacing w:after="0"/>
              <w:jc w:val="center"/>
              <w:rPr>
                <w:b/>
                <w:color w:val="53565A"/>
                <w:sz w:val="20"/>
                <w:szCs w:val="18"/>
              </w:rPr>
            </w:pPr>
            <w:r w:rsidRPr="006340F9">
              <w:rPr>
                <w:b/>
                <w:color w:val="53565A"/>
                <w:sz w:val="20"/>
                <w:szCs w:val="18"/>
              </w:rPr>
              <w:t>NSW</w:t>
            </w:r>
          </w:p>
        </w:tc>
        <w:tc>
          <w:tcPr>
            <w:tcW w:w="623" w:type="dxa"/>
            <w:shd w:val="clear" w:color="auto" w:fill="C6D9F1" w:themeFill="text2" w:themeFillTint="33"/>
            <w:vAlign w:val="center"/>
          </w:tcPr>
          <w:p w14:paraId="08FE3B8D" w14:textId="43A4D5AB" w:rsidR="00EA42B8" w:rsidRPr="006340F9" w:rsidRDefault="00EA42B8" w:rsidP="00121AA7">
            <w:pPr>
              <w:keepNext/>
              <w:spacing w:after="0"/>
              <w:jc w:val="center"/>
              <w:rPr>
                <w:b/>
                <w:color w:val="53565A"/>
                <w:sz w:val="20"/>
                <w:szCs w:val="18"/>
              </w:rPr>
            </w:pPr>
            <w:r w:rsidRPr="006340F9">
              <w:rPr>
                <w:b/>
                <w:color w:val="53565A"/>
                <w:sz w:val="20"/>
                <w:szCs w:val="18"/>
              </w:rPr>
              <w:t>NT</w:t>
            </w:r>
          </w:p>
        </w:tc>
        <w:tc>
          <w:tcPr>
            <w:tcW w:w="864" w:type="dxa"/>
            <w:shd w:val="clear" w:color="auto" w:fill="C6D9F1" w:themeFill="text2" w:themeFillTint="33"/>
            <w:vAlign w:val="center"/>
          </w:tcPr>
          <w:p w14:paraId="22EB347E" w14:textId="25A5E959" w:rsidR="00EA42B8" w:rsidRPr="006340F9" w:rsidRDefault="00EA42B8" w:rsidP="00121AA7">
            <w:pPr>
              <w:keepNext/>
              <w:spacing w:after="0"/>
              <w:jc w:val="center"/>
              <w:rPr>
                <w:b/>
                <w:color w:val="53565A"/>
                <w:sz w:val="20"/>
                <w:szCs w:val="18"/>
              </w:rPr>
            </w:pPr>
            <w:r w:rsidRPr="006340F9">
              <w:rPr>
                <w:b/>
                <w:color w:val="53565A"/>
                <w:sz w:val="20"/>
                <w:szCs w:val="18"/>
              </w:rPr>
              <w:t>QLD</w:t>
            </w:r>
          </w:p>
        </w:tc>
        <w:tc>
          <w:tcPr>
            <w:tcW w:w="904" w:type="dxa"/>
            <w:shd w:val="clear" w:color="auto" w:fill="C6D9F1" w:themeFill="text2" w:themeFillTint="33"/>
            <w:vAlign w:val="center"/>
          </w:tcPr>
          <w:p w14:paraId="7C215179" w14:textId="68F5C835" w:rsidR="00EA42B8" w:rsidRPr="006340F9" w:rsidRDefault="00EA42B8" w:rsidP="00121AA7">
            <w:pPr>
              <w:keepNext/>
              <w:spacing w:after="0"/>
              <w:jc w:val="center"/>
              <w:rPr>
                <w:b/>
                <w:color w:val="53565A"/>
                <w:sz w:val="20"/>
                <w:szCs w:val="18"/>
              </w:rPr>
            </w:pPr>
            <w:r w:rsidRPr="006340F9">
              <w:rPr>
                <w:b/>
                <w:color w:val="53565A"/>
                <w:sz w:val="20"/>
                <w:szCs w:val="18"/>
              </w:rPr>
              <w:t>SA</w:t>
            </w:r>
          </w:p>
        </w:tc>
        <w:tc>
          <w:tcPr>
            <w:tcW w:w="915" w:type="dxa"/>
            <w:shd w:val="clear" w:color="auto" w:fill="C6D9F1" w:themeFill="text2" w:themeFillTint="33"/>
            <w:vAlign w:val="center"/>
          </w:tcPr>
          <w:p w14:paraId="7236F78D" w14:textId="1F78D957" w:rsidR="00EA42B8" w:rsidRPr="006340F9" w:rsidRDefault="00EA42B8" w:rsidP="00121AA7">
            <w:pPr>
              <w:keepNext/>
              <w:spacing w:after="0"/>
              <w:jc w:val="center"/>
              <w:rPr>
                <w:b/>
                <w:color w:val="53565A"/>
                <w:sz w:val="20"/>
                <w:szCs w:val="18"/>
              </w:rPr>
            </w:pPr>
            <w:r w:rsidRPr="006340F9">
              <w:rPr>
                <w:b/>
                <w:color w:val="53565A"/>
                <w:sz w:val="20"/>
                <w:szCs w:val="18"/>
              </w:rPr>
              <w:t>TAS</w:t>
            </w:r>
          </w:p>
        </w:tc>
        <w:tc>
          <w:tcPr>
            <w:tcW w:w="1442" w:type="dxa"/>
            <w:shd w:val="clear" w:color="auto" w:fill="C6D9F1" w:themeFill="text2" w:themeFillTint="33"/>
            <w:vAlign w:val="center"/>
          </w:tcPr>
          <w:p w14:paraId="41C3DE39" w14:textId="1A9A80C9" w:rsidR="00EA42B8" w:rsidRPr="006340F9" w:rsidRDefault="00EA42B8" w:rsidP="00121AA7">
            <w:pPr>
              <w:keepNext/>
              <w:spacing w:after="0"/>
              <w:jc w:val="center"/>
              <w:rPr>
                <w:b/>
                <w:color w:val="53565A"/>
                <w:sz w:val="20"/>
                <w:szCs w:val="18"/>
              </w:rPr>
            </w:pPr>
            <w:r w:rsidRPr="006340F9">
              <w:rPr>
                <w:b/>
                <w:color w:val="53565A"/>
                <w:sz w:val="20"/>
                <w:szCs w:val="18"/>
              </w:rPr>
              <w:t>VIC</w:t>
            </w:r>
          </w:p>
        </w:tc>
        <w:tc>
          <w:tcPr>
            <w:tcW w:w="1118" w:type="dxa"/>
            <w:shd w:val="clear" w:color="auto" w:fill="C6D9F1" w:themeFill="text2" w:themeFillTint="33"/>
          </w:tcPr>
          <w:p w14:paraId="2CBC0696" w14:textId="4D5E817F" w:rsidR="00EA42B8" w:rsidRPr="006340F9" w:rsidRDefault="00EA42B8" w:rsidP="00121AA7">
            <w:pPr>
              <w:keepNext/>
              <w:spacing w:after="0"/>
              <w:jc w:val="center"/>
              <w:rPr>
                <w:b/>
                <w:color w:val="53565A"/>
                <w:sz w:val="20"/>
                <w:szCs w:val="18"/>
              </w:rPr>
            </w:pPr>
            <w:r w:rsidRPr="006340F9">
              <w:rPr>
                <w:b/>
                <w:color w:val="53565A"/>
                <w:sz w:val="20"/>
                <w:szCs w:val="18"/>
              </w:rPr>
              <w:t>WA</w:t>
            </w:r>
          </w:p>
        </w:tc>
      </w:tr>
      <w:tr w:rsidR="00EA42B8" w:rsidRPr="006340F9" w14:paraId="1FF4CA84" w14:textId="57E43C49" w:rsidTr="5EEA0A5C">
        <w:trPr>
          <w:trHeight w:val="20"/>
        </w:trPr>
        <w:tc>
          <w:tcPr>
            <w:tcW w:w="1350" w:type="dxa"/>
            <w:vAlign w:val="center"/>
          </w:tcPr>
          <w:p w14:paraId="33E81805" w14:textId="0705E79E" w:rsidR="00EA42B8" w:rsidRPr="006340F9" w:rsidRDefault="00EA42B8" w:rsidP="00121AA7">
            <w:pPr>
              <w:keepNext/>
              <w:spacing w:after="0"/>
              <w:rPr>
                <w:sz w:val="20"/>
              </w:rPr>
            </w:pPr>
            <w:r w:rsidRPr="006340F9">
              <w:rPr>
                <w:sz w:val="20"/>
              </w:rPr>
              <w:t>Registration required</w:t>
            </w:r>
          </w:p>
        </w:tc>
        <w:tc>
          <w:tcPr>
            <w:tcW w:w="825" w:type="dxa"/>
            <w:vAlign w:val="center"/>
          </w:tcPr>
          <w:p w14:paraId="69EE419E" w14:textId="08935159" w:rsidR="00EA42B8" w:rsidRPr="006340F9" w:rsidRDefault="00EA42B8" w:rsidP="00121AA7">
            <w:pPr>
              <w:pStyle w:val="Body"/>
              <w:keepNext/>
              <w:spacing w:after="0"/>
              <w:jc w:val="center"/>
              <w:rPr>
                <w:sz w:val="20"/>
              </w:rPr>
            </w:pPr>
            <w:r w:rsidRPr="006340F9">
              <w:rPr>
                <w:noProof/>
                <w:sz w:val="20"/>
                <w:szCs w:val="20"/>
              </w:rPr>
              <w:drawing>
                <wp:inline distT="0" distB="0" distL="0" distR="0" wp14:anchorId="16A4789C" wp14:editId="3EB3B1C5">
                  <wp:extent cx="194310" cy="194310"/>
                  <wp:effectExtent l="0" t="0" r="0" b="0"/>
                  <wp:docPr id="72692798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c>
          <w:tcPr>
            <w:tcW w:w="975" w:type="dxa"/>
            <w:vAlign w:val="center"/>
          </w:tcPr>
          <w:p w14:paraId="74584760" w14:textId="0EB795C8" w:rsidR="00EA42B8" w:rsidRPr="006340F9" w:rsidRDefault="00EA42B8" w:rsidP="00121AA7">
            <w:pPr>
              <w:pStyle w:val="Body"/>
              <w:keepNext/>
              <w:spacing w:after="0"/>
              <w:jc w:val="center"/>
              <w:rPr>
                <w:sz w:val="20"/>
              </w:rPr>
            </w:pPr>
            <w:r w:rsidRPr="006340F9">
              <w:rPr>
                <w:noProof/>
                <w:sz w:val="20"/>
                <w:szCs w:val="20"/>
              </w:rPr>
              <w:drawing>
                <wp:inline distT="0" distB="0" distL="0" distR="0" wp14:anchorId="33F9CA83" wp14:editId="10DAC78E">
                  <wp:extent cx="194310" cy="194310"/>
                  <wp:effectExtent l="0" t="0" r="0" b="0"/>
                  <wp:docPr id="81301951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c>
          <w:tcPr>
            <w:tcW w:w="623" w:type="dxa"/>
            <w:vAlign w:val="center"/>
          </w:tcPr>
          <w:p w14:paraId="79B72D2D" w14:textId="34263C66" w:rsidR="00EA42B8" w:rsidRPr="006340F9" w:rsidRDefault="00EA42B8" w:rsidP="00121AA7">
            <w:pPr>
              <w:pStyle w:val="Body"/>
              <w:keepNext/>
              <w:spacing w:after="0"/>
              <w:jc w:val="center"/>
              <w:rPr>
                <w:sz w:val="20"/>
              </w:rPr>
            </w:pPr>
            <w:r w:rsidRPr="006340F9">
              <w:rPr>
                <w:noProof/>
                <w:sz w:val="20"/>
                <w:szCs w:val="20"/>
              </w:rPr>
              <w:drawing>
                <wp:inline distT="0" distB="0" distL="0" distR="0" wp14:anchorId="39E7D62B" wp14:editId="0E10038B">
                  <wp:extent cx="177165" cy="177165"/>
                  <wp:effectExtent l="0" t="0" r="0" b="0"/>
                  <wp:docPr id="112805019"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56313" name="Graphic 1702956313" descr="Close with solid fill"/>
                          <pic:cNvPicPr/>
                        </pic:nvPicPr>
                        <pic:blipFill>
                          <a:blip r:embed="rId29">
                            <a:extLst>
                              <a:ext uri="{96DAC541-7B7A-43D3-8B79-37D633B846F1}">
                                <asvg:svgBlip xmlns:asvg="http://schemas.microsoft.com/office/drawing/2016/SVG/main" r:embed="rId30"/>
                              </a:ext>
                            </a:extLst>
                          </a:blip>
                          <a:stretch>
                            <a:fillRect/>
                          </a:stretch>
                        </pic:blipFill>
                        <pic:spPr>
                          <a:xfrm flipH="1">
                            <a:off x="0" y="0"/>
                            <a:ext cx="182183" cy="182183"/>
                          </a:xfrm>
                          <a:prstGeom prst="rect">
                            <a:avLst/>
                          </a:prstGeom>
                        </pic:spPr>
                      </pic:pic>
                    </a:graphicData>
                  </a:graphic>
                </wp:inline>
              </w:drawing>
            </w:r>
          </w:p>
        </w:tc>
        <w:tc>
          <w:tcPr>
            <w:tcW w:w="864" w:type="dxa"/>
            <w:vAlign w:val="center"/>
          </w:tcPr>
          <w:p w14:paraId="034D0891" w14:textId="1764AFC2" w:rsidR="00EA42B8" w:rsidRPr="006340F9" w:rsidRDefault="00EA42B8" w:rsidP="00121AA7">
            <w:pPr>
              <w:pStyle w:val="Body"/>
              <w:keepNext/>
              <w:spacing w:after="0"/>
              <w:jc w:val="center"/>
              <w:rPr>
                <w:sz w:val="20"/>
              </w:rPr>
            </w:pPr>
            <w:r w:rsidRPr="006340F9">
              <w:rPr>
                <w:noProof/>
                <w:sz w:val="20"/>
                <w:szCs w:val="20"/>
              </w:rPr>
              <w:drawing>
                <wp:inline distT="0" distB="0" distL="0" distR="0" wp14:anchorId="0CB76B2A" wp14:editId="7396DAE2">
                  <wp:extent cx="194310" cy="194310"/>
                  <wp:effectExtent l="0" t="0" r="0" b="0"/>
                  <wp:docPr id="171411052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c>
          <w:tcPr>
            <w:tcW w:w="904" w:type="dxa"/>
            <w:vAlign w:val="center"/>
          </w:tcPr>
          <w:p w14:paraId="3D4E67D6" w14:textId="7D580BE1" w:rsidR="00EA42B8" w:rsidRPr="006340F9" w:rsidRDefault="00EA42B8" w:rsidP="00121AA7">
            <w:pPr>
              <w:pStyle w:val="Body"/>
              <w:keepNext/>
              <w:spacing w:after="0"/>
              <w:jc w:val="center"/>
              <w:rPr>
                <w:sz w:val="20"/>
              </w:rPr>
            </w:pPr>
            <w:r w:rsidRPr="006340F9">
              <w:rPr>
                <w:noProof/>
                <w:sz w:val="20"/>
                <w:szCs w:val="20"/>
              </w:rPr>
              <w:drawing>
                <wp:inline distT="0" distB="0" distL="0" distR="0" wp14:anchorId="35CCB9A4" wp14:editId="09FA88A5">
                  <wp:extent cx="194310" cy="194310"/>
                  <wp:effectExtent l="0" t="0" r="0" b="0"/>
                  <wp:docPr id="18435577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c>
          <w:tcPr>
            <w:tcW w:w="915" w:type="dxa"/>
            <w:vAlign w:val="center"/>
          </w:tcPr>
          <w:p w14:paraId="03F24953" w14:textId="6B58E107" w:rsidR="00EA42B8" w:rsidRPr="006340F9" w:rsidRDefault="00EA42B8" w:rsidP="00121AA7">
            <w:pPr>
              <w:pStyle w:val="Body"/>
              <w:keepNext/>
              <w:spacing w:after="0"/>
              <w:jc w:val="center"/>
              <w:rPr>
                <w:sz w:val="20"/>
                <w:szCs w:val="20"/>
              </w:rPr>
            </w:pPr>
            <w:r w:rsidRPr="006340F9">
              <w:rPr>
                <w:noProof/>
                <w:sz w:val="20"/>
                <w:szCs w:val="20"/>
              </w:rPr>
              <w:drawing>
                <wp:inline distT="0" distB="0" distL="0" distR="0" wp14:anchorId="4BBDC77F" wp14:editId="4A9B3A03">
                  <wp:extent cx="194310" cy="194310"/>
                  <wp:effectExtent l="0" t="0" r="0" b="0"/>
                  <wp:docPr id="137870968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c>
          <w:tcPr>
            <w:tcW w:w="1442" w:type="dxa"/>
            <w:vAlign w:val="center"/>
          </w:tcPr>
          <w:p w14:paraId="00F3B1B3" w14:textId="400D6DFD" w:rsidR="00EA42B8" w:rsidRPr="006340F9" w:rsidRDefault="00EA42B8" w:rsidP="00121AA7">
            <w:pPr>
              <w:pStyle w:val="Body"/>
              <w:keepNext/>
              <w:spacing w:after="0"/>
              <w:jc w:val="center"/>
              <w:rPr>
                <w:sz w:val="20"/>
              </w:rPr>
            </w:pPr>
            <w:r w:rsidRPr="006340F9">
              <w:rPr>
                <w:noProof/>
                <w:sz w:val="20"/>
                <w:szCs w:val="20"/>
              </w:rPr>
              <w:drawing>
                <wp:inline distT="0" distB="0" distL="0" distR="0" wp14:anchorId="5E416823" wp14:editId="0E44EFC5">
                  <wp:extent cx="194310" cy="194310"/>
                  <wp:effectExtent l="0" t="0" r="0" b="0"/>
                  <wp:docPr id="205046942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c>
          <w:tcPr>
            <w:tcW w:w="1118" w:type="dxa"/>
            <w:vAlign w:val="center"/>
          </w:tcPr>
          <w:p w14:paraId="69E9B0CE" w14:textId="03DEB599" w:rsidR="00EA42B8" w:rsidRPr="006340F9" w:rsidRDefault="00EA42B8" w:rsidP="00121AA7">
            <w:pPr>
              <w:pStyle w:val="Body"/>
              <w:keepNext/>
              <w:spacing w:after="0"/>
              <w:jc w:val="center"/>
              <w:rPr>
                <w:sz w:val="20"/>
                <w:szCs w:val="20"/>
              </w:rPr>
            </w:pPr>
            <w:r w:rsidRPr="006340F9">
              <w:rPr>
                <w:noProof/>
                <w:sz w:val="20"/>
                <w:szCs w:val="20"/>
              </w:rPr>
              <w:drawing>
                <wp:inline distT="0" distB="0" distL="0" distR="0" wp14:anchorId="11E96F79" wp14:editId="436633F9">
                  <wp:extent cx="194310" cy="194310"/>
                  <wp:effectExtent l="0" t="0" r="0" b="0"/>
                  <wp:docPr id="158710941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r>
      <w:tr w:rsidR="00EA42B8" w:rsidRPr="006340F9" w14:paraId="73177975" w14:textId="2F43A2FA" w:rsidTr="5EEA0A5C">
        <w:trPr>
          <w:trHeight w:val="20"/>
        </w:trPr>
        <w:tc>
          <w:tcPr>
            <w:tcW w:w="1350" w:type="dxa"/>
            <w:vAlign w:val="center"/>
          </w:tcPr>
          <w:p w14:paraId="25319BA6" w14:textId="3E6DAE44" w:rsidR="00EA42B8" w:rsidRPr="006340F9" w:rsidRDefault="00EA42B8" w:rsidP="00121AA7">
            <w:pPr>
              <w:keepNext/>
              <w:spacing w:after="0"/>
              <w:rPr>
                <w:sz w:val="20"/>
              </w:rPr>
            </w:pPr>
            <w:r w:rsidRPr="006340F9">
              <w:rPr>
                <w:sz w:val="20"/>
              </w:rPr>
              <w:t>Registration period</w:t>
            </w:r>
          </w:p>
        </w:tc>
        <w:tc>
          <w:tcPr>
            <w:tcW w:w="825" w:type="dxa"/>
            <w:vAlign w:val="center"/>
          </w:tcPr>
          <w:p w14:paraId="098564F6" w14:textId="3F4D4C4A" w:rsidR="00EA42B8" w:rsidRPr="006340F9" w:rsidRDefault="00EA42B8" w:rsidP="00121AA7">
            <w:pPr>
              <w:keepNext/>
              <w:spacing w:after="0"/>
              <w:jc w:val="center"/>
              <w:rPr>
                <w:sz w:val="20"/>
              </w:rPr>
            </w:pPr>
            <w:r w:rsidRPr="006340F9">
              <w:rPr>
                <w:sz w:val="20"/>
              </w:rPr>
              <w:t>5 years</w:t>
            </w:r>
            <w:r w:rsidRPr="006340F9">
              <w:rPr>
                <w:rStyle w:val="FootnoteReference"/>
                <w:rFonts w:cs="Arial"/>
                <w:sz w:val="20"/>
              </w:rPr>
              <w:footnoteReference w:id="70"/>
            </w:r>
          </w:p>
        </w:tc>
        <w:tc>
          <w:tcPr>
            <w:tcW w:w="975" w:type="dxa"/>
            <w:vAlign w:val="center"/>
          </w:tcPr>
          <w:p w14:paraId="1A605804" w14:textId="3C7CDC64" w:rsidR="00EA42B8" w:rsidRPr="006340F9" w:rsidRDefault="00EA42B8" w:rsidP="00121AA7">
            <w:pPr>
              <w:keepNext/>
              <w:spacing w:after="0"/>
              <w:jc w:val="center"/>
              <w:rPr>
                <w:sz w:val="20"/>
              </w:rPr>
            </w:pPr>
            <w:r w:rsidRPr="006340F9">
              <w:rPr>
                <w:sz w:val="20"/>
              </w:rPr>
              <w:t>12 months</w:t>
            </w:r>
            <w:r w:rsidRPr="006340F9">
              <w:rPr>
                <w:rStyle w:val="FootnoteReference"/>
                <w:rFonts w:cs="Arial"/>
                <w:sz w:val="20"/>
              </w:rPr>
              <w:footnoteReference w:id="71"/>
            </w:r>
          </w:p>
        </w:tc>
        <w:tc>
          <w:tcPr>
            <w:tcW w:w="623" w:type="dxa"/>
            <w:vAlign w:val="center"/>
          </w:tcPr>
          <w:p w14:paraId="73125817" w14:textId="02499C7E" w:rsidR="00EA42B8" w:rsidRPr="006340F9" w:rsidRDefault="00EA42B8" w:rsidP="00121AA7">
            <w:pPr>
              <w:keepNext/>
              <w:spacing w:after="0"/>
              <w:jc w:val="center"/>
              <w:rPr>
                <w:sz w:val="20"/>
              </w:rPr>
            </w:pPr>
            <w:r w:rsidRPr="006340F9">
              <w:rPr>
                <w:sz w:val="20"/>
              </w:rPr>
              <w:t>N/A</w:t>
            </w:r>
          </w:p>
        </w:tc>
        <w:tc>
          <w:tcPr>
            <w:tcW w:w="864" w:type="dxa"/>
            <w:vAlign w:val="center"/>
          </w:tcPr>
          <w:p w14:paraId="6C38ED34" w14:textId="5D053C14" w:rsidR="00EA42B8" w:rsidRPr="006340F9" w:rsidRDefault="00EA42B8" w:rsidP="00121AA7">
            <w:pPr>
              <w:keepNext/>
              <w:spacing w:after="0"/>
              <w:jc w:val="center"/>
              <w:rPr>
                <w:sz w:val="20"/>
              </w:rPr>
            </w:pPr>
            <w:r w:rsidRPr="006340F9">
              <w:rPr>
                <w:sz w:val="20"/>
              </w:rPr>
              <w:t>Up to 3 years</w:t>
            </w:r>
            <w:r w:rsidRPr="006340F9">
              <w:rPr>
                <w:rStyle w:val="FootnoteReference"/>
                <w:rFonts w:cs="Arial"/>
                <w:sz w:val="20"/>
              </w:rPr>
              <w:footnoteReference w:id="72"/>
            </w:r>
          </w:p>
        </w:tc>
        <w:tc>
          <w:tcPr>
            <w:tcW w:w="904" w:type="dxa"/>
            <w:vAlign w:val="center"/>
          </w:tcPr>
          <w:p w14:paraId="15C25747" w14:textId="75E694AB" w:rsidR="00EA42B8" w:rsidRPr="006340F9" w:rsidRDefault="00EA42B8" w:rsidP="00121AA7">
            <w:pPr>
              <w:keepNext/>
              <w:spacing w:after="0"/>
              <w:jc w:val="center"/>
              <w:rPr>
                <w:sz w:val="20"/>
              </w:rPr>
            </w:pPr>
            <w:r w:rsidRPr="006340F9">
              <w:rPr>
                <w:sz w:val="20"/>
              </w:rPr>
              <w:t>Not specified</w:t>
            </w:r>
          </w:p>
        </w:tc>
        <w:tc>
          <w:tcPr>
            <w:tcW w:w="915" w:type="dxa"/>
            <w:vAlign w:val="center"/>
          </w:tcPr>
          <w:p w14:paraId="6A236CDC" w14:textId="50029972" w:rsidR="00EA42B8" w:rsidRPr="006340F9" w:rsidRDefault="00EA42B8" w:rsidP="00121AA7">
            <w:pPr>
              <w:keepNext/>
              <w:spacing w:after="0"/>
              <w:jc w:val="center"/>
              <w:rPr>
                <w:sz w:val="20"/>
              </w:rPr>
            </w:pPr>
            <w:r w:rsidRPr="006340F9">
              <w:rPr>
                <w:sz w:val="20"/>
              </w:rPr>
              <w:t>Not specified</w:t>
            </w:r>
          </w:p>
        </w:tc>
        <w:tc>
          <w:tcPr>
            <w:tcW w:w="1442" w:type="dxa"/>
            <w:vAlign w:val="center"/>
          </w:tcPr>
          <w:p w14:paraId="5C20D851" w14:textId="549AE714" w:rsidR="00EA42B8" w:rsidRPr="006340F9" w:rsidRDefault="00EA42B8" w:rsidP="00121AA7">
            <w:pPr>
              <w:keepNext/>
              <w:spacing w:after="0"/>
              <w:jc w:val="center"/>
              <w:rPr>
                <w:sz w:val="20"/>
              </w:rPr>
            </w:pPr>
            <w:r w:rsidRPr="006340F9">
              <w:rPr>
                <w:sz w:val="20"/>
              </w:rPr>
              <w:t>Not specified –</w:t>
            </w:r>
            <w:r w:rsidR="00DA4A1C" w:rsidRPr="006340F9">
              <w:rPr>
                <w:sz w:val="20"/>
              </w:rPr>
              <w:t xml:space="preserve"> </w:t>
            </w:r>
            <w:r w:rsidRPr="006340F9">
              <w:rPr>
                <w:sz w:val="20"/>
              </w:rPr>
              <w:t>period aligns with RTAC accreditation</w:t>
            </w:r>
            <w:r w:rsidRPr="006340F9">
              <w:rPr>
                <w:rStyle w:val="FootnoteReference"/>
                <w:rFonts w:cs="Arial"/>
                <w:sz w:val="20"/>
              </w:rPr>
              <w:footnoteReference w:id="73"/>
            </w:r>
          </w:p>
        </w:tc>
        <w:tc>
          <w:tcPr>
            <w:tcW w:w="1118" w:type="dxa"/>
          </w:tcPr>
          <w:p w14:paraId="50D00D23" w14:textId="665F7120" w:rsidR="00EA42B8" w:rsidRPr="006340F9" w:rsidRDefault="002C5A1C" w:rsidP="00121AA7">
            <w:pPr>
              <w:keepNext/>
              <w:spacing w:after="0"/>
              <w:jc w:val="center"/>
              <w:rPr>
                <w:sz w:val="20"/>
              </w:rPr>
            </w:pPr>
            <w:r w:rsidRPr="006340F9">
              <w:rPr>
                <w:sz w:val="20"/>
              </w:rPr>
              <w:t xml:space="preserve">Up to </w:t>
            </w:r>
            <w:r w:rsidR="0084204E" w:rsidRPr="006340F9">
              <w:rPr>
                <w:sz w:val="20"/>
              </w:rPr>
              <w:t>5 years</w:t>
            </w:r>
            <w:r w:rsidR="005507E2" w:rsidRPr="006340F9">
              <w:rPr>
                <w:rStyle w:val="FootnoteReference"/>
                <w:sz w:val="20"/>
              </w:rPr>
              <w:footnoteReference w:id="74"/>
            </w:r>
          </w:p>
        </w:tc>
      </w:tr>
    </w:tbl>
    <w:p w14:paraId="3F312C1C" w14:textId="54C10D0A" w:rsidR="005C554F" w:rsidRPr="006340F9" w:rsidRDefault="005C554F" w:rsidP="008D2E60">
      <w:pPr>
        <w:pStyle w:val="Bodyaftertablefigurebullets"/>
      </w:pPr>
      <w:r w:rsidRPr="006340F9">
        <w:t xml:space="preserve">Following RTAC accreditation, a new ART unit must apply to the relevant </w:t>
      </w:r>
      <w:r w:rsidR="00746D35" w:rsidRPr="006340F9">
        <w:t xml:space="preserve">state or territory </w:t>
      </w:r>
      <w:r w:rsidRPr="006340F9">
        <w:t>regulatory authority (where appropriate) for registration prior to commencing ART operations in that jurisdiction. The registration period varies between jurisdictions, ranging from one to five years.</w:t>
      </w:r>
      <w:r w:rsidR="006F74CD" w:rsidRPr="006340F9">
        <w:rPr>
          <w:rStyle w:val="FootnoteReference"/>
        </w:rPr>
        <w:footnoteReference w:id="75"/>
      </w:r>
      <w:r w:rsidRPr="006340F9">
        <w:t xml:space="preserve"> Under </w:t>
      </w:r>
      <w:r w:rsidR="009329A4" w:rsidRPr="006340F9">
        <w:rPr>
          <w:bCs/>
        </w:rPr>
        <w:t>State and Territory</w:t>
      </w:r>
      <w:r w:rsidRPr="006340F9">
        <w:t xml:space="preserve"> legislation, regulatory authorities may impose conditions o</w:t>
      </w:r>
      <w:r w:rsidR="008E59BC" w:rsidRPr="006340F9">
        <w:t>n the</w:t>
      </w:r>
      <w:r w:rsidRPr="006340F9">
        <w:t xml:space="preserve"> registration </w:t>
      </w:r>
      <w:r w:rsidR="008E59BC" w:rsidRPr="006340F9">
        <w:t>of</w:t>
      </w:r>
      <w:r w:rsidRPr="006340F9">
        <w:t xml:space="preserve"> ART units. These conditions vary between jurisdictions, reflecting differences in </w:t>
      </w:r>
      <w:r w:rsidR="009329A4" w:rsidRPr="006340F9">
        <w:rPr>
          <w:bCs/>
        </w:rPr>
        <w:t>State and Territory</w:t>
      </w:r>
      <w:r w:rsidR="009329A4" w:rsidRPr="006340F9" w:rsidDel="009329A4">
        <w:t xml:space="preserve"> </w:t>
      </w:r>
      <w:r w:rsidRPr="006340F9">
        <w:t xml:space="preserve">legislation. </w:t>
      </w:r>
      <w:r w:rsidR="00075BA7" w:rsidRPr="006340F9">
        <w:t xml:space="preserve">For example, </w:t>
      </w:r>
      <w:r w:rsidR="00691DBD" w:rsidRPr="006340F9">
        <w:t xml:space="preserve">it is a </w:t>
      </w:r>
      <w:r w:rsidR="00EF25C0" w:rsidRPr="006340F9">
        <w:t xml:space="preserve">condition of registration in </w:t>
      </w:r>
      <w:r w:rsidR="00C251B1" w:rsidRPr="006340F9">
        <w:t>Queensland, South Australia</w:t>
      </w:r>
      <w:r w:rsidR="0075641E" w:rsidRPr="006340F9">
        <w:t>,</w:t>
      </w:r>
      <w:r w:rsidR="00C251B1" w:rsidRPr="006340F9">
        <w:t xml:space="preserve"> Victoria</w:t>
      </w:r>
      <w:r w:rsidR="0056035B" w:rsidRPr="006340F9">
        <w:t>, and Western Australia</w:t>
      </w:r>
      <w:r w:rsidR="00C251B1" w:rsidRPr="006340F9">
        <w:t xml:space="preserve"> that</w:t>
      </w:r>
      <w:r w:rsidR="00785164" w:rsidRPr="006340F9">
        <w:t xml:space="preserve"> </w:t>
      </w:r>
      <w:r w:rsidR="00DC447D" w:rsidRPr="006340F9">
        <w:t>ART providers submit a copy of their RTAC audit reports</w:t>
      </w:r>
      <w:r w:rsidR="008066F3" w:rsidRPr="006340F9">
        <w:t xml:space="preserve"> to the regulatory authority.</w:t>
      </w:r>
      <w:r w:rsidR="0075641E" w:rsidRPr="006340F9">
        <w:t xml:space="preserve"> (Note</w:t>
      </w:r>
      <w:r w:rsidR="00890C1F" w:rsidRPr="006340F9">
        <w:t>:</w:t>
      </w:r>
      <w:r w:rsidR="001432A0" w:rsidRPr="006340F9">
        <w:t xml:space="preserve"> </w:t>
      </w:r>
      <w:r w:rsidR="0075641E" w:rsidRPr="006340F9">
        <w:t>RTAC does not provide the audit reports</w:t>
      </w:r>
      <w:r w:rsidR="00044E09" w:rsidRPr="006340F9">
        <w:t xml:space="preserve"> </w:t>
      </w:r>
      <w:r w:rsidR="00D754C9" w:rsidRPr="006340F9">
        <w:t xml:space="preserve">directly </w:t>
      </w:r>
      <w:r w:rsidR="00044E09" w:rsidRPr="006340F9">
        <w:t>to regulatory authorities</w:t>
      </w:r>
      <w:r w:rsidR="001432A0" w:rsidRPr="006340F9">
        <w:t xml:space="preserve">. See </w:t>
      </w:r>
      <w:r w:rsidR="006A4B16" w:rsidRPr="006340F9">
        <w:t>Table</w:t>
      </w:r>
      <w:r w:rsidR="000B1173" w:rsidRPr="006340F9">
        <w:t xml:space="preserve"> 2.2</w:t>
      </w:r>
      <w:r w:rsidR="0075641E" w:rsidRPr="006340F9">
        <w:t>).</w:t>
      </w:r>
    </w:p>
    <w:p w14:paraId="12291C03" w14:textId="51EDC630" w:rsidR="005C554F" w:rsidRPr="006340F9" w:rsidRDefault="005C554F" w:rsidP="004600B7">
      <w:pPr>
        <w:pStyle w:val="Heading3"/>
      </w:pPr>
      <w:bookmarkStart w:id="78" w:name="_Toc207139085"/>
      <w:bookmarkStart w:id="79" w:name="_Toc207139264"/>
      <w:bookmarkEnd w:id="78"/>
      <w:bookmarkEnd w:id="79"/>
      <w:r w:rsidRPr="006340F9">
        <w:t xml:space="preserve">ART providers with day hospitals require </w:t>
      </w:r>
      <w:r w:rsidR="00BF17A1" w:rsidRPr="006340F9">
        <w:t>NSQHS</w:t>
      </w:r>
      <w:r w:rsidR="00FE36E1" w:rsidRPr="006340F9">
        <w:t xml:space="preserve"> accreditation</w:t>
      </w:r>
    </w:p>
    <w:p w14:paraId="4E245A6F" w14:textId="3FF4A1EC" w:rsidR="005C554F" w:rsidRPr="006340F9" w:rsidRDefault="005C554F" w:rsidP="00B7757E">
      <w:pPr>
        <w:pStyle w:val="Body"/>
      </w:pPr>
      <w:r w:rsidRPr="006340F9">
        <w:t xml:space="preserve">In addition to RTAC accreditation, if an ART provider operates a day hospital facility, that facility requires separate accreditation by the </w:t>
      </w:r>
      <w:r w:rsidR="00B14136" w:rsidRPr="006340F9">
        <w:t>Commission</w:t>
      </w:r>
      <w:r w:rsidRPr="006340F9">
        <w:t xml:space="preserve"> using the Commission’s national standards. Some ART units have day procedure facilities to conduct invasive procedures on-site, such as oocyte retrieval, and therefore fall within the remit of these standards.</w:t>
      </w:r>
      <w:r w:rsidR="00D64A4B" w:rsidRPr="006340F9">
        <w:t xml:space="preserve"> </w:t>
      </w:r>
      <w:r w:rsidR="00E72AA7" w:rsidRPr="006340F9">
        <w:t xml:space="preserve">This </w:t>
      </w:r>
      <w:r w:rsidR="00034362" w:rsidRPr="006340F9">
        <w:t>would be</w:t>
      </w:r>
      <w:r w:rsidR="00065F14" w:rsidRPr="006340F9">
        <w:t xml:space="preserve"> in addition to </w:t>
      </w:r>
      <w:r w:rsidR="003A4CB2" w:rsidRPr="006340F9">
        <w:t>other</w:t>
      </w:r>
      <w:r w:rsidR="00065F14" w:rsidRPr="006340F9">
        <w:t xml:space="preserve"> regulatory requirements </w:t>
      </w:r>
      <w:r w:rsidR="001B5F17" w:rsidRPr="006340F9">
        <w:t>that are</w:t>
      </w:r>
      <w:r w:rsidR="00065F14" w:rsidRPr="006340F9">
        <w:t xml:space="preserve"> </w:t>
      </w:r>
      <w:r w:rsidR="00477385" w:rsidRPr="006340F9">
        <w:t>imposed</w:t>
      </w:r>
      <w:r w:rsidR="003A4CB2" w:rsidRPr="006340F9">
        <w:t xml:space="preserve"> by</w:t>
      </w:r>
      <w:r w:rsidR="00065F14" w:rsidRPr="006340F9">
        <w:t xml:space="preserve"> State or Territory regulatory authorit</w:t>
      </w:r>
      <w:r w:rsidR="00961E40" w:rsidRPr="006340F9">
        <w:t>ies</w:t>
      </w:r>
      <w:r w:rsidR="00065F14" w:rsidRPr="006340F9">
        <w:t>.</w:t>
      </w:r>
    </w:p>
    <w:p w14:paraId="63AE28C4" w14:textId="0079EE87" w:rsidR="005C554F" w:rsidRPr="006340F9" w:rsidRDefault="005C554F" w:rsidP="00B7757E">
      <w:pPr>
        <w:pStyle w:val="Body"/>
      </w:pPr>
      <w:r w:rsidRPr="006340F9">
        <w:t xml:space="preserve">Accreditation of day procedure facilities against the NSQHC Standards is undertaken by </w:t>
      </w:r>
      <w:r w:rsidR="00001265" w:rsidRPr="006340F9">
        <w:t xml:space="preserve">accrediting </w:t>
      </w:r>
      <w:r w:rsidRPr="006340F9">
        <w:t xml:space="preserve">agencies approved and overseen by </w:t>
      </w:r>
      <w:r w:rsidR="00CF3D26" w:rsidRPr="006340F9">
        <w:t xml:space="preserve">the </w:t>
      </w:r>
      <w:r w:rsidR="00B13F8B" w:rsidRPr="006340F9">
        <w:t>Commission</w:t>
      </w:r>
      <w:r w:rsidRPr="006340F9">
        <w:t xml:space="preserve">. </w:t>
      </w:r>
      <w:r w:rsidR="00CF3D26" w:rsidRPr="006340F9">
        <w:t xml:space="preserve">The </w:t>
      </w:r>
      <w:r w:rsidR="00B13F8B" w:rsidRPr="006340F9">
        <w:t>Commission</w:t>
      </w:r>
      <w:r w:rsidRPr="006340F9">
        <w:t xml:space="preserve"> reviews </w:t>
      </w:r>
      <w:r w:rsidRPr="006340F9">
        <w:lastRenderedPageBreak/>
        <w:t xml:space="preserve">the performance of all approved </w:t>
      </w:r>
      <w:r w:rsidR="00001265" w:rsidRPr="006340F9">
        <w:t xml:space="preserve">accrediting </w:t>
      </w:r>
      <w:r w:rsidRPr="006340F9">
        <w:t xml:space="preserve">agencies. The outcomes of assessments against the NSQHS standards for hospitals is publicly available on the </w:t>
      </w:r>
      <w:r w:rsidR="00B13F8B" w:rsidRPr="006340F9">
        <w:t>Commission</w:t>
      </w:r>
      <w:r w:rsidRPr="006340F9">
        <w:t xml:space="preserve"> website.</w:t>
      </w:r>
      <w:bookmarkStart w:id="80" w:name="_Ref207721064"/>
      <w:r w:rsidRPr="006340F9">
        <w:rPr>
          <w:vertAlign w:val="superscript"/>
        </w:rPr>
        <w:footnoteReference w:id="76"/>
      </w:r>
      <w:bookmarkEnd w:id="80"/>
      <w:r w:rsidRPr="006340F9">
        <w:t xml:space="preserve"> </w:t>
      </w:r>
    </w:p>
    <w:p w14:paraId="14870370" w14:textId="64C79B0F" w:rsidR="00482CB8" w:rsidRPr="006340F9" w:rsidRDefault="009410D7" w:rsidP="004600B7">
      <w:pPr>
        <w:pStyle w:val="Heading3"/>
      </w:pPr>
      <w:r w:rsidRPr="006340F9">
        <w:t xml:space="preserve">Some ART practitioners are registered with </w:t>
      </w:r>
      <w:proofErr w:type="spellStart"/>
      <w:r w:rsidRPr="006340F9">
        <w:t>Ahpra</w:t>
      </w:r>
      <w:proofErr w:type="spellEnd"/>
    </w:p>
    <w:p w14:paraId="01E38391" w14:textId="14B6CACA" w:rsidR="009410D7" w:rsidRPr="006340F9" w:rsidRDefault="009410D7" w:rsidP="00B7757E">
      <w:pPr>
        <w:pStyle w:val="Body"/>
      </w:pPr>
      <w:proofErr w:type="spellStart"/>
      <w:r w:rsidRPr="006340F9">
        <w:t>Ahpra</w:t>
      </w:r>
      <w:proofErr w:type="spellEnd"/>
      <w:r w:rsidRPr="006340F9">
        <w:t xml:space="preserve"> registration is a requirement for some professionals that deliver ART services, including medical practitioners, nurse managers and counselling managers who are clinical psychologists</w:t>
      </w:r>
      <w:r w:rsidR="0088362D" w:rsidRPr="006340F9">
        <w:t>.</w:t>
      </w:r>
      <w:r w:rsidR="00567626" w:rsidRPr="006340F9">
        <w:rPr>
          <w:rStyle w:val="FootnoteReference"/>
        </w:rPr>
        <w:footnoteReference w:id="77"/>
      </w:r>
      <w:r w:rsidR="002000E0" w:rsidRPr="006340F9">
        <w:t xml:space="preserve"> </w:t>
      </w:r>
      <w:r w:rsidRPr="006340F9">
        <w:t>Other ART personnel</w:t>
      </w:r>
      <w:r w:rsidRPr="006340F9" w:rsidDel="002B3A6A">
        <w:t>,</w:t>
      </w:r>
      <w:r w:rsidRPr="006340F9">
        <w:t xml:space="preserve"> </w:t>
      </w:r>
      <w:r w:rsidR="002B3A6A" w:rsidRPr="006340F9">
        <w:t>including laboratory supervisors, counselling managers (social workers), fertility scientists (embryologists) and quality managers,</w:t>
      </w:r>
      <w:r w:rsidR="002B3A6A" w:rsidRPr="006340F9" w:rsidDel="002B3A6A">
        <w:t xml:space="preserve"> </w:t>
      </w:r>
      <w:r w:rsidRPr="006340F9">
        <w:t xml:space="preserve">are not subject to </w:t>
      </w:r>
      <w:proofErr w:type="spellStart"/>
      <w:r w:rsidRPr="006340F9">
        <w:t>Ahpra</w:t>
      </w:r>
      <w:proofErr w:type="spellEnd"/>
      <w:r w:rsidRPr="006340F9">
        <w:t xml:space="preserve"> registration. </w:t>
      </w:r>
    </w:p>
    <w:p w14:paraId="103AFF9C" w14:textId="41F25E30" w:rsidR="009410D7" w:rsidRPr="006340F9" w:rsidRDefault="00651221" w:rsidP="00B7757E">
      <w:pPr>
        <w:pStyle w:val="Body"/>
      </w:pPr>
      <w:r w:rsidRPr="006340F9">
        <w:t xml:space="preserve">As outlined above in </w:t>
      </w:r>
      <w:r w:rsidR="006F5691" w:rsidRPr="006340F9">
        <w:t>c</w:t>
      </w:r>
      <w:r w:rsidR="00343F14" w:rsidRPr="006340F9">
        <w:t xml:space="preserve">hapter </w:t>
      </w:r>
      <w:r w:rsidR="00572028" w:rsidRPr="006340F9">
        <w:fldChar w:fldCharType="begin"/>
      </w:r>
      <w:r w:rsidR="00572028" w:rsidRPr="006340F9">
        <w:instrText xml:space="preserve"> REF _Ref207633302 \n \h </w:instrText>
      </w:r>
      <w:r w:rsidR="00F003E2" w:rsidRPr="006340F9">
        <w:instrText xml:space="preserve"> \* MERGEFORMAT </w:instrText>
      </w:r>
      <w:r w:rsidR="00572028" w:rsidRPr="006340F9">
        <w:fldChar w:fldCharType="separate"/>
      </w:r>
      <w:r w:rsidR="007D732A">
        <w:t>2</w:t>
      </w:r>
      <w:r w:rsidR="00572028" w:rsidRPr="006340F9">
        <w:fldChar w:fldCharType="end"/>
      </w:r>
      <w:r w:rsidR="000F123D" w:rsidRPr="006340F9">
        <w:t xml:space="preserve">, </w:t>
      </w:r>
      <w:r w:rsidR="009410D7" w:rsidRPr="006340F9">
        <w:t>it is a requirement of the Code of Practice that key personnel meet qualification, training, education and experience requirements.</w:t>
      </w:r>
      <w:r w:rsidR="00567626" w:rsidRPr="006340F9">
        <w:rPr>
          <w:rStyle w:val="FootnoteReference"/>
        </w:rPr>
        <w:footnoteReference w:id="78"/>
      </w:r>
      <w:r w:rsidR="002000E0" w:rsidRPr="006340F9">
        <w:rPr>
          <w:vertAlign w:val="superscript"/>
        </w:rPr>
        <w:t xml:space="preserve"> </w:t>
      </w:r>
      <w:r w:rsidR="009410D7" w:rsidRPr="006340F9">
        <w:t>This includes a requirement for Medical and Clinical Directors to have a Certificate of Reproductive Endocrinology and Infertility,</w:t>
      </w:r>
      <w:r w:rsidR="00EC1CE1" w:rsidRPr="006340F9">
        <w:rPr>
          <w:rStyle w:val="FootnoteReference"/>
        </w:rPr>
        <w:footnoteReference w:id="79"/>
      </w:r>
      <w:r w:rsidR="009410D7" w:rsidRPr="006340F9">
        <w:t xml:space="preserve"> and recommendation for scientists to be certified with the Australian Council for Certification of the Medical Laboratory Scientific Workforce.</w:t>
      </w:r>
      <w:r w:rsidR="00191A31" w:rsidRPr="006340F9">
        <w:rPr>
          <w:rStyle w:val="FootnoteReference"/>
        </w:rPr>
        <w:footnoteReference w:id="80"/>
      </w:r>
      <w:r w:rsidR="002000E0" w:rsidRPr="006340F9">
        <w:rPr>
          <w:vertAlign w:val="superscript"/>
        </w:rPr>
        <w:t xml:space="preserve"> </w:t>
      </w:r>
    </w:p>
    <w:p w14:paraId="2B5EDC3E" w14:textId="60A11BB9" w:rsidR="005C554F" w:rsidRPr="006340F9" w:rsidRDefault="005C554F" w:rsidP="0062093F">
      <w:pPr>
        <w:pStyle w:val="Heading2"/>
      </w:pPr>
      <w:bookmarkStart w:id="81" w:name="_Toc205489532"/>
      <w:bookmarkStart w:id="82" w:name="_Toc207262017"/>
      <w:bookmarkStart w:id="83" w:name="_Toc207976232"/>
      <w:bookmarkStart w:id="84" w:name="_Toc209441985"/>
      <w:bookmarkStart w:id="85" w:name="_Ref209443037"/>
      <w:r w:rsidRPr="006340F9">
        <w:t>Market conduct</w:t>
      </w:r>
      <w:bookmarkEnd w:id="81"/>
      <w:bookmarkEnd w:id="82"/>
      <w:r w:rsidR="002647EC" w:rsidRPr="006340F9">
        <w:t xml:space="preserve"> – accreditation</w:t>
      </w:r>
      <w:bookmarkEnd w:id="83"/>
      <w:bookmarkEnd w:id="84"/>
      <w:bookmarkEnd w:id="85"/>
      <w:r w:rsidR="002647EC" w:rsidRPr="006340F9">
        <w:t xml:space="preserve"> </w:t>
      </w:r>
    </w:p>
    <w:p w14:paraId="713405B8" w14:textId="438E70D0" w:rsidR="005C554F" w:rsidRPr="006340F9" w:rsidRDefault="005C554F" w:rsidP="00B7757E">
      <w:pPr>
        <w:pStyle w:val="Body"/>
      </w:pPr>
      <w:r w:rsidRPr="006340F9">
        <w:t xml:space="preserve">RTAC provides ongoing oversight of ART units’ conduct through its accreditation </w:t>
      </w:r>
      <w:r w:rsidR="007105CD" w:rsidRPr="006340F9">
        <w:t>scheme</w:t>
      </w:r>
      <w:r w:rsidR="00816070" w:rsidRPr="006340F9">
        <w:t xml:space="preserve">, which involves </w:t>
      </w:r>
      <w:r w:rsidRPr="006340F9">
        <w:t>periodic audits</w:t>
      </w:r>
      <w:r w:rsidR="00802A96" w:rsidRPr="006340F9">
        <w:t xml:space="preserve"> and reporting re</w:t>
      </w:r>
      <w:r w:rsidR="00957816" w:rsidRPr="006340F9">
        <w:t>quirements</w:t>
      </w:r>
      <w:r w:rsidRPr="006340F9">
        <w:t xml:space="preserve">. </w:t>
      </w:r>
    </w:p>
    <w:p w14:paraId="73CC63D2" w14:textId="6F945871" w:rsidR="005C554F" w:rsidRPr="006340F9" w:rsidRDefault="005C554F" w:rsidP="004600B7">
      <w:pPr>
        <w:pStyle w:val="Heading3"/>
      </w:pPr>
      <w:bookmarkStart w:id="86" w:name="_Ref207636560"/>
      <w:bookmarkStart w:id="87" w:name="_Toc205489533"/>
      <w:r w:rsidRPr="006340F9">
        <w:t>Annual RTAC audits are required to maintain accreditation</w:t>
      </w:r>
      <w:bookmarkEnd w:id="86"/>
      <w:r w:rsidRPr="006340F9">
        <w:t xml:space="preserve">  </w:t>
      </w:r>
      <w:bookmarkEnd w:id="87"/>
    </w:p>
    <w:p w14:paraId="031E526C" w14:textId="458F2374" w:rsidR="005C554F" w:rsidRPr="006340F9" w:rsidRDefault="005C554F" w:rsidP="00B7757E">
      <w:pPr>
        <w:pStyle w:val="Body"/>
      </w:pPr>
      <w:r w:rsidRPr="006340F9">
        <w:t xml:space="preserve">RTAC oversees the compliance of ART units with the Code of Practice through an annual re-accreditation process and a requirement </w:t>
      </w:r>
      <w:r w:rsidR="00446F10" w:rsidRPr="006340F9">
        <w:t xml:space="preserve">to </w:t>
      </w:r>
      <w:r w:rsidRPr="006340F9">
        <w:t>self-report any adverse events.</w:t>
      </w:r>
      <w:r w:rsidR="00E27C2B" w:rsidRPr="006340F9">
        <w:rPr>
          <w:rStyle w:val="FootnoteReference"/>
        </w:rPr>
        <w:footnoteReference w:id="81"/>
      </w:r>
    </w:p>
    <w:p w14:paraId="3D4CB8B3" w14:textId="1D655336" w:rsidR="005C554F" w:rsidRPr="006340F9" w:rsidRDefault="005C554F" w:rsidP="00B7757E">
      <w:pPr>
        <w:pStyle w:val="Body"/>
      </w:pPr>
      <w:r w:rsidRPr="006340F9">
        <w:t>To maintain RTAC accreditation, each ART unit must undergo an annual surveillance audit against the Code of Practice.</w:t>
      </w:r>
    </w:p>
    <w:p w14:paraId="43567F19" w14:textId="733DF5EC" w:rsidR="005C554F" w:rsidRPr="006340F9" w:rsidRDefault="005C554F" w:rsidP="00B7757E">
      <w:pPr>
        <w:pStyle w:val="Body"/>
      </w:pPr>
      <w:r w:rsidRPr="006340F9">
        <w:t xml:space="preserve">An audit typically takes </w:t>
      </w:r>
      <w:r w:rsidR="001070ED" w:rsidRPr="006340F9">
        <w:t xml:space="preserve">one </w:t>
      </w:r>
      <w:r w:rsidRPr="006340F9">
        <w:t>day on-site, although the RTAC certifying bodies advised that this would depend on the size of the ART unit and the complexity of the services it offers.</w:t>
      </w:r>
    </w:p>
    <w:p w14:paraId="6856CB47" w14:textId="77777777" w:rsidR="005C554F" w:rsidRPr="006340F9" w:rsidRDefault="005C554F" w:rsidP="00B7757E">
      <w:pPr>
        <w:pStyle w:val="Body"/>
      </w:pPr>
      <w:r w:rsidRPr="006340F9">
        <w:t>Each annual audit assesses compliance with:</w:t>
      </w:r>
      <w:r w:rsidRPr="006340F9">
        <w:rPr>
          <w:vertAlign w:val="superscript"/>
        </w:rPr>
        <w:footnoteReference w:id="82"/>
      </w:r>
    </w:p>
    <w:p w14:paraId="64C163E4" w14:textId="6C668A23" w:rsidR="005C554F" w:rsidRPr="006340F9" w:rsidRDefault="005C554F" w:rsidP="002B7A3D">
      <w:pPr>
        <w:pStyle w:val="Bullet1"/>
      </w:pPr>
      <w:r w:rsidRPr="006340F9">
        <w:t>all Critical Criteria in the Code of Practice</w:t>
      </w:r>
    </w:p>
    <w:p w14:paraId="6A2220C1" w14:textId="77777777" w:rsidR="005C554F" w:rsidRPr="006340F9" w:rsidRDefault="005C554F" w:rsidP="002B7A3D">
      <w:pPr>
        <w:pStyle w:val="Bullet1"/>
      </w:pPr>
      <w:r w:rsidRPr="006340F9">
        <w:lastRenderedPageBreak/>
        <w:t>at least one-third of the Good Practice Criteria (such that all criteria are audited over a three-year surveillance period)</w:t>
      </w:r>
    </w:p>
    <w:p w14:paraId="3A4F80C7" w14:textId="6B144F8C" w:rsidR="005C554F" w:rsidRPr="006340F9" w:rsidRDefault="005C554F" w:rsidP="002B7A3D">
      <w:pPr>
        <w:pStyle w:val="Bullet1"/>
      </w:pPr>
      <w:r w:rsidRPr="006340F9">
        <w:t>the effectiveness of internal audits plus a minimum of one-third of the quality management system (QMS) (such that all QMS</w:t>
      </w:r>
      <w:r w:rsidR="00FC41E8" w:rsidRPr="006340F9">
        <w:t>s</w:t>
      </w:r>
      <w:r w:rsidRPr="006340F9">
        <w:t xml:space="preserve"> </w:t>
      </w:r>
      <w:r w:rsidR="00FC41E8" w:rsidRPr="006340F9">
        <w:t xml:space="preserve">are </w:t>
      </w:r>
      <w:r w:rsidRPr="006340F9">
        <w:t>audited over a three-year surveillance period).</w:t>
      </w:r>
    </w:p>
    <w:p w14:paraId="170C2504" w14:textId="77777777" w:rsidR="005C554F" w:rsidRPr="006340F9" w:rsidRDefault="005C554F" w:rsidP="004558C0">
      <w:pPr>
        <w:pStyle w:val="Bodyaftertablefigurebullets"/>
      </w:pPr>
      <w:r w:rsidRPr="006340F9">
        <w:t>The surveillance audit is arranged between the ART unit and the auditor. Audits are undertaken with significant notice periods and must be scheduled more than 30 days before the expiry date of the RTAC licence. ART units pay for the audit to be undertaken.</w:t>
      </w:r>
    </w:p>
    <w:p w14:paraId="47F4D24F" w14:textId="77777777" w:rsidR="005C554F" w:rsidRPr="006340F9" w:rsidRDefault="005C554F" w:rsidP="004706E9">
      <w:pPr>
        <w:pStyle w:val="Heading4"/>
      </w:pPr>
      <w:bookmarkStart w:id="88" w:name="_Ref207618190"/>
      <w:r w:rsidRPr="006340F9">
        <w:t>Audit findings are reported to ART units and RTAC</w:t>
      </w:r>
      <w:bookmarkEnd w:id="88"/>
    </w:p>
    <w:p w14:paraId="163501F6" w14:textId="4C2A62C8" w:rsidR="005C554F" w:rsidRPr="006340F9" w:rsidRDefault="005C554F" w:rsidP="00B7757E">
      <w:pPr>
        <w:pStyle w:val="Body"/>
      </w:pPr>
      <w:r w:rsidRPr="006340F9">
        <w:t xml:space="preserve">Audit findings are </w:t>
      </w:r>
      <w:r w:rsidR="00687796" w:rsidRPr="006340F9">
        <w:t>provided by the cert</w:t>
      </w:r>
      <w:r w:rsidR="00297A2E" w:rsidRPr="006340F9">
        <w:t>ifying body</w:t>
      </w:r>
      <w:r w:rsidR="00687796" w:rsidRPr="006340F9">
        <w:t xml:space="preserve"> </w:t>
      </w:r>
      <w:r w:rsidRPr="006340F9">
        <w:t xml:space="preserve">to the ART unit and </w:t>
      </w:r>
      <w:r w:rsidR="709E8CC9" w:rsidRPr="006340F9">
        <w:t xml:space="preserve">to </w:t>
      </w:r>
      <w:r w:rsidR="00A00690" w:rsidRPr="006340F9">
        <w:t>the</w:t>
      </w:r>
      <w:r w:rsidRPr="006340F9">
        <w:t xml:space="preserve"> RTAC</w:t>
      </w:r>
      <w:r w:rsidR="00A00690" w:rsidRPr="006340F9">
        <w:t xml:space="preserve"> Chair</w:t>
      </w:r>
      <w:r w:rsidRPr="006340F9">
        <w:t xml:space="preserve">. The RTAC Chair reviews all audit reports and prepares summaries and brief thematic analysis for the FSANZ board and the RTAC </w:t>
      </w:r>
      <w:r w:rsidR="00733A74" w:rsidRPr="006340F9">
        <w:t>a</w:t>
      </w:r>
      <w:r w:rsidRPr="006340F9">
        <w:t>nnual report</w:t>
      </w:r>
      <w:r w:rsidR="7AE4B833" w:rsidRPr="006340F9">
        <w:t>. A</w:t>
      </w:r>
      <w:r w:rsidR="00944ECA" w:rsidRPr="006340F9">
        <w:t>udit reports</w:t>
      </w:r>
      <w:r w:rsidR="00D465A6" w:rsidRPr="006340F9">
        <w:t xml:space="preserve"> are not sighted by</w:t>
      </w:r>
      <w:r w:rsidRPr="006340F9">
        <w:t xml:space="preserve"> </w:t>
      </w:r>
      <w:r w:rsidR="00297A2E" w:rsidRPr="006340F9">
        <w:t>other RTAC member</w:t>
      </w:r>
      <w:r w:rsidR="00D465A6" w:rsidRPr="006340F9">
        <w:t>s</w:t>
      </w:r>
      <w:r w:rsidR="00944ECA" w:rsidRPr="006340F9">
        <w:t xml:space="preserve">. </w:t>
      </w:r>
      <w:r w:rsidR="00780BC7" w:rsidRPr="006340F9">
        <w:t xml:space="preserve">RTAC </w:t>
      </w:r>
      <w:r w:rsidR="00554234" w:rsidRPr="006340F9">
        <w:t xml:space="preserve">does not </w:t>
      </w:r>
      <w:r w:rsidR="00E35FA4" w:rsidRPr="006340F9">
        <w:t>provide</w:t>
      </w:r>
      <w:r w:rsidR="00780BC7" w:rsidRPr="006340F9">
        <w:t xml:space="preserve"> audit reports directly to </w:t>
      </w:r>
      <w:r w:rsidR="00B8032F" w:rsidRPr="006340F9">
        <w:t>state and regulatory authorities</w:t>
      </w:r>
      <w:r w:rsidR="00D847BA" w:rsidRPr="006340F9">
        <w:t>.</w:t>
      </w:r>
      <w:r w:rsidR="00554234" w:rsidRPr="006340F9">
        <w:t xml:space="preserve"> </w:t>
      </w:r>
      <w:r w:rsidRPr="006340F9">
        <w:t xml:space="preserve">There are varying arrangements for </w:t>
      </w:r>
      <w:r w:rsidR="006A63AF" w:rsidRPr="006340F9">
        <w:t xml:space="preserve">ART </w:t>
      </w:r>
      <w:r w:rsidR="00C9114C" w:rsidRPr="006340F9">
        <w:t>u</w:t>
      </w:r>
      <w:r w:rsidR="006A63AF" w:rsidRPr="006340F9">
        <w:t xml:space="preserve">nits to report </w:t>
      </w:r>
      <w:r w:rsidRPr="006340F9">
        <w:t xml:space="preserve">audit outcomes to </w:t>
      </w:r>
      <w:r w:rsidR="009329A4" w:rsidRPr="006340F9">
        <w:rPr>
          <w:bCs/>
        </w:rPr>
        <w:t>State and Territory</w:t>
      </w:r>
      <w:r w:rsidR="009329A4" w:rsidRPr="006340F9">
        <w:t xml:space="preserve"> </w:t>
      </w:r>
      <w:r w:rsidRPr="006340F9">
        <w:t>regulator</w:t>
      </w:r>
      <w:r w:rsidR="00326E9A" w:rsidRPr="006340F9">
        <w:t>y authorities</w:t>
      </w:r>
      <w:r w:rsidRPr="006340F9">
        <w:t xml:space="preserve">, as set out in </w:t>
      </w:r>
      <w:r w:rsidR="006A4B16" w:rsidRPr="006340F9">
        <w:t>Table</w:t>
      </w:r>
      <w:r w:rsidR="000B1173" w:rsidRPr="006340F9">
        <w:t xml:space="preserve"> 2.2 </w:t>
      </w:r>
      <w:r w:rsidRPr="006340F9">
        <w:t>below.</w:t>
      </w:r>
    </w:p>
    <w:p w14:paraId="46B7B4A1" w14:textId="21C299DF" w:rsidR="001814A6" w:rsidRPr="006340F9" w:rsidRDefault="006A4B16" w:rsidP="00C225E3">
      <w:pPr>
        <w:pStyle w:val="Tablecaption"/>
      </w:pPr>
      <w:r w:rsidRPr="006340F9">
        <w:t>Table</w:t>
      </w:r>
      <w:r w:rsidR="000B1173" w:rsidRPr="006340F9">
        <w:t xml:space="preserve"> 2.2:</w:t>
      </w:r>
      <w:r w:rsidR="001814A6" w:rsidRPr="006340F9">
        <w:t xml:space="preserve"> Reporting arrangements for renewal of RTAC accreditation</w:t>
      </w:r>
      <w:r w:rsidR="00D83BDB" w:rsidRPr="006340F9">
        <w:t>.</w:t>
      </w:r>
    </w:p>
    <w:tbl>
      <w:tblPr>
        <w:tblStyle w:val="TableGrid"/>
        <w:tblW w:w="0" w:type="auto"/>
        <w:tblCellMar>
          <w:left w:w="28" w:type="dxa"/>
          <w:right w:w="28" w:type="dxa"/>
        </w:tblCellMar>
        <w:tblLook w:val="04A0" w:firstRow="1" w:lastRow="0" w:firstColumn="1" w:lastColumn="0" w:noHBand="0" w:noVBand="1"/>
      </w:tblPr>
      <w:tblGrid>
        <w:gridCol w:w="1661"/>
        <w:gridCol w:w="778"/>
        <w:gridCol w:w="1155"/>
        <w:gridCol w:w="1155"/>
        <w:gridCol w:w="778"/>
        <w:gridCol w:w="778"/>
        <w:gridCol w:w="1155"/>
        <w:gridCol w:w="778"/>
        <w:gridCol w:w="778"/>
      </w:tblGrid>
      <w:tr w:rsidR="00F62883" w:rsidRPr="006340F9" w14:paraId="4A42AD7D" w14:textId="77777777" w:rsidTr="00BD5A45">
        <w:tc>
          <w:tcPr>
            <w:tcW w:w="0" w:type="auto"/>
            <w:shd w:val="clear" w:color="auto" w:fill="C6D9F1" w:themeFill="text2" w:themeFillTint="33"/>
          </w:tcPr>
          <w:p w14:paraId="26961867" w14:textId="77777777" w:rsidR="005C554F" w:rsidRPr="006340F9" w:rsidRDefault="005C554F" w:rsidP="00C225E3">
            <w:pPr>
              <w:pStyle w:val="Body"/>
              <w:keepNext/>
              <w:rPr>
                <w:sz w:val="20"/>
                <w:szCs w:val="20"/>
              </w:rPr>
            </w:pPr>
          </w:p>
        </w:tc>
        <w:tc>
          <w:tcPr>
            <w:tcW w:w="0" w:type="auto"/>
            <w:shd w:val="clear" w:color="auto" w:fill="C6D9F1" w:themeFill="text2" w:themeFillTint="33"/>
            <w:vAlign w:val="center"/>
          </w:tcPr>
          <w:p w14:paraId="6732F45E" w14:textId="77777777" w:rsidR="005C554F" w:rsidRPr="006340F9" w:rsidRDefault="005C554F" w:rsidP="00C225E3">
            <w:pPr>
              <w:pStyle w:val="Tablecolhead"/>
              <w:keepNext/>
              <w:rPr>
                <w:sz w:val="20"/>
                <w:szCs w:val="20"/>
              </w:rPr>
            </w:pPr>
            <w:r w:rsidRPr="006340F9">
              <w:rPr>
                <w:sz w:val="20"/>
                <w:szCs w:val="20"/>
              </w:rPr>
              <w:t>ACT</w:t>
            </w:r>
          </w:p>
        </w:tc>
        <w:tc>
          <w:tcPr>
            <w:tcW w:w="0" w:type="auto"/>
            <w:shd w:val="clear" w:color="auto" w:fill="C6D9F1" w:themeFill="text2" w:themeFillTint="33"/>
            <w:vAlign w:val="center"/>
          </w:tcPr>
          <w:p w14:paraId="28D5A8E5" w14:textId="77777777" w:rsidR="005C554F" w:rsidRPr="006340F9" w:rsidRDefault="005C554F" w:rsidP="00C225E3">
            <w:pPr>
              <w:pStyle w:val="Tablecolhead"/>
              <w:keepNext/>
              <w:rPr>
                <w:sz w:val="20"/>
                <w:szCs w:val="20"/>
              </w:rPr>
            </w:pPr>
            <w:r w:rsidRPr="006340F9">
              <w:rPr>
                <w:sz w:val="20"/>
                <w:szCs w:val="20"/>
              </w:rPr>
              <w:t>NSW</w:t>
            </w:r>
          </w:p>
        </w:tc>
        <w:tc>
          <w:tcPr>
            <w:tcW w:w="0" w:type="auto"/>
            <w:shd w:val="clear" w:color="auto" w:fill="C6D9F1" w:themeFill="text2" w:themeFillTint="33"/>
            <w:vAlign w:val="center"/>
          </w:tcPr>
          <w:p w14:paraId="27BD1E80" w14:textId="77777777" w:rsidR="005C554F" w:rsidRPr="006340F9" w:rsidRDefault="005C554F" w:rsidP="00C225E3">
            <w:pPr>
              <w:pStyle w:val="Tablecolhead"/>
              <w:keepNext/>
              <w:rPr>
                <w:sz w:val="20"/>
                <w:szCs w:val="20"/>
              </w:rPr>
            </w:pPr>
            <w:r w:rsidRPr="006340F9">
              <w:rPr>
                <w:sz w:val="20"/>
                <w:szCs w:val="20"/>
              </w:rPr>
              <w:t>NT</w:t>
            </w:r>
          </w:p>
        </w:tc>
        <w:tc>
          <w:tcPr>
            <w:tcW w:w="0" w:type="auto"/>
            <w:shd w:val="clear" w:color="auto" w:fill="C6D9F1" w:themeFill="text2" w:themeFillTint="33"/>
            <w:vAlign w:val="center"/>
          </w:tcPr>
          <w:p w14:paraId="1D47EF04" w14:textId="77777777" w:rsidR="005C554F" w:rsidRPr="006340F9" w:rsidRDefault="005C554F" w:rsidP="00C225E3">
            <w:pPr>
              <w:pStyle w:val="Tablecolhead"/>
              <w:keepNext/>
              <w:rPr>
                <w:sz w:val="20"/>
                <w:szCs w:val="20"/>
              </w:rPr>
            </w:pPr>
            <w:r w:rsidRPr="006340F9">
              <w:rPr>
                <w:sz w:val="20"/>
                <w:szCs w:val="20"/>
              </w:rPr>
              <w:t>QLD</w:t>
            </w:r>
          </w:p>
        </w:tc>
        <w:tc>
          <w:tcPr>
            <w:tcW w:w="0" w:type="auto"/>
            <w:shd w:val="clear" w:color="auto" w:fill="C6D9F1" w:themeFill="text2" w:themeFillTint="33"/>
            <w:vAlign w:val="center"/>
          </w:tcPr>
          <w:p w14:paraId="6BA9301C" w14:textId="77777777" w:rsidR="005C554F" w:rsidRPr="006340F9" w:rsidRDefault="005C554F" w:rsidP="00C225E3">
            <w:pPr>
              <w:pStyle w:val="Tablecolhead"/>
              <w:keepNext/>
              <w:rPr>
                <w:sz w:val="20"/>
                <w:szCs w:val="20"/>
              </w:rPr>
            </w:pPr>
            <w:r w:rsidRPr="006340F9">
              <w:rPr>
                <w:sz w:val="20"/>
                <w:szCs w:val="20"/>
              </w:rPr>
              <w:t>SA</w:t>
            </w:r>
          </w:p>
        </w:tc>
        <w:tc>
          <w:tcPr>
            <w:tcW w:w="0" w:type="auto"/>
            <w:shd w:val="clear" w:color="auto" w:fill="C6D9F1" w:themeFill="text2" w:themeFillTint="33"/>
            <w:vAlign w:val="center"/>
          </w:tcPr>
          <w:p w14:paraId="54A7A333" w14:textId="77777777" w:rsidR="005C554F" w:rsidRPr="006340F9" w:rsidRDefault="005C554F" w:rsidP="00C225E3">
            <w:pPr>
              <w:pStyle w:val="Tablecolhead"/>
              <w:keepNext/>
              <w:rPr>
                <w:sz w:val="20"/>
                <w:szCs w:val="20"/>
              </w:rPr>
            </w:pPr>
            <w:r w:rsidRPr="006340F9">
              <w:rPr>
                <w:sz w:val="20"/>
                <w:szCs w:val="20"/>
              </w:rPr>
              <w:t>TAS</w:t>
            </w:r>
          </w:p>
        </w:tc>
        <w:tc>
          <w:tcPr>
            <w:tcW w:w="0" w:type="auto"/>
            <w:shd w:val="clear" w:color="auto" w:fill="C6D9F1" w:themeFill="text2" w:themeFillTint="33"/>
            <w:vAlign w:val="center"/>
          </w:tcPr>
          <w:p w14:paraId="3E2CAD46" w14:textId="77777777" w:rsidR="005C554F" w:rsidRPr="006340F9" w:rsidRDefault="005C554F" w:rsidP="00C225E3">
            <w:pPr>
              <w:pStyle w:val="Tablecolhead"/>
              <w:keepNext/>
              <w:rPr>
                <w:sz w:val="20"/>
                <w:szCs w:val="20"/>
              </w:rPr>
            </w:pPr>
            <w:r w:rsidRPr="006340F9">
              <w:rPr>
                <w:sz w:val="20"/>
                <w:szCs w:val="20"/>
              </w:rPr>
              <w:t>VIC</w:t>
            </w:r>
          </w:p>
        </w:tc>
        <w:tc>
          <w:tcPr>
            <w:tcW w:w="0" w:type="auto"/>
            <w:shd w:val="clear" w:color="auto" w:fill="C6D9F1" w:themeFill="text2" w:themeFillTint="33"/>
            <w:vAlign w:val="center"/>
          </w:tcPr>
          <w:p w14:paraId="530036C9" w14:textId="77777777" w:rsidR="005C554F" w:rsidRPr="006340F9" w:rsidRDefault="005C554F" w:rsidP="00C225E3">
            <w:pPr>
              <w:pStyle w:val="Tablecolhead"/>
              <w:keepNext/>
              <w:rPr>
                <w:sz w:val="20"/>
                <w:szCs w:val="20"/>
              </w:rPr>
            </w:pPr>
            <w:r w:rsidRPr="006340F9">
              <w:rPr>
                <w:sz w:val="20"/>
                <w:szCs w:val="20"/>
              </w:rPr>
              <w:t>WA</w:t>
            </w:r>
          </w:p>
        </w:tc>
      </w:tr>
      <w:tr w:rsidR="005C554F" w:rsidRPr="006340F9" w14:paraId="55AF15E3" w14:textId="77777777" w:rsidTr="00114F41">
        <w:tc>
          <w:tcPr>
            <w:tcW w:w="0" w:type="auto"/>
          </w:tcPr>
          <w:p w14:paraId="7B066089" w14:textId="34451B29" w:rsidR="005C554F" w:rsidRPr="006340F9" w:rsidRDefault="0034373A" w:rsidP="00C225E3">
            <w:pPr>
              <w:pStyle w:val="Body"/>
              <w:keepNext/>
              <w:jc w:val="left"/>
              <w:rPr>
                <w:b/>
                <w:bCs/>
                <w:sz w:val="20"/>
                <w:szCs w:val="20"/>
              </w:rPr>
            </w:pPr>
            <w:r w:rsidRPr="006340F9">
              <w:rPr>
                <w:sz w:val="20"/>
                <w:szCs w:val="20"/>
              </w:rPr>
              <w:t>Requirement to report whether RTAC licence has been renewed</w:t>
            </w:r>
          </w:p>
        </w:tc>
        <w:tc>
          <w:tcPr>
            <w:tcW w:w="0" w:type="auto"/>
          </w:tcPr>
          <w:p w14:paraId="3EB25697" w14:textId="52EB9451" w:rsidR="005C554F" w:rsidRPr="006340F9" w:rsidRDefault="005C554F" w:rsidP="00114F41">
            <w:pPr>
              <w:pStyle w:val="Body"/>
              <w:keepNext/>
              <w:jc w:val="center"/>
              <w:rPr>
                <w:sz w:val="20"/>
                <w:szCs w:val="20"/>
              </w:rPr>
            </w:pPr>
            <w:r w:rsidRPr="006340F9">
              <w:rPr>
                <w:sz w:val="20"/>
                <w:szCs w:val="20"/>
              </w:rPr>
              <w:t xml:space="preserve">ART </w:t>
            </w:r>
            <w:r w:rsidR="00AB633F" w:rsidRPr="006340F9">
              <w:rPr>
                <w:sz w:val="20"/>
                <w:szCs w:val="20"/>
              </w:rPr>
              <w:t>u</w:t>
            </w:r>
            <w:r w:rsidRPr="006340F9">
              <w:rPr>
                <w:sz w:val="20"/>
                <w:szCs w:val="20"/>
              </w:rPr>
              <w:t>nits must advise</w:t>
            </w:r>
          </w:p>
        </w:tc>
        <w:tc>
          <w:tcPr>
            <w:tcW w:w="0" w:type="auto"/>
          </w:tcPr>
          <w:p w14:paraId="5AB0AB35" w14:textId="0872CB77" w:rsidR="005C554F" w:rsidRPr="006340F9" w:rsidRDefault="00F62883" w:rsidP="00114F41">
            <w:pPr>
              <w:pStyle w:val="Body"/>
              <w:keepNext/>
              <w:jc w:val="center"/>
              <w:rPr>
                <w:sz w:val="20"/>
                <w:szCs w:val="20"/>
              </w:rPr>
            </w:pPr>
            <w:r w:rsidRPr="006340F9">
              <w:rPr>
                <w:sz w:val="20"/>
                <w:szCs w:val="20"/>
              </w:rPr>
              <w:t>No requirement</w:t>
            </w:r>
          </w:p>
        </w:tc>
        <w:tc>
          <w:tcPr>
            <w:tcW w:w="0" w:type="auto"/>
          </w:tcPr>
          <w:p w14:paraId="46A4ED9D" w14:textId="77777777" w:rsidR="005C554F" w:rsidRPr="006340F9" w:rsidRDefault="005C554F" w:rsidP="00114F41">
            <w:pPr>
              <w:pStyle w:val="Body"/>
              <w:keepNext/>
              <w:jc w:val="center"/>
              <w:rPr>
                <w:sz w:val="20"/>
                <w:szCs w:val="20"/>
              </w:rPr>
            </w:pPr>
            <w:r w:rsidRPr="006340F9">
              <w:rPr>
                <w:sz w:val="20"/>
                <w:szCs w:val="20"/>
              </w:rPr>
              <w:t>No requirement</w:t>
            </w:r>
          </w:p>
        </w:tc>
        <w:tc>
          <w:tcPr>
            <w:tcW w:w="0" w:type="auto"/>
          </w:tcPr>
          <w:p w14:paraId="403C8650" w14:textId="3243F56B" w:rsidR="005C554F" w:rsidRPr="006340F9" w:rsidRDefault="005C554F" w:rsidP="00114F41">
            <w:pPr>
              <w:pStyle w:val="Body"/>
              <w:keepNext/>
              <w:jc w:val="center"/>
              <w:rPr>
                <w:sz w:val="20"/>
                <w:szCs w:val="20"/>
              </w:rPr>
            </w:pPr>
            <w:r w:rsidRPr="006340F9">
              <w:rPr>
                <w:sz w:val="20"/>
                <w:szCs w:val="20"/>
              </w:rPr>
              <w:t xml:space="preserve">ART </w:t>
            </w:r>
            <w:r w:rsidR="00AB633F" w:rsidRPr="006340F9">
              <w:rPr>
                <w:sz w:val="20"/>
                <w:szCs w:val="20"/>
              </w:rPr>
              <w:t>u</w:t>
            </w:r>
            <w:r w:rsidRPr="006340F9">
              <w:rPr>
                <w:sz w:val="20"/>
                <w:szCs w:val="20"/>
              </w:rPr>
              <w:t>nits must advise</w:t>
            </w:r>
          </w:p>
        </w:tc>
        <w:tc>
          <w:tcPr>
            <w:tcW w:w="0" w:type="auto"/>
          </w:tcPr>
          <w:p w14:paraId="6CF98294" w14:textId="3F5ED10D" w:rsidR="005C554F" w:rsidRPr="006340F9" w:rsidRDefault="005C554F" w:rsidP="00114F41">
            <w:pPr>
              <w:pStyle w:val="Body"/>
              <w:keepNext/>
              <w:jc w:val="center"/>
              <w:rPr>
                <w:sz w:val="20"/>
                <w:szCs w:val="20"/>
              </w:rPr>
            </w:pPr>
            <w:r w:rsidRPr="006340F9">
              <w:rPr>
                <w:sz w:val="20"/>
                <w:szCs w:val="20"/>
              </w:rPr>
              <w:t xml:space="preserve">ART </w:t>
            </w:r>
            <w:r w:rsidR="00AB633F" w:rsidRPr="006340F9">
              <w:rPr>
                <w:sz w:val="20"/>
                <w:szCs w:val="20"/>
              </w:rPr>
              <w:t>u</w:t>
            </w:r>
            <w:r w:rsidRPr="006340F9">
              <w:rPr>
                <w:sz w:val="20"/>
                <w:szCs w:val="20"/>
              </w:rPr>
              <w:t>nits must advise</w:t>
            </w:r>
          </w:p>
        </w:tc>
        <w:tc>
          <w:tcPr>
            <w:tcW w:w="0" w:type="auto"/>
          </w:tcPr>
          <w:p w14:paraId="3B134799" w14:textId="77777777" w:rsidR="005C554F" w:rsidRPr="006340F9" w:rsidRDefault="005C554F" w:rsidP="00114F41">
            <w:pPr>
              <w:pStyle w:val="Body"/>
              <w:keepNext/>
              <w:jc w:val="center"/>
              <w:rPr>
                <w:sz w:val="20"/>
                <w:szCs w:val="20"/>
              </w:rPr>
            </w:pPr>
            <w:r w:rsidRPr="006340F9">
              <w:rPr>
                <w:sz w:val="20"/>
                <w:szCs w:val="20"/>
              </w:rPr>
              <w:t>No requirement</w:t>
            </w:r>
          </w:p>
        </w:tc>
        <w:tc>
          <w:tcPr>
            <w:tcW w:w="0" w:type="auto"/>
          </w:tcPr>
          <w:p w14:paraId="6DAE9EB5" w14:textId="1AA4F69A" w:rsidR="005C554F" w:rsidRPr="006340F9" w:rsidRDefault="005C554F" w:rsidP="00114F41">
            <w:pPr>
              <w:pStyle w:val="Body"/>
              <w:keepNext/>
              <w:jc w:val="center"/>
              <w:rPr>
                <w:sz w:val="20"/>
                <w:szCs w:val="20"/>
              </w:rPr>
            </w:pPr>
            <w:r w:rsidRPr="006340F9">
              <w:rPr>
                <w:sz w:val="20"/>
                <w:szCs w:val="20"/>
              </w:rPr>
              <w:t xml:space="preserve">ART </w:t>
            </w:r>
            <w:r w:rsidR="00AB633F" w:rsidRPr="006340F9">
              <w:rPr>
                <w:sz w:val="20"/>
                <w:szCs w:val="20"/>
              </w:rPr>
              <w:t>u</w:t>
            </w:r>
            <w:r w:rsidRPr="006340F9">
              <w:rPr>
                <w:sz w:val="20"/>
                <w:szCs w:val="20"/>
              </w:rPr>
              <w:t>nits must advise</w:t>
            </w:r>
          </w:p>
        </w:tc>
        <w:tc>
          <w:tcPr>
            <w:tcW w:w="0" w:type="auto"/>
          </w:tcPr>
          <w:p w14:paraId="5F0B75B2" w14:textId="1361A86F" w:rsidR="005C554F" w:rsidRPr="006340F9" w:rsidRDefault="005C554F" w:rsidP="00114F41">
            <w:pPr>
              <w:pStyle w:val="Body"/>
              <w:keepNext/>
              <w:jc w:val="center"/>
              <w:rPr>
                <w:sz w:val="20"/>
                <w:szCs w:val="20"/>
              </w:rPr>
            </w:pPr>
            <w:r w:rsidRPr="006340F9">
              <w:rPr>
                <w:sz w:val="20"/>
                <w:szCs w:val="20"/>
              </w:rPr>
              <w:t xml:space="preserve">ART </w:t>
            </w:r>
            <w:r w:rsidR="00AB633F" w:rsidRPr="006340F9">
              <w:rPr>
                <w:sz w:val="20"/>
                <w:szCs w:val="20"/>
              </w:rPr>
              <w:t>u</w:t>
            </w:r>
            <w:r w:rsidRPr="006340F9">
              <w:rPr>
                <w:sz w:val="20"/>
                <w:szCs w:val="20"/>
              </w:rPr>
              <w:t>nits must advise</w:t>
            </w:r>
          </w:p>
        </w:tc>
      </w:tr>
    </w:tbl>
    <w:p w14:paraId="27DA192B" w14:textId="1DB6E67B" w:rsidR="005C554F" w:rsidRPr="006340F9" w:rsidRDefault="005C554F" w:rsidP="000A50B1">
      <w:pPr>
        <w:pStyle w:val="Bodyaftertablefigurebullets"/>
      </w:pPr>
      <w:r w:rsidRPr="006340F9">
        <w:t>Where a surveillance audit finds that the requirements of an item in the Code of Practice are not met or that the outcome is ineffective, a non-conformity will be raised and reported to RTAC. All non-conformities must be rectified by the ART unit. The type of corrective action required depends on whether the non-conformity is minor or majo</w:t>
      </w:r>
      <w:r w:rsidRPr="006340F9">
        <w:rPr>
          <w:rStyle w:val="BodyChar"/>
        </w:rPr>
        <w:t>r:</w:t>
      </w:r>
      <w:r w:rsidRPr="006340F9">
        <w:rPr>
          <w:rStyle w:val="BodyChar"/>
          <w:vertAlign w:val="superscript"/>
        </w:rPr>
        <w:footnoteReference w:id="83"/>
      </w:r>
    </w:p>
    <w:p w14:paraId="7504500C" w14:textId="773F751E" w:rsidR="005C554F" w:rsidRPr="006340F9" w:rsidRDefault="00BC4D5D" w:rsidP="002B7A3D">
      <w:pPr>
        <w:pStyle w:val="Bullet1"/>
      </w:pPr>
      <w:r w:rsidRPr="006340F9">
        <w:t>A</w:t>
      </w:r>
      <w:r w:rsidR="005C554F" w:rsidRPr="006340F9">
        <w:t xml:space="preserve"> minor non-conformity is raised when an unmet Code of Practice requirement leads to an ineffective outcome without patient risk. It can be closed out by the certifying body once it sights evidence of correcti</w:t>
      </w:r>
      <w:r w:rsidR="00CC52D4" w:rsidRPr="006340F9">
        <w:t>ve</w:t>
      </w:r>
      <w:r w:rsidR="005C554F" w:rsidRPr="006340F9">
        <w:t xml:space="preserve"> action, or through a corrective action plan at the next audit. </w:t>
      </w:r>
    </w:p>
    <w:p w14:paraId="417FDCDD" w14:textId="36DB654C" w:rsidR="005C554F" w:rsidRPr="006340F9" w:rsidRDefault="00BC4D5D" w:rsidP="002B7A3D">
      <w:pPr>
        <w:pStyle w:val="Bullet1"/>
      </w:pPr>
      <w:r w:rsidRPr="006340F9">
        <w:t>A</w:t>
      </w:r>
      <w:r w:rsidR="005C554F" w:rsidRPr="006340F9">
        <w:t xml:space="preserve"> major non-conformity is raised when an unmet Code requirement leads to an ineffective outcome with patient risk. Several related minor non-conformities may also constitute a major non-conformity. A major non-conformity requires the ART unit to present a corrective action plan to the certifying body within five business days, with immediate corrective action to address non-conformities related to high-risk activities that impact patient safety or patient identification and traceability.</w:t>
      </w:r>
      <w:r w:rsidR="005C554F" w:rsidRPr="006340F9">
        <w:rPr>
          <w:b/>
        </w:rPr>
        <w:t xml:space="preserve"> </w:t>
      </w:r>
      <w:r w:rsidR="005C554F" w:rsidRPr="006340F9">
        <w:t>A major non-conformity will be closed out by the certifying body once it sights evidence of corrective action at a follow-up site audit within 30 days.</w:t>
      </w:r>
    </w:p>
    <w:p w14:paraId="6148D18A" w14:textId="77777777" w:rsidR="005C554F" w:rsidRPr="006340F9" w:rsidRDefault="005C554F" w:rsidP="004558C0">
      <w:pPr>
        <w:pStyle w:val="Bodyaftertablefigurebullets"/>
      </w:pPr>
      <w:r w:rsidRPr="006340F9">
        <w:lastRenderedPageBreak/>
        <w:t>The types and frequency of non-conformities identified at audit are reported, in a de-identified manner, in the RTAC annual report. In the 2024 Annual Report, one major non-conformity and 171 minor non-conformities were reported.</w:t>
      </w:r>
      <w:r w:rsidRPr="006340F9">
        <w:rPr>
          <w:rStyle w:val="FootnoteReference"/>
        </w:rPr>
        <w:footnoteReference w:id="84"/>
      </w:r>
    </w:p>
    <w:p w14:paraId="2062C7CD" w14:textId="5E61EDCD" w:rsidR="008830C5" w:rsidRPr="006340F9" w:rsidRDefault="005C554F" w:rsidP="00B7757E">
      <w:pPr>
        <w:pStyle w:val="Body"/>
      </w:pPr>
      <w:r w:rsidRPr="006340F9">
        <w:t>Once the ART unit has met all the requirements of the audit and any major non-conformities have been closed out, the certifying body will provide RTAC and the ART unit with a final report. The report will include any recommendations to maintain, vary, suspend or withdraw accreditation. Based on this report, RTAC will decide whether to renew the licence.</w:t>
      </w:r>
    </w:p>
    <w:p w14:paraId="419B915F" w14:textId="2FAD6CBA" w:rsidR="005C554F" w:rsidRPr="006340F9" w:rsidRDefault="005C554F" w:rsidP="00B7757E">
      <w:pPr>
        <w:pStyle w:val="Body"/>
      </w:pPr>
      <w:r w:rsidRPr="006340F9">
        <w:t xml:space="preserve">RTAC advises that it has </w:t>
      </w:r>
      <w:r w:rsidR="00F44905" w:rsidRPr="006340F9">
        <w:t xml:space="preserve">never </w:t>
      </w:r>
      <w:r w:rsidRPr="006340F9">
        <w:t xml:space="preserve">challenged audit outcomes </w:t>
      </w:r>
      <w:r w:rsidR="00D26C94" w:rsidRPr="006340F9">
        <w:t>n</w:t>
      </w:r>
      <w:r w:rsidRPr="006340F9">
        <w:t>or refused</w:t>
      </w:r>
      <w:r w:rsidR="00AF4186" w:rsidRPr="006340F9">
        <w:t>/revoked</w:t>
      </w:r>
      <w:r w:rsidRPr="006340F9">
        <w:t xml:space="preserve"> a licen</w:t>
      </w:r>
      <w:r w:rsidR="003313DC" w:rsidRPr="006340F9">
        <w:t>c</w:t>
      </w:r>
      <w:r w:rsidRPr="006340F9">
        <w:t>e</w:t>
      </w:r>
      <w:r w:rsidR="00571991" w:rsidRPr="006340F9">
        <w:t xml:space="preserve">. RTAC </w:t>
      </w:r>
      <w:r w:rsidR="00271107" w:rsidRPr="006340F9">
        <w:t>advises that this is</w:t>
      </w:r>
      <w:r w:rsidRPr="006340F9">
        <w:t xml:space="preserve"> </w:t>
      </w:r>
      <w:r w:rsidR="0012660E" w:rsidRPr="006340F9">
        <w:t xml:space="preserve">principally </w:t>
      </w:r>
      <w:r w:rsidRPr="006340F9">
        <w:t>due to high rates of compliance from ART providers in addressing non-conformities</w:t>
      </w:r>
      <w:r w:rsidR="00910F1D" w:rsidRPr="006340F9">
        <w:t xml:space="preserve">. </w:t>
      </w:r>
      <w:r w:rsidR="005D1209" w:rsidRPr="006340F9">
        <w:t>However, RTAC does acknowledge that</w:t>
      </w:r>
      <w:r w:rsidR="00975024" w:rsidRPr="006340F9">
        <w:t xml:space="preserve"> it </w:t>
      </w:r>
      <w:r w:rsidR="00C362AA" w:rsidRPr="006340F9">
        <w:t>has a reporting relationship to the FSANZ Board</w:t>
      </w:r>
      <w:r w:rsidR="009A62C6" w:rsidRPr="006340F9">
        <w:t xml:space="preserve">, and </w:t>
      </w:r>
      <w:r w:rsidR="005D1209" w:rsidRPr="006340F9">
        <w:t xml:space="preserve">concerns about not having adequate resourcing to defend their decision to withhold or withdraw a </w:t>
      </w:r>
      <w:r w:rsidR="006C416C" w:rsidRPr="006340F9">
        <w:t>licence has influenced their decision</w:t>
      </w:r>
      <w:r w:rsidR="00147586" w:rsidRPr="006340F9">
        <w:t>-</w:t>
      </w:r>
      <w:r w:rsidR="006C416C" w:rsidRPr="006340F9">
        <w:t>making process.</w:t>
      </w:r>
    </w:p>
    <w:p w14:paraId="0824B51E" w14:textId="2B8F3178" w:rsidR="005C554F" w:rsidRPr="006340F9" w:rsidRDefault="005C554F" w:rsidP="00B7757E">
      <w:pPr>
        <w:pStyle w:val="Body"/>
      </w:pPr>
      <w:r w:rsidRPr="006340F9">
        <w:t>FSANZ may, through RTAC, require the certifying body to conduct an exceptional circumstances audit if significant legislative, regulatory or clinical care concerns are identified.</w:t>
      </w:r>
      <w:r w:rsidRPr="006340F9">
        <w:rPr>
          <w:vertAlign w:val="superscript"/>
        </w:rPr>
        <w:footnoteReference w:id="85"/>
      </w:r>
      <w:r w:rsidRPr="006340F9">
        <w:rPr>
          <w:vertAlign w:val="superscript"/>
        </w:rPr>
        <w:t xml:space="preserve"> </w:t>
      </w:r>
      <w:r w:rsidRPr="006340F9">
        <w:t>RTAC advises that 12 exceptional circumstances audits have been undertaken since 2019</w:t>
      </w:r>
      <w:r w:rsidR="001F2009" w:rsidRPr="006340F9">
        <w:t xml:space="preserve">, </w:t>
      </w:r>
      <w:r w:rsidR="007B0628" w:rsidRPr="006340F9">
        <w:t xml:space="preserve">all </w:t>
      </w:r>
      <w:r w:rsidR="001F2009" w:rsidRPr="006340F9">
        <w:t xml:space="preserve">of which </w:t>
      </w:r>
      <w:r w:rsidR="007C075B" w:rsidRPr="006340F9">
        <w:t>were rectified</w:t>
      </w:r>
      <w:r w:rsidRPr="006340F9">
        <w:t>.</w:t>
      </w:r>
    </w:p>
    <w:p w14:paraId="0344FDF1" w14:textId="77777777" w:rsidR="005C554F" w:rsidRPr="006340F9" w:rsidRDefault="005C554F" w:rsidP="004706E9">
      <w:pPr>
        <w:pStyle w:val="Heading4"/>
      </w:pPr>
      <w:r w:rsidRPr="006340F9">
        <w:t>ART units must report adverse events to RTAC </w:t>
      </w:r>
    </w:p>
    <w:p w14:paraId="08CEC951" w14:textId="4154BDC1" w:rsidR="005C554F" w:rsidRPr="006340F9" w:rsidRDefault="003807B9" w:rsidP="0060592D">
      <w:pPr>
        <w:pStyle w:val="Body"/>
      </w:pPr>
      <w:r w:rsidRPr="006340F9">
        <w:t>The Code of Practice requires</w:t>
      </w:r>
      <w:r w:rsidR="001A7BFA" w:rsidRPr="006340F9">
        <w:t xml:space="preserve"> that </w:t>
      </w:r>
      <w:r w:rsidR="005C554F" w:rsidRPr="006340F9">
        <w:t>ART units must investigate and review any serious adverse events and report these events to RTAC and the certifying body.</w:t>
      </w:r>
      <w:r w:rsidR="005C554F" w:rsidRPr="006340F9">
        <w:rPr>
          <w:rStyle w:val="FootnoteReference"/>
        </w:rPr>
        <w:footnoteReference w:id="86"/>
      </w:r>
      <w:r w:rsidR="005C554F" w:rsidRPr="006340F9">
        <w:t xml:space="preserve"> Reporting timeframes vary depending on the nature of the incident.</w:t>
      </w:r>
      <w:r w:rsidR="005C554F" w:rsidRPr="006340F9">
        <w:rPr>
          <w:rStyle w:val="FootnoteReference"/>
        </w:rPr>
        <w:footnoteReference w:id="87"/>
      </w:r>
      <w:r w:rsidR="005C554F" w:rsidRPr="006340F9">
        <w:rPr>
          <w:vertAlign w:val="superscript"/>
        </w:rPr>
        <w:t xml:space="preserve"> </w:t>
      </w:r>
      <w:r w:rsidR="005C554F" w:rsidRPr="006340F9">
        <w:t>Under the Code of Practice, ART units are also required to implement a comprehensive incident reporting and response system to empower their workforce to identify and report incidents</w:t>
      </w:r>
      <w:r w:rsidR="00100307" w:rsidRPr="006340F9">
        <w:t xml:space="preserve"> (see section</w:t>
      </w:r>
      <w:r w:rsidR="003B111F" w:rsidRPr="006340F9">
        <w:t xml:space="preserve"> </w:t>
      </w:r>
      <w:r w:rsidR="000F7349" w:rsidRPr="006340F9">
        <w:fldChar w:fldCharType="begin"/>
      </w:r>
      <w:r w:rsidR="000F7349" w:rsidRPr="006340F9">
        <w:instrText xml:space="preserve"> REF _Ref207972688 \r \h </w:instrText>
      </w:r>
      <w:r w:rsidR="000F7349" w:rsidRPr="006340F9">
        <w:fldChar w:fldCharType="separate"/>
      </w:r>
      <w:r w:rsidR="007D732A">
        <w:t>3.3</w:t>
      </w:r>
      <w:r w:rsidR="000F7349" w:rsidRPr="006340F9">
        <w:fldChar w:fldCharType="end"/>
      </w:r>
      <w:r w:rsidR="00100307" w:rsidRPr="006340F9">
        <w:t>)</w:t>
      </w:r>
      <w:r w:rsidR="005C554F" w:rsidRPr="006340F9">
        <w:t>.</w:t>
      </w:r>
      <w:r w:rsidR="005C554F" w:rsidRPr="006340F9">
        <w:rPr>
          <w:rStyle w:val="FootnoteReference"/>
        </w:rPr>
        <w:footnoteReference w:id="88"/>
      </w:r>
      <w:r w:rsidR="005C554F" w:rsidRPr="006340F9">
        <w:rPr>
          <w:vertAlign w:val="superscript"/>
        </w:rPr>
        <w:t xml:space="preserve"> </w:t>
      </w:r>
    </w:p>
    <w:p w14:paraId="000DD5D7" w14:textId="77777777" w:rsidR="005C554F" w:rsidRPr="006340F9" w:rsidRDefault="005C554F" w:rsidP="004706E9">
      <w:pPr>
        <w:pStyle w:val="Heading4"/>
      </w:pPr>
      <w:r w:rsidRPr="006340F9">
        <w:t xml:space="preserve">ART units must report clinical outcomes data to RTAC </w:t>
      </w:r>
    </w:p>
    <w:p w14:paraId="2DD1400F" w14:textId="55753BF6" w:rsidR="005C554F" w:rsidRPr="006340F9" w:rsidRDefault="0015682F" w:rsidP="5EEA0A5C">
      <w:pPr>
        <w:pStyle w:val="Body"/>
        <w:rPr>
          <w:vertAlign w:val="superscript"/>
        </w:rPr>
      </w:pPr>
      <w:r w:rsidRPr="006340F9">
        <w:t>The Code of Practice requires</w:t>
      </w:r>
      <w:r w:rsidR="005C554F" w:rsidRPr="006340F9">
        <w:t xml:space="preserve"> ART units </w:t>
      </w:r>
      <w:r w:rsidRPr="006340F9">
        <w:t>to</w:t>
      </w:r>
      <w:r w:rsidR="005C554F" w:rsidRPr="006340F9">
        <w:t xml:space="preserve"> report clinical outcomes data to the Australian and New Zealand Assisted Reproduction Database (ANZARD)</w:t>
      </w:r>
      <w:r w:rsidRPr="006340F9">
        <w:rPr>
          <w:rStyle w:val="FootnoteReference"/>
        </w:rPr>
        <w:footnoteReference w:id="89"/>
      </w:r>
      <w:r w:rsidR="005C554F" w:rsidRPr="006340F9">
        <w:t xml:space="preserve">. </w:t>
      </w:r>
      <w:r w:rsidR="00D456BE" w:rsidRPr="006340F9">
        <w:t xml:space="preserve">This includes </w:t>
      </w:r>
      <w:r w:rsidR="00877438" w:rsidRPr="006340F9">
        <w:t xml:space="preserve">the reporting of </w:t>
      </w:r>
      <w:r w:rsidR="00D456BE" w:rsidRPr="006340F9">
        <w:t xml:space="preserve">up </w:t>
      </w:r>
      <w:r w:rsidR="00D456BE" w:rsidRPr="006340F9">
        <w:lastRenderedPageBreak/>
        <w:t>to 110 data items</w:t>
      </w:r>
      <w:r w:rsidR="00AE79DD" w:rsidRPr="006340F9">
        <w:t xml:space="preserve"> for each ART cycle</w:t>
      </w:r>
      <w:r w:rsidR="00D456BE" w:rsidRPr="006340F9">
        <w:t>.</w:t>
      </w:r>
      <w:bookmarkStart w:id="89" w:name="_Ref207965690"/>
      <w:r w:rsidR="00692C65" w:rsidRPr="006340F9">
        <w:rPr>
          <w:rStyle w:val="FootnoteReference"/>
        </w:rPr>
        <w:footnoteReference w:id="90"/>
      </w:r>
      <w:bookmarkEnd w:id="89"/>
      <w:r w:rsidR="005C554F" w:rsidRPr="006340F9">
        <w:t xml:space="preserve"> ANZARD is a clinical quality registry, held by </w:t>
      </w:r>
      <w:r w:rsidR="00C625D5" w:rsidRPr="006340F9">
        <w:t>the University of New South Wales (</w:t>
      </w:r>
      <w:r w:rsidR="005C554F" w:rsidRPr="006340F9">
        <w:t>UNSW</w:t>
      </w:r>
      <w:r w:rsidR="00C625D5" w:rsidRPr="006340F9">
        <w:t>)</w:t>
      </w:r>
      <w:r w:rsidR="005C554F" w:rsidRPr="006340F9">
        <w:t xml:space="preserve"> and funded by ART units</w:t>
      </w:r>
      <w:r w:rsidR="00064EBA" w:rsidRPr="006340F9">
        <w:t>.</w:t>
      </w:r>
      <w:r w:rsidR="005C554F" w:rsidRPr="006340F9" w:rsidDel="00AE53C2">
        <w:t xml:space="preserve"> </w:t>
      </w:r>
      <w:r w:rsidR="00AE53C2" w:rsidRPr="006340F9">
        <w:t xml:space="preserve">It </w:t>
      </w:r>
      <w:r w:rsidR="005C554F" w:rsidRPr="006340F9">
        <w:t>provides regular performance benchmarking and feedback to ART units and RTAC.</w:t>
      </w:r>
      <w:r w:rsidR="005C554F" w:rsidRPr="006340F9">
        <w:rPr>
          <w:rStyle w:val="FootnoteReference"/>
        </w:rPr>
        <w:footnoteReference w:id="91"/>
      </w:r>
      <w:r w:rsidR="005C554F" w:rsidRPr="006340F9">
        <w:rPr>
          <w:vertAlign w:val="superscript"/>
        </w:rPr>
        <w:t xml:space="preserve"> </w:t>
      </w:r>
      <w:r w:rsidR="005C554F" w:rsidRPr="006340F9">
        <w:t>All ART units are required to provide de-identified patient and treatment information to ANZARD on IVF cycles, donor insemination cycles, pregnancy and birth outcomes as well as demographic details including sex, age</w:t>
      </w:r>
      <w:r w:rsidR="48DCE1EB" w:rsidRPr="006340F9">
        <w:t>,</w:t>
      </w:r>
      <w:r w:rsidR="005C554F" w:rsidRPr="006340F9">
        <w:t xml:space="preserve"> and infertility diagnosis.</w:t>
      </w:r>
      <w:r w:rsidR="005C554F" w:rsidRPr="006340F9">
        <w:rPr>
          <w:rStyle w:val="FootnoteReference"/>
        </w:rPr>
        <w:footnoteReference w:id="92"/>
      </w:r>
      <w:r w:rsidR="005C554F" w:rsidRPr="006340F9">
        <w:rPr>
          <w:vertAlign w:val="superscript"/>
        </w:rPr>
        <w:t xml:space="preserve"> </w:t>
      </w:r>
    </w:p>
    <w:p w14:paraId="4F935B6A" w14:textId="753F8D73" w:rsidR="005C554F" w:rsidRPr="006340F9" w:rsidRDefault="005C554F" w:rsidP="00B7757E">
      <w:pPr>
        <w:pStyle w:val="Body"/>
      </w:pPr>
      <w:r w:rsidRPr="006340F9">
        <w:t>Th</w:t>
      </w:r>
      <w:r w:rsidR="45E1D0DF" w:rsidRPr="006340F9">
        <w:t>ese</w:t>
      </w:r>
      <w:r w:rsidRPr="006340F9">
        <w:t xml:space="preserve"> data </w:t>
      </w:r>
      <w:r w:rsidR="00276573" w:rsidRPr="006340F9">
        <w:t xml:space="preserve">are </w:t>
      </w:r>
      <w:r w:rsidRPr="006340F9">
        <w:t>used to inform benchmarking of each ART unit against the publicly available annual ANZARD Report.</w:t>
      </w:r>
      <w:r w:rsidRPr="006340F9">
        <w:rPr>
          <w:rStyle w:val="FootnoteReference"/>
        </w:rPr>
        <w:footnoteReference w:id="93"/>
      </w:r>
      <w:r w:rsidRPr="006340F9">
        <w:t xml:space="preserve"> If clinical outcomes (e.g. pregnancy rates) fall below the 25th percentile in an age group the ART unit must undertake a root cause analysis and address any issues during the audit process.</w:t>
      </w:r>
      <w:r w:rsidRPr="006340F9">
        <w:rPr>
          <w:vertAlign w:val="superscript"/>
        </w:rPr>
        <w:footnoteReference w:id="94"/>
      </w:r>
      <w:r w:rsidRPr="006340F9">
        <w:rPr>
          <w:vertAlign w:val="superscript"/>
        </w:rPr>
        <w:t xml:space="preserve"> </w:t>
      </w:r>
      <w:r w:rsidRPr="006340F9">
        <w:t>If clinical outcomes fall below three standard deviations</w:t>
      </w:r>
      <w:r w:rsidR="004F3C02" w:rsidRPr="006340F9">
        <w:t>,</w:t>
      </w:r>
      <w:r w:rsidRPr="006340F9">
        <w:rPr>
          <w:vertAlign w:val="superscript"/>
        </w:rPr>
        <w:footnoteReference w:id="95"/>
      </w:r>
      <w:r w:rsidRPr="006340F9">
        <w:rPr>
          <w:vertAlign w:val="superscript"/>
        </w:rPr>
        <w:t xml:space="preserve"> </w:t>
      </w:r>
      <w:r w:rsidRPr="006340F9">
        <w:t>the RTAC Chair will notify the unit. If clinical outcomes fall below three standard deviations for two consecutive years, the ART unit is required to submit an improvement plan to the RTAC Chair that will be audited at six-monthly intervals until there is sustained improvement.</w:t>
      </w:r>
      <w:r w:rsidRPr="006340F9">
        <w:rPr>
          <w:vertAlign w:val="superscript"/>
        </w:rPr>
        <w:footnoteReference w:id="96"/>
      </w:r>
      <w:r w:rsidRPr="006340F9">
        <w:rPr>
          <w:vertAlign w:val="superscript"/>
        </w:rPr>
        <w:t xml:space="preserve"> </w:t>
      </w:r>
      <w:r w:rsidRPr="006340F9">
        <w:t>RTAC advises that this power has been exercised 14 times between September 2019 and December</w:t>
      </w:r>
      <w:r w:rsidR="00E2685B" w:rsidRPr="006340F9">
        <w:t xml:space="preserve"> 2024</w:t>
      </w:r>
      <w:r w:rsidRPr="006340F9">
        <w:t>.</w:t>
      </w:r>
    </w:p>
    <w:p w14:paraId="56809A18" w14:textId="0C162273" w:rsidR="00B475DC" w:rsidRPr="006340F9" w:rsidRDefault="00B475DC" w:rsidP="00B7757E">
      <w:pPr>
        <w:pStyle w:val="Body"/>
      </w:pPr>
      <w:r w:rsidRPr="006340F9">
        <w:t>ANZARD provides some public reporting of ART unit performance</w:t>
      </w:r>
      <w:r w:rsidR="00253675" w:rsidRPr="006340F9">
        <w:t xml:space="preserve"> via </w:t>
      </w:r>
      <w:proofErr w:type="spellStart"/>
      <w:r w:rsidR="00253675" w:rsidRPr="006340F9">
        <w:rPr>
          <w:i/>
        </w:rPr>
        <w:t>YourIVFSuccess</w:t>
      </w:r>
      <w:proofErr w:type="spellEnd"/>
      <w:r w:rsidRPr="006340F9">
        <w:t xml:space="preserve">, but </w:t>
      </w:r>
      <w:r w:rsidR="00265E2C" w:rsidRPr="006340F9">
        <w:t>ART units may opt out</w:t>
      </w:r>
      <w:r w:rsidR="00A33798" w:rsidRPr="006340F9">
        <w:t xml:space="preserve"> of this public</w:t>
      </w:r>
      <w:r w:rsidR="00265E2C" w:rsidRPr="006340F9">
        <w:t xml:space="preserve"> reporting</w:t>
      </w:r>
      <w:r w:rsidR="002D3DD1" w:rsidRPr="006340F9">
        <w:t xml:space="preserve"> (see</w:t>
      </w:r>
      <w:r w:rsidR="00F55F55" w:rsidRPr="006340F9">
        <w:t xml:space="preserve"> </w:t>
      </w:r>
      <w:r w:rsidR="006F730F" w:rsidRPr="006340F9">
        <w:t>Table</w:t>
      </w:r>
      <w:r w:rsidR="000B1173" w:rsidRPr="006340F9">
        <w:t xml:space="preserve"> 2.3 </w:t>
      </w:r>
      <w:r w:rsidR="002D3DD1" w:rsidRPr="006340F9">
        <w:t>below)</w:t>
      </w:r>
      <w:r w:rsidR="00265E2C" w:rsidRPr="006340F9">
        <w:t>.</w:t>
      </w:r>
      <w:r w:rsidR="009A2BCB" w:rsidRPr="006340F9">
        <w:t xml:space="preserve"> Six </w:t>
      </w:r>
      <w:r w:rsidR="00C04258" w:rsidRPr="006340F9">
        <w:t xml:space="preserve">(6%) </w:t>
      </w:r>
      <w:r w:rsidR="009A2BCB" w:rsidRPr="006340F9">
        <w:t>ART units have chosen to opt out of public reporting.</w:t>
      </w:r>
    </w:p>
    <w:p w14:paraId="1E43D6D6" w14:textId="5538BA63" w:rsidR="00DB303A" w:rsidRPr="006340F9" w:rsidRDefault="001C5B85" w:rsidP="004706E9">
      <w:pPr>
        <w:pStyle w:val="Heading4"/>
      </w:pPr>
      <w:r w:rsidRPr="006340F9">
        <w:t xml:space="preserve">Non-conformities </w:t>
      </w:r>
      <w:r w:rsidR="009D4BE1" w:rsidRPr="006340F9">
        <w:t xml:space="preserve">must be rectified </w:t>
      </w:r>
      <w:r w:rsidR="00332935" w:rsidRPr="006340F9">
        <w:t>through the audit process</w:t>
      </w:r>
    </w:p>
    <w:p w14:paraId="2BBAB1D6" w14:textId="08B08F35" w:rsidR="00DB303A" w:rsidRPr="006340F9" w:rsidRDefault="00DB303A" w:rsidP="00906800">
      <w:pPr>
        <w:pStyle w:val="Body"/>
      </w:pPr>
      <w:r w:rsidRPr="006340F9">
        <w:t xml:space="preserve">Clinics are given 30 days to rectify any major non-conformities identified during an annual surveillance audit. If the clinic fails to resolve the issue within the required timeframe, the certifying body may vary, suspend or withdraw certification, which may have implications for the RTAC licensing </w:t>
      </w:r>
      <w:r w:rsidRPr="006340F9">
        <w:rPr>
          <w:rStyle w:val="BodyChar"/>
        </w:rPr>
        <w:t>decision.</w:t>
      </w:r>
      <w:r w:rsidRPr="006340F9">
        <w:rPr>
          <w:rStyle w:val="BodyChar"/>
          <w:vertAlign w:val="superscript"/>
        </w:rPr>
        <w:footnoteReference w:id="97"/>
      </w:r>
      <w:r w:rsidRPr="006340F9">
        <w:rPr>
          <w:rStyle w:val="BodyChar"/>
          <w:vertAlign w:val="superscript"/>
        </w:rPr>
        <w:t xml:space="preserve"> </w:t>
      </w:r>
      <w:r w:rsidRPr="006340F9">
        <w:t>Notably, the Code of Practice and RTAC Scheme Rules do not prescribe clear powers for RTAC to refuse, vary, suspend or cancel a licence (see section</w:t>
      </w:r>
      <w:r w:rsidR="002C0125" w:rsidRPr="006340F9">
        <w:t xml:space="preserve"> </w:t>
      </w:r>
      <w:r w:rsidR="000F7349" w:rsidRPr="006340F9">
        <w:fldChar w:fldCharType="begin"/>
      </w:r>
      <w:r w:rsidR="000F7349" w:rsidRPr="006340F9">
        <w:instrText xml:space="preserve"> REF _Ref207972744 \r \h </w:instrText>
      </w:r>
      <w:r w:rsidR="000F7349" w:rsidRPr="006340F9">
        <w:fldChar w:fldCharType="separate"/>
      </w:r>
      <w:r w:rsidR="007D732A">
        <w:t>3.3</w:t>
      </w:r>
      <w:r w:rsidR="000F7349" w:rsidRPr="006340F9">
        <w:fldChar w:fldCharType="end"/>
      </w:r>
      <w:r w:rsidRPr="006340F9">
        <w:t>).</w:t>
      </w:r>
    </w:p>
    <w:p w14:paraId="6326DB88" w14:textId="46C64F1A" w:rsidR="005C554F" w:rsidRPr="006340F9" w:rsidRDefault="005C554F" w:rsidP="004600B7">
      <w:pPr>
        <w:pStyle w:val="Heading3"/>
      </w:pPr>
      <w:r w:rsidRPr="006340F9">
        <w:t xml:space="preserve">Some clinical outcomes are reported publicly through </w:t>
      </w:r>
      <w:proofErr w:type="spellStart"/>
      <w:r w:rsidRPr="006340F9">
        <w:rPr>
          <w:i/>
        </w:rPr>
        <w:t>YourIVFSuccess</w:t>
      </w:r>
      <w:proofErr w:type="spellEnd"/>
      <w:r w:rsidRPr="006340F9">
        <w:t xml:space="preserve"> </w:t>
      </w:r>
    </w:p>
    <w:p w14:paraId="64C0CB11" w14:textId="1D0B7FD5" w:rsidR="005C554F" w:rsidRPr="006340F9" w:rsidRDefault="005C554F" w:rsidP="00B7757E">
      <w:pPr>
        <w:pStyle w:val="Body"/>
      </w:pPr>
      <w:r w:rsidRPr="006340F9">
        <w:t>Clinic-specific success rates are reported through the Commonwealth Government</w:t>
      </w:r>
      <w:r w:rsidR="00955816" w:rsidRPr="006340F9">
        <w:t>-</w:t>
      </w:r>
      <w:r w:rsidRPr="006340F9">
        <w:t xml:space="preserve">funded </w:t>
      </w:r>
      <w:proofErr w:type="spellStart"/>
      <w:r w:rsidRPr="006340F9">
        <w:rPr>
          <w:i/>
        </w:rPr>
        <w:t>YourIVFSuccess</w:t>
      </w:r>
      <w:proofErr w:type="spellEnd"/>
      <w:r w:rsidRPr="006340F9">
        <w:t xml:space="preserve"> website. The website includes a personalised IVF success estimator and a searchable database of accredited </w:t>
      </w:r>
      <w:r w:rsidR="00B64AAD" w:rsidRPr="006340F9">
        <w:t>ART</w:t>
      </w:r>
      <w:r w:rsidRPr="006340F9">
        <w:t xml:space="preserve"> clinics. Data</w:t>
      </w:r>
      <w:r w:rsidRPr="006340F9" w:rsidDel="009E7998">
        <w:t xml:space="preserve"> </w:t>
      </w:r>
      <w:r w:rsidR="009E7998" w:rsidRPr="006340F9">
        <w:t xml:space="preserve">are </w:t>
      </w:r>
      <w:r w:rsidRPr="006340F9">
        <w:t>sourced from ANZARD</w:t>
      </w:r>
      <w:r w:rsidR="009E7998" w:rsidRPr="006340F9">
        <w:t xml:space="preserve">, with the </w:t>
      </w:r>
      <w:r w:rsidR="009E7998" w:rsidRPr="006340F9">
        <w:lastRenderedPageBreak/>
        <w:t xml:space="preserve">agreement of </w:t>
      </w:r>
      <w:r w:rsidR="00C12066" w:rsidRPr="006340F9">
        <w:t>ART units. The</w:t>
      </w:r>
      <w:r w:rsidRPr="006340F9" w:rsidDel="009E7998">
        <w:t xml:space="preserve"> </w:t>
      </w:r>
      <w:r w:rsidRPr="006340F9">
        <w:t>aim</w:t>
      </w:r>
      <w:r w:rsidR="00C12066" w:rsidRPr="006340F9">
        <w:t xml:space="preserve"> is</w:t>
      </w:r>
      <w:r w:rsidRPr="006340F9">
        <w:t xml:space="preserve"> to provide transparent, </w:t>
      </w:r>
      <w:r w:rsidR="006A658E" w:rsidRPr="006340F9">
        <w:t xml:space="preserve">objective </w:t>
      </w:r>
      <w:r w:rsidRPr="006340F9">
        <w:t>information about IVF clinic success rates across Australia.</w:t>
      </w:r>
      <w:r w:rsidRPr="006340F9">
        <w:rPr>
          <w:vertAlign w:val="superscript"/>
        </w:rPr>
        <w:footnoteReference w:id="98"/>
      </w:r>
      <w:r w:rsidRPr="006340F9">
        <w:rPr>
          <w:vertAlign w:val="superscript"/>
        </w:rPr>
        <w:t xml:space="preserve"> </w:t>
      </w:r>
    </w:p>
    <w:p w14:paraId="742AD6CD" w14:textId="0DC005B4" w:rsidR="0064787F" w:rsidRPr="006340F9" w:rsidRDefault="005C554F" w:rsidP="0064787F">
      <w:pPr>
        <w:pStyle w:val="Body"/>
      </w:pPr>
      <w:r w:rsidRPr="006340F9">
        <w:t>Publication of outcomes on the ANZARD website requires ART unit agreement</w:t>
      </w:r>
      <w:r w:rsidR="002A59E2" w:rsidRPr="006340F9">
        <w:t>. Not all ART units</w:t>
      </w:r>
      <w:r w:rsidRPr="006340F9">
        <w:t xml:space="preserve"> participat</w:t>
      </w:r>
      <w:r w:rsidR="002A59E2" w:rsidRPr="006340F9">
        <w:t>e</w:t>
      </w:r>
      <w:r w:rsidR="00001113">
        <w:t xml:space="preserve"> (see Table 2.3)</w:t>
      </w:r>
      <w:r w:rsidRPr="006340F9">
        <w:t xml:space="preserve">. The ANZARD report shows that there is significant variation in success rates between the best performing and worst-performing clinics in Australia, with one measure ranging from </w:t>
      </w:r>
      <w:r w:rsidR="00A81ED2" w:rsidRPr="006340F9">
        <w:t>4</w:t>
      </w:r>
      <w:r w:rsidRPr="006340F9">
        <w:t>% to 35% success</w:t>
      </w:r>
      <w:r w:rsidR="00343CDC" w:rsidRPr="006340F9">
        <w:t>.</w:t>
      </w:r>
      <w:r w:rsidRPr="006340F9">
        <w:rPr>
          <w:vertAlign w:val="superscript"/>
        </w:rPr>
        <w:footnoteReference w:id="99"/>
      </w:r>
    </w:p>
    <w:p w14:paraId="53261718" w14:textId="7A85ADC3" w:rsidR="00E7245D" w:rsidRPr="006340F9" w:rsidRDefault="006A4B16" w:rsidP="0022690B">
      <w:pPr>
        <w:pStyle w:val="Tablecaption"/>
        <w:keepLines/>
      </w:pPr>
      <w:r w:rsidRPr="006340F9">
        <w:t>Table</w:t>
      </w:r>
      <w:r w:rsidR="000B1173" w:rsidRPr="006340F9">
        <w:t xml:space="preserve"> 2.3: </w:t>
      </w:r>
      <w:r w:rsidR="00E7245D" w:rsidRPr="006340F9">
        <w:t xml:space="preserve">Clinics reporting on </w:t>
      </w:r>
      <w:proofErr w:type="spellStart"/>
      <w:r w:rsidR="00E7245D" w:rsidRPr="006340F9">
        <w:t>YourIVFSuccess</w:t>
      </w:r>
      <w:proofErr w:type="spellEnd"/>
      <w:r w:rsidR="00D83BDB" w:rsidRPr="006340F9">
        <w:t>.</w:t>
      </w:r>
    </w:p>
    <w:tbl>
      <w:tblPr>
        <w:tblStyle w:val="TableGrid"/>
        <w:tblW w:w="0" w:type="auto"/>
        <w:tblLayout w:type="fixed"/>
        <w:tblLook w:val="04A0" w:firstRow="1" w:lastRow="0" w:firstColumn="1" w:lastColumn="0" w:noHBand="0" w:noVBand="1"/>
      </w:tblPr>
      <w:tblGrid>
        <w:gridCol w:w="1972"/>
        <w:gridCol w:w="880"/>
        <w:gridCol w:w="881"/>
        <w:gridCol w:w="880"/>
        <w:gridCol w:w="881"/>
        <w:gridCol w:w="880"/>
        <w:gridCol w:w="881"/>
        <w:gridCol w:w="880"/>
        <w:gridCol w:w="881"/>
      </w:tblGrid>
      <w:tr w:rsidR="005C554F" w:rsidRPr="006340F9" w14:paraId="4F72D45C" w14:textId="77777777" w:rsidTr="00551E09">
        <w:tc>
          <w:tcPr>
            <w:tcW w:w="1972" w:type="dxa"/>
            <w:shd w:val="clear" w:color="auto" w:fill="C6D9F1" w:themeFill="text2" w:themeFillTint="33"/>
          </w:tcPr>
          <w:p w14:paraId="3626D910" w14:textId="77777777" w:rsidR="005C554F" w:rsidRPr="006340F9" w:rsidRDefault="005C554F" w:rsidP="0022690B">
            <w:pPr>
              <w:pStyle w:val="Tabletext"/>
              <w:keepLines/>
            </w:pPr>
          </w:p>
        </w:tc>
        <w:tc>
          <w:tcPr>
            <w:tcW w:w="880" w:type="dxa"/>
            <w:shd w:val="clear" w:color="auto" w:fill="C6D9F1" w:themeFill="text2" w:themeFillTint="33"/>
            <w:vAlign w:val="center"/>
          </w:tcPr>
          <w:p w14:paraId="0B620632" w14:textId="77777777" w:rsidR="005C554F" w:rsidRPr="006340F9" w:rsidRDefault="005C554F" w:rsidP="0022690B">
            <w:pPr>
              <w:pStyle w:val="Tablecolhead"/>
              <w:keepLines/>
              <w:rPr>
                <w:sz w:val="20"/>
                <w:szCs w:val="20"/>
              </w:rPr>
            </w:pPr>
            <w:r w:rsidRPr="006340F9">
              <w:rPr>
                <w:sz w:val="20"/>
                <w:szCs w:val="20"/>
              </w:rPr>
              <w:t>ACT</w:t>
            </w:r>
          </w:p>
        </w:tc>
        <w:tc>
          <w:tcPr>
            <w:tcW w:w="881" w:type="dxa"/>
            <w:shd w:val="clear" w:color="auto" w:fill="C6D9F1" w:themeFill="text2" w:themeFillTint="33"/>
            <w:vAlign w:val="center"/>
          </w:tcPr>
          <w:p w14:paraId="4A94554D" w14:textId="77777777" w:rsidR="005C554F" w:rsidRPr="006340F9" w:rsidRDefault="005C554F" w:rsidP="0022690B">
            <w:pPr>
              <w:pStyle w:val="Tablecolhead"/>
              <w:keepLines/>
              <w:rPr>
                <w:sz w:val="20"/>
                <w:szCs w:val="20"/>
              </w:rPr>
            </w:pPr>
            <w:r w:rsidRPr="006340F9">
              <w:rPr>
                <w:sz w:val="20"/>
                <w:szCs w:val="20"/>
              </w:rPr>
              <w:t>NSW</w:t>
            </w:r>
          </w:p>
        </w:tc>
        <w:tc>
          <w:tcPr>
            <w:tcW w:w="880" w:type="dxa"/>
            <w:shd w:val="clear" w:color="auto" w:fill="C6D9F1" w:themeFill="text2" w:themeFillTint="33"/>
            <w:vAlign w:val="center"/>
          </w:tcPr>
          <w:p w14:paraId="37993A19" w14:textId="77777777" w:rsidR="005C554F" w:rsidRPr="006340F9" w:rsidRDefault="005C554F" w:rsidP="0022690B">
            <w:pPr>
              <w:pStyle w:val="Tablecolhead"/>
              <w:keepLines/>
              <w:rPr>
                <w:sz w:val="20"/>
                <w:szCs w:val="20"/>
              </w:rPr>
            </w:pPr>
            <w:r w:rsidRPr="006340F9">
              <w:rPr>
                <w:sz w:val="20"/>
                <w:szCs w:val="20"/>
              </w:rPr>
              <w:t>NT</w:t>
            </w:r>
          </w:p>
        </w:tc>
        <w:tc>
          <w:tcPr>
            <w:tcW w:w="881" w:type="dxa"/>
            <w:shd w:val="clear" w:color="auto" w:fill="C6D9F1" w:themeFill="text2" w:themeFillTint="33"/>
            <w:vAlign w:val="center"/>
          </w:tcPr>
          <w:p w14:paraId="0C56A3BB" w14:textId="77777777" w:rsidR="005C554F" w:rsidRPr="006340F9" w:rsidRDefault="005C554F" w:rsidP="0022690B">
            <w:pPr>
              <w:pStyle w:val="Tablecolhead"/>
              <w:keepLines/>
              <w:rPr>
                <w:sz w:val="20"/>
                <w:szCs w:val="20"/>
              </w:rPr>
            </w:pPr>
            <w:r w:rsidRPr="006340F9">
              <w:rPr>
                <w:sz w:val="20"/>
                <w:szCs w:val="20"/>
              </w:rPr>
              <w:t>QLD</w:t>
            </w:r>
          </w:p>
        </w:tc>
        <w:tc>
          <w:tcPr>
            <w:tcW w:w="880" w:type="dxa"/>
            <w:shd w:val="clear" w:color="auto" w:fill="C6D9F1" w:themeFill="text2" w:themeFillTint="33"/>
            <w:vAlign w:val="center"/>
          </w:tcPr>
          <w:p w14:paraId="72D3FDD2" w14:textId="77777777" w:rsidR="005C554F" w:rsidRPr="006340F9" w:rsidRDefault="005C554F" w:rsidP="0022690B">
            <w:pPr>
              <w:pStyle w:val="Tablecolhead"/>
              <w:keepLines/>
              <w:rPr>
                <w:sz w:val="20"/>
                <w:szCs w:val="20"/>
              </w:rPr>
            </w:pPr>
            <w:r w:rsidRPr="006340F9">
              <w:rPr>
                <w:sz w:val="20"/>
                <w:szCs w:val="20"/>
              </w:rPr>
              <w:t>SA</w:t>
            </w:r>
          </w:p>
        </w:tc>
        <w:tc>
          <w:tcPr>
            <w:tcW w:w="881" w:type="dxa"/>
            <w:shd w:val="clear" w:color="auto" w:fill="C6D9F1" w:themeFill="text2" w:themeFillTint="33"/>
            <w:vAlign w:val="center"/>
          </w:tcPr>
          <w:p w14:paraId="49BD46AB" w14:textId="77777777" w:rsidR="005C554F" w:rsidRPr="006340F9" w:rsidRDefault="005C554F" w:rsidP="0022690B">
            <w:pPr>
              <w:pStyle w:val="Tablecolhead"/>
              <w:keepLines/>
              <w:rPr>
                <w:sz w:val="20"/>
                <w:szCs w:val="20"/>
              </w:rPr>
            </w:pPr>
            <w:r w:rsidRPr="006340F9">
              <w:rPr>
                <w:sz w:val="20"/>
                <w:szCs w:val="20"/>
              </w:rPr>
              <w:t>TAS</w:t>
            </w:r>
          </w:p>
        </w:tc>
        <w:tc>
          <w:tcPr>
            <w:tcW w:w="880" w:type="dxa"/>
            <w:shd w:val="clear" w:color="auto" w:fill="C6D9F1" w:themeFill="text2" w:themeFillTint="33"/>
            <w:vAlign w:val="center"/>
          </w:tcPr>
          <w:p w14:paraId="7D4CDED1" w14:textId="77777777" w:rsidR="005C554F" w:rsidRPr="006340F9" w:rsidRDefault="005C554F" w:rsidP="0022690B">
            <w:pPr>
              <w:pStyle w:val="Tablecolhead"/>
              <w:keepLines/>
              <w:rPr>
                <w:sz w:val="20"/>
                <w:szCs w:val="20"/>
              </w:rPr>
            </w:pPr>
            <w:r w:rsidRPr="006340F9">
              <w:rPr>
                <w:sz w:val="20"/>
                <w:szCs w:val="20"/>
              </w:rPr>
              <w:t>VIC</w:t>
            </w:r>
          </w:p>
        </w:tc>
        <w:tc>
          <w:tcPr>
            <w:tcW w:w="881" w:type="dxa"/>
            <w:shd w:val="clear" w:color="auto" w:fill="C6D9F1" w:themeFill="text2" w:themeFillTint="33"/>
            <w:vAlign w:val="center"/>
          </w:tcPr>
          <w:p w14:paraId="090CE9D2" w14:textId="77777777" w:rsidR="005C554F" w:rsidRPr="006340F9" w:rsidRDefault="005C554F" w:rsidP="0022690B">
            <w:pPr>
              <w:pStyle w:val="Tablecolhead"/>
              <w:keepLines/>
              <w:rPr>
                <w:sz w:val="20"/>
                <w:szCs w:val="20"/>
              </w:rPr>
            </w:pPr>
            <w:r w:rsidRPr="006340F9">
              <w:rPr>
                <w:sz w:val="20"/>
                <w:szCs w:val="20"/>
              </w:rPr>
              <w:t>WA</w:t>
            </w:r>
          </w:p>
        </w:tc>
      </w:tr>
      <w:tr w:rsidR="005C554F" w:rsidRPr="006340F9" w14:paraId="0A32FCE7" w14:textId="77777777" w:rsidTr="00551E09">
        <w:tc>
          <w:tcPr>
            <w:tcW w:w="1972" w:type="dxa"/>
            <w:vAlign w:val="center"/>
          </w:tcPr>
          <w:p w14:paraId="0349BAAC" w14:textId="77777777" w:rsidR="005C554F" w:rsidRPr="006340F9" w:rsidRDefault="005C554F" w:rsidP="0022690B">
            <w:pPr>
              <w:pStyle w:val="Tablecolhead"/>
              <w:keepLines/>
              <w:jc w:val="left"/>
              <w:rPr>
                <w:sz w:val="20"/>
                <w:szCs w:val="20"/>
              </w:rPr>
            </w:pPr>
            <w:r w:rsidRPr="006340F9">
              <w:rPr>
                <w:sz w:val="20"/>
                <w:szCs w:val="20"/>
              </w:rPr>
              <w:t>Total units</w:t>
            </w:r>
            <w:r w:rsidRPr="006340F9">
              <w:rPr>
                <w:rStyle w:val="FootnoteReference"/>
                <w:rFonts w:cs="Arial"/>
                <w:b w:val="0"/>
                <w:sz w:val="20"/>
              </w:rPr>
              <w:footnoteReference w:id="100"/>
            </w:r>
            <w:r w:rsidRPr="006340F9">
              <w:rPr>
                <w:sz w:val="20"/>
                <w:szCs w:val="20"/>
              </w:rPr>
              <w:t xml:space="preserve"> </w:t>
            </w:r>
          </w:p>
        </w:tc>
        <w:tc>
          <w:tcPr>
            <w:tcW w:w="880" w:type="dxa"/>
            <w:vAlign w:val="center"/>
          </w:tcPr>
          <w:p w14:paraId="3E8B0584" w14:textId="77777777" w:rsidR="005C554F" w:rsidRPr="006340F9" w:rsidRDefault="005C554F" w:rsidP="0022690B">
            <w:pPr>
              <w:pStyle w:val="Tabletext"/>
              <w:keepLines/>
              <w:jc w:val="center"/>
            </w:pPr>
            <w:r w:rsidRPr="006340F9">
              <w:t>3</w:t>
            </w:r>
          </w:p>
        </w:tc>
        <w:tc>
          <w:tcPr>
            <w:tcW w:w="881" w:type="dxa"/>
            <w:vAlign w:val="center"/>
          </w:tcPr>
          <w:p w14:paraId="765F7929" w14:textId="738AA98B" w:rsidR="005C554F" w:rsidRPr="006340F9" w:rsidRDefault="005C554F" w:rsidP="0022690B">
            <w:pPr>
              <w:pStyle w:val="Tabletext"/>
              <w:keepLines/>
              <w:jc w:val="center"/>
            </w:pPr>
            <w:r w:rsidRPr="006340F9">
              <w:t>3</w:t>
            </w:r>
            <w:r w:rsidR="00823508" w:rsidRPr="006340F9">
              <w:t>4</w:t>
            </w:r>
          </w:p>
        </w:tc>
        <w:tc>
          <w:tcPr>
            <w:tcW w:w="880" w:type="dxa"/>
            <w:vAlign w:val="center"/>
          </w:tcPr>
          <w:p w14:paraId="47B8136E" w14:textId="77777777" w:rsidR="005C554F" w:rsidRPr="006340F9" w:rsidRDefault="005C554F" w:rsidP="0022690B">
            <w:pPr>
              <w:pStyle w:val="Tabletext"/>
              <w:keepLines/>
              <w:jc w:val="center"/>
            </w:pPr>
            <w:r w:rsidRPr="006340F9">
              <w:t>1</w:t>
            </w:r>
          </w:p>
        </w:tc>
        <w:tc>
          <w:tcPr>
            <w:tcW w:w="881" w:type="dxa"/>
            <w:vAlign w:val="center"/>
          </w:tcPr>
          <w:p w14:paraId="7BCE2E69" w14:textId="77777777" w:rsidR="005C554F" w:rsidRPr="006340F9" w:rsidRDefault="005C554F" w:rsidP="0022690B">
            <w:pPr>
              <w:pStyle w:val="Tabletext"/>
              <w:keepLines/>
              <w:jc w:val="center"/>
            </w:pPr>
            <w:r w:rsidRPr="006340F9">
              <w:t>24</w:t>
            </w:r>
          </w:p>
        </w:tc>
        <w:tc>
          <w:tcPr>
            <w:tcW w:w="880" w:type="dxa"/>
            <w:vAlign w:val="center"/>
          </w:tcPr>
          <w:p w14:paraId="2FD76EFA" w14:textId="77777777" w:rsidR="005C554F" w:rsidRPr="006340F9" w:rsidRDefault="005C554F" w:rsidP="0022690B">
            <w:pPr>
              <w:pStyle w:val="Tabletext"/>
              <w:keepLines/>
              <w:jc w:val="center"/>
            </w:pPr>
            <w:r w:rsidRPr="006340F9">
              <w:t>4</w:t>
            </w:r>
          </w:p>
        </w:tc>
        <w:tc>
          <w:tcPr>
            <w:tcW w:w="881" w:type="dxa"/>
            <w:vAlign w:val="center"/>
          </w:tcPr>
          <w:p w14:paraId="76C937F8" w14:textId="77777777" w:rsidR="005C554F" w:rsidRPr="006340F9" w:rsidRDefault="005C554F" w:rsidP="0022690B">
            <w:pPr>
              <w:pStyle w:val="Tabletext"/>
              <w:keepLines/>
              <w:jc w:val="center"/>
            </w:pPr>
            <w:r w:rsidRPr="006340F9">
              <w:t>2</w:t>
            </w:r>
          </w:p>
        </w:tc>
        <w:tc>
          <w:tcPr>
            <w:tcW w:w="880" w:type="dxa"/>
            <w:vAlign w:val="center"/>
          </w:tcPr>
          <w:p w14:paraId="20752C6B" w14:textId="1D89CB07" w:rsidR="005C554F" w:rsidRPr="006340F9" w:rsidRDefault="005C554F" w:rsidP="0022690B">
            <w:pPr>
              <w:pStyle w:val="Tabletext"/>
              <w:keepLines/>
              <w:jc w:val="center"/>
            </w:pPr>
            <w:r w:rsidRPr="006340F9">
              <w:t>2</w:t>
            </w:r>
            <w:r w:rsidR="00292FA7" w:rsidRPr="006340F9">
              <w:t>3</w:t>
            </w:r>
          </w:p>
        </w:tc>
        <w:tc>
          <w:tcPr>
            <w:tcW w:w="881" w:type="dxa"/>
            <w:vAlign w:val="center"/>
          </w:tcPr>
          <w:p w14:paraId="4A35BA25" w14:textId="1F87D809" w:rsidR="005C554F" w:rsidRPr="006340F9" w:rsidRDefault="005C4B21" w:rsidP="0022690B">
            <w:pPr>
              <w:pStyle w:val="Tabletext"/>
              <w:keepLines/>
              <w:jc w:val="center"/>
            </w:pPr>
            <w:r w:rsidRPr="006340F9">
              <w:t>8</w:t>
            </w:r>
          </w:p>
        </w:tc>
      </w:tr>
      <w:tr w:rsidR="005C554F" w:rsidRPr="006340F9" w14:paraId="027E3CE5" w14:textId="77777777" w:rsidTr="00551E09">
        <w:tc>
          <w:tcPr>
            <w:tcW w:w="1972" w:type="dxa"/>
            <w:vAlign w:val="center"/>
          </w:tcPr>
          <w:p w14:paraId="611CED21" w14:textId="765EA006" w:rsidR="005C554F" w:rsidRPr="006340F9" w:rsidRDefault="005C554F" w:rsidP="0022690B">
            <w:pPr>
              <w:pStyle w:val="Tablecolhead"/>
              <w:keepLines/>
              <w:jc w:val="left"/>
              <w:rPr>
                <w:sz w:val="20"/>
                <w:szCs w:val="20"/>
              </w:rPr>
            </w:pPr>
            <w:r w:rsidRPr="006340F9">
              <w:rPr>
                <w:sz w:val="20"/>
                <w:szCs w:val="20"/>
              </w:rPr>
              <w:t xml:space="preserve">Reporting on </w:t>
            </w:r>
            <w:proofErr w:type="spellStart"/>
            <w:r w:rsidRPr="006340F9">
              <w:rPr>
                <w:sz w:val="20"/>
                <w:szCs w:val="20"/>
              </w:rPr>
              <w:t>YourIVF</w:t>
            </w:r>
            <w:r w:rsidR="002644AE" w:rsidRPr="006340F9">
              <w:rPr>
                <w:sz w:val="20"/>
                <w:szCs w:val="20"/>
              </w:rPr>
              <w:t>S</w:t>
            </w:r>
            <w:r w:rsidRPr="006340F9">
              <w:rPr>
                <w:sz w:val="20"/>
                <w:szCs w:val="20"/>
              </w:rPr>
              <w:t>uccess</w:t>
            </w:r>
            <w:proofErr w:type="spellEnd"/>
            <w:r w:rsidRPr="006340F9">
              <w:rPr>
                <w:rStyle w:val="FootnoteReference"/>
                <w:rFonts w:cs="Arial"/>
                <w:b w:val="0"/>
                <w:sz w:val="20"/>
              </w:rPr>
              <w:footnoteReference w:id="101"/>
            </w:r>
          </w:p>
        </w:tc>
        <w:tc>
          <w:tcPr>
            <w:tcW w:w="880" w:type="dxa"/>
            <w:vAlign w:val="center"/>
          </w:tcPr>
          <w:p w14:paraId="2DC1E235" w14:textId="77777777" w:rsidR="005C554F" w:rsidRPr="006340F9" w:rsidRDefault="005C554F" w:rsidP="0022690B">
            <w:pPr>
              <w:pStyle w:val="Tabletext"/>
              <w:keepLines/>
              <w:jc w:val="center"/>
            </w:pPr>
            <w:r w:rsidRPr="006340F9">
              <w:t>3</w:t>
            </w:r>
          </w:p>
        </w:tc>
        <w:tc>
          <w:tcPr>
            <w:tcW w:w="881" w:type="dxa"/>
            <w:vAlign w:val="center"/>
          </w:tcPr>
          <w:p w14:paraId="020FCF38" w14:textId="77777777" w:rsidR="005C554F" w:rsidRPr="006340F9" w:rsidRDefault="005C554F" w:rsidP="0022690B">
            <w:pPr>
              <w:pStyle w:val="Tabletext"/>
              <w:keepLines/>
              <w:jc w:val="center"/>
            </w:pPr>
            <w:r w:rsidRPr="006340F9">
              <w:t>33</w:t>
            </w:r>
          </w:p>
        </w:tc>
        <w:tc>
          <w:tcPr>
            <w:tcW w:w="880" w:type="dxa"/>
            <w:vAlign w:val="center"/>
          </w:tcPr>
          <w:p w14:paraId="338D4128" w14:textId="77777777" w:rsidR="005C554F" w:rsidRPr="006340F9" w:rsidRDefault="005C554F" w:rsidP="0022690B">
            <w:pPr>
              <w:pStyle w:val="Tabletext"/>
              <w:keepLines/>
              <w:jc w:val="center"/>
            </w:pPr>
            <w:r w:rsidRPr="006340F9">
              <w:t>1</w:t>
            </w:r>
          </w:p>
        </w:tc>
        <w:tc>
          <w:tcPr>
            <w:tcW w:w="881" w:type="dxa"/>
            <w:vAlign w:val="center"/>
          </w:tcPr>
          <w:p w14:paraId="4D095CA5" w14:textId="77777777" w:rsidR="005C554F" w:rsidRPr="006340F9" w:rsidRDefault="005C554F" w:rsidP="0022690B">
            <w:pPr>
              <w:pStyle w:val="Tabletext"/>
              <w:keepLines/>
              <w:jc w:val="center"/>
            </w:pPr>
            <w:r w:rsidRPr="006340F9">
              <w:t>22</w:t>
            </w:r>
          </w:p>
        </w:tc>
        <w:tc>
          <w:tcPr>
            <w:tcW w:w="880" w:type="dxa"/>
            <w:vAlign w:val="center"/>
          </w:tcPr>
          <w:p w14:paraId="7B3410DC" w14:textId="77777777" w:rsidR="005C554F" w:rsidRPr="006340F9" w:rsidRDefault="005C554F" w:rsidP="0022690B">
            <w:pPr>
              <w:pStyle w:val="Tabletext"/>
              <w:keepLines/>
              <w:jc w:val="center"/>
            </w:pPr>
            <w:r w:rsidRPr="006340F9">
              <w:t>4</w:t>
            </w:r>
          </w:p>
        </w:tc>
        <w:tc>
          <w:tcPr>
            <w:tcW w:w="881" w:type="dxa"/>
            <w:vAlign w:val="center"/>
          </w:tcPr>
          <w:p w14:paraId="1777CFD8" w14:textId="77777777" w:rsidR="005C554F" w:rsidRPr="006340F9" w:rsidRDefault="005C554F" w:rsidP="0022690B">
            <w:pPr>
              <w:pStyle w:val="Tabletext"/>
              <w:keepLines/>
              <w:jc w:val="center"/>
            </w:pPr>
            <w:r w:rsidRPr="006340F9">
              <w:t>2</w:t>
            </w:r>
          </w:p>
        </w:tc>
        <w:tc>
          <w:tcPr>
            <w:tcW w:w="880" w:type="dxa"/>
            <w:vAlign w:val="center"/>
          </w:tcPr>
          <w:p w14:paraId="6A6D5820" w14:textId="77777777" w:rsidR="005C554F" w:rsidRPr="006340F9" w:rsidRDefault="005C554F" w:rsidP="0022690B">
            <w:pPr>
              <w:pStyle w:val="Tabletext"/>
              <w:keepLines/>
              <w:jc w:val="center"/>
            </w:pPr>
            <w:r w:rsidRPr="006340F9">
              <w:t>21</w:t>
            </w:r>
          </w:p>
        </w:tc>
        <w:tc>
          <w:tcPr>
            <w:tcW w:w="881" w:type="dxa"/>
            <w:vAlign w:val="center"/>
          </w:tcPr>
          <w:p w14:paraId="7FDAA87A" w14:textId="77777777" w:rsidR="005C554F" w:rsidRPr="006340F9" w:rsidRDefault="005C554F" w:rsidP="0022690B">
            <w:pPr>
              <w:pStyle w:val="Tabletext"/>
              <w:keepLines/>
              <w:jc w:val="center"/>
            </w:pPr>
            <w:r w:rsidRPr="006340F9">
              <w:t>8</w:t>
            </w:r>
          </w:p>
        </w:tc>
      </w:tr>
    </w:tbl>
    <w:p w14:paraId="1EB88AE0" w14:textId="7A80FDDD" w:rsidR="002053F3" w:rsidRPr="006340F9" w:rsidRDefault="002053F3" w:rsidP="0062093F">
      <w:pPr>
        <w:pStyle w:val="Heading2"/>
      </w:pPr>
      <w:bookmarkStart w:id="90" w:name="_Toc207976233"/>
      <w:bookmarkStart w:id="91" w:name="_Ref209436411"/>
      <w:bookmarkStart w:id="92" w:name="_Toc209441986"/>
      <w:bookmarkStart w:id="93" w:name="_Toc205489534"/>
      <w:r w:rsidRPr="006340F9">
        <w:t>Market conduct – regulation</w:t>
      </w:r>
      <w:bookmarkEnd w:id="90"/>
      <w:bookmarkEnd w:id="91"/>
      <w:bookmarkEnd w:id="92"/>
    </w:p>
    <w:p w14:paraId="51CE846D" w14:textId="1DAA4447" w:rsidR="00D46FBE" w:rsidRPr="006340F9" w:rsidRDefault="00D46FBE" w:rsidP="00D46FBE">
      <w:pPr>
        <w:pStyle w:val="Body"/>
      </w:pPr>
      <w:r w:rsidRPr="006340F9">
        <w:t xml:space="preserve">The compliance of ART units with relevant regulatory requirements is overseen by </w:t>
      </w:r>
      <w:r w:rsidR="00D66F53" w:rsidRPr="006340F9">
        <w:rPr>
          <w:bCs/>
        </w:rPr>
        <w:t>State and Territory</w:t>
      </w:r>
      <w:r w:rsidR="00D66F53" w:rsidRPr="006340F9" w:rsidDel="00D66F53">
        <w:t xml:space="preserve"> </w:t>
      </w:r>
      <w:r w:rsidRPr="006340F9">
        <w:t xml:space="preserve">regulatory authorities through registration and compliance monitoring. </w:t>
      </w:r>
      <w:proofErr w:type="spellStart"/>
      <w:r w:rsidRPr="006340F9">
        <w:t>Ahpra</w:t>
      </w:r>
      <w:proofErr w:type="spellEnd"/>
      <w:r w:rsidRPr="006340F9">
        <w:t xml:space="preserve"> provides oversight of registered health practitioners.</w:t>
      </w:r>
      <w:r w:rsidRPr="006340F9">
        <w:rPr>
          <w:rStyle w:val="FootnoteReference"/>
        </w:rPr>
        <w:footnoteReference w:id="102"/>
      </w:r>
    </w:p>
    <w:p w14:paraId="6261349A" w14:textId="325AF030" w:rsidR="005C554F" w:rsidRPr="006340F9" w:rsidRDefault="009A1534" w:rsidP="004600B7">
      <w:pPr>
        <w:pStyle w:val="Heading3"/>
      </w:pPr>
      <w:r w:rsidRPr="006340F9">
        <w:t>C</w:t>
      </w:r>
      <w:r w:rsidR="005C554F" w:rsidRPr="006340F9">
        <w:t>ompliance monitoring and investigation powers</w:t>
      </w:r>
      <w:bookmarkEnd w:id="93"/>
      <w:r w:rsidR="005C554F" w:rsidRPr="006340F9">
        <w:t xml:space="preserve"> vary between jurisdictions </w:t>
      </w:r>
    </w:p>
    <w:p w14:paraId="462BE9FC" w14:textId="1C709CD6" w:rsidR="005C554F" w:rsidRPr="006340F9" w:rsidRDefault="005C554F" w:rsidP="00B7757E">
      <w:pPr>
        <w:pStyle w:val="Body"/>
      </w:pPr>
      <w:r w:rsidRPr="006340F9">
        <w:t xml:space="preserve">Where registration requirements exist, </w:t>
      </w:r>
      <w:r w:rsidR="00D66F53" w:rsidRPr="006340F9">
        <w:rPr>
          <w:bCs/>
        </w:rPr>
        <w:t>State and Territory</w:t>
      </w:r>
      <w:r w:rsidR="00D66F53" w:rsidRPr="006340F9" w:rsidDel="00D66F53">
        <w:t xml:space="preserve"> </w:t>
      </w:r>
      <w:r w:rsidRPr="006340F9">
        <w:t>regulatory authorities are responsible for monitoring and investigating ART units’ compliance with the conditions of their registration. The approach taken to compliance monitoring varies across jurisdictions</w:t>
      </w:r>
      <w:r w:rsidR="00565C73" w:rsidRPr="006340F9">
        <w:t>,</w:t>
      </w:r>
      <w:r w:rsidRPr="006340F9">
        <w:t xml:space="preserve"> reflecting differences in scope, powers and regulatory posture. Some key examples are outlined below</w:t>
      </w:r>
      <w:r w:rsidR="00343CDC" w:rsidRPr="006340F9">
        <w:t>.</w:t>
      </w:r>
    </w:p>
    <w:p w14:paraId="1DBC53EC" w14:textId="12DBA81E" w:rsidR="005C554F" w:rsidRPr="006340F9" w:rsidRDefault="004D6458" w:rsidP="004706E9">
      <w:pPr>
        <w:pStyle w:val="Heading4"/>
        <w:rPr>
          <w:rFonts w:cs="Arial"/>
        </w:rPr>
      </w:pPr>
      <w:r w:rsidRPr="006340F9">
        <w:t xml:space="preserve">States and </w:t>
      </w:r>
      <w:r w:rsidR="00983657" w:rsidRPr="006340F9">
        <w:t>T</w:t>
      </w:r>
      <w:r w:rsidRPr="006340F9">
        <w:t>erritories may impose c</w:t>
      </w:r>
      <w:r w:rsidR="005C554F" w:rsidRPr="006340F9">
        <w:t>onditions on registration</w:t>
      </w:r>
    </w:p>
    <w:p w14:paraId="5CEC435F" w14:textId="0204E49C" w:rsidR="005C554F" w:rsidRPr="006340F9" w:rsidRDefault="005C554F" w:rsidP="00B7757E">
      <w:pPr>
        <w:pStyle w:val="Body"/>
      </w:pPr>
      <w:r w:rsidRPr="006340F9">
        <w:t xml:space="preserve">In addition to general requirements of registration, </w:t>
      </w:r>
      <w:r w:rsidR="00D66F53" w:rsidRPr="006340F9">
        <w:rPr>
          <w:bCs/>
        </w:rPr>
        <w:t>State and Territory</w:t>
      </w:r>
      <w:r w:rsidR="00D66F53" w:rsidRPr="006340F9" w:rsidDel="00D66F53">
        <w:t xml:space="preserve"> </w:t>
      </w:r>
      <w:r w:rsidRPr="006340F9">
        <w:t>regulatory authorities may impose specific conditions on ART providers, either in response to specific issues or appl</w:t>
      </w:r>
      <w:r w:rsidR="00DE4CC3" w:rsidRPr="006340F9">
        <w:t>ie</w:t>
      </w:r>
      <w:r w:rsidR="00442810" w:rsidRPr="006340F9">
        <w:t>d</w:t>
      </w:r>
      <w:r w:rsidRPr="006340F9">
        <w:t xml:space="preserve"> to all ART units to drive quality, safety and consumer protection. For example,</w:t>
      </w:r>
      <w:r w:rsidRPr="006340F9" w:rsidDel="00B2697B">
        <w:t xml:space="preserve"> </w:t>
      </w:r>
      <w:r w:rsidRPr="006340F9">
        <w:t xml:space="preserve">consumer-driven requirements such as counselling </w:t>
      </w:r>
      <w:r w:rsidR="006103B5" w:rsidRPr="006340F9">
        <w:t>are</w:t>
      </w:r>
      <w:r w:rsidRPr="006340F9">
        <w:t xml:space="preserve"> required as part of state-based regulation in Victoria</w:t>
      </w:r>
      <w:r w:rsidR="002D402D" w:rsidRPr="006340F9">
        <w:t xml:space="preserve"> and will form part of the regulatory approach in Queensland</w:t>
      </w:r>
      <w:r w:rsidRPr="006340F9">
        <w:t xml:space="preserve">. </w:t>
      </w:r>
    </w:p>
    <w:p w14:paraId="6EE18E04" w14:textId="73AD5854" w:rsidR="005C554F" w:rsidRPr="006340F9" w:rsidRDefault="005C554F" w:rsidP="00B7757E">
      <w:pPr>
        <w:pStyle w:val="Body"/>
      </w:pPr>
      <w:r w:rsidRPr="006340F9">
        <w:t>There is limited evidence of conditions being imposed in response to ART unit quality, safety</w:t>
      </w:r>
      <w:r w:rsidR="00B2697B" w:rsidRPr="006340F9">
        <w:t>,</w:t>
      </w:r>
      <w:r w:rsidRPr="006340F9">
        <w:t xml:space="preserve"> or conduct</w:t>
      </w:r>
      <w:r w:rsidR="0041236F">
        <w:t xml:space="preserve"> (see Table 2.4)</w:t>
      </w:r>
      <w:r w:rsidR="00B2697B" w:rsidRPr="006340F9">
        <w:t>. This is in</w:t>
      </w:r>
      <w:r w:rsidRPr="006340F9">
        <w:t xml:space="preserve"> part due to new legislation and powers in </w:t>
      </w:r>
      <w:r w:rsidR="002C36FF" w:rsidRPr="006340F9">
        <w:t>Q</w:t>
      </w:r>
      <w:r w:rsidRPr="006340F9">
        <w:t>ueensland</w:t>
      </w:r>
      <w:r w:rsidR="00103BEF" w:rsidRPr="006340F9">
        <w:t xml:space="preserve">, </w:t>
      </w:r>
      <w:r w:rsidR="00103BEF" w:rsidRPr="006340F9">
        <w:lastRenderedPageBreak/>
        <w:t>which will commence in March 2026,</w:t>
      </w:r>
      <w:r w:rsidR="00583C03" w:rsidRPr="006340F9">
        <w:t xml:space="preserve"> and</w:t>
      </w:r>
      <w:r w:rsidR="002C36FF" w:rsidRPr="006340F9">
        <w:t xml:space="preserve"> </w:t>
      </w:r>
      <w:r w:rsidR="00714671" w:rsidRPr="006340F9">
        <w:t>the A</w:t>
      </w:r>
      <w:r w:rsidR="00AD5E0E" w:rsidRPr="006340F9">
        <w:t xml:space="preserve">ustralian </w:t>
      </w:r>
      <w:r w:rsidR="00714671" w:rsidRPr="006340F9">
        <w:t>C</w:t>
      </w:r>
      <w:r w:rsidR="00AD5E0E" w:rsidRPr="006340F9">
        <w:t xml:space="preserve">apital </w:t>
      </w:r>
      <w:r w:rsidR="00714671" w:rsidRPr="006340F9">
        <w:t>T</w:t>
      </w:r>
      <w:r w:rsidR="00AD5E0E" w:rsidRPr="006340F9">
        <w:t>erritory</w:t>
      </w:r>
      <w:r w:rsidR="00583C03" w:rsidRPr="006340F9">
        <w:t>,</w:t>
      </w:r>
      <w:r w:rsidR="00714671" w:rsidRPr="006340F9">
        <w:t xml:space="preserve"> and </w:t>
      </w:r>
      <w:r w:rsidR="00583C03" w:rsidRPr="006340F9">
        <w:t xml:space="preserve">recent </w:t>
      </w:r>
      <w:r w:rsidR="00F41A5F" w:rsidRPr="006340F9">
        <w:t>legislative change</w:t>
      </w:r>
      <w:r w:rsidR="00D7591B" w:rsidRPr="006340F9">
        <w:t>s</w:t>
      </w:r>
      <w:r w:rsidR="00F41A5F" w:rsidRPr="006340F9">
        <w:t xml:space="preserve"> </w:t>
      </w:r>
      <w:r w:rsidR="005624F5" w:rsidRPr="006340F9">
        <w:t>and powers</w:t>
      </w:r>
      <w:r w:rsidR="00F41A5F" w:rsidRPr="006340F9">
        <w:t xml:space="preserve"> in </w:t>
      </w:r>
      <w:r w:rsidR="00C717E9" w:rsidRPr="006340F9">
        <w:t>Victoria</w:t>
      </w:r>
      <w:r w:rsidRPr="006340F9">
        <w:t>.</w:t>
      </w:r>
    </w:p>
    <w:p w14:paraId="6D89F28E" w14:textId="2AF461BC" w:rsidR="00700D79" w:rsidRPr="006340F9" w:rsidRDefault="000B1173" w:rsidP="00700D79">
      <w:pPr>
        <w:pStyle w:val="Tablecaption"/>
      </w:pPr>
      <w:r w:rsidRPr="006340F9">
        <w:t>Table 2.4:</w:t>
      </w:r>
      <w:r w:rsidR="00700D79" w:rsidRPr="006340F9">
        <w:t xml:space="preserve"> Conditions imposed on ART units in </w:t>
      </w:r>
      <w:r w:rsidR="00DD30BD" w:rsidRPr="006340F9">
        <w:t>response to ART unit quality, safety, or conduct</w:t>
      </w:r>
      <w:r w:rsidR="00700D79" w:rsidRPr="006340F9">
        <w:t xml:space="preserve"> the last 10 years by jurisdiction</w:t>
      </w:r>
      <w:r w:rsidR="00D83BDB" w:rsidRPr="006340F9">
        <w:t>.</w:t>
      </w:r>
    </w:p>
    <w:tbl>
      <w:tblPr>
        <w:tblStyle w:val="TableGrid"/>
        <w:tblW w:w="0" w:type="auto"/>
        <w:tblLook w:val="04A0" w:firstRow="1" w:lastRow="0" w:firstColumn="1" w:lastColumn="0" w:noHBand="0" w:noVBand="1"/>
      </w:tblPr>
      <w:tblGrid>
        <w:gridCol w:w="1764"/>
        <w:gridCol w:w="934"/>
        <w:gridCol w:w="963"/>
        <w:gridCol w:w="886"/>
        <w:gridCol w:w="847"/>
        <w:gridCol w:w="880"/>
        <w:gridCol w:w="931"/>
        <w:gridCol w:w="908"/>
        <w:gridCol w:w="903"/>
      </w:tblGrid>
      <w:tr w:rsidR="005C554F" w:rsidRPr="006340F9" w14:paraId="161E207D" w14:textId="77777777" w:rsidTr="00EF4BAD">
        <w:tc>
          <w:tcPr>
            <w:tcW w:w="1817" w:type="dxa"/>
            <w:shd w:val="clear" w:color="auto" w:fill="C6D9F1" w:themeFill="text2" w:themeFillTint="33"/>
          </w:tcPr>
          <w:p w14:paraId="7AA13303" w14:textId="77777777" w:rsidR="005C554F" w:rsidRPr="006340F9" w:rsidRDefault="005C554F" w:rsidP="00EE080D">
            <w:pPr>
              <w:pStyle w:val="Tabletext"/>
              <w:keepNext/>
            </w:pPr>
          </w:p>
        </w:tc>
        <w:tc>
          <w:tcPr>
            <w:tcW w:w="968" w:type="dxa"/>
            <w:shd w:val="clear" w:color="auto" w:fill="C6D9F1" w:themeFill="text2" w:themeFillTint="33"/>
            <w:vAlign w:val="center"/>
          </w:tcPr>
          <w:p w14:paraId="152F0682" w14:textId="4B928943" w:rsidR="005C554F" w:rsidRPr="006340F9" w:rsidRDefault="005C554F" w:rsidP="00EE080D">
            <w:pPr>
              <w:pStyle w:val="Tablecolhead"/>
              <w:keepNext/>
              <w:rPr>
                <w:sz w:val="20"/>
                <w:szCs w:val="20"/>
              </w:rPr>
            </w:pPr>
            <w:r w:rsidRPr="006340F9">
              <w:rPr>
                <w:sz w:val="20"/>
                <w:szCs w:val="20"/>
              </w:rPr>
              <w:t>ACT</w:t>
            </w:r>
          </w:p>
        </w:tc>
        <w:tc>
          <w:tcPr>
            <w:tcW w:w="994" w:type="dxa"/>
            <w:shd w:val="clear" w:color="auto" w:fill="C6D9F1" w:themeFill="text2" w:themeFillTint="33"/>
            <w:vAlign w:val="center"/>
          </w:tcPr>
          <w:p w14:paraId="48196BFD" w14:textId="77777777" w:rsidR="005C554F" w:rsidRPr="006340F9" w:rsidRDefault="005C554F" w:rsidP="00EE080D">
            <w:pPr>
              <w:pStyle w:val="Tablecolhead"/>
              <w:keepNext/>
              <w:rPr>
                <w:sz w:val="20"/>
                <w:szCs w:val="20"/>
              </w:rPr>
            </w:pPr>
            <w:r w:rsidRPr="006340F9">
              <w:rPr>
                <w:sz w:val="20"/>
                <w:szCs w:val="20"/>
              </w:rPr>
              <w:t>NSW</w:t>
            </w:r>
          </w:p>
        </w:tc>
        <w:tc>
          <w:tcPr>
            <w:tcW w:w="923" w:type="dxa"/>
            <w:shd w:val="clear" w:color="auto" w:fill="C6D9F1" w:themeFill="text2" w:themeFillTint="33"/>
            <w:vAlign w:val="center"/>
          </w:tcPr>
          <w:p w14:paraId="12509CAF" w14:textId="77777777" w:rsidR="005C554F" w:rsidRPr="006340F9" w:rsidRDefault="005C554F" w:rsidP="00EE080D">
            <w:pPr>
              <w:pStyle w:val="Tablecolhead"/>
              <w:keepNext/>
              <w:rPr>
                <w:sz w:val="20"/>
                <w:szCs w:val="20"/>
              </w:rPr>
            </w:pPr>
            <w:r w:rsidRPr="006340F9">
              <w:rPr>
                <w:sz w:val="20"/>
                <w:szCs w:val="20"/>
              </w:rPr>
              <w:t>NT</w:t>
            </w:r>
          </w:p>
        </w:tc>
        <w:tc>
          <w:tcPr>
            <w:tcW w:w="870" w:type="dxa"/>
            <w:shd w:val="clear" w:color="auto" w:fill="C6D9F1" w:themeFill="text2" w:themeFillTint="33"/>
            <w:vAlign w:val="center"/>
          </w:tcPr>
          <w:p w14:paraId="39979BE6" w14:textId="09628B89" w:rsidR="005C554F" w:rsidRPr="006340F9" w:rsidRDefault="005C554F" w:rsidP="00EE080D">
            <w:pPr>
              <w:pStyle w:val="Tablecolhead"/>
              <w:keepNext/>
              <w:rPr>
                <w:sz w:val="20"/>
                <w:szCs w:val="20"/>
              </w:rPr>
            </w:pPr>
            <w:r w:rsidRPr="006340F9">
              <w:rPr>
                <w:sz w:val="20"/>
                <w:szCs w:val="20"/>
              </w:rPr>
              <w:t>QLD</w:t>
            </w:r>
          </w:p>
        </w:tc>
        <w:tc>
          <w:tcPr>
            <w:tcW w:w="923" w:type="dxa"/>
            <w:shd w:val="clear" w:color="auto" w:fill="C6D9F1" w:themeFill="text2" w:themeFillTint="33"/>
            <w:vAlign w:val="center"/>
          </w:tcPr>
          <w:p w14:paraId="0844947C" w14:textId="77777777" w:rsidR="005C554F" w:rsidRPr="006340F9" w:rsidRDefault="005C554F" w:rsidP="00EE080D">
            <w:pPr>
              <w:pStyle w:val="Tablecolhead"/>
              <w:keepNext/>
              <w:rPr>
                <w:sz w:val="20"/>
                <w:szCs w:val="20"/>
              </w:rPr>
            </w:pPr>
            <w:r w:rsidRPr="006340F9">
              <w:rPr>
                <w:sz w:val="20"/>
                <w:szCs w:val="20"/>
              </w:rPr>
              <w:t>SA</w:t>
            </w:r>
          </w:p>
        </w:tc>
        <w:tc>
          <w:tcPr>
            <w:tcW w:w="966" w:type="dxa"/>
            <w:shd w:val="clear" w:color="auto" w:fill="C6D9F1" w:themeFill="text2" w:themeFillTint="33"/>
            <w:vAlign w:val="center"/>
          </w:tcPr>
          <w:p w14:paraId="4A0108ED" w14:textId="77777777" w:rsidR="005C554F" w:rsidRPr="006340F9" w:rsidRDefault="005C554F" w:rsidP="00EE080D">
            <w:pPr>
              <w:pStyle w:val="Tablecolhead"/>
              <w:keepNext/>
              <w:rPr>
                <w:sz w:val="20"/>
                <w:szCs w:val="20"/>
              </w:rPr>
            </w:pPr>
            <w:r w:rsidRPr="006340F9">
              <w:rPr>
                <w:sz w:val="20"/>
                <w:szCs w:val="20"/>
              </w:rPr>
              <w:t>TAS</w:t>
            </w:r>
          </w:p>
        </w:tc>
        <w:tc>
          <w:tcPr>
            <w:tcW w:w="947" w:type="dxa"/>
            <w:shd w:val="clear" w:color="auto" w:fill="C6D9F1" w:themeFill="text2" w:themeFillTint="33"/>
            <w:vAlign w:val="center"/>
          </w:tcPr>
          <w:p w14:paraId="24C04890" w14:textId="32CF88D4" w:rsidR="005C554F" w:rsidRPr="006340F9" w:rsidRDefault="005C554F" w:rsidP="00EE080D">
            <w:pPr>
              <w:pStyle w:val="Tablecolhead"/>
              <w:keepNext/>
              <w:rPr>
                <w:sz w:val="20"/>
                <w:szCs w:val="20"/>
              </w:rPr>
            </w:pPr>
            <w:r w:rsidRPr="006340F9">
              <w:rPr>
                <w:sz w:val="20"/>
                <w:szCs w:val="20"/>
              </w:rPr>
              <w:t>VIC</w:t>
            </w:r>
          </w:p>
        </w:tc>
        <w:tc>
          <w:tcPr>
            <w:tcW w:w="942" w:type="dxa"/>
            <w:shd w:val="clear" w:color="auto" w:fill="C6D9F1" w:themeFill="text2" w:themeFillTint="33"/>
            <w:vAlign w:val="center"/>
          </w:tcPr>
          <w:p w14:paraId="7FAC7554" w14:textId="77777777" w:rsidR="005C554F" w:rsidRPr="006340F9" w:rsidRDefault="005C554F" w:rsidP="00EE080D">
            <w:pPr>
              <w:pStyle w:val="Tablecolhead"/>
              <w:keepNext/>
              <w:rPr>
                <w:sz w:val="20"/>
                <w:szCs w:val="20"/>
              </w:rPr>
            </w:pPr>
            <w:r w:rsidRPr="006340F9">
              <w:rPr>
                <w:sz w:val="20"/>
                <w:szCs w:val="20"/>
              </w:rPr>
              <w:t>WA</w:t>
            </w:r>
          </w:p>
        </w:tc>
      </w:tr>
      <w:tr w:rsidR="005C554F" w:rsidRPr="006340F9" w14:paraId="757CC4E9" w14:textId="77777777">
        <w:tc>
          <w:tcPr>
            <w:tcW w:w="1817" w:type="dxa"/>
            <w:vAlign w:val="center"/>
          </w:tcPr>
          <w:p w14:paraId="1CD11063" w14:textId="456E3834" w:rsidR="005C554F" w:rsidRPr="006340F9" w:rsidRDefault="001D2C15" w:rsidP="00EE080D">
            <w:pPr>
              <w:pStyle w:val="Tablecolhead"/>
              <w:keepNext/>
              <w:jc w:val="left"/>
              <w:rPr>
                <w:sz w:val="20"/>
                <w:szCs w:val="20"/>
              </w:rPr>
            </w:pPr>
            <w:r w:rsidRPr="006340F9">
              <w:rPr>
                <w:sz w:val="20"/>
                <w:szCs w:val="20"/>
              </w:rPr>
              <w:t>Number of times conditions, in response to ART unit’s quality, safety, or conduct, were applied in the last 10 years</w:t>
            </w:r>
          </w:p>
        </w:tc>
        <w:tc>
          <w:tcPr>
            <w:tcW w:w="968" w:type="dxa"/>
            <w:vAlign w:val="center"/>
          </w:tcPr>
          <w:p w14:paraId="1B6E698D" w14:textId="77777777" w:rsidR="005C554F" w:rsidRPr="006340F9" w:rsidRDefault="005C554F" w:rsidP="00EE080D">
            <w:pPr>
              <w:pStyle w:val="Tabletext"/>
              <w:keepNext/>
              <w:jc w:val="center"/>
            </w:pPr>
            <w:r w:rsidRPr="006340F9">
              <w:t>0</w:t>
            </w:r>
          </w:p>
        </w:tc>
        <w:tc>
          <w:tcPr>
            <w:tcW w:w="994" w:type="dxa"/>
            <w:vAlign w:val="center"/>
          </w:tcPr>
          <w:p w14:paraId="75D419EA" w14:textId="77777777" w:rsidR="005C554F" w:rsidRPr="006340F9" w:rsidRDefault="005C554F" w:rsidP="00EE080D">
            <w:pPr>
              <w:pStyle w:val="Tabletext"/>
              <w:keepNext/>
              <w:jc w:val="center"/>
            </w:pPr>
            <w:r w:rsidRPr="006340F9">
              <w:t>N/A</w:t>
            </w:r>
          </w:p>
        </w:tc>
        <w:tc>
          <w:tcPr>
            <w:tcW w:w="923" w:type="dxa"/>
            <w:vAlign w:val="center"/>
          </w:tcPr>
          <w:p w14:paraId="64F32216" w14:textId="77777777" w:rsidR="005C554F" w:rsidRPr="006340F9" w:rsidRDefault="005C554F" w:rsidP="00EE080D">
            <w:pPr>
              <w:pStyle w:val="Tabletext"/>
              <w:keepNext/>
              <w:jc w:val="center"/>
            </w:pPr>
            <w:r w:rsidRPr="006340F9">
              <w:t>N/A</w:t>
            </w:r>
          </w:p>
        </w:tc>
        <w:tc>
          <w:tcPr>
            <w:tcW w:w="870" w:type="dxa"/>
            <w:vAlign w:val="center"/>
          </w:tcPr>
          <w:p w14:paraId="5E6F9E67" w14:textId="09C043C6" w:rsidR="005C554F" w:rsidRPr="006340F9" w:rsidRDefault="005C554F" w:rsidP="00EE080D">
            <w:pPr>
              <w:pStyle w:val="Tabletext"/>
              <w:keepNext/>
              <w:jc w:val="center"/>
            </w:pPr>
            <w:r w:rsidRPr="006340F9">
              <w:t>N/A</w:t>
            </w:r>
            <w:r w:rsidR="00C64BE7" w:rsidRPr="006340F9">
              <w:t>*</w:t>
            </w:r>
          </w:p>
        </w:tc>
        <w:tc>
          <w:tcPr>
            <w:tcW w:w="923" w:type="dxa"/>
            <w:vAlign w:val="center"/>
          </w:tcPr>
          <w:p w14:paraId="7B1CAB48" w14:textId="77777777" w:rsidR="005C554F" w:rsidRPr="006340F9" w:rsidRDefault="005C554F" w:rsidP="00EE080D">
            <w:pPr>
              <w:pStyle w:val="Tabletext"/>
              <w:keepNext/>
              <w:jc w:val="center"/>
            </w:pPr>
            <w:r w:rsidRPr="006340F9">
              <w:t>0</w:t>
            </w:r>
          </w:p>
        </w:tc>
        <w:tc>
          <w:tcPr>
            <w:tcW w:w="966" w:type="dxa"/>
            <w:vAlign w:val="center"/>
          </w:tcPr>
          <w:p w14:paraId="15E3EF81" w14:textId="77777777" w:rsidR="005C554F" w:rsidRPr="006340F9" w:rsidRDefault="005C554F" w:rsidP="00EE080D">
            <w:pPr>
              <w:pStyle w:val="Tabletext"/>
              <w:keepNext/>
              <w:jc w:val="center"/>
            </w:pPr>
            <w:r w:rsidRPr="006340F9">
              <w:t>0</w:t>
            </w:r>
          </w:p>
        </w:tc>
        <w:tc>
          <w:tcPr>
            <w:tcW w:w="947" w:type="dxa"/>
            <w:vAlign w:val="center"/>
          </w:tcPr>
          <w:p w14:paraId="6467F590" w14:textId="6DE344A9" w:rsidR="005C554F" w:rsidRPr="006340F9" w:rsidRDefault="005C554F" w:rsidP="00EE080D">
            <w:pPr>
              <w:pStyle w:val="Tabletext"/>
              <w:keepNext/>
              <w:jc w:val="center"/>
            </w:pPr>
            <w:r w:rsidRPr="006340F9">
              <w:t>5*</w:t>
            </w:r>
            <w:r w:rsidR="00DB453F" w:rsidRPr="006340F9">
              <w:t>*</w:t>
            </w:r>
          </w:p>
        </w:tc>
        <w:tc>
          <w:tcPr>
            <w:tcW w:w="942" w:type="dxa"/>
            <w:vAlign w:val="center"/>
          </w:tcPr>
          <w:p w14:paraId="03447D04" w14:textId="77777777" w:rsidR="005C554F" w:rsidRPr="006340F9" w:rsidRDefault="005C554F" w:rsidP="00EE080D">
            <w:pPr>
              <w:pStyle w:val="Tabletext"/>
              <w:keepNext/>
              <w:jc w:val="center"/>
            </w:pPr>
            <w:r w:rsidRPr="006340F9">
              <w:t>3</w:t>
            </w:r>
          </w:p>
        </w:tc>
      </w:tr>
    </w:tbl>
    <w:p w14:paraId="00FD76C9" w14:textId="7742ED10" w:rsidR="000B5B63" w:rsidRPr="006340F9" w:rsidRDefault="009B2A57" w:rsidP="009B2A57">
      <w:pPr>
        <w:pStyle w:val="Figurenote"/>
        <w:keepNext/>
      </w:pPr>
      <w:r w:rsidRPr="006340F9">
        <w:t>*</w:t>
      </w:r>
      <w:r w:rsidR="001F0EBB" w:rsidRPr="006340F9">
        <w:t xml:space="preserve"> </w:t>
      </w:r>
      <w:r w:rsidR="00913953" w:rsidRPr="006340F9">
        <w:t>Relevant powers under new Queensland legislation will not come into effect until March 2026.</w:t>
      </w:r>
    </w:p>
    <w:p w14:paraId="4E9B2345" w14:textId="094DACAA" w:rsidR="005C554F" w:rsidRPr="006340F9" w:rsidRDefault="00DB453F" w:rsidP="00EE080D">
      <w:pPr>
        <w:pStyle w:val="Figurenote"/>
        <w:keepNext/>
        <w:rPr>
          <w:rFonts w:cs="Arial"/>
          <w:highlight w:val="yellow"/>
        </w:rPr>
      </w:pPr>
      <w:r w:rsidRPr="006340F9">
        <w:t>*</w:t>
      </w:r>
      <w:r w:rsidR="005C554F" w:rsidRPr="006340F9">
        <w:t>*The number of conditions applied in Victoria may not represent all conditions applied due to changes in reporting.</w:t>
      </w:r>
    </w:p>
    <w:p w14:paraId="30A4EBF4" w14:textId="4112A377" w:rsidR="005C554F" w:rsidRPr="006340F9" w:rsidRDefault="00EB4502" w:rsidP="004706E9">
      <w:pPr>
        <w:pStyle w:val="Heading4"/>
        <w:rPr>
          <w:rFonts w:cs="Arial"/>
        </w:rPr>
      </w:pPr>
      <w:r w:rsidRPr="006340F9">
        <w:t xml:space="preserve">Investigation </w:t>
      </w:r>
      <w:r w:rsidR="003164E5" w:rsidRPr="006340F9">
        <w:t>powers vary between jurisdictions</w:t>
      </w:r>
    </w:p>
    <w:p w14:paraId="41FCB9F8" w14:textId="5F397258" w:rsidR="005C554F" w:rsidRPr="006340F9" w:rsidRDefault="005C554F" w:rsidP="00B7757E">
      <w:pPr>
        <w:pStyle w:val="Body"/>
      </w:pPr>
      <w:r w:rsidRPr="006340F9">
        <w:t>Some jurisdictions have powers to undertake investigations in response to adverse events, complaints, or through own-motions powers. There is significant variation between jurisdictions in how adverse events are investigated and what regulatory actions, if any, are possible. For example, some jurisdictions have significant powers</w:t>
      </w:r>
      <w:r w:rsidR="00B905F9" w:rsidRPr="006340F9">
        <w:t>,</w:t>
      </w:r>
      <w:r w:rsidRPr="006340F9">
        <w:t xml:space="preserve"> through authorised officers</w:t>
      </w:r>
      <w:r w:rsidR="00B905F9" w:rsidRPr="006340F9">
        <w:t>,</w:t>
      </w:r>
      <w:r w:rsidRPr="006340F9">
        <w:t xml:space="preserve"> to undertake investigations and to compel ART units to provide information (see </w:t>
      </w:r>
      <w:r w:rsidR="000B1173" w:rsidRPr="006340F9">
        <w:t xml:space="preserve">Table 2.5 </w:t>
      </w:r>
      <w:r w:rsidR="00BD0A56" w:rsidRPr="006340F9">
        <w:t>below</w:t>
      </w:r>
      <w:r w:rsidRPr="006340F9">
        <w:t xml:space="preserve">), while others rely on RTAC processes </w:t>
      </w:r>
      <w:r w:rsidR="00C422E2" w:rsidRPr="006340F9">
        <w:t xml:space="preserve">(see section </w:t>
      </w:r>
      <w:r w:rsidR="00374FA2" w:rsidRPr="006340F9">
        <w:fldChar w:fldCharType="begin"/>
      </w:r>
      <w:r w:rsidR="00374FA2" w:rsidRPr="006340F9">
        <w:instrText xml:space="preserve"> REF _Ref209443037 \n \h </w:instrText>
      </w:r>
      <w:r w:rsidR="00374FA2" w:rsidRPr="006340F9">
        <w:fldChar w:fldCharType="separate"/>
      </w:r>
      <w:r w:rsidR="007D732A">
        <w:t>2.5</w:t>
      </w:r>
      <w:r w:rsidR="00374FA2" w:rsidRPr="006340F9">
        <w:fldChar w:fldCharType="end"/>
      </w:r>
      <w:r w:rsidR="00374FA2" w:rsidRPr="006340F9">
        <w:t xml:space="preserve"> </w:t>
      </w:r>
      <w:r w:rsidR="00C422E2" w:rsidRPr="006340F9">
        <w:t>above)</w:t>
      </w:r>
      <w:r w:rsidRPr="006340F9">
        <w:t>.</w:t>
      </w:r>
      <w:r w:rsidRPr="006340F9">
        <w:rPr>
          <w:vertAlign w:val="superscript"/>
        </w:rPr>
        <w:t xml:space="preserve"> </w:t>
      </w:r>
    </w:p>
    <w:p w14:paraId="0E7BD587" w14:textId="3D7C383F" w:rsidR="008537BD" w:rsidRPr="006340F9" w:rsidRDefault="005C554F" w:rsidP="008537BD">
      <w:pPr>
        <w:pStyle w:val="Body"/>
      </w:pPr>
      <w:r w:rsidRPr="006340F9">
        <w:t xml:space="preserve">Some jurisdictions have powers to commence own-motion investigations into service providers or sectors more broadly to investigate quality and safety concerns and to protect the public. </w:t>
      </w:r>
      <w:r w:rsidR="008E60FE" w:rsidRPr="006340F9">
        <w:t xml:space="preserve">For example, under </w:t>
      </w:r>
      <w:r w:rsidRPr="006340F9">
        <w:t xml:space="preserve">Victorian legislation, the </w:t>
      </w:r>
      <w:r w:rsidR="007D590A" w:rsidRPr="006340F9">
        <w:t xml:space="preserve">Victorian </w:t>
      </w:r>
      <w:r w:rsidRPr="006340F9">
        <w:t xml:space="preserve">Health Regulator can act on </w:t>
      </w:r>
      <w:proofErr w:type="gramStart"/>
      <w:r w:rsidRPr="006340F9">
        <w:t>a number of</w:t>
      </w:r>
      <w:proofErr w:type="gramEnd"/>
      <w:r w:rsidRPr="006340F9">
        <w:t xml:space="preserve"> different pieces of evidence (such as complaints, RTAC reports, self-reporting</w:t>
      </w:r>
      <w:r w:rsidR="007D590A" w:rsidRPr="006340F9">
        <w:t xml:space="preserve"> or </w:t>
      </w:r>
      <w:r w:rsidRPr="006340F9">
        <w:t>media) to investigate an ART unit, with authorised officers having extensive powers to enter and inspect facilities, ask questions and review documents.</w:t>
      </w:r>
      <w:r w:rsidR="00420618" w:rsidRPr="006340F9">
        <w:t xml:space="preserve"> Similarly, from March 2026</w:t>
      </w:r>
      <w:r w:rsidR="00952C8F" w:rsidRPr="006340F9">
        <w:t xml:space="preserve"> Queensland</w:t>
      </w:r>
      <w:r w:rsidR="00420618" w:rsidRPr="006340F9">
        <w:t xml:space="preserve"> will be able to undertake proactive compliance monitoring of ART providers</w:t>
      </w:r>
      <w:r w:rsidR="000A756C" w:rsidRPr="006340F9">
        <w:t xml:space="preserve">, with a </w:t>
      </w:r>
      <w:r w:rsidR="002A3D56" w:rsidRPr="006340F9">
        <w:t>general power to secure compliance with the regulatory scheme for the safety and quality of the sector.</w:t>
      </w:r>
    </w:p>
    <w:p w14:paraId="6DC2C3E5" w14:textId="019ACF09" w:rsidR="00876BE2" w:rsidRPr="006340F9" w:rsidRDefault="00652B8A" w:rsidP="009407E3">
      <w:pPr>
        <w:pStyle w:val="Tablecaption"/>
        <w:keepLines/>
      </w:pPr>
      <w:r w:rsidRPr="006340F9">
        <w:lastRenderedPageBreak/>
        <w:t>Table 2.5</w:t>
      </w:r>
      <w:r w:rsidR="00876BE2" w:rsidRPr="006340F9">
        <w:t>: Investigatory powers by jurisdiction</w:t>
      </w:r>
      <w:r w:rsidR="00B30B4D" w:rsidRPr="006340F9">
        <w:t>.</w:t>
      </w:r>
    </w:p>
    <w:tbl>
      <w:tblPr>
        <w:tblStyle w:val="TableGrid"/>
        <w:tblW w:w="0" w:type="auto"/>
        <w:tblLook w:val="04A0" w:firstRow="1" w:lastRow="0" w:firstColumn="1" w:lastColumn="0" w:noHBand="0" w:noVBand="1"/>
      </w:tblPr>
      <w:tblGrid>
        <w:gridCol w:w="1790"/>
        <w:gridCol w:w="932"/>
        <w:gridCol w:w="961"/>
        <w:gridCol w:w="877"/>
        <w:gridCol w:w="845"/>
        <w:gridCol w:w="877"/>
        <w:gridCol w:w="929"/>
        <w:gridCol w:w="905"/>
        <w:gridCol w:w="900"/>
      </w:tblGrid>
      <w:tr w:rsidR="005C554F" w:rsidRPr="006340F9" w14:paraId="5AEBC33E" w14:textId="77777777" w:rsidTr="00EF4BAD">
        <w:tc>
          <w:tcPr>
            <w:tcW w:w="1817" w:type="dxa"/>
            <w:shd w:val="clear" w:color="auto" w:fill="C6D9F1" w:themeFill="text2" w:themeFillTint="33"/>
          </w:tcPr>
          <w:p w14:paraId="47316908" w14:textId="77777777" w:rsidR="005C554F" w:rsidRPr="006340F9" w:rsidRDefault="005C554F" w:rsidP="009407E3">
            <w:pPr>
              <w:pStyle w:val="Body"/>
              <w:keepNext/>
              <w:keepLines/>
              <w:rPr>
                <w:sz w:val="20"/>
                <w:szCs w:val="20"/>
              </w:rPr>
            </w:pPr>
          </w:p>
        </w:tc>
        <w:tc>
          <w:tcPr>
            <w:tcW w:w="968" w:type="dxa"/>
            <w:shd w:val="clear" w:color="auto" w:fill="C6D9F1" w:themeFill="text2" w:themeFillTint="33"/>
            <w:vAlign w:val="center"/>
          </w:tcPr>
          <w:p w14:paraId="4D9723BC" w14:textId="77777777" w:rsidR="005C554F" w:rsidRPr="006340F9" w:rsidRDefault="005C554F" w:rsidP="009407E3">
            <w:pPr>
              <w:pStyle w:val="Tablecolhead"/>
              <w:keepNext/>
              <w:keepLines/>
              <w:rPr>
                <w:sz w:val="20"/>
                <w:szCs w:val="20"/>
              </w:rPr>
            </w:pPr>
            <w:r w:rsidRPr="006340F9">
              <w:rPr>
                <w:sz w:val="20"/>
                <w:szCs w:val="20"/>
              </w:rPr>
              <w:t>ACT</w:t>
            </w:r>
          </w:p>
        </w:tc>
        <w:tc>
          <w:tcPr>
            <w:tcW w:w="994" w:type="dxa"/>
            <w:shd w:val="clear" w:color="auto" w:fill="C6D9F1" w:themeFill="text2" w:themeFillTint="33"/>
            <w:vAlign w:val="center"/>
          </w:tcPr>
          <w:p w14:paraId="3A42B63E" w14:textId="77777777" w:rsidR="005C554F" w:rsidRPr="006340F9" w:rsidRDefault="005C554F" w:rsidP="009407E3">
            <w:pPr>
              <w:pStyle w:val="Tablecolhead"/>
              <w:keepNext/>
              <w:keepLines/>
              <w:rPr>
                <w:sz w:val="20"/>
                <w:szCs w:val="20"/>
              </w:rPr>
            </w:pPr>
            <w:r w:rsidRPr="006340F9">
              <w:rPr>
                <w:sz w:val="20"/>
                <w:szCs w:val="20"/>
              </w:rPr>
              <w:t>NSW</w:t>
            </w:r>
          </w:p>
        </w:tc>
        <w:tc>
          <w:tcPr>
            <w:tcW w:w="923" w:type="dxa"/>
            <w:shd w:val="clear" w:color="auto" w:fill="C6D9F1" w:themeFill="text2" w:themeFillTint="33"/>
            <w:vAlign w:val="center"/>
          </w:tcPr>
          <w:p w14:paraId="2C564549" w14:textId="77777777" w:rsidR="005C554F" w:rsidRPr="006340F9" w:rsidRDefault="005C554F" w:rsidP="009407E3">
            <w:pPr>
              <w:pStyle w:val="Tablecolhead"/>
              <w:keepNext/>
              <w:keepLines/>
              <w:rPr>
                <w:sz w:val="20"/>
                <w:szCs w:val="20"/>
              </w:rPr>
            </w:pPr>
            <w:r w:rsidRPr="006340F9">
              <w:rPr>
                <w:sz w:val="20"/>
                <w:szCs w:val="20"/>
              </w:rPr>
              <w:t>NT</w:t>
            </w:r>
          </w:p>
        </w:tc>
        <w:tc>
          <w:tcPr>
            <w:tcW w:w="870" w:type="dxa"/>
            <w:shd w:val="clear" w:color="auto" w:fill="C6D9F1" w:themeFill="text2" w:themeFillTint="33"/>
            <w:vAlign w:val="center"/>
          </w:tcPr>
          <w:p w14:paraId="04ACD66B" w14:textId="77777777" w:rsidR="005C554F" w:rsidRPr="006340F9" w:rsidRDefault="005C554F" w:rsidP="009407E3">
            <w:pPr>
              <w:pStyle w:val="Tablecolhead"/>
              <w:keepNext/>
              <w:keepLines/>
              <w:rPr>
                <w:sz w:val="20"/>
                <w:szCs w:val="20"/>
              </w:rPr>
            </w:pPr>
            <w:r w:rsidRPr="006340F9">
              <w:rPr>
                <w:sz w:val="20"/>
                <w:szCs w:val="20"/>
              </w:rPr>
              <w:t>QLD</w:t>
            </w:r>
          </w:p>
        </w:tc>
        <w:tc>
          <w:tcPr>
            <w:tcW w:w="923" w:type="dxa"/>
            <w:shd w:val="clear" w:color="auto" w:fill="C6D9F1" w:themeFill="text2" w:themeFillTint="33"/>
            <w:vAlign w:val="center"/>
          </w:tcPr>
          <w:p w14:paraId="75AA72A0" w14:textId="77777777" w:rsidR="005C554F" w:rsidRPr="006340F9" w:rsidRDefault="005C554F" w:rsidP="009407E3">
            <w:pPr>
              <w:pStyle w:val="Tablecolhead"/>
              <w:keepNext/>
              <w:keepLines/>
              <w:rPr>
                <w:sz w:val="20"/>
                <w:szCs w:val="20"/>
              </w:rPr>
            </w:pPr>
            <w:r w:rsidRPr="006340F9">
              <w:rPr>
                <w:sz w:val="20"/>
                <w:szCs w:val="20"/>
              </w:rPr>
              <w:t>SA</w:t>
            </w:r>
          </w:p>
        </w:tc>
        <w:tc>
          <w:tcPr>
            <w:tcW w:w="966" w:type="dxa"/>
            <w:shd w:val="clear" w:color="auto" w:fill="C6D9F1" w:themeFill="text2" w:themeFillTint="33"/>
            <w:vAlign w:val="center"/>
          </w:tcPr>
          <w:p w14:paraId="26FC6754" w14:textId="77777777" w:rsidR="005C554F" w:rsidRPr="006340F9" w:rsidRDefault="005C554F" w:rsidP="009407E3">
            <w:pPr>
              <w:pStyle w:val="Tablecolhead"/>
              <w:keepNext/>
              <w:keepLines/>
              <w:rPr>
                <w:sz w:val="20"/>
                <w:szCs w:val="20"/>
              </w:rPr>
            </w:pPr>
            <w:r w:rsidRPr="006340F9">
              <w:rPr>
                <w:sz w:val="20"/>
                <w:szCs w:val="20"/>
              </w:rPr>
              <w:t>TAS</w:t>
            </w:r>
          </w:p>
        </w:tc>
        <w:tc>
          <w:tcPr>
            <w:tcW w:w="947" w:type="dxa"/>
            <w:shd w:val="clear" w:color="auto" w:fill="C6D9F1" w:themeFill="text2" w:themeFillTint="33"/>
            <w:vAlign w:val="center"/>
          </w:tcPr>
          <w:p w14:paraId="3C14B717" w14:textId="77777777" w:rsidR="005C554F" w:rsidRPr="006340F9" w:rsidRDefault="005C554F" w:rsidP="009407E3">
            <w:pPr>
              <w:pStyle w:val="Tablecolhead"/>
              <w:keepNext/>
              <w:keepLines/>
              <w:rPr>
                <w:sz w:val="20"/>
                <w:szCs w:val="20"/>
              </w:rPr>
            </w:pPr>
            <w:r w:rsidRPr="006340F9">
              <w:rPr>
                <w:sz w:val="20"/>
                <w:szCs w:val="20"/>
              </w:rPr>
              <w:t>VIC</w:t>
            </w:r>
          </w:p>
        </w:tc>
        <w:tc>
          <w:tcPr>
            <w:tcW w:w="942" w:type="dxa"/>
            <w:shd w:val="clear" w:color="auto" w:fill="C6D9F1" w:themeFill="text2" w:themeFillTint="33"/>
            <w:vAlign w:val="center"/>
          </w:tcPr>
          <w:p w14:paraId="01C0C254" w14:textId="77777777" w:rsidR="005C554F" w:rsidRPr="006340F9" w:rsidRDefault="005C554F" w:rsidP="009407E3">
            <w:pPr>
              <w:pStyle w:val="Tablecolhead"/>
              <w:keepNext/>
              <w:keepLines/>
              <w:rPr>
                <w:sz w:val="20"/>
                <w:szCs w:val="20"/>
              </w:rPr>
            </w:pPr>
            <w:r w:rsidRPr="006340F9">
              <w:rPr>
                <w:sz w:val="20"/>
                <w:szCs w:val="20"/>
              </w:rPr>
              <w:t>WA</w:t>
            </w:r>
          </w:p>
        </w:tc>
      </w:tr>
      <w:tr w:rsidR="005C554F" w:rsidRPr="006340F9" w14:paraId="458B3186" w14:textId="77777777">
        <w:tc>
          <w:tcPr>
            <w:tcW w:w="1817" w:type="dxa"/>
          </w:tcPr>
          <w:p w14:paraId="21ADFA3E" w14:textId="0C75635B" w:rsidR="005C554F" w:rsidRPr="006340F9" w:rsidRDefault="00CF33C1" w:rsidP="009407E3">
            <w:pPr>
              <w:pStyle w:val="Tablecolhead"/>
              <w:keepNext/>
              <w:keepLines/>
              <w:jc w:val="left"/>
              <w:rPr>
                <w:sz w:val="20"/>
                <w:szCs w:val="20"/>
              </w:rPr>
            </w:pPr>
            <w:r w:rsidRPr="006340F9">
              <w:rPr>
                <w:sz w:val="20"/>
                <w:szCs w:val="20"/>
              </w:rPr>
              <w:t xml:space="preserve">Power to </w:t>
            </w:r>
            <w:r w:rsidR="005C554F" w:rsidRPr="006340F9">
              <w:rPr>
                <w:sz w:val="20"/>
                <w:szCs w:val="20"/>
              </w:rPr>
              <w:t xml:space="preserve">undertake investigations </w:t>
            </w:r>
          </w:p>
        </w:tc>
        <w:tc>
          <w:tcPr>
            <w:tcW w:w="968" w:type="dxa"/>
            <w:vAlign w:val="center"/>
          </w:tcPr>
          <w:p w14:paraId="2A65E967" w14:textId="77777777" w:rsidR="005C554F" w:rsidRPr="006340F9" w:rsidRDefault="005C554F" w:rsidP="009407E3">
            <w:pPr>
              <w:pStyle w:val="Body"/>
              <w:keepNext/>
              <w:keepLines/>
              <w:jc w:val="center"/>
              <w:rPr>
                <w:sz w:val="20"/>
                <w:szCs w:val="20"/>
              </w:rPr>
            </w:pPr>
            <w:r w:rsidRPr="006340F9">
              <w:rPr>
                <w:noProof/>
                <w:sz w:val="20"/>
                <w:szCs w:val="20"/>
              </w:rPr>
              <w:drawing>
                <wp:inline distT="0" distB="0" distL="0" distR="0" wp14:anchorId="14B322F9" wp14:editId="37516008">
                  <wp:extent cx="194310" cy="194310"/>
                  <wp:effectExtent l="0" t="0" r="0" b="0"/>
                  <wp:docPr id="103936268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c>
          <w:tcPr>
            <w:tcW w:w="994" w:type="dxa"/>
            <w:vAlign w:val="center"/>
          </w:tcPr>
          <w:p w14:paraId="22B7D5D5" w14:textId="77777777" w:rsidR="005C554F" w:rsidRPr="006340F9" w:rsidRDefault="005C554F" w:rsidP="009407E3">
            <w:pPr>
              <w:pStyle w:val="Body"/>
              <w:keepNext/>
              <w:keepLines/>
              <w:jc w:val="center"/>
              <w:rPr>
                <w:sz w:val="20"/>
                <w:szCs w:val="20"/>
              </w:rPr>
            </w:pPr>
            <w:r w:rsidRPr="006340F9">
              <w:rPr>
                <w:noProof/>
                <w:sz w:val="20"/>
                <w:szCs w:val="20"/>
              </w:rPr>
              <w:drawing>
                <wp:inline distT="0" distB="0" distL="0" distR="0" wp14:anchorId="47DDE7E0" wp14:editId="27155577">
                  <wp:extent cx="177165" cy="177165"/>
                  <wp:effectExtent l="0" t="0" r="0" b="0"/>
                  <wp:docPr id="1922344125"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56313" name="Graphic 1702956313" descr="Close with solid fill"/>
                          <pic:cNvPicPr/>
                        </pic:nvPicPr>
                        <pic:blipFill>
                          <a:blip r:embed="rId29">
                            <a:extLst>
                              <a:ext uri="{96DAC541-7B7A-43D3-8B79-37D633B846F1}">
                                <asvg:svgBlip xmlns:asvg="http://schemas.microsoft.com/office/drawing/2016/SVG/main" r:embed="rId30"/>
                              </a:ext>
                            </a:extLst>
                          </a:blip>
                          <a:stretch>
                            <a:fillRect/>
                          </a:stretch>
                        </pic:blipFill>
                        <pic:spPr>
                          <a:xfrm flipH="1">
                            <a:off x="0" y="0"/>
                            <a:ext cx="182183" cy="182183"/>
                          </a:xfrm>
                          <a:prstGeom prst="rect">
                            <a:avLst/>
                          </a:prstGeom>
                        </pic:spPr>
                      </pic:pic>
                    </a:graphicData>
                  </a:graphic>
                </wp:inline>
              </w:drawing>
            </w:r>
          </w:p>
        </w:tc>
        <w:tc>
          <w:tcPr>
            <w:tcW w:w="923" w:type="dxa"/>
            <w:vAlign w:val="center"/>
          </w:tcPr>
          <w:p w14:paraId="019315D0" w14:textId="77777777" w:rsidR="005C554F" w:rsidRPr="006340F9" w:rsidRDefault="005C554F" w:rsidP="009407E3">
            <w:pPr>
              <w:pStyle w:val="Body"/>
              <w:keepNext/>
              <w:keepLines/>
              <w:jc w:val="center"/>
              <w:rPr>
                <w:sz w:val="20"/>
                <w:szCs w:val="20"/>
              </w:rPr>
            </w:pPr>
            <w:r w:rsidRPr="006340F9">
              <w:rPr>
                <w:noProof/>
                <w:sz w:val="20"/>
                <w:szCs w:val="20"/>
              </w:rPr>
              <w:drawing>
                <wp:inline distT="0" distB="0" distL="0" distR="0" wp14:anchorId="787C8EF1" wp14:editId="5D84B626">
                  <wp:extent cx="177165" cy="177165"/>
                  <wp:effectExtent l="0" t="0" r="0" b="0"/>
                  <wp:docPr id="1832244479"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56313" name="Graphic 1702956313" descr="Close with solid fill"/>
                          <pic:cNvPicPr/>
                        </pic:nvPicPr>
                        <pic:blipFill>
                          <a:blip r:embed="rId29">
                            <a:extLst>
                              <a:ext uri="{96DAC541-7B7A-43D3-8B79-37D633B846F1}">
                                <asvg:svgBlip xmlns:asvg="http://schemas.microsoft.com/office/drawing/2016/SVG/main" r:embed="rId30"/>
                              </a:ext>
                            </a:extLst>
                          </a:blip>
                          <a:stretch>
                            <a:fillRect/>
                          </a:stretch>
                        </pic:blipFill>
                        <pic:spPr>
                          <a:xfrm flipH="1">
                            <a:off x="0" y="0"/>
                            <a:ext cx="182183" cy="182183"/>
                          </a:xfrm>
                          <a:prstGeom prst="rect">
                            <a:avLst/>
                          </a:prstGeom>
                        </pic:spPr>
                      </pic:pic>
                    </a:graphicData>
                  </a:graphic>
                </wp:inline>
              </w:drawing>
            </w:r>
          </w:p>
        </w:tc>
        <w:tc>
          <w:tcPr>
            <w:tcW w:w="870" w:type="dxa"/>
            <w:vAlign w:val="center"/>
          </w:tcPr>
          <w:p w14:paraId="02B88058" w14:textId="77777777" w:rsidR="005C554F" w:rsidRPr="006340F9" w:rsidRDefault="005C554F" w:rsidP="009407E3">
            <w:pPr>
              <w:pStyle w:val="Body"/>
              <w:keepNext/>
              <w:keepLines/>
              <w:jc w:val="center"/>
              <w:rPr>
                <w:sz w:val="20"/>
                <w:szCs w:val="20"/>
              </w:rPr>
            </w:pPr>
            <w:r w:rsidRPr="006340F9">
              <w:rPr>
                <w:noProof/>
                <w:sz w:val="20"/>
                <w:szCs w:val="20"/>
              </w:rPr>
              <w:drawing>
                <wp:inline distT="0" distB="0" distL="0" distR="0" wp14:anchorId="474CC0B9" wp14:editId="668A48C7">
                  <wp:extent cx="194310" cy="194310"/>
                  <wp:effectExtent l="0" t="0" r="0" b="0"/>
                  <wp:docPr id="154803207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c>
          <w:tcPr>
            <w:tcW w:w="923" w:type="dxa"/>
            <w:vAlign w:val="center"/>
          </w:tcPr>
          <w:p w14:paraId="7B2050C9" w14:textId="77777777" w:rsidR="005C554F" w:rsidRPr="006340F9" w:rsidRDefault="005C554F" w:rsidP="009407E3">
            <w:pPr>
              <w:pStyle w:val="Body"/>
              <w:keepNext/>
              <w:keepLines/>
              <w:jc w:val="center"/>
              <w:rPr>
                <w:sz w:val="20"/>
                <w:szCs w:val="20"/>
              </w:rPr>
            </w:pPr>
            <w:r w:rsidRPr="006340F9">
              <w:rPr>
                <w:rFonts w:cs="Arial"/>
                <w:b/>
                <w:bCs/>
                <w:noProof/>
                <w:sz w:val="20"/>
                <w:szCs w:val="20"/>
              </w:rPr>
              <w:t>~</w:t>
            </w:r>
            <w:r w:rsidRPr="006340F9">
              <w:rPr>
                <w:sz w:val="20"/>
                <w:szCs w:val="20"/>
              </w:rPr>
              <w:t>*</w:t>
            </w:r>
          </w:p>
        </w:tc>
        <w:tc>
          <w:tcPr>
            <w:tcW w:w="966" w:type="dxa"/>
            <w:vAlign w:val="center"/>
          </w:tcPr>
          <w:p w14:paraId="21C829CA" w14:textId="77777777" w:rsidR="005C554F" w:rsidRPr="006340F9" w:rsidRDefault="005C554F" w:rsidP="009407E3">
            <w:pPr>
              <w:pStyle w:val="Body"/>
              <w:keepNext/>
              <w:keepLines/>
              <w:jc w:val="center"/>
              <w:rPr>
                <w:sz w:val="20"/>
                <w:szCs w:val="20"/>
              </w:rPr>
            </w:pPr>
            <w:r w:rsidRPr="006340F9">
              <w:rPr>
                <w:noProof/>
                <w:sz w:val="20"/>
                <w:szCs w:val="20"/>
              </w:rPr>
              <w:drawing>
                <wp:inline distT="0" distB="0" distL="0" distR="0" wp14:anchorId="6216F6BF" wp14:editId="2604F247">
                  <wp:extent cx="194310" cy="194310"/>
                  <wp:effectExtent l="0" t="0" r="0" b="0"/>
                  <wp:docPr id="37220974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c>
          <w:tcPr>
            <w:tcW w:w="947" w:type="dxa"/>
            <w:vAlign w:val="center"/>
          </w:tcPr>
          <w:p w14:paraId="16F7F1CB" w14:textId="77777777" w:rsidR="005C554F" w:rsidRPr="006340F9" w:rsidRDefault="005C554F" w:rsidP="009407E3">
            <w:pPr>
              <w:pStyle w:val="Body"/>
              <w:keepNext/>
              <w:keepLines/>
              <w:jc w:val="center"/>
              <w:rPr>
                <w:sz w:val="20"/>
                <w:szCs w:val="20"/>
              </w:rPr>
            </w:pPr>
            <w:r w:rsidRPr="006340F9">
              <w:rPr>
                <w:noProof/>
                <w:sz w:val="20"/>
                <w:szCs w:val="20"/>
              </w:rPr>
              <w:drawing>
                <wp:inline distT="0" distB="0" distL="0" distR="0" wp14:anchorId="26CF4F0F" wp14:editId="7A18ADF0">
                  <wp:extent cx="194310" cy="194310"/>
                  <wp:effectExtent l="0" t="0" r="0" b="0"/>
                  <wp:docPr id="145880174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c>
          <w:tcPr>
            <w:tcW w:w="942" w:type="dxa"/>
            <w:vAlign w:val="center"/>
          </w:tcPr>
          <w:p w14:paraId="4103B031" w14:textId="77777777" w:rsidR="005C554F" w:rsidRPr="006340F9" w:rsidRDefault="005C554F" w:rsidP="009407E3">
            <w:pPr>
              <w:pStyle w:val="Body"/>
              <w:keepNext/>
              <w:keepLines/>
              <w:jc w:val="center"/>
              <w:rPr>
                <w:sz w:val="20"/>
                <w:szCs w:val="20"/>
              </w:rPr>
            </w:pPr>
            <w:r w:rsidRPr="006340F9">
              <w:rPr>
                <w:noProof/>
                <w:sz w:val="20"/>
                <w:szCs w:val="20"/>
              </w:rPr>
              <w:drawing>
                <wp:inline distT="0" distB="0" distL="0" distR="0" wp14:anchorId="1FD5D8EF" wp14:editId="69F00F54">
                  <wp:extent cx="194310" cy="194310"/>
                  <wp:effectExtent l="0" t="0" r="0" b="0"/>
                  <wp:docPr id="207994227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r>
    </w:tbl>
    <w:p w14:paraId="07F7C6D6" w14:textId="6939B3FE" w:rsidR="005C554F" w:rsidRPr="006340F9" w:rsidRDefault="005C554F" w:rsidP="009407E3">
      <w:pPr>
        <w:pStyle w:val="Figurenote"/>
        <w:keepNext/>
        <w:keepLines/>
        <w:rPr>
          <w:rFonts w:cs="Arial"/>
          <w:i/>
          <w:iCs w:val="0"/>
        </w:rPr>
      </w:pPr>
      <w:r w:rsidRPr="006340F9">
        <w:t>*</w:t>
      </w:r>
      <w:r w:rsidR="00EB7A4B" w:rsidRPr="006340F9">
        <w:t>South Australia</w:t>
      </w:r>
      <w:r w:rsidRPr="006340F9">
        <w:t xml:space="preserve"> </w:t>
      </w:r>
      <w:r w:rsidR="00CC5FA9" w:rsidRPr="006340F9">
        <w:t xml:space="preserve">does not have express powers of investigation </w:t>
      </w:r>
      <w:r w:rsidR="002F63C0" w:rsidRPr="006340F9">
        <w:t>under the</w:t>
      </w:r>
      <w:r w:rsidR="002F63C0" w:rsidRPr="006340F9">
        <w:rPr>
          <w:i/>
          <w:iCs w:val="0"/>
        </w:rPr>
        <w:t xml:space="preserve"> Assisted Reproductive Treatment Act 1988 </w:t>
      </w:r>
      <w:r w:rsidR="002F63C0" w:rsidRPr="006340F9">
        <w:t xml:space="preserve">(SA) </w:t>
      </w:r>
      <w:r w:rsidR="005B3432" w:rsidRPr="006340F9">
        <w:t>and are limited to</w:t>
      </w:r>
      <w:r w:rsidRPr="006340F9">
        <w:t xml:space="preserve"> undertake investigations into a registered clinic using powers of an Authorised Person </w:t>
      </w:r>
      <w:r w:rsidR="005B3432" w:rsidRPr="006340F9">
        <w:t>or</w:t>
      </w:r>
      <w:r w:rsidR="00526F06" w:rsidRPr="006340F9">
        <w:t xml:space="preserve"> relying on conditions of their registration which state they must provide specified information as requested to the Minister</w:t>
      </w:r>
      <w:r w:rsidR="00BE6FAE" w:rsidRPr="006340F9">
        <w:t>.</w:t>
      </w:r>
      <w:r w:rsidR="00EB7A4B" w:rsidRPr="006340F9">
        <w:rPr>
          <w:i/>
          <w:iCs w:val="0"/>
        </w:rPr>
        <w:t xml:space="preserve">  </w:t>
      </w:r>
    </w:p>
    <w:p w14:paraId="4793BB76" w14:textId="12A24C1F" w:rsidR="005C554F" w:rsidRPr="006340F9" w:rsidRDefault="005C554F" w:rsidP="004706E9">
      <w:pPr>
        <w:pStyle w:val="Heading4"/>
        <w:rPr>
          <w:sz w:val="22"/>
        </w:rPr>
      </w:pPr>
      <w:r w:rsidRPr="006340F9">
        <w:t xml:space="preserve">Adverse event reporting </w:t>
      </w:r>
      <w:r w:rsidR="00DF038F" w:rsidRPr="006340F9">
        <w:t>requirements vary between jurisdictions</w:t>
      </w:r>
    </w:p>
    <w:p w14:paraId="098B6ECB" w14:textId="381CFCDA" w:rsidR="005C554F" w:rsidRPr="006340F9" w:rsidRDefault="005C554F" w:rsidP="00B7757E">
      <w:pPr>
        <w:pStyle w:val="Body"/>
      </w:pPr>
      <w:r w:rsidRPr="006340F9">
        <w:t xml:space="preserve">There are differences between jurisdictions in the reporting of adverse events. In </w:t>
      </w:r>
      <w:r w:rsidR="00E317B9" w:rsidRPr="006340F9">
        <w:t>the Australian Capital Territory</w:t>
      </w:r>
      <w:r w:rsidRPr="006340F9">
        <w:t>, Queensland (</w:t>
      </w:r>
      <w:r w:rsidR="00990677" w:rsidRPr="006340F9">
        <w:t>from</w:t>
      </w:r>
      <w:r w:rsidRPr="006340F9">
        <w:t xml:space="preserve"> 1 March 2026), </w:t>
      </w:r>
      <w:r w:rsidR="0006017D" w:rsidRPr="006340F9">
        <w:t xml:space="preserve">South Australia, </w:t>
      </w:r>
      <w:r w:rsidRPr="006340F9">
        <w:t xml:space="preserve">Tasmania, Victoria, and </w:t>
      </w:r>
      <w:r w:rsidR="000B1586" w:rsidRPr="006340F9">
        <w:t xml:space="preserve">Western Australia </w:t>
      </w:r>
      <w:r w:rsidRPr="006340F9">
        <w:t>there are additional reporting obligations beyond the RTAC requirements (</w:t>
      </w:r>
      <w:r w:rsidR="00BF2B34" w:rsidRPr="006340F9">
        <w:t xml:space="preserve">see </w:t>
      </w:r>
      <w:r w:rsidR="000B1173" w:rsidRPr="006340F9">
        <w:t>Table 2.6</w:t>
      </w:r>
      <w:r w:rsidRPr="006340F9">
        <w:t>). In other jurisdictions, adverse event reporting is to RTAC only.</w:t>
      </w:r>
      <w:r w:rsidR="00E974C5" w:rsidRPr="006340F9">
        <w:t xml:space="preserve"> RTAC does not provide adverse event data to </w:t>
      </w:r>
      <w:r w:rsidR="00230E54" w:rsidRPr="006340F9">
        <w:t>state or territory regulators.</w:t>
      </w:r>
      <w:r w:rsidRPr="006340F9">
        <w:t xml:space="preserve"> </w:t>
      </w:r>
    </w:p>
    <w:p w14:paraId="3B2CEB5B" w14:textId="1D8ABC2A" w:rsidR="00876BE2" w:rsidRPr="006340F9" w:rsidRDefault="001972AD" w:rsidP="009407E3">
      <w:pPr>
        <w:pStyle w:val="Tablecaption"/>
        <w:keepLines/>
      </w:pPr>
      <w:r w:rsidRPr="006340F9">
        <w:t>Table 2.6</w:t>
      </w:r>
      <w:r w:rsidR="00876BE2" w:rsidRPr="006340F9">
        <w:t>: Adverse event reporting requirements by jurisdiction</w:t>
      </w:r>
      <w:r w:rsidR="00B30B4D" w:rsidRPr="006340F9">
        <w:t>.</w:t>
      </w:r>
    </w:p>
    <w:tbl>
      <w:tblPr>
        <w:tblStyle w:val="TableGrid"/>
        <w:tblW w:w="0" w:type="auto"/>
        <w:tblLook w:val="04A0" w:firstRow="1" w:lastRow="0" w:firstColumn="1" w:lastColumn="0" w:noHBand="0" w:noVBand="1"/>
      </w:tblPr>
      <w:tblGrid>
        <w:gridCol w:w="1768"/>
        <w:gridCol w:w="935"/>
        <w:gridCol w:w="964"/>
        <w:gridCol w:w="878"/>
        <w:gridCol w:w="848"/>
        <w:gridCol w:w="881"/>
        <w:gridCol w:w="932"/>
        <w:gridCol w:w="907"/>
        <w:gridCol w:w="903"/>
      </w:tblGrid>
      <w:tr w:rsidR="005C554F" w:rsidRPr="006340F9" w14:paraId="31E5B2C2" w14:textId="77777777" w:rsidTr="00EF4BAD">
        <w:tc>
          <w:tcPr>
            <w:tcW w:w="1768" w:type="dxa"/>
            <w:shd w:val="clear" w:color="auto" w:fill="C6D9F1" w:themeFill="text2" w:themeFillTint="33"/>
          </w:tcPr>
          <w:p w14:paraId="6205F1FF" w14:textId="77777777" w:rsidR="005C554F" w:rsidRPr="006340F9" w:rsidRDefault="005C554F" w:rsidP="009407E3">
            <w:pPr>
              <w:pStyle w:val="Body"/>
              <w:keepNext/>
              <w:keepLines/>
              <w:rPr>
                <w:sz w:val="20"/>
                <w:szCs w:val="20"/>
              </w:rPr>
            </w:pPr>
          </w:p>
        </w:tc>
        <w:tc>
          <w:tcPr>
            <w:tcW w:w="935" w:type="dxa"/>
            <w:shd w:val="clear" w:color="auto" w:fill="C6D9F1" w:themeFill="text2" w:themeFillTint="33"/>
            <w:vAlign w:val="center"/>
          </w:tcPr>
          <w:p w14:paraId="1921B202" w14:textId="77777777" w:rsidR="005C554F" w:rsidRPr="006340F9" w:rsidRDefault="005C554F" w:rsidP="009407E3">
            <w:pPr>
              <w:pStyle w:val="Tablecolhead"/>
              <w:keepNext/>
              <w:keepLines/>
              <w:rPr>
                <w:sz w:val="20"/>
                <w:szCs w:val="20"/>
              </w:rPr>
            </w:pPr>
            <w:r w:rsidRPr="006340F9">
              <w:rPr>
                <w:sz w:val="20"/>
                <w:szCs w:val="20"/>
              </w:rPr>
              <w:t>ACT</w:t>
            </w:r>
          </w:p>
        </w:tc>
        <w:tc>
          <w:tcPr>
            <w:tcW w:w="964" w:type="dxa"/>
            <w:shd w:val="clear" w:color="auto" w:fill="C6D9F1" w:themeFill="text2" w:themeFillTint="33"/>
            <w:vAlign w:val="center"/>
          </w:tcPr>
          <w:p w14:paraId="3CB6BF8F" w14:textId="77777777" w:rsidR="005C554F" w:rsidRPr="006340F9" w:rsidRDefault="005C554F" w:rsidP="009407E3">
            <w:pPr>
              <w:pStyle w:val="Tablecolhead"/>
              <w:keepNext/>
              <w:keepLines/>
              <w:rPr>
                <w:sz w:val="20"/>
                <w:szCs w:val="20"/>
              </w:rPr>
            </w:pPr>
            <w:r w:rsidRPr="006340F9">
              <w:rPr>
                <w:sz w:val="20"/>
                <w:szCs w:val="20"/>
              </w:rPr>
              <w:t>NSW</w:t>
            </w:r>
          </w:p>
        </w:tc>
        <w:tc>
          <w:tcPr>
            <w:tcW w:w="878" w:type="dxa"/>
            <w:shd w:val="clear" w:color="auto" w:fill="C6D9F1" w:themeFill="text2" w:themeFillTint="33"/>
            <w:vAlign w:val="center"/>
          </w:tcPr>
          <w:p w14:paraId="49DF99B4" w14:textId="77777777" w:rsidR="005C554F" w:rsidRPr="006340F9" w:rsidRDefault="005C554F" w:rsidP="009407E3">
            <w:pPr>
              <w:pStyle w:val="Tablecolhead"/>
              <w:keepNext/>
              <w:keepLines/>
              <w:rPr>
                <w:sz w:val="20"/>
                <w:szCs w:val="20"/>
              </w:rPr>
            </w:pPr>
            <w:r w:rsidRPr="006340F9">
              <w:rPr>
                <w:sz w:val="20"/>
                <w:szCs w:val="20"/>
              </w:rPr>
              <w:t>NT</w:t>
            </w:r>
          </w:p>
        </w:tc>
        <w:tc>
          <w:tcPr>
            <w:tcW w:w="848" w:type="dxa"/>
            <w:shd w:val="clear" w:color="auto" w:fill="C6D9F1" w:themeFill="text2" w:themeFillTint="33"/>
            <w:vAlign w:val="center"/>
          </w:tcPr>
          <w:p w14:paraId="2218768B" w14:textId="77777777" w:rsidR="005C554F" w:rsidRPr="006340F9" w:rsidRDefault="005C554F" w:rsidP="009407E3">
            <w:pPr>
              <w:pStyle w:val="Tablecolhead"/>
              <w:keepNext/>
              <w:keepLines/>
              <w:rPr>
                <w:sz w:val="20"/>
                <w:szCs w:val="20"/>
              </w:rPr>
            </w:pPr>
            <w:r w:rsidRPr="006340F9">
              <w:rPr>
                <w:sz w:val="20"/>
                <w:szCs w:val="20"/>
              </w:rPr>
              <w:t>QLD</w:t>
            </w:r>
          </w:p>
        </w:tc>
        <w:tc>
          <w:tcPr>
            <w:tcW w:w="881" w:type="dxa"/>
            <w:shd w:val="clear" w:color="auto" w:fill="C6D9F1" w:themeFill="text2" w:themeFillTint="33"/>
            <w:vAlign w:val="center"/>
          </w:tcPr>
          <w:p w14:paraId="1F887868" w14:textId="77777777" w:rsidR="005C554F" w:rsidRPr="006340F9" w:rsidRDefault="005C554F" w:rsidP="009407E3">
            <w:pPr>
              <w:pStyle w:val="Tablecolhead"/>
              <w:keepNext/>
              <w:keepLines/>
              <w:rPr>
                <w:sz w:val="20"/>
                <w:szCs w:val="20"/>
              </w:rPr>
            </w:pPr>
            <w:r w:rsidRPr="006340F9">
              <w:rPr>
                <w:sz w:val="20"/>
                <w:szCs w:val="20"/>
              </w:rPr>
              <w:t>SA</w:t>
            </w:r>
          </w:p>
        </w:tc>
        <w:tc>
          <w:tcPr>
            <w:tcW w:w="932" w:type="dxa"/>
            <w:shd w:val="clear" w:color="auto" w:fill="C6D9F1" w:themeFill="text2" w:themeFillTint="33"/>
            <w:vAlign w:val="center"/>
          </w:tcPr>
          <w:p w14:paraId="517FF350" w14:textId="77777777" w:rsidR="005C554F" w:rsidRPr="006340F9" w:rsidRDefault="005C554F" w:rsidP="009407E3">
            <w:pPr>
              <w:pStyle w:val="Tablecolhead"/>
              <w:keepNext/>
              <w:keepLines/>
              <w:rPr>
                <w:sz w:val="20"/>
                <w:szCs w:val="20"/>
              </w:rPr>
            </w:pPr>
            <w:r w:rsidRPr="006340F9">
              <w:rPr>
                <w:sz w:val="20"/>
                <w:szCs w:val="20"/>
              </w:rPr>
              <w:t>TAS</w:t>
            </w:r>
          </w:p>
        </w:tc>
        <w:tc>
          <w:tcPr>
            <w:tcW w:w="907" w:type="dxa"/>
            <w:shd w:val="clear" w:color="auto" w:fill="C6D9F1" w:themeFill="text2" w:themeFillTint="33"/>
            <w:vAlign w:val="center"/>
          </w:tcPr>
          <w:p w14:paraId="34A6337B" w14:textId="77777777" w:rsidR="005C554F" w:rsidRPr="006340F9" w:rsidRDefault="005C554F" w:rsidP="009407E3">
            <w:pPr>
              <w:pStyle w:val="Tablecolhead"/>
              <w:keepNext/>
              <w:keepLines/>
              <w:rPr>
                <w:sz w:val="20"/>
                <w:szCs w:val="20"/>
              </w:rPr>
            </w:pPr>
            <w:r w:rsidRPr="006340F9">
              <w:rPr>
                <w:sz w:val="20"/>
                <w:szCs w:val="20"/>
              </w:rPr>
              <w:t>VIC</w:t>
            </w:r>
          </w:p>
        </w:tc>
        <w:tc>
          <w:tcPr>
            <w:tcW w:w="903" w:type="dxa"/>
            <w:shd w:val="clear" w:color="auto" w:fill="C6D9F1" w:themeFill="text2" w:themeFillTint="33"/>
            <w:vAlign w:val="center"/>
          </w:tcPr>
          <w:p w14:paraId="6711D358" w14:textId="77777777" w:rsidR="005C554F" w:rsidRPr="006340F9" w:rsidRDefault="005C554F" w:rsidP="009407E3">
            <w:pPr>
              <w:pStyle w:val="Tablecolhead"/>
              <w:keepNext/>
              <w:keepLines/>
              <w:rPr>
                <w:sz w:val="20"/>
                <w:szCs w:val="20"/>
              </w:rPr>
            </w:pPr>
            <w:r w:rsidRPr="006340F9">
              <w:rPr>
                <w:sz w:val="20"/>
                <w:szCs w:val="20"/>
              </w:rPr>
              <w:t>WA</w:t>
            </w:r>
          </w:p>
        </w:tc>
      </w:tr>
      <w:tr w:rsidR="005C554F" w:rsidRPr="006340F9" w14:paraId="2659362F" w14:textId="77777777" w:rsidTr="006E395E">
        <w:tc>
          <w:tcPr>
            <w:tcW w:w="1768" w:type="dxa"/>
          </w:tcPr>
          <w:p w14:paraId="54078382" w14:textId="1DD508A3" w:rsidR="005C554F" w:rsidRPr="006340F9" w:rsidRDefault="00CD4CD5" w:rsidP="009407E3">
            <w:pPr>
              <w:pStyle w:val="Tablecolhead"/>
              <w:keepNext/>
              <w:keepLines/>
              <w:jc w:val="left"/>
              <w:rPr>
                <w:sz w:val="20"/>
                <w:szCs w:val="20"/>
              </w:rPr>
            </w:pPr>
            <w:r w:rsidRPr="006340F9">
              <w:rPr>
                <w:sz w:val="20"/>
                <w:szCs w:val="20"/>
              </w:rPr>
              <w:t>Jurisdictional adverse event reporting requirements</w:t>
            </w:r>
          </w:p>
        </w:tc>
        <w:tc>
          <w:tcPr>
            <w:tcW w:w="935" w:type="dxa"/>
            <w:vAlign w:val="center"/>
          </w:tcPr>
          <w:p w14:paraId="3F4CF38F" w14:textId="77777777" w:rsidR="005C554F" w:rsidRPr="006340F9" w:rsidRDefault="005C554F" w:rsidP="009407E3">
            <w:pPr>
              <w:pStyle w:val="Body"/>
              <w:keepNext/>
              <w:keepLines/>
              <w:jc w:val="center"/>
              <w:rPr>
                <w:sz w:val="20"/>
                <w:szCs w:val="20"/>
              </w:rPr>
            </w:pPr>
            <w:r w:rsidRPr="006340F9">
              <w:rPr>
                <w:noProof/>
                <w:sz w:val="20"/>
                <w:szCs w:val="20"/>
              </w:rPr>
              <w:drawing>
                <wp:inline distT="0" distB="0" distL="0" distR="0" wp14:anchorId="398906CC" wp14:editId="58D68E8F">
                  <wp:extent cx="177165" cy="177165"/>
                  <wp:effectExtent l="0" t="0" r="0" b="0"/>
                  <wp:docPr id="105819929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56313" name="Graphic 1702956313" descr="Close with solid fill"/>
                          <pic:cNvPicPr/>
                        </pic:nvPicPr>
                        <pic:blipFill>
                          <a:blip r:embed="rId29">
                            <a:extLst>
                              <a:ext uri="{96DAC541-7B7A-43D3-8B79-37D633B846F1}">
                                <asvg:svgBlip xmlns:asvg="http://schemas.microsoft.com/office/drawing/2016/SVG/main" r:embed="rId30"/>
                              </a:ext>
                            </a:extLst>
                          </a:blip>
                          <a:stretch>
                            <a:fillRect/>
                          </a:stretch>
                        </pic:blipFill>
                        <pic:spPr>
                          <a:xfrm flipH="1">
                            <a:off x="0" y="0"/>
                            <a:ext cx="182183" cy="182183"/>
                          </a:xfrm>
                          <a:prstGeom prst="rect">
                            <a:avLst/>
                          </a:prstGeom>
                        </pic:spPr>
                      </pic:pic>
                    </a:graphicData>
                  </a:graphic>
                </wp:inline>
              </w:drawing>
            </w:r>
            <w:r w:rsidRPr="006340F9">
              <w:rPr>
                <w:sz w:val="20"/>
                <w:szCs w:val="20"/>
                <w:vertAlign w:val="superscript"/>
              </w:rPr>
              <w:t>#</w:t>
            </w:r>
          </w:p>
        </w:tc>
        <w:tc>
          <w:tcPr>
            <w:tcW w:w="964" w:type="dxa"/>
            <w:vAlign w:val="center"/>
          </w:tcPr>
          <w:p w14:paraId="06288CEB" w14:textId="77777777" w:rsidR="005C554F" w:rsidRPr="006340F9" w:rsidRDefault="005C554F" w:rsidP="009407E3">
            <w:pPr>
              <w:pStyle w:val="Body"/>
              <w:keepNext/>
              <w:keepLines/>
              <w:jc w:val="center"/>
              <w:rPr>
                <w:sz w:val="20"/>
                <w:szCs w:val="20"/>
              </w:rPr>
            </w:pPr>
            <w:r w:rsidRPr="006340F9">
              <w:rPr>
                <w:noProof/>
                <w:sz w:val="20"/>
                <w:szCs w:val="20"/>
              </w:rPr>
              <w:drawing>
                <wp:inline distT="0" distB="0" distL="0" distR="0" wp14:anchorId="3A27E49B" wp14:editId="2779F44A">
                  <wp:extent cx="177165" cy="177165"/>
                  <wp:effectExtent l="0" t="0" r="0" b="0"/>
                  <wp:docPr id="1166162094"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56313" name="Graphic 1702956313" descr="Close with solid fill"/>
                          <pic:cNvPicPr/>
                        </pic:nvPicPr>
                        <pic:blipFill>
                          <a:blip r:embed="rId29">
                            <a:extLst>
                              <a:ext uri="{96DAC541-7B7A-43D3-8B79-37D633B846F1}">
                                <asvg:svgBlip xmlns:asvg="http://schemas.microsoft.com/office/drawing/2016/SVG/main" r:embed="rId30"/>
                              </a:ext>
                            </a:extLst>
                          </a:blip>
                          <a:stretch>
                            <a:fillRect/>
                          </a:stretch>
                        </pic:blipFill>
                        <pic:spPr>
                          <a:xfrm flipH="1">
                            <a:off x="0" y="0"/>
                            <a:ext cx="182183" cy="182183"/>
                          </a:xfrm>
                          <a:prstGeom prst="rect">
                            <a:avLst/>
                          </a:prstGeom>
                        </pic:spPr>
                      </pic:pic>
                    </a:graphicData>
                  </a:graphic>
                </wp:inline>
              </w:drawing>
            </w:r>
          </w:p>
        </w:tc>
        <w:tc>
          <w:tcPr>
            <w:tcW w:w="878" w:type="dxa"/>
            <w:vAlign w:val="center"/>
          </w:tcPr>
          <w:p w14:paraId="5CB2D049" w14:textId="77777777" w:rsidR="005C554F" w:rsidRPr="006340F9" w:rsidRDefault="005C554F" w:rsidP="009407E3">
            <w:pPr>
              <w:pStyle w:val="Body"/>
              <w:keepNext/>
              <w:keepLines/>
              <w:jc w:val="center"/>
              <w:rPr>
                <w:sz w:val="20"/>
                <w:szCs w:val="20"/>
              </w:rPr>
            </w:pPr>
            <w:r w:rsidRPr="006340F9">
              <w:rPr>
                <w:noProof/>
                <w:sz w:val="20"/>
                <w:szCs w:val="20"/>
              </w:rPr>
              <w:drawing>
                <wp:inline distT="0" distB="0" distL="0" distR="0" wp14:anchorId="0C9D7687" wp14:editId="0FD8E300">
                  <wp:extent cx="177165" cy="177165"/>
                  <wp:effectExtent l="0" t="0" r="0" b="0"/>
                  <wp:docPr id="44970623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56313" name="Graphic 1702956313" descr="Close with solid fill"/>
                          <pic:cNvPicPr/>
                        </pic:nvPicPr>
                        <pic:blipFill>
                          <a:blip r:embed="rId29">
                            <a:extLst>
                              <a:ext uri="{96DAC541-7B7A-43D3-8B79-37D633B846F1}">
                                <asvg:svgBlip xmlns:asvg="http://schemas.microsoft.com/office/drawing/2016/SVG/main" r:embed="rId30"/>
                              </a:ext>
                            </a:extLst>
                          </a:blip>
                          <a:stretch>
                            <a:fillRect/>
                          </a:stretch>
                        </pic:blipFill>
                        <pic:spPr>
                          <a:xfrm flipH="1">
                            <a:off x="0" y="0"/>
                            <a:ext cx="182183" cy="182183"/>
                          </a:xfrm>
                          <a:prstGeom prst="rect">
                            <a:avLst/>
                          </a:prstGeom>
                        </pic:spPr>
                      </pic:pic>
                    </a:graphicData>
                  </a:graphic>
                </wp:inline>
              </w:drawing>
            </w:r>
          </w:p>
        </w:tc>
        <w:tc>
          <w:tcPr>
            <w:tcW w:w="848" w:type="dxa"/>
            <w:vAlign w:val="center"/>
          </w:tcPr>
          <w:p w14:paraId="52ED7435" w14:textId="77777777" w:rsidR="005C554F" w:rsidRPr="006340F9" w:rsidRDefault="005C554F" w:rsidP="009407E3">
            <w:pPr>
              <w:pStyle w:val="Body"/>
              <w:keepNext/>
              <w:keepLines/>
              <w:jc w:val="center"/>
              <w:rPr>
                <w:sz w:val="20"/>
                <w:szCs w:val="20"/>
              </w:rPr>
            </w:pPr>
            <w:r w:rsidRPr="006340F9">
              <w:rPr>
                <w:rFonts w:cs="Arial"/>
                <w:b/>
                <w:bCs/>
                <w:noProof/>
                <w:sz w:val="20"/>
                <w:szCs w:val="20"/>
              </w:rPr>
              <w:t>~</w:t>
            </w:r>
            <w:r w:rsidRPr="006340F9">
              <w:rPr>
                <w:sz w:val="20"/>
                <w:szCs w:val="20"/>
              </w:rPr>
              <w:t>^</w:t>
            </w:r>
          </w:p>
        </w:tc>
        <w:tc>
          <w:tcPr>
            <w:tcW w:w="881" w:type="dxa"/>
            <w:vAlign w:val="center"/>
          </w:tcPr>
          <w:p w14:paraId="7A900079" w14:textId="77777777" w:rsidR="005C554F" w:rsidRPr="006340F9" w:rsidRDefault="005C554F" w:rsidP="009407E3">
            <w:pPr>
              <w:pStyle w:val="Body"/>
              <w:keepNext/>
              <w:keepLines/>
              <w:jc w:val="center"/>
              <w:rPr>
                <w:sz w:val="20"/>
                <w:szCs w:val="20"/>
              </w:rPr>
            </w:pPr>
            <w:r w:rsidRPr="006340F9">
              <w:rPr>
                <w:noProof/>
                <w:sz w:val="20"/>
                <w:szCs w:val="20"/>
              </w:rPr>
              <w:drawing>
                <wp:inline distT="0" distB="0" distL="0" distR="0" wp14:anchorId="0E893532" wp14:editId="40CA6980">
                  <wp:extent cx="194310" cy="194310"/>
                  <wp:effectExtent l="0" t="0" r="0" b="0"/>
                  <wp:docPr id="2290447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c>
          <w:tcPr>
            <w:tcW w:w="932" w:type="dxa"/>
            <w:vAlign w:val="center"/>
          </w:tcPr>
          <w:p w14:paraId="016F1F64" w14:textId="77777777" w:rsidR="005C554F" w:rsidRPr="006340F9" w:rsidRDefault="005C554F" w:rsidP="009407E3">
            <w:pPr>
              <w:pStyle w:val="Body"/>
              <w:keepNext/>
              <w:keepLines/>
              <w:jc w:val="center"/>
              <w:rPr>
                <w:sz w:val="20"/>
                <w:szCs w:val="20"/>
              </w:rPr>
            </w:pPr>
            <w:r w:rsidRPr="006340F9">
              <w:rPr>
                <w:rFonts w:cs="Arial"/>
                <w:b/>
                <w:bCs/>
                <w:noProof/>
                <w:sz w:val="20"/>
                <w:szCs w:val="20"/>
              </w:rPr>
              <w:t>~</w:t>
            </w:r>
            <w:r w:rsidRPr="006340F9">
              <w:rPr>
                <w:sz w:val="20"/>
                <w:szCs w:val="20"/>
              </w:rPr>
              <w:t>*</w:t>
            </w:r>
          </w:p>
        </w:tc>
        <w:tc>
          <w:tcPr>
            <w:tcW w:w="907" w:type="dxa"/>
            <w:vAlign w:val="center"/>
          </w:tcPr>
          <w:p w14:paraId="1F13F581" w14:textId="77777777" w:rsidR="005C554F" w:rsidRPr="006340F9" w:rsidRDefault="005C554F" w:rsidP="009407E3">
            <w:pPr>
              <w:pStyle w:val="Body"/>
              <w:keepNext/>
              <w:keepLines/>
              <w:jc w:val="center"/>
              <w:rPr>
                <w:sz w:val="20"/>
                <w:szCs w:val="20"/>
              </w:rPr>
            </w:pPr>
            <w:r w:rsidRPr="006340F9">
              <w:rPr>
                <w:noProof/>
                <w:sz w:val="20"/>
                <w:szCs w:val="20"/>
              </w:rPr>
              <w:drawing>
                <wp:inline distT="0" distB="0" distL="0" distR="0" wp14:anchorId="303E1F07" wp14:editId="5A392CFA">
                  <wp:extent cx="194310" cy="194310"/>
                  <wp:effectExtent l="0" t="0" r="0" b="0"/>
                  <wp:docPr id="4767531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c>
          <w:tcPr>
            <w:tcW w:w="903" w:type="dxa"/>
            <w:vAlign w:val="center"/>
          </w:tcPr>
          <w:p w14:paraId="5BBE15DA" w14:textId="77777777" w:rsidR="005C554F" w:rsidRPr="006340F9" w:rsidRDefault="005C554F" w:rsidP="009407E3">
            <w:pPr>
              <w:pStyle w:val="Body"/>
              <w:keepNext/>
              <w:keepLines/>
              <w:jc w:val="center"/>
              <w:rPr>
                <w:sz w:val="20"/>
                <w:szCs w:val="20"/>
              </w:rPr>
            </w:pPr>
            <w:r w:rsidRPr="006340F9">
              <w:rPr>
                <w:noProof/>
                <w:sz w:val="20"/>
                <w:szCs w:val="20"/>
              </w:rPr>
              <w:drawing>
                <wp:inline distT="0" distB="0" distL="0" distR="0" wp14:anchorId="5E7F6010" wp14:editId="57953F92">
                  <wp:extent cx="194310" cy="194310"/>
                  <wp:effectExtent l="0" t="0" r="0" b="0"/>
                  <wp:docPr id="54826428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r>
    </w:tbl>
    <w:p w14:paraId="47806D1C" w14:textId="3A4A0B51" w:rsidR="005C554F" w:rsidRPr="006340F9" w:rsidRDefault="005C554F" w:rsidP="009407E3">
      <w:pPr>
        <w:pStyle w:val="Figurenote"/>
        <w:keepNext/>
        <w:keepLines/>
      </w:pPr>
      <w:r w:rsidRPr="006340F9">
        <w:t>#</w:t>
      </w:r>
      <w:r w:rsidR="007D33F6" w:rsidRPr="006340F9">
        <w:t>The Australian Capital Territory</w:t>
      </w:r>
      <w:r w:rsidRPr="006340F9">
        <w:t xml:space="preserve"> is yet to complete regulations to support </w:t>
      </w:r>
      <w:r w:rsidR="00454E5C" w:rsidRPr="006340F9">
        <w:t>the</w:t>
      </w:r>
      <w:r w:rsidR="007D33F6" w:rsidRPr="006340F9">
        <w:t xml:space="preserve"> </w:t>
      </w:r>
      <w:r w:rsidR="003847F1" w:rsidRPr="006340F9">
        <w:rPr>
          <w:i/>
        </w:rPr>
        <w:t>Assisted Reproductive Technology</w:t>
      </w:r>
      <w:r w:rsidRPr="006340F9">
        <w:rPr>
          <w:i/>
        </w:rPr>
        <w:t xml:space="preserve"> Act</w:t>
      </w:r>
      <w:r w:rsidR="003847F1" w:rsidRPr="006340F9">
        <w:rPr>
          <w:i/>
        </w:rPr>
        <w:t xml:space="preserve"> 2024</w:t>
      </w:r>
      <w:r w:rsidR="00454E5C" w:rsidRPr="006340F9">
        <w:rPr>
          <w:iCs w:val="0"/>
        </w:rPr>
        <w:t xml:space="preserve"> (ACT)</w:t>
      </w:r>
      <w:r w:rsidR="00573FA7" w:rsidRPr="006340F9">
        <w:t>,</w:t>
      </w:r>
      <w:r w:rsidRPr="006340F9">
        <w:t xml:space="preserve"> which may include prescribing other events that must be reported to the </w:t>
      </w:r>
      <w:r w:rsidR="00272995" w:rsidRPr="006340F9">
        <w:t xml:space="preserve">Australian Capital Territory </w:t>
      </w:r>
      <w:r w:rsidRPr="006340F9">
        <w:t xml:space="preserve">Health and Community Services Directorate. </w:t>
      </w:r>
    </w:p>
    <w:p w14:paraId="24E6A251" w14:textId="0C35D21E" w:rsidR="005C554F" w:rsidRPr="006340F9" w:rsidRDefault="005C554F" w:rsidP="009407E3">
      <w:pPr>
        <w:pStyle w:val="Figurenote"/>
        <w:keepNext/>
        <w:keepLines/>
      </w:pPr>
      <w:r w:rsidRPr="006340F9">
        <w:t xml:space="preserve">^Queensland will require mandatory adverse event reporting from </w:t>
      </w:r>
      <w:r w:rsidR="009D6F62" w:rsidRPr="006340F9">
        <w:t xml:space="preserve">1 </w:t>
      </w:r>
      <w:r w:rsidRPr="006340F9">
        <w:t>March 2026.</w:t>
      </w:r>
    </w:p>
    <w:p w14:paraId="3EEDBA6B" w14:textId="0D80800C" w:rsidR="005C554F" w:rsidRPr="006340F9" w:rsidRDefault="005C554F" w:rsidP="009407E3">
      <w:pPr>
        <w:pStyle w:val="Figurenote"/>
        <w:keepNext/>
        <w:keepLines/>
      </w:pPr>
      <w:r w:rsidRPr="006340F9">
        <w:t>*Tasmania requires reporting of injuries, transfers, deaths and other sentinel events, but does not impose an ART-specific adverse event definition</w:t>
      </w:r>
      <w:r w:rsidR="00343CDC" w:rsidRPr="006340F9">
        <w:t>.</w:t>
      </w:r>
      <w:r w:rsidRPr="006340F9">
        <w:rPr>
          <w:rStyle w:val="FootnoteReference"/>
          <w:rFonts w:cs="Arial"/>
        </w:rPr>
        <w:footnoteReference w:id="103"/>
      </w:r>
    </w:p>
    <w:p w14:paraId="41156F2A" w14:textId="22A0B76B" w:rsidR="005C554F" w:rsidRPr="006340F9" w:rsidRDefault="004E2ACD" w:rsidP="004706E9">
      <w:pPr>
        <w:pStyle w:val="Heading4"/>
        <w:rPr>
          <w:rFonts w:cs="Arial"/>
          <w:sz w:val="22"/>
        </w:rPr>
      </w:pPr>
      <w:r w:rsidRPr="006340F9">
        <w:t>Tasmania and W</w:t>
      </w:r>
      <w:r w:rsidR="005850E1" w:rsidRPr="006340F9">
        <w:t xml:space="preserve">estern </w:t>
      </w:r>
      <w:r w:rsidRPr="006340F9">
        <w:t>A</w:t>
      </w:r>
      <w:r w:rsidR="005850E1" w:rsidRPr="006340F9">
        <w:t>ustralian</w:t>
      </w:r>
      <w:r w:rsidRPr="006340F9">
        <w:t xml:space="preserve"> ART providers are subject to additional audits</w:t>
      </w:r>
    </w:p>
    <w:p w14:paraId="6E56855B" w14:textId="27FC240A" w:rsidR="005C554F" w:rsidRPr="006340F9" w:rsidRDefault="005C554F" w:rsidP="00B7757E">
      <w:pPr>
        <w:pStyle w:val="Body"/>
      </w:pPr>
      <w:r w:rsidRPr="006340F9">
        <w:t xml:space="preserve">ART units in Tasmania and </w:t>
      </w:r>
      <w:r w:rsidR="006E1ABB" w:rsidRPr="006340F9">
        <w:t>Western Australia</w:t>
      </w:r>
      <w:r w:rsidRPr="006340F9">
        <w:t xml:space="preserve"> are subject to regulatory compliance audits by their local regulatory authorit</w:t>
      </w:r>
      <w:r w:rsidR="002764A7" w:rsidRPr="006340F9">
        <w:t>y</w:t>
      </w:r>
      <w:r w:rsidRPr="006340F9">
        <w:t>. These audits consider RTAC accreditation alongside a range of issues such as other statutory requirements, complaints management</w:t>
      </w:r>
      <w:r w:rsidR="00C31DF8" w:rsidRPr="006340F9">
        <w:t>,</w:t>
      </w:r>
      <w:r w:rsidR="003818C8" w:rsidRPr="006340F9">
        <w:t xml:space="preserve"> and</w:t>
      </w:r>
      <w:r w:rsidRPr="006340F9">
        <w:t xml:space="preserve"> risk management. Other jurisdictions do not undertake </w:t>
      </w:r>
      <w:r w:rsidR="00C31DF8" w:rsidRPr="006340F9">
        <w:t xml:space="preserve">additional </w:t>
      </w:r>
      <w:r w:rsidR="00350BF7" w:rsidRPr="006340F9">
        <w:t>compliance audits</w:t>
      </w:r>
      <w:r w:rsidRPr="006340F9">
        <w:t xml:space="preserve">, relying on </w:t>
      </w:r>
      <w:r w:rsidR="00030160" w:rsidRPr="006340F9">
        <w:t xml:space="preserve">audits undertaken as part of the </w:t>
      </w:r>
      <w:r w:rsidRPr="006340F9">
        <w:t>RTAC accreditation</w:t>
      </w:r>
      <w:r w:rsidR="00030160" w:rsidRPr="006340F9">
        <w:t xml:space="preserve"> scheme</w:t>
      </w:r>
      <w:r w:rsidRPr="006340F9">
        <w:t xml:space="preserve"> and focussing regulatory attention </w:t>
      </w:r>
      <w:r w:rsidR="0082334E" w:rsidRPr="006340F9">
        <w:t>on</w:t>
      </w:r>
      <w:r w:rsidRPr="006340F9">
        <w:t xml:space="preserve"> responding to adverse event reporting and complaints. </w:t>
      </w:r>
    </w:p>
    <w:p w14:paraId="0846F1DE" w14:textId="6075D57D" w:rsidR="005C554F" w:rsidRPr="006340F9" w:rsidRDefault="005C554F" w:rsidP="004706E9">
      <w:pPr>
        <w:pStyle w:val="Heading4"/>
      </w:pPr>
      <w:r w:rsidRPr="006340F9">
        <w:t>Donor registries and donor limits</w:t>
      </w:r>
      <w:r w:rsidR="00D563A4" w:rsidRPr="006340F9">
        <w:t xml:space="preserve"> vary between jurisdictions</w:t>
      </w:r>
    </w:p>
    <w:p w14:paraId="1A7AED79" w14:textId="10ADEAA9" w:rsidR="00D67318" w:rsidRPr="006340F9" w:rsidRDefault="005C554F" w:rsidP="00EE6FBD">
      <w:pPr>
        <w:pStyle w:val="Body"/>
      </w:pPr>
      <w:r w:rsidRPr="006340F9">
        <w:t>Most jurisdictions maintain a registry of donors to enable tracking of genetic history for donor conceived people to access</w:t>
      </w:r>
      <w:r w:rsidR="001C1095">
        <w:t xml:space="preserve"> (see Table 2.7)</w:t>
      </w:r>
      <w:r w:rsidRPr="006340F9">
        <w:t xml:space="preserve">. There are mandatory registers and voluntary registers, with different operating models in place across the country. Consumer stakeholders </w:t>
      </w:r>
      <w:r w:rsidRPr="006340F9">
        <w:lastRenderedPageBreak/>
        <w:t>raised significant concerns about access to donor information when it is held by IVF providers</w:t>
      </w:r>
      <w:r w:rsidR="00375A56" w:rsidRPr="006340F9">
        <w:t xml:space="preserve"> (</w:t>
      </w:r>
      <w:r w:rsidR="00285D0F" w:rsidRPr="006340F9">
        <w:t>section</w:t>
      </w:r>
      <w:r w:rsidR="00635C92" w:rsidRPr="006340F9">
        <w:t xml:space="preserve"> </w:t>
      </w:r>
      <w:r w:rsidR="004C22F6" w:rsidRPr="006340F9">
        <w:fldChar w:fldCharType="begin"/>
      </w:r>
      <w:r w:rsidR="004C22F6" w:rsidRPr="006340F9">
        <w:instrText xml:space="preserve"> REF _Ref207786386 \r \h </w:instrText>
      </w:r>
      <w:r w:rsidR="004C22F6" w:rsidRPr="006340F9">
        <w:fldChar w:fldCharType="separate"/>
      </w:r>
      <w:r w:rsidR="007D732A">
        <w:t>4.5</w:t>
      </w:r>
      <w:r w:rsidR="004C22F6" w:rsidRPr="006340F9">
        <w:fldChar w:fldCharType="end"/>
      </w:r>
      <w:r w:rsidR="00375A56" w:rsidRPr="006340F9">
        <w:t>)</w:t>
      </w:r>
      <w:r w:rsidRPr="006340F9">
        <w:t>.</w:t>
      </w:r>
    </w:p>
    <w:p w14:paraId="7912BC23" w14:textId="5522220E" w:rsidR="00876BE2" w:rsidRPr="006340F9" w:rsidRDefault="001972AD" w:rsidP="00876BE2">
      <w:pPr>
        <w:pStyle w:val="Tablecaption"/>
      </w:pPr>
      <w:r w:rsidRPr="006340F9">
        <w:t>Table 2.7</w:t>
      </w:r>
      <w:r w:rsidR="00876BE2" w:rsidRPr="006340F9">
        <w:t>: Donor registries by jurisdiction</w:t>
      </w:r>
      <w:r w:rsidR="00B30B4D" w:rsidRPr="006340F9">
        <w:t>.</w:t>
      </w:r>
    </w:p>
    <w:tbl>
      <w:tblPr>
        <w:tblStyle w:val="TableGrid"/>
        <w:tblW w:w="0" w:type="auto"/>
        <w:tblLook w:val="04A0" w:firstRow="1" w:lastRow="0" w:firstColumn="1" w:lastColumn="0" w:noHBand="0" w:noVBand="1"/>
      </w:tblPr>
      <w:tblGrid>
        <w:gridCol w:w="1739"/>
        <w:gridCol w:w="937"/>
        <w:gridCol w:w="966"/>
        <w:gridCol w:w="885"/>
        <w:gridCol w:w="849"/>
        <w:gridCol w:w="887"/>
        <w:gridCol w:w="935"/>
        <w:gridCol w:w="911"/>
        <w:gridCol w:w="907"/>
      </w:tblGrid>
      <w:tr w:rsidR="005C554F" w:rsidRPr="006340F9" w14:paraId="091486F8" w14:textId="77777777" w:rsidTr="00EF4BAD">
        <w:tc>
          <w:tcPr>
            <w:tcW w:w="1739" w:type="dxa"/>
            <w:shd w:val="clear" w:color="auto" w:fill="C6D9F1" w:themeFill="text2" w:themeFillTint="33"/>
          </w:tcPr>
          <w:p w14:paraId="6A59BC4F" w14:textId="77777777" w:rsidR="005C554F" w:rsidRPr="006340F9" w:rsidRDefault="005C554F" w:rsidP="007370B8">
            <w:pPr>
              <w:pStyle w:val="Tablecolhead"/>
              <w:rPr>
                <w:sz w:val="20"/>
                <w:szCs w:val="20"/>
              </w:rPr>
            </w:pPr>
          </w:p>
        </w:tc>
        <w:tc>
          <w:tcPr>
            <w:tcW w:w="937" w:type="dxa"/>
            <w:shd w:val="clear" w:color="auto" w:fill="C6D9F1" w:themeFill="text2" w:themeFillTint="33"/>
            <w:vAlign w:val="center"/>
          </w:tcPr>
          <w:p w14:paraId="0F9A12DF" w14:textId="77777777" w:rsidR="005C554F" w:rsidRPr="006340F9" w:rsidRDefault="005C554F" w:rsidP="00B343D5">
            <w:pPr>
              <w:pStyle w:val="Tablecolhead"/>
              <w:rPr>
                <w:sz w:val="20"/>
                <w:szCs w:val="20"/>
              </w:rPr>
            </w:pPr>
            <w:r w:rsidRPr="006340F9">
              <w:rPr>
                <w:sz w:val="20"/>
                <w:szCs w:val="20"/>
              </w:rPr>
              <w:t>ACT</w:t>
            </w:r>
          </w:p>
        </w:tc>
        <w:tc>
          <w:tcPr>
            <w:tcW w:w="966" w:type="dxa"/>
            <w:shd w:val="clear" w:color="auto" w:fill="C6D9F1" w:themeFill="text2" w:themeFillTint="33"/>
            <w:vAlign w:val="center"/>
          </w:tcPr>
          <w:p w14:paraId="24D2A544" w14:textId="77777777" w:rsidR="005C554F" w:rsidRPr="006340F9" w:rsidRDefault="005C554F" w:rsidP="00B343D5">
            <w:pPr>
              <w:pStyle w:val="Tablecolhead"/>
              <w:rPr>
                <w:sz w:val="20"/>
                <w:szCs w:val="20"/>
              </w:rPr>
            </w:pPr>
            <w:r w:rsidRPr="006340F9">
              <w:rPr>
                <w:sz w:val="20"/>
                <w:szCs w:val="20"/>
              </w:rPr>
              <w:t>NSW</w:t>
            </w:r>
          </w:p>
        </w:tc>
        <w:tc>
          <w:tcPr>
            <w:tcW w:w="885" w:type="dxa"/>
            <w:shd w:val="clear" w:color="auto" w:fill="C6D9F1" w:themeFill="text2" w:themeFillTint="33"/>
            <w:vAlign w:val="center"/>
          </w:tcPr>
          <w:p w14:paraId="401AFAA5" w14:textId="77777777" w:rsidR="005C554F" w:rsidRPr="006340F9" w:rsidRDefault="005C554F" w:rsidP="00B343D5">
            <w:pPr>
              <w:pStyle w:val="Tablecolhead"/>
              <w:rPr>
                <w:sz w:val="20"/>
                <w:szCs w:val="20"/>
              </w:rPr>
            </w:pPr>
            <w:r w:rsidRPr="006340F9">
              <w:rPr>
                <w:sz w:val="20"/>
                <w:szCs w:val="20"/>
              </w:rPr>
              <w:t>NT</w:t>
            </w:r>
          </w:p>
        </w:tc>
        <w:tc>
          <w:tcPr>
            <w:tcW w:w="849" w:type="dxa"/>
            <w:shd w:val="clear" w:color="auto" w:fill="C6D9F1" w:themeFill="text2" w:themeFillTint="33"/>
            <w:vAlign w:val="center"/>
          </w:tcPr>
          <w:p w14:paraId="660E56B8" w14:textId="77777777" w:rsidR="005C554F" w:rsidRPr="006340F9" w:rsidRDefault="005C554F" w:rsidP="00B343D5">
            <w:pPr>
              <w:pStyle w:val="Tablecolhead"/>
              <w:rPr>
                <w:sz w:val="20"/>
                <w:szCs w:val="20"/>
              </w:rPr>
            </w:pPr>
            <w:r w:rsidRPr="006340F9">
              <w:rPr>
                <w:sz w:val="20"/>
                <w:szCs w:val="20"/>
              </w:rPr>
              <w:t>QLD</w:t>
            </w:r>
          </w:p>
        </w:tc>
        <w:tc>
          <w:tcPr>
            <w:tcW w:w="887" w:type="dxa"/>
            <w:shd w:val="clear" w:color="auto" w:fill="C6D9F1" w:themeFill="text2" w:themeFillTint="33"/>
            <w:vAlign w:val="center"/>
          </w:tcPr>
          <w:p w14:paraId="4F21B552" w14:textId="77777777" w:rsidR="005C554F" w:rsidRPr="006340F9" w:rsidRDefault="005C554F" w:rsidP="00B343D5">
            <w:pPr>
              <w:pStyle w:val="Tablecolhead"/>
              <w:rPr>
                <w:sz w:val="20"/>
                <w:szCs w:val="20"/>
              </w:rPr>
            </w:pPr>
            <w:r w:rsidRPr="006340F9">
              <w:rPr>
                <w:sz w:val="20"/>
                <w:szCs w:val="20"/>
              </w:rPr>
              <w:t>SA</w:t>
            </w:r>
          </w:p>
        </w:tc>
        <w:tc>
          <w:tcPr>
            <w:tcW w:w="935" w:type="dxa"/>
            <w:shd w:val="clear" w:color="auto" w:fill="C6D9F1" w:themeFill="text2" w:themeFillTint="33"/>
            <w:vAlign w:val="center"/>
          </w:tcPr>
          <w:p w14:paraId="5B35FAE1" w14:textId="77777777" w:rsidR="005C554F" w:rsidRPr="006340F9" w:rsidRDefault="005C554F" w:rsidP="00B343D5">
            <w:pPr>
              <w:pStyle w:val="Tablecolhead"/>
              <w:rPr>
                <w:sz w:val="20"/>
                <w:szCs w:val="20"/>
              </w:rPr>
            </w:pPr>
            <w:r w:rsidRPr="006340F9">
              <w:rPr>
                <w:sz w:val="20"/>
                <w:szCs w:val="20"/>
              </w:rPr>
              <w:t>TAS</w:t>
            </w:r>
          </w:p>
        </w:tc>
        <w:tc>
          <w:tcPr>
            <w:tcW w:w="911" w:type="dxa"/>
            <w:shd w:val="clear" w:color="auto" w:fill="C6D9F1" w:themeFill="text2" w:themeFillTint="33"/>
            <w:vAlign w:val="center"/>
          </w:tcPr>
          <w:p w14:paraId="40E67FC0" w14:textId="77777777" w:rsidR="005C554F" w:rsidRPr="006340F9" w:rsidRDefault="005C554F" w:rsidP="00B343D5">
            <w:pPr>
              <w:pStyle w:val="Tablecolhead"/>
              <w:rPr>
                <w:sz w:val="20"/>
                <w:szCs w:val="20"/>
              </w:rPr>
            </w:pPr>
            <w:r w:rsidRPr="006340F9">
              <w:rPr>
                <w:sz w:val="20"/>
                <w:szCs w:val="20"/>
              </w:rPr>
              <w:t>VIC</w:t>
            </w:r>
          </w:p>
        </w:tc>
        <w:tc>
          <w:tcPr>
            <w:tcW w:w="907" w:type="dxa"/>
            <w:shd w:val="clear" w:color="auto" w:fill="C6D9F1" w:themeFill="text2" w:themeFillTint="33"/>
            <w:vAlign w:val="center"/>
          </w:tcPr>
          <w:p w14:paraId="65BFC5CF" w14:textId="77777777" w:rsidR="005C554F" w:rsidRPr="006340F9" w:rsidRDefault="005C554F" w:rsidP="00B343D5">
            <w:pPr>
              <w:pStyle w:val="Tablecolhead"/>
              <w:rPr>
                <w:sz w:val="20"/>
                <w:szCs w:val="20"/>
              </w:rPr>
            </w:pPr>
            <w:r w:rsidRPr="006340F9">
              <w:rPr>
                <w:sz w:val="20"/>
                <w:szCs w:val="20"/>
              </w:rPr>
              <w:t>WA</w:t>
            </w:r>
          </w:p>
        </w:tc>
      </w:tr>
      <w:tr w:rsidR="005C554F" w:rsidRPr="006340F9" w14:paraId="3D0537C8" w14:textId="77777777" w:rsidTr="00154315">
        <w:tc>
          <w:tcPr>
            <w:tcW w:w="1739" w:type="dxa"/>
            <w:vAlign w:val="center"/>
          </w:tcPr>
          <w:p w14:paraId="738A99BA" w14:textId="77777777" w:rsidR="005C554F" w:rsidRPr="006340F9" w:rsidRDefault="005C554F" w:rsidP="00D24EAA">
            <w:pPr>
              <w:pStyle w:val="Tablecolhead"/>
              <w:jc w:val="left"/>
              <w:rPr>
                <w:sz w:val="20"/>
                <w:szCs w:val="20"/>
              </w:rPr>
            </w:pPr>
            <w:r w:rsidRPr="006340F9">
              <w:rPr>
                <w:sz w:val="20"/>
                <w:szCs w:val="20"/>
              </w:rPr>
              <w:t>Donor registry</w:t>
            </w:r>
          </w:p>
        </w:tc>
        <w:tc>
          <w:tcPr>
            <w:tcW w:w="937" w:type="dxa"/>
            <w:vAlign w:val="center"/>
          </w:tcPr>
          <w:p w14:paraId="27387945" w14:textId="77777777" w:rsidR="005C554F" w:rsidRPr="006340F9" w:rsidRDefault="005C554F" w:rsidP="006E395E">
            <w:pPr>
              <w:pStyle w:val="Body"/>
              <w:jc w:val="center"/>
              <w:rPr>
                <w:sz w:val="20"/>
                <w:szCs w:val="20"/>
              </w:rPr>
            </w:pPr>
            <w:r w:rsidRPr="006340F9">
              <w:rPr>
                <w:noProof/>
                <w:sz w:val="20"/>
                <w:szCs w:val="20"/>
              </w:rPr>
              <w:drawing>
                <wp:inline distT="0" distB="0" distL="0" distR="0" wp14:anchorId="13B4A440" wp14:editId="140DE76C">
                  <wp:extent cx="194310" cy="194310"/>
                  <wp:effectExtent l="0" t="0" r="0" b="0"/>
                  <wp:docPr id="8649905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c>
          <w:tcPr>
            <w:tcW w:w="966" w:type="dxa"/>
            <w:vAlign w:val="center"/>
          </w:tcPr>
          <w:p w14:paraId="3C9119EB" w14:textId="77777777" w:rsidR="005C554F" w:rsidRPr="006340F9" w:rsidRDefault="005C554F" w:rsidP="006E395E">
            <w:pPr>
              <w:pStyle w:val="Body"/>
              <w:jc w:val="center"/>
              <w:rPr>
                <w:sz w:val="20"/>
                <w:szCs w:val="20"/>
              </w:rPr>
            </w:pPr>
            <w:r w:rsidRPr="006340F9">
              <w:rPr>
                <w:noProof/>
                <w:sz w:val="20"/>
                <w:szCs w:val="20"/>
              </w:rPr>
              <w:drawing>
                <wp:inline distT="0" distB="0" distL="0" distR="0" wp14:anchorId="7473C83D" wp14:editId="18D5BA3C">
                  <wp:extent cx="194310" cy="194310"/>
                  <wp:effectExtent l="0" t="0" r="0" b="0"/>
                  <wp:docPr id="95764418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c>
          <w:tcPr>
            <w:tcW w:w="885" w:type="dxa"/>
            <w:vAlign w:val="center"/>
          </w:tcPr>
          <w:p w14:paraId="259C1BA6" w14:textId="77777777" w:rsidR="005C554F" w:rsidRPr="006340F9" w:rsidRDefault="005C554F" w:rsidP="006E395E">
            <w:pPr>
              <w:pStyle w:val="Body"/>
              <w:jc w:val="center"/>
              <w:rPr>
                <w:sz w:val="20"/>
                <w:szCs w:val="20"/>
              </w:rPr>
            </w:pPr>
            <w:r w:rsidRPr="006340F9">
              <w:rPr>
                <w:noProof/>
                <w:sz w:val="20"/>
                <w:szCs w:val="20"/>
              </w:rPr>
              <w:drawing>
                <wp:inline distT="0" distB="0" distL="0" distR="0" wp14:anchorId="5A563CD4" wp14:editId="39687139">
                  <wp:extent cx="177165" cy="177165"/>
                  <wp:effectExtent l="0" t="0" r="0" b="0"/>
                  <wp:docPr id="61126883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56313" name="Graphic 1702956313" descr="Close with solid fill"/>
                          <pic:cNvPicPr/>
                        </pic:nvPicPr>
                        <pic:blipFill>
                          <a:blip r:embed="rId29">
                            <a:extLst>
                              <a:ext uri="{96DAC541-7B7A-43D3-8B79-37D633B846F1}">
                                <asvg:svgBlip xmlns:asvg="http://schemas.microsoft.com/office/drawing/2016/SVG/main" r:embed="rId30"/>
                              </a:ext>
                            </a:extLst>
                          </a:blip>
                          <a:stretch>
                            <a:fillRect/>
                          </a:stretch>
                        </pic:blipFill>
                        <pic:spPr>
                          <a:xfrm flipH="1">
                            <a:off x="0" y="0"/>
                            <a:ext cx="182183" cy="182183"/>
                          </a:xfrm>
                          <a:prstGeom prst="rect">
                            <a:avLst/>
                          </a:prstGeom>
                        </pic:spPr>
                      </pic:pic>
                    </a:graphicData>
                  </a:graphic>
                </wp:inline>
              </w:drawing>
            </w:r>
          </w:p>
        </w:tc>
        <w:tc>
          <w:tcPr>
            <w:tcW w:w="849" w:type="dxa"/>
            <w:vAlign w:val="center"/>
          </w:tcPr>
          <w:p w14:paraId="70DD6985" w14:textId="77777777" w:rsidR="005C554F" w:rsidRPr="006340F9" w:rsidRDefault="005C554F" w:rsidP="006E395E">
            <w:pPr>
              <w:pStyle w:val="Body"/>
              <w:jc w:val="center"/>
              <w:rPr>
                <w:sz w:val="20"/>
                <w:szCs w:val="20"/>
              </w:rPr>
            </w:pPr>
            <w:r w:rsidRPr="006340F9">
              <w:rPr>
                <w:noProof/>
                <w:sz w:val="20"/>
                <w:szCs w:val="20"/>
              </w:rPr>
              <w:drawing>
                <wp:inline distT="0" distB="0" distL="0" distR="0" wp14:anchorId="76CC7A3C" wp14:editId="1D7A4A88">
                  <wp:extent cx="194310" cy="194310"/>
                  <wp:effectExtent l="0" t="0" r="0" b="0"/>
                  <wp:docPr id="84356595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c>
          <w:tcPr>
            <w:tcW w:w="887" w:type="dxa"/>
            <w:vAlign w:val="center"/>
          </w:tcPr>
          <w:p w14:paraId="792618B0" w14:textId="77777777" w:rsidR="005C554F" w:rsidRPr="006340F9" w:rsidRDefault="005C554F" w:rsidP="006E395E">
            <w:pPr>
              <w:pStyle w:val="Body"/>
              <w:jc w:val="center"/>
              <w:rPr>
                <w:sz w:val="20"/>
                <w:szCs w:val="20"/>
              </w:rPr>
            </w:pPr>
            <w:r w:rsidRPr="006340F9">
              <w:rPr>
                <w:noProof/>
                <w:sz w:val="20"/>
                <w:szCs w:val="20"/>
              </w:rPr>
              <w:drawing>
                <wp:inline distT="0" distB="0" distL="0" distR="0" wp14:anchorId="778A0B42" wp14:editId="05DEEA9A">
                  <wp:extent cx="194310" cy="194310"/>
                  <wp:effectExtent l="0" t="0" r="0" b="0"/>
                  <wp:docPr id="13355008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c>
          <w:tcPr>
            <w:tcW w:w="935" w:type="dxa"/>
            <w:vAlign w:val="center"/>
          </w:tcPr>
          <w:p w14:paraId="458DFE11" w14:textId="77777777" w:rsidR="005C554F" w:rsidRPr="006340F9" w:rsidRDefault="005C554F" w:rsidP="006E395E">
            <w:pPr>
              <w:pStyle w:val="Body"/>
              <w:jc w:val="center"/>
              <w:rPr>
                <w:sz w:val="20"/>
                <w:szCs w:val="20"/>
              </w:rPr>
            </w:pPr>
            <w:r w:rsidRPr="006340F9">
              <w:rPr>
                <w:noProof/>
                <w:sz w:val="20"/>
                <w:szCs w:val="20"/>
              </w:rPr>
              <w:drawing>
                <wp:inline distT="0" distB="0" distL="0" distR="0" wp14:anchorId="53DAC0BA" wp14:editId="0A2094E9">
                  <wp:extent cx="177165" cy="177165"/>
                  <wp:effectExtent l="0" t="0" r="0" b="0"/>
                  <wp:docPr id="190830860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56313" name="Graphic 1702956313" descr="Close with solid fill"/>
                          <pic:cNvPicPr/>
                        </pic:nvPicPr>
                        <pic:blipFill>
                          <a:blip r:embed="rId29">
                            <a:extLst>
                              <a:ext uri="{96DAC541-7B7A-43D3-8B79-37D633B846F1}">
                                <asvg:svgBlip xmlns:asvg="http://schemas.microsoft.com/office/drawing/2016/SVG/main" r:embed="rId30"/>
                              </a:ext>
                            </a:extLst>
                          </a:blip>
                          <a:stretch>
                            <a:fillRect/>
                          </a:stretch>
                        </pic:blipFill>
                        <pic:spPr>
                          <a:xfrm flipH="1">
                            <a:off x="0" y="0"/>
                            <a:ext cx="182183" cy="182183"/>
                          </a:xfrm>
                          <a:prstGeom prst="rect">
                            <a:avLst/>
                          </a:prstGeom>
                        </pic:spPr>
                      </pic:pic>
                    </a:graphicData>
                  </a:graphic>
                </wp:inline>
              </w:drawing>
            </w:r>
          </w:p>
        </w:tc>
        <w:tc>
          <w:tcPr>
            <w:tcW w:w="911" w:type="dxa"/>
            <w:vAlign w:val="center"/>
          </w:tcPr>
          <w:p w14:paraId="73589BD4" w14:textId="77777777" w:rsidR="005C554F" w:rsidRPr="006340F9" w:rsidRDefault="005C554F" w:rsidP="006E395E">
            <w:pPr>
              <w:pStyle w:val="Body"/>
              <w:jc w:val="center"/>
              <w:rPr>
                <w:sz w:val="20"/>
                <w:szCs w:val="20"/>
              </w:rPr>
            </w:pPr>
            <w:r w:rsidRPr="006340F9">
              <w:rPr>
                <w:noProof/>
                <w:sz w:val="20"/>
                <w:szCs w:val="20"/>
              </w:rPr>
              <w:drawing>
                <wp:inline distT="0" distB="0" distL="0" distR="0" wp14:anchorId="1EFD735B" wp14:editId="7C3F332F">
                  <wp:extent cx="194310" cy="194310"/>
                  <wp:effectExtent l="0" t="0" r="0" b="0"/>
                  <wp:docPr id="163144304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c>
          <w:tcPr>
            <w:tcW w:w="907" w:type="dxa"/>
            <w:vAlign w:val="center"/>
          </w:tcPr>
          <w:p w14:paraId="295F0310" w14:textId="77777777" w:rsidR="005C554F" w:rsidRPr="006340F9" w:rsidRDefault="005C554F" w:rsidP="006E395E">
            <w:pPr>
              <w:pStyle w:val="Body"/>
              <w:jc w:val="center"/>
              <w:rPr>
                <w:sz w:val="20"/>
                <w:szCs w:val="20"/>
              </w:rPr>
            </w:pPr>
            <w:r w:rsidRPr="006340F9">
              <w:rPr>
                <w:noProof/>
                <w:sz w:val="20"/>
                <w:szCs w:val="20"/>
              </w:rPr>
              <w:drawing>
                <wp:inline distT="0" distB="0" distL="0" distR="0" wp14:anchorId="1F9B9D12" wp14:editId="2FE56CEB">
                  <wp:extent cx="194310" cy="194310"/>
                  <wp:effectExtent l="0" t="0" r="0" b="0"/>
                  <wp:docPr id="89957438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551" name="Graphic 94741551" descr="Checkmark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94310" cy="194310"/>
                          </a:xfrm>
                          <a:prstGeom prst="rect">
                            <a:avLst/>
                          </a:prstGeom>
                        </pic:spPr>
                      </pic:pic>
                    </a:graphicData>
                  </a:graphic>
                </wp:inline>
              </w:drawing>
            </w:r>
          </w:p>
        </w:tc>
      </w:tr>
    </w:tbl>
    <w:p w14:paraId="2045760B" w14:textId="035CACCC" w:rsidR="005C554F" w:rsidRPr="006340F9" w:rsidRDefault="00154315" w:rsidP="00BF4A72">
      <w:pPr>
        <w:pStyle w:val="Bodyaftertablefigurebullets"/>
      </w:pPr>
      <w:r w:rsidRPr="006340F9">
        <w:t xml:space="preserve">There is variation in the number of families </w:t>
      </w:r>
      <w:r w:rsidR="00555472" w:rsidRPr="006340F9">
        <w:t xml:space="preserve">allowed to be conceived by a given donor, </w:t>
      </w:r>
      <w:r w:rsidRPr="006340F9">
        <w:t xml:space="preserve">and </w:t>
      </w:r>
      <w:r w:rsidR="00555472" w:rsidRPr="006340F9">
        <w:t>how</w:t>
      </w:r>
      <w:r w:rsidRPr="006340F9" w:rsidDel="00555472">
        <w:t xml:space="preserve"> </w:t>
      </w:r>
      <w:r w:rsidR="00555472" w:rsidRPr="006340F9">
        <w:t xml:space="preserve">family </w:t>
      </w:r>
      <w:r w:rsidRPr="006340F9">
        <w:t>limits are applied</w:t>
      </w:r>
      <w:r w:rsidR="001C1095">
        <w:t xml:space="preserve"> (see Table 2.8)</w:t>
      </w:r>
      <w:r w:rsidRPr="006340F9">
        <w:t xml:space="preserve">. </w:t>
      </w:r>
      <w:r w:rsidR="005C554F" w:rsidRPr="006340F9">
        <w:t xml:space="preserve">Most jurisdictions set limits for the number of families </w:t>
      </w:r>
      <w:r w:rsidR="00CB35A5" w:rsidRPr="006340F9">
        <w:t xml:space="preserve">to whom </w:t>
      </w:r>
      <w:r w:rsidR="005C554F" w:rsidRPr="006340F9">
        <w:t xml:space="preserve">a donor can provide gametes. </w:t>
      </w:r>
      <w:r w:rsidR="00524892" w:rsidRPr="006340F9">
        <w:t>In</w:t>
      </w:r>
      <w:r w:rsidR="005C554F" w:rsidRPr="006340F9">
        <w:t xml:space="preserve"> </w:t>
      </w:r>
      <w:r w:rsidR="00A444F0" w:rsidRPr="006340F9">
        <w:t>New South Wales</w:t>
      </w:r>
      <w:r w:rsidR="00524892" w:rsidRPr="006340F9">
        <w:t xml:space="preserve"> the limitation is applied</w:t>
      </w:r>
      <w:r w:rsidR="005C554F" w:rsidRPr="006340F9">
        <w:t xml:space="preserve"> to the number of women</w:t>
      </w:r>
      <w:r w:rsidR="00334416" w:rsidRPr="006340F9">
        <w:t xml:space="preserve"> accessing the donor</w:t>
      </w:r>
      <w:r w:rsidR="00524892" w:rsidRPr="006340F9">
        <w:t xml:space="preserve"> gametes</w:t>
      </w:r>
      <w:r w:rsidR="00334416" w:rsidRPr="006340F9">
        <w:t xml:space="preserve"> rather than families</w:t>
      </w:r>
      <w:r w:rsidR="00555472" w:rsidRPr="006340F9">
        <w:t xml:space="preserve">. </w:t>
      </w:r>
      <w:r w:rsidR="00FE4D08" w:rsidRPr="006340F9">
        <w:t>An exception to this rule is if a woman (or her partner) receives further ART treatment using a donated gamete from the same donor’s gametes.</w:t>
      </w:r>
      <w:r w:rsidR="004100BE" w:rsidRPr="006340F9">
        <w:rPr>
          <w:rStyle w:val="FootnoteReference"/>
        </w:rPr>
        <w:footnoteReference w:id="104"/>
      </w:r>
      <w:r w:rsidR="008F5041" w:rsidRPr="006340F9">
        <w:t xml:space="preserve"> </w:t>
      </w:r>
      <w:r w:rsidR="005C554F" w:rsidRPr="006340F9">
        <w:t>It is unclear how limits are applied between jurisdictions.</w:t>
      </w:r>
    </w:p>
    <w:p w14:paraId="66178AAD" w14:textId="0198BB0F" w:rsidR="00876BE2" w:rsidRPr="006340F9" w:rsidRDefault="001972AD" w:rsidP="00FD2663">
      <w:pPr>
        <w:pStyle w:val="Tablecaption"/>
      </w:pPr>
      <w:r w:rsidRPr="006340F9">
        <w:t>Table 2.8</w:t>
      </w:r>
      <w:r w:rsidR="00876BE2" w:rsidRPr="006340F9">
        <w:t>: Donor limits by jurisdiction</w:t>
      </w:r>
      <w:r w:rsidR="00B30B4D" w:rsidRPr="006340F9">
        <w:t>.</w:t>
      </w:r>
    </w:p>
    <w:tbl>
      <w:tblPr>
        <w:tblStyle w:val="TableGrid"/>
        <w:tblW w:w="0" w:type="auto"/>
        <w:tblLook w:val="04A0" w:firstRow="1" w:lastRow="0" w:firstColumn="1" w:lastColumn="0" w:noHBand="0" w:noVBand="1"/>
      </w:tblPr>
      <w:tblGrid>
        <w:gridCol w:w="1113"/>
        <w:gridCol w:w="1061"/>
        <w:gridCol w:w="980"/>
        <w:gridCol w:w="966"/>
        <w:gridCol w:w="982"/>
        <w:gridCol w:w="982"/>
        <w:gridCol w:w="968"/>
        <w:gridCol w:w="982"/>
        <w:gridCol w:w="982"/>
      </w:tblGrid>
      <w:tr w:rsidR="00412455" w:rsidRPr="006340F9" w14:paraId="148379FE" w14:textId="77777777" w:rsidTr="004E59B3">
        <w:tc>
          <w:tcPr>
            <w:tcW w:w="1113" w:type="dxa"/>
            <w:shd w:val="clear" w:color="auto" w:fill="C6D9F1" w:themeFill="text2" w:themeFillTint="33"/>
          </w:tcPr>
          <w:p w14:paraId="3D12A203" w14:textId="77777777" w:rsidR="005C554F" w:rsidRPr="006340F9" w:rsidRDefault="005C554F" w:rsidP="006816B6">
            <w:pPr>
              <w:pStyle w:val="Body"/>
              <w:keepNext/>
              <w:rPr>
                <w:sz w:val="20"/>
                <w:szCs w:val="20"/>
              </w:rPr>
            </w:pPr>
          </w:p>
        </w:tc>
        <w:tc>
          <w:tcPr>
            <w:tcW w:w="1061" w:type="dxa"/>
            <w:shd w:val="clear" w:color="auto" w:fill="C6D9F1" w:themeFill="text2" w:themeFillTint="33"/>
            <w:vAlign w:val="center"/>
          </w:tcPr>
          <w:p w14:paraId="0EDE2429" w14:textId="77777777" w:rsidR="005C554F" w:rsidRPr="006340F9" w:rsidRDefault="005C554F" w:rsidP="006816B6">
            <w:pPr>
              <w:pStyle w:val="Tablecolhead"/>
              <w:keepNext/>
              <w:rPr>
                <w:sz w:val="20"/>
                <w:szCs w:val="20"/>
              </w:rPr>
            </w:pPr>
            <w:r w:rsidRPr="006340F9">
              <w:rPr>
                <w:sz w:val="20"/>
                <w:szCs w:val="20"/>
              </w:rPr>
              <w:t>ACT</w:t>
            </w:r>
          </w:p>
        </w:tc>
        <w:tc>
          <w:tcPr>
            <w:tcW w:w="980" w:type="dxa"/>
            <w:shd w:val="clear" w:color="auto" w:fill="C6D9F1" w:themeFill="text2" w:themeFillTint="33"/>
            <w:vAlign w:val="center"/>
          </w:tcPr>
          <w:p w14:paraId="7B1DEEEA" w14:textId="77777777" w:rsidR="005C554F" w:rsidRPr="006340F9" w:rsidRDefault="005C554F" w:rsidP="006816B6">
            <w:pPr>
              <w:pStyle w:val="Tablecolhead"/>
              <w:keepNext/>
              <w:rPr>
                <w:sz w:val="20"/>
                <w:szCs w:val="20"/>
              </w:rPr>
            </w:pPr>
            <w:r w:rsidRPr="006340F9">
              <w:rPr>
                <w:sz w:val="20"/>
                <w:szCs w:val="20"/>
              </w:rPr>
              <w:t>NSW</w:t>
            </w:r>
          </w:p>
        </w:tc>
        <w:tc>
          <w:tcPr>
            <w:tcW w:w="966" w:type="dxa"/>
            <w:shd w:val="clear" w:color="auto" w:fill="C6D9F1" w:themeFill="text2" w:themeFillTint="33"/>
            <w:vAlign w:val="center"/>
          </w:tcPr>
          <w:p w14:paraId="466385C9" w14:textId="77777777" w:rsidR="005C554F" w:rsidRPr="006340F9" w:rsidRDefault="005C554F" w:rsidP="006816B6">
            <w:pPr>
              <w:pStyle w:val="Tablecolhead"/>
              <w:keepNext/>
              <w:rPr>
                <w:sz w:val="20"/>
                <w:szCs w:val="20"/>
              </w:rPr>
            </w:pPr>
            <w:r w:rsidRPr="006340F9">
              <w:rPr>
                <w:sz w:val="20"/>
                <w:szCs w:val="20"/>
              </w:rPr>
              <w:t>NT</w:t>
            </w:r>
          </w:p>
        </w:tc>
        <w:tc>
          <w:tcPr>
            <w:tcW w:w="982" w:type="dxa"/>
            <w:shd w:val="clear" w:color="auto" w:fill="C6D9F1" w:themeFill="text2" w:themeFillTint="33"/>
            <w:vAlign w:val="center"/>
          </w:tcPr>
          <w:p w14:paraId="731056BE" w14:textId="6FBEB6D3" w:rsidR="005C554F" w:rsidRPr="006340F9" w:rsidRDefault="005C554F" w:rsidP="006816B6">
            <w:pPr>
              <w:pStyle w:val="Tablecolhead"/>
              <w:keepNext/>
              <w:rPr>
                <w:sz w:val="20"/>
                <w:szCs w:val="20"/>
              </w:rPr>
            </w:pPr>
            <w:r w:rsidRPr="006340F9">
              <w:rPr>
                <w:sz w:val="20"/>
                <w:szCs w:val="20"/>
              </w:rPr>
              <w:t>QLD</w:t>
            </w:r>
          </w:p>
        </w:tc>
        <w:tc>
          <w:tcPr>
            <w:tcW w:w="982" w:type="dxa"/>
            <w:shd w:val="clear" w:color="auto" w:fill="C6D9F1" w:themeFill="text2" w:themeFillTint="33"/>
            <w:vAlign w:val="center"/>
          </w:tcPr>
          <w:p w14:paraId="54DCB859" w14:textId="77777777" w:rsidR="005C554F" w:rsidRPr="006340F9" w:rsidRDefault="005C554F" w:rsidP="006816B6">
            <w:pPr>
              <w:pStyle w:val="Tablecolhead"/>
              <w:keepNext/>
              <w:rPr>
                <w:sz w:val="20"/>
                <w:szCs w:val="20"/>
              </w:rPr>
            </w:pPr>
            <w:r w:rsidRPr="006340F9">
              <w:rPr>
                <w:sz w:val="20"/>
                <w:szCs w:val="20"/>
              </w:rPr>
              <w:t>SA</w:t>
            </w:r>
          </w:p>
        </w:tc>
        <w:tc>
          <w:tcPr>
            <w:tcW w:w="968" w:type="dxa"/>
            <w:shd w:val="clear" w:color="auto" w:fill="C6D9F1" w:themeFill="text2" w:themeFillTint="33"/>
            <w:vAlign w:val="center"/>
          </w:tcPr>
          <w:p w14:paraId="32991BF4" w14:textId="77777777" w:rsidR="005C554F" w:rsidRPr="006340F9" w:rsidRDefault="005C554F" w:rsidP="006816B6">
            <w:pPr>
              <w:pStyle w:val="Tablecolhead"/>
              <w:keepNext/>
              <w:rPr>
                <w:sz w:val="20"/>
                <w:szCs w:val="20"/>
              </w:rPr>
            </w:pPr>
            <w:r w:rsidRPr="006340F9">
              <w:rPr>
                <w:sz w:val="20"/>
                <w:szCs w:val="20"/>
              </w:rPr>
              <w:t>TAS</w:t>
            </w:r>
          </w:p>
        </w:tc>
        <w:tc>
          <w:tcPr>
            <w:tcW w:w="982" w:type="dxa"/>
            <w:shd w:val="clear" w:color="auto" w:fill="C6D9F1" w:themeFill="text2" w:themeFillTint="33"/>
            <w:vAlign w:val="center"/>
          </w:tcPr>
          <w:p w14:paraId="36D22F84" w14:textId="77777777" w:rsidR="005C554F" w:rsidRPr="006340F9" w:rsidRDefault="005C554F" w:rsidP="006816B6">
            <w:pPr>
              <w:pStyle w:val="Tablecolhead"/>
              <w:keepNext/>
              <w:rPr>
                <w:sz w:val="20"/>
                <w:szCs w:val="20"/>
              </w:rPr>
            </w:pPr>
            <w:r w:rsidRPr="006340F9">
              <w:rPr>
                <w:sz w:val="20"/>
                <w:szCs w:val="20"/>
              </w:rPr>
              <w:t>VIC</w:t>
            </w:r>
          </w:p>
        </w:tc>
        <w:tc>
          <w:tcPr>
            <w:tcW w:w="982" w:type="dxa"/>
            <w:shd w:val="clear" w:color="auto" w:fill="C6D9F1" w:themeFill="text2" w:themeFillTint="33"/>
            <w:vAlign w:val="center"/>
          </w:tcPr>
          <w:p w14:paraId="3875A68E" w14:textId="77777777" w:rsidR="005C554F" w:rsidRPr="006340F9" w:rsidRDefault="005C554F" w:rsidP="006816B6">
            <w:pPr>
              <w:pStyle w:val="Tablecolhead"/>
              <w:keepNext/>
              <w:rPr>
                <w:sz w:val="20"/>
                <w:szCs w:val="20"/>
              </w:rPr>
            </w:pPr>
            <w:r w:rsidRPr="006340F9">
              <w:rPr>
                <w:sz w:val="20"/>
                <w:szCs w:val="20"/>
              </w:rPr>
              <w:t>WA</w:t>
            </w:r>
          </w:p>
        </w:tc>
      </w:tr>
      <w:tr w:rsidR="00412455" w:rsidRPr="006340F9" w14:paraId="0BF20F59" w14:textId="77777777" w:rsidTr="004E59B3">
        <w:tc>
          <w:tcPr>
            <w:tcW w:w="1113" w:type="dxa"/>
            <w:vAlign w:val="center"/>
          </w:tcPr>
          <w:p w14:paraId="12EBC80A" w14:textId="77777777" w:rsidR="005C554F" w:rsidRPr="006340F9" w:rsidRDefault="005C554F" w:rsidP="006816B6">
            <w:pPr>
              <w:pStyle w:val="Tablecolhead"/>
              <w:keepNext/>
              <w:jc w:val="left"/>
              <w:rPr>
                <w:sz w:val="20"/>
                <w:szCs w:val="20"/>
              </w:rPr>
            </w:pPr>
            <w:r w:rsidRPr="006340F9">
              <w:rPr>
                <w:sz w:val="20"/>
                <w:szCs w:val="20"/>
              </w:rPr>
              <w:t>Donor limit</w:t>
            </w:r>
          </w:p>
        </w:tc>
        <w:tc>
          <w:tcPr>
            <w:tcW w:w="1061" w:type="dxa"/>
            <w:vAlign w:val="center"/>
          </w:tcPr>
          <w:p w14:paraId="7A65D509" w14:textId="24E1861C" w:rsidR="005C554F" w:rsidRPr="006340F9" w:rsidRDefault="009D3893" w:rsidP="006816B6">
            <w:pPr>
              <w:pStyle w:val="Tabletext"/>
              <w:keepNext/>
              <w:jc w:val="center"/>
            </w:pPr>
            <w:r w:rsidRPr="006340F9">
              <w:t>5 families</w:t>
            </w:r>
            <w:r w:rsidR="005D4622" w:rsidRPr="006340F9">
              <w:t xml:space="preserve"> </w:t>
            </w:r>
            <w:r w:rsidR="00C13D39" w:rsidRPr="006340F9">
              <w:t xml:space="preserve">in the ACT </w:t>
            </w:r>
            <w:r w:rsidR="00FB75C7" w:rsidRPr="006340F9">
              <w:t>or</w:t>
            </w:r>
            <w:r w:rsidR="00C13D39" w:rsidRPr="006340F9">
              <w:t xml:space="preserve"> 10 families Australia-wide. </w:t>
            </w:r>
          </w:p>
        </w:tc>
        <w:tc>
          <w:tcPr>
            <w:tcW w:w="980" w:type="dxa"/>
            <w:vAlign w:val="center"/>
          </w:tcPr>
          <w:p w14:paraId="2FAABD52" w14:textId="77777777" w:rsidR="005C554F" w:rsidRPr="006340F9" w:rsidRDefault="005C554F" w:rsidP="006816B6">
            <w:pPr>
              <w:pStyle w:val="Tabletext"/>
              <w:keepNext/>
              <w:jc w:val="center"/>
            </w:pPr>
            <w:r w:rsidRPr="006340F9">
              <w:t>5 women</w:t>
            </w:r>
          </w:p>
        </w:tc>
        <w:tc>
          <w:tcPr>
            <w:tcW w:w="966" w:type="dxa"/>
            <w:vAlign w:val="center"/>
          </w:tcPr>
          <w:p w14:paraId="442DC0CA" w14:textId="77777777" w:rsidR="005C554F" w:rsidRPr="006340F9" w:rsidRDefault="005C554F" w:rsidP="006816B6">
            <w:pPr>
              <w:pStyle w:val="Tabletext"/>
              <w:keepNext/>
              <w:jc w:val="center"/>
            </w:pPr>
            <w:r w:rsidRPr="006340F9">
              <w:t>No limit</w:t>
            </w:r>
          </w:p>
        </w:tc>
        <w:tc>
          <w:tcPr>
            <w:tcW w:w="982" w:type="dxa"/>
            <w:vAlign w:val="center"/>
          </w:tcPr>
          <w:p w14:paraId="2A49E298" w14:textId="691BEC50" w:rsidR="005C554F" w:rsidRPr="006340F9" w:rsidRDefault="005C554F" w:rsidP="006816B6">
            <w:pPr>
              <w:pStyle w:val="Tabletext"/>
              <w:keepNext/>
              <w:jc w:val="center"/>
            </w:pPr>
            <w:r w:rsidRPr="006340F9">
              <w:t>10 families</w:t>
            </w:r>
            <w:r w:rsidR="00506385" w:rsidRPr="006340F9">
              <w:t>*</w:t>
            </w:r>
          </w:p>
        </w:tc>
        <w:tc>
          <w:tcPr>
            <w:tcW w:w="982" w:type="dxa"/>
            <w:vAlign w:val="center"/>
          </w:tcPr>
          <w:p w14:paraId="6F86B98E" w14:textId="77777777" w:rsidR="005C554F" w:rsidRPr="006340F9" w:rsidRDefault="005C554F" w:rsidP="006816B6">
            <w:pPr>
              <w:pStyle w:val="Tabletext"/>
              <w:keepNext/>
              <w:jc w:val="center"/>
            </w:pPr>
            <w:r w:rsidRPr="006340F9">
              <w:t>10 families</w:t>
            </w:r>
          </w:p>
        </w:tc>
        <w:tc>
          <w:tcPr>
            <w:tcW w:w="968" w:type="dxa"/>
            <w:vAlign w:val="center"/>
          </w:tcPr>
          <w:p w14:paraId="1E8982B6" w14:textId="77777777" w:rsidR="005C554F" w:rsidRPr="006340F9" w:rsidRDefault="005C554F" w:rsidP="006816B6">
            <w:pPr>
              <w:pStyle w:val="Tabletext"/>
              <w:keepNext/>
              <w:jc w:val="center"/>
            </w:pPr>
            <w:r w:rsidRPr="006340F9">
              <w:t>No limit</w:t>
            </w:r>
          </w:p>
        </w:tc>
        <w:tc>
          <w:tcPr>
            <w:tcW w:w="982" w:type="dxa"/>
            <w:vAlign w:val="center"/>
          </w:tcPr>
          <w:p w14:paraId="1C6838FE" w14:textId="338964C6" w:rsidR="005C554F" w:rsidRPr="006340F9" w:rsidRDefault="005C554F" w:rsidP="006816B6">
            <w:pPr>
              <w:pStyle w:val="Tabletext"/>
              <w:keepNext/>
              <w:jc w:val="center"/>
            </w:pPr>
            <w:r w:rsidRPr="006340F9">
              <w:t xml:space="preserve">10 </w:t>
            </w:r>
            <w:r w:rsidR="00412455" w:rsidRPr="006340F9">
              <w:t>women</w:t>
            </w:r>
            <w:r w:rsidR="00412455" w:rsidRPr="006340F9">
              <w:rPr>
                <w:vertAlign w:val="superscript"/>
              </w:rPr>
              <w:t>^</w:t>
            </w:r>
          </w:p>
        </w:tc>
        <w:tc>
          <w:tcPr>
            <w:tcW w:w="982" w:type="dxa"/>
            <w:vAlign w:val="center"/>
          </w:tcPr>
          <w:p w14:paraId="655F1694" w14:textId="77777777" w:rsidR="005C554F" w:rsidRPr="006340F9" w:rsidRDefault="005C554F" w:rsidP="006816B6">
            <w:pPr>
              <w:pStyle w:val="Tabletext"/>
              <w:keepNext/>
              <w:jc w:val="center"/>
            </w:pPr>
            <w:r w:rsidRPr="006340F9">
              <w:t>5 families</w:t>
            </w:r>
          </w:p>
        </w:tc>
      </w:tr>
    </w:tbl>
    <w:p w14:paraId="317B8708" w14:textId="4F41D1CE" w:rsidR="00906496" w:rsidRPr="006340F9" w:rsidRDefault="00906496">
      <w:pPr>
        <w:pStyle w:val="Figurenote"/>
        <w:keepNext/>
      </w:pPr>
      <w:r w:rsidRPr="006340F9">
        <w:t>* The Queensland donor limit will come into effect from mid- to late-2026.</w:t>
      </w:r>
    </w:p>
    <w:p w14:paraId="1224BF4A" w14:textId="6D31363B" w:rsidR="00412455" w:rsidRPr="006340F9" w:rsidRDefault="00412455" w:rsidP="002A4C56">
      <w:pPr>
        <w:pStyle w:val="Figurenote"/>
        <w:keepNext/>
        <w:rPr>
          <w:vertAlign w:val="superscript"/>
        </w:rPr>
      </w:pPr>
      <w:r w:rsidRPr="006340F9">
        <w:rPr>
          <w:vertAlign w:val="superscript"/>
        </w:rPr>
        <w:t xml:space="preserve">^ </w:t>
      </w:r>
      <w:r w:rsidR="00171D1D" w:rsidRPr="006340F9">
        <w:t>The Victorian limit includes an exemption to allow women in same-sex relationships to use the same donor to have a genetic sibling for their child/ren, even if the 10-women limit has been met. The exemption also applies to existing families (same sex or heterosexual) who use more than one surrogate mother to have a child who will be genetic sibling to their existing child/ren.</w:t>
      </w:r>
    </w:p>
    <w:p w14:paraId="1A65285D" w14:textId="4F95661F" w:rsidR="005C554F" w:rsidRPr="006340F9" w:rsidRDefault="005C554F" w:rsidP="00BF4A72">
      <w:pPr>
        <w:pStyle w:val="Bodyaftertablefigurebullets"/>
      </w:pPr>
      <w:r w:rsidRPr="006340F9">
        <w:t xml:space="preserve">In addition to limits on the number of families, or women, a donor may donate to, there are limitations on the age of donors, and movement of genetic material. </w:t>
      </w:r>
    </w:p>
    <w:p w14:paraId="35CA29FD" w14:textId="7EFC7874" w:rsidR="005C554F" w:rsidRPr="006340F9" w:rsidRDefault="005C554F" w:rsidP="00446359">
      <w:pPr>
        <w:pStyle w:val="Body"/>
      </w:pPr>
      <w:r w:rsidRPr="006340F9">
        <w:t xml:space="preserve">Gamete </w:t>
      </w:r>
      <w:r w:rsidR="00E3545A" w:rsidRPr="006340F9">
        <w:t xml:space="preserve">and embryo </w:t>
      </w:r>
      <w:r w:rsidRPr="006340F9">
        <w:t>donors cannot be paid to donate</w:t>
      </w:r>
      <w:r w:rsidR="00C72753" w:rsidRPr="006340F9">
        <w:t>. They</w:t>
      </w:r>
      <w:r w:rsidRPr="006340F9" w:rsidDel="00C72753">
        <w:t xml:space="preserve"> </w:t>
      </w:r>
      <w:r w:rsidRPr="006340F9">
        <w:t xml:space="preserve">may be reimbursed for reasonable expenses incurred because of the donation. There are calls from some ART providers to enable payment for gametes to boost local availability. </w:t>
      </w:r>
    </w:p>
    <w:p w14:paraId="27B99D36" w14:textId="3A2F24CA" w:rsidR="005C554F" w:rsidRPr="006340F9" w:rsidRDefault="005C554F" w:rsidP="004600B7">
      <w:pPr>
        <w:pStyle w:val="Heading3"/>
      </w:pPr>
      <w:bookmarkStart w:id="94" w:name="_Toc205489535"/>
      <w:proofErr w:type="spellStart"/>
      <w:r w:rsidRPr="006340F9">
        <w:t>Ahpra</w:t>
      </w:r>
      <w:proofErr w:type="spellEnd"/>
      <w:r w:rsidRPr="006340F9">
        <w:t xml:space="preserve"> regulat</w:t>
      </w:r>
      <w:r w:rsidR="007F7AA3" w:rsidRPr="006340F9">
        <w:t>es</w:t>
      </w:r>
      <w:r w:rsidRPr="006340F9">
        <w:t xml:space="preserve"> registered ART profession</w:t>
      </w:r>
      <w:bookmarkEnd w:id="94"/>
      <w:r w:rsidR="007F7AA3" w:rsidRPr="006340F9">
        <w:t>als</w:t>
      </w:r>
      <w:r w:rsidRPr="006340F9">
        <w:t xml:space="preserve"> </w:t>
      </w:r>
    </w:p>
    <w:p w14:paraId="16D0F357" w14:textId="55C60139" w:rsidR="005C554F" w:rsidRPr="006340F9" w:rsidRDefault="005C554F" w:rsidP="00B7757E">
      <w:pPr>
        <w:pStyle w:val="Body"/>
      </w:pPr>
      <w:r w:rsidRPr="006340F9">
        <w:t xml:space="preserve">An additional level of regulation is provided by </w:t>
      </w:r>
      <w:proofErr w:type="spellStart"/>
      <w:r w:rsidRPr="006340F9">
        <w:t>Ahpra’s</w:t>
      </w:r>
      <w:proofErr w:type="spellEnd"/>
      <w:r w:rsidRPr="006340F9">
        <w:t xml:space="preserve"> oversight of registered ART </w:t>
      </w:r>
      <w:r w:rsidR="00D92D3A" w:rsidRPr="006340F9">
        <w:t xml:space="preserve">health </w:t>
      </w:r>
      <w:r w:rsidRPr="006340F9">
        <w:t xml:space="preserve">professionals. In addition to its registration functions, </w:t>
      </w:r>
      <w:proofErr w:type="spellStart"/>
      <w:r w:rsidRPr="006340F9">
        <w:t>Ahpra</w:t>
      </w:r>
      <w:proofErr w:type="spellEnd"/>
      <w:r w:rsidRPr="006340F9">
        <w:t xml:space="preserve"> undertakes a range of compliance monitoring functions, such as audits, to ensure health practitioners are complying with their professional standards and any conditions or restrictions placed on registration.</w:t>
      </w:r>
    </w:p>
    <w:p w14:paraId="69141876" w14:textId="7C5339FE" w:rsidR="005C554F" w:rsidRPr="006340F9" w:rsidRDefault="005C554F" w:rsidP="00B7757E">
      <w:pPr>
        <w:pStyle w:val="Body"/>
      </w:pPr>
      <w:proofErr w:type="spellStart"/>
      <w:r w:rsidRPr="006340F9">
        <w:t>Ahpra</w:t>
      </w:r>
      <w:proofErr w:type="spellEnd"/>
      <w:r w:rsidRPr="006340F9">
        <w:t xml:space="preserve"> can receive complaints and notifications of conduct alleged to breach professional standards and undertake investigations. Anyone can make a notification to </w:t>
      </w:r>
      <w:proofErr w:type="spellStart"/>
      <w:r w:rsidRPr="006340F9">
        <w:t>Ahpra</w:t>
      </w:r>
      <w:proofErr w:type="spellEnd"/>
      <w:r w:rsidRPr="006340F9">
        <w:t xml:space="preserve"> or the </w:t>
      </w:r>
      <w:r w:rsidRPr="006340F9">
        <w:lastRenderedPageBreak/>
        <w:t xml:space="preserve">relevant National Board if they believe a registered health professional has breached standards of professional conduct. </w:t>
      </w:r>
    </w:p>
    <w:p w14:paraId="42FB4820" w14:textId="77777777" w:rsidR="005C554F" w:rsidRPr="006340F9" w:rsidRDefault="005C554F" w:rsidP="00B7757E">
      <w:pPr>
        <w:pStyle w:val="Body"/>
      </w:pPr>
      <w:r w:rsidRPr="006340F9">
        <w:t xml:space="preserve">For each notification that is accepted, </w:t>
      </w:r>
      <w:proofErr w:type="spellStart"/>
      <w:r w:rsidRPr="006340F9">
        <w:t>Ahpra</w:t>
      </w:r>
      <w:proofErr w:type="spellEnd"/>
      <w:r w:rsidRPr="006340F9">
        <w:t xml:space="preserve"> will first assess the notification, which determines the next steps of the relevant National Board.</w:t>
      </w:r>
      <w:r w:rsidRPr="006340F9">
        <w:rPr>
          <w:vertAlign w:val="superscript"/>
        </w:rPr>
        <w:footnoteReference w:id="105"/>
      </w:r>
      <w:r w:rsidRPr="006340F9">
        <w:t xml:space="preserve"> These may include:</w:t>
      </w:r>
    </w:p>
    <w:p w14:paraId="3D0AC49F" w14:textId="104495E3" w:rsidR="005C554F" w:rsidRPr="006340F9" w:rsidRDefault="00BD7660" w:rsidP="00131DA2">
      <w:pPr>
        <w:pStyle w:val="Bullet1"/>
        <w:ind w:left="284" w:hanging="284"/>
      </w:pPr>
      <w:r w:rsidRPr="006340F9">
        <w:rPr>
          <w:b/>
        </w:rPr>
        <w:t xml:space="preserve">taking </w:t>
      </w:r>
      <w:r w:rsidR="005C554F" w:rsidRPr="006340F9">
        <w:rPr>
          <w:b/>
        </w:rPr>
        <w:t>immediate action</w:t>
      </w:r>
      <w:r w:rsidR="005C554F" w:rsidRPr="006340F9">
        <w:t>, which can include suspending registration, imposing a condition on registration, accepting an undertaking from the practitioner, or accepting the surrender of the practitioner’s registration.</w:t>
      </w:r>
    </w:p>
    <w:p w14:paraId="6125EF29" w14:textId="43961D00" w:rsidR="005C554F" w:rsidRPr="006340F9" w:rsidRDefault="00BD7660" w:rsidP="00131DA2">
      <w:pPr>
        <w:pStyle w:val="Bullet1"/>
        <w:ind w:left="284" w:hanging="284"/>
      </w:pPr>
      <w:r w:rsidRPr="006340F9">
        <w:rPr>
          <w:b/>
        </w:rPr>
        <w:t xml:space="preserve">investigating </w:t>
      </w:r>
      <w:r w:rsidR="005C554F" w:rsidRPr="006340F9">
        <w:rPr>
          <w:b/>
        </w:rPr>
        <w:t>a practitioner</w:t>
      </w:r>
      <w:r w:rsidR="005C554F" w:rsidRPr="006340F9">
        <w:t xml:space="preserve"> if the National Board perceives risks to the public that are significant.</w:t>
      </w:r>
      <w:bookmarkStart w:id="95" w:name="_Ref207718562"/>
      <w:r w:rsidR="005C554F" w:rsidRPr="006340F9">
        <w:rPr>
          <w:vertAlign w:val="superscript"/>
        </w:rPr>
        <w:footnoteReference w:id="106"/>
      </w:r>
      <w:bookmarkEnd w:id="95"/>
      <w:r w:rsidR="005C554F" w:rsidRPr="006340F9">
        <w:rPr>
          <w:vertAlign w:val="superscript"/>
        </w:rPr>
        <w:t xml:space="preserve"> </w:t>
      </w:r>
      <w:r w:rsidR="005C554F" w:rsidRPr="006340F9">
        <w:t>An investigation may be undertaken following an assessment or the immediate action process</w:t>
      </w:r>
      <w:r w:rsidR="00FD2E04" w:rsidRPr="006340F9">
        <w:t>.</w:t>
      </w:r>
      <w:r w:rsidR="00131DA2" w:rsidRPr="006340F9">
        <w:t xml:space="preserve"> </w:t>
      </w:r>
      <w:r w:rsidR="00FD2E04" w:rsidRPr="006340F9">
        <w:t>T</w:t>
      </w:r>
      <w:r w:rsidR="005C554F" w:rsidRPr="006340F9">
        <w:t>he National Board also has the power to start an own motion investigation. All investigations are guided by nationally consistent policies, procedures and legal obligation</w:t>
      </w:r>
      <w:r w:rsidR="005C554F" w:rsidRPr="006340F9">
        <w:rPr>
          <w:rStyle w:val="BodyChar"/>
        </w:rPr>
        <w:t>s.</w:t>
      </w:r>
      <w:r w:rsidR="005C554F" w:rsidRPr="006340F9">
        <w:rPr>
          <w:rStyle w:val="BodyChar"/>
          <w:vertAlign w:val="superscript"/>
        </w:rPr>
        <w:footnoteReference w:id="107"/>
      </w:r>
    </w:p>
    <w:p w14:paraId="5781EAC6" w14:textId="77777777" w:rsidR="00DD3408" w:rsidRPr="006340F9" w:rsidRDefault="005C554F" w:rsidP="00DD3408">
      <w:pPr>
        <w:pStyle w:val="Body"/>
      </w:pPr>
      <w:proofErr w:type="spellStart"/>
      <w:r w:rsidRPr="006340F9">
        <w:t>Ahpra</w:t>
      </w:r>
      <w:proofErr w:type="spellEnd"/>
      <w:r w:rsidRPr="006340F9">
        <w:t xml:space="preserve"> assessment and investigation processes are strongly based in nationally </w:t>
      </w:r>
      <w:r w:rsidR="00082EDE" w:rsidRPr="006340F9">
        <w:t>harmonised</w:t>
      </w:r>
      <w:r w:rsidRPr="006340F9">
        <w:t xml:space="preserve"> legislation, policies and procedures, ensuring consistency across all registered professions and jurisdictions. </w:t>
      </w:r>
      <w:proofErr w:type="spellStart"/>
      <w:r w:rsidRPr="006340F9">
        <w:t>Ahpra</w:t>
      </w:r>
      <w:proofErr w:type="spellEnd"/>
      <w:r w:rsidRPr="006340F9">
        <w:t xml:space="preserve"> suggested that its system-level regulation, which focuses on organisational governance and culture, may have a greater impact on safety and quality than individual practitioner registration.</w:t>
      </w:r>
      <w:bookmarkStart w:id="96" w:name="_Toc205489536"/>
      <w:bookmarkStart w:id="97" w:name="_Toc207262018"/>
      <w:bookmarkStart w:id="98" w:name="_Toc207976234"/>
      <w:bookmarkStart w:id="99" w:name="_Toc209441987"/>
    </w:p>
    <w:p w14:paraId="5FD03EFF" w14:textId="2FDD4A8E" w:rsidR="005C554F" w:rsidRPr="006340F9" w:rsidRDefault="00E74948" w:rsidP="0062093F">
      <w:pPr>
        <w:pStyle w:val="Heading2"/>
      </w:pPr>
      <w:r w:rsidRPr="006340F9">
        <w:t xml:space="preserve">Enforcement and </w:t>
      </w:r>
      <w:bookmarkEnd w:id="96"/>
      <w:bookmarkEnd w:id="97"/>
      <w:r w:rsidRPr="006340F9">
        <w:t>r</w:t>
      </w:r>
      <w:r w:rsidR="005C554F" w:rsidRPr="006340F9">
        <w:t>ecourse</w:t>
      </w:r>
      <w:bookmarkEnd w:id="98"/>
      <w:bookmarkEnd w:id="99"/>
    </w:p>
    <w:p w14:paraId="530DA84F" w14:textId="32F5B3D9" w:rsidR="005C554F" w:rsidRPr="006340F9" w:rsidRDefault="000A4610" w:rsidP="00B7757E">
      <w:pPr>
        <w:pStyle w:val="Body"/>
      </w:pPr>
      <w:r w:rsidRPr="006340F9">
        <w:t>Enforcement action is the response taken when non-compliance has occurred, including action regulatory authorities can take to</w:t>
      </w:r>
      <w:r w:rsidR="00224DD6" w:rsidRPr="006340F9">
        <w:t xml:space="preserve"> deter non-compliance or</w:t>
      </w:r>
      <w:r w:rsidRPr="006340F9">
        <w:t xml:space="preserve"> penalise those who do not follow regulatory requirements. </w:t>
      </w:r>
      <w:r w:rsidR="005C554F" w:rsidRPr="006340F9">
        <w:t xml:space="preserve">Recourse refers to the way that consumers seek a remedy or compensation when something goes wrong with their ART treatment. Several avenues are available for consumers to make a complaint and report negative or unsatisfactory experiences with ART providers and practitioners. </w:t>
      </w:r>
    </w:p>
    <w:p w14:paraId="4DFEB936" w14:textId="0B125A9A" w:rsidR="005C554F" w:rsidRPr="006340F9" w:rsidRDefault="001E7C63" w:rsidP="004600B7">
      <w:pPr>
        <w:pStyle w:val="Heading3"/>
      </w:pPr>
      <w:bookmarkStart w:id="100" w:name="_Ref207634303"/>
      <w:r w:rsidRPr="006340F9">
        <w:t>E</w:t>
      </w:r>
      <w:r w:rsidR="004B3262" w:rsidRPr="006340F9">
        <w:t xml:space="preserve">nforcement powers </w:t>
      </w:r>
      <w:r w:rsidR="004354C3" w:rsidRPr="006340F9">
        <w:t>vary between jurisdictions</w:t>
      </w:r>
      <w:r w:rsidR="0089402A" w:rsidRPr="006340F9">
        <w:t xml:space="preserve"> </w:t>
      </w:r>
      <w:bookmarkEnd w:id="100"/>
    </w:p>
    <w:p w14:paraId="401436A4" w14:textId="7CACFB8F" w:rsidR="005C554F" w:rsidRPr="006340F9" w:rsidRDefault="00A036CC" w:rsidP="00B7757E">
      <w:pPr>
        <w:pStyle w:val="Body"/>
      </w:pPr>
      <w:r w:rsidRPr="006340F9">
        <w:t xml:space="preserve">When providers do not </w:t>
      </w:r>
      <w:r w:rsidR="005C554F" w:rsidRPr="006340F9">
        <w:t>compl</w:t>
      </w:r>
      <w:r w:rsidR="0078240F" w:rsidRPr="006340F9">
        <w:t>y</w:t>
      </w:r>
      <w:r w:rsidR="00621C2E" w:rsidRPr="006340F9">
        <w:t xml:space="preserve"> with regulatory requ</w:t>
      </w:r>
      <w:r w:rsidR="004E10E6" w:rsidRPr="006340F9">
        <w:t>irements</w:t>
      </w:r>
      <w:r w:rsidR="000D4ED0" w:rsidRPr="006340F9">
        <w:t>,</w:t>
      </w:r>
      <w:r w:rsidR="005C554F" w:rsidRPr="006340F9">
        <w:t xml:space="preserve"> </w:t>
      </w:r>
      <w:r w:rsidR="005C554F" w:rsidRPr="006340F9" w:rsidDel="00227EE3">
        <w:t xml:space="preserve">the following </w:t>
      </w:r>
      <w:r w:rsidR="005C554F" w:rsidRPr="006340F9">
        <w:t xml:space="preserve">enforcement mechanisms are available to </w:t>
      </w:r>
      <w:r w:rsidR="00D66F53" w:rsidRPr="006340F9">
        <w:rPr>
          <w:bCs/>
        </w:rPr>
        <w:t>State and Territory</w:t>
      </w:r>
      <w:r w:rsidR="00D66F53" w:rsidRPr="006340F9" w:rsidDel="00D66F53">
        <w:t xml:space="preserve"> </w:t>
      </w:r>
      <w:r w:rsidR="001574D8" w:rsidRPr="006340F9">
        <w:t>regulatory authorities</w:t>
      </w:r>
      <w:r w:rsidR="005C554F" w:rsidRPr="006340F9">
        <w:t>:</w:t>
      </w:r>
    </w:p>
    <w:p w14:paraId="0BBF7820" w14:textId="72E5D544" w:rsidR="005C554F" w:rsidRPr="006340F9" w:rsidRDefault="005C554F" w:rsidP="00E966B6">
      <w:pPr>
        <w:pStyle w:val="Bullet1"/>
      </w:pPr>
      <w:r w:rsidRPr="006340F9">
        <w:rPr>
          <w:b/>
        </w:rPr>
        <w:t xml:space="preserve">Restriction, suspension or cancellation of jurisdictional registration: </w:t>
      </w:r>
      <w:r w:rsidRPr="006340F9">
        <w:t xml:space="preserve">ART units who have failed to comply with their conditions of registration may have their registration cancelled </w:t>
      </w:r>
      <w:r w:rsidR="007F2904" w:rsidRPr="006340F9">
        <w:t xml:space="preserve">or suspended </w:t>
      </w:r>
      <w:r w:rsidRPr="006340F9">
        <w:t>by the relevant state or territory regulatory authority</w:t>
      </w:r>
      <w:r w:rsidR="002F1D3C" w:rsidRPr="006340F9">
        <w:t xml:space="preserve">. </w:t>
      </w:r>
      <w:r w:rsidR="00500004" w:rsidRPr="006340F9">
        <w:t xml:space="preserve">Additionally, </w:t>
      </w:r>
      <w:r w:rsidR="00500004" w:rsidRPr="006340F9">
        <w:lastRenderedPageBreak/>
        <w:t xml:space="preserve">some jurisdictions have powers to vary registration </w:t>
      </w:r>
      <w:r w:rsidR="00F67D18" w:rsidRPr="006340F9">
        <w:t xml:space="preserve">including Queensland, </w:t>
      </w:r>
      <w:r w:rsidR="006C2D83" w:rsidRPr="006340F9">
        <w:t>South Australia, Tasmania, and Western Australia</w:t>
      </w:r>
      <w:r w:rsidR="00340C8D" w:rsidRPr="006340F9">
        <w:t>.</w:t>
      </w:r>
    </w:p>
    <w:p w14:paraId="4B700FAF" w14:textId="2C72654B" w:rsidR="005C554F" w:rsidRPr="006340F9" w:rsidRDefault="005C554F" w:rsidP="00E966B6">
      <w:pPr>
        <w:pStyle w:val="Bullet1"/>
      </w:pPr>
      <w:r w:rsidRPr="006340F9">
        <w:rPr>
          <w:b/>
        </w:rPr>
        <w:t>Other jurisdictional enforcement powers:</w:t>
      </w:r>
      <w:r w:rsidRPr="006340F9">
        <w:t xml:space="preserve"> </w:t>
      </w:r>
      <w:r w:rsidRPr="006340F9">
        <w:rPr>
          <w:rStyle w:val="BodyChar"/>
        </w:rPr>
        <w:t xml:space="preserve">The </w:t>
      </w:r>
      <w:r w:rsidR="00272995" w:rsidRPr="006340F9">
        <w:rPr>
          <w:rStyle w:val="BodyChar"/>
        </w:rPr>
        <w:t>Australian Capital Territory</w:t>
      </w:r>
      <w:r w:rsidRPr="006340F9">
        <w:rPr>
          <w:rStyle w:val="BodyChar"/>
        </w:rPr>
        <w:t>,</w:t>
      </w:r>
      <w:r w:rsidRPr="006340F9">
        <w:rPr>
          <w:rStyle w:val="BodyChar"/>
          <w:vertAlign w:val="superscript"/>
        </w:rPr>
        <w:footnoteReference w:id="108"/>
      </w:r>
      <w:r w:rsidRPr="006340F9">
        <w:rPr>
          <w:rStyle w:val="BodyChar"/>
        </w:rPr>
        <w:t xml:space="preserve"> Queensland</w:t>
      </w:r>
      <w:r w:rsidRPr="006340F9">
        <w:rPr>
          <w:rStyle w:val="BodyChar"/>
          <w:vertAlign w:val="superscript"/>
        </w:rPr>
        <w:footnoteReference w:id="109"/>
      </w:r>
      <w:r w:rsidR="00DA6084" w:rsidRPr="006340F9">
        <w:rPr>
          <w:rStyle w:val="BodyChar"/>
        </w:rPr>
        <w:t>,</w:t>
      </w:r>
      <w:r w:rsidRPr="006340F9">
        <w:rPr>
          <w:rStyle w:val="BodyChar"/>
        </w:rPr>
        <w:t xml:space="preserve"> and Victoria</w:t>
      </w:r>
      <w:r w:rsidRPr="006340F9">
        <w:rPr>
          <w:rStyle w:val="FootnoteReference"/>
          <w:szCs w:val="22"/>
        </w:rPr>
        <w:footnoteReference w:id="110"/>
      </w:r>
      <w:r w:rsidRPr="006340F9">
        <w:rPr>
          <w:rStyle w:val="BodyChar"/>
        </w:rPr>
        <w:t xml:space="preserve"> have the most comprehensive, scalable enforcement powers among jurisdictions, including additional powers to issue improvement notices and prohibition notices, among others. These powers are not available in </w:t>
      </w:r>
      <w:r w:rsidR="00A444F0" w:rsidRPr="006340F9">
        <w:rPr>
          <w:rStyle w:val="BodyChar"/>
        </w:rPr>
        <w:t>New South Wales</w:t>
      </w:r>
      <w:r w:rsidRPr="006340F9">
        <w:rPr>
          <w:rStyle w:val="BodyChar"/>
        </w:rPr>
        <w:t>, South Australia, Tasmania</w:t>
      </w:r>
      <w:r w:rsidR="00DA6084" w:rsidRPr="006340F9">
        <w:rPr>
          <w:rStyle w:val="BodyChar"/>
        </w:rPr>
        <w:t>,</w:t>
      </w:r>
      <w:r w:rsidRPr="006340F9">
        <w:rPr>
          <w:rStyle w:val="BodyChar"/>
        </w:rPr>
        <w:t xml:space="preserve"> or </w:t>
      </w:r>
      <w:r w:rsidR="007E5712" w:rsidRPr="006340F9">
        <w:rPr>
          <w:rStyle w:val="BodyChar"/>
        </w:rPr>
        <w:t>Western Australia</w:t>
      </w:r>
      <w:r w:rsidRPr="006340F9">
        <w:rPr>
          <w:rStyle w:val="BodyChar"/>
        </w:rPr>
        <w:t>.</w:t>
      </w:r>
    </w:p>
    <w:p w14:paraId="25167EEC" w14:textId="3EF6EE5D" w:rsidR="005C554F" w:rsidRPr="006340F9" w:rsidRDefault="005C554F" w:rsidP="00E966B6">
      <w:pPr>
        <w:pStyle w:val="Bullet1"/>
      </w:pPr>
      <w:r w:rsidRPr="006340F9">
        <w:rPr>
          <w:b/>
        </w:rPr>
        <w:t>Offence provisions for ART units who continue to operate against the conditions of registration</w:t>
      </w:r>
      <w:r w:rsidRPr="006340F9">
        <w:t xml:space="preserve">: Beyond varying, suspending or cancelling registration, the </w:t>
      </w:r>
      <w:r w:rsidR="00966387" w:rsidRPr="006340F9">
        <w:t xml:space="preserve">type </w:t>
      </w:r>
      <w:r w:rsidRPr="006340F9">
        <w:t xml:space="preserve">of offence provisions in jurisdictions varies considerably, from the ability to issue a fine in </w:t>
      </w:r>
      <w:r w:rsidR="009F4CA2" w:rsidRPr="006340F9">
        <w:t xml:space="preserve">New South Wales and </w:t>
      </w:r>
      <w:r w:rsidRPr="006340F9">
        <w:t xml:space="preserve">South Australia, to imprisonment in the </w:t>
      </w:r>
      <w:r w:rsidR="00272995" w:rsidRPr="006340F9">
        <w:t>Australian Capital Territory</w:t>
      </w:r>
      <w:r w:rsidRPr="006340F9">
        <w:t>, Queensland</w:t>
      </w:r>
      <w:r w:rsidR="003B40C3" w:rsidRPr="006340F9">
        <w:t xml:space="preserve">, </w:t>
      </w:r>
      <w:r w:rsidRPr="006340F9">
        <w:t>Victoria</w:t>
      </w:r>
      <w:r w:rsidR="003B40C3" w:rsidRPr="006340F9">
        <w:t xml:space="preserve"> and Western Australia</w:t>
      </w:r>
      <w:r w:rsidRPr="006340F9">
        <w:t>.</w:t>
      </w:r>
    </w:p>
    <w:p w14:paraId="67244D2C" w14:textId="77777777" w:rsidR="00D53BC4" w:rsidRPr="006340F9" w:rsidRDefault="005C554F" w:rsidP="00333F5E">
      <w:pPr>
        <w:pStyle w:val="Bodyaftertablefigurebullets"/>
      </w:pPr>
      <w:r w:rsidRPr="006340F9">
        <w:t xml:space="preserve">If </w:t>
      </w:r>
      <w:proofErr w:type="spellStart"/>
      <w:r w:rsidRPr="006340F9">
        <w:t>Ahpra</w:t>
      </w:r>
      <w:proofErr w:type="spellEnd"/>
      <w:r w:rsidRPr="006340F9">
        <w:t xml:space="preserve"> finds that a registered health practitioner has breached professional standards there are </w:t>
      </w:r>
      <w:r w:rsidR="0021300C" w:rsidRPr="006340F9">
        <w:t xml:space="preserve">several </w:t>
      </w:r>
      <w:r w:rsidR="00062D45" w:rsidRPr="006340F9">
        <w:t>scalable</w:t>
      </w:r>
      <w:r w:rsidRPr="006340F9">
        <w:t xml:space="preserve"> actions available – ranging from a caution or reprimand, </w:t>
      </w:r>
      <w:r w:rsidR="00B56F7B" w:rsidRPr="006340F9">
        <w:t xml:space="preserve">the </w:t>
      </w:r>
      <w:r w:rsidRPr="006340F9">
        <w:t xml:space="preserve">accepting </w:t>
      </w:r>
      <w:r w:rsidR="00B56F7B" w:rsidRPr="006340F9">
        <w:t xml:space="preserve">of </w:t>
      </w:r>
      <w:r w:rsidRPr="006340F9">
        <w:t xml:space="preserve">undertakings </w:t>
      </w:r>
      <w:r w:rsidR="00B56F7B" w:rsidRPr="006340F9">
        <w:t xml:space="preserve">by </w:t>
      </w:r>
      <w:r w:rsidRPr="006340F9">
        <w:t xml:space="preserve">the practitioner, </w:t>
      </w:r>
      <w:r w:rsidR="00994AA3" w:rsidRPr="006340F9">
        <w:t xml:space="preserve">and </w:t>
      </w:r>
      <w:r w:rsidRPr="006340F9">
        <w:t>conditions on registration</w:t>
      </w:r>
      <w:r w:rsidR="00994AA3" w:rsidRPr="006340F9">
        <w:t>,</w:t>
      </w:r>
      <w:r w:rsidRPr="006340F9">
        <w:t xml:space="preserve"> to suspension or cancellation of registration or imposing fines. Some of these regulatory actions require referral to a civil and administrative tribunal.</w:t>
      </w:r>
      <w:r w:rsidRPr="006340F9">
        <w:rPr>
          <w:vertAlign w:val="superscript"/>
        </w:rPr>
        <w:footnoteReference w:id="111"/>
      </w:r>
      <w:r w:rsidR="00D53BC4" w:rsidRPr="006340F9">
        <w:t xml:space="preserve"> </w:t>
      </w:r>
    </w:p>
    <w:p w14:paraId="45CDC6CA" w14:textId="35A9ED09" w:rsidR="002B728F" w:rsidRPr="006340F9" w:rsidRDefault="00333F5E" w:rsidP="00333F5E">
      <w:pPr>
        <w:pStyle w:val="Bodyaftertablefigurebullets"/>
      </w:pPr>
      <w:r w:rsidRPr="006340F9">
        <w:rPr>
          <w:rFonts w:cs="Arial"/>
        </w:rPr>
        <w:t xml:space="preserve">Health </w:t>
      </w:r>
      <w:r w:rsidRPr="006340F9">
        <w:t xml:space="preserve">complaints bodies that have </w:t>
      </w:r>
      <w:r w:rsidRPr="006340F9">
        <w:rPr>
          <w:rFonts w:cs="Arial"/>
        </w:rPr>
        <w:t>adopted</w:t>
      </w:r>
      <w:r w:rsidRPr="006340F9">
        <w:t xml:space="preserve"> the </w:t>
      </w:r>
      <w:r w:rsidRPr="006340F9">
        <w:rPr>
          <w:iCs/>
        </w:rPr>
        <w:t>National Code of Conduct for Health Care Workers</w:t>
      </w:r>
      <w:r w:rsidRPr="006340F9">
        <w:t xml:space="preserve"> can </w:t>
      </w:r>
      <w:proofErr w:type="gramStart"/>
      <w:r w:rsidRPr="006340F9">
        <w:t>take action</w:t>
      </w:r>
      <w:proofErr w:type="gramEnd"/>
      <w:r w:rsidRPr="006340F9">
        <w:t xml:space="preserve"> </w:t>
      </w:r>
      <w:r w:rsidRPr="006340F9">
        <w:rPr>
          <w:rFonts w:cs="Arial"/>
        </w:rPr>
        <w:t>against</w:t>
      </w:r>
      <w:r w:rsidR="0048145D" w:rsidRPr="006340F9">
        <w:t xml:space="preserve"> </w:t>
      </w:r>
      <w:r w:rsidR="0048145D" w:rsidRPr="006340F9">
        <w:rPr>
          <w:rFonts w:cs="Arial"/>
        </w:rPr>
        <w:t>unregistered</w:t>
      </w:r>
      <w:r w:rsidRPr="006340F9">
        <w:t xml:space="preserve"> health practitioners.</w:t>
      </w:r>
      <w:r w:rsidR="00256E01" w:rsidRPr="006340F9">
        <w:t xml:space="preserve"> T</w:t>
      </w:r>
      <w:r w:rsidR="004C2646" w:rsidRPr="006340F9">
        <w:t xml:space="preserve">his </w:t>
      </w:r>
      <w:r w:rsidR="0068264E" w:rsidRPr="006340F9">
        <w:t>provides health complaint bodies</w:t>
      </w:r>
      <w:r w:rsidR="005307BB" w:rsidRPr="006340F9">
        <w:t xml:space="preserve"> </w:t>
      </w:r>
      <w:r w:rsidR="00A17EC2" w:rsidRPr="006340F9">
        <w:t xml:space="preserve">with powers to </w:t>
      </w:r>
      <w:r w:rsidR="00C7780C" w:rsidRPr="006340F9">
        <w:t>place conditions on</w:t>
      </w:r>
      <w:r w:rsidR="00256E01" w:rsidRPr="006340F9">
        <w:t xml:space="preserve"> or prohibit</w:t>
      </w:r>
      <w:r w:rsidR="00C7780C" w:rsidRPr="006340F9">
        <w:t xml:space="preserve"> practice </w:t>
      </w:r>
      <w:r w:rsidR="005E670F" w:rsidRPr="006340F9">
        <w:t xml:space="preserve">and take immediate action </w:t>
      </w:r>
      <w:r w:rsidR="0068264E" w:rsidRPr="006340F9">
        <w:t>if a breach has taken place</w:t>
      </w:r>
      <w:r w:rsidR="00CA023E" w:rsidRPr="006340F9">
        <w:t xml:space="preserve">. </w:t>
      </w:r>
      <w:r w:rsidR="002B728F" w:rsidRPr="006340F9">
        <w:t xml:space="preserve"> </w:t>
      </w:r>
    </w:p>
    <w:p w14:paraId="5D54FB08" w14:textId="134FF183" w:rsidR="005C554F" w:rsidRPr="006340F9" w:rsidRDefault="006E3BAE" w:rsidP="004600B7">
      <w:pPr>
        <w:pStyle w:val="Heading3"/>
      </w:pPr>
      <w:r w:rsidRPr="006340F9">
        <w:t>Several complaints avenues are available to consumers</w:t>
      </w:r>
    </w:p>
    <w:p w14:paraId="202F5779" w14:textId="1E02ADD0" w:rsidR="005C554F" w:rsidRPr="006340F9" w:rsidRDefault="005C554F" w:rsidP="00B7757E">
      <w:pPr>
        <w:pStyle w:val="Body"/>
      </w:pPr>
      <w:r w:rsidRPr="006340F9">
        <w:t xml:space="preserve">Several avenues are available to consumers who wish to make a complaint about an ART unit or individual practitioner. The most appropriate pathway will depend on the nature and subject of the complaint. However, there is no single </w:t>
      </w:r>
      <w:r w:rsidR="00273028" w:rsidRPr="006340F9">
        <w:t xml:space="preserve">national </w:t>
      </w:r>
      <w:r w:rsidRPr="006340F9">
        <w:t>register or ART complaints agency and consumers often find themselves not knowing to whom they should direct a complaint.</w:t>
      </w:r>
    </w:p>
    <w:p w14:paraId="533B7035" w14:textId="0411D124" w:rsidR="005C554F" w:rsidRPr="006340F9" w:rsidRDefault="005C554F" w:rsidP="00B7757E">
      <w:pPr>
        <w:pStyle w:val="Body"/>
      </w:pPr>
      <w:r w:rsidRPr="006340F9">
        <w:t>RTAC and jurisdiction</w:t>
      </w:r>
      <w:r w:rsidR="00AF3A62" w:rsidRPr="006340F9">
        <w:t>-based</w:t>
      </w:r>
      <w:r w:rsidR="00642FB1" w:rsidRPr="006340F9">
        <w:t xml:space="preserve"> health</w:t>
      </w:r>
      <w:r w:rsidRPr="006340F9">
        <w:t xml:space="preserve"> complaints bodies recommend consumers first report their complaint to the service provider directly. This is consistent with complaints handling processes across health</w:t>
      </w:r>
      <w:r w:rsidR="00E1142F" w:rsidRPr="006340F9">
        <w:t xml:space="preserve"> </w:t>
      </w:r>
      <w:r w:rsidRPr="006340F9">
        <w:t xml:space="preserve">care more widely. If a complaint is not adequately resolved with the ART unit or by the individual provider, then RTAC </w:t>
      </w:r>
      <w:r w:rsidR="00C57659" w:rsidRPr="006340F9">
        <w:t>recommends that the complain</w:t>
      </w:r>
      <w:r w:rsidR="00994AA3" w:rsidRPr="006340F9">
        <w:t>an</w:t>
      </w:r>
      <w:r w:rsidR="00C57659" w:rsidRPr="006340F9">
        <w:t xml:space="preserve">t </w:t>
      </w:r>
      <w:r w:rsidR="00D0149D" w:rsidRPr="006340F9">
        <w:t>contact</w:t>
      </w:r>
      <w:r w:rsidRPr="006340F9">
        <w:t xml:space="preserve"> </w:t>
      </w:r>
      <w:r w:rsidRPr="006340F9">
        <w:lastRenderedPageBreak/>
        <w:t>the relevant jurisdiction</w:t>
      </w:r>
      <w:r w:rsidR="00AF3A62" w:rsidRPr="006340F9">
        <w:t>-based</w:t>
      </w:r>
      <w:r w:rsidRPr="006340F9">
        <w:t xml:space="preserve"> health complaints body. Only after that would RTAC agree to review a complaint about an ART unit.</w:t>
      </w:r>
      <w:r w:rsidRPr="006340F9">
        <w:rPr>
          <w:vertAlign w:val="superscript"/>
        </w:rPr>
        <w:footnoteReference w:id="112"/>
      </w:r>
    </w:p>
    <w:p w14:paraId="2A4C8463" w14:textId="48169109" w:rsidR="005C554F" w:rsidRPr="006340F9" w:rsidRDefault="00DF3112" w:rsidP="004706E9">
      <w:pPr>
        <w:pStyle w:val="Heading4"/>
      </w:pPr>
      <w:r w:rsidRPr="006340F9">
        <w:t>ART providers</w:t>
      </w:r>
      <w:r w:rsidR="00A21453" w:rsidRPr="006340F9">
        <w:t xml:space="preserve"> are the primary complaints avenue</w:t>
      </w:r>
    </w:p>
    <w:p w14:paraId="547F895A" w14:textId="054B9B7F" w:rsidR="005C554F" w:rsidRPr="006340F9" w:rsidRDefault="00BC3DC3" w:rsidP="00B7757E">
      <w:pPr>
        <w:pStyle w:val="Body"/>
      </w:pPr>
      <w:r w:rsidRPr="006340F9">
        <w:t>The</w:t>
      </w:r>
      <w:r w:rsidR="005C554F" w:rsidRPr="006340F9">
        <w:t xml:space="preserve"> Code of Practice</w:t>
      </w:r>
      <w:r w:rsidRPr="006340F9">
        <w:t xml:space="preserve"> requires </w:t>
      </w:r>
      <w:r w:rsidR="005C554F" w:rsidRPr="006340F9">
        <w:t>ART units to acknowledge and investigate complaints, and implement and review policies and procedures that include: information on how patients make a complaint, acknowledgement and investigation of complaints, and systematic recording, review and corrective/preventive action of complaints.</w:t>
      </w:r>
      <w:r w:rsidR="005C554F" w:rsidRPr="006340F9">
        <w:rPr>
          <w:vertAlign w:val="superscript"/>
        </w:rPr>
        <w:footnoteReference w:id="113"/>
      </w:r>
      <w:r w:rsidR="005C554F" w:rsidRPr="006340F9">
        <w:t xml:space="preserve"> ART units are also required to provide stakeholders with avenues that allow the escalation of complaints to external bodies.</w:t>
      </w:r>
      <w:r w:rsidR="005C554F" w:rsidRPr="006340F9">
        <w:rPr>
          <w:vertAlign w:val="superscript"/>
        </w:rPr>
        <w:footnoteReference w:id="114"/>
      </w:r>
      <w:r w:rsidR="005C554F" w:rsidRPr="006340F9">
        <w:rPr>
          <w:vertAlign w:val="superscript"/>
        </w:rPr>
        <w:t xml:space="preserve"> </w:t>
      </w:r>
      <w:r w:rsidR="005C554F" w:rsidRPr="006340F9">
        <w:t>Any correspondence relating to complaints about the ART unit must be provided to the certifying body as part of the audit process.</w:t>
      </w:r>
      <w:r w:rsidR="005C554F" w:rsidRPr="006340F9">
        <w:rPr>
          <w:vertAlign w:val="superscript"/>
        </w:rPr>
        <w:footnoteReference w:id="115"/>
      </w:r>
      <w:r w:rsidR="005C554F" w:rsidRPr="006340F9">
        <w:rPr>
          <w:vertAlign w:val="superscript"/>
        </w:rPr>
        <w:t xml:space="preserve"> </w:t>
      </w:r>
      <w:r w:rsidR="005C554F" w:rsidRPr="006340F9">
        <w:rPr>
          <w:highlight w:val="yellow"/>
          <w:vertAlign w:val="superscript"/>
        </w:rPr>
        <w:t xml:space="preserve"> </w:t>
      </w:r>
    </w:p>
    <w:p w14:paraId="3BC53529" w14:textId="407782E3" w:rsidR="005C554F" w:rsidRPr="006340F9" w:rsidRDefault="00CD3D31" w:rsidP="004706E9">
      <w:pPr>
        <w:pStyle w:val="Heading4"/>
      </w:pPr>
      <w:r w:rsidRPr="006340F9">
        <w:t>Jurisdictional</w:t>
      </w:r>
      <w:r w:rsidR="005C554F" w:rsidRPr="006340F9">
        <w:t xml:space="preserve"> health complaints bodies (or equivalent)</w:t>
      </w:r>
      <w:r w:rsidR="00F34BE7" w:rsidRPr="006340F9">
        <w:t xml:space="preserve"> </w:t>
      </w:r>
      <w:r w:rsidR="001A5992" w:rsidRPr="006340F9">
        <w:t>are typically the secondary complaints avenue</w:t>
      </w:r>
    </w:p>
    <w:p w14:paraId="17953C37" w14:textId="5C614E42" w:rsidR="005C554F" w:rsidRPr="006340F9" w:rsidRDefault="005C554F" w:rsidP="6149C81C">
      <w:pPr>
        <w:pStyle w:val="Body"/>
        <w:rPr>
          <w:highlight w:val="cyan"/>
        </w:rPr>
      </w:pPr>
      <w:r w:rsidRPr="006340F9">
        <w:t xml:space="preserve">Consumers may make a complaint to the relevant </w:t>
      </w:r>
      <w:r w:rsidR="00CD3D31" w:rsidRPr="006340F9">
        <w:t>jurisdictional</w:t>
      </w:r>
      <w:r w:rsidRPr="006340F9">
        <w:t xml:space="preserve"> health complaints body about the conduct of both individual ART practitioners and ART providers.</w:t>
      </w:r>
      <w:r w:rsidRPr="006340F9">
        <w:rPr>
          <w:rStyle w:val="FootnoteReference"/>
          <w:rFonts w:cs="Arial"/>
        </w:rPr>
        <w:footnoteReference w:id="116"/>
      </w:r>
      <w:r w:rsidRPr="006340F9">
        <w:t xml:space="preserve"> Typically, these bodies will require the consumer to have approached their care provider first, only agreeing to handle the complaint if direct engagement did not resolve the matter. RTAC may also refer complaints to </w:t>
      </w:r>
      <w:r w:rsidR="00630A83" w:rsidRPr="006340F9">
        <w:t xml:space="preserve">a </w:t>
      </w:r>
      <w:r w:rsidRPr="006340F9">
        <w:t xml:space="preserve">health complaints body. In response to </w:t>
      </w:r>
      <w:r w:rsidR="0021423A" w:rsidRPr="006340F9">
        <w:t xml:space="preserve">a </w:t>
      </w:r>
      <w:r w:rsidRPr="006340F9">
        <w:t>complaint, the relevant body may conduct an assessment, investigation, mediation</w:t>
      </w:r>
      <w:r w:rsidR="003235D0" w:rsidRPr="006340F9">
        <w:t>,</w:t>
      </w:r>
      <w:r w:rsidRPr="006340F9">
        <w:t xml:space="preserve"> or regulatory action.</w:t>
      </w:r>
      <w:r w:rsidRPr="006340F9">
        <w:rPr>
          <w:rStyle w:val="FootnoteReference"/>
        </w:rPr>
        <w:footnoteReference w:id="117"/>
      </w:r>
      <w:r w:rsidRPr="006340F9">
        <w:t xml:space="preserve"> Recourse options vary between jurisdictions and include assessment, investigation, conciliation and complaints resolution, referral to </w:t>
      </w:r>
      <w:proofErr w:type="spellStart"/>
      <w:r w:rsidRPr="006340F9">
        <w:t>Ahpra</w:t>
      </w:r>
      <w:proofErr w:type="spellEnd"/>
      <w:r w:rsidRPr="006340F9">
        <w:t xml:space="preserve"> or any other appropriate state or Commonwealth body, and system reviews.</w:t>
      </w:r>
    </w:p>
    <w:p w14:paraId="5333C70C" w14:textId="69F0D0C9" w:rsidR="005C554F" w:rsidRPr="006340F9" w:rsidRDefault="005C554F" w:rsidP="00B7757E">
      <w:pPr>
        <w:pStyle w:val="Body"/>
      </w:pPr>
      <w:r w:rsidRPr="006340F9">
        <w:t>Complaints relating to ART providers are not tracked and reported publicly in any jurisdiction</w:t>
      </w:r>
      <w:r w:rsidR="003235D0" w:rsidRPr="006340F9">
        <w:t>.</w:t>
      </w:r>
      <w:r w:rsidRPr="006340F9">
        <w:t xml:space="preserve"> </w:t>
      </w:r>
      <w:r w:rsidR="003235D0" w:rsidRPr="006340F9">
        <w:t>M</w:t>
      </w:r>
      <w:r w:rsidRPr="006340F9">
        <w:t xml:space="preserve">ost jurisdictions </w:t>
      </w:r>
      <w:r w:rsidR="00D90990" w:rsidRPr="006340F9">
        <w:t xml:space="preserve">are </w:t>
      </w:r>
      <w:r w:rsidRPr="006340F9">
        <w:t xml:space="preserve">unable to advise the number of complaints </w:t>
      </w:r>
      <w:r w:rsidR="00DC7015" w:rsidRPr="006340F9">
        <w:t xml:space="preserve">about ART providers or </w:t>
      </w:r>
      <w:r w:rsidR="00DC7015" w:rsidRPr="006340F9">
        <w:lastRenderedPageBreak/>
        <w:t xml:space="preserve">practitioners </w:t>
      </w:r>
      <w:r w:rsidRPr="006340F9">
        <w:t>lodged over the past 10 years.</w:t>
      </w:r>
      <w:r w:rsidRPr="006340F9">
        <w:rPr>
          <w:rStyle w:val="FootnoteReference"/>
        </w:rPr>
        <w:footnoteReference w:id="118"/>
      </w:r>
      <w:r w:rsidRPr="006340F9">
        <w:rPr>
          <w:vertAlign w:val="superscript"/>
        </w:rPr>
        <w:t xml:space="preserve"> </w:t>
      </w:r>
      <w:r w:rsidRPr="006340F9">
        <w:t xml:space="preserve">Jurisdictional advice indicates that complaints information is not routinely shared between health complaints bodies and relevant </w:t>
      </w:r>
      <w:r w:rsidR="001855DB" w:rsidRPr="006340F9">
        <w:t xml:space="preserve">state </w:t>
      </w:r>
      <w:r w:rsidR="0045555F" w:rsidRPr="006340F9">
        <w:t>or</w:t>
      </w:r>
      <w:r w:rsidR="001855DB" w:rsidRPr="006340F9">
        <w:t xml:space="preserve"> territory </w:t>
      </w:r>
      <w:r w:rsidRPr="006340F9">
        <w:t>regulatory authorities</w:t>
      </w:r>
      <w:r w:rsidR="001E37BB" w:rsidRPr="006340F9">
        <w:t xml:space="preserve">. </w:t>
      </w:r>
      <w:r w:rsidRPr="006340F9">
        <w:t xml:space="preserve">Further, none of the health complaints bodies </w:t>
      </w:r>
      <w:r w:rsidR="00AE37E9" w:rsidRPr="006340F9">
        <w:t xml:space="preserve">reported </w:t>
      </w:r>
      <w:r w:rsidRPr="006340F9">
        <w:t>hav</w:t>
      </w:r>
      <w:r w:rsidR="00AE37E9" w:rsidRPr="006340F9">
        <w:t>ing</w:t>
      </w:r>
      <w:r w:rsidRPr="006340F9">
        <w:t xml:space="preserve"> a formal relationship with RTAC, with privacy </w:t>
      </w:r>
      <w:r w:rsidR="00A56640" w:rsidRPr="006340F9">
        <w:t xml:space="preserve">identified as </w:t>
      </w:r>
      <w:r w:rsidRPr="006340F9">
        <w:t xml:space="preserve">a potential barrier to information sharing. The health complaints bodies consulted as part of </w:t>
      </w:r>
      <w:r w:rsidR="003B74B8" w:rsidRPr="006340F9">
        <w:t>our</w:t>
      </w:r>
      <w:r w:rsidRPr="006340F9">
        <w:t xml:space="preserve"> review also advised that key themes in ART sector complaints have been issues with communication, fees and charges. </w:t>
      </w:r>
    </w:p>
    <w:p w14:paraId="0467F2A0" w14:textId="2B89C569" w:rsidR="005C554F" w:rsidRPr="006340F9" w:rsidRDefault="005C554F" w:rsidP="004706E9">
      <w:pPr>
        <w:pStyle w:val="Heading4"/>
      </w:pPr>
      <w:r w:rsidRPr="006340F9">
        <w:t>RTAC</w:t>
      </w:r>
      <w:r w:rsidR="0018426B" w:rsidRPr="006340F9">
        <w:t xml:space="preserve"> handles complaints where a</w:t>
      </w:r>
      <w:r w:rsidR="00123E4E" w:rsidRPr="006340F9">
        <w:t>n ART unit may have breached the Code of Practice</w:t>
      </w:r>
    </w:p>
    <w:p w14:paraId="22D3A0BE" w14:textId="09AA6D81" w:rsidR="005C554F" w:rsidRPr="006340F9" w:rsidRDefault="005C554F" w:rsidP="00B7757E">
      <w:pPr>
        <w:pStyle w:val="Body"/>
      </w:pPr>
      <w:r w:rsidRPr="006340F9">
        <w:t>Following review of a complaint by the ART provider and the health complaints body, a consumer may lodge a complaint directly with RTAC if they believe an ART unit has breached the Code of Practice.</w:t>
      </w:r>
      <w:r w:rsidRPr="006340F9">
        <w:rPr>
          <w:vertAlign w:val="superscript"/>
        </w:rPr>
        <w:footnoteReference w:id="119"/>
      </w:r>
      <w:r w:rsidRPr="006340F9">
        <w:t xml:space="preserve"> </w:t>
      </w:r>
      <w:r w:rsidR="0079648D" w:rsidRPr="006340F9">
        <w:t>T</w:t>
      </w:r>
      <w:r w:rsidRPr="006340F9">
        <w:t xml:space="preserve">he number of complaints </w:t>
      </w:r>
      <w:r w:rsidR="00B16B1C" w:rsidRPr="006340F9">
        <w:t xml:space="preserve">RTAC </w:t>
      </w:r>
      <w:r w:rsidR="00D61425" w:rsidRPr="006340F9">
        <w:t xml:space="preserve">has </w:t>
      </w:r>
      <w:r w:rsidRPr="006340F9">
        <w:t>received increased from six complaints in 2022</w:t>
      </w:r>
      <w:r w:rsidR="00B624E3" w:rsidRPr="006340F9">
        <w:t>–</w:t>
      </w:r>
      <w:r w:rsidRPr="006340F9">
        <w:t>23</w:t>
      </w:r>
      <w:r w:rsidRPr="006340F9">
        <w:rPr>
          <w:vertAlign w:val="superscript"/>
        </w:rPr>
        <w:footnoteReference w:id="120"/>
      </w:r>
      <w:r w:rsidRPr="006340F9">
        <w:t xml:space="preserve"> to 17 complaints in 2023</w:t>
      </w:r>
      <w:r w:rsidR="00B624E3" w:rsidRPr="006340F9">
        <w:t>–</w:t>
      </w:r>
      <w:r w:rsidRPr="006340F9">
        <w:t>24.</w:t>
      </w:r>
      <w:r w:rsidRPr="006340F9">
        <w:rPr>
          <w:vertAlign w:val="superscript"/>
        </w:rPr>
        <w:footnoteReference w:id="121"/>
      </w:r>
      <w:r w:rsidRPr="006340F9">
        <w:rPr>
          <w:vertAlign w:val="superscript"/>
        </w:rPr>
        <w:t xml:space="preserve"> </w:t>
      </w:r>
      <w:r w:rsidRPr="006340F9">
        <w:t xml:space="preserve">RTAC advises that it </w:t>
      </w:r>
      <w:r w:rsidR="00B31FD0" w:rsidRPr="006340F9">
        <w:t xml:space="preserve">is </w:t>
      </w:r>
      <w:r w:rsidRPr="006340F9">
        <w:t>develop</w:t>
      </w:r>
      <w:r w:rsidR="00B31FD0" w:rsidRPr="006340F9">
        <w:t>ing</w:t>
      </w:r>
      <w:r w:rsidRPr="006340F9">
        <w:t xml:space="preserve"> a complaints policy in response to the increasing number and complexity of complaints</w:t>
      </w:r>
      <w:r w:rsidR="00511AC2" w:rsidRPr="006340F9">
        <w:t>. This</w:t>
      </w:r>
      <w:r w:rsidRPr="006340F9" w:rsidDel="00B31FD0">
        <w:t xml:space="preserve"> </w:t>
      </w:r>
      <w:r w:rsidRPr="006340F9">
        <w:t xml:space="preserve">is currently under refinement. </w:t>
      </w:r>
    </w:p>
    <w:p w14:paraId="2BCA70D7" w14:textId="60D115D2" w:rsidR="005C554F" w:rsidRPr="006340F9" w:rsidRDefault="005C554F" w:rsidP="004706E9">
      <w:pPr>
        <w:pStyle w:val="Heading4"/>
      </w:pPr>
      <w:r w:rsidRPr="006340F9">
        <w:t>Health departments and health ministers’ offices</w:t>
      </w:r>
      <w:r w:rsidR="00123E4E" w:rsidRPr="006340F9">
        <w:t xml:space="preserve"> </w:t>
      </w:r>
      <w:r w:rsidR="00A21453" w:rsidRPr="006340F9">
        <w:t>may handle complaints in some jurisdictions</w:t>
      </w:r>
    </w:p>
    <w:p w14:paraId="1057BD74" w14:textId="15B53783" w:rsidR="005C554F" w:rsidRPr="006340F9" w:rsidRDefault="005C554F" w:rsidP="00B7757E">
      <w:pPr>
        <w:pStyle w:val="Body"/>
      </w:pPr>
      <w:r w:rsidRPr="006340F9">
        <w:t xml:space="preserve">While not a primary complaints avenue, jurisdictions advise that consumers </w:t>
      </w:r>
      <w:r w:rsidR="00F2743A" w:rsidRPr="006340F9">
        <w:t>in New South Wales, Queensland, South Australia, Tasmania</w:t>
      </w:r>
      <w:r w:rsidR="00240837" w:rsidRPr="006340F9">
        <w:t>,</w:t>
      </w:r>
      <w:r w:rsidR="00F2743A" w:rsidRPr="006340F9">
        <w:t xml:space="preserve"> and Western Australia </w:t>
      </w:r>
      <w:r w:rsidRPr="006340F9">
        <w:t xml:space="preserve">may direct their complaint about alleged breaches of ART regulatory requirements to health departments and/or ministers. In turn, these health departments may investigate complaints about ART services as the relevant regulatory authority under state legislation. </w:t>
      </w:r>
      <w:r w:rsidR="00D66F53" w:rsidRPr="006340F9">
        <w:rPr>
          <w:bCs/>
        </w:rPr>
        <w:t>State and Territory</w:t>
      </w:r>
      <w:r w:rsidR="00EF7D93" w:rsidRPr="006340F9">
        <w:t xml:space="preserve"> r</w:t>
      </w:r>
      <w:r w:rsidRPr="006340F9">
        <w:t>egulatory authorities may rely on investigation and enforcement powers to respond to a complaint.</w:t>
      </w:r>
      <w:r w:rsidRPr="006340F9">
        <w:rPr>
          <w:vertAlign w:val="superscript"/>
        </w:rPr>
        <w:footnoteReference w:id="122"/>
      </w:r>
      <w:r w:rsidRPr="006340F9">
        <w:rPr>
          <w:vertAlign w:val="superscript"/>
        </w:rPr>
        <w:t xml:space="preserve"> </w:t>
      </w:r>
      <w:r w:rsidRPr="006340F9">
        <w:t xml:space="preserve">  </w:t>
      </w:r>
    </w:p>
    <w:p w14:paraId="110BBA59" w14:textId="54ADAF4E" w:rsidR="005C554F" w:rsidRPr="006340F9" w:rsidRDefault="005C554F" w:rsidP="004706E9">
      <w:pPr>
        <w:pStyle w:val="Heading4"/>
      </w:pPr>
      <w:proofErr w:type="spellStart"/>
      <w:r w:rsidRPr="006340F9">
        <w:t>Ahpra</w:t>
      </w:r>
      <w:proofErr w:type="spellEnd"/>
      <w:r w:rsidR="003B2E0A" w:rsidRPr="006340F9">
        <w:t xml:space="preserve"> </w:t>
      </w:r>
      <w:r w:rsidR="0018426B" w:rsidRPr="006340F9">
        <w:t>handles complaints about registered health professionals</w:t>
      </w:r>
    </w:p>
    <w:p w14:paraId="09F8AC72" w14:textId="50D4419C" w:rsidR="005C554F" w:rsidRPr="006340F9" w:rsidRDefault="005C554F" w:rsidP="00B7757E">
      <w:pPr>
        <w:pStyle w:val="Body"/>
      </w:pPr>
      <w:proofErr w:type="spellStart"/>
      <w:r w:rsidRPr="006340F9">
        <w:t>Ahpra</w:t>
      </w:r>
      <w:proofErr w:type="spellEnd"/>
      <w:r w:rsidRPr="006340F9">
        <w:t xml:space="preserve"> accepts a wide range of notifications (complaints) about individual registered health practitioners, primarily focused on public safety and professional conduct. These may be initiated by consumers, ART providers, other ART professionals</w:t>
      </w:r>
      <w:r w:rsidR="00E1477A" w:rsidRPr="006340F9">
        <w:t xml:space="preserve"> or</w:t>
      </w:r>
      <w:r w:rsidRPr="006340F9">
        <w:t xml:space="preserve"> </w:t>
      </w:r>
      <w:r w:rsidR="00D66F53" w:rsidRPr="006340F9">
        <w:rPr>
          <w:bCs/>
        </w:rPr>
        <w:t>State and Territory</w:t>
      </w:r>
      <w:r w:rsidR="00D66F53" w:rsidRPr="006340F9" w:rsidDel="00D66F53">
        <w:t xml:space="preserve"> </w:t>
      </w:r>
      <w:r w:rsidRPr="006340F9">
        <w:t xml:space="preserve">regulatory </w:t>
      </w:r>
      <w:r w:rsidR="00460803" w:rsidRPr="006340F9">
        <w:t xml:space="preserve">authorities </w:t>
      </w:r>
      <w:r w:rsidRPr="006340F9">
        <w:t xml:space="preserve">or </w:t>
      </w:r>
      <w:r w:rsidR="00E65A3E" w:rsidRPr="006340F9">
        <w:t xml:space="preserve">health </w:t>
      </w:r>
      <w:r w:rsidRPr="006340F9">
        <w:t xml:space="preserve">complaints bodies. However, </w:t>
      </w:r>
      <w:proofErr w:type="spellStart"/>
      <w:r w:rsidRPr="006340F9">
        <w:t>Ahpra</w:t>
      </w:r>
      <w:proofErr w:type="spellEnd"/>
      <w:r w:rsidRPr="006340F9">
        <w:t xml:space="preserve"> does not handle complaints about health services</w:t>
      </w:r>
      <w:r w:rsidR="002340C9" w:rsidRPr="006340F9">
        <w:t>,</w:t>
      </w:r>
      <w:r w:rsidRPr="006340F9" w:rsidDel="002340C9">
        <w:t xml:space="preserve"> </w:t>
      </w:r>
      <w:r w:rsidRPr="006340F9">
        <w:t>organisations</w:t>
      </w:r>
      <w:r w:rsidR="005F2642" w:rsidRPr="006340F9">
        <w:t>,</w:t>
      </w:r>
      <w:r w:rsidR="002340C9" w:rsidRPr="006340F9">
        <w:t xml:space="preserve"> or</w:t>
      </w:r>
      <w:r w:rsidR="005F2642" w:rsidRPr="006340F9">
        <w:t xml:space="preserve"> </w:t>
      </w:r>
      <w:r w:rsidRPr="006340F9">
        <w:t xml:space="preserve">professions not regulated by </w:t>
      </w:r>
      <w:proofErr w:type="spellStart"/>
      <w:r w:rsidRPr="006340F9">
        <w:t>Ahpra</w:t>
      </w:r>
      <w:proofErr w:type="spellEnd"/>
      <w:r w:rsidRPr="006340F9">
        <w:t xml:space="preserve"> (e.g. embryologists, social workers), fees, charges, or dissatisfaction with service quality. </w:t>
      </w:r>
      <w:proofErr w:type="spellStart"/>
      <w:r w:rsidRPr="006340F9">
        <w:t>Ahpra</w:t>
      </w:r>
      <w:proofErr w:type="spellEnd"/>
      <w:r w:rsidRPr="006340F9">
        <w:t xml:space="preserve"> has extensive powers to investigate registered health practitioner conduct under the Health </w:t>
      </w:r>
      <w:r w:rsidRPr="006340F9">
        <w:lastRenderedPageBreak/>
        <w:t>Practitioner Regulation National Law.</w:t>
      </w:r>
      <w:r w:rsidR="006A4D7D" w:rsidRPr="006340F9">
        <w:t xml:space="preserve"> </w:t>
      </w:r>
      <w:proofErr w:type="spellStart"/>
      <w:r w:rsidRPr="006340F9">
        <w:t>Ahpra</w:t>
      </w:r>
      <w:proofErr w:type="spellEnd"/>
      <w:r w:rsidRPr="006340F9">
        <w:t xml:space="preserve"> advised that it does not receive many complaints regarding ART practitioners.  </w:t>
      </w:r>
    </w:p>
    <w:p w14:paraId="23FC492A" w14:textId="554EB35B" w:rsidR="005C554F" w:rsidRPr="006340F9" w:rsidRDefault="005C554F" w:rsidP="004706E9">
      <w:pPr>
        <w:pStyle w:val="Heading4"/>
      </w:pPr>
      <w:r w:rsidRPr="006340F9">
        <w:t>Other</w:t>
      </w:r>
      <w:r w:rsidR="003B2E0A" w:rsidRPr="006340F9">
        <w:t xml:space="preserve"> complaints avenues</w:t>
      </w:r>
    </w:p>
    <w:p w14:paraId="2FE3F0A5" w14:textId="00C8F531" w:rsidR="008701B0" w:rsidRPr="006340F9" w:rsidRDefault="005C554F" w:rsidP="00B7757E">
      <w:pPr>
        <w:pStyle w:val="Body"/>
      </w:pPr>
      <w:r w:rsidRPr="006340F9">
        <w:t xml:space="preserve">Under Australian Consumer Law, ART providers are required to comply with obligations around guarantees of service quality, </w:t>
      </w:r>
      <w:r w:rsidR="0018434B" w:rsidRPr="006340F9">
        <w:t>prohibition of misleading or deceptive conduct</w:t>
      </w:r>
      <w:r w:rsidRPr="006340F9">
        <w:t>, and contracts and refunds.</w:t>
      </w:r>
      <w:r w:rsidRPr="006340F9">
        <w:rPr>
          <w:vertAlign w:val="superscript"/>
        </w:rPr>
        <w:footnoteReference w:id="123"/>
      </w:r>
      <w:r w:rsidRPr="006340F9">
        <w:rPr>
          <w:vertAlign w:val="superscript"/>
        </w:rPr>
        <w:t xml:space="preserve"> </w:t>
      </w:r>
      <w:r w:rsidRPr="006340F9">
        <w:t>Consumers can file a complaint with their jurisdictional consumer protection agency if they believe an ART provider has breached its statutory guarantees, such as failing to provide the service with due care and skill, or providing gametes that are not fit for purpose.</w:t>
      </w:r>
      <w:r w:rsidRPr="006340F9">
        <w:rPr>
          <w:vertAlign w:val="superscript"/>
        </w:rPr>
        <w:footnoteReference w:id="124"/>
      </w:r>
      <w:r w:rsidRPr="006340F9">
        <w:t xml:space="preserve"> Additionally, the Therapeutic Goods Association</w:t>
      </w:r>
      <w:r w:rsidRPr="006340F9">
        <w:rPr>
          <w:bCs/>
        </w:rPr>
        <w:t xml:space="preserve"> can investigate complaints about misleading or inappropriate advertising of therapeutic goods directed at consumers (including false or exaggerated health claims).</w:t>
      </w:r>
      <w:r w:rsidRPr="006340F9">
        <w:rPr>
          <w:bCs/>
          <w:vertAlign w:val="superscript"/>
        </w:rPr>
        <w:footnoteReference w:id="125"/>
      </w:r>
      <w:r w:rsidRPr="006340F9">
        <w:rPr>
          <w:bCs/>
        </w:rPr>
        <w:t xml:space="preserve"> The </w:t>
      </w:r>
      <w:r w:rsidRPr="006340F9">
        <w:t>Australian Competition and Consumer Commission</w:t>
      </w:r>
      <w:r w:rsidRPr="006340F9">
        <w:rPr>
          <w:bCs/>
        </w:rPr>
        <w:t xml:space="preserve"> (ACCC) also takes</w:t>
      </w:r>
      <w:r w:rsidRPr="006340F9">
        <w:t xml:space="preserve"> reports from people about possible issues under consumer law about false or misleading claims, but does not resolve individual disputes about misleading claims.</w:t>
      </w:r>
      <w:r w:rsidRPr="006340F9">
        <w:rPr>
          <w:vertAlign w:val="superscript"/>
        </w:rPr>
        <w:footnoteReference w:id="126"/>
      </w:r>
    </w:p>
    <w:p w14:paraId="720562BA" w14:textId="77777777" w:rsidR="008701B0" w:rsidRPr="006340F9" w:rsidRDefault="008701B0" w:rsidP="00062293">
      <w:pPr>
        <w:pStyle w:val="Body"/>
      </w:pPr>
    </w:p>
    <w:p w14:paraId="4EA14BE9" w14:textId="77777777" w:rsidR="00D2458B" w:rsidRPr="006340F9" w:rsidRDefault="00D2458B" w:rsidP="5EEA0A5C">
      <w:pPr>
        <w:pStyle w:val="Heading1"/>
        <w:numPr>
          <w:ilvl w:val="0"/>
          <w:numId w:val="0"/>
        </w:numPr>
        <w:ind w:left="432"/>
        <w:sectPr w:rsidR="00D2458B" w:rsidRPr="006340F9" w:rsidSect="00DC625A">
          <w:pgSz w:w="11906" w:h="16838" w:code="9"/>
          <w:pgMar w:top="1440" w:right="1440" w:bottom="1440" w:left="1440" w:header="720" w:footer="720" w:gutter="0"/>
          <w:cols w:space="720"/>
          <w:docGrid w:linePitch="360"/>
        </w:sectPr>
      </w:pPr>
    </w:p>
    <w:p w14:paraId="3E3D76FE" w14:textId="700CE649" w:rsidR="002C40DD" w:rsidRPr="006340F9" w:rsidRDefault="00E31C87" w:rsidP="002C40DD">
      <w:pPr>
        <w:pStyle w:val="Heading1"/>
      </w:pPr>
      <w:bookmarkStart w:id="101" w:name="_Ref207633499"/>
      <w:bookmarkStart w:id="102" w:name="_Ref207633508"/>
      <w:bookmarkStart w:id="103" w:name="_Ref207633540"/>
      <w:bookmarkStart w:id="104" w:name="_Ref207633549"/>
      <w:bookmarkStart w:id="105" w:name="_Toc207976235"/>
      <w:bookmarkStart w:id="106" w:name="_Toc209441988"/>
      <w:r w:rsidRPr="006340F9">
        <w:lastRenderedPageBreak/>
        <w:t xml:space="preserve">Strengths and weaknesses of </w:t>
      </w:r>
      <w:r w:rsidR="00C06CA9" w:rsidRPr="006340F9">
        <w:t xml:space="preserve">current </w:t>
      </w:r>
      <w:r w:rsidR="0056570A" w:rsidRPr="006340F9">
        <w:t>ART accreditation and regulation</w:t>
      </w:r>
      <w:bookmarkEnd w:id="101"/>
      <w:bookmarkEnd w:id="102"/>
      <w:bookmarkEnd w:id="103"/>
      <w:bookmarkEnd w:id="104"/>
      <w:bookmarkEnd w:id="105"/>
      <w:bookmarkEnd w:id="106"/>
      <w:r w:rsidR="002C40DD" w:rsidRPr="006340F9">
        <w:t xml:space="preserve"> </w:t>
      </w:r>
    </w:p>
    <w:p w14:paraId="3589E4B5" w14:textId="33C646F1" w:rsidR="00C3124C" w:rsidRPr="006340F9" w:rsidRDefault="00C3124C" w:rsidP="00C3124C">
      <w:pPr>
        <w:pStyle w:val="Body"/>
      </w:pPr>
      <w:bookmarkStart w:id="107" w:name="_Toc66711981"/>
      <w:r w:rsidRPr="006340F9">
        <w:t xml:space="preserve">In this chapter we describe </w:t>
      </w:r>
      <w:r w:rsidR="00993A22" w:rsidRPr="006340F9">
        <w:t xml:space="preserve">our assessment of </w:t>
      </w:r>
      <w:r w:rsidRPr="006340F9">
        <w:t xml:space="preserve">the strengths and weaknesses of the current </w:t>
      </w:r>
      <w:r w:rsidR="00CA0576" w:rsidRPr="006340F9">
        <w:t>ART</w:t>
      </w:r>
      <w:r w:rsidRPr="006340F9">
        <w:t xml:space="preserve"> accreditation and regulatory landscape. We have used the strengths and weaknesses that we have identified to inform the opportunities for improvement proposed in </w:t>
      </w:r>
      <w:r w:rsidR="002F7CFD" w:rsidRPr="006340F9">
        <w:t>c</w:t>
      </w:r>
      <w:r w:rsidR="007D1F62" w:rsidRPr="006340F9">
        <w:t>hapter</w:t>
      </w:r>
      <w:r w:rsidRPr="006340F9">
        <w:t xml:space="preserve"> </w:t>
      </w:r>
      <w:r w:rsidR="007D1F62" w:rsidRPr="006340F9">
        <w:fldChar w:fldCharType="begin"/>
      </w:r>
      <w:r w:rsidR="007D1F62" w:rsidRPr="006340F9">
        <w:instrText xml:space="preserve"> REF _Ref207633280 \r \h </w:instrText>
      </w:r>
      <w:r w:rsidR="00EE080D" w:rsidRPr="006340F9">
        <w:instrText xml:space="preserve"> \* MERGEFORMAT </w:instrText>
      </w:r>
      <w:r w:rsidR="007D1F62" w:rsidRPr="006340F9">
        <w:fldChar w:fldCharType="separate"/>
      </w:r>
      <w:r w:rsidR="007D732A">
        <w:t>5</w:t>
      </w:r>
      <w:r w:rsidR="007D1F62" w:rsidRPr="006340F9">
        <w:fldChar w:fldCharType="end"/>
      </w:r>
      <w:r w:rsidR="007D1F62" w:rsidRPr="006340F9">
        <w:t>.</w:t>
      </w:r>
    </w:p>
    <w:p w14:paraId="0617C1E8" w14:textId="066B70A4" w:rsidR="00C3124C" w:rsidRPr="006340F9" w:rsidRDefault="00FE1D55" w:rsidP="0062093F">
      <w:pPr>
        <w:pStyle w:val="Heading2"/>
      </w:pPr>
      <w:bookmarkStart w:id="108" w:name="_Toc207976236"/>
      <w:bookmarkStart w:id="109" w:name="_Ref209191016"/>
      <w:bookmarkStart w:id="110" w:name="_Toc209441989"/>
      <w:r w:rsidRPr="006340F9">
        <w:t>Market entry</w:t>
      </w:r>
      <w:r w:rsidR="00CD4F84" w:rsidRPr="006340F9">
        <w:t xml:space="preserve"> – accreditation</w:t>
      </w:r>
      <w:bookmarkEnd w:id="108"/>
      <w:bookmarkEnd w:id="109"/>
      <w:bookmarkEnd w:id="110"/>
    </w:p>
    <w:p w14:paraId="19CDABF1" w14:textId="7BCBF844" w:rsidR="0049499D" w:rsidRPr="006340F9" w:rsidRDefault="0049499D" w:rsidP="0049499D">
      <w:pPr>
        <w:pStyle w:val="Body"/>
      </w:pPr>
      <w:r w:rsidRPr="006340F9">
        <w:t xml:space="preserve">This section outlines the issues identified with </w:t>
      </w:r>
      <w:r w:rsidR="00F16AFE" w:rsidRPr="006340F9">
        <w:t>the RTAC</w:t>
      </w:r>
      <w:r w:rsidRPr="006340F9">
        <w:t xml:space="preserve"> </w:t>
      </w:r>
      <w:r w:rsidR="00641FAF" w:rsidRPr="006340F9">
        <w:t xml:space="preserve">accreditation </w:t>
      </w:r>
      <w:r w:rsidR="00F16AFE" w:rsidRPr="006340F9">
        <w:t>scheme</w:t>
      </w:r>
      <w:r w:rsidR="00E066F5" w:rsidRPr="006340F9">
        <w:t xml:space="preserve"> for new providers when they enter the ART market</w:t>
      </w:r>
      <w:r w:rsidR="00641FAF" w:rsidRPr="006340F9">
        <w:t>.</w:t>
      </w:r>
    </w:p>
    <w:p w14:paraId="258BABD2" w14:textId="231957E0" w:rsidR="0049499D" w:rsidRPr="006340F9" w:rsidRDefault="00166699" w:rsidP="004600B7">
      <w:pPr>
        <w:pStyle w:val="Heading3"/>
      </w:pPr>
      <w:bookmarkStart w:id="111" w:name="_Ref207711918"/>
      <w:r w:rsidRPr="006340F9">
        <w:t>The RTAC accreditation scheme no longer meets current needs</w:t>
      </w:r>
      <w:bookmarkEnd w:id="111"/>
    </w:p>
    <w:p w14:paraId="5ACDAA46" w14:textId="2E7A4F22" w:rsidR="00C3124C" w:rsidRPr="006340F9" w:rsidRDefault="00C3124C" w:rsidP="00166699">
      <w:pPr>
        <w:pStyle w:val="Body"/>
      </w:pPr>
      <w:r w:rsidRPr="006340F9">
        <w:t>This section outlines the issues identified with current accreditation processes, first as relevant to providers seeking a licence to operate (market entry)</w:t>
      </w:r>
      <w:r w:rsidR="0047532A" w:rsidRPr="006340F9">
        <w:t>.</w:t>
      </w:r>
    </w:p>
    <w:p w14:paraId="1F0A1FF1" w14:textId="7E47080F" w:rsidR="00C3124C" w:rsidRPr="006340F9" w:rsidRDefault="00C3124C" w:rsidP="004706E9">
      <w:pPr>
        <w:pStyle w:val="Heading4"/>
        <w:rPr>
          <w:b/>
          <w:bCs/>
        </w:rPr>
      </w:pPr>
      <w:r w:rsidRPr="006340F9">
        <w:t>RTAC is not independent of ART providers</w:t>
      </w:r>
    </w:p>
    <w:p w14:paraId="6278123A" w14:textId="7EC8AE97" w:rsidR="00C3124C" w:rsidRPr="006340F9" w:rsidRDefault="00C3124C" w:rsidP="00C3124C">
      <w:pPr>
        <w:pStyle w:val="Body"/>
      </w:pPr>
      <w:r w:rsidRPr="006340F9">
        <w:t xml:space="preserve">As described in </w:t>
      </w:r>
      <w:r w:rsidR="002F7CFD" w:rsidRPr="006340F9">
        <w:t>c</w:t>
      </w:r>
      <w:r w:rsidRPr="006340F9">
        <w:t xml:space="preserve">hapter </w:t>
      </w:r>
      <w:r w:rsidR="002F7CFD" w:rsidRPr="006340F9">
        <w:fldChar w:fldCharType="begin"/>
      </w:r>
      <w:r w:rsidR="002F7CFD" w:rsidRPr="006340F9">
        <w:instrText xml:space="preserve"> REF _Ref207633707 \r \h </w:instrText>
      </w:r>
      <w:r w:rsidR="00EE080D" w:rsidRPr="006340F9">
        <w:instrText xml:space="preserve"> \* MERGEFORMAT </w:instrText>
      </w:r>
      <w:r w:rsidR="002F7CFD" w:rsidRPr="006340F9">
        <w:fldChar w:fldCharType="separate"/>
      </w:r>
      <w:r w:rsidR="007D732A">
        <w:t>2</w:t>
      </w:r>
      <w:r w:rsidR="002F7CFD" w:rsidRPr="006340F9">
        <w:fldChar w:fldCharType="end"/>
      </w:r>
      <w:r w:rsidRPr="006340F9">
        <w:t>, RTAC was first established by FSA (now FSANZ) in 1987 with the intent of establishing and maintaining clinical care standards in ART. This was a laudable initiative, recognising both the need for care standards and the absence of any other authority focussed on developing and overseeing standards</w:t>
      </w:r>
      <w:r w:rsidR="00617097" w:rsidRPr="006340F9">
        <w:t xml:space="preserve"> for advanced infertility care. Indeed, in many ways, FSA’s initiative to establish </w:t>
      </w:r>
      <w:r w:rsidR="00B169DE" w:rsidRPr="006340F9">
        <w:t xml:space="preserve">and empower </w:t>
      </w:r>
      <w:r w:rsidR="00617097" w:rsidRPr="006340F9">
        <w:t xml:space="preserve">RTAC was significantly ahead of </w:t>
      </w:r>
      <w:r w:rsidR="00B169DE" w:rsidRPr="006340F9">
        <w:t>health care regulation more broadly</w:t>
      </w:r>
      <w:r w:rsidRPr="006340F9">
        <w:t>. However, nearly four decades on</w:t>
      </w:r>
      <w:r w:rsidR="00041C7B" w:rsidRPr="006340F9">
        <w:t>,</w:t>
      </w:r>
      <w:r w:rsidRPr="006340F9" w:rsidDel="00531B8D">
        <w:t xml:space="preserve"> </w:t>
      </w:r>
      <w:r w:rsidRPr="006340F9">
        <w:t>that RTAC remains a committee of FSANZ</w:t>
      </w:r>
      <w:r w:rsidR="00B169DE" w:rsidRPr="006340F9">
        <w:t xml:space="preserve">, subordinate to the </w:t>
      </w:r>
      <w:r w:rsidR="68D1E40A" w:rsidRPr="006340F9">
        <w:t xml:space="preserve">FSANZ </w:t>
      </w:r>
      <w:r w:rsidR="00B169DE" w:rsidRPr="006340F9">
        <w:t>board</w:t>
      </w:r>
      <w:r w:rsidR="00531B8D" w:rsidRPr="006340F9">
        <w:t xml:space="preserve"> with a Chair appointed by the FSANZ boar</w:t>
      </w:r>
      <w:r w:rsidR="000525F4" w:rsidRPr="006340F9">
        <w:t>d,</w:t>
      </w:r>
      <w:r w:rsidRPr="006340F9">
        <w:t xml:space="preserve"> means that it is unable to provide the independence that is the hallmark of </w:t>
      </w:r>
      <w:r w:rsidR="000525F4" w:rsidRPr="006340F9">
        <w:t xml:space="preserve">contemporary </w:t>
      </w:r>
      <w:r w:rsidRPr="006340F9">
        <w:t>accreditation processes elsewhere in health</w:t>
      </w:r>
      <w:r w:rsidR="00E1142F" w:rsidRPr="006340F9">
        <w:t xml:space="preserve"> </w:t>
      </w:r>
      <w:r w:rsidRPr="006340F9">
        <w:t>care, whether in public and private settings. This lack of independence has been identified as a key concern for all stakeholders. The majority of provider, workforce</w:t>
      </w:r>
      <w:r w:rsidR="000525F4" w:rsidRPr="006340F9">
        <w:t>,</w:t>
      </w:r>
      <w:r w:rsidRPr="006340F9">
        <w:t xml:space="preserve"> and consumer stakeholders suggested that the accreditation agency should be independent of FSANZ. This is echoed by Recommendation 7 of the FSANZ-sponsored </w:t>
      </w:r>
      <w:r w:rsidR="00F3516E" w:rsidRPr="006340F9">
        <w:t xml:space="preserve">Framework for an </w:t>
      </w:r>
      <w:r w:rsidR="00397FB5" w:rsidRPr="006340F9">
        <w:t xml:space="preserve">Australian 10-Year Fertility </w:t>
      </w:r>
      <w:r w:rsidRPr="006340F9" w:rsidDel="00397FB5">
        <w:t>Roadmap</w:t>
      </w:r>
      <w:r w:rsidRPr="006340F9">
        <w:t>, published in November 2024</w:t>
      </w:r>
      <w:r w:rsidR="00C2612C" w:rsidRPr="006340F9">
        <w:t>,</w:t>
      </w:r>
      <w:r w:rsidRPr="006340F9">
        <w:rPr>
          <w:rStyle w:val="FootnoteReference"/>
        </w:rPr>
        <w:footnoteReference w:id="127"/>
      </w:r>
      <w:r w:rsidR="00C2612C" w:rsidRPr="006340F9">
        <w:t xml:space="preserve"> </w:t>
      </w:r>
      <w:r w:rsidRPr="006340F9">
        <w:t>that called for:</w:t>
      </w:r>
    </w:p>
    <w:p w14:paraId="33602552" w14:textId="220EA8CE" w:rsidR="00C3124C" w:rsidRPr="006340F9" w:rsidRDefault="00C3124C" w:rsidP="009A1F9D">
      <w:pPr>
        <w:pStyle w:val="Body"/>
        <w:ind w:left="567" w:right="567"/>
        <w:rPr>
          <w:i/>
          <w:iCs/>
        </w:rPr>
      </w:pPr>
      <w:r w:rsidRPr="006340F9">
        <w:rPr>
          <w:i/>
          <w:iCs/>
        </w:rPr>
        <w:t xml:space="preserve">“RTAC </w:t>
      </w:r>
      <w:r w:rsidR="00F83206" w:rsidRPr="006340F9">
        <w:rPr>
          <w:i/>
          <w:iCs/>
        </w:rPr>
        <w:t xml:space="preserve">[to] </w:t>
      </w:r>
      <w:r w:rsidRPr="006340F9">
        <w:rPr>
          <w:i/>
          <w:iCs/>
        </w:rPr>
        <w:t>be established as a body independent of FSANZ with its own independent constitution, funding and Board”.</w:t>
      </w:r>
    </w:p>
    <w:p w14:paraId="0A8483FF" w14:textId="6A163C0A" w:rsidR="00C3124C" w:rsidRPr="006340F9" w:rsidRDefault="00C3124C" w:rsidP="00C3124C">
      <w:pPr>
        <w:pStyle w:val="Body"/>
      </w:pPr>
      <w:r w:rsidRPr="006340F9">
        <w:t>We found that the lack of independence of RTAC was not merely one of perception but that its actions, or more precisely its lack of actions, have been materially tempered by its close relationship with providers. Indeed, the Gorton Review</w:t>
      </w:r>
      <w:r w:rsidR="00740909" w:rsidRPr="006340F9">
        <w:rPr>
          <w:rStyle w:val="FootnoteReference"/>
        </w:rPr>
        <w:footnoteReference w:id="128"/>
      </w:r>
      <w:r w:rsidRPr="006340F9">
        <w:t xml:space="preserve"> and the </w:t>
      </w:r>
      <w:r w:rsidR="00D565B2" w:rsidRPr="006340F9">
        <w:t xml:space="preserve">2024 </w:t>
      </w:r>
      <w:r w:rsidRPr="006340F9">
        <w:t xml:space="preserve">investigation into </w:t>
      </w:r>
      <w:r w:rsidRPr="006340F9">
        <w:lastRenderedPageBreak/>
        <w:t>Queensland ART providers</w:t>
      </w:r>
      <w:r w:rsidR="009129E1" w:rsidRPr="006340F9">
        <w:rPr>
          <w:rStyle w:val="FootnoteReference"/>
        </w:rPr>
        <w:footnoteReference w:id="129"/>
      </w:r>
      <w:r w:rsidRPr="006340F9">
        <w:t xml:space="preserve"> both raised concerns about the lack of an independent accreditation agency and the need for an independent and impartial authority </w:t>
      </w:r>
      <w:r w:rsidR="001B4462" w:rsidRPr="006340F9">
        <w:t>to</w:t>
      </w:r>
      <w:r w:rsidRPr="006340F9">
        <w:t xml:space="preserve"> build public confidence in the ART sector.</w:t>
      </w:r>
      <w:r w:rsidRPr="006340F9">
        <w:rPr>
          <w:rStyle w:val="FootnoteReference"/>
        </w:rPr>
        <w:footnoteReference w:id="130"/>
      </w:r>
      <w:r w:rsidRPr="006340F9">
        <w:rPr>
          <w:rStyle w:val="FootnoteReference"/>
        </w:rPr>
        <w:t xml:space="preserve"> </w:t>
      </w:r>
    </w:p>
    <w:p w14:paraId="61B7488E" w14:textId="042F2756" w:rsidR="00C3124C" w:rsidRPr="006340F9" w:rsidRDefault="00C3124C" w:rsidP="00C3124C">
      <w:pPr>
        <w:pStyle w:val="Body"/>
      </w:pPr>
      <w:r w:rsidRPr="006340F9">
        <w:t xml:space="preserve">The current RTAC model for accreditation oversight also differs significantly with that of the </w:t>
      </w:r>
      <w:r w:rsidR="000A6376" w:rsidRPr="006340F9">
        <w:t xml:space="preserve">Australian </w:t>
      </w:r>
      <w:r w:rsidR="00B13F8B" w:rsidRPr="006340F9">
        <w:t>Commission</w:t>
      </w:r>
      <w:r w:rsidR="000A6376" w:rsidRPr="006340F9">
        <w:t xml:space="preserve"> for Safety and Quality in Healthcare</w:t>
      </w:r>
      <w:r w:rsidR="00D02365" w:rsidRPr="006340F9">
        <w:t>.</w:t>
      </w:r>
      <w:r w:rsidRPr="006340F9">
        <w:t xml:space="preserve"> The </w:t>
      </w:r>
      <w:r w:rsidR="00B13F8B" w:rsidRPr="006340F9">
        <w:t>Commission</w:t>
      </w:r>
      <w:r w:rsidRPr="006340F9">
        <w:t xml:space="preserve"> commenced as an independent statutory authority in 2011 to lead and coordinate national improvements in the safety and quality of health care. It is responsible for standard-setting and oversight of </w:t>
      </w:r>
      <w:r w:rsidR="002B30B7" w:rsidRPr="006340F9">
        <w:t xml:space="preserve">accrediting </w:t>
      </w:r>
      <w:r w:rsidRPr="006340F9">
        <w:t>agencies for health</w:t>
      </w:r>
      <w:r w:rsidR="007D144A" w:rsidRPr="006340F9">
        <w:t xml:space="preserve"> </w:t>
      </w:r>
      <w:r w:rsidRPr="006340F9">
        <w:t>care, in both private and public settings.</w:t>
      </w:r>
    </w:p>
    <w:p w14:paraId="4F675DBB" w14:textId="790DCB39" w:rsidR="00C3124C" w:rsidRPr="006340F9" w:rsidRDefault="00C3124C" w:rsidP="004706E9">
      <w:pPr>
        <w:pStyle w:val="Heading4"/>
        <w:rPr>
          <w:b/>
          <w:bCs/>
        </w:rPr>
      </w:pPr>
      <w:r w:rsidRPr="006340F9">
        <w:t>RTAC’s initial licen</w:t>
      </w:r>
      <w:r w:rsidR="00E1603B" w:rsidRPr="006340F9">
        <w:t>s</w:t>
      </w:r>
      <w:r w:rsidRPr="006340F9">
        <w:t>ing and accreditation processes have some important limitations</w:t>
      </w:r>
    </w:p>
    <w:p w14:paraId="4B83A939" w14:textId="631B185E" w:rsidR="00C3124C" w:rsidRPr="006340F9" w:rsidRDefault="00C3124C" w:rsidP="00C3124C">
      <w:pPr>
        <w:pStyle w:val="Body"/>
      </w:pPr>
      <w:r w:rsidRPr="006340F9">
        <w:t xml:space="preserve">Notwithstanding its lack of independence, RTAC’s overall approach to the initial </w:t>
      </w:r>
      <w:r w:rsidR="00E029CB" w:rsidRPr="006340F9">
        <w:t xml:space="preserve">accreditation and </w:t>
      </w:r>
      <w:r w:rsidRPr="006340F9">
        <w:t>licen</w:t>
      </w:r>
      <w:r w:rsidR="00872AF9" w:rsidRPr="006340F9">
        <w:t>s</w:t>
      </w:r>
      <w:r w:rsidRPr="006340F9">
        <w:t>ing</w:t>
      </w:r>
      <w:r w:rsidR="00E029CB" w:rsidRPr="006340F9">
        <w:t xml:space="preserve"> </w:t>
      </w:r>
      <w:r w:rsidRPr="006340F9">
        <w:t xml:space="preserve">of new providers (market entry) </w:t>
      </w:r>
      <w:r w:rsidR="00E029CB" w:rsidRPr="006340F9">
        <w:t xml:space="preserve">appears </w:t>
      </w:r>
      <w:r w:rsidRPr="006340F9">
        <w:t>sound. It requires an initial audit against defined standards</w:t>
      </w:r>
      <w:r w:rsidR="00BD615F" w:rsidRPr="006340F9">
        <w:t>, the Code of Practice,</w:t>
      </w:r>
      <w:r w:rsidRPr="006340F9">
        <w:t xml:space="preserve"> and then periodic surveillance audits against those same standards. </w:t>
      </w:r>
      <w:r w:rsidR="00BD615F" w:rsidRPr="006340F9">
        <w:t xml:space="preserve">As a process, this </w:t>
      </w:r>
      <w:r w:rsidRPr="006340F9">
        <w:t xml:space="preserve">is consistent with the approach taken by </w:t>
      </w:r>
      <w:r w:rsidR="00BF78AD" w:rsidRPr="006340F9">
        <w:t xml:space="preserve">the </w:t>
      </w:r>
      <w:r w:rsidR="00B13F8B" w:rsidRPr="006340F9">
        <w:t>Commission</w:t>
      </w:r>
      <w:r w:rsidRPr="006340F9">
        <w:t xml:space="preserve"> in assessing health services against the NSQHS standards.</w:t>
      </w:r>
    </w:p>
    <w:p w14:paraId="14FFC4D4" w14:textId="77777777" w:rsidR="00C3124C" w:rsidRPr="006340F9" w:rsidRDefault="00C3124C" w:rsidP="00C3124C">
      <w:pPr>
        <w:pStyle w:val="Body"/>
      </w:pPr>
      <w:r w:rsidRPr="006340F9">
        <w:t>Further, the RTAC primary accreditation (audit) appears to be an appropriately comprehensive process that includes both document review and onsite attendance by an approved audit agency. This initial accreditation is then followed by a secondary audit, by the same approved agency, six months after a new clinic has commenced operations. This also appears to be an appropriate approach to ensure that providers are maintaining performance against RTAC requirements once they have entered the market.</w:t>
      </w:r>
    </w:p>
    <w:p w14:paraId="332EB9AE" w14:textId="70E36011" w:rsidR="00C3124C" w:rsidRPr="006340F9" w:rsidRDefault="00C3124C" w:rsidP="00C3124C">
      <w:pPr>
        <w:pStyle w:val="Body"/>
      </w:pPr>
      <w:r w:rsidRPr="006340F9">
        <w:t xml:space="preserve">That the accreditation audits are of individual ART clinics, rather than of an ART provider (i.e. companies with multiple clinics), is also appropriate </w:t>
      </w:r>
      <w:r w:rsidR="002F3738" w:rsidRPr="006340F9">
        <w:t xml:space="preserve">because practices can differ significantly </w:t>
      </w:r>
      <w:r w:rsidR="00694A88" w:rsidRPr="006340F9">
        <w:t xml:space="preserve">across ART units. It also </w:t>
      </w:r>
      <w:r w:rsidRPr="006340F9">
        <w:t>makes it easier to identify any non-compliance with standards at a</w:t>
      </w:r>
      <w:r w:rsidR="00694A88" w:rsidRPr="006340F9">
        <w:t>n individual</w:t>
      </w:r>
      <w:r w:rsidRPr="006340F9">
        <w:t xml:space="preserve"> clinic level</w:t>
      </w:r>
      <w:r w:rsidR="00694A88" w:rsidRPr="006340F9">
        <w:t xml:space="preserve"> even if the remedies are the responsibility of the </w:t>
      </w:r>
      <w:r w:rsidR="007001BB" w:rsidRPr="006340F9">
        <w:t>overarching provider/owner</w:t>
      </w:r>
      <w:r w:rsidRPr="006340F9">
        <w:t>.</w:t>
      </w:r>
    </w:p>
    <w:p w14:paraId="229618B0" w14:textId="67D1FF4E" w:rsidR="00C3124C" w:rsidRPr="006340F9" w:rsidRDefault="00C3124C" w:rsidP="00C3124C">
      <w:pPr>
        <w:pStyle w:val="Body"/>
      </w:pPr>
      <w:r w:rsidRPr="006340F9">
        <w:t xml:space="preserve">However, </w:t>
      </w:r>
      <w:r w:rsidR="00C8797C" w:rsidRPr="006340F9">
        <w:t xml:space="preserve">despite appropriate accreditation process structures, </w:t>
      </w:r>
      <w:r w:rsidR="00C85077" w:rsidRPr="006340F9">
        <w:t>we</w:t>
      </w:r>
      <w:r w:rsidRPr="006340F9">
        <w:t xml:space="preserve"> identified some important limitations to the current RTAC accreditation approach that undermine the effectiveness of accreditation and licensing</w:t>
      </w:r>
      <w:r w:rsidR="00911986" w:rsidRPr="006340F9">
        <w:t>.</w:t>
      </w:r>
      <w:r w:rsidR="00E73DC9" w:rsidRPr="006340F9">
        <w:t xml:space="preserve"> These are in addition to the lack of clear and effective standards, discussed in more detail below.</w:t>
      </w:r>
    </w:p>
    <w:p w14:paraId="733DCE8F" w14:textId="7CEC6B07" w:rsidR="00C3124C" w:rsidRPr="006340F9" w:rsidRDefault="00C3124C" w:rsidP="009F2D61">
      <w:pPr>
        <w:pStyle w:val="Body"/>
        <w:rPr>
          <w:b/>
          <w:bCs/>
        </w:rPr>
      </w:pPr>
      <w:r w:rsidRPr="006340F9">
        <w:rPr>
          <w:b/>
          <w:bCs/>
        </w:rPr>
        <w:t>No oversight or quality checks of the auditing agencies</w:t>
      </w:r>
    </w:p>
    <w:p w14:paraId="252A2DC0" w14:textId="59D142B3" w:rsidR="00C3124C" w:rsidRPr="006340F9" w:rsidRDefault="00C3124C" w:rsidP="00C3124C">
      <w:pPr>
        <w:pStyle w:val="Body"/>
      </w:pPr>
      <w:r w:rsidRPr="006340F9">
        <w:t>First, RTAC does not oversee and review the performance of the two audit agencies (</w:t>
      </w:r>
      <w:r w:rsidR="003873FF" w:rsidRPr="006340F9">
        <w:t>Global-Mark and Certified Partner Global</w:t>
      </w:r>
      <w:r w:rsidRPr="006340F9">
        <w:t>) that perform all ART clinic audits on which RTAC accreditation</w:t>
      </w:r>
      <w:r w:rsidR="00D77B81" w:rsidRPr="006340F9">
        <w:t xml:space="preserve"> and licen</w:t>
      </w:r>
      <w:r w:rsidR="00D51143" w:rsidRPr="006340F9">
        <w:t>s</w:t>
      </w:r>
      <w:r w:rsidR="00D77B81" w:rsidRPr="006340F9">
        <w:t>ing</w:t>
      </w:r>
      <w:r w:rsidRPr="006340F9">
        <w:t xml:space="preserve"> is based. </w:t>
      </w:r>
      <w:r w:rsidR="00D77B81" w:rsidRPr="006340F9">
        <w:t>R</w:t>
      </w:r>
      <w:r w:rsidRPr="006340F9">
        <w:t>eview of the auditors by the accreditation agency – in this case RTAC</w:t>
      </w:r>
      <w:r w:rsidR="002720E8" w:rsidRPr="006340F9">
        <w:t xml:space="preserve"> – </w:t>
      </w:r>
      <w:r w:rsidRPr="006340F9">
        <w:t xml:space="preserve">is required to ensure and maintain consistency and quality of the audits and to have confidence in an auditor’s findings. RTAC has never reviewed the performance of its auditors, instead relying on the fact that they maintain certification by </w:t>
      </w:r>
      <w:r w:rsidR="003873FF" w:rsidRPr="006340F9">
        <w:t xml:space="preserve">JAS-ANZ.  </w:t>
      </w:r>
    </w:p>
    <w:p w14:paraId="5E29E482" w14:textId="2AADE48D" w:rsidR="00C3124C" w:rsidRPr="006340F9" w:rsidRDefault="00C3124C" w:rsidP="00C3124C">
      <w:pPr>
        <w:pStyle w:val="Body"/>
      </w:pPr>
      <w:r w:rsidRPr="006340F9">
        <w:lastRenderedPageBreak/>
        <w:t>While it is appropriate, indeed necessary, that the audit agencies approved by RTAC are certified by JAS</w:t>
      </w:r>
      <w:r w:rsidR="003873FF" w:rsidRPr="006340F9">
        <w:t>-</w:t>
      </w:r>
      <w:r w:rsidRPr="006340F9">
        <w:t>ANZ, such certification doesn’t set aside the need for active oversight of the performance of the agencies by RTAC.</w:t>
      </w:r>
    </w:p>
    <w:p w14:paraId="08302D31" w14:textId="3C6FE742" w:rsidR="00C3124C" w:rsidRPr="006340F9" w:rsidRDefault="00C3124C" w:rsidP="00C3124C">
      <w:pPr>
        <w:pStyle w:val="Body"/>
      </w:pPr>
      <w:r w:rsidRPr="006340F9">
        <w:t xml:space="preserve">By way of comparison, </w:t>
      </w:r>
      <w:r w:rsidR="00BF78AD" w:rsidRPr="006340F9">
        <w:t xml:space="preserve">the </w:t>
      </w:r>
      <w:r w:rsidR="00B13F8B" w:rsidRPr="006340F9">
        <w:t>Commission</w:t>
      </w:r>
      <w:r w:rsidRPr="006340F9">
        <w:t xml:space="preserve"> employs several performance oversight and feedback mechanisms to monitor and improve the </w:t>
      </w:r>
      <w:r w:rsidR="00232D69" w:rsidRPr="006340F9">
        <w:t>quality of assessments performed by the</w:t>
      </w:r>
      <w:r w:rsidRPr="006340F9">
        <w:t xml:space="preserve"> six </w:t>
      </w:r>
      <w:r w:rsidR="00FE3191" w:rsidRPr="006340F9">
        <w:t xml:space="preserve">approved </w:t>
      </w:r>
      <w:r w:rsidR="002B30B7" w:rsidRPr="006340F9">
        <w:t xml:space="preserve">accrediting </w:t>
      </w:r>
      <w:r w:rsidRPr="006340F9">
        <w:t xml:space="preserve">agencies. These include post-assessment surveys by each health service, observation visits by </w:t>
      </w:r>
      <w:r w:rsidR="00BF78AD" w:rsidRPr="006340F9">
        <w:t xml:space="preserve">the </w:t>
      </w:r>
      <w:r w:rsidR="00B13F8B" w:rsidRPr="006340F9">
        <w:t>Commission</w:t>
      </w:r>
      <w:r w:rsidRPr="006340F9">
        <w:t xml:space="preserve"> at least annually to observe assessor performance, analysis of accreditation outcome data to identify anomalies or significant variation between agencies, accrediting agency compliance reports, and analysis of feedback from </w:t>
      </w:r>
      <w:r w:rsidR="00366BF2" w:rsidRPr="006340F9">
        <w:t>regulatory authorities</w:t>
      </w:r>
      <w:r w:rsidRPr="006340F9">
        <w:t xml:space="preserve"> and the public.</w:t>
      </w:r>
      <w:r w:rsidRPr="006340F9">
        <w:rPr>
          <w:rStyle w:val="FootnoteReference"/>
        </w:rPr>
        <w:footnoteReference w:id="131"/>
      </w:r>
      <w:r w:rsidRPr="006340F9">
        <w:t xml:space="preserve"> </w:t>
      </w:r>
      <w:r w:rsidR="00BF78AD" w:rsidRPr="006340F9">
        <w:t xml:space="preserve">The </w:t>
      </w:r>
      <w:r w:rsidR="00B13F8B" w:rsidRPr="006340F9">
        <w:t>Commission</w:t>
      </w:r>
      <w:r w:rsidRPr="006340F9">
        <w:t xml:space="preserve"> uses the data from these various oversight checks as the basis of an annual performance report</w:t>
      </w:r>
      <w:r w:rsidRPr="006340F9">
        <w:rPr>
          <w:b/>
          <w:bCs/>
        </w:rPr>
        <w:t xml:space="preserve"> </w:t>
      </w:r>
      <w:r w:rsidRPr="006340F9">
        <w:t xml:space="preserve">for each accrediting agency. </w:t>
      </w:r>
    </w:p>
    <w:p w14:paraId="3B425BBC" w14:textId="77777777" w:rsidR="00C3124C" w:rsidRPr="006340F9" w:rsidRDefault="00C3124C" w:rsidP="00C3124C">
      <w:pPr>
        <w:pStyle w:val="Body"/>
      </w:pPr>
      <w:r w:rsidRPr="006340F9">
        <w:t>RTAC reported to us that it was unable to undertake such oversight within its current resources.</w:t>
      </w:r>
    </w:p>
    <w:p w14:paraId="7BC61834" w14:textId="77777777" w:rsidR="00C3124C" w:rsidRPr="006340F9" w:rsidRDefault="00C3124C" w:rsidP="009F2D61">
      <w:pPr>
        <w:pStyle w:val="Body"/>
        <w:rPr>
          <w:b/>
          <w:bCs/>
        </w:rPr>
      </w:pPr>
      <w:r w:rsidRPr="006340F9">
        <w:rPr>
          <w:b/>
          <w:bCs/>
        </w:rPr>
        <w:t>Governance weaknesses underlying RTAC licensing decisions</w:t>
      </w:r>
    </w:p>
    <w:p w14:paraId="0FCFAF71" w14:textId="24439786" w:rsidR="000772E8" w:rsidRPr="006340F9" w:rsidRDefault="00C3124C" w:rsidP="00C3124C">
      <w:pPr>
        <w:pStyle w:val="Body"/>
      </w:pPr>
      <w:r w:rsidRPr="006340F9">
        <w:t>RTAC advised us that audit reports, both from initial audits (market entry accreditation) and annual audits (market conduct)</w:t>
      </w:r>
      <w:r w:rsidR="00A173D7" w:rsidRPr="006340F9">
        <w:t>,</w:t>
      </w:r>
      <w:r w:rsidRPr="006340F9">
        <w:t xml:space="preserve"> are only sighted and reviewed by the RTAC Chair. The explanation for this was to maintain confidentiality, respecting potentially commercially sensitive audit findings. The flow-on of this arrangement is that only the RTAC Chair, a single person who is appointed by the FSANZ Board, is </w:t>
      </w:r>
      <w:proofErr w:type="gramStart"/>
      <w:r w:rsidRPr="006340F9">
        <w:t>in a position</w:t>
      </w:r>
      <w:proofErr w:type="gramEnd"/>
      <w:r w:rsidRPr="006340F9">
        <w:t xml:space="preserve"> to consider how a clinic will address audit findings if those findings include non-compliance. Audit reports are not made available to other members of the RTAC committee. However, it is the committee that </w:t>
      </w:r>
      <w:r w:rsidR="00D96D13" w:rsidRPr="006340F9">
        <w:t>approves</w:t>
      </w:r>
      <w:r w:rsidRPr="006340F9">
        <w:t xml:space="preserve"> licensing decisions. </w:t>
      </w:r>
    </w:p>
    <w:p w14:paraId="799B8C15" w14:textId="4CD7D9E9" w:rsidR="00C3124C" w:rsidRPr="006340F9" w:rsidRDefault="00B86014" w:rsidP="00C3124C">
      <w:pPr>
        <w:pStyle w:val="Body"/>
      </w:pPr>
      <w:r w:rsidRPr="006340F9">
        <w:t>It appears that there are two governance failures i</w:t>
      </w:r>
      <w:r w:rsidR="00C3124C" w:rsidRPr="006340F9">
        <w:t xml:space="preserve">nherent in this approach. First, the sole decision maker, the RTAC Chair, has an overt conflict of interest because </w:t>
      </w:r>
      <w:r w:rsidR="009762B1" w:rsidRPr="006340F9">
        <w:t>they are</w:t>
      </w:r>
      <w:r w:rsidR="00C3124C" w:rsidRPr="006340F9">
        <w:t xml:space="preserve"> appointed by the FSANZ Board, a board whose membership includes representatives of the sector providers over whom </w:t>
      </w:r>
      <w:r w:rsidR="00BA7858" w:rsidRPr="006340F9">
        <w:t>they are</w:t>
      </w:r>
      <w:r w:rsidR="00C3124C" w:rsidRPr="006340F9">
        <w:t xml:space="preserve"> making licen</w:t>
      </w:r>
      <w:r w:rsidR="00487B36" w:rsidRPr="006340F9">
        <w:t>s</w:t>
      </w:r>
      <w:r w:rsidR="00C3124C" w:rsidRPr="006340F9">
        <w:t>ing decisions. Second, ultimately the RTAC licensing decisions are made by a committee on the recommendations of a single decision-maker without sighting or interrogating the audit reports and findings.</w:t>
      </w:r>
      <w:r w:rsidR="00912702" w:rsidRPr="006340F9">
        <w:t xml:space="preserve"> It is difficult to see how the committee can be confident</w:t>
      </w:r>
      <w:r w:rsidR="008247C8" w:rsidRPr="006340F9">
        <w:t xml:space="preserve"> about its decisions without access to the primary report findings.</w:t>
      </w:r>
    </w:p>
    <w:p w14:paraId="5F59F1F2" w14:textId="5EFB70A6" w:rsidR="00C3124C" w:rsidRPr="006340F9" w:rsidRDefault="00C3124C" w:rsidP="009F2D61">
      <w:pPr>
        <w:pStyle w:val="Body"/>
        <w:rPr>
          <w:b/>
          <w:bCs/>
        </w:rPr>
      </w:pPr>
      <w:r w:rsidRPr="006340F9">
        <w:rPr>
          <w:b/>
          <w:bCs/>
        </w:rPr>
        <w:t xml:space="preserve">Limited information sharing between RTAC and jurisdictional </w:t>
      </w:r>
      <w:r w:rsidR="00657508" w:rsidRPr="006340F9">
        <w:rPr>
          <w:b/>
          <w:bCs/>
        </w:rPr>
        <w:t>regulatory authorities</w:t>
      </w:r>
    </w:p>
    <w:p w14:paraId="18A3B58C" w14:textId="442A0C03" w:rsidR="00C3124C" w:rsidRPr="006340F9" w:rsidRDefault="00C3124C" w:rsidP="00C3124C">
      <w:pPr>
        <w:pStyle w:val="Body"/>
      </w:pPr>
      <w:r w:rsidRPr="006340F9">
        <w:t xml:space="preserve">RTAC </w:t>
      </w:r>
      <w:r w:rsidR="00E86DF6" w:rsidRPr="006340F9">
        <w:t xml:space="preserve">does not share the </w:t>
      </w:r>
      <w:r w:rsidRPr="006340F9">
        <w:t xml:space="preserve">audit findings with jurisdictional </w:t>
      </w:r>
      <w:r w:rsidR="00FA5303" w:rsidRPr="006340F9">
        <w:t>regulatory authorities</w:t>
      </w:r>
      <w:r w:rsidRPr="006340F9">
        <w:t xml:space="preserve"> (see section </w:t>
      </w:r>
      <w:r w:rsidR="00775280" w:rsidRPr="006340F9">
        <w:fldChar w:fldCharType="begin"/>
      </w:r>
      <w:r w:rsidR="00775280" w:rsidRPr="006340F9">
        <w:instrText xml:space="preserve"> REF _Ref207635190 \r \h </w:instrText>
      </w:r>
      <w:r w:rsidR="00775280" w:rsidRPr="006340F9">
        <w:fldChar w:fldCharType="separate"/>
      </w:r>
      <w:r w:rsidR="007D732A">
        <w:t>3.4</w:t>
      </w:r>
      <w:r w:rsidR="00775280" w:rsidRPr="006340F9">
        <w:fldChar w:fldCharType="end"/>
      </w:r>
      <w:r w:rsidR="00775280" w:rsidRPr="006340F9">
        <w:t xml:space="preserve"> </w:t>
      </w:r>
      <w:r w:rsidRPr="006340F9">
        <w:t xml:space="preserve">for further discussion of the use of regulatory intelligence). </w:t>
      </w:r>
      <w:r w:rsidR="009B5A1F" w:rsidRPr="006340F9">
        <w:t xml:space="preserve">In </w:t>
      </w:r>
      <w:r w:rsidR="00374FA2" w:rsidRPr="006340F9">
        <w:t>Australian Capital Territory</w:t>
      </w:r>
      <w:r w:rsidR="00044CA6" w:rsidRPr="006340F9">
        <w:t>, Queensland, South Australia</w:t>
      </w:r>
      <w:r w:rsidR="007749B2" w:rsidRPr="006340F9">
        <w:t xml:space="preserve">, Victoria and Western Australia the audit reports are provided to the regulator directly </w:t>
      </w:r>
      <w:r w:rsidR="00BD2D97" w:rsidRPr="006340F9">
        <w:t>by</w:t>
      </w:r>
      <w:r w:rsidR="007749B2" w:rsidRPr="006340F9">
        <w:t xml:space="preserve"> the ART unit. In NT and Tasmania there is no routine sharing of the audit reports with the </w:t>
      </w:r>
      <w:r w:rsidR="003B5A25" w:rsidRPr="006340F9">
        <w:t xml:space="preserve">health department. </w:t>
      </w:r>
      <w:r w:rsidRPr="006340F9">
        <w:t>This</w:t>
      </w:r>
      <w:r w:rsidR="003B5A25" w:rsidRPr="006340F9">
        <w:t xml:space="preserve"> arrangement</w:t>
      </w:r>
      <w:r w:rsidRPr="006340F9" w:rsidDel="003B5A25">
        <w:t xml:space="preserve"> </w:t>
      </w:r>
      <w:r w:rsidRPr="006340F9">
        <w:t xml:space="preserve">reflects very limited engagement between RTAC and jurisdictional regulatory authorities. RTAC reported to us that it </w:t>
      </w:r>
      <w:r w:rsidR="00F44187" w:rsidRPr="006340F9">
        <w:t>has</w:t>
      </w:r>
      <w:r w:rsidRPr="006340F9">
        <w:t xml:space="preserve"> only ever met with Victoria and </w:t>
      </w:r>
      <w:r w:rsidR="002B18D6" w:rsidRPr="006340F9">
        <w:t>Western Australia</w:t>
      </w:r>
      <w:r w:rsidRPr="006340F9">
        <w:t>, mostly for consultation on sector-wide matters rather than to discuss an individual ART clinic or provider.</w:t>
      </w:r>
      <w:r w:rsidR="003B5A25" w:rsidRPr="006340F9">
        <w:t xml:space="preserve"> We believe that the lack of regular </w:t>
      </w:r>
      <w:r w:rsidR="003B5A25" w:rsidRPr="006340F9">
        <w:lastRenderedPageBreak/>
        <w:t xml:space="preserve">and systemised dialogue between </w:t>
      </w:r>
      <w:r w:rsidR="004D766A" w:rsidRPr="006340F9">
        <w:t>RTAC and the regulators compromises effective accreditation and regulation.</w:t>
      </w:r>
    </w:p>
    <w:p w14:paraId="5B786D29" w14:textId="656EC570" w:rsidR="00C3124C" w:rsidRPr="006340F9" w:rsidRDefault="00C3124C" w:rsidP="00C3124C">
      <w:pPr>
        <w:pStyle w:val="Body"/>
      </w:pPr>
      <w:r w:rsidRPr="006340F9">
        <w:t xml:space="preserve">Again, by way of comparison, </w:t>
      </w:r>
      <w:r w:rsidR="00BF78AD" w:rsidRPr="006340F9">
        <w:t xml:space="preserve">the </w:t>
      </w:r>
      <w:r w:rsidR="00B13F8B" w:rsidRPr="006340F9">
        <w:t>Commission</w:t>
      </w:r>
      <w:r w:rsidRPr="006340F9">
        <w:t xml:space="preserve"> regularly liaises with jurisdictional </w:t>
      </w:r>
      <w:r w:rsidR="003702B8" w:rsidRPr="006340F9">
        <w:t>regulatory authorities</w:t>
      </w:r>
      <w:r w:rsidRPr="006340F9">
        <w:t>, particularly on services of concern.</w:t>
      </w:r>
    </w:p>
    <w:p w14:paraId="3600ABAA" w14:textId="6BA57434" w:rsidR="00C3124C" w:rsidRPr="006340F9" w:rsidRDefault="00C3124C" w:rsidP="00C3124C">
      <w:pPr>
        <w:pStyle w:val="Body"/>
      </w:pPr>
      <w:r w:rsidRPr="006340F9">
        <w:t xml:space="preserve">RTAC </w:t>
      </w:r>
      <w:r w:rsidR="00F04955" w:rsidRPr="006340F9">
        <w:t xml:space="preserve">also </w:t>
      </w:r>
      <w:r w:rsidRPr="006340F9">
        <w:t xml:space="preserve">told us that it has never </w:t>
      </w:r>
      <w:r w:rsidR="007825E0" w:rsidRPr="006340F9">
        <w:t xml:space="preserve">met </w:t>
      </w:r>
      <w:r w:rsidRPr="006340F9">
        <w:t xml:space="preserve">with the </w:t>
      </w:r>
      <w:r w:rsidR="00B13F8B" w:rsidRPr="006340F9">
        <w:t>Commission</w:t>
      </w:r>
      <w:r w:rsidRPr="006340F9">
        <w:t xml:space="preserve">. This was confirmed by the </w:t>
      </w:r>
      <w:r w:rsidR="00B13F8B" w:rsidRPr="006340F9">
        <w:t>Commission</w:t>
      </w:r>
      <w:r w:rsidRPr="006340F9">
        <w:t>.</w:t>
      </w:r>
      <w:r w:rsidR="00237BD8" w:rsidRPr="006340F9">
        <w:t xml:space="preserve"> Given that the Commission oversees the accreditation of day surgery facilities, which some ART providers operate, this was surprising to us.</w:t>
      </w:r>
    </w:p>
    <w:p w14:paraId="52C67691" w14:textId="77777777" w:rsidR="00C3124C" w:rsidRPr="006340F9" w:rsidRDefault="00C3124C" w:rsidP="00C3124C">
      <w:pPr>
        <w:pStyle w:val="Body"/>
        <w:spacing w:after="0"/>
      </w:pPr>
      <w:r w:rsidRPr="006340F9">
        <w:rPr>
          <w:b/>
          <w:bCs/>
        </w:rPr>
        <w:t>Inadequate transparency of accreditation outcomes</w:t>
      </w:r>
    </w:p>
    <w:p w14:paraId="22BF8267" w14:textId="639CA40E" w:rsidR="00C3124C" w:rsidRPr="006340F9" w:rsidRDefault="00C3124C" w:rsidP="00C3124C">
      <w:pPr>
        <w:pStyle w:val="Body"/>
      </w:pPr>
      <w:r w:rsidRPr="006340F9">
        <w:t xml:space="preserve">The outcomes from accreditation assessments, whether at market entry or for ongoing market conduct are only published by RTAC, in summary form, in </w:t>
      </w:r>
      <w:r w:rsidR="00037A0D" w:rsidRPr="006340F9">
        <w:t xml:space="preserve">its </w:t>
      </w:r>
      <w:r w:rsidRPr="006340F9">
        <w:t>annual report. Real-time accreditation outcomes are not available. In</w:t>
      </w:r>
      <w:r w:rsidRPr="006340F9" w:rsidDel="008B49A6">
        <w:t xml:space="preserve"> </w:t>
      </w:r>
      <w:r w:rsidR="008B49A6" w:rsidRPr="006340F9">
        <w:t>its</w:t>
      </w:r>
      <w:r w:rsidRPr="006340F9">
        <w:t xml:space="preserve"> annual report, RTAC provides tables detailing each ART clinic, the date of the audit visit(s), and the duration of the licence provided by RTAC.</w:t>
      </w:r>
      <w:r w:rsidR="00EF4E21" w:rsidRPr="006340F9">
        <w:rPr>
          <w:rStyle w:val="FootnoteReference"/>
        </w:rPr>
        <w:footnoteReference w:id="132"/>
      </w:r>
      <w:r w:rsidRPr="006340F9">
        <w:t xml:space="preserve"> However, while summary data on non-conformances are provided in the annual report, these are not provided by individual clinic</w:t>
      </w:r>
      <w:r w:rsidR="00C85EF7" w:rsidRPr="006340F9">
        <w:t>s</w:t>
      </w:r>
      <w:r w:rsidRPr="006340F9">
        <w:t xml:space="preserve">. Neither providers nor </w:t>
      </w:r>
      <w:r w:rsidR="00A011B7" w:rsidRPr="006340F9">
        <w:t>state or territory regulatory authorities</w:t>
      </w:r>
      <w:r w:rsidRPr="006340F9">
        <w:t xml:space="preserve"> can see the audit outcomes for individual ART clinics.</w:t>
      </w:r>
      <w:r w:rsidR="00E86A9A" w:rsidRPr="006340F9">
        <w:rPr>
          <w:rStyle w:val="FootnoteReference"/>
        </w:rPr>
        <w:footnoteReference w:id="133"/>
      </w:r>
      <w:r w:rsidRPr="006340F9">
        <w:rPr>
          <w:color w:val="EE0000"/>
          <w:vertAlign w:val="superscript"/>
        </w:rPr>
        <w:t xml:space="preserve"> </w:t>
      </w:r>
    </w:p>
    <w:p w14:paraId="27FA6836" w14:textId="74C38FC6" w:rsidR="00C3124C" w:rsidRPr="006340F9" w:rsidRDefault="00C3124C" w:rsidP="00C3124C">
      <w:pPr>
        <w:pStyle w:val="Body"/>
      </w:pPr>
      <w:r w:rsidRPr="006340F9">
        <w:t>In addition to summary data from the national accreditation scheme,</w:t>
      </w:r>
      <w:r w:rsidR="00E86A9A" w:rsidRPr="006340F9">
        <w:rPr>
          <w:rStyle w:val="FootnoteReference"/>
        </w:rPr>
        <w:footnoteReference w:id="134"/>
      </w:r>
      <w:r w:rsidRPr="006340F9">
        <w:t xml:space="preserve"> the </w:t>
      </w:r>
      <w:r w:rsidR="00B13F8B" w:rsidRPr="006340F9">
        <w:t>Commission</w:t>
      </w:r>
      <w:r w:rsidRPr="006340F9">
        <w:t xml:space="preserve"> publishes the individual accreditation outcomes for all health services, private and public, including detailing which standards were met and which, if any, were not met.</w:t>
      </w:r>
      <w:r w:rsidR="00513482" w:rsidRPr="006340F9">
        <w:rPr>
          <w:rStyle w:val="FootnoteReference"/>
        </w:rPr>
        <w:footnoteReference w:id="135"/>
      </w:r>
      <w:r w:rsidRPr="006340F9">
        <w:t xml:space="preserve"> </w:t>
      </w:r>
    </w:p>
    <w:p w14:paraId="4C7C9B56" w14:textId="7CAC5DDB" w:rsidR="00C3124C" w:rsidRPr="006340F9" w:rsidRDefault="00C3124C" w:rsidP="00C3124C">
      <w:pPr>
        <w:pStyle w:val="Body"/>
      </w:pPr>
      <w:r w:rsidRPr="006340F9">
        <w:t xml:space="preserve">Consumers expressed </w:t>
      </w:r>
      <w:r w:rsidR="00961760" w:rsidRPr="006340F9">
        <w:t xml:space="preserve">interest in </w:t>
      </w:r>
      <w:r w:rsidR="007A001E" w:rsidRPr="006340F9">
        <w:t>accessing</w:t>
      </w:r>
      <w:r w:rsidR="00961760" w:rsidRPr="006340F9">
        <w:t xml:space="preserve"> </w:t>
      </w:r>
      <w:r w:rsidR="007A001E" w:rsidRPr="006340F9">
        <w:t>information</w:t>
      </w:r>
      <w:r w:rsidR="00961760" w:rsidRPr="006340F9">
        <w:t xml:space="preserve"> </w:t>
      </w:r>
      <w:r w:rsidR="00316D0E" w:rsidRPr="006340F9">
        <w:t>about</w:t>
      </w:r>
      <w:r w:rsidR="00961760" w:rsidRPr="006340F9">
        <w:t xml:space="preserve"> quality and safety </w:t>
      </w:r>
      <w:r w:rsidR="00316D0E" w:rsidRPr="006340F9">
        <w:t xml:space="preserve">performance of individual </w:t>
      </w:r>
      <w:r w:rsidR="00000A88" w:rsidRPr="006340F9">
        <w:t>ART units, such as</w:t>
      </w:r>
      <w:r w:rsidRPr="006340F9">
        <w:t xml:space="preserve"> accreditation outcomes. Further, given that “identification and traceability” was the most common </w:t>
      </w:r>
      <w:r w:rsidR="008642D4" w:rsidRPr="006340F9">
        <w:t xml:space="preserve">non-conformity </w:t>
      </w:r>
      <w:r w:rsidR="00050706" w:rsidRPr="006340F9">
        <w:t>reported</w:t>
      </w:r>
      <w:r w:rsidRPr="006340F9">
        <w:t xml:space="preserve"> in audits in 2023-24,</w:t>
      </w:r>
      <w:r w:rsidR="00513482" w:rsidRPr="006340F9">
        <w:rPr>
          <w:rStyle w:val="FootnoteReference"/>
        </w:rPr>
        <w:footnoteReference w:id="136"/>
      </w:r>
      <w:r w:rsidRPr="006340F9">
        <w:t xml:space="preserve"> and in 2025 there have been two episodes of the wrong embryo being transferred in two different clinics owned by the same provider, improved visibility of audit outcomes, by clinic, in real-time would be expected to assist </w:t>
      </w:r>
      <w:r w:rsidR="00A011B7" w:rsidRPr="006340F9">
        <w:t>regulatory authorities</w:t>
      </w:r>
      <w:r w:rsidRPr="006340F9">
        <w:t>.</w:t>
      </w:r>
    </w:p>
    <w:p w14:paraId="6360032A" w14:textId="77777777" w:rsidR="00C3124C" w:rsidRPr="006340F9" w:rsidRDefault="00C3124C" w:rsidP="004706E9">
      <w:pPr>
        <w:pStyle w:val="Heading4"/>
        <w:rPr>
          <w:b/>
          <w:bCs/>
        </w:rPr>
      </w:pPr>
      <w:r w:rsidRPr="006340F9">
        <w:t>Limited resourcing prevents RTAC from delivering its accreditation functions in full</w:t>
      </w:r>
    </w:p>
    <w:p w14:paraId="756642B0" w14:textId="26160AC5" w:rsidR="00C3124C" w:rsidRPr="006340F9" w:rsidRDefault="00C3124C" w:rsidP="00C3124C">
      <w:pPr>
        <w:pStyle w:val="Body"/>
      </w:pPr>
      <w:r w:rsidRPr="006340F9">
        <w:t>RTAC oversees and implements a national accreditation ART scheme, including the development of care standards – the Code of Practice. However, it appears to lack the resources necessary to deliver such accreditation functions in full.</w:t>
      </w:r>
    </w:p>
    <w:p w14:paraId="6F19515F" w14:textId="4EDB9C46" w:rsidR="00C3124C" w:rsidRPr="006340F9" w:rsidRDefault="00C3124C" w:rsidP="00C3124C">
      <w:pPr>
        <w:pStyle w:val="Body"/>
      </w:pPr>
      <w:r w:rsidRPr="006340F9">
        <w:t xml:space="preserve">The RTAC committee comprises seven members, all holding honorary positions with no, or nominal, financial compensation. The RTAC committee is supported by an administrative officer who is employed by FSANZ. This contrasts with the </w:t>
      </w:r>
      <w:r w:rsidR="00B13F8B" w:rsidRPr="006340F9">
        <w:t>Commission</w:t>
      </w:r>
      <w:r w:rsidRPr="006340F9">
        <w:t xml:space="preserve"> which has </w:t>
      </w:r>
      <w:r w:rsidRPr="006340F9">
        <w:lastRenderedPageBreak/>
        <w:t xml:space="preserve">approximately 150 employees (albeit to deliver a far greater span of responsibility) and is funded jointly by the Australian Government and by </w:t>
      </w:r>
      <w:r w:rsidR="00D66F53" w:rsidRPr="006340F9">
        <w:rPr>
          <w:bCs/>
        </w:rPr>
        <w:t>State and Territory</w:t>
      </w:r>
      <w:r w:rsidR="00D66F53" w:rsidRPr="006340F9" w:rsidDel="00D66F53">
        <w:t xml:space="preserve"> </w:t>
      </w:r>
      <w:r w:rsidRPr="006340F9">
        <w:t>governments.</w:t>
      </w:r>
      <w:r w:rsidRPr="006340F9">
        <w:rPr>
          <w:rStyle w:val="FootnoteReference"/>
        </w:rPr>
        <w:footnoteReference w:id="137"/>
      </w:r>
    </w:p>
    <w:p w14:paraId="39539808" w14:textId="4D31AAA3" w:rsidR="00C3124C" w:rsidRPr="006340F9" w:rsidRDefault="00C3124C" w:rsidP="00C3124C">
      <w:pPr>
        <w:pStyle w:val="Body"/>
      </w:pPr>
      <w:r w:rsidRPr="006340F9">
        <w:t xml:space="preserve">The FSANZ-sponsored </w:t>
      </w:r>
      <w:r w:rsidR="00F3516E" w:rsidRPr="006340F9">
        <w:t xml:space="preserve">Framework for an </w:t>
      </w:r>
      <w:r w:rsidR="00A67D97" w:rsidRPr="006340F9">
        <w:t>Australian 10-Year Fertility Roadmap</w:t>
      </w:r>
      <w:r w:rsidR="00A67D97" w:rsidRPr="006340F9" w:rsidDel="00A67D97">
        <w:rPr>
          <w:i/>
          <w:iCs/>
        </w:rPr>
        <w:t xml:space="preserve"> </w:t>
      </w:r>
      <w:r w:rsidRPr="006340F9">
        <w:t xml:space="preserve">found that RTAC is not sufficiently resourced to </w:t>
      </w:r>
      <w:r w:rsidR="005A2C18" w:rsidRPr="006340F9">
        <w:t xml:space="preserve">allow </w:t>
      </w:r>
      <w:r w:rsidR="00796454" w:rsidRPr="006340F9">
        <w:t xml:space="preserve">for </w:t>
      </w:r>
      <w:r w:rsidR="005A2C18" w:rsidRPr="006340F9">
        <w:t>more comprehensive review functions</w:t>
      </w:r>
      <w:r w:rsidRPr="006340F9">
        <w:t>, recommending reform to its funding model (Recommendation 10).</w:t>
      </w:r>
      <w:r w:rsidRPr="006340F9">
        <w:rPr>
          <w:rStyle w:val="FootnoteReference"/>
        </w:rPr>
        <w:footnoteReference w:id="138"/>
      </w:r>
      <w:r w:rsidRPr="006340F9">
        <w:t xml:space="preserve"> The </w:t>
      </w:r>
      <w:r w:rsidR="00FB5C18" w:rsidRPr="006340F9">
        <w:t>2024</w:t>
      </w:r>
      <w:r w:rsidRPr="006340F9">
        <w:t xml:space="preserve"> Queensland </w:t>
      </w:r>
      <w:r w:rsidR="006069BA" w:rsidRPr="006340F9">
        <w:t>investigation of ART providers</w:t>
      </w:r>
      <w:r w:rsidRPr="006340F9">
        <w:t xml:space="preserve"> also noted that the capacity of RTAC to undertake review of incidents may be constrained by a lack of resources.</w:t>
      </w:r>
      <w:r w:rsidRPr="006340F9">
        <w:rPr>
          <w:rStyle w:val="FootnoteReference"/>
        </w:rPr>
        <w:footnoteReference w:id="139"/>
      </w:r>
    </w:p>
    <w:p w14:paraId="4EC22C3C" w14:textId="0743FE0D" w:rsidR="003E0EB3" w:rsidRPr="006340F9" w:rsidRDefault="00C3124C" w:rsidP="00C3124C">
      <w:pPr>
        <w:pStyle w:val="Body"/>
      </w:pPr>
      <w:r w:rsidRPr="006340F9">
        <w:t>Many stakeholders expressed concern that, while it has done well with the resources available, RTAC is not adequately resourced to effectively perform the accreditation functions expected of it, especially given the growth in and complexity of Australia’s ART sector.</w:t>
      </w:r>
    </w:p>
    <w:p w14:paraId="56FC41BF" w14:textId="35823731" w:rsidR="00C3124C" w:rsidRPr="006340F9" w:rsidRDefault="00C3124C" w:rsidP="00C3124C">
      <w:pPr>
        <w:pStyle w:val="Body"/>
      </w:pPr>
      <w:r w:rsidRPr="006340F9">
        <w:t>The funding provided to RTAC</w:t>
      </w:r>
      <w:r w:rsidR="00A31F65" w:rsidRPr="006340F9">
        <w:t xml:space="preserve">, ultimately derived from </w:t>
      </w:r>
      <w:r w:rsidR="009F6ECC" w:rsidRPr="006340F9">
        <w:t>ART providers</w:t>
      </w:r>
      <w:r w:rsidR="00A31F65" w:rsidRPr="006340F9">
        <w:t>,</w:t>
      </w:r>
      <w:r w:rsidRPr="006340F9">
        <w:t xml:space="preserve"> is determined and agreed to by FSANZ.  </w:t>
      </w:r>
    </w:p>
    <w:p w14:paraId="2B27FE37" w14:textId="77777777" w:rsidR="00C3124C" w:rsidRPr="006340F9" w:rsidRDefault="00C3124C" w:rsidP="004706E9">
      <w:pPr>
        <w:pStyle w:val="Heading4"/>
        <w:rPr>
          <w:b/>
          <w:bCs/>
        </w:rPr>
      </w:pPr>
      <w:r w:rsidRPr="006340F9">
        <w:t xml:space="preserve">RTAC appears to have limited power to deny or limit a provider’s entry to market </w:t>
      </w:r>
    </w:p>
    <w:p w14:paraId="38504339" w14:textId="094F6C75" w:rsidR="00C3124C" w:rsidRPr="006340F9" w:rsidRDefault="00C3124C" w:rsidP="00C3124C">
      <w:pPr>
        <w:pStyle w:val="Body"/>
      </w:pPr>
      <w:r w:rsidRPr="006340F9">
        <w:rPr>
          <w:iCs/>
        </w:rPr>
        <w:t>The issuing or withholding of a licence to provide care is an essential accreditation power. The effectiveness of any accreditation scheme relies on the accrediting authority being able to determine whether a given provider is suitable to be licen</w:t>
      </w:r>
      <w:r w:rsidR="00DC456F" w:rsidRPr="006340F9">
        <w:rPr>
          <w:iCs/>
        </w:rPr>
        <w:t>s</w:t>
      </w:r>
      <w:r w:rsidRPr="006340F9">
        <w:rPr>
          <w:iCs/>
        </w:rPr>
        <w:t xml:space="preserve">ed or not. However, </w:t>
      </w:r>
      <w:r w:rsidR="00DC0036" w:rsidRPr="006340F9">
        <w:rPr>
          <w:iCs/>
        </w:rPr>
        <w:t>the</w:t>
      </w:r>
      <w:r w:rsidRPr="006340F9">
        <w:rPr>
          <w:iCs/>
        </w:rPr>
        <w:t xml:space="preserve"> </w:t>
      </w:r>
      <w:r w:rsidR="00DB2306" w:rsidRPr="006340F9">
        <w:rPr>
          <w:iCs/>
        </w:rPr>
        <w:t>Code of Practice</w:t>
      </w:r>
      <w:r w:rsidRPr="006340F9">
        <w:rPr>
          <w:iCs/>
        </w:rPr>
        <w:t xml:space="preserve"> for ART units</w:t>
      </w:r>
      <w:r w:rsidR="001274AF" w:rsidRPr="006340F9">
        <w:rPr>
          <w:iCs/>
        </w:rPr>
        <w:t xml:space="preserve"> – </w:t>
      </w:r>
      <w:r w:rsidR="00BE5A74" w:rsidRPr="006340F9">
        <w:rPr>
          <w:iCs/>
        </w:rPr>
        <w:t>the</w:t>
      </w:r>
      <w:r w:rsidRPr="006340F9">
        <w:rPr>
          <w:iCs/>
        </w:rPr>
        <w:t xml:space="preserve"> list of standards of care – does not provide clear criteria to guide RTAC licensing decisions. Accordingly, some stakeholders suggested that there may be risks of litigation or challenge should RTAC refuse accreditation to an ART unit that has been certified.</w:t>
      </w:r>
      <w:r w:rsidRPr="006340F9">
        <w:rPr>
          <w:rStyle w:val="FootnoteReference"/>
          <w:iCs/>
        </w:rPr>
        <w:footnoteReference w:id="140"/>
      </w:r>
      <w:r w:rsidRPr="006340F9">
        <w:rPr>
          <w:iCs/>
        </w:rPr>
        <w:t xml:space="preserve"> RTAC confirmed that it is concerned about litigation should a licence be withheld or withdrawn, citing the one and only example of a clinic’s licence being withdrawn, in Western Australia, only to have that decision overturned by a court of law.</w:t>
      </w:r>
    </w:p>
    <w:p w14:paraId="7A2FA0DE" w14:textId="77777777" w:rsidR="00C3124C" w:rsidRPr="006340F9" w:rsidRDefault="00C3124C" w:rsidP="004600B7">
      <w:pPr>
        <w:pStyle w:val="Heading3"/>
      </w:pPr>
      <w:r w:rsidRPr="006340F9">
        <w:t xml:space="preserve">RTAC accreditation standards lack sufficient rigour </w:t>
      </w:r>
    </w:p>
    <w:p w14:paraId="103B6993" w14:textId="77777777" w:rsidR="00C3124C" w:rsidRPr="006340F9" w:rsidRDefault="00C3124C" w:rsidP="004706E9">
      <w:pPr>
        <w:pStyle w:val="Heading4"/>
        <w:rPr>
          <w:b/>
          <w:bCs/>
        </w:rPr>
      </w:pPr>
      <w:r w:rsidRPr="006340F9">
        <w:t>The RTAC Code of Practice could better support quality and safety</w:t>
      </w:r>
    </w:p>
    <w:p w14:paraId="524DE8DE" w14:textId="47178519" w:rsidR="00C3124C" w:rsidRPr="006340F9" w:rsidRDefault="00C3124C" w:rsidP="009F367C">
      <w:pPr>
        <w:pStyle w:val="Body"/>
        <w:spacing w:after="100"/>
      </w:pPr>
      <w:r w:rsidRPr="006340F9">
        <w:t xml:space="preserve">RTAC has developed the </w:t>
      </w:r>
      <w:r w:rsidR="00DB2306" w:rsidRPr="006340F9">
        <w:t>Code of Practice</w:t>
      </w:r>
      <w:r w:rsidRPr="006340F9">
        <w:t xml:space="preserve"> to take a risk-based approach to accreditation. That is</w:t>
      </w:r>
      <w:r w:rsidR="00622B0A" w:rsidRPr="006340F9">
        <w:t>,</w:t>
      </w:r>
      <w:r w:rsidRPr="006340F9">
        <w:t xml:space="preserve"> to outline requirements of care without being overly prescriptive. For example, Critical Criterion 3 requires ART units to undertake regular stakeholder feedback (including patients) and provide evidence of implementation and review of related policies and procedures. But the standard does not prescribe what should be included in those policies and procedures.</w:t>
      </w:r>
      <w:r w:rsidRPr="006340F9">
        <w:rPr>
          <w:rStyle w:val="FootnoteReference"/>
        </w:rPr>
        <w:footnoteReference w:id="141"/>
      </w:r>
      <w:r w:rsidRPr="006340F9">
        <w:t xml:space="preserve"> </w:t>
      </w:r>
    </w:p>
    <w:p w14:paraId="11EB7CE5" w14:textId="681DF485" w:rsidR="00C3124C" w:rsidRPr="006340F9" w:rsidRDefault="00C3124C" w:rsidP="009F367C">
      <w:pPr>
        <w:pStyle w:val="Body"/>
        <w:spacing w:after="100"/>
      </w:pPr>
      <w:r w:rsidRPr="006340F9">
        <w:t xml:space="preserve">The standards themselves are developed by RTAC in consultation with the various groups that make up FSANZ. The intent of this engagement is to ensure the involvement of </w:t>
      </w:r>
      <w:r w:rsidRPr="006340F9">
        <w:lastRenderedPageBreak/>
        <w:t xml:space="preserve">appropriate expertise in standard development. However, one of the outcomes of this is that the standards are, in part, developed and agreed to </w:t>
      </w:r>
      <w:r w:rsidR="008E2699" w:rsidRPr="006340F9">
        <w:t xml:space="preserve">by </w:t>
      </w:r>
      <w:r w:rsidRPr="006340F9">
        <w:t>the very providers that are expected to abide to them.</w:t>
      </w:r>
      <w:r w:rsidR="00AD2286" w:rsidRPr="006340F9">
        <w:t xml:space="preserve"> Indeed, changes to the Code of Practice require the approval of the FSANZ board. </w:t>
      </w:r>
    </w:p>
    <w:p w14:paraId="07F5FD0F" w14:textId="77777777" w:rsidR="004976A3" w:rsidRPr="006340F9" w:rsidRDefault="00675102" w:rsidP="00EA3E55">
      <w:pPr>
        <w:pStyle w:val="Body"/>
      </w:pPr>
      <w:r w:rsidRPr="006340F9">
        <w:t>By contrast, the</w:t>
      </w:r>
      <w:r w:rsidR="00EA3E55" w:rsidRPr="006340F9">
        <w:t xml:space="preserve"> Commission has established expertise in standard setting and accreditation oversight, including developing and implementing robust standards for health services, primary and community health providers, mental health providers, aged care providers, pathology and diagnostic imaging providers and, most recently, cosmetic surgery providers.</w:t>
      </w:r>
      <w:r w:rsidR="00EA3E55" w:rsidRPr="006340F9">
        <w:rPr>
          <w:rStyle w:val="FootnoteReference"/>
        </w:rPr>
        <w:footnoteReference w:id="142"/>
      </w:r>
      <w:r w:rsidR="00EA3E55" w:rsidRPr="006340F9">
        <w:t xml:space="preserve"> Over the past 10 years the Commission has also developed a suite of clinical care standards, of which there are now 20, that describe the care that patients can expect to be offered by clinicians and care providers in the relevant branch of health care. </w:t>
      </w:r>
    </w:p>
    <w:p w14:paraId="4EE273AD" w14:textId="0E60447F" w:rsidR="00EA3E55" w:rsidRPr="006340F9" w:rsidRDefault="00EA3E55" w:rsidP="00EA3E55">
      <w:pPr>
        <w:pStyle w:val="Body"/>
      </w:pPr>
      <w:r w:rsidRPr="006340F9">
        <w:t xml:space="preserve">The aim of these standards is to reduce unwarranted variation in health care or health outcomes by increasing evidence-based health care. Independent </w:t>
      </w:r>
      <w:r w:rsidR="00190DD4" w:rsidRPr="006340F9">
        <w:t xml:space="preserve">accrediting </w:t>
      </w:r>
      <w:r w:rsidRPr="006340F9">
        <w:t>agencies use these standards to assess care provision across multiple domains as part of accreditation processes. For example, the National Safety and Quality Health Service (NSQHS) standards that are used to assess hospitals and health services include eight standards that cover clinical governance; partnering with consumers; preventing and controlling infections; medication safety; comprehensive care; communicating for safety; blood management; and recognising and responding to acute deterioration. Aligned with the NSQHS standards but recognising the differences in care settings, the Commission’s standards for primary and community care include three standards addressing clinical governance; partnering with consumers; and clinical safety.</w:t>
      </w:r>
    </w:p>
    <w:p w14:paraId="607CA643" w14:textId="19A654E9" w:rsidR="00EA3E55" w:rsidRPr="006340F9" w:rsidRDefault="00EA3E55" w:rsidP="00EA3E55">
      <w:pPr>
        <w:pStyle w:val="Body"/>
      </w:pPr>
      <w:r w:rsidRPr="006340F9">
        <w:t xml:space="preserve">The independent development and maintenance of evidence-based standards that adequately cover ART care is not evident in current RTAC-based accreditation processes and the Code of Practice. Further, changes to the Code of Practice requires the approval of the FSANZ board. This is an overt conflict of interest. </w:t>
      </w:r>
    </w:p>
    <w:p w14:paraId="1223146B" w14:textId="7C4737CC" w:rsidR="00C3124C" w:rsidRPr="006340F9" w:rsidRDefault="00C3124C" w:rsidP="00C3124C">
      <w:pPr>
        <w:pStyle w:val="Body"/>
      </w:pPr>
      <w:r w:rsidRPr="006340F9">
        <w:t>From time</w:t>
      </w:r>
      <w:r w:rsidR="008E5DD9" w:rsidRPr="006340F9">
        <w:t>-</w:t>
      </w:r>
      <w:r w:rsidRPr="006340F9">
        <w:t>to</w:t>
      </w:r>
      <w:r w:rsidR="008E5DD9" w:rsidRPr="006340F9">
        <w:t>-</w:t>
      </w:r>
      <w:r w:rsidRPr="006340F9">
        <w:t>time RTAC issues technical bulletins to all ART units. These bulletins are intended to identify recurrent or emerging issues of concern, typically found through audit outcomes, bringing the issue to the attention of providers. The sector</w:t>
      </w:r>
      <w:r w:rsidRPr="006340F9" w:rsidDel="00F34738">
        <w:t xml:space="preserve"> </w:t>
      </w:r>
      <w:r w:rsidR="00F34738" w:rsidRPr="006340F9">
        <w:t xml:space="preserve">values </w:t>
      </w:r>
      <w:r w:rsidRPr="006340F9">
        <w:t xml:space="preserve">these technical bulletins, suggesting that they help the </w:t>
      </w:r>
      <w:r w:rsidR="00DB2306" w:rsidRPr="006340F9">
        <w:t>Code of Practice</w:t>
      </w:r>
      <w:r w:rsidRPr="006340F9">
        <w:t xml:space="preserve"> keep pace with technological, medical and scientific advances in between more substantive updates. However, the bulletins </w:t>
      </w:r>
      <w:r w:rsidR="00537912" w:rsidRPr="006340F9">
        <w:t>are</w:t>
      </w:r>
      <w:r w:rsidRPr="006340F9">
        <w:t xml:space="preserve"> viewed</w:t>
      </w:r>
      <w:r w:rsidR="00537912" w:rsidRPr="006340F9">
        <w:t xml:space="preserve"> by stakeholders</w:t>
      </w:r>
      <w:r w:rsidRPr="006340F9">
        <w:t xml:space="preserve"> as unenforceable educational communications to</w:t>
      </w:r>
      <w:r w:rsidRPr="006340F9">
        <w:rPr>
          <w:rFonts w:cs="Arial"/>
        </w:rPr>
        <w:t xml:space="preserve"> ART units and certifying bodies</w:t>
      </w:r>
      <w:r w:rsidRPr="006340F9">
        <w:t>, not prescriptive or proscriptive requirements.</w:t>
      </w:r>
    </w:p>
    <w:p w14:paraId="49111F16" w14:textId="65DE17E9" w:rsidR="00F9728E" w:rsidRPr="006340F9" w:rsidRDefault="00F9728E" w:rsidP="003C7DDB">
      <w:pPr>
        <w:pStyle w:val="Heading5"/>
      </w:pPr>
      <w:r w:rsidRPr="006340F9">
        <w:t>Opportunities to strengthen the Code of Practice</w:t>
      </w:r>
    </w:p>
    <w:p w14:paraId="66D2FB53" w14:textId="50000823" w:rsidR="00C3124C" w:rsidRPr="006340F9" w:rsidRDefault="00C3124C" w:rsidP="00C3124C">
      <w:pPr>
        <w:pStyle w:val="Body"/>
      </w:pPr>
      <w:r w:rsidRPr="006340F9">
        <w:t xml:space="preserve">Most stakeholders agreed that the </w:t>
      </w:r>
      <w:r w:rsidR="00DB2306" w:rsidRPr="006340F9">
        <w:t>Code of Practice</w:t>
      </w:r>
      <w:r w:rsidRPr="006340F9">
        <w:t xml:space="preserve"> has promoted high standards across the ART sector. It was apparent to us that providers took the </w:t>
      </w:r>
      <w:r w:rsidR="00DB2306" w:rsidRPr="006340F9">
        <w:t>Code of Practice</w:t>
      </w:r>
      <w:r w:rsidRPr="006340F9">
        <w:t xml:space="preserve"> seriously and, largely, abided by it. The most obvious example of this was, in </w:t>
      </w:r>
      <w:r w:rsidR="00945FA4" w:rsidRPr="006340F9">
        <w:t>2002</w:t>
      </w:r>
      <w:r w:rsidRPr="006340F9">
        <w:t>, the introduction of the recommendation for single embryo transfer to reduce the multiple pregnancy rate. Australia</w:t>
      </w:r>
      <w:r w:rsidRPr="006340F9" w:rsidDel="001D0630">
        <w:t xml:space="preserve"> </w:t>
      </w:r>
      <w:r w:rsidRPr="006340F9">
        <w:t xml:space="preserve">led the world </w:t>
      </w:r>
      <w:proofErr w:type="gramStart"/>
      <w:r w:rsidRPr="006340F9">
        <w:t>in regard to</w:t>
      </w:r>
      <w:proofErr w:type="gramEnd"/>
      <w:r w:rsidRPr="006340F9">
        <w:t xml:space="preserve"> this improvement in clinical care. Nonetheless, several stakeholders, including RTAC, ART providers</w:t>
      </w:r>
      <w:r w:rsidR="001D0630" w:rsidRPr="006340F9">
        <w:t>,</w:t>
      </w:r>
      <w:r w:rsidRPr="006340F9">
        <w:t xml:space="preserve"> and auditors, identified that there are opportunities to </w:t>
      </w:r>
      <w:r w:rsidRPr="006340F9">
        <w:lastRenderedPageBreak/>
        <w:t xml:space="preserve">strengthen the </w:t>
      </w:r>
      <w:r w:rsidR="00DB2306" w:rsidRPr="006340F9">
        <w:t>Code of Practice</w:t>
      </w:r>
      <w:r w:rsidRPr="006340F9">
        <w:t xml:space="preserve"> to provide clearer standards of expected care</w:t>
      </w:r>
      <w:r w:rsidR="00BC0410" w:rsidRPr="006340F9">
        <w:t>, as outlined below</w:t>
      </w:r>
      <w:r w:rsidR="00B11F5B" w:rsidRPr="006340F9">
        <w:t>.</w:t>
      </w:r>
    </w:p>
    <w:p w14:paraId="470090AB" w14:textId="73529762" w:rsidR="00C3124C" w:rsidRPr="006340F9" w:rsidRDefault="00C3124C" w:rsidP="00867DC7">
      <w:pPr>
        <w:pStyle w:val="Body"/>
        <w:keepNext/>
        <w:spacing w:after="0"/>
        <w:rPr>
          <w:rFonts w:cs="Arial"/>
        </w:rPr>
      </w:pPr>
      <w:r w:rsidRPr="006340F9">
        <w:rPr>
          <w:rFonts w:cs="Arial"/>
          <w:b/>
          <w:bCs/>
        </w:rPr>
        <w:t xml:space="preserve">The </w:t>
      </w:r>
      <w:r w:rsidR="00DB2306" w:rsidRPr="006340F9">
        <w:rPr>
          <w:rFonts w:cs="Arial"/>
          <w:b/>
          <w:bCs/>
        </w:rPr>
        <w:t>Code of Practice</w:t>
      </w:r>
      <w:r w:rsidRPr="006340F9">
        <w:rPr>
          <w:rFonts w:cs="Arial"/>
          <w:b/>
          <w:bCs/>
        </w:rPr>
        <w:t xml:space="preserve"> should</w:t>
      </w:r>
      <w:r w:rsidRPr="006340F9">
        <w:rPr>
          <w:rFonts w:cs="Arial"/>
          <w:b/>
        </w:rPr>
        <w:t xml:space="preserve"> </w:t>
      </w:r>
      <w:r w:rsidRPr="006340F9">
        <w:rPr>
          <w:rFonts w:cs="Arial"/>
          <w:b/>
          <w:bCs/>
        </w:rPr>
        <w:t>be more prescriptive</w:t>
      </w:r>
    </w:p>
    <w:p w14:paraId="7BBAD113" w14:textId="228758EA" w:rsidR="00C3124C" w:rsidRPr="006340F9" w:rsidRDefault="5FAA9585" w:rsidP="00867DC7">
      <w:pPr>
        <w:pStyle w:val="Body"/>
        <w:keepNext/>
      </w:pPr>
      <w:r w:rsidRPr="006340F9">
        <w:rPr>
          <w:rFonts w:cs="Arial"/>
        </w:rPr>
        <w:t xml:space="preserve">The </w:t>
      </w:r>
      <w:r w:rsidR="29574039" w:rsidRPr="006340F9">
        <w:rPr>
          <w:rFonts w:cs="Arial"/>
        </w:rPr>
        <w:t>Code of Practice</w:t>
      </w:r>
      <w:r w:rsidRPr="006340F9">
        <w:rPr>
          <w:rFonts w:cs="Arial"/>
        </w:rPr>
        <w:t xml:space="preserve"> lacks the prescriptive detail found in comparable national and international frameworks.</w:t>
      </w:r>
      <w:r w:rsidR="00C3124C" w:rsidRPr="006340F9">
        <w:rPr>
          <w:rStyle w:val="FootnoteReference"/>
          <w:rFonts w:cs="Arial"/>
        </w:rPr>
        <w:footnoteReference w:id="143"/>
      </w:r>
      <w:r w:rsidRPr="006340F9">
        <w:rPr>
          <w:rFonts w:cs="Arial"/>
        </w:rPr>
        <w:t xml:space="preserve"> </w:t>
      </w:r>
      <w:r w:rsidRPr="006340F9">
        <w:t xml:space="preserve">The Code of Practice contrasts with </w:t>
      </w:r>
      <w:r w:rsidR="2F86360A" w:rsidRPr="006340F9">
        <w:t xml:space="preserve">the </w:t>
      </w:r>
      <w:r w:rsidR="029E8A0D" w:rsidRPr="006340F9">
        <w:t>Commission</w:t>
      </w:r>
      <w:r w:rsidR="33C8F116" w:rsidRPr="006340F9">
        <w:t>’s</w:t>
      </w:r>
      <w:r w:rsidRPr="006340F9">
        <w:t xml:space="preserve"> NSQHS standards, which are more prescriptive in nature.</w:t>
      </w:r>
      <w:r w:rsidR="00C3124C" w:rsidRPr="006340F9">
        <w:rPr>
          <w:rStyle w:val="FootnoteReference"/>
        </w:rPr>
        <w:footnoteReference w:id="144"/>
      </w:r>
      <w:r w:rsidRPr="006340F9" w:rsidDel="00F366FF">
        <w:t xml:space="preserve"> </w:t>
      </w:r>
      <w:r w:rsidRPr="006340F9">
        <w:t xml:space="preserve">Auditors also suggested that their deep knowledge of the NSQHS standards was helpful to inform the practices of some ART units when the </w:t>
      </w:r>
      <w:r w:rsidR="29574039" w:rsidRPr="006340F9">
        <w:t>Code of Practice</w:t>
      </w:r>
      <w:r w:rsidRPr="006340F9">
        <w:t xml:space="preserve"> does not provide sufficient guidance. </w:t>
      </w:r>
    </w:p>
    <w:p w14:paraId="48F3C7C1" w14:textId="42867154" w:rsidR="00C3124C" w:rsidRPr="006340F9" w:rsidRDefault="00C3124C" w:rsidP="00C3124C">
      <w:pPr>
        <w:pStyle w:val="Body"/>
        <w:spacing w:after="0"/>
        <w:rPr>
          <w:rFonts w:cs="Arial"/>
        </w:rPr>
      </w:pPr>
      <w:r w:rsidRPr="006340F9">
        <w:rPr>
          <w:rFonts w:cs="Arial"/>
          <w:b/>
          <w:bCs/>
        </w:rPr>
        <w:t xml:space="preserve">The </w:t>
      </w:r>
      <w:r w:rsidR="00DB2306" w:rsidRPr="006340F9">
        <w:rPr>
          <w:rFonts w:cs="Arial"/>
          <w:b/>
          <w:bCs/>
        </w:rPr>
        <w:t>Code of Practice</w:t>
      </w:r>
      <w:r w:rsidRPr="006340F9">
        <w:rPr>
          <w:rFonts w:cs="Arial"/>
          <w:b/>
          <w:bCs/>
        </w:rPr>
        <w:t xml:space="preserve"> should define minimum standards and performance metrics</w:t>
      </w:r>
    </w:p>
    <w:p w14:paraId="4B4308B6" w14:textId="289B73C1" w:rsidR="00C3124C" w:rsidRPr="006340F9" w:rsidRDefault="00C3124C" w:rsidP="00C3124C">
      <w:pPr>
        <w:pStyle w:val="Body"/>
      </w:pPr>
      <w:r w:rsidRPr="006340F9">
        <w:rPr>
          <w:rFonts w:cs="Arial"/>
        </w:rPr>
        <w:t xml:space="preserve">The </w:t>
      </w:r>
      <w:r w:rsidR="00DB2306" w:rsidRPr="006340F9">
        <w:rPr>
          <w:rFonts w:cs="Arial"/>
        </w:rPr>
        <w:t>Code of Practice</w:t>
      </w:r>
      <w:r w:rsidRPr="006340F9">
        <w:rPr>
          <w:rFonts w:cs="Arial"/>
        </w:rPr>
        <w:t xml:space="preserve"> does not specify clear minimum standards or performance benchmarks. Some stakeholders reported that they would prefer the </w:t>
      </w:r>
      <w:r w:rsidR="00DB2306" w:rsidRPr="006340F9">
        <w:rPr>
          <w:rFonts w:cs="Arial"/>
        </w:rPr>
        <w:t>Code of Practice</w:t>
      </w:r>
      <w:r w:rsidRPr="006340F9">
        <w:rPr>
          <w:rFonts w:cs="Arial"/>
        </w:rPr>
        <w:t xml:space="preserve"> to be more detailed. For example, by clearly detailing the minimum standards required for good identification and traceability practices, beyond the current requirement which is simply to have relevant policies and procedures in place without specifying what those policies and procedures should be. </w:t>
      </w:r>
    </w:p>
    <w:p w14:paraId="65B20089" w14:textId="1C2665A1" w:rsidR="00C3124C" w:rsidRPr="006340F9" w:rsidRDefault="00C3124C" w:rsidP="00C3124C">
      <w:pPr>
        <w:pStyle w:val="Body"/>
        <w:spacing w:after="0"/>
        <w:rPr>
          <w:b/>
          <w:bCs/>
        </w:rPr>
      </w:pPr>
      <w:r w:rsidRPr="006340F9">
        <w:rPr>
          <w:b/>
          <w:bCs/>
        </w:rPr>
        <w:t xml:space="preserve">Updates to standards, </w:t>
      </w:r>
      <w:r w:rsidRPr="006340F9">
        <w:rPr>
          <w:b/>
          <w:bCs/>
          <w:i/>
          <w:iCs/>
        </w:rPr>
        <w:t>as per</w:t>
      </w:r>
      <w:r w:rsidRPr="006340F9">
        <w:rPr>
          <w:b/>
          <w:bCs/>
        </w:rPr>
        <w:t xml:space="preserve"> in technical bulletins, should be incorporated into the </w:t>
      </w:r>
      <w:r w:rsidR="00DB2306" w:rsidRPr="006340F9">
        <w:rPr>
          <w:b/>
          <w:bCs/>
        </w:rPr>
        <w:t>Code of Practice</w:t>
      </w:r>
    </w:p>
    <w:p w14:paraId="78CB807A" w14:textId="3F390011" w:rsidR="00C3124C" w:rsidRPr="006340F9" w:rsidRDefault="00C3124C" w:rsidP="00C3124C">
      <w:pPr>
        <w:pStyle w:val="Body"/>
      </w:pPr>
      <w:r w:rsidRPr="006340F9">
        <w:t xml:space="preserve">ART units are not audited against updates provided in the technical bulletins, 16 of which have been published since 2009. </w:t>
      </w:r>
      <w:r w:rsidR="002177F7" w:rsidRPr="006340F9">
        <w:t>T</w:t>
      </w:r>
      <w:r w:rsidRPr="006340F9">
        <w:t xml:space="preserve">he </w:t>
      </w:r>
      <w:r w:rsidR="00DB2306" w:rsidRPr="006340F9">
        <w:t>Code of Practice</w:t>
      </w:r>
      <w:r w:rsidRPr="006340F9">
        <w:t xml:space="preserve"> notes that from time to time, a technical bulletin will be incorporated into the </w:t>
      </w:r>
      <w:r w:rsidR="00DB2306" w:rsidRPr="006340F9">
        <w:t>Code of Practice</w:t>
      </w:r>
      <w:r w:rsidRPr="006340F9">
        <w:t xml:space="preserve"> and </w:t>
      </w:r>
      <w:r w:rsidR="00E67038" w:rsidRPr="006340F9">
        <w:t xml:space="preserve">so </w:t>
      </w:r>
      <w:r w:rsidRPr="006340F9">
        <w:t>become enforceable</w:t>
      </w:r>
      <w:r w:rsidR="00F1192B" w:rsidRPr="006340F9">
        <w:t>.</w:t>
      </w:r>
      <w:r w:rsidRPr="006340F9">
        <w:rPr>
          <w:rStyle w:val="FootnoteReference"/>
          <w:rFonts w:cs="Arial"/>
        </w:rPr>
        <w:footnoteReference w:id="145"/>
      </w:r>
      <w:r w:rsidRPr="006340F9">
        <w:rPr>
          <w:rFonts w:cs="Arial"/>
        </w:rPr>
        <w:t xml:space="preserve"> </w:t>
      </w:r>
      <w:r w:rsidR="00F1192B" w:rsidRPr="006340F9">
        <w:rPr>
          <w:rFonts w:cs="Arial"/>
        </w:rPr>
        <w:t>However,</w:t>
      </w:r>
      <w:r w:rsidRPr="006340F9">
        <w:rPr>
          <w:rFonts w:cs="Arial"/>
        </w:rPr>
        <w:t xml:space="preserve"> </w:t>
      </w:r>
      <w:r w:rsidRPr="006340F9">
        <w:t xml:space="preserve">a </w:t>
      </w:r>
      <w:r w:rsidRPr="006340F9">
        <w:rPr>
          <w:rFonts w:cs="Arial"/>
        </w:rPr>
        <w:t>reliance on unenforceable documents to maintain currency with technological</w:t>
      </w:r>
      <w:r w:rsidRPr="006340F9">
        <w:t xml:space="preserve">, medical and </w:t>
      </w:r>
      <w:r w:rsidRPr="006340F9">
        <w:rPr>
          <w:rFonts w:cs="Arial"/>
        </w:rPr>
        <w:t xml:space="preserve">scientific </w:t>
      </w:r>
      <w:r w:rsidRPr="006340F9">
        <w:t xml:space="preserve">advancements in between </w:t>
      </w:r>
      <w:r w:rsidR="00DB2306" w:rsidRPr="006340F9">
        <w:t>Code of Practice</w:t>
      </w:r>
      <w:r w:rsidRPr="006340F9">
        <w:t xml:space="preserve"> updates</w:t>
      </w:r>
      <w:r w:rsidRPr="006340F9">
        <w:rPr>
          <w:rFonts w:cs="Arial"/>
        </w:rPr>
        <w:t xml:space="preserve"> may create confusion and inconsistent implementation across the ART sector.</w:t>
      </w:r>
    </w:p>
    <w:p w14:paraId="320CBA10" w14:textId="1D131BE6" w:rsidR="00C3124C" w:rsidRPr="006340F9" w:rsidRDefault="5FAA9585" w:rsidP="004706E9">
      <w:pPr>
        <w:pStyle w:val="Heading4"/>
        <w:rPr>
          <w:b/>
          <w:bCs/>
        </w:rPr>
      </w:pPr>
      <w:r w:rsidRPr="006340F9">
        <w:t>ART accreditation could be aligned with broader healthcare accreditation standards</w:t>
      </w:r>
    </w:p>
    <w:p w14:paraId="2D4AC776" w14:textId="6CBBE7C2" w:rsidR="00C3124C" w:rsidRPr="006340F9" w:rsidRDefault="00C3124C" w:rsidP="00202840">
      <w:pPr>
        <w:pStyle w:val="Body"/>
        <w:spacing w:line="260" w:lineRule="atLeast"/>
      </w:pPr>
      <w:r w:rsidRPr="006340F9">
        <w:t xml:space="preserve">Currently, and largely for historical reasons, the ART sector operates outside the national healthcare safety and quality architecture, with an accreditation scheme not linked to the national scheme run by </w:t>
      </w:r>
      <w:r w:rsidR="00B13F8B" w:rsidRPr="006340F9">
        <w:t>the Commission</w:t>
      </w:r>
      <w:r w:rsidRPr="006340F9">
        <w:t xml:space="preserve">. The exception is those ART providers that operate day hospitals. Those facilities are subject to accreditation by </w:t>
      </w:r>
      <w:r w:rsidR="00B13F8B" w:rsidRPr="006340F9">
        <w:t>the Commission</w:t>
      </w:r>
      <w:r w:rsidRPr="006340F9">
        <w:t xml:space="preserve">. More generally though, RTAC and </w:t>
      </w:r>
      <w:r w:rsidR="00B13F8B" w:rsidRPr="006340F9">
        <w:t>the Commission</w:t>
      </w:r>
      <w:r w:rsidRPr="006340F9">
        <w:t xml:space="preserve"> do not have an established relationship as healthcare accreditation bodies. Indeed, both RTAC and </w:t>
      </w:r>
      <w:r w:rsidR="00B13F8B" w:rsidRPr="006340F9">
        <w:t>the Commission</w:t>
      </w:r>
      <w:r w:rsidRPr="006340F9">
        <w:t xml:space="preserve"> confirmed that the two agencies do not communicate with each other.</w:t>
      </w:r>
    </w:p>
    <w:p w14:paraId="28D2D6EE" w14:textId="0CD8F376" w:rsidR="00C3124C" w:rsidRPr="006340F9" w:rsidRDefault="00C3124C" w:rsidP="00202840">
      <w:pPr>
        <w:pStyle w:val="Body"/>
        <w:spacing w:line="260" w:lineRule="atLeast"/>
      </w:pPr>
      <w:r w:rsidRPr="006340F9">
        <w:t xml:space="preserve">We believe that this is an important weakness of the RTAC scheme. </w:t>
      </w:r>
      <w:r w:rsidR="00B13F8B" w:rsidRPr="006340F9">
        <w:t>The Commission</w:t>
      </w:r>
      <w:r w:rsidRPr="006340F9">
        <w:t xml:space="preserve"> are experts in the development and use of standards, and in the implementation of a sophisticated accreditation scheme with quality and safety improvement as the principal goal. Lessons learned from </w:t>
      </w:r>
      <w:r w:rsidR="00B13F8B" w:rsidRPr="006340F9">
        <w:t>the Commission</w:t>
      </w:r>
      <w:r w:rsidRPr="006340F9">
        <w:t>’s recent work in the accreditation of cosmetic surgery, including the development of clear, defensible standards that can be used to make licen</w:t>
      </w:r>
      <w:r w:rsidR="00D942C4" w:rsidRPr="006340F9">
        <w:t>s</w:t>
      </w:r>
      <w:r w:rsidRPr="006340F9">
        <w:t xml:space="preserve">ing decisions, </w:t>
      </w:r>
      <w:r w:rsidRPr="006340F9">
        <w:lastRenderedPageBreak/>
        <w:t>show how accreditation requirements for a specialist area of practice can be aligned with the NSQHS standards while addressing its unique risks and priorities.</w:t>
      </w:r>
    </w:p>
    <w:p w14:paraId="291744BC" w14:textId="3FD3D523" w:rsidR="00F96B98" w:rsidRPr="006340F9" w:rsidRDefault="00CD4F84" w:rsidP="0062093F">
      <w:pPr>
        <w:pStyle w:val="Heading2"/>
      </w:pPr>
      <w:bookmarkStart w:id="112" w:name="_Ref207915845"/>
      <w:bookmarkStart w:id="113" w:name="_Toc207976237"/>
      <w:bookmarkStart w:id="114" w:name="_Toc209441990"/>
      <w:r w:rsidRPr="006340F9">
        <w:t>Market entry – r</w:t>
      </w:r>
      <w:r w:rsidR="00C3124C" w:rsidRPr="006340F9">
        <w:t>egulation</w:t>
      </w:r>
      <w:bookmarkEnd w:id="112"/>
      <w:bookmarkEnd w:id="113"/>
      <w:bookmarkEnd w:id="114"/>
    </w:p>
    <w:p w14:paraId="07E651C4" w14:textId="7089CA16" w:rsidR="00371858" w:rsidRPr="006340F9" w:rsidRDefault="004D44BA" w:rsidP="00371858">
      <w:pPr>
        <w:pStyle w:val="Body"/>
      </w:pPr>
      <w:r w:rsidRPr="006340F9">
        <w:t xml:space="preserve">In this </w:t>
      </w:r>
      <w:r w:rsidR="00F16AFE" w:rsidRPr="006340F9">
        <w:t xml:space="preserve">section </w:t>
      </w:r>
      <w:r w:rsidRPr="006340F9">
        <w:t xml:space="preserve">we </w:t>
      </w:r>
      <w:r w:rsidR="00F16AFE" w:rsidRPr="006340F9">
        <w:t xml:space="preserve">outline issues </w:t>
      </w:r>
      <w:r w:rsidR="004A0325" w:rsidRPr="006340F9">
        <w:t xml:space="preserve">we </w:t>
      </w:r>
      <w:r w:rsidR="00F16AFE" w:rsidRPr="006340F9">
        <w:t xml:space="preserve">identified with the </w:t>
      </w:r>
      <w:r w:rsidR="008C2F71" w:rsidRPr="006340F9">
        <w:rPr>
          <w:bCs/>
        </w:rPr>
        <w:t>State and Territory</w:t>
      </w:r>
      <w:r w:rsidR="008C2F71" w:rsidRPr="006340F9" w:rsidDel="008C2F71">
        <w:t xml:space="preserve"> </w:t>
      </w:r>
      <w:r w:rsidR="00F16AFE" w:rsidRPr="006340F9">
        <w:t>registration</w:t>
      </w:r>
      <w:r w:rsidR="00B469E5" w:rsidRPr="006340F9">
        <w:t xml:space="preserve"> process.</w:t>
      </w:r>
    </w:p>
    <w:p w14:paraId="0C88304A" w14:textId="711A911F" w:rsidR="00C3124C" w:rsidRPr="006340F9" w:rsidRDefault="00C3124C" w:rsidP="004600B7">
      <w:pPr>
        <w:pStyle w:val="Heading3"/>
      </w:pPr>
      <w:r w:rsidRPr="006340F9">
        <w:t xml:space="preserve">State and </w:t>
      </w:r>
      <w:r w:rsidR="00EC182E" w:rsidRPr="006340F9">
        <w:t>T</w:t>
      </w:r>
      <w:r w:rsidRPr="006340F9">
        <w:t>erritory registration is perceived as burdensome</w:t>
      </w:r>
    </w:p>
    <w:p w14:paraId="5FB13EDA" w14:textId="69DC5EC6" w:rsidR="00C3124C" w:rsidRPr="006340F9" w:rsidRDefault="00C3124C" w:rsidP="00C3124C">
      <w:pPr>
        <w:jc w:val="both"/>
        <w:rPr>
          <w:sz w:val="22"/>
          <w:szCs w:val="22"/>
        </w:rPr>
      </w:pPr>
      <w:r w:rsidRPr="006340F9">
        <w:rPr>
          <w:sz w:val="22"/>
          <w:szCs w:val="22"/>
        </w:rPr>
        <w:t xml:space="preserve">As described in </w:t>
      </w:r>
      <w:r w:rsidR="002F7CFD" w:rsidRPr="006340F9">
        <w:rPr>
          <w:sz w:val="22"/>
          <w:szCs w:val="22"/>
        </w:rPr>
        <w:t>c</w:t>
      </w:r>
      <w:r w:rsidRPr="006340F9">
        <w:rPr>
          <w:sz w:val="22"/>
          <w:szCs w:val="22"/>
        </w:rPr>
        <w:t xml:space="preserve">hapter </w:t>
      </w:r>
      <w:r w:rsidR="007C2F89" w:rsidRPr="006340F9">
        <w:rPr>
          <w:sz w:val="22"/>
          <w:szCs w:val="22"/>
        </w:rPr>
        <w:fldChar w:fldCharType="begin"/>
      </w:r>
      <w:r w:rsidR="007C2F89" w:rsidRPr="006340F9">
        <w:rPr>
          <w:sz w:val="22"/>
          <w:szCs w:val="22"/>
        </w:rPr>
        <w:instrText xml:space="preserve"> REF _Ref207633418 \r \h </w:instrText>
      </w:r>
      <w:r w:rsidR="00EA12CC" w:rsidRPr="006340F9">
        <w:rPr>
          <w:sz w:val="22"/>
          <w:szCs w:val="22"/>
        </w:rPr>
        <w:instrText xml:space="preserve"> \* MERGEFORMAT </w:instrText>
      </w:r>
      <w:r w:rsidR="007C2F89" w:rsidRPr="006340F9">
        <w:rPr>
          <w:sz w:val="22"/>
          <w:szCs w:val="22"/>
        </w:rPr>
      </w:r>
      <w:r w:rsidR="007C2F89" w:rsidRPr="006340F9">
        <w:rPr>
          <w:sz w:val="22"/>
          <w:szCs w:val="22"/>
        </w:rPr>
        <w:fldChar w:fldCharType="separate"/>
      </w:r>
      <w:r w:rsidR="007D732A">
        <w:rPr>
          <w:sz w:val="22"/>
          <w:szCs w:val="22"/>
        </w:rPr>
        <w:t>2</w:t>
      </w:r>
      <w:r w:rsidR="007C2F89" w:rsidRPr="006340F9">
        <w:rPr>
          <w:sz w:val="22"/>
          <w:szCs w:val="22"/>
        </w:rPr>
        <w:fldChar w:fldCharType="end"/>
      </w:r>
      <w:r w:rsidRPr="006340F9">
        <w:rPr>
          <w:sz w:val="22"/>
          <w:szCs w:val="22"/>
        </w:rPr>
        <w:t xml:space="preserve">, ART units must be registered with the jurisdiction in which they wish to practice. Where it exists, jurisdictional ART legislation outlines registration requirements. All jurisdictions </w:t>
      </w:r>
      <w:proofErr w:type="gramStart"/>
      <w:r w:rsidR="00A14049" w:rsidRPr="006340F9">
        <w:rPr>
          <w:sz w:val="22"/>
          <w:szCs w:val="22"/>
        </w:rPr>
        <w:t>with the exception of</w:t>
      </w:r>
      <w:proofErr w:type="gramEnd"/>
      <w:r w:rsidR="00A14049" w:rsidRPr="006340F9">
        <w:rPr>
          <w:sz w:val="22"/>
          <w:szCs w:val="22"/>
        </w:rPr>
        <w:t xml:space="preserve"> the Northern Territory </w:t>
      </w:r>
      <w:r w:rsidRPr="006340F9">
        <w:rPr>
          <w:sz w:val="22"/>
          <w:szCs w:val="22"/>
        </w:rPr>
        <w:t>requir</w:t>
      </w:r>
      <w:r w:rsidR="00FD0C50" w:rsidRPr="006340F9">
        <w:rPr>
          <w:sz w:val="22"/>
          <w:szCs w:val="22"/>
        </w:rPr>
        <w:t>e</w:t>
      </w:r>
      <w:r w:rsidRPr="006340F9">
        <w:rPr>
          <w:sz w:val="22"/>
          <w:szCs w:val="22"/>
        </w:rPr>
        <w:t xml:space="preserve"> ART units to be accredited with RTAC as a registration requirement.</w:t>
      </w:r>
      <w:r w:rsidRPr="006340F9">
        <w:rPr>
          <w:rStyle w:val="FootnoteReference"/>
          <w:sz w:val="22"/>
          <w:szCs w:val="22"/>
        </w:rPr>
        <w:footnoteReference w:id="146"/>
      </w:r>
      <w:r w:rsidRPr="006340F9">
        <w:rPr>
          <w:sz w:val="22"/>
          <w:szCs w:val="22"/>
        </w:rPr>
        <w:t xml:space="preserve"> </w:t>
      </w:r>
      <w:r w:rsidRPr="006340F9">
        <w:rPr>
          <w:rFonts w:cs="Arial"/>
          <w:sz w:val="22"/>
          <w:szCs w:val="22"/>
        </w:rPr>
        <w:t>Thus, jurisdictional registration relies on the RTAC accreditation process.</w:t>
      </w:r>
    </w:p>
    <w:p w14:paraId="2DC52556" w14:textId="515A24CD" w:rsidR="00C3124C" w:rsidRPr="006340F9" w:rsidRDefault="00C3124C" w:rsidP="00C3124C">
      <w:pPr>
        <w:jc w:val="both"/>
        <w:rPr>
          <w:rFonts w:cs="Arial"/>
          <w:sz w:val="22"/>
          <w:szCs w:val="22"/>
        </w:rPr>
      </w:pPr>
      <w:r w:rsidRPr="006340F9">
        <w:rPr>
          <w:rFonts w:cs="Arial"/>
          <w:sz w:val="22"/>
          <w:szCs w:val="22"/>
        </w:rPr>
        <w:t xml:space="preserve">Some jurisdictions have other registration </w:t>
      </w:r>
      <w:r w:rsidR="00F376C5" w:rsidRPr="006340F9">
        <w:rPr>
          <w:rFonts w:cs="Arial"/>
          <w:sz w:val="22"/>
          <w:szCs w:val="22"/>
        </w:rPr>
        <w:t>conditions</w:t>
      </w:r>
      <w:r w:rsidRPr="006340F9">
        <w:rPr>
          <w:rFonts w:cs="Arial"/>
          <w:sz w:val="22"/>
          <w:szCs w:val="22"/>
        </w:rPr>
        <w:t xml:space="preserve"> in addition to RTAC accredi</w:t>
      </w:r>
      <w:r w:rsidR="00C62EDC" w:rsidRPr="006340F9">
        <w:rPr>
          <w:rFonts w:cs="Arial"/>
          <w:sz w:val="22"/>
          <w:szCs w:val="22"/>
        </w:rPr>
        <w:t>tation</w:t>
      </w:r>
      <w:r w:rsidRPr="006340F9">
        <w:rPr>
          <w:rFonts w:cs="Arial"/>
          <w:sz w:val="22"/>
          <w:szCs w:val="22"/>
        </w:rPr>
        <w:t xml:space="preserve">. This enables those jurisdictions to address any perceived gaps in the RTAC accreditation scheme. For example, </w:t>
      </w:r>
      <w:r w:rsidR="00F376C5" w:rsidRPr="006340F9">
        <w:rPr>
          <w:rFonts w:cs="Arial"/>
          <w:sz w:val="22"/>
          <w:szCs w:val="22"/>
        </w:rPr>
        <w:t>South Australia</w:t>
      </w:r>
      <w:r w:rsidR="00BC6BB4" w:rsidRPr="006340F9">
        <w:rPr>
          <w:rFonts w:cs="Arial"/>
          <w:sz w:val="22"/>
          <w:szCs w:val="22"/>
        </w:rPr>
        <w:t xml:space="preserve"> and Western Australia</w:t>
      </w:r>
      <w:r w:rsidRPr="006340F9">
        <w:rPr>
          <w:rFonts w:cs="Arial"/>
          <w:sz w:val="22"/>
          <w:szCs w:val="22"/>
        </w:rPr>
        <w:t xml:space="preserve"> require</w:t>
      </w:r>
      <w:r w:rsidR="00F376C5" w:rsidRPr="006340F9">
        <w:rPr>
          <w:rFonts w:cs="Arial"/>
          <w:sz w:val="22"/>
          <w:szCs w:val="22"/>
        </w:rPr>
        <w:t>s</w:t>
      </w:r>
      <w:r w:rsidRPr="006340F9">
        <w:rPr>
          <w:rFonts w:cs="Arial"/>
          <w:sz w:val="22"/>
          <w:szCs w:val="22"/>
        </w:rPr>
        <w:t xml:space="preserve"> ART units to provide the regulatory authority with a copy of their RTAC surveillance audit reports and any corrective action plans</w:t>
      </w:r>
      <w:r w:rsidR="006A4810" w:rsidRPr="006340F9">
        <w:rPr>
          <w:rFonts w:cs="Arial"/>
          <w:sz w:val="22"/>
          <w:szCs w:val="22"/>
        </w:rPr>
        <w:t>.</w:t>
      </w:r>
      <w:r w:rsidRPr="006340F9">
        <w:rPr>
          <w:rFonts w:cs="Arial"/>
          <w:sz w:val="22"/>
          <w:szCs w:val="22"/>
        </w:rPr>
        <w:t xml:space="preserve"> This seeks to</w:t>
      </w:r>
      <w:r w:rsidRPr="006340F9" w:rsidDel="0065629D">
        <w:rPr>
          <w:rFonts w:cs="Arial"/>
          <w:sz w:val="22"/>
          <w:szCs w:val="22"/>
        </w:rPr>
        <w:t xml:space="preserve"> </w:t>
      </w:r>
      <w:r w:rsidR="0065629D" w:rsidRPr="006340F9">
        <w:rPr>
          <w:rFonts w:cs="Arial"/>
          <w:sz w:val="22"/>
          <w:szCs w:val="22"/>
        </w:rPr>
        <w:t xml:space="preserve">correct </w:t>
      </w:r>
      <w:r w:rsidRPr="006340F9">
        <w:rPr>
          <w:rFonts w:cs="Arial"/>
          <w:sz w:val="22"/>
          <w:szCs w:val="22"/>
        </w:rPr>
        <w:t xml:space="preserve">a weakness in the information flow between RTAC and regulatory authorities. </w:t>
      </w:r>
      <w:r w:rsidR="003C3421" w:rsidRPr="006340F9">
        <w:rPr>
          <w:rFonts w:cs="Arial"/>
          <w:sz w:val="22"/>
          <w:szCs w:val="22"/>
        </w:rPr>
        <w:t xml:space="preserve">Additionally, </w:t>
      </w:r>
      <w:r w:rsidR="00846B0B" w:rsidRPr="006340F9">
        <w:rPr>
          <w:rFonts w:cs="Arial"/>
          <w:sz w:val="22"/>
          <w:szCs w:val="22"/>
        </w:rPr>
        <w:t xml:space="preserve">from March 2026, Queensland will be able to consider a range of factors in issuing a licence to an ART provider, none of which are bound to RTAC accreditation. </w:t>
      </w:r>
      <w:r w:rsidR="00BC5F4A" w:rsidRPr="006340F9">
        <w:rPr>
          <w:rFonts w:cs="Arial"/>
          <w:sz w:val="22"/>
          <w:szCs w:val="22"/>
        </w:rPr>
        <w:t xml:space="preserve">In contrast, </w:t>
      </w:r>
      <w:r w:rsidR="00222558" w:rsidRPr="006340F9">
        <w:rPr>
          <w:rFonts w:cs="Arial"/>
          <w:sz w:val="22"/>
          <w:szCs w:val="22"/>
        </w:rPr>
        <w:t>the</w:t>
      </w:r>
      <w:r w:rsidR="00F50693" w:rsidRPr="006340F9">
        <w:rPr>
          <w:rFonts w:cs="Arial"/>
          <w:sz w:val="22"/>
          <w:szCs w:val="22"/>
        </w:rPr>
        <w:t xml:space="preserve"> Australian Capital Territory and Victorian legislation only permit registration conditions</w:t>
      </w:r>
      <w:r w:rsidR="00934A1D" w:rsidRPr="006340F9">
        <w:rPr>
          <w:rFonts w:cs="Arial"/>
          <w:sz w:val="22"/>
          <w:szCs w:val="22"/>
        </w:rPr>
        <w:t xml:space="preserve"> for a provider</w:t>
      </w:r>
      <w:r w:rsidR="00F50693" w:rsidRPr="006340F9">
        <w:rPr>
          <w:rFonts w:cs="Arial"/>
          <w:sz w:val="22"/>
          <w:szCs w:val="22"/>
        </w:rPr>
        <w:t xml:space="preserve"> that are consistent with any </w:t>
      </w:r>
      <w:r w:rsidR="00410BE3" w:rsidRPr="006340F9">
        <w:rPr>
          <w:rFonts w:cs="Arial"/>
          <w:sz w:val="22"/>
          <w:szCs w:val="22"/>
        </w:rPr>
        <w:t xml:space="preserve">conditions </w:t>
      </w:r>
      <w:r w:rsidR="00934A1D" w:rsidRPr="006340F9">
        <w:rPr>
          <w:rFonts w:cs="Arial"/>
          <w:sz w:val="22"/>
          <w:szCs w:val="22"/>
        </w:rPr>
        <w:t>of</w:t>
      </w:r>
      <w:r w:rsidR="00410BE3" w:rsidRPr="006340F9">
        <w:rPr>
          <w:rFonts w:cs="Arial"/>
          <w:sz w:val="22"/>
          <w:szCs w:val="22"/>
        </w:rPr>
        <w:t xml:space="preserve"> </w:t>
      </w:r>
      <w:r w:rsidR="00D31B92" w:rsidRPr="006340F9">
        <w:rPr>
          <w:rFonts w:cs="Arial"/>
          <w:sz w:val="22"/>
          <w:szCs w:val="22"/>
        </w:rPr>
        <w:t>RTAC accreditation</w:t>
      </w:r>
      <w:r w:rsidR="00222558" w:rsidRPr="006340F9">
        <w:rPr>
          <w:rFonts w:cs="Arial"/>
          <w:sz w:val="22"/>
          <w:szCs w:val="22"/>
        </w:rPr>
        <w:t>.</w:t>
      </w:r>
    </w:p>
    <w:p w14:paraId="7F361C8B" w14:textId="76A489F1" w:rsidR="00C3124C" w:rsidRPr="006340F9" w:rsidRDefault="00C3124C" w:rsidP="00C3124C">
      <w:pPr>
        <w:jc w:val="both"/>
        <w:rPr>
          <w:rFonts w:cs="Arial"/>
          <w:sz w:val="22"/>
          <w:szCs w:val="22"/>
        </w:rPr>
      </w:pPr>
      <w:r w:rsidRPr="006340F9">
        <w:rPr>
          <w:rFonts w:cs="Arial"/>
          <w:sz w:val="22"/>
          <w:szCs w:val="22"/>
        </w:rPr>
        <w:t xml:space="preserve">Providers that operate clinics in multiple jurisdictions reported that the variation in regulatory requirements across jurisdictions creates an unnecessary regulatory burden. </w:t>
      </w:r>
      <w:r w:rsidR="009A7EF2" w:rsidRPr="006340F9">
        <w:rPr>
          <w:rFonts w:cs="Arial"/>
          <w:sz w:val="22"/>
          <w:szCs w:val="22"/>
        </w:rPr>
        <w:t>Our</w:t>
      </w:r>
      <w:r w:rsidRPr="006340F9">
        <w:rPr>
          <w:rFonts w:cs="Arial"/>
          <w:sz w:val="22"/>
          <w:szCs w:val="22"/>
        </w:rPr>
        <w:t xml:space="preserve"> review of the </w:t>
      </w:r>
      <w:r w:rsidRPr="006340F9">
        <w:rPr>
          <w:rStyle w:val="BodyChar"/>
        </w:rPr>
        <w:t xml:space="preserve">relevant </w:t>
      </w:r>
      <w:r w:rsidR="00EC182E" w:rsidRPr="006340F9">
        <w:rPr>
          <w:rStyle w:val="BodyChar"/>
        </w:rPr>
        <w:t>State and Territory</w:t>
      </w:r>
      <w:r w:rsidR="00EC182E" w:rsidRPr="006340F9" w:rsidDel="00EC182E">
        <w:rPr>
          <w:rStyle w:val="BodyChar"/>
        </w:rPr>
        <w:t xml:space="preserve"> </w:t>
      </w:r>
      <w:r w:rsidRPr="006340F9">
        <w:rPr>
          <w:rStyle w:val="BodyChar"/>
        </w:rPr>
        <w:t>legislation</w:t>
      </w:r>
      <w:r w:rsidRPr="006340F9">
        <w:rPr>
          <w:rFonts w:cs="Arial"/>
          <w:sz w:val="22"/>
          <w:szCs w:val="22"/>
        </w:rPr>
        <w:t xml:space="preserve"> suggests that</w:t>
      </w:r>
      <w:r w:rsidR="009A7EF2" w:rsidRPr="006340F9">
        <w:rPr>
          <w:rFonts w:cs="Arial"/>
          <w:sz w:val="22"/>
          <w:szCs w:val="22"/>
        </w:rPr>
        <w:t>,</w:t>
      </w:r>
      <w:r w:rsidRPr="006340F9">
        <w:rPr>
          <w:rFonts w:cs="Arial"/>
          <w:sz w:val="22"/>
          <w:szCs w:val="22"/>
        </w:rPr>
        <w:t xml:space="preserve"> with the exception of providers operating in Western Australia and Tasmania who are subject to jurisdictional audits,</w:t>
      </w:r>
      <w:r w:rsidRPr="006340F9">
        <w:rPr>
          <w:rStyle w:val="FootnoteReference"/>
          <w:rFonts w:cs="Arial"/>
          <w:sz w:val="22"/>
          <w:szCs w:val="22"/>
        </w:rPr>
        <w:footnoteReference w:id="147"/>
      </w:r>
      <w:r w:rsidRPr="006340F9">
        <w:rPr>
          <w:rFonts w:cs="Arial"/>
          <w:sz w:val="22"/>
          <w:szCs w:val="22"/>
        </w:rPr>
        <w:t xml:space="preserve"> the market entry regulatory burden is more associated with the process of applying for registration in separate jurisdictions – which have varying registration periods and may impose different conditions – rather than particularly onerous registration requirements in any jurisdiction.</w:t>
      </w:r>
    </w:p>
    <w:p w14:paraId="59F20B90" w14:textId="77777777" w:rsidR="00C3124C" w:rsidRPr="006340F9" w:rsidRDefault="00C3124C" w:rsidP="004600B7">
      <w:pPr>
        <w:pStyle w:val="Heading3"/>
      </w:pPr>
      <w:bookmarkStart w:id="115" w:name="_Ref207631249"/>
      <w:r w:rsidRPr="006340F9">
        <w:t>Registration requirements of the ART workforce are broadly appropriate</w:t>
      </w:r>
      <w:bookmarkEnd w:id="115"/>
    </w:p>
    <w:p w14:paraId="35B271F3" w14:textId="3B72EE7B" w:rsidR="00C3124C" w:rsidRPr="006340F9" w:rsidRDefault="00C3124C" w:rsidP="00C3124C">
      <w:pPr>
        <w:pStyle w:val="Body"/>
      </w:pPr>
      <w:r w:rsidRPr="006340F9">
        <w:t>Most stakeholders were satisfied with the current requirements for medical and nursing</w:t>
      </w:r>
      <w:r w:rsidR="006F706E" w:rsidRPr="006340F9">
        <w:t xml:space="preserve"> </w:t>
      </w:r>
      <w:r w:rsidR="00AD1CC4" w:rsidRPr="006340F9">
        <w:t>practitioners</w:t>
      </w:r>
      <w:r w:rsidRPr="006340F9">
        <w:t xml:space="preserve"> to be registered with </w:t>
      </w:r>
      <w:proofErr w:type="spellStart"/>
      <w:r w:rsidRPr="006340F9">
        <w:t>Ahpra</w:t>
      </w:r>
      <w:proofErr w:type="spellEnd"/>
      <w:r w:rsidRPr="006340F9">
        <w:t xml:space="preserve">. As noted in </w:t>
      </w:r>
      <w:r w:rsidR="002F7CFD" w:rsidRPr="006340F9">
        <w:t>chapter</w:t>
      </w:r>
      <w:r w:rsidRPr="006340F9">
        <w:t xml:space="preserve"> </w:t>
      </w:r>
      <w:r w:rsidR="007C2F89" w:rsidRPr="006340F9">
        <w:fldChar w:fldCharType="begin"/>
      </w:r>
      <w:r w:rsidR="007C2F89" w:rsidRPr="006340F9">
        <w:instrText xml:space="preserve"> REF _Ref207633431 \r \h </w:instrText>
      </w:r>
      <w:r w:rsidR="007C2F89" w:rsidRPr="006340F9">
        <w:fldChar w:fldCharType="separate"/>
      </w:r>
      <w:r w:rsidR="007D732A">
        <w:t>2</w:t>
      </w:r>
      <w:r w:rsidR="007C2F89" w:rsidRPr="006340F9">
        <w:fldChar w:fldCharType="end"/>
      </w:r>
      <w:r w:rsidRPr="006340F9">
        <w:t xml:space="preserve">, of those key personnel that do not fall within </w:t>
      </w:r>
      <w:proofErr w:type="spellStart"/>
      <w:r w:rsidRPr="006340F9">
        <w:t>Ahpra’s</w:t>
      </w:r>
      <w:proofErr w:type="spellEnd"/>
      <w:r w:rsidRPr="006340F9">
        <w:t xml:space="preserve"> NRAS, the </w:t>
      </w:r>
      <w:r w:rsidR="00DB2306" w:rsidRPr="006340F9">
        <w:t>Code of Practice</w:t>
      </w:r>
      <w:r w:rsidRPr="006340F9">
        <w:t xml:space="preserve"> requires all staff to be authorised to </w:t>
      </w:r>
      <w:r w:rsidRPr="006340F9">
        <w:lastRenderedPageBreak/>
        <w:t xml:space="preserve">perform the functions for which they have been employed, with specific requirements for most non-NRAS professions, including laboratory managers, counsellors and quality managers. </w:t>
      </w:r>
    </w:p>
    <w:p w14:paraId="19CA3A91" w14:textId="0AD08DA6" w:rsidR="00C3124C" w:rsidRPr="006340F9" w:rsidRDefault="00C3124C" w:rsidP="00C3124C">
      <w:pPr>
        <w:pStyle w:val="Body"/>
      </w:pPr>
      <w:r w:rsidRPr="006340F9">
        <w:t xml:space="preserve">However, the role of the embryologist is not defined in the </w:t>
      </w:r>
      <w:r w:rsidR="00DB2306" w:rsidRPr="006340F9">
        <w:t>Code of Practice</w:t>
      </w:r>
      <w:r w:rsidRPr="006340F9">
        <w:t xml:space="preserve">. It was apparent to us that there was significant variation in the experience </w:t>
      </w:r>
      <w:r w:rsidR="008535C4" w:rsidRPr="006340F9">
        <w:t xml:space="preserve">required </w:t>
      </w:r>
      <w:r w:rsidRPr="006340F9">
        <w:t>of embryologists, particularly senior embryologists, between clinics. This variation</w:t>
      </w:r>
      <w:r w:rsidRPr="006340F9" w:rsidDel="00E82404">
        <w:t xml:space="preserve"> </w:t>
      </w:r>
      <w:r w:rsidR="00E82404" w:rsidRPr="006340F9">
        <w:t xml:space="preserve">is </w:t>
      </w:r>
      <w:r w:rsidRPr="006340F9">
        <w:t xml:space="preserve">enabled by a lack of professional requirements for embryologists. In this regard, Australia’s regulatory approach to embryologists differs from that of New Zealand and the </w:t>
      </w:r>
      <w:r w:rsidR="00E82404" w:rsidRPr="006340F9">
        <w:t>United Kingdom (</w:t>
      </w:r>
      <w:r w:rsidRPr="006340F9">
        <w:t>UK</w:t>
      </w:r>
      <w:r w:rsidR="00E82404" w:rsidRPr="006340F9">
        <w:t>)</w:t>
      </w:r>
      <w:r w:rsidRPr="006340F9">
        <w:t xml:space="preserve">. In New Zealand clinical embryologists must be registered with the Medical Science Council. </w:t>
      </w:r>
      <w:r w:rsidRPr="006340F9">
        <w:rPr>
          <w:rStyle w:val="FootnoteReference"/>
        </w:rPr>
        <w:footnoteReference w:id="148"/>
      </w:r>
      <w:r w:rsidRPr="006340F9">
        <w:t xml:space="preserve"> In the </w:t>
      </w:r>
      <w:r w:rsidR="00620018" w:rsidRPr="006340F9">
        <w:t>UK</w:t>
      </w:r>
      <w:r w:rsidRPr="006340F9">
        <w:t>, clinical scientists, including embryologists, must be registered with the Health and Care Professions Council.</w:t>
      </w:r>
      <w:r w:rsidRPr="006340F9">
        <w:rPr>
          <w:rStyle w:val="FootnoteReference"/>
        </w:rPr>
        <w:footnoteReference w:id="149"/>
      </w:r>
      <w:r w:rsidRPr="006340F9">
        <w:t xml:space="preserve"> Unlike Australia, both councils require minimum qualifications and continuing professional development </w:t>
      </w:r>
      <w:r w:rsidR="00E20A8D" w:rsidRPr="006340F9">
        <w:t>(CPD)</w:t>
      </w:r>
      <w:r w:rsidRPr="006340F9">
        <w:t xml:space="preserve"> from embryologists to ensure that this profession</w:t>
      </w:r>
      <w:r w:rsidRPr="006340F9" w:rsidDel="00806C3B">
        <w:t xml:space="preserve"> </w:t>
      </w:r>
      <w:r w:rsidRPr="006340F9">
        <w:t>meets minimum standards. These requirements do not exist in Australia, although many embryologists are members of the Australian Institute of Medical and Clinical Scientists (AIMS) and/or the Australian Council for the Certification of the Medical Laboratory Scientific Workforce (CMLS).</w:t>
      </w:r>
    </w:p>
    <w:p w14:paraId="7E35847E" w14:textId="25C02733" w:rsidR="00C3124C" w:rsidRPr="006340F9" w:rsidRDefault="00C3124C" w:rsidP="00C3124C">
      <w:pPr>
        <w:pStyle w:val="Body"/>
      </w:pPr>
      <w:r w:rsidRPr="006340F9">
        <w:t xml:space="preserve">There was not widespread support among stakeholders to extend </w:t>
      </w:r>
      <w:proofErr w:type="spellStart"/>
      <w:r w:rsidRPr="006340F9">
        <w:t>Ahpra</w:t>
      </w:r>
      <w:proofErr w:type="spellEnd"/>
      <w:r w:rsidRPr="006340F9">
        <w:t xml:space="preserve"> registration to embryologists and other ART professions that are not currently party to </w:t>
      </w:r>
      <w:proofErr w:type="spellStart"/>
      <w:r w:rsidRPr="006340F9">
        <w:t>Ahpra’s</w:t>
      </w:r>
      <w:proofErr w:type="spellEnd"/>
      <w:r w:rsidRPr="006340F9">
        <w:t xml:space="preserve"> NRAS.</w:t>
      </w:r>
      <w:r w:rsidR="00AB3F01" w:rsidRPr="006340F9">
        <w:t xml:space="preserve"> We agree with that position. We see little, if any, benefit of adding embryologists to the NRAS</w:t>
      </w:r>
      <w:r w:rsidR="0053735D" w:rsidRPr="006340F9">
        <w:t>.</w:t>
      </w:r>
      <w:r w:rsidRPr="006340F9">
        <w:t xml:space="preserve"> Nonetheless, some stakeholders recognised that more prescriptive qualification requirements for embryologists, such as requiring fellowship of AIMS or equivalent, could improve standards of care. </w:t>
      </w:r>
      <w:r w:rsidR="0053735D" w:rsidRPr="006340F9">
        <w:t xml:space="preserve">We agree that there is merit in considering </w:t>
      </w:r>
      <w:r w:rsidR="0064529E" w:rsidRPr="006340F9">
        <w:t>such requirements.</w:t>
      </w:r>
    </w:p>
    <w:p w14:paraId="6628E256" w14:textId="577B109D" w:rsidR="00C3124C" w:rsidRPr="006340F9" w:rsidRDefault="00C3124C" w:rsidP="00C3124C">
      <w:pPr>
        <w:pStyle w:val="Body"/>
      </w:pPr>
      <w:r w:rsidRPr="006340F9">
        <w:t xml:space="preserve">Some stakeholders also advised that the </w:t>
      </w:r>
      <w:r w:rsidR="00DB2306" w:rsidRPr="006340F9">
        <w:t>Code of Practice</w:t>
      </w:r>
      <w:r w:rsidRPr="006340F9">
        <w:t xml:space="preserve"> could usefully include more prescriptive guidance on staffing requirements.</w:t>
      </w:r>
    </w:p>
    <w:p w14:paraId="497FF427" w14:textId="6846DE52" w:rsidR="00C3124C" w:rsidRPr="006340F9" w:rsidRDefault="00C3124C" w:rsidP="0062093F">
      <w:pPr>
        <w:pStyle w:val="Heading2"/>
      </w:pPr>
      <w:bookmarkStart w:id="116" w:name="_Ref207972688"/>
      <w:bookmarkStart w:id="117" w:name="_Ref207972744"/>
      <w:bookmarkStart w:id="118" w:name="_Toc207976238"/>
      <w:bookmarkStart w:id="119" w:name="_Toc209441991"/>
      <w:r w:rsidRPr="006340F9">
        <w:t>Market conduct</w:t>
      </w:r>
      <w:r w:rsidR="0082151C" w:rsidRPr="006340F9">
        <w:t xml:space="preserve"> – accreditation</w:t>
      </w:r>
      <w:bookmarkEnd w:id="116"/>
      <w:bookmarkEnd w:id="117"/>
      <w:bookmarkEnd w:id="118"/>
      <w:bookmarkEnd w:id="119"/>
    </w:p>
    <w:p w14:paraId="06BC0827" w14:textId="379442A3" w:rsidR="00A64D0C" w:rsidRPr="006340F9" w:rsidRDefault="00E428B4" w:rsidP="00A64D0C">
      <w:pPr>
        <w:pStyle w:val="Body"/>
      </w:pPr>
      <w:r w:rsidRPr="006340F9">
        <w:t xml:space="preserve">In this </w:t>
      </w:r>
      <w:r w:rsidR="00720B35" w:rsidRPr="006340F9">
        <w:t xml:space="preserve">section </w:t>
      </w:r>
      <w:r w:rsidRPr="006340F9">
        <w:t xml:space="preserve">we </w:t>
      </w:r>
      <w:r w:rsidR="00720B35" w:rsidRPr="006340F9">
        <w:t xml:space="preserve">outline the issues </w:t>
      </w:r>
      <w:r w:rsidRPr="006340F9">
        <w:t xml:space="preserve">we </w:t>
      </w:r>
      <w:r w:rsidR="00720B35" w:rsidRPr="006340F9">
        <w:t xml:space="preserve">identified with the </w:t>
      </w:r>
      <w:r w:rsidR="007E68E3" w:rsidRPr="006340F9">
        <w:t>ongoing accreditation of licen</w:t>
      </w:r>
      <w:r w:rsidR="009E3368" w:rsidRPr="006340F9">
        <w:t xml:space="preserve">sed providers through </w:t>
      </w:r>
      <w:r w:rsidR="00147794" w:rsidRPr="006340F9">
        <w:t>RTAC audits and use of accreditation data.</w:t>
      </w:r>
      <w:r w:rsidR="007E68E3" w:rsidRPr="006340F9">
        <w:t xml:space="preserve"> </w:t>
      </w:r>
    </w:p>
    <w:p w14:paraId="4CC6601F" w14:textId="77777777" w:rsidR="00C3124C" w:rsidRPr="006340F9" w:rsidRDefault="00C3124C" w:rsidP="004600B7">
      <w:pPr>
        <w:pStyle w:val="Heading3"/>
      </w:pPr>
      <w:bookmarkStart w:id="120" w:name="_Ref207635517"/>
      <w:r w:rsidRPr="006340F9">
        <w:t>Re-accreditation processes require improvement</w:t>
      </w:r>
      <w:bookmarkEnd w:id="120"/>
      <w:r w:rsidRPr="006340F9">
        <w:t xml:space="preserve"> </w:t>
      </w:r>
    </w:p>
    <w:p w14:paraId="400C0BCC" w14:textId="700D073E" w:rsidR="000A63A8" w:rsidRPr="006340F9" w:rsidRDefault="00A40A40" w:rsidP="004706E9">
      <w:pPr>
        <w:pStyle w:val="Heading4"/>
      </w:pPr>
      <w:r w:rsidRPr="006340F9">
        <w:t>RTAC</w:t>
      </w:r>
      <w:r w:rsidR="00BC4B9C" w:rsidRPr="006340F9">
        <w:t xml:space="preserve"> surveillance audits</w:t>
      </w:r>
      <w:r w:rsidRPr="006340F9">
        <w:t xml:space="preserve"> </w:t>
      </w:r>
      <w:r w:rsidR="0045572B" w:rsidRPr="006340F9">
        <w:t>lack independence and quality</w:t>
      </w:r>
    </w:p>
    <w:p w14:paraId="71626AF0" w14:textId="21BCCD23" w:rsidR="00C3124C" w:rsidRPr="006340F9" w:rsidRDefault="00C3124C" w:rsidP="00C3124C">
      <w:pPr>
        <w:pStyle w:val="Body"/>
      </w:pPr>
      <w:r w:rsidRPr="006340F9">
        <w:t>Currently,</w:t>
      </w:r>
      <w:r w:rsidR="009E74AF" w:rsidRPr="006340F9">
        <w:t xml:space="preserve"> </w:t>
      </w:r>
      <w:r w:rsidRPr="006340F9">
        <w:t>RTAC requires each ART unit to undergo an annual audit to maintain accreditation.</w:t>
      </w:r>
      <w:r w:rsidR="004D1601" w:rsidRPr="006340F9">
        <w:rPr>
          <w:rStyle w:val="FootnoteReference"/>
        </w:rPr>
        <w:footnoteReference w:id="150"/>
      </w:r>
      <w:r w:rsidRPr="006340F9">
        <w:t xml:space="preserve"> This approach seeks to offer regular opportunities to identify and report non-conformities with the Code of Practice. Annual auditing is commendable. Although it could be argued that with strong</w:t>
      </w:r>
      <w:r w:rsidR="00FC18CF" w:rsidRPr="006340F9">
        <w:t>er</w:t>
      </w:r>
      <w:r w:rsidRPr="006340F9">
        <w:t xml:space="preserve"> and </w:t>
      </w:r>
      <w:r w:rsidR="00FC18CF" w:rsidRPr="006340F9">
        <w:t xml:space="preserve">more </w:t>
      </w:r>
      <w:r w:rsidRPr="006340F9">
        <w:t xml:space="preserve">effective standards and </w:t>
      </w:r>
      <w:r w:rsidR="00FC18CF" w:rsidRPr="006340F9">
        <w:t>more</w:t>
      </w:r>
      <w:r w:rsidR="003642FD" w:rsidRPr="006340F9">
        <w:t xml:space="preserve"> </w:t>
      </w:r>
      <w:r w:rsidRPr="006340F9">
        <w:t>robust accreditation processes with transparent outcomes</w:t>
      </w:r>
      <w:r w:rsidR="003256EA" w:rsidRPr="006340F9">
        <w:t>,</w:t>
      </w:r>
      <w:r w:rsidRPr="006340F9">
        <w:t xml:space="preserve"> less frequent auditing may be just as effective and significantly less burdensome</w:t>
      </w:r>
      <w:r w:rsidR="00FC18CF" w:rsidRPr="006340F9">
        <w:t xml:space="preserve"> for all</w:t>
      </w:r>
      <w:r w:rsidRPr="006340F9">
        <w:t xml:space="preserve">. </w:t>
      </w:r>
    </w:p>
    <w:p w14:paraId="67AD65AE" w14:textId="3FE5C10D" w:rsidR="00C3124C" w:rsidRPr="006340F9" w:rsidRDefault="00C3124C" w:rsidP="00C3124C">
      <w:pPr>
        <w:pStyle w:val="Body"/>
      </w:pPr>
      <w:r w:rsidRPr="006340F9">
        <w:lastRenderedPageBreak/>
        <w:t xml:space="preserve">In that regard, RTAC’s reaccreditation (market conduct) processes for ART units have the same weaknesses as its market entry accreditation processes – lack of independence, inherent conflicts of interest, reliance on an individual’s decision making, lack of performance monitoring of audit agencies, the lack of clear, defensible standards for decision making, lack of transparency of outcomes, </w:t>
      </w:r>
      <w:r w:rsidR="00E4154E" w:rsidRPr="006340F9">
        <w:t xml:space="preserve">and </w:t>
      </w:r>
      <w:r w:rsidRPr="006340F9">
        <w:t>inadequately resourced functions. In addition, we identified some other weaknesses</w:t>
      </w:r>
      <w:r w:rsidR="003256EA" w:rsidRPr="006340F9">
        <w:t>, outlined below.</w:t>
      </w:r>
    </w:p>
    <w:p w14:paraId="0222C504" w14:textId="77777777" w:rsidR="00C3124C" w:rsidRPr="006340F9" w:rsidRDefault="00C3124C" w:rsidP="008B0D93">
      <w:pPr>
        <w:pStyle w:val="Body"/>
        <w:keepNext/>
        <w:spacing w:after="0"/>
        <w:rPr>
          <w:b/>
          <w:bCs/>
        </w:rPr>
      </w:pPr>
      <w:r w:rsidRPr="006340F9">
        <w:rPr>
          <w:b/>
          <w:bCs/>
        </w:rPr>
        <w:t>Lack of audit independence</w:t>
      </w:r>
    </w:p>
    <w:p w14:paraId="0AECE726" w14:textId="77777777" w:rsidR="00C3124C" w:rsidRPr="006340F9" w:rsidRDefault="00C3124C" w:rsidP="008B0D93">
      <w:pPr>
        <w:pStyle w:val="Body"/>
        <w:keepNext/>
      </w:pPr>
      <w:r w:rsidRPr="006340F9">
        <w:t xml:space="preserve">Due to the very small pool of auditors, there is a risk of regulatory capture and lack of independence. The same auditors, and in many cases the same auditing individuals, have been undertaking ART unit audits year after year after year. </w:t>
      </w:r>
    </w:p>
    <w:p w14:paraId="3D6C553B" w14:textId="77777777" w:rsidR="00C3124C" w:rsidRPr="006340F9" w:rsidRDefault="00C3124C" w:rsidP="001144E3">
      <w:pPr>
        <w:pStyle w:val="Body"/>
        <w:spacing w:after="0"/>
        <w:rPr>
          <w:b/>
          <w:bCs/>
        </w:rPr>
      </w:pPr>
      <w:r w:rsidRPr="006340F9">
        <w:rPr>
          <w:b/>
          <w:bCs/>
        </w:rPr>
        <w:t>Insufficient audit quality</w:t>
      </w:r>
    </w:p>
    <w:p w14:paraId="000E7A4A" w14:textId="1A320864" w:rsidR="00C3124C" w:rsidRPr="006340F9" w:rsidRDefault="00C3124C" w:rsidP="00C3124C">
      <w:pPr>
        <w:pStyle w:val="Body"/>
      </w:pPr>
      <w:r w:rsidRPr="006340F9">
        <w:t xml:space="preserve">Concerns around the quality, and lack of transparency, of RTAC audits were raised in the </w:t>
      </w:r>
      <w:r w:rsidR="00326ED2" w:rsidRPr="006340F9">
        <w:t xml:space="preserve">2024 </w:t>
      </w:r>
      <w:r w:rsidRPr="006340F9">
        <w:t xml:space="preserve">investigation into </w:t>
      </w:r>
      <w:r w:rsidR="00326ED2" w:rsidRPr="006340F9">
        <w:t xml:space="preserve">Queensland </w:t>
      </w:r>
      <w:r w:rsidRPr="006340F9">
        <w:t>ART providers.</w:t>
      </w:r>
      <w:r w:rsidRPr="006340F9">
        <w:rPr>
          <w:rStyle w:val="FootnoteReference"/>
        </w:rPr>
        <w:footnoteReference w:id="151"/>
      </w:r>
      <w:r w:rsidRPr="006340F9">
        <w:t xml:space="preserve"> The Gorton Review also heard mixed views on the audit processes from stakeholders.</w:t>
      </w:r>
      <w:r w:rsidRPr="006340F9">
        <w:rPr>
          <w:rStyle w:val="FootnoteReference"/>
        </w:rPr>
        <w:footnoteReference w:id="152"/>
      </w:r>
      <w:r w:rsidRPr="006340F9">
        <w:t xml:space="preserve"> While some stakeholders told us the audits were comprehensive and a valuable opportunity for improvement, others expressed concerns about the rigour and quality of the surveillance audits.</w:t>
      </w:r>
      <w:r w:rsidR="00E4154E" w:rsidRPr="006340F9">
        <w:t xml:space="preserve"> The lack of a</w:t>
      </w:r>
      <w:r w:rsidR="00A96F15" w:rsidRPr="006340F9">
        <w:t>ssessment of audit qualit</w:t>
      </w:r>
      <w:r w:rsidR="00132AA1" w:rsidRPr="006340F9">
        <w:t xml:space="preserve">y </w:t>
      </w:r>
      <w:r w:rsidR="00FC4A5F" w:rsidRPr="006340F9">
        <w:t>undermines the ability of</w:t>
      </w:r>
      <w:r w:rsidR="00132AA1" w:rsidRPr="006340F9">
        <w:t xml:space="preserve"> </w:t>
      </w:r>
      <w:r w:rsidR="00FC4A5F" w:rsidRPr="006340F9">
        <w:t xml:space="preserve">RTAC and regulators </w:t>
      </w:r>
      <w:r w:rsidR="004F6294" w:rsidRPr="006340F9">
        <w:t>to have</w:t>
      </w:r>
      <w:r w:rsidR="00FC4A5F" w:rsidRPr="006340F9">
        <w:t xml:space="preserve"> confidence in</w:t>
      </w:r>
      <w:r w:rsidR="004F6294" w:rsidRPr="006340F9">
        <w:t xml:space="preserve"> audit quality.</w:t>
      </w:r>
      <w:r w:rsidR="00FF264E" w:rsidRPr="006340F9">
        <w:t xml:space="preserve"> This contrasts with the Commission’s approach to maintaining audit performance.</w:t>
      </w:r>
      <w:r w:rsidR="00FC4A5F" w:rsidRPr="006340F9">
        <w:t xml:space="preserve"> </w:t>
      </w:r>
    </w:p>
    <w:p w14:paraId="46762679" w14:textId="77777777" w:rsidR="00C3124C" w:rsidRPr="006340F9" w:rsidRDefault="00C3124C" w:rsidP="001144E3">
      <w:pPr>
        <w:pStyle w:val="Body"/>
        <w:spacing w:after="0"/>
        <w:rPr>
          <w:b/>
          <w:bCs/>
        </w:rPr>
      </w:pPr>
      <w:r w:rsidRPr="006340F9">
        <w:rPr>
          <w:b/>
          <w:bCs/>
        </w:rPr>
        <w:t>Limited audit capacity</w:t>
      </w:r>
    </w:p>
    <w:p w14:paraId="3DAED5A3" w14:textId="77777777" w:rsidR="00C3124C" w:rsidRPr="006340F9" w:rsidRDefault="00C3124C" w:rsidP="00C3124C">
      <w:pPr>
        <w:pStyle w:val="Body"/>
      </w:pPr>
      <w:r w:rsidRPr="006340F9">
        <w:t>It was apparent that the very small pool of part-time auditors restricts their availability to conduct audits. However, we found no evidence to suggest that this is preventing audits from being completed in a timely manner.</w:t>
      </w:r>
    </w:p>
    <w:p w14:paraId="7746A1FB" w14:textId="77777777" w:rsidR="00C3124C" w:rsidRPr="006340F9" w:rsidRDefault="00C3124C" w:rsidP="001144E3">
      <w:pPr>
        <w:pStyle w:val="Body"/>
        <w:spacing w:after="0"/>
        <w:rPr>
          <w:b/>
          <w:bCs/>
        </w:rPr>
      </w:pPr>
      <w:r w:rsidRPr="006340F9">
        <w:rPr>
          <w:b/>
          <w:bCs/>
        </w:rPr>
        <w:t>Audit timing</w:t>
      </w:r>
    </w:p>
    <w:p w14:paraId="6BC11D3B" w14:textId="3630D071" w:rsidR="00C3124C" w:rsidRPr="006340F9" w:rsidRDefault="00C3124C" w:rsidP="00C3124C">
      <w:pPr>
        <w:pStyle w:val="Body"/>
      </w:pPr>
      <w:r w:rsidRPr="006340F9">
        <w:t xml:space="preserve">Some stakeholders </w:t>
      </w:r>
      <w:r w:rsidR="00236900" w:rsidRPr="006340F9">
        <w:t>expressed concern that some</w:t>
      </w:r>
      <w:r w:rsidR="00AE7995" w:rsidRPr="006340F9">
        <w:t xml:space="preserve"> ART units </w:t>
      </w:r>
      <w:r w:rsidR="00236900" w:rsidRPr="006340F9">
        <w:t xml:space="preserve">could potentially </w:t>
      </w:r>
      <w:r w:rsidRPr="006340F9">
        <w:t xml:space="preserve">“game” the audit process by lowering the number of cycles occurring in the ART </w:t>
      </w:r>
      <w:r w:rsidR="007A784A" w:rsidRPr="006340F9">
        <w:t xml:space="preserve">laboratory </w:t>
      </w:r>
      <w:r w:rsidRPr="006340F9">
        <w:t xml:space="preserve">on the day of the audit. Most provider stakeholders reported to us that they prepared at length for audit visits. This is not unique to ART accreditation processes. Indeed, over recent years the </w:t>
      </w:r>
      <w:r w:rsidR="00AA5A05" w:rsidRPr="006340F9">
        <w:t>Commission</w:t>
      </w:r>
      <w:r w:rsidRPr="006340F9">
        <w:t xml:space="preserve"> introduced short notice assessments, at 24</w:t>
      </w:r>
      <w:r w:rsidR="00C979BA" w:rsidRPr="006340F9">
        <w:t xml:space="preserve"> </w:t>
      </w:r>
      <w:r w:rsidRPr="006340F9">
        <w:t>hours</w:t>
      </w:r>
      <w:r w:rsidR="00C979BA" w:rsidRPr="006340F9">
        <w:t>’</w:t>
      </w:r>
      <w:r w:rsidRPr="006340F9">
        <w:t xml:space="preserve"> notice, specifically to prevent similar gaming but also to reduce preparative burden on providers and to more accurately reflect care as routinely provided. </w:t>
      </w:r>
    </w:p>
    <w:p w14:paraId="6A8B54CC" w14:textId="7E5F0E8E" w:rsidR="00C3124C" w:rsidRPr="006340F9" w:rsidRDefault="00C3124C" w:rsidP="004706E9">
      <w:pPr>
        <w:pStyle w:val="Heading4"/>
        <w:rPr>
          <w:b/>
          <w:bCs/>
        </w:rPr>
      </w:pPr>
      <w:r w:rsidRPr="006340F9">
        <w:t xml:space="preserve">RTAC makes limited use of accreditation data </w:t>
      </w:r>
      <w:r w:rsidR="793A245A" w:rsidRPr="006340F9">
        <w:t>for</w:t>
      </w:r>
      <w:r w:rsidRPr="006340F9">
        <w:t xml:space="preserve"> continuous improvement </w:t>
      </w:r>
    </w:p>
    <w:p w14:paraId="7E40F364" w14:textId="2A0FBA7E" w:rsidR="00C3124C" w:rsidRPr="006340F9" w:rsidRDefault="00C3124C" w:rsidP="00A62945">
      <w:pPr>
        <w:jc w:val="both"/>
        <w:rPr>
          <w:rFonts w:cs="Arial"/>
          <w:sz w:val="22"/>
          <w:szCs w:val="22"/>
        </w:rPr>
      </w:pPr>
      <w:r w:rsidRPr="006340F9">
        <w:rPr>
          <w:rFonts w:cs="Arial"/>
          <w:sz w:val="22"/>
          <w:szCs w:val="22"/>
        </w:rPr>
        <w:t xml:space="preserve">Many stakeholders reported that RTAC does not routinely analyse audit data to inform accreditation processes or to support providers in continuous improvement. </w:t>
      </w:r>
      <w:r w:rsidR="00774ECE" w:rsidRPr="006340F9">
        <w:rPr>
          <w:rFonts w:cs="Arial"/>
          <w:sz w:val="22"/>
          <w:szCs w:val="22"/>
        </w:rPr>
        <w:t xml:space="preserve">We found that this was partially true. </w:t>
      </w:r>
      <w:r w:rsidR="00741CA6" w:rsidRPr="006340F9">
        <w:rPr>
          <w:rFonts w:cs="Arial"/>
          <w:sz w:val="22"/>
          <w:szCs w:val="22"/>
        </w:rPr>
        <w:t xml:space="preserve">If an ART unit reports a high rate of </w:t>
      </w:r>
      <w:r w:rsidR="00A62945" w:rsidRPr="006340F9">
        <w:rPr>
          <w:rFonts w:cs="Arial"/>
          <w:sz w:val="22"/>
          <w:szCs w:val="22"/>
        </w:rPr>
        <w:t xml:space="preserve">notifications of serious adverse events or non-conformities, RTAC advised that they will write to the ART unit for further information and to support remediation. However, </w:t>
      </w:r>
      <w:r w:rsidR="005A7E24" w:rsidRPr="006340F9">
        <w:rPr>
          <w:rFonts w:cs="Arial"/>
          <w:sz w:val="22"/>
          <w:szCs w:val="22"/>
        </w:rPr>
        <w:t>RTAC</w:t>
      </w:r>
      <w:r w:rsidRPr="006340F9">
        <w:rPr>
          <w:rFonts w:cs="Arial"/>
          <w:sz w:val="22"/>
          <w:szCs w:val="22"/>
        </w:rPr>
        <w:t xml:space="preserve"> does not </w:t>
      </w:r>
      <w:r w:rsidR="004C7D6B" w:rsidRPr="006340F9">
        <w:rPr>
          <w:rFonts w:cs="Arial"/>
          <w:sz w:val="22"/>
          <w:szCs w:val="22"/>
        </w:rPr>
        <w:t xml:space="preserve">undertake </w:t>
      </w:r>
      <w:r w:rsidRPr="006340F9">
        <w:rPr>
          <w:rFonts w:cs="Arial"/>
          <w:sz w:val="22"/>
          <w:szCs w:val="22"/>
        </w:rPr>
        <w:t>benchmark</w:t>
      </w:r>
      <w:r w:rsidR="004C7D6B" w:rsidRPr="006340F9">
        <w:rPr>
          <w:rFonts w:cs="Arial"/>
          <w:sz w:val="22"/>
          <w:szCs w:val="22"/>
        </w:rPr>
        <w:t>ing</w:t>
      </w:r>
      <w:r w:rsidR="00F6041E" w:rsidRPr="006340F9">
        <w:rPr>
          <w:rFonts w:cs="Arial"/>
          <w:sz w:val="22"/>
          <w:szCs w:val="22"/>
        </w:rPr>
        <w:t xml:space="preserve"> or</w:t>
      </w:r>
      <w:r w:rsidR="005A7E24" w:rsidRPr="006340F9">
        <w:rPr>
          <w:rFonts w:cs="Arial"/>
          <w:sz w:val="22"/>
          <w:szCs w:val="22"/>
        </w:rPr>
        <w:t xml:space="preserve"> define</w:t>
      </w:r>
      <w:r w:rsidR="004C7D6B" w:rsidRPr="006340F9">
        <w:rPr>
          <w:rFonts w:cs="Arial"/>
          <w:sz w:val="22"/>
          <w:szCs w:val="22"/>
        </w:rPr>
        <w:t xml:space="preserve"> </w:t>
      </w:r>
      <w:r w:rsidR="009F28FC" w:rsidRPr="006340F9">
        <w:rPr>
          <w:rFonts w:cs="Arial"/>
          <w:sz w:val="22"/>
          <w:szCs w:val="22"/>
        </w:rPr>
        <w:t>‘</w:t>
      </w:r>
      <w:r w:rsidR="00946964" w:rsidRPr="006340F9">
        <w:rPr>
          <w:rFonts w:cs="Arial"/>
          <w:sz w:val="22"/>
          <w:szCs w:val="22"/>
        </w:rPr>
        <w:t>reasonable</w:t>
      </w:r>
      <w:r w:rsidR="009F28FC" w:rsidRPr="006340F9">
        <w:rPr>
          <w:rFonts w:cs="Arial"/>
          <w:sz w:val="22"/>
          <w:szCs w:val="22"/>
        </w:rPr>
        <w:t>’</w:t>
      </w:r>
      <w:r w:rsidR="00946964" w:rsidRPr="006340F9">
        <w:rPr>
          <w:rFonts w:cs="Arial"/>
          <w:sz w:val="22"/>
          <w:szCs w:val="22"/>
        </w:rPr>
        <w:t xml:space="preserve"> levels of </w:t>
      </w:r>
      <w:r w:rsidR="009F28FC" w:rsidRPr="006340F9">
        <w:rPr>
          <w:rFonts w:cs="Arial"/>
          <w:sz w:val="22"/>
          <w:szCs w:val="22"/>
        </w:rPr>
        <w:t xml:space="preserve">adverse event reporting </w:t>
      </w:r>
      <w:r w:rsidR="00F6041E" w:rsidRPr="006340F9">
        <w:rPr>
          <w:rFonts w:cs="Arial"/>
          <w:sz w:val="22"/>
          <w:szCs w:val="22"/>
        </w:rPr>
        <w:t>and notifications</w:t>
      </w:r>
      <w:r w:rsidR="00946964" w:rsidRPr="006340F9">
        <w:rPr>
          <w:rFonts w:cs="Arial"/>
          <w:sz w:val="22"/>
          <w:szCs w:val="22"/>
        </w:rPr>
        <w:t xml:space="preserve"> </w:t>
      </w:r>
      <w:r w:rsidR="00F6041E" w:rsidRPr="006340F9">
        <w:rPr>
          <w:rFonts w:cs="Arial"/>
          <w:sz w:val="22"/>
          <w:szCs w:val="22"/>
        </w:rPr>
        <w:t xml:space="preserve">in the Code of Practice. It also </w:t>
      </w:r>
      <w:r w:rsidR="00946964" w:rsidRPr="006340F9">
        <w:rPr>
          <w:rFonts w:cs="Arial"/>
          <w:sz w:val="22"/>
          <w:szCs w:val="22"/>
        </w:rPr>
        <w:t>does not</w:t>
      </w:r>
      <w:r w:rsidRPr="006340F9">
        <w:rPr>
          <w:rFonts w:cs="Arial"/>
          <w:sz w:val="22"/>
          <w:szCs w:val="22"/>
        </w:rPr>
        <w:t xml:space="preserve"> </w:t>
      </w:r>
      <w:r w:rsidR="003E684B" w:rsidRPr="006340F9">
        <w:rPr>
          <w:rFonts w:cs="Arial"/>
          <w:sz w:val="22"/>
          <w:szCs w:val="22"/>
        </w:rPr>
        <w:t xml:space="preserve">review reporting data to identify or </w:t>
      </w:r>
      <w:r w:rsidRPr="006340F9">
        <w:rPr>
          <w:rFonts w:cs="Arial"/>
          <w:sz w:val="22"/>
          <w:szCs w:val="22"/>
        </w:rPr>
        <w:t xml:space="preserve">investigate </w:t>
      </w:r>
      <w:r w:rsidR="00F710E3" w:rsidRPr="006340F9">
        <w:rPr>
          <w:rFonts w:cs="Arial"/>
          <w:sz w:val="22"/>
          <w:szCs w:val="22"/>
        </w:rPr>
        <w:t>potential under-reporting by ART providers</w:t>
      </w:r>
      <w:r w:rsidRPr="006340F9">
        <w:rPr>
          <w:rFonts w:cs="Arial"/>
          <w:sz w:val="22"/>
          <w:szCs w:val="22"/>
        </w:rPr>
        <w:t>.</w:t>
      </w:r>
    </w:p>
    <w:p w14:paraId="1CC64901" w14:textId="0450FEF5" w:rsidR="00C3124C" w:rsidRPr="006340F9" w:rsidRDefault="00C3124C" w:rsidP="00C3124C">
      <w:pPr>
        <w:jc w:val="both"/>
        <w:rPr>
          <w:rFonts w:cs="Arial"/>
          <w:sz w:val="22"/>
          <w:szCs w:val="22"/>
        </w:rPr>
      </w:pPr>
      <w:r w:rsidRPr="006340F9">
        <w:rPr>
          <w:rFonts w:cs="Arial"/>
          <w:sz w:val="22"/>
          <w:szCs w:val="22"/>
        </w:rPr>
        <w:lastRenderedPageBreak/>
        <w:t xml:space="preserve">RTAC does not share audit outcomes, including </w:t>
      </w:r>
      <w:r w:rsidR="00DB45D3" w:rsidRPr="006340F9">
        <w:rPr>
          <w:rFonts w:cs="Arial"/>
          <w:sz w:val="22"/>
          <w:szCs w:val="22"/>
        </w:rPr>
        <w:t>non-conformance reports</w:t>
      </w:r>
      <w:r w:rsidRPr="006340F9">
        <w:rPr>
          <w:rFonts w:cs="Arial"/>
          <w:sz w:val="22"/>
          <w:szCs w:val="22"/>
        </w:rPr>
        <w:t xml:space="preserve">, adverse events or complaints data, with jurisdictional </w:t>
      </w:r>
      <w:r w:rsidR="00EC4FA2" w:rsidRPr="006340F9">
        <w:rPr>
          <w:rFonts w:cs="Arial"/>
          <w:sz w:val="22"/>
          <w:szCs w:val="22"/>
        </w:rPr>
        <w:t>regulatory authorities</w:t>
      </w:r>
      <w:r w:rsidRPr="006340F9">
        <w:rPr>
          <w:rFonts w:cs="Arial"/>
          <w:sz w:val="22"/>
          <w:szCs w:val="22"/>
        </w:rPr>
        <w:t xml:space="preserve">. In comparison, </w:t>
      </w:r>
      <w:r w:rsidR="00B13F8B" w:rsidRPr="006340F9">
        <w:rPr>
          <w:rFonts w:cs="Arial"/>
          <w:sz w:val="22"/>
          <w:szCs w:val="22"/>
        </w:rPr>
        <w:t>the Commission</w:t>
      </w:r>
      <w:r w:rsidRPr="006340F9">
        <w:rPr>
          <w:rFonts w:cs="Arial"/>
          <w:sz w:val="22"/>
          <w:szCs w:val="22"/>
        </w:rPr>
        <w:t xml:space="preserve"> shares accreditation outcomes routinely with jurisdictional </w:t>
      </w:r>
      <w:r w:rsidR="00A011B7" w:rsidRPr="006340F9">
        <w:rPr>
          <w:rFonts w:cs="Arial"/>
          <w:sz w:val="22"/>
          <w:szCs w:val="22"/>
        </w:rPr>
        <w:t>regulatory authorities</w:t>
      </w:r>
      <w:r w:rsidRPr="006340F9">
        <w:rPr>
          <w:rFonts w:cs="Arial"/>
          <w:sz w:val="22"/>
          <w:szCs w:val="22"/>
        </w:rPr>
        <w:t>.</w:t>
      </w:r>
    </w:p>
    <w:p w14:paraId="2148B5F2" w14:textId="0D94C367" w:rsidR="00107D6D" w:rsidRPr="006340F9" w:rsidRDefault="00107D6D" w:rsidP="00C3124C">
      <w:pPr>
        <w:jc w:val="both"/>
        <w:rPr>
          <w:rFonts w:cs="Arial"/>
          <w:sz w:val="22"/>
          <w:szCs w:val="22"/>
        </w:rPr>
      </w:pPr>
      <w:r w:rsidRPr="006340F9">
        <w:rPr>
          <w:rFonts w:cs="Arial"/>
          <w:sz w:val="22"/>
          <w:szCs w:val="22"/>
        </w:rPr>
        <w:t>However, RTAC does issue Technical Bulletins that raise matters of concern that</w:t>
      </w:r>
      <w:r w:rsidR="00F15A8C" w:rsidRPr="006340F9">
        <w:rPr>
          <w:rFonts w:cs="Arial"/>
          <w:sz w:val="22"/>
          <w:szCs w:val="22"/>
        </w:rPr>
        <w:t xml:space="preserve"> have typically been identified through audit findings.</w:t>
      </w:r>
    </w:p>
    <w:p w14:paraId="7DEB60A2" w14:textId="4E5C7DC7" w:rsidR="00C3124C" w:rsidRPr="006340F9" w:rsidRDefault="5F02A38C" w:rsidP="00503480">
      <w:pPr>
        <w:pStyle w:val="Heading5"/>
      </w:pPr>
      <w:r w:rsidRPr="006340F9">
        <w:t>D</w:t>
      </w:r>
      <w:r w:rsidR="00C3124C" w:rsidRPr="006340F9">
        <w:t>ata reported by ART providers to ANZARD are not sufficiently used</w:t>
      </w:r>
    </w:p>
    <w:p w14:paraId="49E72CAC" w14:textId="60F45DC4" w:rsidR="00C3124C" w:rsidRPr="006340F9" w:rsidRDefault="00C3124C" w:rsidP="00C3124C">
      <w:pPr>
        <w:jc w:val="both"/>
        <w:rPr>
          <w:rFonts w:cs="Arial"/>
          <w:sz w:val="22"/>
          <w:szCs w:val="22"/>
        </w:rPr>
      </w:pPr>
      <w:r w:rsidRPr="006340F9">
        <w:rPr>
          <w:rFonts w:cs="Arial"/>
          <w:sz w:val="22"/>
          <w:szCs w:val="22"/>
        </w:rPr>
        <w:t>The Code of Practice requires ART units to provide a significant volume and detail of clinical data to ANZARD.</w:t>
      </w:r>
      <w:r w:rsidRPr="006340F9">
        <w:rPr>
          <w:rStyle w:val="FootnoteReference"/>
          <w:rFonts w:cs="Arial"/>
          <w:sz w:val="22"/>
          <w:szCs w:val="22"/>
        </w:rPr>
        <w:footnoteReference w:id="153"/>
      </w:r>
      <w:r w:rsidRPr="006340F9">
        <w:rPr>
          <w:rFonts w:cs="Arial"/>
          <w:sz w:val="22"/>
          <w:szCs w:val="22"/>
        </w:rPr>
        <w:t xml:space="preserve"> </w:t>
      </w:r>
      <w:r w:rsidR="00206FC9" w:rsidRPr="006340F9">
        <w:rPr>
          <w:rFonts w:cs="Arial"/>
          <w:sz w:val="22"/>
          <w:szCs w:val="22"/>
        </w:rPr>
        <w:t>M</w:t>
      </w:r>
      <w:r w:rsidRPr="006340F9">
        <w:rPr>
          <w:rFonts w:cs="Arial"/>
          <w:sz w:val="22"/>
          <w:szCs w:val="22"/>
        </w:rPr>
        <w:t>any stakeholders raised concerns that ANZARD data are not used to support benchmarking or performance improvement at the provider level, despite its depth and national coverage. While aggregate data are published, clinic-level insights are not made available through ANZARD. We believe this to be a major weakness</w:t>
      </w:r>
      <w:r w:rsidR="00847F9D" w:rsidRPr="006340F9">
        <w:rPr>
          <w:rFonts w:cs="Arial"/>
          <w:sz w:val="22"/>
          <w:szCs w:val="22"/>
        </w:rPr>
        <w:t xml:space="preserve"> and missed opportunity</w:t>
      </w:r>
      <w:r w:rsidRPr="006340F9">
        <w:rPr>
          <w:rFonts w:cs="Arial"/>
          <w:sz w:val="22"/>
          <w:szCs w:val="22"/>
        </w:rPr>
        <w:t>.</w:t>
      </w:r>
    </w:p>
    <w:p w14:paraId="44A9AC35" w14:textId="160B7E72" w:rsidR="00C3124C" w:rsidRPr="006340F9" w:rsidRDefault="00C3124C" w:rsidP="00C3124C">
      <w:pPr>
        <w:jc w:val="both"/>
        <w:rPr>
          <w:sz w:val="22"/>
          <w:szCs w:val="22"/>
          <w:vertAlign w:val="superscript"/>
        </w:rPr>
      </w:pPr>
      <w:r w:rsidRPr="006340F9">
        <w:rPr>
          <w:rFonts w:cs="Arial"/>
          <w:sz w:val="22"/>
          <w:szCs w:val="22"/>
        </w:rPr>
        <w:t xml:space="preserve">Specifically, there is </w:t>
      </w:r>
      <w:r w:rsidR="00847F9D" w:rsidRPr="006340F9">
        <w:rPr>
          <w:rFonts w:cs="Arial"/>
          <w:sz w:val="22"/>
          <w:szCs w:val="22"/>
        </w:rPr>
        <w:t xml:space="preserve">an </w:t>
      </w:r>
      <w:r w:rsidRPr="006340F9">
        <w:rPr>
          <w:rFonts w:cs="Arial"/>
          <w:sz w:val="22"/>
          <w:szCs w:val="22"/>
        </w:rPr>
        <w:t xml:space="preserve">opportunity to use the data that are currently routinely collected and reported to make visible unwarranted variations in practice and outcomes and thereby drive continuous improvement. </w:t>
      </w:r>
      <w:r w:rsidRPr="006340F9">
        <w:rPr>
          <w:sz w:val="22"/>
          <w:szCs w:val="22"/>
        </w:rPr>
        <w:t xml:space="preserve">Such functions are provided by </w:t>
      </w:r>
      <w:r w:rsidR="00B13F8B" w:rsidRPr="006340F9">
        <w:rPr>
          <w:sz w:val="22"/>
          <w:szCs w:val="22"/>
        </w:rPr>
        <w:t>the Commission</w:t>
      </w:r>
      <w:r w:rsidRPr="006340F9">
        <w:rPr>
          <w:sz w:val="22"/>
          <w:szCs w:val="22"/>
        </w:rPr>
        <w:t>, through their Safety and Quality Advice Centre, for other areas of health care.</w:t>
      </w:r>
      <w:r w:rsidR="00847F9D" w:rsidRPr="006340F9">
        <w:rPr>
          <w:sz w:val="22"/>
          <w:szCs w:val="22"/>
        </w:rPr>
        <w:t xml:space="preserve"> It is also a feature of high functioning clinical registries</w:t>
      </w:r>
      <w:r w:rsidR="00202375" w:rsidRPr="006340F9">
        <w:rPr>
          <w:sz w:val="22"/>
          <w:szCs w:val="22"/>
        </w:rPr>
        <w:t xml:space="preserve"> – ANZARD is a clinical registry – such as </w:t>
      </w:r>
      <w:r w:rsidR="001D416A" w:rsidRPr="006340F9">
        <w:rPr>
          <w:sz w:val="22"/>
          <w:szCs w:val="22"/>
        </w:rPr>
        <w:t xml:space="preserve">the </w:t>
      </w:r>
      <w:r w:rsidR="0060270F" w:rsidRPr="006340F9">
        <w:rPr>
          <w:sz w:val="22"/>
          <w:szCs w:val="22"/>
        </w:rPr>
        <w:t>P</w:t>
      </w:r>
      <w:r w:rsidR="001D416A" w:rsidRPr="006340F9">
        <w:rPr>
          <w:sz w:val="22"/>
          <w:szCs w:val="22"/>
        </w:rPr>
        <w:t xml:space="preserve">rostate </w:t>
      </w:r>
      <w:r w:rsidR="0060270F" w:rsidRPr="006340F9">
        <w:rPr>
          <w:sz w:val="22"/>
          <w:szCs w:val="22"/>
        </w:rPr>
        <w:t>C</w:t>
      </w:r>
      <w:r w:rsidR="001D416A" w:rsidRPr="006340F9">
        <w:rPr>
          <w:sz w:val="22"/>
          <w:szCs w:val="22"/>
        </w:rPr>
        <w:t xml:space="preserve">ancer </w:t>
      </w:r>
      <w:r w:rsidR="0060270F" w:rsidRPr="006340F9">
        <w:rPr>
          <w:sz w:val="22"/>
          <w:szCs w:val="22"/>
        </w:rPr>
        <w:t>O</w:t>
      </w:r>
      <w:r w:rsidR="003E7AC4" w:rsidRPr="006340F9">
        <w:rPr>
          <w:sz w:val="22"/>
          <w:szCs w:val="22"/>
        </w:rPr>
        <w:t xml:space="preserve">utcomes </w:t>
      </w:r>
      <w:r w:rsidR="0060270F" w:rsidRPr="006340F9">
        <w:rPr>
          <w:sz w:val="22"/>
          <w:szCs w:val="22"/>
        </w:rPr>
        <w:t>R</w:t>
      </w:r>
      <w:r w:rsidR="001D416A" w:rsidRPr="006340F9">
        <w:rPr>
          <w:sz w:val="22"/>
          <w:szCs w:val="22"/>
        </w:rPr>
        <w:t>egistry</w:t>
      </w:r>
      <w:r w:rsidR="008864AE" w:rsidRPr="006340F9">
        <w:rPr>
          <w:rStyle w:val="FootnoteReference"/>
          <w:sz w:val="22"/>
          <w:szCs w:val="22"/>
        </w:rPr>
        <w:footnoteReference w:id="154"/>
      </w:r>
      <w:r w:rsidR="00861CC0" w:rsidRPr="006340F9">
        <w:rPr>
          <w:sz w:val="22"/>
          <w:szCs w:val="22"/>
          <w:vertAlign w:val="superscript"/>
        </w:rPr>
        <w:t xml:space="preserve"> </w:t>
      </w:r>
      <w:r w:rsidR="001624F5" w:rsidRPr="006340F9">
        <w:rPr>
          <w:sz w:val="22"/>
          <w:szCs w:val="22"/>
        </w:rPr>
        <w:t>or the Australian Orthopaedic Association National Joint Replacement Registry</w:t>
      </w:r>
      <w:r w:rsidR="00332434" w:rsidRPr="006340F9">
        <w:rPr>
          <w:sz w:val="22"/>
          <w:szCs w:val="22"/>
        </w:rPr>
        <w:t>.</w:t>
      </w:r>
      <w:r w:rsidR="00332434" w:rsidRPr="006340F9">
        <w:rPr>
          <w:rStyle w:val="FootnoteReference"/>
          <w:sz w:val="22"/>
          <w:szCs w:val="22"/>
        </w:rPr>
        <w:footnoteReference w:id="155"/>
      </w:r>
      <w:r w:rsidR="001624F5" w:rsidRPr="006340F9">
        <w:rPr>
          <w:sz w:val="22"/>
          <w:szCs w:val="22"/>
        </w:rPr>
        <w:t xml:space="preserve"> </w:t>
      </w:r>
    </w:p>
    <w:p w14:paraId="3C405268" w14:textId="103E654E" w:rsidR="00C3124C" w:rsidRPr="006340F9" w:rsidRDefault="00C3124C" w:rsidP="00C3124C">
      <w:pPr>
        <w:jc w:val="both"/>
        <w:rPr>
          <w:rFonts w:cs="Arial"/>
          <w:sz w:val="22"/>
          <w:szCs w:val="22"/>
        </w:rPr>
      </w:pPr>
      <w:r w:rsidRPr="006340F9">
        <w:rPr>
          <w:rFonts w:cs="Arial"/>
          <w:sz w:val="22"/>
          <w:szCs w:val="22"/>
        </w:rPr>
        <w:t xml:space="preserve">There is also opportunity to better use outcome data to inform a risk-based approach to accreditation frequency, potentially reducing the burden on providers. Some sectors apply a risk-based approach to reduce the frequency of accreditation audits to a two or three yearly cycle, based on risk factors. For example, </w:t>
      </w:r>
      <w:r w:rsidR="007B3BC3" w:rsidRPr="006340F9">
        <w:rPr>
          <w:rFonts w:cs="Arial"/>
          <w:sz w:val="22"/>
          <w:szCs w:val="22"/>
        </w:rPr>
        <w:t xml:space="preserve">hospitals and </w:t>
      </w:r>
      <w:r w:rsidRPr="006340F9">
        <w:rPr>
          <w:rFonts w:cs="Arial"/>
          <w:sz w:val="22"/>
          <w:szCs w:val="22"/>
        </w:rPr>
        <w:t>health services must be re-accredited every three years against the NSQHS standards</w:t>
      </w:r>
      <w:r w:rsidR="007B3BC3" w:rsidRPr="006340F9">
        <w:rPr>
          <w:rFonts w:cs="Arial"/>
          <w:sz w:val="22"/>
          <w:szCs w:val="22"/>
        </w:rPr>
        <w:t>.</w:t>
      </w:r>
      <w:r w:rsidRPr="006340F9">
        <w:rPr>
          <w:rStyle w:val="FootnoteReference"/>
          <w:rFonts w:cs="Arial"/>
          <w:sz w:val="22"/>
          <w:szCs w:val="22"/>
        </w:rPr>
        <w:footnoteReference w:id="156"/>
      </w:r>
      <w:r w:rsidRPr="006340F9">
        <w:rPr>
          <w:rFonts w:cs="Arial"/>
          <w:sz w:val="22"/>
          <w:szCs w:val="22"/>
        </w:rPr>
        <w:t xml:space="preserve"> </w:t>
      </w:r>
      <w:r w:rsidR="007B3BC3" w:rsidRPr="006340F9">
        <w:rPr>
          <w:rFonts w:cs="Arial"/>
          <w:sz w:val="22"/>
          <w:szCs w:val="22"/>
        </w:rPr>
        <w:t>Similarly, a</w:t>
      </w:r>
      <w:r w:rsidRPr="006340F9">
        <w:rPr>
          <w:rFonts w:cs="Arial"/>
          <w:sz w:val="22"/>
          <w:szCs w:val="22"/>
        </w:rPr>
        <w:t>ged care providers must be re-accredited by the Aged Care Quality and Safety Commission every three years, although this may be longer for providers who consistently meet their obligations or shorter for those who are new to the sector or have a record of non-compliance.</w:t>
      </w:r>
      <w:r w:rsidRPr="006340F9">
        <w:rPr>
          <w:rStyle w:val="FootnoteReference"/>
          <w:rFonts w:cs="Arial"/>
          <w:sz w:val="22"/>
          <w:szCs w:val="22"/>
        </w:rPr>
        <w:footnoteReference w:id="157"/>
      </w:r>
    </w:p>
    <w:p w14:paraId="0AA641DE" w14:textId="77777777" w:rsidR="00C3124C" w:rsidRPr="006340F9" w:rsidRDefault="00C3124C" w:rsidP="0090194D">
      <w:pPr>
        <w:pStyle w:val="Heading5"/>
      </w:pPr>
      <w:r w:rsidRPr="006340F9">
        <w:t>Adverse events are not analysed by RTAC and may be under-reported by providers</w:t>
      </w:r>
    </w:p>
    <w:p w14:paraId="27398C36" w14:textId="2583FF2E" w:rsidR="00C3124C" w:rsidRPr="006340F9" w:rsidRDefault="00C3124C" w:rsidP="00C3124C">
      <w:pPr>
        <w:jc w:val="both"/>
        <w:rPr>
          <w:rFonts w:cs="Arial"/>
          <w:sz w:val="22"/>
          <w:szCs w:val="22"/>
        </w:rPr>
      </w:pPr>
      <w:r w:rsidRPr="006340F9">
        <w:rPr>
          <w:rFonts w:cs="Arial"/>
          <w:sz w:val="22"/>
          <w:szCs w:val="22"/>
        </w:rPr>
        <w:t xml:space="preserve">Under the Code of Practice, providers are required to report </w:t>
      </w:r>
      <w:r w:rsidR="00B971E6" w:rsidRPr="006340F9">
        <w:rPr>
          <w:rFonts w:cs="Arial"/>
          <w:sz w:val="22"/>
          <w:szCs w:val="22"/>
        </w:rPr>
        <w:t xml:space="preserve">serious </w:t>
      </w:r>
      <w:r w:rsidRPr="006340F9">
        <w:rPr>
          <w:rFonts w:cs="Arial"/>
          <w:sz w:val="22"/>
          <w:szCs w:val="22"/>
        </w:rPr>
        <w:t>adverse events directly to RTAC.</w:t>
      </w:r>
      <w:r w:rsidRPr="006340F9">
        <w:rPr>
          <w:rStyle w:val="FootnoteReference"/>
          <w:rFonts w:cs="Arial"/>
          <w:sz w:val="22"/>
          <w:szCs w:val="22"/>
        </w:rPr>
        <w:footnoteReference w:id="158"/>
      </w:r>
      <w:r w:rsidR="00383988" w:rsidRPr="006340F9">
        <w:rPr>
          <w:rFonts w:cs="Arial"/>
          <w:sz w:val="22"/>
          <w:szCs w:val="22"/>
        </w:rPr>
        <w:t xml:space="preserve"> </w:t>
      </w:r>
      <w:r w:rsidRPr="006340F9">
        <w:rPr>
          <w:rFonts w:cs="Arial"/>
          <w:sz w:val="22"/>
          <w:szCs w:val="22"/>
        </w:rPr>
        <w:t>Stakeholders raised several concerns with current reporting arrangements:</w:t>
      </w:r>
    </w:p>
    <w:p w14:paraId="65C4ADAF" w14:textId="77777777" w:rsidR="00C3124C" w:rsidRPr="006340F9" w:rsidRDefault="00C3124C" w:rsidP="00761100">
      <w:pPr>
        <w:pStyle w:val="Body"/>
        <w:spacing w:after="0"/>
        <w:rPr>
          <w:b/>
        </w:rPr>
      </w:pPr>
      <w:r w:rsidRPr="006340F9">
        <w:rPr>
          <w:b/>
        </w:rPr>
        <w:lastRenderedPageBreak/>
        <w:t>Under-reporting of adverse events may be commonplace</w:t>
      </w:r>
    </w:p>
    <w:p w14:paraId="45480A03" w14:textId="098C7173" w:rsidR="00C3124C" w:rsidRPr="006340F9" w:rsidRDefault="00C3124C" w:rsidP="00C3124C">
      <w:pPr>
        <w:jc w:val="both"/>
        <w:rPr>
          <w:rFonts w:cs="Arial"/>
          <w:sz w:val="22"/>
          <w:szCs w:val="22"/>
        </w:rPr>
      </w:pPr>
      <w:proofErr w:type="gramStart"/>
      <w:r w:rsidRPr="006340F9">
        <w:rPr>
          <w:rFonts w:cs="Arial"/>
          <w:sz w:val="22"/>
          <w:szCs w:val="22"/>
        </w:rPr>
        <w:t>The majority of</w:t>
      </w:r>
      <w:proofErr w:type="gramEnd"/>
      <w:r w:rsidRPr="006340F9">
        <w:rPr>
          <w:rFonts w:cs="Arial"/>
          <w:sz w:val="22"/>
          <w:szCs w:val="22"/>
        </w:rPr>
        <w:t xml:space="preserve"> industry-based stakeholders told us that RTAC adverse event reporting is robust and effective. However, some expressed concern that there is a culture of under-reporting across the sector. The significant variation in the rates of adverse events, for example of ovarian hyperstimulation syndrome, would suggest that this concern is valid</w:t>
      </w:r>
      <w:r w:rsidR="00011B50" w:rsidRPr="006340F9">
        <w:rPr>
          <w:rFonts w:cs="Arial"/>
          <w:sz w:val="22"/>
          <w:szCs w:val="22"/>
        </w:rPr>
        <w:t xml:space="preserve">, with industry-based stakeholders pointing out that </w:t>
      </w:r>
      <w:r w:rsidR="00B74C49" w:rsidRPr="006340F9">
        <w:rPr>
          <w:rFonts w:cs="Arial"/>
          <w:sz w:val="22"/>
          <w:szCs w:val="22"/>
        </w:rPr>
        <w:t xml:space="preserve">some units reporting of </w:t>
      </w:r>
      <w:r w:rsidR="00BB3E55" w:rsidRPr="006340F9">
        <w:rPr>
          <w:rFonts w:cs="Arial"/>
          <w:sz w:val="22"/>
          <w:szCs w:val="22"/>
        </w:rPr>
        <w:t xml:space="preserve">OHSS </w:t>
      </w:r>
      <w:r w:rsidR="00FD31E1" w:rsidRPr="006340F9">
        <w:rPr>
          <w:rFonts w:cs="Arial"/>
          <w:sz w:val="22"/>
          <w:szCs w:val="22"/>
        </w:rPr>
        <w:t>is lower</w:t>
      </w:r>
      <w:r w:rsidR="58FE6328" w:rsidRPr="006340F9">
        <w:rPr>
          <w:rFonts w:cs="Arial"/>
          <w:sz w:val="22"/>
          <w:szCs w:val="22"/>
        </w:rPr>
        <w:t xml:space="preserve"> than credible</w:t>
      </w:r>
      <w:r w:rsidRPr="006340F9">
        <w:rPr>
          <w:rFonts w:cs="Arial"/>
          <w:sz w:val="22"/>
          <w:szCs w:val="22"/>
        </w:rPr>
        <w:t xml:space="preserve">. Indeed, in the </w:t>
      </w:r>
      <w:r w:rsidR="001E0768" w:rsidRPr="006340F9">
        <w:rPr>
          <w:rFonts w:cs="Arial"/>
          <w:sz w:val="22"/>
          <w:szCs w:val="22"/>
        </w:rPr>
        <w:t xml:space="preserve">2024 </w:t>
      </w:r>
      <w:r w:rsidRPr="006340F9">
        <w:rPr>
          <w:rFonts w:cs="Arial"/>
          <w:sz w:val="22"/>
          <w:szCs w:val="22"/>
        </w:rPr>
        <w:t xml:space="preserve">investigation into </w:t>
      </w:r>
      <w:r w:rsidR="001E0768" w:rsidRPr="006340F9">
        <w:rPr>
          <w:rFonts w:cs="Arial"/>
          <w:sz w:val="22"/>
          <w:szCs w:val="22"/>
        </w:rPr>
        <w:t xml:space="preserve">Queensland </w:t>
      </w:r>
      <w:r w:rsidRPr="006340F9">
        <w:rPr>
          <w:rFonts w:cs="Arial"/>
          <w:sz w:val="22"/>
          <w:szCs w:val="22"/>
        </w:rPr>
        <w:t xml:space="preserve">ART providers, non-conformities were inconsistently classified across different providers, </w:t>
      </w:r>
      <w:r w:rsidR="00D03748" w:rsidRPr="006340F9">
        <w:rPr>
          <w:rFonts w:cs="Arial"/>
          <w:sz w:val="22"/>
          <w:szCs w:val="22"/>
        </w:rPr>
        <w:t>suggestive of</w:t>
      </w:r>
      <w:r w:rsidRPr="006340F9">
        <w:rPr>
          <w:rFonts w:cs="Arial"/>
          <w:sz w:val="22"/>
          <w:szCs w:val="22"/>
        </w:rPr>
        <w:t xml:space="preserve"> differential reporting of similar events during the auditing process. </w:t>
      </w:r>
      <w:r w:rsidRPr="006340F9">
        <w:rPr>
          <w:rStyle w:val="FootnoteReference"/>
          <w:rFonts w:cs="Arial"/>
          <w:sz w:val="22"/>
          <w:szCs w:val="22"/>
        </w:rPr>
        <w:footnoteReference w:id="159"/>
      </w:r>
      <w:r w:rsidRPr="006340F9">
        <w:rPr>
          <w:rStyle w:val="FootnoteReference"/>
          <w:rFonts w:cs="Arial"/>
          <w:sz w:val="22"/>
          <w:szCs w:val="22"/>
        </w:rPr>
        <w:t xml:space="preserve"> </w:t>
      </w:r>
      <w:r w:rsidRPr="006340F9">
        <w:rPr>
          <w:rFonts w:cs="Arial"/>
          <w:sz w:val="22"/>
          <w:szCs w:val="22"/>
        </w:rPr>
        <w:t>Many stakeholders felt this could be attributed to the definition of “serious adverse event”</w:t>
      </w:r>
      <w:r w:rsidRPr="006340F9">
        <w:rPr>
          <w:rFonts w:cs="Arial"/>
          <w:b/>
          <w:bCs/>
          <w:sz w:val="22"/>
          <w:szCs w:val="22"/>
        </w:rPr>
        <w:t xml:space="preserve"> </w:t>
      </w:r>
      <w:r w:rsidRPr="006340F9">
        <w:rPr>
          <w:rFonts w:cs="Arial"/>
          <w:sz w:val="22"/>
          <w:szCs w:val="22"/>
        </w:rPr>
        <w:t>being too broad and imprecise, allowing providers a generous latitude of interpretation.</w:t>
      </w:r>
      <w:r w:rsidRPr="006340F9">
        <w:rPr>
          <w:rFonts w:cs="Arial"/>
          <w:b/>
          <w:bCs/>
          <w:sz w:val="22"/>
          <w:szCs w:val="22"/>
        </w:rPr>
        <w:t xml:space="preserve"> </w:t>
      </w:r>
      <w:r w:rsidRPr="006340F9">
        <w:rPr>
          <w:rFonts w:cs="Arial"/>
          <w:sz w:val="22"/>
          <w:szCs w:val="22"/>
        </w:rPr>
        <w:t>A 2020 inquiry into the Victorian ART sector noted that patients reported a higher number of adverse events than were reported</w:t>
      </w:r>
      <w:r w:rsidR="00E36792" w:rsidRPr="006340F9">
        <w:rPr>
          <w:rFonts w:cs="Arial"/>
          <w:sz w:val="22"/>
          <w:szCs w:val="22"/>
        </w:rPr>
        <w:t xml:space="preserve"> by providers</w:t>
      </w:r>
      <w:r w:rsidRPr="006340F9">
        <w:rPr>
          <w:rFonts w:cs="Arial"/>
          <w:sz w:val="22"/>
          <w:szCs w:val="22"/>
        </w:rPr>
        <w:t>, particularly in relation to ovarian hyperstimulation syndrome. It was suggested that commercial pressures and “blame culture” contributed to the underreporting.</w:t>
      </w:r>
      <w:bookmarkStart w:id="121" w:name="_Ref207720512"/>
      <w:r w:rsidRPr="006340F9">
        <w:rPr>
          <w:rStyle w:val="FootnoteReference"/>
          <w:rFonts w:cs="Arial"/>
          <w:sz w:val="22"/>
          <w:szCs w:val="22"/>
        </w:rPr>
        <w:footnoteReference w:id="160"/>
      </w:r>
      <w:bookmarkEnd w:id="121"/>
      <w:r w:rsidRPr="006340F9">
        <w:rPr>
          <w:rFonts w:cs="Arial"/>
          <w:sz w:val="22"/>
          <w:szCs w:val="22"/>
        </w:rPr>
        <w:t xml:space="preserve"> </w:t>
      </w:r>
    </w:p>
    <w:p w14:paraId="77B4DD18" w14:textId="63ED7D99" w:rsidR="00C3124C" w:rsidRPr="006340F9" w:rsidRDefault="00C3124C" w:rsidP="00761100">
      <w:pPr>
        <w:pStyle w:val="Body"/>
        <w:spacing w:after="0"/>
        <w:rPr>
          <w:b/>
          <w:bCs/>
        </w:rPr>
      </w:pPr>
      <w:r w:rsidRPr="006340F9">
        <w:rPr>
          <w:b/>
          <w:bCs/>
        </w:rPr>
        <w:t>RTAC does not scrutinise adverse event reports by individual ART units</w:t>
      </w:r>
    </w:p>
    <w:p w14:paraId="7092D0E9" w14:textId="30804A9D" w:rsidR="00C3124C" w:rsidRPr="006340F9" w:rsidRDefault="00C3124C" w:rsidP="00C3124C">
      <w:pPr>
        <w:jc w:val="both"/>
        <w:rPr>
          <w:rFonts w:cs="Arial"/>
          <w:sz w:val="22"/>
          <w:szCs w:val="22"/>
        </w:rPr>
      </w:pPr>
      <w:r w:rsidRPr="006340F9">
        <w:rPr>
          <w:rFonts w:cs="Arial"/>
          <w:sz w:val="22"/>
          <w:szCs w:val="22"/>
        </w:rPr>
        <w:t xml:space="preserve">As outlined in </w:t>
      </w:r>
      <w:r w:rsidR="002F7CFD" w:rsidRPr="006340F9">
        <w:rPr>
          <w:rFonts w:cs="Arial"/>
          <w:sz w:val="22"/>
          <w:szCs w:val="22"/>
        </w:rPr>
        <w:t>chapter</w:t>
      </w:r>
      <w:r w:rsidRPr="006340F9">
        <w:rPr>
          <w:rFonts w:cs="Arial"/>
          <w:sz w:val="22"/>
          <w:szCs w:val="22"/>
        </w:rPr>
        <w:t xml:space="preserve"> </w:t>
      </w:r>
      <w:r w:rsidR="007C2F89" w:rsidRPr="006340F9">
        <w:rPr>
          <w:rFonts w:cs="Arial"/>
          <w:sz w:val="22"/>
          <w:szCs w:val="22"/>
        </w:rPr>
        <w:fldChar w:fldCharType="begin"/>
      </w:r>
      <w:r w:rsidR="007C2F89" w:rsidRPr="006340F9">
        <w:rPr>
          <w:rFonts w:cs="Arial"/>
          <w:sz w:val="22"/>
          <w:szCs w:val="22"/>
        </w:rPr>
        <w:instrText xml:space="preserve"> REF _Ref207633438 \r \h </w:instrText>
      </w:r>
      <w:r w:rsidR="00371858" w:rsidRPr="006340F9">
        <w:rPr>
          <w:rFonts w:cs="Arial"/>
          <w:sz w:val="22"/>
          <w:szCs w:val="22"/>
        </w:rPr>
        <w:instrText xml:space="preserve"> \* MERGEFORMAT </w:instrText>
      </w:r>
      <w:r w:rsidR="007C2F89" w:rsidRPr="006340F9">
        <w:rPr>
          <w:rFonts w:cs="Arial"/>
          <w:sz w:val="22"/>
          <w:szCs w:val="22"/>
        </w:rPr>
      </w:r>
      <w:r w:rsidR="007C2F89" w:rsidRPr="006340F9">
        <w:rPr>
          <w:rFonts w:cs="Arial"/>
          <w:sz w:val="22"/>
          <w:szCs w:val="22"/>
        </w:rPr>
        <w:fldChar w:fldCharType="separate"/>
      </w:r>
      <w:r w:rsidR="007D732A">
        <w:rPr>
          <w:rFonts w:cs="Arial"/>
          <w:sz w:val="22"/>
          <w:szCs w:val="22"/>
        </w:rPr>
        <w:t>2</w:t>
      </w:r>
      <w:r w:rsidR="007C2F89" w:rsidRPr="006340F9">
        <w:rPr>
          <w:rFonts w:cs="Arial"/>
          <w:sz w:val="22"/>
          <w:szCs w:val="22"/>
        </w:rPr>
        <w:fldChar w:fldCharType="end"/>
      </w:r>
      <w:r w:rsidRPr="006340F9">
        <w:rPr>
          <w:rFonts w:cs="Arial"/>
          <w:sz w:val="22"/>
          <w:szCs w:val="22"/>
        </w:rPr>
        <w:t>,</w:t>
      </w:r>
      <w:r w:rsidRPr="006340F9">
        <w:rPr>
          <w:rFonts w:cs="Arial"/>
          <w:b/>
          <w:bCs/>
          <w:sz w:val="22"/>
          <w:szCs w:val="22"/>
        </w:rPr>
        <w:t xml:space="preserve"> </w:t>
      </w:r>
      <w:r w:rsidRPr="006340F9">
        <w:rPr>
          <w:rFonts w:cs="Arial"/>
          <w:sz w:val="22"/>
          <w:szCs w:val="22"/>
        </w:rPr>
        <w:t>ART units are required to document serious adverse events and provide auditors with evidence of corrective actions undertaken in response.</w:t>
      </w:r>
      <w:r w:rsidRPr="006340F9">
        <w:rPr>
          <w:sz w:val="22"/>
          <w:szCs w:val="22"/>
          <w:vertAlign w:val="superscript"/>
        </w:rPr>
        <w:footnoteReference w:id="161"/>
      </w:r>
      <w:r w:rsidRPr="006340F9">
        <w:rPr>
          <w:rFonts w:cs="Arial"/>
          <w:sz w:val="22"/>
          <w:szCs w:val="22"/>
        </w:rPr>
        <w:t xml:space="preserve"> However, the 2024 Queensland </w:t>
      </w:r>
      <w:r w:rsidR="00017FC0" w:rsidRPr="006340F9">
        <w:rPr>
          <w:rFonts w:cs="Arial"/>
          <w:sz w:val="22"/>
          <w:szCs w:val="22"/>
        </w:rPr>
        <w:t xml:space="preserve">investigation </w:t>
      </w:r>
      <w:r w:rsidR="00DB3705" w:rsidRPr="006340F9">
        <w:rPr>
          <w:rFonts w:cs="Arial"/>
          <w:sz w:val="22"/>
          <w:szCs w:val="22"/>
        </w:rPr>
        <w:t xml:space="preserve">of </w:t>
      </w:r>
      <w:r w:rsidRPr="006340F9">
        <w:rPr>
          <w:rFonts w:cs="Arial"/>
          <w:sz w:val="22"/>
          <w:szCs w:val="22"/>
        </w:rPr>
        <w:t xml:space="preserve">ART </w:t>
      </w:r>
      <w:r w:rsidR="00DB3705" w:rsidRPr="006340F9">
        <w:rPr>
          <w:rFonts w:cs="Arial"/>
          <w:sz w:val="22"/>
          <w:szCs w:val="22"/>
        </w:rPr>
        <w:t>providers</w:t>
      </w:r>
      <w:r w:rsidRPr="006340F9">
        <w:rPr>
          <w:rFonts w:cs="Arial"/>
          <w:sz w:val="22"/>
          <w:szCs w:val="22"/>
        </w:rPr>
        <w:t xml:space="preserve"> identified inconsistencies and deficiencies in this process. Adverse event notifications supplied to RTAC by ART providers were not cross-checked with the adverse event actions reported to auditors.</w:t>
      </w:r>
      <w:r w:rsidRPr="006340F9">
        <w:rPr>
          <w:sz w:val="22"/>
          <w:szCs w:val="22"/>
          <w:vertAlign w:val="superscript"/>
        </w:rPr>
        <w:footnoteReference w:id="162"/>
      </w:r>
      <w:r w:rsidRPr="006340F9">
        <w:rPr>
          <w:rFonts w:cs="Arial"/>
          <w:sz w:val="22"/>
          <w:szCs w:val="22"/>
        </w:rPr>
        <w:t xml:space="preserve"> </w:t>
      </w:r>
    </w:p>
    <w:p w14:paraId="4B6569C3" w14:textId="111163D6" w:rsidR="00C3124C" w:rsidRPr="006340F9" w:rsidRDefault="00C3124C" w:rsidP="00761100">
      <w:pPr>
        <w:pStyle w:val="Body"/>
        <w:spacing w:after="0"/>
        <w:rPr>
          <w:b/>
          <w:bCs/>
        </w:rPr>
      </w:pPr>
      <w:r w:rsidRPr="006340F9">
        <w:rPr>
          <w:b/>
          <w:bCs/>
        </w:rPr>
        <w:t xml:space="preserve">RTAC does not work with jurisdictional </w:t>
      </w:r>
      <w:r w:rsidR="00A011B7" w:rsidRPr="006340F9">
        <w:rPr>
          <w:b/>
        </w:rPr>
        <w:t>regulatory authorities</w:t>
      </w:r>
      <w:r w:rsidRPr="006340F9">
        <w:rPr>
          <w:b/>
          <w:bCs/>
        </w:rPr>
        <w:t xml:space="preserve"> to address adverse event reporting</w:t>
      </w:r>
    </w:p>
    <w:p w14:paraId="0C974612" w14:textId="437D6324" w:rsidR="00C3124C" w:rsidRPr="006340F9" w:rsidRDefault="00C3124C" w:rsidP="00C3124C">
      <w:pPr>
        <w:jc w:val="both"/>
        <w:rPr>
          <w:rFonts w:cs="Arial"/>
          <w:sz w:val="22"/>
          <w:szCs w:val="22"/>
        </w:rPr>
      </w:pPr>
      <w:r w:rsidRPr="006340F9">
        <w:rPr>
          <w:rFonts w:cs="Arial"/>
          <w:sz w:val="22"/>
          <w:szCs w:val="22"/>
        </w:rPr>
        <w:t xml:space="preserve">Despite limited capacity within RTAC to investigate adverse events, we found no evidence that RTAC works with </w:t>
      </w:r>
      <w:r w:rsidR="00A011B7" w:rsidRPr="006340F9">
        <w:rPr>
          <w:rFonts w:cs="Arial"/>
          <w:sz w:val="22"/>
          <w:szCs w:val="22"/>
        </w:rPr>
        <w:t>jurisdictional regulatory authorities</w:t>
      </w:r>
      <w:r w:rsidRPr="006340F9">
        <w:rPr>
          <w:rFonts w:cs="Arial"/>
          <w:sz w:val="22"/>
          <w:szCs w:val="22"/>
        </w:rPr>
        <w:t xml:space="preserve"> to address adverse events. The result is that providers may report adverse events to RTAC but there is a limited, if any, response to them and no systemised visibility of those events</w:t>
      </w:r>
      <w:r w:rsidR="00D13980" w:rsidRPr="006340F9">
        <w:rPr>
          <w:rFonts w:cs="Arial"/>
          <w:sz w:val="22"/>
          <w:szCs w:val="22"/>
        </w:rPr>
        <w:t xml:space="preserve"> or responses to them</w:t>
      </w:r>
      <w:r w:rsidRPr="006340F9">
        <w:rPr>
          <w:rFonts w:cs="Arial"/>
          <w:sz w:val="22"/>
          <w:szCs w:val="22"/>
        </w:rPr>
        <w:t xml:space="preserve"> by jurisdictional </w:t>
      </w:r>
      <w:r w:rsidR="000B115A" w:rsidRPr="006340F9">
        <w:rPr>
          <w:rFonts w:cs="Arial"/>
          <w:sz w:val="22"/>
          <w:szCs w:val="22"/>
        </w:rPr>
        <w:t>regulatory authorities</w:t>
      </w:r>
      <w:r w:rsidRPr="006340F9">
        <w:rPr>
          <w:rFonts w:cs="Arial"/>
          <w:sz w:val="22"/>
          <w:szCs w:val="22"/>
        </w:rPr>
        <w:t xml:space="preserve">. </w:t>
      </w:r>
      <w:r w:rsidR="00246ED7" w:rsidRPr="006340F9">
        <w:rPr>
          <w:rFonts w:cs="Arial"/>
          <w:sz w:val="22"/>
          <w:szCs w:val="22"/>
        </w:rPr>
        <w:t xml:space="preserve">This approach to adverse event reporting contrasts with </w:t>
      </w:r>
      <w:r w:rsidR="006079A8" w:rsidRPr="006340F9">
        <w:rPr>
          <w:rFonts w:cs="Arial"/>
          <w:sz w:val="22"/>
          <w:szCs w:val="22"/>
        </w:rPr>
        <w:t>the approach</w:t>
      </w:r>
      <w:r w:rsidR="00246ED7" w:rsidRPr="006340F9">
        <w:rPr>
          <w:rFonts w:cs="Arial"/>
          <w:sz w:val="22"/>
          <w:szCs w:val="22"/>
        </w:rPr>
        <w:t xml:space="preserve"> adopted </w:t>
      </w:r>
      <w:r w:rsidR="0053718C" w:rsidRPr="006340F9">
        <w:rPr>
          <w:rFonts w:cs="Arial"/>
          <w:sz w:val="22"/>
          <w:szCs w:val="22"/>
        </w:rPr>
        <w:t>for</w:t>
      </w:r>
      <w:r w:rsidR="00246ED7" w:rsidRPr="006340F9">
        <w:rPr>
          <w:rFonts w:cs="Arial"/>
          <w:sz w:val="22"/>
          <w:szCs w:val="22"/>
        </w:rPr>
        <w:t xml:space="preserve"> hospital-based care, where both public and private health services typically report at a jurisdictional level to the relevant quality and safety authority</w:t>
      </w:r>
      <w:r w:rsidR="000468C7" w:rsidRPr="006340F9">
        <w:rPr>
          <w:rFonts w:cs="Arial"/>
          <w:sz w:val="22"/>
          <w:szCs w:val="22"/>
        </w:rPr>
        <w:t>,</w:t>
      </w:r>
      <w:r w:rsidR="0053718C" w:rsidRPr="006340F9">
        <w:rPr>
          <w:rFonts w:cs="Arial"/>
          <w:sz w:val="22"/>
          <w:szCs w:val="22"/>
        </w:rPr>
        <w:t xml:space="preserve"> </w:t>
      </w:r>
      <w:r w:rsidR="00246ED7" w:rsidRPr="006340F9">
        <w:rPr>
          <w:rFonts w:cs="Arial"/>
          <w:sz w:val="22"/>
          <w:szCs w:val="22"/>
        </w:rPr>
        <w:t>for example, Safer Care Victoria</w:t>
      </w:r>
      <w:r w:rsidR="575D14AC" w:rsidRPr="006340F9">
        <w:rPr>
          <w:rFonts w:cs="Arial"/>
          <w:sz w:val="22"/>
          <w:szCs w:val="22"/>
        </w:rPr>
        <w:t xml:space="preserve"> or Clinical Excellence Queensland</w:t>
      </w:r>
      <w:r w:rsidR="00246ED7" w:rsidRPr="006340F9">
        <w:rPr>
          <w:rFonts w:cs="Arial"/>
          <w:sz w:val="22"/>
          <w:szCs w:val="22"/>
        </w:rPr>
        <w:t>.</w:t>
      </w:r>
    </w:p>
    <w:p w14:paraId="2267C70E" w14:textId="77777777" w:rsidR="00C3124C" w:rsidRPr="006340F9" w:rsidRDefault="00C3124C" w:rsidP="0090194D">
      <w:pPr>
        <w:pStyle w:val="Heading5"/>
      </w:pPr>
      <w:r w:rsidRPr="006340F9">
        <w:t>Findings from RTAC surveillance audits and adverse events reports are not used to inform sector-wide continuous improvement</w:t>
      </w:r>
    </w:p>
    <w:p w14:paraId="024C2581" w14:textId="0D1A0C29" w:rsidR="00C3124C" w:rsidRPr="006340F9" w:rsidRDefault="00C3124C" w:rsidP="00C3124C">
      <w:pPr>
        <w:jc w:val="both"/>
        <w:rPr>
          <w:rFonts w:cs="Arial"/>
          <w:sz w:val="22"/>
          <w:szCs w:val="22"/>
        </w:rPr>
      </w:pPr>
      <w:r w:rsidRPr="006340F9">
        <w:rPr>
          <w:rFonts w:cs="Arial"/>
          <w:sz w:val="22"/>
          <w:szCs w:val="22"/>
        </w:rPr>
        <w:t xml:space="preserve">Many stakeholders noted that findings from RTAC surveillance audits and adverse event reports are not consistently used to inform sector-wide learning. Audit outcomes are provided to individual providers and to the RTAC Chair, but there is no mechanism </w:t>
      </w:r>
      <w:r w:rsidR="008F2806" w:rsidRPr="006340F9">
        <w:rPr>
          <w:rFonts w:cs="Arial"/>
          <w:sz w:val="22"/>
          <w:szCs w:val="22"/>
        </w:rPr>
        <w:t>to share</w:t>
      </w:r>
      <w:r w:rsidRPr="006340F9">
        <w:rPr>
          <w:rFonts w:cs="Arial"/>
          <w:sz w:val="22"/>
          <w:szCs w:val="22"/>
        </w:rPr>
        <w:t xml:space="preserve"> lessons learned or identify systemic risks.</w:t>
      </w:r>
      <w:r w:rsidRPr="006340F9">
        <w:rPr>
          <w:rStyle w:val="FootnoteReference"/>
          <w:rFonts w:cs="Arial"/>
          <w:sz w:val="22"/>
          <w:szCs w:val="22"/>
        </w:rPr>
        <w:footnoteReference w:id="163"/>
      </w:r>
      <w:r w:rsidRPr="006340F9">
        <w:rPr>
          <w:rFonts w:cs="Arial"/>
          <w:sz w:val="22"/>
          <w:szCs w:val="22"/>
        </w:rPr>
        <w:t xml:space="preserve"> This lack of transparency and coordination was seen by </w:t>
      </w:r>
      <w:r w:rsidRPr="006340F9">
        <w:rPr>
          <w:rFonts w:cs="Arial"/>
          <w:sz w:val="22"/>
          <w:szCs w:val="22"/>
        </w:rPr>
        <w:lastRenderedPageBreak/>
        <w:t xml:space="preserve">most stakeholders as a missed opportunity to strengthen clinical governance and improve consumer outcomes. </w:t>
      </w:r>
    </w:p>
    <w:p w14:paraId="3E4768EE" w14:textId="77777777" w:rsidR="00C3124C" w:rsidRPr="006340F9" w:rsidRDefault="00C3124C" w:rsidP="004706E9">
      <w:pPr>
        <w:pStyle w:val="Heading4"/>
        <w:rPr>
          <w:b/>
          <w:bCs/>
        </w:rPr>
      </w:pPr>
      <w:r w:rsidRPr="006340F9">
        <w:t xml:space="preserve">Public information available on </w:t>
      </w:r>
      <w:proofErr w:type="spellStart"/>
      <w:r w:rsidRPr="006340F9">
        <w:rPr>
          <w:i/>
        </w:rPr>
        <w:t>YourIVFSuccess</w:t>
      </w:r>
      <w:proofErr w:type="spellEnd"/>
      <w:r w:rsidRPr="006340F9">
        <w:t xml:space="preserve"> could be improved</w:t>
      </w:r>
    </w:p>
    <w:p w14:paraId="54914C9A" w14:textId="41C1C508" w:rsidR="00C3124C" w:rsidRPr="006340F9" w:rsidRDefault="00C3124C" w:rsidP="00C3124C">
      <w:pPr>
        <w:jc w:val="both"/>
        <w:rPr>
          <w:rFonts w:cs="Arial"/>
          <w:sz w:val="22"/>
          <w:szCs w:val="22"/>
        </w:rPr>
      </w:pPr>
      <w:r w:rsidRPr="006340F9">
        <w:rPr>
          <w:rFonts w:cs="Arial"/>
          <w:sz w:val="22"/>
          <w:szCs w:val="22"/>
        </w:rPr>
        <w:t xml:space="preserve">The </w:t>
      </w:r>
      <w:proofErr w:type="spellStart"/>
      <w:r w:rsidRPr="006340F9">
        <w:rPr>
          <w:rFonts w:cs="Arial"/>
          <w:i/>
          <w:sz w:val="22"/>
          <w:szCs w:val="22"/>
        </w:rPr>
        <w:t>YourIVFSuccess</w:t>
      </w:r>
      <w:proofErr w:type="spellEnd"/>
      <w:r w:rsidRPr="006340F9">
        <w:rPr>
          <w:rFonts w:cs="Arial"/>
          <w:i/>
          <w:sz w:val="22"/>
          <w:szCs w:val="22"/>
        </w:rPr>
        <w:t xml:space="preserve"> </w:t>
      </w:r>
      <w:r w:rsidRPr="006340F9">
        <w:rPr>
          <w:rFonts w:cs="Arial"/>
          <w:sz w:val="22"/>
          <w:szCs w:val="22"/>
        </w:rPr>
        <w:t>website</w:t>
      </w:r>
      <w:r w:rsidRPr="006340F9">
        <w:rPr>
          <w:rStyle w:val="FootnoteReference"/>
          <w:rFonts w:cs="Arial"/>
          <w:sz w:val="22"/>
          <w:szCs w:val="22"/>
        </w:rPr>
        <w:footnoteReference w:id="164"/>
      </w:r>
      <w:r w:rsidRPr="006340F9">
        <w:rPr>
          <w:rFonts w:cs="Arial"/>
          <w:sz w:val="22"/>
          <w:szCs w:val="22"/>
        </w:rPr>
        <w:t xml:space="preserve"> was acknowledged by many as a useful initiative and an important step toward </w:t>
      </w:r>
      <w:r w:rsidR="00F51E43" w:rsidRPr="006340F9">
        <w:rPr>
          <w:rFonts w:cs="Arial"/>
          <w:sz w:val="22"/>
          <w:szCs w:val="22"/>
        </w:rPr>
        <w:t xml:space="preserve">improved </w:t>
      </w:r>
      <w:r w:rsidRPr="006340F9">
        <w:rPr>
          <w:rFonts w:cs="Arial"/>
          <w:sz w:val="22"/>
          <w:szCs w:val="22"/>
        </w:rPr>
        <w:t xml:space="preserve">transparency for consumers. However, we heard that the data provided are too limited to be useful </w:t>
      </w:r>
      <w:r w:rsidR="005F4133" w:rsidRPr="006340F9">
        <w:rPr>
          <w:rFonts w:cs="Arial"/>
          <w:sz w:val="22"/>
          <w:szCs w:val="22"/>
        </w:rPr>
        <w:t xml:space="preserve">to consumers </w:t>
      </w:r>
      <w:r w:rsidRPr="006340F9">
        <w:rPr>
          <w:rFonts w:cs="Arial"/>
          <w:sz w:val="22"/>
          <w:szCs w:val="22"/>
        </w:rPr>
        <w:t xml:space="preserve">in making individual decisions about providers or treatments. </w:t>
      </w:r>
    </w:p>
    <w:p w14:paraId="65348E21" w14:textId="6EA202D5" w:rsidR="00C3124C" w:rsidRPr="006340F9" w:rsidRDefault="00C3124C" w:rsidP="00C3124C">
      <w:pPr>
        <w:jc w:val="both"/>
        <w:rPr>
          <w:rFonts w:cs="Arial"/>
          <w:sz w:val="22"/>
          <w:szCs w:val="22"/>
        </w:rPr>
      </w:pPr>
      <w:r w:rsidRPr="006340F9">
        <w:rPr>
          <w:rFonts w:cs="Arial"/>
          <w:sz w:val="22"/>
          <w:szCs w:val="22"/>
        </w:rPr>
        <w:t xml:space="preserve">The voluntary nature of reporting on the </w:t>
      </w:r>
      <w:proofErr w:type="spellStart"/>
      <w:r w:rsidRPr="006340F9">
        <w:rPr>
          <w:rFonts w:cs="Arial"/>
          <w:i/>
          <w:sz w:val="22"/>
          <w:szCs w:val="22"/>
        </w:rPr>
        <w:t>YourIVFSuccess</w:t>
      </w:r>
      <w:proofErr w:type="spellEnd"/>
      <w:r w:rsidRPr="006340F9">
        <w:rPr>
          <w:rFonts w:cs="Arial"/>
          <w:sz w:val="22"/>
          <w:szCs w:val="22"/>
        </w:rPr>
        <w:t xml:space="preserve"> website limits consumer information and informed decision making. </w:t>
      </w:r>
      <w:r w:rsidR="003F27DB" w:rsidRPr="006340F9">
        <w:rPr>
          <w:rFonts w:cs="Arial"/>
          <w:sz w:val="22"/>
          <w:szCs w:val="22"/>
        </w:rPr>
        <w:t xml:space="preserve">Five </w:t>
      </w:r>
      <w:r w:rsidR="000148ED" w:rsidRPr="006340F9">
        <w:rPr>
          <w:rFonts w:cs="Arial"/>
          <w:sz w:val="22"/>
          <w:szCs w:val="22"/>
        </w:rPr>
        <w:t xml:space="preserve">ART units currently choose not to share their data. </w:t>
      </w:r>
      <w:r w:rsidR="00C748CD" w:rsidRPr="006340F9">
        <w:rPr>
          <w:rFonts w:cs="Arial"/>
          <w:sz w:val="22"/>
          <w:szCs w:val="22"/>
        </w:rPr>
        <w:t>Nonetheless</w:t>
      </w:r>
      <w:r w:rsidRPr="006340F9">
        <w:rPr>
          <w:rFonts w:cs="Arial"/>
          <w:sz w:val="22"/>
          <w:szCs w:val="22"/>
        </w:rPr>
        <w:t xml:space="preserve">, </w:t>
      </w:r>
      <w:proofErr w:type="spellStart"/>
      <w:r w:rsidRPr="006340F9">
        <w:rPr>
          <w:rFonts w:cs="Arial"/>
          <w:i/>
          <w:sz w:val="22"/>
          <w:szCs w:val="22"/>
        </w:rPr>
        <w:t>YourIVFSuccess</w:t>
      </w:r>
      <w:proofErr w:type="spellEnd"/>
      <w:r w:rsidRPr="006340F9">
        <w:rPr>
          <w:rFonts w:cs="Arial"/>
          <w:sz w:val="22"/>
          <w:szCs w:val="22"/>
        </w:rPr>
        <w:t xml:space="preserve"> is a key enabler of informed decision making for consumers</w:t>
      </w:r>
      <w:r w:rsidR="000C7C0F" w:rsidRPr="006340F9">
        <w:rPr>
          <w:rFonts w:cs="Arial"/>
          <w:sz w:val="22"/>
          <w:szCs w:val="22"/>
        </w:rPr>
        <w:t>.</w:t>
      </w:r>
      <w:r w:rsidR="0023033C" w:rsidRPr="006340F9">
        <w:rPr>
          <w:rFonts w:cs="Arial"/>
          <w:sz w:val="22"/>
          <w:szCs w:val="22"/>
        </w:rPr>
        <w:t xml:space="preserve"> </w:t>
      </w:r>
      <w:r w:rsidR="000C7C0F" w:rsidRPr="006340F9">
        <w:rPr>
          <w:rFonts w:cs="Arial"/>
          <w:sz w:val="22"/>
          <w:szCs w:val="22"/>
        </w:rPr>
        <w:t>I</w:t>
      </w:r>
      <w:r w:rsidR="001850C3" w:rsidRPr="006340F9">
        <w:rPr>
          <w:rFonts w:cs="Arial"/>
          <w:sz w:val="22"/>
          <w:szCs w:val="22"/>
        </w:rPr>
        <w:t>t</w:t>
      </w:r>
      <w:r w:rsidRPr="006340F9">
        <w:rPr>
          <w:rFonts w:cs="Arial"/>
          <w:sz w:val="22"/>
          <w:szCs w:val="22"/>
        </w:rPr>
        <w:t xml:space="preserve"> present</w:t>
      </w:r>
      <w:r w:rsidR="001850C3" w:rsidRPr="006340F9">
        <w:rPr>
          <w:rFonts w:cs="Arial"/>
          <w:sz w:val="22"/>
          <w:szCs w:val="22"/>
        </w:rPr>
        <w:t>s</w:t>
      </w:r>
      <w:r w:rsidRPr="006340F9">
        <w:rPr>
          <w:rFonts w:cs="Arial"/>
          <w:sz w:val="22"/>
          <w:szCs w:val="22"/>
        </w:rPr>
        <w:t xml:space="preserve"> data on a consistent basis as well as personalised success probability. The requirement to report outcomes publicly could be established through an amendment to the Code of Practice.</w:t>
      </w:r>
    </w:p>
    <w:p w14:paraId="19C0DD2F" w14:textId="5FB954C5" w:rsidR="00914B96" w:rsidRPr="006340F9" w:rsidRDefault="00C3124C" w:rsidP="00C3124C">
      <w:pPr>
        <w:jc w:val="both"/>
        <w:rPr>
          <w:rFonts w:cs="Arial"/>
          <w:sz w:val="22"/>
          <w:szCs w:val="22"/>
        </w:rPr>
      </w:pPr>
      <w:r w:rsidRPr="006340F9">
        <w:rPr>
          <w:rFonts w:cs="Arial"/>
          <w:sz w:val="22"/>
          <w:szCs w:val="22"/>
        </w:rPr>
        <w:t xml:space="preserve">The </w:t>
      </w:r>
      <w:r w:rsidR="00213E2E" w:rsidRPr="006340F9">
        <w:rPr>
          <w:rFonts w:cs="Arial"/>
          <w:sz w:val="22"/>
          <w:szCs w:val="22"/>
        </w:rPr>
        <w:t>Human Fertilisation and Embryology Authority</w:t>
      </w:r>
      <w:r w:rsidR="00C9568C" w:rsidRPr="006340F9">
        <w:rPr>
          <w:rFonts w:cs="Arial"/>
          <w:sz w:val="22"/>
          <w:szCs w:val="22"/>
        </w:rPr>
        <w:t xml:space="preserve"> (HFEA)</w:t>
      </w:r>
      <w:r w:rsidR="00213E2E" w:rsidRPr="006340F9">
        <w:rPr>
          <w:rFonts w:cs="Arial"/>
          <w:b/>
          <w:sz w:val="22"/>
          <w:szCs w:val="22"/>
        </w:rPr>
        <w:t xml:space="preserve"> </w:t>
      </w:r>
      <w:r w:rsidRPr="006340F9">
        <w:rPr>
          <w:rFonts w:cs="Arial"/>
          <w:sz w:val="22"/>
          <w:szCs w:val="22"/>
        </w:rPr>
        <w:t>in the UK presents a range of information for the purposes of consumer information</w:t>
      </w:r>
      <w:r w:rsidR="00012C93" w:rsidRPr="006340F9">
        <w:rPr>
          <w:rFonts w:cs="Arial"/>
          <w:sz w:val="22"/>
          <w:szCs w:val="22"/>
        </w:rPr>
        <w:t xml:space="preserve"> (see </w:t>
      </w:r>
      <w:r w:rsidR="00C9568C" w:rsidRPr="006340F9">
        <w:rPr>
          <w:rFonts w:cs="Arial"/>
          <w:sz w:val="22"/>
          <w:szCs w:val="22"/>
        </w:rPr>
        <w:t xml:space="preserve">the HFEA case study in </w:t>
      </w:r>
      <w:r w:rsidR="00012C93" w:rsidRPr="006340F9">
        <w:rPr>
          <w:rFonts w:cs="Arial"/>
          <w:sz w:val="22"/>
          <w:szCs w:val="22"/>
        </w:rPr>
        <w:t xml:space="preserve">chapter </w:t>
      </w:r>
      <w:r w:rsidR="00012C93" w:rsidRPr="006340F9">
        <w:rPr>
          <w:rFonts w:cs="Arial"/>
          <w:sz w:val="22"/>
          <w:szCs w:val="22"/>
        </w:rPr>
        <w:fldChar w:fldCharType="begin"/>
      </w:r>
      <w:r w:rsidR="00012C93" w:rsidRPr="006340F9">
        <w:rPr>
          <w:rFonts w:cs="Arial"/>
          <w:sz w:val="22"/>
          <w:szCs w:val="22"/>
        </w:rPr>
        <w:instrText xml:space="preserve"> REF _Ref207633280 \r \h </w:instrText>
      </w:r>
      <w:r w:rsidR="001850C3" w:rsidRPr="006340F9">
        <w:rPr>
          <w:rFonts w:cs="Arial"/>
          <w:sz w:val="22"/>
          <w:szCs w:val="22"/>
        </w:rPr>
        <w:instrText xml:space="preserve"> \* MERGEFORMAT </w:instrText>
      </w:r>
      <w:r w:rsidR="00012C93" w:rsidRPr="006340F9">
        <w:rPr>
          <w:rFonts w:cs="Arial"/>
          <w:sz w:val="22"/>
          <w:szCs w:val="22"/>
        </w:rPr>
      </w:r>
      <w:r w:rsidR="00012C93" w:rsidRPr="006340F9">
        <w:rPr>
          <w:rFonts w:cs="Arial"/>
          <w:sz w:val="22"/>
          <w:szCs w:val="22"/>
        </w:rPr>
        <w:fldChar w:fldCharType="separate"/>
      </w:r>
      <w:r w:rsidR="007D732A">
        <w:rPr>
          <w:rFonts w:cs="Arial"/>
          <w:sz w:val="22"/>
          <w:szCs w:val="22"/>
        </w:rPr>
        <w:t>5</w:t>
      </w:r>
      <w:r w:rsidR="00012C93" w:rsidRPr="006340F9">
        <w:rPr>
          <w:rFonts w:cs="Arial"/>
          <w:sz w:val="22"/>
          <w:szCs w:val="22"/>
        </w:rPr>
        <w:fldChar w:fldCharType="end"/>
      </w:r>
      <w:r w:rsidR="00012C93" w:rsidRPr="006340F9">
        <w:rPr>
          <w:rFonts w:cs="Arial"/>
          <w:sz w:val="22"/>
          <w:szCs w:val="22"/>
        </w:rPr>
        <w:t>)</w:t>
      </w:r>
      <w:r w:rsidRPr="006340F9">
        <w:rPr>
          <w:rFonts w:cs="Arial"/>
          <w:sz w:val="22"/>
          <w:szCs w:val="22"/>
        </w:rPr>
        <w:t xml:space="preserve">. Some stakeholders engaged through this project recommended the use of </w:t>
      </w:r>
      <w:r w:rsidR="00C12A85" w:rsidRPr="006340F9">
        <w:rPr>
          <w:rFonts w:cs="Arial"/>
          <w:sz w:val="22"/>
          <w:szCs w:val="22"/>
        </w:rPr>
        <w:t xml:space="preserve">these </w:t>
      </w:r>
      <w:r w:rsidRPr="006340F9">
        <w:rPr>
          <w:rFonts w:cs="Arial"/>
          <w:sz w:val="22"/>
          <w:szCs w:val="22"/>
        </w:rPr>
        <w:t xml:space="preserve">data to enable more informed decision-making by consumers. Suggestions included mandatory information sheets and using the personalised outcome probability infographics available on </w:t>
      </w:r>
      <w:proofErr w:type="spellStart"/>
      <w:r w:rsidRPr="006340F9">
        <w:rPr>
          <w:rFonts w:cs="Arial"/>
          <w:i/>
          <w:sz w:val="22"/>
          <w:szCs w:val="22"/>
        </w:rPr>
        <w:t>YourIVFS</w:t>
      </w:r>
      <w:r w:rsidR="00DA1C63" w:rsidRPr="006340F9">
        <w:rPr>
          <w:rFonts w:cs="Arial"/>
          <w:i/>
          <w:sz w:val="22"/>
          <w:szCs w:val="22"/>
        </w:rPr>
        <w:t>u</w:t>
      </w:r>
      <w:r w:rsidRPr="006340F9">
        <w:rPr>
          <w:rFonts w:cs="Arial"/>
          <w:i/>
          <w:sz w:val="22"/>
          <w:szCs w:val="22"/>
        </w:rPr>
        <w:t>ccess</w:t>
      </w:r>
      <w:proofErr w:type="spellEnd"/>
      <w:r w:rsidRPr="006340F9">
        <w:rPr>
          <w:rFonts w:cs="Arial"/>
          <w:sz w:val="22"/>
          <w:szCs w:val="22"/>
        </w:rPr>
        <w:t xml:space="preserve"> as a mandatory attachment to quotes for service provision.</w:t>
      </w:r>
    </w:p>
    <w:p w14:paraId="2C3D6E31" w14:textId="167E6A9A" w:rsidR="00C3124C" w:rsidRPr="006340F9" w:rsidRDefault="00914B96" w:rsidP="00C3124C">
      <w:pPr>
        <w:jc w:val="both"/>
        <w:rPr>
          <w:rFonts w:cs="Arial"/>
          <w:sz w:val="22"/>
          <w:szCs w:val="22"/>
        </w:rPr>
      </w:pPr>
      <w:r w:rsidRPr="006340F9">
        <w:rPr>
          <w:rFonts w:cs="Arial"/>
          <w:sz w:val="22"/>
          <w:szCs w:val="22"/>
        </w:rPr>
        <w:t xml:space="preserve">There </w:t>
      </w:r>
      <w:r w:rsidR="00F803A1" w:rsidRPr="006340F9">
        <w:rPr>
          <w:rFonts w:cs="Arial"/>
          <w:sz w:val="22"/>
          <w:szCs w:val="22"/>
        </w:rPr>
        <w:t>is</w:t>
      </w:r>
      <w:r w:rsidRPr="006340F9">
        <w:rPr>
          <w:rFonts w:cs="Arial"/>
          <w:sz w:val="22"/>
          <w:szCs w:val="22"/>
        </w:rPr>
        <w:t xml:space="preserve"> an opportunity to better use the </w:t>
      </w:r>
      <w:r w:rsidR="00D411BF" w:rsidRPr="006340F9">
        <w:rPr>
          <w:rFonts w:cs="Arial"/>
          <w:sz w:val="22"/>
          <w:szCs w:val="22"/>
        </w:rPr>
        <w:t>considerable</w:t>
      </w:r>
      <w:r w:rsidRPr="006340F9">
        <w:rPr>
          <w:rFonts w:cs="Arial"/>
          <w:sz w:val="22"/>
          <w:szCs w:val="22"/>
        </w:rPr>
        <w:t xml:space="preserve"> data that are currently collected and reported by ART units to ANZARD</w:t>
      </w:r>
      <w:r w:rsidR="00D411BF" w:rsidRPr="006340F9">
        <w:rPr>
          <w:rFonts w:cs="Arial"/>
          <w:sz w:val="22"/>
          <w:szCs w:val="22"/>
        </w:rPr>
        <w:t xml:space="preserve"> to </w:t>
      </w:r>
      <w:r w:rsidR="005D48C4" w:rsidRPr="006340F9">
        <w:rPr>
          <w:rFonts w:cs="Arial"/>
          <w:sz w:val="22"/>
          <w:szCs w:val="22"/>
        </w:rPr>
        <w:t xml:space="preserve">further </w:t>
      </w:r>
      <w:r w:rsidR="00D411BF" w:rsidRPr="006340F9">
        <w:rPr>
          <w:rFonts w:cs="Arial"/>
          <w:sz w:val="22"/>
          <w:szCs w:val="22"/>
        </w:rPr>
        <w:t>improve transparency of outcomes and performance for consumers, regulators, and providers.</w:t>
      </w:r>
      <w:r w:rsidR="00C3124C" w:rsidRPr="006340F9">
        <w:rPr>
          <w:rFonts w:cs="Arial"/>
          <w:sz w:val="22"/>
          <w:szCs w:val="22"/>
        </w:rPr>
        <w:t xml:space="preserve"> </w:t>
      </w:r>
    </w:p>
    <w:p w14:paraId="3AB0C5AF" w14:textId="77777777" w:rsidR="001A712D" w:rsidRPr="006340F9" w:rsidRDefault="001A712D" w:rsidP="004706E9">
      <w:pPr>
        <w:pStyle w:val="Heading4"/>
        <w:rPr>
          <w:b/>
          <w:bCs/>
        </w:rPr>
      </w:pPr>
      <w:r w:rsidRPr="006340F9">
        <w:t>RTAC does not have clearly defined powers to withhold, vary, or withdraw accreditation</w:t>
      </w:r>
    </w:p>
    <w:p w14:paraId="1A576431" w14:textId="6BC896F3" w:rsidR="001A712D" w:rsidRPr="006340F9" w:rsidRDefault="001A712D" w:rsidP="001662EF">
      <w:pPr>
        <w:pStyle w:val="Body"/>
        <w:rPr>
          <w:iCs/>
        </w:rPr>
      </w:pPr>
      <w:r w:rsidRPr="006340F9">
        <w:t>The two documents that underpin the RTAC accreditation scheme – the Code of Practice</w:t>
      </w:r>
      <w:r w:rsidR="002170E1" w:rsidRPr="006340F9">
        <w:rPr>
          <w:rStyle w:val="FootnoteReference"/>
        </w:rPr>
        <w:footnoteReference w:id="165"/>
      </w:r>
      <w:r w:rsidRPr="006340F9">
        <w:t xml:space="preserve"> and the RTAC Scheme Rules</w:t>
      </w:r>
      <w:r w:rsidR="00A27C9A" w:rsidRPr="006340F9">
        <w:rPr>
          <w:rStyle w:val="FootnoteReference"/>
        </w:rPr>
        <w:footnoteReference w:id="166"/>
      </w:r>
      <w:r w:rsidRPr="006340F9">
        <w:t xml:space="preserve"> – do not clearly define </w:t>
      </w:r>
      <w:r w:rsidR="005D48C4" w:rsidRPr="006340F9">
        <w:t xml:space="preserve">the </w:t>
      </w:r>
      <w:r w:rsidRPr="006340F9">
        <w:t>powers for RTAC to withhold, vary</w:t>
      </w:r>
      <w:r w:rsidR="00ED394A" w:rsidRPr="006340F9">
        <w:t>,</w:t>
      </w:r>
      <w:r w:rsidRPr="006340F9">
        <w:t xml:space="preserve"> or withdraw accreditation in response to an unaddressed major non-conformity. This is reflected in </w:t>
      </w:r>
      <w:r w:rsidRPr="006340F9">
        <w:rPr>
          <w:iCs/>
        </w:rPr>
        <w:t>the</w:t>
      </w:r>
      <w:r w:rsidRPr="006340F9">
        <w:t xml:space="preserve"> </w:t>
      </w:r>
      <w:r w:rsidRPr="006340F9">
        <w:rPr>
          <w:iCs/>
        </w:rPr>
        <w:t xml:space="preserve">2024 FSANZ-sponsored </w:t>
      </w:r>
      <w:r w:rsidR="00840BFF" w:rsidRPr="006340F9">
        <w:t xml:space="preserve">Framework for an Australian 10-Year Fertility </w:t>
      </w:r>
      <w:r w:rsidRPr="006340F9" w:rsidDel="00840BFF">
        <w:t>Roadmap</w:t>
      </w:r>
      <w:r w:rsidRPr="006340F9">
        <w:t>, that</w:t>
      </w:r>
      <w:r w:rsidRPr="006340F9">
        <w:rPr>
          <w:i/>
        </w:rPr>
        <w:t xml:space="preserve"> </w:t>
      </w:r>
      <w:r w:rsidRPr="006340F9">
        <w:rPr>
          <w:iCs/>
        </w:rPr>
        <w:t>recommends that RTAC should have the power to withhold, grant or vary licen</w:t>
      </w:r>
      <w:r w:rsidR="003313DC" w:rsidRPr="006340F9">
        <w:rPr>
          <w:iCs/>
        </w:rPr>
        <w:t>c</w:t>
      </w:r>
      <w:r w:rsidRPr="006340F9">
        <w:rPr>
          <w:iCs/>
        </w:rPr>
        <w:t>es depending on compliance with the Code of Practice.</w:t>
      </w:r>
      <w:r w:rsidRPr="006340F9">
        <w:rPr>
          <w:rStyle w:val="FootnoteReference"/>
          <w:iCs/>
        </w:rPr>
        <w:footnoteReference w:id="167"/>
      </w:r>
      <w:r w:rsidRPr="006340F9">
        <w:rPr>
          <w:iCs/>
        </w:rPr>
        <w:t xml:space="preserve"> FSANZ </w:t>
      </w:r>
      <w:r w:rsidR="00D940E9" w:rsidRPr="006340F9">
        <w:rPr>
          <w:iCs/>
        </w:rPr>
        <w:t>confirms</w:t>
      </w:r>
      <w:r w:rsidRPr="006340F9">
        <w:rPr>
          <w:iCs/>
        </w:rPr>
        <w:t xml:space="preserve"> that</w:t>
      </w:r>
      <w:r w:rsidR="00D940E9" w:rsidRPr="006340F9">
        <w:rPr>
          <w:iCs/>
        </w:rPr>
        <w:t>,</w:t>
      </w:r>
      <w:r w:rsidRPr="006340F9">
        <w:rPr>
          <w:iCs/>
        </w:rPr>
        <w:t xml:space="preserve"> to date, no ART clinic in Australia has failed to rectify a major non-conformance identified via an audit </w:t>
      </w:r>
      <w:r w:rsidRPr="006340F9">
        <w:rPr>
          <w:iCs/>
        </w:rPr>
        <w:lastRenderedPageBreak/>
        <w:t>within 30 days.</w:t>
      </w:r>
      <w:r w:rsidRPr="006340F9">
        <w:rPr>
          <w:rStyle w:val="FootnoteReference"/>
          <w:iCs/>
        </w:rPr>
        <w:footnoteReference w:id="168"/>
      </w:r>
      <w:r w:rsidRPr="006340F9">
        <w:rPr>
          <w:iCs/>
        </w:rPr>
        <w:t xml:space="preserve"> This is</w:t>
      </w:r>
      <w:r w:rsidRPr="006340F9" w:rsidDel="00A66A2A">
        <w:rPr>
          <w:iCs/>
        </w:rPr>
        <w:t xml:space="preserve"> </w:t>
      </w:r>
      <w:r w:rsidR="00A66A2A" w:rsidRPr="006340F9">
        <w:rPr>
          <w:iCs/>
        </w:rPr>
        <w:t>also reflected in</w:t>
      </w:r>
      <w:r w:rsidRPr="006340F9">
        <w:rPr>
          <w:iCs/>
        </w:rPr>
        <w:t xml:space="preserve"> RTAC’s 2023–24 Annual Report.</w:t>
      </w:r>
      <w:r w:rsidRPr="006340F9">
        <w:rPr>
          <w:rStyle w:val="FootnoteReference"/>
          <w:iCs/>
        </w:rPr>
        <w:footnoteReference w:id="169"/>
      </w:r>
      <w:r w:rsidRPr="006340F9">
        <w:rPr>
          <w:iCs/>
        </w:rPr>
        <w:t xml:space="preserve"> RTAC confirmed with us that, apart from one clinic in Western Australia in the 1980s, it has never cancelled a provider’s </w:t>
      </w:r>
      <w:r w:rsidR="005F740F" w:rsidRPr="006340F9">
        <w:rPr>
          <w:iCs/>
        </w:rPr>
        <w:t>licence</w:t>
      </w:r>
      <w:r w:rsidRPr="006340F9">
        <w:rPr>
          <w:iCs/>
        </w:rPr>
        <w:t xml:space="preserve">. Indeed, the questionable authority by which it may do that has led it to be very cautious about ever exercising that power. As with the power to refuse </w:t>
      </w:r>
      <w:r w:rsidR="005C1BE7" w:rsidRPr="006340F9">
        <w:rPr>
          <w:iCs/>
        </w:rPr>
        <w:t>accreditation (</w:t>
      </w:r>
      <w:r w:rsidRPr="006340F9">
        <w:rPr>
          <w:iCs/>
        </w:rPr>
        <w:t xml:space="preserve">see </w:t>
      </w:r>
      <w:r w:rsidRPr="006340F9">
        <w:t>section</w:t>
      </w:r>
      <w:r w:rsidR="008443EB" w:rsidRPr="006340F9">
        <w:t xml:space="preserve"> </w:t>
      </w:r>
      <w:r w:rsidR="00445570" w:rsidRPr="006340F9">
        <w:fldChar w:fldCharType="begin"/>
      </w:r>
      <w:r w:rsidR="00445570" w:rsidRPr="006340F9">
        <w:instrText xml:space="preserve"> REF _Ref209191016 \r \h </w:instrText>
      </w:r>
      <w:r w:rsidR="00445570" w:rsidRPr="006340F9">
        <w:fldChar w:fldCharType="separate"/>
      </w:r>
      <w:r w:rsidR="007D732A">
        <w:t>3.1</w:t>
      </w:r>
      <w:r w:rsidR="00445570" w:rsidRPr="006340F9">
        <w:fldChar w:fldCharType="end"/>
      </w:r>
      <w:r w:rsidRPr="006340F9">
        <w:rPr>
          <w:iCs/>
        </w:rPr>
        <w:t xml:space="preserve">), these are essential accreditation powers and the lack of clarity </w:t>
      </w:r>
      <w:r w:rsidR="00F51CCA" w:rsidRPr="006340F9">
        <w:rPr>
          <w:iCs/>
        </w:rPr>
        <w:t xml:space="preserve">regarding their use appears to fundamentally </w:t>
      </w:r>
      <w:r w:rsidRPr="006340F9">
        <w:rPr>
          <w:iCs/>
        </w:rPr>
        <w:t xml:space="preserve">undermine the effectiveness of RTAC’s accreditation scheme. </w:t>
      </w:r>
    </w:p>
    <w:p w14:paraId="4BB91E59" w14:textId="1F145BF0" w:rsidR="00C3124C" w:rsidRPr="006340F9" w:rsidRDefault="006022B2" w:rsidP="00651B28">
      <w:pPr>
        <w:pStyle w:val="Heading2"/>
      </w:pPr>
      <w:bookmarkStart w:id="122" w:name="_Ref207635190"/>
      <w:bookmarkStart w:id="123" w:name="_Toc207976239"/>
      <w:bookmarkStart w:id="124" w:name="_Toc209441992"/>
      <w:r w:rsidRPr="006340F9">
        <w:t>Market conduct – regulation</w:t>
      </w:r>
      <w:bookmarkEnd w:id="122"/>
      <w:bookmarkEnd w:id="123"/>
      <w:bookmarkEnd w:id="124"/>
      <w:r w:rsidR="008F21F7" w:rsidRPr="006340F9">
        <w:t xml:space="preserve"> </w:t>
      </w:r>
    </w:p>
    <w:p w14:paraId="0E031E25" w14:textId="2D10DEEF" w:rsidR="002D66BA" w:rsidRPr="006340F9" w:rsidRDefault="00D63A85" w:rsidP="002D66BA">
      <w:pPr>
        <w:pStyle w:val="Body"/>
      </w:pPr>
      <w:r w:rsidRPr="006340F9">
        <w:t xml:space="preserve">In this </w:t>
      </w:r>
      <w:r w:rsidR="00147794" w:rsidRPr="006340F9">
        <w:t xml:space="preserve">section </w:t>
      </w:r>
      <w:r w:rsidRPr="006340F9">
        <w:t xml:space="preserve">we </w:t>
      </w:r>
      <w:r w:rsidR="00147794" w:rsidRPr="006340F9">
        <w:t xml:space="preserve">outline the issues </w:t>
      </w:r>
      <w:r w:rsidRPr="006340F9">
        <w:t xml:space="preserve">we </w:t>
      </w:r>
      <w:r w:rsidR="00147794" w:rsidRPr="006340F9">
        <w:t xml:space="preserve">identified with </w:t>
      </w:r>
      <w:r w:rsidR="00EC182E" w:rsidRPr="006340F9">
        <w:rPr>
          <w:bCs/>
        </w:rPr>
        <w:t>State and Territory</w:t>
      </w:r>
      <w:r w:rsidR="00EC182E" w:rsidRPr="006340F9" w:rsidDel="00EC182E">
        <w:t xml:space="preserve"> </w:t>
      </w:r>
      <w:r w:rsidR="00A61F17" w:rsidRPr="006340F9">
        <w:t>regulatory activities, including compliance monitoring.</w:t>
      </w:r>
    </w:p>
    <w:p w14:paraId="0E74F88A" w14:textId="7B453E01" w:rsidR="002D66BA" w:rsidRPr="006340F9" w:rsidRDefault="002D66BA" w:rsidP="004600B7">
      <w:pPr>
        <w:pStyle w:val="Heading3"/>
      </w:pPr>
      <w:bookmarkStart w:id="125" w:name="_Ref207724617"/>
      <w:r w:rsidRPr="006340F9">
        <w:t xml:space="preserve">State and </w:t>
      </w:r>
      <w:r w:rsidR="00EC182E" w:rsidRPr="006340F9">
        <w:t>T</w:t>
      </w:r>
      <w:r w:rsidRPr="006340F9">
        <w:t>erritory compliance monitoring should be strengthened</w:t>
      </w:r>
      <w:bookmarkEnd w:id="125"/>
    </w:p>
    <w:p w14:paraId="17CE204A" w14:textId="3933ACB2" w:rsidR="00C3124C" w:rsidRPr="006340F9" w:rsidRDefault="00C3124C" w:rsidP="004706E9">
      <w:pPr>
        <w:pStyle w:val="Heading4"/>
        <w:rPr>
          <w:b/>
          <w:bCs/>
        </w:rPr>
      </w:pPr>
      <w:r w:rsidRPr="006340F9">
        <w:t xml:space="preserve">Regulatory role and posture vary between states and territories </w:t>
      </w:r>
    </w:p>
    <w:p w14:paraId="59B97632" w14:textId="07F5C02C" w:rsidR="00C3124C" w:rsidRPr="006340F9" w:rsidRDefault="00701CA6" w:rsidP="00C3124C">
      <w:pPr>
        <w:jc w:val="both"/>
        <w:rPr>
          <w:rFonts w:cs="Arial"/>
          <w:sz w:val="22"/>
          <w:szCs w:val="22"/>
        </w:rPr>
      </w:pPr>
      <w:r w:rsidRPr="006340F9">
        <w:rPr>
          <w:rFonts w:cs="Arial"/>
          <w:sz w:val="22"/>
          <w:szCs w:val="22"/>
        </w:rPr>
        <w:t xml:space="preserve">Currently regulatory roles and posture </w:t>
      </w:r>
      <w:r w:rsidR="00CB2413" w:rsidRPr="006340F9">
        <w:rPr>
          <w:rFonts w:cs="Arial"/>
          <w:sz w:val="22"/>
          <w:szCs w:val="22"/>
        </w:rPr>
        <w:t xml:space="preserve">across jurisdictions can be best described as variable and in evolution. </w:t>
      </w:r>
      <w:r w:rsidR="00C3124C" w:rsidRPr="006340F9">
        <w:rPr>
          <w:rFonts w:cs="Arial"/>
          <w:sz w:val="22"/>
          <w:szCs w:val="22"/>
        </w:rPr>
        <w:t xml:space="preserve">There is significant variation in regulatory and investigation powers and approaches to compliance monitoring and regulatory actions across jurisdictions. For example, there are no regulatory powers in the Northern Territory, with no registration requirement or powers </w:t>
      </w:r>
      <w:r w:rsidR="009C4861" w:rsidRPr="006340F9">
        <w:rPr>
          <w:rFonts w:cs="Arial"/>
          <w:sz w:val="22"/>
          <w:szCs w:val="22"/>
        </w:rPr>
        <w:t xml:space="preserve">for the Territory government </w:t>
      </w:r>
      <w:r w:rsidR="00C3124C" w:rsidRPr="006340F9">
        <w:rPr>
          <w:rFonts w:cs="Arial"/>
          <w:sz w:val="22"/>
          <w:szCs w:val="22"/>
        </w:rPr>
        <w:t xml:space="preserve">to investigate or sanction. New South Wales relies on RTAC audits to identify and manage compliance issues with limited, if any, visibility of adverse events. New legislation in the </w:t>
      </w:r>
      <w:r w:rsidR="00403DD1" w:rsidRPr="006340F9">
        <w:rPr>
          <w:rFonts w:cs="Arial"/>
          <w:sz w:val="22"/>
          <w:szCs w:val="22"/>
        </w:rPr>
        <w:t>Australian Capital Territory</w:t>
      </w:r>
      <w:r w:rsidR="00C3124C" w:rsidRPr="006340F9">
        <w:rPr>
          <w:rFonts w:cs="Arial"/>
          <w:sz w:val="22"/>
          <w:szCs w:val="22"/>
        </w:rPr>
        <w:t xml:space="preserve"> and Queensland is being implemented progressively and, as of March 2025, the Victorian Health Regulator has new compliance powers to conduct investigations, issue directions, and enforce standards across ART providers.</w:t>
      </w:r>
      <w:r w:rsidR="00C3124C" w:rsidRPr="006340F9">
        <w:rPr>
          <w:rStyle w:val="FootnoteReference"/>
          <w:rFonts w:cs="Arial"/>
          <w:sz w:val="22"/>
          <w:szCs w:val="22"/>
        </w:rPr>
        <w:footnoteReference w:id="170"/>
      </w:r>
      <w:r w:rsidR="00BB102E" w:rsidRPr="006340F9">
        <w:rPr>
          <w:rFonts w:cs="Arial"/>
          <w:sz w:val="22"/>
          <w:szCs w:val="22"/>
        </w:rPr>
        <w:t xml:space="preserve"> </w:t>
      </w:r>
      <w:r w:rsidR="00C4481E" w:rsidRPr="006340F9">
        <w:rPr>
          <w:rFonts w:cs="Arial"/>
          <w:sz w:val="22"/>
          <w:szCs w:val="22"/>
        </w:rPr>
        <w:t>A</w:t>
      </w:r>
      <w:r w:rsidR="00F7474C" w:rsidRPr="006340F9">
        <w:rPr>
          <w:rFonts w:cs="Arial"/>
          <w:sz w:val="22"/>
          <w:szCs w:val="22"/>
        </w:rPr>
        <w:t>dditionally, a</w:t>
      </w:r>
      <w:r w:rsidR="00C4481E" w:rsidRPr="006340F9">
        <w:rPr>
          <w:rFonts w:cs="Arial"/>
          <w:sz w:val="22"/>
          <w:szCs w:val="22"/>
        </w:rPr>
        <w:t xml:space="preserve">s noted earlier, </w:t>
      </w:r>
      <w:r w:rsidR="00C4481E" w:rsidRPr="006340F9">
        <w:rPr>
          <w:sz w:val="22"/>
          <w:szCs w:val="22"/>
        </w:rPr>
        <w:t xml:space="preserve">the Western Australian Parliament is currently debating the Assisted Reproductive Technology and Surrogacy Bill 2025, which </w:t>
      </w:r>
      <w:r w:rsidR="00D12273" w:rsidRPr="006340F9">
        <w:rPr>
          <w:sz w:val="22"/>
          <w:szCs w:val="22"/>
        </w:rPr>
        <w:t>would</w:t>
      </w:r>
      <w:r w:rsidR="00F7474C" w:rsidRPr="006340F9">
        <w:rPr>
          <w:sz w:val="22"/>
          <w:szCs w:val="22"/>
        </w:rPr>
        <w:t xml:space="preserve"> </w:t>
      </w:r>
      <w:r w:rsidR="00EC6D6A" w:rsidRPr="006340F9">
        <w:rPr>
          <w:sz w:val="22"/>
          <w:szCs w:val="22"/>
        </w:rPr>
        <w:t>repeal current legislation</w:t>
      </w:r>
      <w:r w:rsidR="0001764E" w:rsidRPr="006340F9">
        <w:rPr>
          <w:sz w:val="22"/>
          <w:szCs w:val="22"/>
        </w:rPr>
        <w:t>.</w:t>
      </w:r>
    </w:p>
    <w:p w14:paraId="3AF848A9" w14:textId="6A2134DF" w:rsidR="00C3124C" w:rsidRPr="006340F9" w:rsidRDefault="00C3124C" w:rsidP="00C3124C">
      <w:pPr>
        <w:jc w:val="both"/>
        <w:rPr>
          <w:rFonts w:cs="Arial"/>
          <w:sz w:val="22"/>
          <w:szCs w:val="22"/>
        </w:rPr>
      </w:pPr>
      <w:r w:rsidRPr="006340F9">
        <w:rPr>
          <w:rFonts w:cs="Arial"/>
          <w:sz w:val="22"/>
          <w:szCs w:val="22"/>
        </w:rPr>
        <w:t xml:space="preserve">The variation in powers and approaches to </w:t>
      </w:r>
      <w:r w:rsidR="00CA0576" w:rsidRPr="006340F9">
        <w:rPr>
          <w:rFonts w:cs="Arial"/>
          <w:sz w:val="22"/>
          <w:szCs w:val="22"/>
        </w:rPr>
        <w:t>ART</w:t>
      </w:r>
      <w:r w:rsidRPr="006340F9">
        <w:rPr>
          <w:rFonts w:cs="Arial"/>
          <w:sz w:val="22"/>
          <w:szCs w:val="22"/>
        </w:rPr>
        <w:t xml:space="preserve"> regulation </w:t>
      </w:r>
      <w:r w:rsidR="006A36D4" w:rsidRPr="006340F9">
        <w:rPr>
          <w:rFonts w:cs="Arial"/>
          <w:sz w:val="22"/>
          <w:szCs w:val="22"/>
        </w:rPr>
        <w:t xml:space="preserve">risks </w:t>
      </w:r>
      <w:r w:rsidRPr="006340F9">
        <w:rPr>
          <w:rFonts w:cs="Arial"/>
          <w:sz w:val="22"/>
          <w:szCs w:val="22"/>
        </w:rPr>
        <w:t>undermin</w:t>
      </w:r>
      <w:r w:rsidR="006A36D4" w:rsidRPr="006340F9">
        <w:rPr>
          <w:rFonts w:cs="Arial"/>
          <w:sz w:val="22"/>
          <w:szCs w:val="22"/>
        </w:rPr>
        <w:t>ing</w:t>
      </w:r>
      <w:r w:rsidRPr="006340F9">
        <w:rPr>
          <w:rFonts w:cs="Arial"/>
          <w:sz w:val="22"/>
          <w:szCs w:val="22"/>
        </w:rPr>
        <w:t xml:space="preserve"> public confidence in the regulation of ART services. The reliance on accreditation </w:t>
      </w:r>
      <w:r w:rsidRPr="006340F9">
        <w:rPr>
          <w:rFonts w:cs="Arial"/>
          <w:i/>
          <w:iCs/>
          <w:sz w:val="22"/>
          <w:szCs w:val="22"/>
        </w:rPr>
        <w:t>in lieu</w:t>
      </w:r>
      <w:r w:rsidRPr="006340F9">
        <w:rPr>
          <w:rFonts w:cs="Arial"/>
          <w:sz w:val="22"/>
          <w:szCs w:val="22"/>
        </w:rPr>
        <w:t xml:space="preserve"> of comprehensive regulatory oversight is not consistent with the approaches taken across the rest of the health sector. The health sector is supported by a clear separation of accreditation and regulatory functions</w:t>
      </w:r>
      <w:r w:rsidR="002620DD" w:rsidRPr="006340F9">
        <w:rPr>
          <w:rFonts w:cs="Arial"/>
          <w:sz w:val="22"/>
          <w:szCs w:val="22"/>
        </w:rPr>
        <w:t>.</w:t>
      </w:r>
      <w:r w:rsidR="00EC182E" w:rsidRPr="006340F9">
        <w:rPr>
          <w:rFonts w:cs="Arial"/>
          <w:sz w:val="22"/>
          <w:szCs w:val="22"/>
        </w:rPr>
        <w:t xml:space="preserve"> </w:t>
      </w:r>
      <w:r w:rsidR="002620DD" w:rsidRPr="006340F9">
        <w:rPr>
          <w:rFonts w:cs="Arial"/>
          <w:sz w:val="22"/>
          <w:szCs w:val="22"/>
        </w:rPr>
        <w:t>T</w:t>
      </w:r>
      <w:r w:rsidR="00B13F8B" w:rsidRPr="006340F9">
        <w:rPr>
          <w:rFonts w:cs="Arial"/>
          <w:sz w:val="22"/>
          <w:szCs w:val="22"/>
        </w:rPr>
        <w:t>he Commission</w:t>
      </w:r>
      <w:r w:rsidRPr="006340F9">
        <w:rPr>
          <w:rFonts w:cs="Arial"/>
          <w:sz w:val="22"/>
          <w:szCs w:val="22"/>
        </w:rPr>
        <w:t xml:space="preserve"> provid</w:t>
      </w:r>
      <w:r w:rsidR="00893E67" w:rsidRPr="006340F9">
        <w:rPr>
          <w:rFonts w:cs="Arial"/>
          <w:sz w:val="22"/>
          <w:szCs w:val="22"/>
        </w:rPr>
        <w:t>es</w:t>
      </w:r>
      <w:r w:rsidRPr="006340F9">
        <w:rPr>
          <w:rFonts w:cs="Arial"/>
          <w:sz w:val="22"/>
          <w:szCs w:val="22"/>
        </w:rPr>
        <w:t xml:space="preserve"> robust standard setting and accreditation, and jurisdiction</w:t>
      </w:r>
      <w:r w:rsidR="00D87261" w:rsidRPr="006340F9">
        <w:rPr>
          <w:rFonts w:cs="Arial"/>
          <w:sz w:val="22"/>
          <w:szCs w:val="22"/>
        </w:rPr>
        <w:t>al regulatory authorities</w:t>
      </w:r>
      <w:r w:rsidRPr="006340F9">
        <w:rPr>
          <w:rFonts w:cs="Arial"/>
          <w:sz w:val="22"/>
          <w:szCs w:val="22"/>
        </w:rPr>
        <w:t xml:space="preserve"> with significant powers provid</w:t>
      </w:r>
      <w:r w:rsidR="00893E67" w:rsidRPr="006340F9">
        <w:rPr>
          <w:rFonts w:cs="Arial"/>
          <w:sz w:val="22"/>
          <w:szCs w:val="22"/>
        </w:rPr>
        <w:t>e</w:t>
      </w:r>
      <w:r w:rsidRPr="006340F9">
        <w:rPr>
          <w:rFonts w:cs="Arial"/>
          <w:sz w:val="22"/>
          <w:szCs w:val="22"/>
        </w:rPr>
        <w:t xml:space="preserve"> regulatory oversight and, where required, </w:t>
      </w:r>
      <w:r w:rsidR="00CD59B4" w:rsidRPr="006340F9">
        <w:rPr>
          <w:rFonts w:cs="Arial"/>
          <w:sz w:val="22"/>
          <w:szCs w:val="22"/>
        </w:rPr>
        <w:t xml:space="preserve">apply </w:t>
      </w:r>
      <w:r w:rsidRPr="006340F9">
        <w:rPr>
          <w:rFonts w:cs="Arial"/>
          <w:sz w:val="22"/>
          <w:szCs w:val="22"/>
        </w:rPr>
        <w:t>regulatory actions.</w:t>
      </w:r>
    </w:p>
    <w:p w14:paraId="620855D5" w14:textId="3457F8A5" w:rsidR="00C3124C" w:rsidRPr="006340F9" w:rsidRDefault="00C3124C" w:rsidP="00C3124C">
      <w:pPr>
        <w:jc w:val="both"/>
        <w:rPr>
          <w:rFonts w:cs="Arial"/>
          <w:sz w:val="22"/>
          <w:szCs w:val="22"/>
        </w:rPr>
      </w:pPr>
      <w:r w:rsidRPr="006340F9">
        <w:rPr>
          <w:rFonts w:cs="Arial"/>
          <w:sz w:val="22"/>
          <w:szCs w:val="22"/>
        </w:rPr>
        <w:t xml:space="preserve">While regulatory powers across </w:t>
      </w:r>
      <w:r w:rsidR="00EC182E" w:rsidRPr="006340F9">
        <w:rPr>
          <w:rFonts w:cs="Arial"/>
          <w:sz w:val="22"/>
          <w:szCs w:val="22"/>
        </w:rPr>
        <w:t>State and Territory</w:t>
      </w:r>
      <w:r w:rsidRPr="006340F9">
        <w:rPr>
          <w:rFonts w:cs="Arial"/>
          <w:sz w:val="22"/>
          <w:szCs w:val="22"/>
        </w:rPr>
        <w:t xml:space="preserve"> </w:t>
      </w:r>
      <w:r w:rsidR="00A9430F" w:rsidRPr="006340F9">
        <w:rPr>
          <w:rFonts w:cs="Arial"/>
          <w:sz w:val="22"/>
          <w:szCs w:val="22"/>
        </w:rPr>
        <w:t>regulatory authorities</w:t>
      </w:r>
      <w:r w:rsidRPr="006340F9">
        <w:rPr>
          <w:rFonts w:cs="Arial"/>
          <w:sz w:val="22"/>
          <w:szCs w:val="22"/>
        </w:rPr>
        <w:t xml:space="preserve"> vary considerably, most jurisdictions with regulatory powers have established them only recently</w:t>
      </w:r>
      <w:r w:rsidR="00CD59B4" w:rsidRPr="006340F9">
        <w:rPr>
          <w:rFonts w:cs="Arial"/>
          <w:sz w:val="22"/>
          <w:szCs w:val="22"/>
        </w:rPr>
        <w:t xml:space="preserve"> and they continue to evolve</w:t>
      </w:r>
      <w:r w:rsidRPr="006340F9">
        <w:rPr>
          <w:rFonts w:cs="Arial"/>
          <w:sz w:val="22"/>
          <w:szCs w:val="22"/>
        </w:rPr>
        <w:t>. The A</w:t>
      </w:r>
      <w:r w:rsidR="00AD5E0E" w:rsidRPr="006340F9">
        <w:rPr>
          <w:rFonts w:cs="Arial"/>
          <w:sz w:val="22"/>
          <w:szCs w:val="22"/>
        </w:rPr>
        <w:t xml:space="preserve">ustralian </w:t>
      </w:r>
      <w:r w:rsidRPr="006340F9">
        <w:rPr>
          <w:rFonts w:cs="Arial"/>
          <w:sz w:val="22"/>
          <w:szCs w:val="22"/>
        </w:rPr>
        <w:t>C</w:t>
      </w:r>
      <w:r w:rsidR="00AD5E0E" w:rsidRPr="006340F9">
        <w:rPr>
          <w:rFonts w:cs="Arial"/>
          <w:sz w:val="22"/>
          <w:szCs w:val="22"/>
        </w:rPr>
        <w:t xml:space="preserve">apital </w:t>
      </w:r>
      <w:r w:rsidRPr="006340F9">
        <w:rPr>
          <w:rFonts w:cs="Arial"/>
          <w:sz w:val="22"/>
          <w:szCs w:val="22"/>
        </w:rPr>
        <w:t>T</w:t>
      </w:r>
      <w:r w:rsidR="00AD5E0E" w:rsidRPr="006340F9">
        <w:rPr>
          <w:rFonts w:cs="Arial"/>
          <w:sz w:val="22"/>
          <w:szCs w:val="22"/>
        </w:rPr>
        <w:t>erritory</w:t>
      </w:r>
      <w:r w:rsidRPr="006340F9">
        <w:rPr>
          <w:rFonts w:cs="Arial"/>
          <w:sz w:val="22"/>
          <w:szCs w:val="22"/>
        </w:rPr>
        <w:t>, Queensland, and Victoria are in the process of implementing new arrangements.</w:t>
      </w:r>
      <w:r w:rsidR="00B33F37" w:rsidRPr="006340F9">
        <w:rPr>
          <w:rFonts w:cs="Arial"/>
          <w:sz w:val="22"/>
          <w:szCs w:val="22"/>
        </w:rPr>
        <w:t xml:space="preserve"> </w:t>
      </w:r>
      <w:r w:rsidRPr="006340F9">
        <w:rPr>
          <w:rFonts w:cs="Arial"/>
          <w:sz w:val="22"/>
          <w:szCs w:val="22"/>
        </w:rPr>
        <w:t xml:space="preserve">As such, it is too early to report on the </w:t>
      </w:r>
      <w:r w:rsidRPr="006340F9">
        <w:rPr>
          <w:rFonts w:cs="Arial"/>
          <w:sz w:val="22"/>
          <w:szCs w:val="22"/>
        </w:rPr>
        <w:lastRenderedPageBreak/>
        <w:t xml:space="preserve">effectiveness of jurisdiction-based regulation of </w:t>
      </w:r>
      <w:r w:rsidR="005768DF" w:rsidRPr="006340F9">
        <w:rPr>
          <w:rFonts w:cs="Arial"/>
          <w:sz w:val="22"/>
          <w:szCs w:val="22"/>
        </w:rPr>
        <w:t xml:space="preserve">the </w:t>
      </w:r>
      <w:r w:rsidRPr="006340F9">
        <w:rPr>
          <w:rFonts w:cs="Arial"/>
          <w:sz w:val="22"/>
          <w:szCs w:val="22"/>
        </w:rPr>
        <w:t>ART sector. That said, this is the approach taken to healthcare regulation more broadly, including the regulation of cosmetic surgery</w:t>
      </w:r>
      <w:r w:rsidR="00AF58AD" w:rsidRPr="006340F9">
        <w:rPr>
          <w:rFonts w:cs="Arial"/>
          <w:sz w:val="22"/>
          <w:szCs w:val="22"/>
        </w:rPr>
        <w:t xml:space="preserve">, and there is no reason to expect that the effectiveness of </w:t>
      </w:r>
      <w:r w:rsidR="00210E8A" w:rsidRPr="006340F9">
        <w:rPr>
          <w:rFonts w:cs="Arial"/>
          <w:sz w:val="22"/>
          <w:szCs w:val="22"/>
        </w:rPr>
        <w:t>jurisdiction-based regulation should be any different for ART</w:t>
      </w:r>
    </w:p>
    <w:p w14:paraId="530DF4AD" w14:textId="4431102F" w:rsidR="0033557B" w:rsidRPr="006340F9" w:rsidRDefault="00707E8A" w:rsidP="004706E9">
      <w:pPr>
        <w:pStyle w:val="Heading4"/>
      </w:pPr>
      <w:r w:rsidRPr="006340F9">
        <w:t xml:space="preserve">There is little evidence that jurisdictions </w:t>
      </w:r>
      <w:r w:rsidR="00BC3678" w:rsidRPr="006340F9">
        <w:t>use</w:t>
      </w:r>
      <w:r w:rsidRPr="006340F9">
        <w:t xml:space="preserve"> their compliance powers, or that these powers influence provider conduct</w:t>
      </w:r>
    </w:p>
    <w:p w14:paraId="74D1AF6E" w14:textId="7AC5C92E" w:rsidR="00C3124C" w:rsidRPr="006340F9" w:rsidRDefault="00A9430F" w:rsidP="00C3124C">
      <w:pPr>
        <w:jc w:val="both"/>
        <w:rPr>
          <w:rFonts w:cs="Arial"/>
          <w:sz w:val="22"/>
          <w:szCs w:val="22"/>
        </w:rPr>
      </w:pPr>
      <w:r w:rsidRPr="006340F9">
        <w:rPr>
          <w:rFonts w:cs="Arial"/>
          <w:sz w:val="22"/>
          <w:szCs w:val="22"/>
        </w:rPr>
        <w:t>Jurisdictional regulatory authorities</w:t>
      </w:r>
      <w:r w:rsidR="00C3124C" w:rsidRPr="006340F9">
        <w:rPr>
          <w:rFonts w:cs="Arial"/>
          <w:sz w:val="22"/>
          <w:szCs w:val="22"/>
        </w:rPr>
        <w:t xml:space="preserve"> have described ART providers as a “black box”. This is perhaps not surprising given that, as described earlier, RTAC </w:t>
      </w:r>
      <w:r w:rsidR="000333EA" w:rsidRPr="006340F9">
        <w:rPr>
          <w:rFonts w:cs="Arial"/>
          <w:sz w:val="22"/>
          <w:szCs w:val="22"/>
        </w:rPr>
        <w:t xml:space="preserve">does </w:t>
      </w:r>
      <w:r w:rsidR="00C3124C" w:rsidRPr="006340F9">
        <w:rPr>
          <w:rFonts w:cs="Arial"/>
          <w:sz w:val="22"/>
          <w:szCs w:val="22"/>
        </w:rPr>
        <w:t>not</w:t>
      </w:r>
      <w:r w:rsidR="00C3124C" w:rsidRPr="006340F9" w:rsidDel="000333EA">
        <w:rPr>
          <w:rFonts w:cs="Arial"/>
          <w:sz w:val="22"/>
          <w:szCs w:val="22"/>
        </w:rPr>
        <w:t xml:space="preserve"> </w:t>
      </w:r>
      <w:r w:rsidR="00C3124C" w:rsidRPr="006340F9">
        <w:rPr>
          <w:rFonts w:cs="Arial"/>
          <w:sz w:val="22"/>
          <w:szCs w:val="22"/>
        </w:rPr>
        <w:t xml:space="preserve">routinely </w:t>
      </w:r>
      <w:r w:rsidR="000333EA" w:rsidRPr="006340F9">
        <w:rPr>
          <w:rFonts w:cs="Arial"/>
          <w:sz w:val="22"/>
          <w:szCs w:val="22"/>
        </w:rPr>
        <w:t xml:space="preserve">share </w:t>
      </w:r>
      <w:r w:rsidR="00C3124C" w:rsidRPr="006340F9">
        <w:rPr>
          <w:rFonts w:cs="Arial"/>
          <w:sz w:val="22"/>
          <w:szCs w:val="22"/>
        </w:rPr>
        <w:t xml:space="preserve">audit or adverse event data with </w:t>
      </w:r>
      <w:r w:rsidRPr="006340F9">
        <w:rPr>
          <w:rFonts w:cs="Arial"/>
          <w:sz w:val="22"/>
          <w:szCs w:val="22"/>
        </w:rPr>
        <w:t>regulatory authorities</w:t>
      </w:r>
      <w:r w:rsidR="00C3124C" w:rsidRPr="006340F9">
        <w:rPr>
          <w:rFonts w:cs="Arial"/>
          <w:sz w:val="22"/>
          <w:szCs w:val="22"/>
        </w:rPr>
        <w:t xml:space="preserve">. This is perhaps compounded </w:t>
      </w:r>
      <w:proofErr w:type="gramStart"/>
      <w:r w:rsidR="00C3124C" w:rsidRPr="006340F9">
        <w:rPr>
          <w:rFonts w:cs="Arial"/>
          <w:sz w:val="22"/>
          <w:szCs w:val="22"/>
        </w:rPr>
        <w:t>by the use of</w:t>
      </w:r>
      <w:proofErr w:type="gramEnd"/>
      <w:r w:rsidR="00C3124C" w:rsidRPr="006340F9">
        <w:rPr>
          <w:rFonts w:cs="Arial"/>
          <w:sz w:val="22"/>
          <w:szCs w:val="22"/>
        </w:rPr>
        <w:t xml:space="preserve"> non-disclosure agreements (NDAs) for consumers who have experienced poor outcomes. Consumer representatives suggest that the use of NDAs is widespread. Civil law remedies appear to be preferred by, at least some, consumers </w:t>
      </w:r>
      <w:r w:rsidR="00DB757A" w:rsidRPr="006340F9">
        <w:rPr>
          <w:rFonts w:cs="Arial"/>
          <w:sz w:val="22"/>
          <w:szCs w:val="22"/>
        </w:rPr>
        <w:t>instead of</w:t>
      </w:r>
      <w:r w:rsidR="00C3124C" w:rsidRPr="006340F9">
        <w:rPr>
          <w:rFonts w:cs="Arial"/>
          <w:sz w:val="22"/>
          <w:szCs w:val="22"/>
        </w:rPr>
        <w:t xml:space="preserve"> engagement with </w:t>
      </w:r>
      <w:r w:rsidR="007E141C" w:rsidRPr="006340F9">
        <w:rPr>
          <w:rFonts w:cs="Arial"/>
          <w:sz w:val="22"/>
          <w:szCs w:val="22"/>
        </w:rPr>
        <w:t>regulatory authorities</w:t>
      </w:r>
      <w:r w:rsidR="00C3124C" w:rsidRPr="006340F9">
        <w:rPr>
          <w:rFonts w:cs="Arial"/>
          <w:sz w:val="22"/>
          <w:szCs w:val="22"/>
        </w:rPr>
        <w:t xml:space="preserve"> and </w:t>
      </w:r>
      <w:r w:rsidR="007752A2" w:rsidRPr="006340F9">
        <w:rPr>
          <w:rFonts w:cs="Arial"/>
          <w:sz w:val="22"/>
          <w:szCs w:val="22"/>
        </w:rPr>
        <w:t xml:space="preserve">health </w:t>
      </w:r>
      <w:r w:rsidR="00C3124C" w:rsidRPr="006340F9">
        <w:rPr>
          <w:rFonts w:cs="Arial"/>
          <w:sz w:val="22"/>
          <w:szCs w:val="22"/>
        </w:rPr>
        <w:t xml:space="preserve">complaints bodies. </w:t>
      </w:r>
    </w:p>
    <w:p w14:paraId="2B44141C" w14:textId="31099D64" w:rsidR="00C3124C" w:rsidRPr="006340F9" w:rsidRDefault="00C3124C" w:rsidP="00C3124C">
      <w:pPr>
        <w:jc w:val="both"/>
        <w:rPr>
          <w:rFonts w:cs="Arial"/>
          <w:sz w:val="22"/>
          <w:szCs w:val="22"/>
        </w:rPr>
      </w:pPr>
      <w:r w:rsidRPr="006340F9">
        <w:rPr>
          <w:rFonts w:cs="Arial"/>
          <w:sz w:val="22"/>
          <w:szCs w:val="22"/>
        </w:rPr>
        <w:t xml:space="preserve">Unsurprisingly, we found only a few examples of regulatory action taken against ART providers by jurisdictional </w:t>
      </w:r>
      <w:r w:rsidR="00A9430F" w:rsidRPr="006340F9">
        <w:rPr>
          <w:rFonts w:cs="Arial"/>
          <w:sz w:val="22"/>
          <w:szCs w:val="22"/>
        </w:rPr>
        <w:t>regulatory authorities</w:t>
      </w:r>
      <w:r w:rsidRPr="006340F9">
        <w:rPr>
          <w:rFonts w:cs="Arial"/>
          <w:sz w:val="22"/>
          <w:szCs w:val="22"/>
        </w:rPr>
        <w:t xml:space="preserve">. Indeed, it appears that more effective modifiers of provider conduct lie with other regulatory schemes, such as ASIC, and litigation, as demonstrated </w:t>
      </w:r>
      <w:r w:rsidR="00AE04A9" w:rsidRPr="006340F9">
        <w:rPr>
          <w:rFonts w:cs="Arial"/>
          <w:sz w:val="22"/>
          <w:szCs w:val="22"/>
        </w:rPr>
        <w:t>recently</w:t>
      </w:r>
      <w:r w:rsidRPr="006340F9">
        <w:rPr>
          <w:rFonts w:cs="Arial"/>
          <w:sz w:val="22"/>
          <w:szCs w:val="22"/>
        </w:rPr>
        <w:t xml:space="preserve"> in a record-breaking $56 million settlement reached between Monash IVF and 700 patients. This conduct related to the use of a genetic testing process from May 2019 to October 2020 that was found to be flawed. There appears to have been little regulatory oversight of the conduct in question.</w:t>
      </w:r>
    </w:p>
    <w:p w14:paraId="6DC44777" w14:textId="2073AC83" w:rsidR="00C3124C" w:rsidRPr="006340F9" w:rsidRDefault="00C3124C" w:rsidP="004706E9">
      <w:pPr>
        <w:pStyle w:val="Heading4"/>
      </w:pPr>
      <w:r w:rsidRPr="006340F9">
        <w:t xml:space="preserve">Variation between jurisdictions can </w:t>
      </w:r>
      <w:r w:rsidR="00AD09FD" w:rsidRPr="006340F9">
        <w:t>affect</w:t>
      </w:r>
      <w:r w:rsidRPr="006340F9">
        <w:t xml:space="preserve"> provider conduct and consumer protection</w:t>
      </w:r>
    </w:p>
    <w:p w14:paraId="1DF6A382" w14:textId="15E89294" w:rsidR="00C3124C" w:rsidRPr="006340F9" w:rsidRDefault="00C3124C" w:rsidP="00C3124C">
      <w:pPr>
        <w:jc w:val="both"/>
        <w:rPr>
          <w:rFonts w:cs="Arial"/>
          <w:sz w:val="22"/>
          <w:szCs w:val="22"/>
        </w:rPr>
      </w:pPr>
      <w:r w:rsidRPr="006340F9">
        <w:rPr>
          <w:rFonts w:cs="Arial"/>
          <w:sz w:val="22"/>
          <w:szCs w:val="22"/>
        </w:rPr>
        <w:t>Variation in registration requirements and associated compliance and enforcement powers between jurisdictions also creates the risk of regulatory arbitrage.</w:t>
      </w:r>
      <w:r w:rsidRPr="006340F9">
        <w:rPr>
          <w:rStyle w:val="FootnoteReference"/>
          <w:rFonts w:cs="Arial"/>
          <w:sz w:val="22"/>
          <w:szCs w:val="22"/>
        </w:rPr>
        <w:footnoteReference w:id="171"/>
      </w:r>
      <w:r w:rsidRPr="006340F9">
        <w:rPr>
          <w:rFonts w:cs="Arial"/>
          <w:sz w:val="22"/>
          <w:szCs w:val="22"/>
        </w:rPr>
        <w:t xml:space="preserve"> ACT Health identified that ART service provision rates were much higher in the </w:t>
      </w:r>
      <w:r w:rsidR="00403DD1" w:rsidRPr="006340F9">
        <w:rPr>
          <w:rFonts w:cs="Arial"/>
          <w:sz w:val="22"/>
          <w:szCs w:val="22"/>
        </w:rPr>
        <w:t>Australian Capital Territory</w:t>
      </w:r>
      <w:r w:rsidRPr="006340F9">
        <w:rPr>
          <w:rFonts w:cs="Arial"/>
          <w:sz w:val="22"/>
          <w:szCs w:val="22"/>
        </w:rPr>
        <w:t xml:space="preserve"> compared to other jurisdictions before the introduction of their ART legislation in 2024. This suggests that some providers may have been operating in the </w:t>
      </w:r>
      <w:r w:rsidR="00117FA7" w:rsidRPr="006340F9">
        <w:rPr>
          <w:rFonts w:cs="Arial"/>
          <w:sz w:val="22"/>
          <w:szCs w:val="22"/>
        </w:rPr>
        <w:t>Australian Capital Territory</w:t>
      </w:r>
      <w:r w:rsidRPr="006340F9">
        <w:rPr>
          <w:rFonts w:cs="Arial"/>
          <w:sz w:val="22"/>
          <w:szCs w:val="22"/>
        </w:rPr>
        <w:t xml:space="preserve"> to avoid ART regulat</w:t>
      </w:r>
      <w:r w:rsidR="007C01D8" w:rsidRPr="006340F9">
        <w:rPr>
          <w:rFonts w:cs="Arial"/>
          <w:sz w:val="22"/>
          <w:szCs w:val="22"/>
        </w:rPr>
        <w:t>ory burdens</w:t>
      </w:r>
      <w:r w:rsidRPr="006340F9">
        <w:rPr>
          <w:rFonts w:cs="Arial"/>
          <w:sz w:val="22"/>
          <w:szCs w:val="22"/>
        </w:rPr>
        <w:t xml:space="preserve"> in other jurisdictions.   </w:t>
      </w:r>
    </w:p>
    <w:p w14:paraId="19EB6EB2" w14:textId="164BEE2B" w:rsidR="00C3124C" w:rsidRPr="006340F9" w:rsidRDefault="00C3124C" w:rsidP="00C3124C">
      <w:pPr>
        <w:jc w:val="both"/>
        <w:rPr>
          <w:rFonts w:cs="Arial"/>
          <w:sz w:val="22"/>
          <w:szCs w:val="22"/>
        </w:rPr>
      </w:pPr>
      <w:r w:rsidRPr="006340F9">
        <w:rPr>
          <w:rFonts w:cs="Arial"/>
          <w:sz w:val="22"/>
          <w:szCs w:val="22"/>
        </w:rPr>
        <w:t xml:space="preserve">The different regulatory postures between jurisdictions </w:t>
      </w:r>
      <w:r w:rsidR="00561E48" w:rsidRPr="006340F9">
        <w:rPr>
          <w:rFonts w:cs="Arial"/>
          <w:sz w:val="22"/>
          <w:szCs w:val="22"/>
        </w:rPr>
        <w:t xml:space="preserve">affects </w:t>
      </w:r>
      <w:r w:rsidRPr="006340F9">
        <w:rPr>
          <w:rFonts w:cs="Arial"/>
          <w:sz w:val="22"/>
          <w:szCs w:val="22"/>
        </w:rPr>
        <w:t xml:space="preserve">reporting requirements, with varying levels of information and reporting formats required by different bodies. The impact of these arrangements is that larger providers operating in multiple jurisdictions require several different reporting approaches to meet the needs of RTAC and jurisdictions when reporting on the same event. </w:t>
      </w:r>
    </w:p>
    <w:p w14:paraId="78026C8A" w14:textId="2188D68B" w:rsidR="00C3124C" w:rsidRPr="006340F9" w:rsidRDefault="00C3124C" w:rsidP="004706E9">
      <w:pPr>
        <w:pStyle w:val="Heading4"/>
        <w:rPr>
          <w:b/>
          <w:bCs/>
        </w:rPr>
      </w:pPr>
      <w:r w:rsidRPr="006340F9">
        <w:t xml:space="preserve">Information sharing between RTAC and </w:t>
      </w:r>
      <w:r w:rsidR="00A9430F" w:rsidRPr="006340F9">
        <w:t>regulatory authorities</w:t>
      </w:r>
      <w:r w:rsidRPr="006340F9">
        <w:t xml:space="preserve"> is limited</w:t>
      </w:r>
    </w:p>
    <w:p w14:paraId="100AEE16" w14:textId="03F6BB86" w:rsidR="00C3124C" w:rsidRPr="006340F9" w:rsidRDefault="00C3124C" w:rsidP="00C3124C">
      <w:pPr>
        <w:jc w:val="both"/>
        <w:rPr>
          <w:rFonts w:cs="Arial"/>
          <w:sz w:val="22"/>
          <w:szCs w:val="22"/>
        </w:rPr>
      </w:pPr>
      <w:r w:rsidRPr="006340F9">
        <w:rPr>
          <w:rFonts w:cs="Arial"/>
          <w:sz w:val="22"/>
          <w:szCs w:val="22"/>
        </w:rPr>
        <w:t xml:space="preserve">Some jurisdictions, such as Victoria and Western Australia, have legislative requirements for ART providers to report adverse events to </w:t>
      </w:r>
      <w:r w:rsidR="00A9430F" w:rsidRPr="006340F9">
        <w:rPr>
          <w:rFonts w:cs="Arial"/>
          <w:sz w:val="22"/>
          <w:szCs w:val="22"/>
        </w:rPr>
        <w:t>their jurisdiction’s regulatory authority</w:t>
      </w:r>
      <w:r w:rsidRPr="006340F9">
        <w:rPr>
          <w:rFonts w:cs="Arial"/>
          <w:sz w:val="22"/>
          <w:szCs w:val="22"/>
        </w:rPr>
        <w:t xml:space="preserve">. However, these obligations are not national and there is no formal mechanism for integrating this information with RTAC’s accreditation processes. </w:t>
      </w:r>
    </w:p>
    <w:p w14:paraId="11220C89" w14:textId="77777777" w:rsidR="003751FB" w:rsidRPr="006340F9" w:rsidRDefault="00C3124C" w:rsidP="00C3124C">
      <w:pPr>
        <w:jc w:val="both"/>
        <w:rPr>
          <w:rFonts w:cs="Arial"/>
          <w:sz w:val="22"/>
          <w:szCs w:val="22"/>
        </w:rPr>
      </w:pPr>
      <w:r w:rsidRPr="006340F9">
        <w:rPr>
          <w:rFonts w:cs="Arial"/>
          <w:sz w:val="22"/>
          <w:szCs w:val="22"/>
        </w:rPr>
        <w:lastRenderedPageBreak/>
        <w:t xml:space="preserve">As discussed earlier, several stakeholders pointed out the absence of structured communication between RTAC and jurisdictional </w:t>
      </w:r>
      <w:r w:rsidR="007E141C" w:rsidRPr="006340F9">
        <w:rPr>
          <w:rFonts w:cs="Arial"/>
          <w:sz w:val="22"/>
          <w:szCs w:val="22"/>
        </w:rPr>
        <w:t>regulatory authorities</w:t>
      </w:r>
      <w:r w:rsidRPr="006340F9">
        <w:rPr>
          <w:rFonts w:cs="Arial"/>
          <w:sz w:val="22"/>
          <w:szCs w:val="22"/>
        </w:rPr>
        <w:t xml:space="preserve">. While both entities collect data relevant to safety and quality, there is no formalised process </w:t>
      </w:r>
      <w:r w:rsidR="000B70BB" w:rsidRPr="006340F9">
        <w:rPr>
          <w:rFonts w:cs="Arial"/>
          <w:sz w:val="22"/>
          <w:szCs w:val="22"/>
        </w:rPr>
        <w:t>to</w:t>
      </w:r>
      <w:r w:rsidRPr="006340F9">
        <w:rPr>
          <w:rFonts w:cs="Arial"/>
          <w:sz w:val="22"/>
          <w:szCs w:val="22"/>
        </w:rPr>
        <w:t xml:space="preserve"> shar</w:t>
      </w:r>
      <w:r w:rsidR="000B70BB" w:rsidRPr="006340F9">
        <w:rPr>
          <w:rFonts w:cs="Arial"/>
          <w:sz w:val="22"/>
          <w:szCs w:val="22"/>
        </w:rPr>
        <w:t>e</w:t>
      </w:r>
      <w:r w:rsidRPr="006340F9">
        <w:rPr>
          <w:rFonts w:cs="Arial"/>
          <w:sz w:val="22"/>
          <w:szCs w:val="22"/>
        </w:rPr>
        <w:t xml:space="preserve"> information, coordinat</w:t>
      </w:r>
      <w:r w:rsidR="000B70BB" w:rsidRPr="006340F9">
        <w:rPr>
          <w:rFonts w:cs="Arial"/>
          <w:sz w:val="22"/>
          <w:szCs w:val="22"/>
        </w:rPr>
        <w:t>e</w:t>
      </w:r>
      <w:r w:rsidRPr="006340F9">
        <w:rPr>
          <w:rFonts w:cs="Arial"/>
          <w:sz w:val="22"/>
          <w:szCs w:val="22"/>
        </w:rPr>
        <w:t xml:space="preserve"> responses, or align compliance activities. This disconnect </w:t>
      </w:r>
      <w:r w:rsidR="001E1C9E" w:rsidRPr="006340F9">
        <w:rPr>
          <w:rFonts w:cs="Arial"/>
          <w:sz w:val="22"/>
          <w:szCs w:val="22"/>
        </w:rPr>
        <w:t xml:space="preserve">materially </w:t>
      </w:r>
      <w:r w:rsidRPr="006340F9">
        <w:rPr>
          <w:rFonts w:cs="Arial"/>
          <w:sz w:val="22"/>
          <w:szCs w:val="22"/>
        </w:rPr>
        <w:t xml:space="preserve">limits the ability of </w:t>
      </w:r>
      <w:r w:rsidR="007521B5" w:rsidRPr="006340F9">
        <w:rPr>
          <w:rFonts w:cs="Arial"/>
          <w:sz w:val="22"/>
          <w:szCs w:val="22"/>
        </w:rPr>
        <w:t>regulatory authorities</w:t>
      </w:r>
      <w:r w:rsidRPr="006340F9">
        <w:rPr>
          <w:rFonts w:cs="Arial"/>
          <w:sz w:val="22"/>
          <w:szCs w:val="22"/>
        </w:rPr>
        <w:t xml:space="preserve"> to act on emerging risks and undermines the potential for regulatory intelligence to inform continuous improvement across the sector. It is also in </w:t>
      </w:r>
      <w:r w:rsidR="003020CF" w:rsidRPr="006340F9">
        <w:rPr>
          <w:rFonts w:cs="Arial"/>
          <w:sz w:val="22"/>
          <w:szCs w:val="22"/>
        </w:rPr>
        <w:t>distinct</w:t>
      </w:r>
      <w:r w:rsidRPr="006340F9">
        <w:rPr>
          <w:rFonts w:cs="Arial"/>
          <w:sz w:val="22"/>
          <w:szCs w:val="22"/>
        </w:rPr>
        <w:t xml:space="preserve"> </w:t>
      </w:r>
      <w:r w:rsidR="003020CF" w:rsidRPr="006340F9">
        <w:rPr>
          <w:rFonts w:cs="Arial"/>
          <w:sz w:val="22"/>
          <w:szCs w:val="22"/>
        </w:rPr>
        <w:t>contrast</w:t>
      </w:r>
      <w:r w:rsidRPr="006340F9">
        <w:rPr>
          <w:rFonts w:cs="Arial"/>
          <w:sz w:val="22"/>
          <w:szCs w:val="22"/>
        </w:rPr>
        <w:t xml:space="preserve"> to the relationships between </w:t>
      </w:r>
      <w:r w:rsidR="00B13F8B" w:rsidRPr="006340F9">
        <w:rPr>
          <w:rFonts w:cs="Arial"/>
          <w:sz w:val="22"/>
          <w:szCs w:val="22"/>
        </w:rPr>
        <w:t>the Commission</w:t>
      </w:r>
      <w:r w:rsidRPr="006340F9">
        <w:rPr>
          <w:rFonts w:cs="Arial"/>
          <w:sz w:val="22"/>
          <w:szCs w:val="22"/>
        </w:rPr>
        <w:t xml:space="preserve"> and jurisdictions.</w:t>
      </w:r>
    </w:p>
    <w:p w14:paraId="0E5C7087" w14:textId="7C16C8CB" w:rsidR="00C3124C" w:rsidRPr="006340F9" w:rsidRDefault="003B43C4" w:rsidP="00C3124C">
      <w:pPr>
        <w:jc w:val="both"/>
        <w:rPr>
          <w:rFonts w:cs="Arial"/>
          <w:sz w:val="22"/>
          <w:szCs w:val="22"/>
        </w:rPr>
      </w:pPr>
      <w:r w:rsidRPr="006340F9">
        <w:rPr>
          <w:rFonts w:cs="Arial"/>
          <w:sz w:val="22"/>
          <w:szCs w:val="22"/>
        </w:rPr>
        <w:t>We believe that the lack of formal</w:t>
      </w:r>
      <w:r w:rsidR="00803160" w:rsidRPr="006340F9">
        <w:rPr>
          <w:rFonts w:cs="Arial"/>
          <w:sz w:val="22"/>
          <w:szCs w:val="22"/>
        </w:rPr>
        <w:t>ised</w:t>
      </w:r>
      <w:r w:rsidRPr="006340F9">
        <w:rPr>
          <w:rFonts w:cs="Arial"/>
          <w:sz w:val="22"/>
          <w:szCs w:val="22"/>
        </w:rPr>
        <w:t xml:space="preserve"> and regular dial</w:t>
      </w:r>
      <w:r w:rsidR="00803160" w:rsidRPr="006340F9">
        <w:rPr>
          <w:rFonts w:cs="Arial"/>
          <w:sz w:val="22"/>
          <w:szCs w:val="22"/>
        </w:rPr>
        <w:t>ogue between RTAC, the accreditation agency, and the jurisdictions</w:t>
      </w:r>
      <w:r w:rsidR="008C5B7C" w:rsidRPr="006340F9">
        <w:rPr>
          <w:rFonts w:cs="Arial"/>
          <w:sz w:val="22"/>
          <w:szCs w:val="22"/>
        </w:rPr>
        <w:t xml:space="preserve"> </w:t>
      </w:r>
      <w:r w:rsidR="00716797" w:rsidRPr="006340F9">
        <w:rPr>
          <w:rFonts w:cs="Arial"/>
          <w:sz w:val="22"/>
          <w:szCs w:val="22"/>
        </w:rPr>
        <w:t xml:space="preserve">significantly undermines effective quality and safety governance of Australia’s ART </w:t>
      </w:r>
      <w:r w:rsidR="002F53B0" w:rsidRPr="006340F9">
        <w:rPr>
          <w:rFonts w:cs="Arial"/>
          <w:sz w:val="22"/>
          <w:szCs w:val="22"/>
        </w:rPr>
        <w:t>services.</w:t>
      </w:r>
    </w:p>
    <w:p w14:paraId="0B5596CE" w14:textId="77777777" w:rsidR="00C3124C" w:rsidRPr="006340F9" w:rsidRDefault="00C3124C" w:rsidP="004706E9">
      <w:pPr>
        <w:pStyle w:val="Heading4"/>
        <w:rPr>
          <w:b/>
          <w:bCs/>
        </w:rPr>
      </w:pPr>
      <w:r w:rsidRPr="006340F9">
        <w:t>Inconsistency in donor limits and gamete movement is a key issue for stakeholders</w:t>
      </w:r>
    </w:p>
    <w:p w14:paraId="6D87134E" w14:textId="77777777" w:rsidR="00C3124C" w:rsidRPr="006340F9" w:rsidRDefault="00C3124C" w:rsidP="00C3124C">
      <w:pPr>
        <w:jc w:val="both"/>
        <w:rPr>
          <w:rFonts w:cs="Arial"/>
          <w:sz w:val="22"/>
          <w:szCs w:val="22"/>
        </w:rPr>
      </w:pPr>
      <w:r w:rsidRPr="006340F9">
        <w:rPr>
          <w:rFonts w:cs="Arial"/>
          <w:sz w:val="22"/>
          <w:szCs w:val="22"/>
        </w:rPr>
        <w:t xml:space="preserve">Regulatory inconsistencies in donor limits and gamete movement may give rise to consumer protection and safety risks for individuals seeking care, and for donor-conceived individuals. Concerns raised by stakeholders include the inability for donor-conceived individuals to access important medical and genetic information, risks of consanguineous relationships, and growing presence of unregulated private donor markets accessed through social media or word of mouth in certain community groups. </w:t>
      </w:r>
    </w:p>
    <w:p w14:paraId="71FC998F" w14:textId="5DE956F2" w:rsidR="00C3124C" w:rsidRPr="006340F9" w:rsidRDefault="00C3124C" w:rsidP="00C3124C">
      <w:pPr>
        <w:jc w:val="both"/>
        <w:rPr>
          <w:rFonts w:cs="Arial"/>
          <w:sz w:val="22"/>
          <w:szCs w:val="22"/>
        </w:rPr>
      </w:pPr>
      <w:r w:rsidRPr="006340F9">
        <w:rPr>
          <w:rFonts w:cs="Arial"/>
          <w:sz w:val="22"/>
          <w:szCs w:val="22"/>
        </w:rPr>
        <w:t>While there are some sound policy rationales as to why jurisdictional restrictions differ,</w:t>
      </w:r>
      <w:r w:rsidRPr="006340F9">
        <w:rPr>
          <w:rStyle w:val="FootnoteReference"/>
          <w:rFonts w:cs="Arial"/>
          <w:sz w:val="22"/>
          <w:szCs w:val="22"/>
        </w:rPr>
        <w:footnoteReference w:id="172"/>
      </w:r>
      <w:r w:rsidRPr="006340F9">
        <w:rPr>
          <w:rFonts w:cs="Arial"/>
          <w:sz w:val="22"/>
          <w:szCs w:val="22"/>
        </w:rPr>
        <w:t xml:space="preserve"> this variability may ultimately result in ‘jurisdiction shopping’ by prospective parents</w:t>
      </w:r>
      <w:r w:rsidR="003751FB" w:rsidRPr="006340F9">
        <w:rPr>
          <w:rFonts w:cs="Arial"/>
          <w:sz w:val="22"/>
          <w:szCs w:val="22"/>
        </w:rPr>
        <w:t>, undermining the original po</w:t>
      </w:r>
      <w:r w:rsidR="00ED75CD" w:rsidRPr="006340F9">
        <w:rPr>
          <w:rFonts w:cs="Arial"/>
          <w:sz w:val="22"/>
          <w:szCs w:val="22"/>
        </w:rPr>
        <w:t>l</w:t>
      </w:r>
      <w:r w:rsidR="003751FB" w:rsidRPr="006340F9">
        <w:rPr>
          <w:rFonts w:cs="Arial"/>
          <w:sz w:val="22"/>
          <w:szCs w:val="22"/>
        </w:rPr>
        <w:t>icy intent</w:t>
      </w:r>
      <w:r w:rsidRPr="006340F9">
        <w:rPr>
          <w:rFonts w:cs="Arial"/>
          <w:sz w:val="22"/>
          <w:szCs w:val="22"/>
        </w:rPr>
        <w:t>.</w:t>
      </w:r>
      <w:r w:rsidRPr="006340F9">
        <w:rPr>
          <w:rStyle w:val="FootnoteReference"/>
          <w:rFonts w:cs="Arial"/>
          <w:sz w:val="22"/>
          <w:szCs w:val="22"/>
        </w:rPr>
        <w:footnoteReference w:id="173"/>
      </w:r>
      <w:r w:rsidRPr="006340F9">
        <w:rPr>
          <w:rFonts w:cs="Arial"/>
          <w:sz w:val="22"/>
          <w:szCs w:val="22"/>
        </w:rPr>
        <w:t xml:space="preserve"> Several stakeholders reported that donor limits and inconsistencies </w:t>
      </w:r>
      <w:r w:rsidR="0067224E" w:rsidRPr="006340F9">
        <w:rPr>
          <w:rFonts w:cs="Arial"/>
          <w:sz w:val="22"/>
          <w:szCs w:val="22"/>
        </w:rPr>
        <w:t xml:space="preserve">in those limits </w:t>
      </w:r>
      <w:r w:rsidRPr="006340F9">
        <w:rPr>
          <w:rFonts w:cs="Arial"/>
          <w:sz w:val="22"/>
          <w:szCs w:val="22"/>
        </w:rPr>
        <w:t>lead</w:t>
      </w:r>
      <w:r w:rsidRPr="006340F9" w:rsidDel="0067224E">
        <w:rPr>
          <w:rFonts w:cs="Arial"/>
          <w:sz w:val="22"/>
          <w:szCs w:val="22"/>
        </w:rPr>
        <w:t xml:space="preserve"> </w:t>
      </w:r>
      <w:r w:rsidRPr="006340F9">
        <w:rPr>
          <w:rFonts w:cs="Arial"/>
          <w:sz w:val="22"/>
          <w:szCs w:val="22"/>
        </w:rPr>
        <w:t xml:space="preserve">people </w:t>
      </w:r>
      <w:r w:rsidR="0067224E" w:rsidRPr="006340F9">
        <w:rPr>
          <w:rFonts w:cs="Arial"/>
          <w:sz w:val="22"/>
          <w:szCs w:val="22"/>
        </w:rPr>
        <w:t xml:space="preserve">to </w:t>
      </w:r>
      <w:r w:rsidRPr="006340F9">
        <w:rPr>
          <w:rFonts w:cs="Arial"/>
          <w:sz w:val="22"/>
          <w:szCs w:val="22"/>
        </w:rPr>
        <w:t>look outside the regulated system, to ‘informal’ donor arrangements such as those arranged through Facebook groups or other unregulated environments</w:t>
      </w:r>
      <w:r w:rsidR="0067224E" w:rsidRPr="006340F9">
        <w:rPr>
          <w:rFonts w:cs="Arial"/>
          <w:sz w:val="22"/>
          <w:szCs w:val="22"/>
        </w:rPr>
        <w:t xml:space="preserve">. This </w:t>
      </w:r>
      <w:r w:rsidRPr="006340F9">
        <w:rPr>
          <w:rFonts w:cs="Arial"/>
          <w:sz w:val="22"/>
          <w:szCs w:val="22"/>
        </w:rPr>
        <w:t>present</w:t>
      </w:r>
      <w:r w:rsidR="0067224E" w:rsidRPr="006340F9">
        <w:rPr>
          <w:rFonts w:cs="Arial"/>
          <w:sz w:val="22"/>
          <w:szCs w:val="22"/>
        </w:rPr>
        <w:t>s</w:t>
      </w:r>
      <w:r w:rsidRPr="006340F9">
        <w:rPr>
          <w:rFonts w:cs="Arial"/>
          <w:sz w:val="22"/>
          <w:szCs w:val="22"/>
        </w:rPr>
        <w:t xml:space="preserve"> significant risks for the people involved in informal sperm donation and</w:t>
      </w:r>
      <w:r w:rsidRPr="006340F9" w:rsidDel="00E30A44">
        <w:rPr>
          <w:rFonts w:cs="Arial"/>
          <w:sz w:val="22"/>
          <w:szCs w:val="22"/>
        </w:rPr>
        <w:t xml:space="preserve"> </w:t>
      </w:r>
      <w:r w:rsidR="00E30A44" w:rsidRPr="006340F9">
        <w:rPr>
          <w:rFonts w:cs="Arial"/>
          <w:sz w:val="22"/>
          <w:szCs w:val="22"/>
        </w:rPr>
        <w:t xml:space="preserve">increases </w:t>
      </w:r>
      <w:r w:rsidRPr="006340F9">
        <w:rPr>
          <w:rFonts w:cs="Arial"/>
          <w:sz w:val="22"/>
          <w:szCs w:val="22"/>
        </w:rPr>
        <w:t>the likelihood of donors exceeding donor limits. Some stakeholders called for regulation to extend to informal donations and protected practice regulation for sperm donation.</w:t>
      </w:r>
    </w:p>
    <w:p w14:paraId="029BF777" w14:textId="3B47D7BC" w:rsidR="00C3124C" w:rsidRPr="006340F9" w:rsidRDefault="00C3124C" w:rsidP="00C3124C">
      <w:pPr>
        <w:jc w:val="both"/>
        <w:rPr>
          <w:rFonts w:cs="Arial"/>
          <w:sz w:val="22"/>
          <w:szCs w:val="22"/>
          <w:vertAlign w:val="superscript"/>
        </w:rPr>
      </w:pPr>
      <w:r w:rsidRPr="006340F9">
        <w:rPr>
          <w:rFonts w:cs="Arial"/>
          <w:sz w:val="22"/>
          <w:szCs w:val="22"/>
        </w:rPr>
        <w:t xml:space="preserve">In addition to risks from informal donations, there are significant barriers to the movement of gametes within Australia. Many stakeholders have reported that it is easier to import gametes from international donor banks than it is to move material between states. These stakeholders raised concerns about the donor limits applied to donors through these international banks </w:t>
      </w:r>
      <w:proofErr w:type="gramStart"/>
      <w:r w:rsidRPr="006340F9">
        <w:rPr>
          <w:rFonts w:cs="Arial"/>
          <w:sz w:val="22"/>
          <w:szCs w:val="22"/>
        </w:rPr>
        <w:t>and also</w:t>
      </w:r>
      <w:proofErr w:type="gramEnd"/>
      <w:r w:rsidRPr="006340F9">
        <w:rPr>
          <w:rFonts w:cs="Arial"/>
          <w:sz w:val="22"/>
          <w:szCs w:val="22"/>
        </w:rPr>
        <w:t xml:space="preserve"> the traceability of donors when reliant on international banks. </w:t>
      </w:r>
      <w:r w:rsidR="00042954" w:rsidRPr="006340F9">
        <w:rPr>
          <w:rFonts w:cs="Arial"/>
          <w:sz w:val="22"/>
          <w:szCs w:val="22"/>
        </w:rPr>
        <w:t xml:space="preserve">Ensuring the </w:t>
      </w:r>
      <w:r w:rsidR="007F3FE6" w:rsidRPr="006340F9">
        <w:rPr>
          <w:rFonts w:cs="Arial"/>
          <w:sz w:val="22"/>
          <w:szCs w:val="22"/>
        </w:rPr>
        <w:t xml:space="preserve">quality and safety of protocols used by overseas gamete banks is also </w:t>
      </w:r>
      <w:r w:rsidR="005E73E9" w:rsidRPr="006340F9">
        <w:rPr>
          <w:rFonts w:cs="Arial"/>
          <w:sz w:val="22"/>
          <w:szCs w:val="22"/>
        </w:rPr>
        <w:t>more difficult for local ART providers, as is evident from the recently reported case of a</w:t>
      </w:r>
      <w:r w:rsidR="00863825" w:rsidRPr="006340F9">
        <w:rPr>
          <w:rFonts w:cs="Arial"/>
          <w:sz w:val="22"/>
          <w:szCs w:val="22"/>
        </w:rPr>
        <w:t xml:space="preserve"> </w:t>
      </w:r>
      <w:r w:rsidR="005E73E9" w:rsidRPr="006340F9">
        <w:rPr>
          <w:rFonts w:cs="Arial"/>
          <w:sz w:val="22"/>
          <w:szCs w:val="22"/>
        </w:rPr>
        <w:t>mis-identified sperm donor.</w:t>
      </w:r>
      <w:r w:rsidR="00B92DBF" w:rsidRPr="006340F9">
        <w:rPr>
          <w:rStyle w:val="FootnoteReference"/>
          <w:rFonts w:cs="Arial"/>
          <w:sz w:val="22"/>
          <w:szCs w:val="22"/>
        </w:rPr>
        <w:footnoteReference w:id="174"/>
      </w:r>
      <w:r w:rsidR="005E73E9" w:rsidRPr="006340F9">
        <w:rPr>
          <w:rFonts w:cs="Arial"/>
          <w:sz w:val="22"/>
          <w:szCs w:val="22"/>
        </w:rPr>
        <w:t xml:space="preserve"> </w:t>
      </w:r>
    </w:p>
    <w:p w14:paraId="34715517" w14:textId="080EAB47" w:rsidR="00C3124C" w:rsidRPr="006340F9" w:rsidRDefault="00C3124C" w:rsidP="00C3124C">
      <w:pPr>
        <w:jc w:val="both"/>
        <w:rPr>
          <w:rFonts w:cs="Arial"/>
          <w:sz w:val="22"/>
          <w:szCs w:val="22"/>
        </w:rPr>
      </w:pPr>
      <w:r w:rsidRPr="006340F9">
        <w:rPr>
          <w:rFonts w:cs="Arial"/>
          <w:sz w:val="22"/>
          <w:szCs w:val="22"/>
        </w:rPr>
        <w:lastRenderedPageBreak/>
        <w:t xml:space="preserve">The limitations and inconsistency in requirements for donors </w:t>
      </w:r>
      <w:r w:rsidR="00D61594" w:rsidRPr="006340F9">
        <w:rPr>
          <w:rFonts w:cs="Arial"/>
          <w:sz w:val="22"/>
          <w:szCs w:val="22"/>
        </w:rPr>
        <w:t xml:space="preserve">also </w:t>
      </w:r>
      <w:r w:rsidRPr="006340F9">
        <w:rPr>
          <w:rFonts w:cs="Arial"/>
          <w:sz w:val="22"/>
          <w:szCs w:val="22"/>
        </w:rPr>
        <w:t xml:space="preserve">limits donor gamete availability, </w:t>
      </w:r>
      <w:r w:rsidR="00D61594" w:rsidRPr="006340F9">
        <w:rPr>
          <w:rFonts w:cs="Arial"/>
          <w:sz w:val="22"/>
          <w:szCs w:val="22"/>
        </w:rPr>
        <w:t xml:space="preserve">further </w:t>
      </w:r>
      <w:r w:rsidRPr="006340F9">
        <w:rPr>
          <w:rFonts w:cs="Arial"/>
          <w:sz w:val="22"/>
          <w:szCs w:val="22"/>
        </w:rPr>
        <w:t>driving demand for international gamete imports or people travelling internationally to access donor material.</w:t>
      </w:r>
    </w:p>
    <w:p w14:paraId="7ADA2A6C" w14:textId="31C49D00" w:rsidR="00C3124C" w:rsidRPr="006340F9" w:rsidRDefault="00C3124C" w:rsidP="00C3124C">
      <w:pPr>
        <w:jc w:val="both"/>
        <w:rPr>
          <w:rFonts w:cs="Arial"/>
          <w:sz w:val="22"/>
          <w:szCs w:val="22"/>
        </w:rPr>
      </w:pPr>
      <w:r w:rsidRPr="006340F9">
        <w:rPr>
          <w:rFonts w:cs="Arial"/>
          <w:sz w:val="22"/>
          <w:szCs w:val="22"/>
        </w:rPr>
        <w:t xml:space="preserve">Consumer and government stakeholders also raised concerns about access to donor information, with </w:t>
      </w:r>
      <w:r w:rsidR="00B10FD6" w:rsidRPr="006340F9">
        <w:rPr>
          <w:rFonts w:cs="Arial"/>
          <w:sz w:val="22"/>
          <w:szCs w:val="22"/>
        </w:rPr>
        <w:t>different requirements for retaining information</w:t>
      </w:r>
      <w:r w:rsidR="00270365" w:rsidRPr="006340F9">
        <w:rPr>
          <w:rFonts w:cs="Arial"/>
          <w:sz w:val="22"/>
          <w:szCs w:val="22"/>
        </w:rPr>
        <w:t xml:space="preserve"> adding confusion and difficulty </w:t>
      </w:r>
      <w:r w:rsidR="00BD18A9" w:rsidRPr="006340F9">
        <w:rPr>
          <w:rFonts w:cs="Arial"/>
          <w:sz w:val="22"/>
          <w:szCs w:val="22"/>
        </w:rPr>
        <w:t xml:space="preserve">for </w:t>
      </w:r>
      <w:proofErr w:type="gramStart"/>
      <w:r w:rsidR="00BD18A9" w:rsidRPr="006340F9">
        <w:rPr>
          <w:rFonts w:cs="Arial"/>
          <w:sz w:val="22"/>
          <w:szCs w:val="22"/>
        </w:rPr>
        <w:t>consumers in particular</w:t>
      </w:r>
      <w:proofErr w:type="gramEnd"/>
      <w:r w:rsidR="00EB2B6D" w:rsidRPr="006340F9">
        <w:rPr>
          <w:rFonts w:cs="Arial"/>
          <w:sz w:val="22"/>
          <w:szCs w:val="22"/>
        </w:rPr>
        <w:t>.</w:t>
      </w:r>
    </w:p>
    <w:p w14:paraId="1E9A64A0" w14:textId="71A61877" w:rsidR="00C3124C" w:rsidRPr="006340F9" w:rsidRDefault="00C3124C" w:rsidP="00C3124C">
      <w:pPr>
        <w:jc w:val="both"/>
        <w:rPr>
          <w:rFonts w:cs="Arial"/>
          <w:sz w:val="22"/>
          <w:szCs w:val="22"/>
        </w:rPr>
      </w:pPr>
      <w:r w:rsidRPr="006340F9">
        <w:rPr>
          <w:rFonts w:cs="Arial"/>
          <w:sz w:val="22"/>
          <w:szCs w:val="22"/>
        </w:rPr>
        <w:t xml:space="preserve">Further discussion of consumer perspectives on access to donor material and information is outlined in </w:t>
      </w:r>
      <w:r w:rsidR="002F7CFD" w:rsidRPr="006340F9">
        <w:rPr>
          <w:rFonts w:cs="Arial"/>
          <w:sz w:val="22"/>
          <w:szCs w:val="22"/>
        </w:rPr>
        <w:t>chapter</w:t>
      </w:r>
      <w:r w:rsidRPr="006340F9">
        <w:rPr>
          <w:rFonts w:cs="Arial"/>
          <w:sz w:val="22"/>
          <w:szCs w:val="22"/>
        </w:rPr>
        <w:t xml:space="preserve"> </w:t>
      </w:r>
      <w:r w:rsidR="007C2F89" w:rsidRPr="006340F9">
        <w:rPr>
          <w:rFonts w:cs="Arial"/>
          <w:sz w:val="22"/>
          <w:szCs w:val="22"/>
        </w:rPr>
        <w:fldChar w:fldCharType="begin"/>
      </w:r>
      <w:r w:rsidR="007C2F89" w:rsidRPr="006340F9">
        <w:rPr>
          <w:rFonts w:cs="Arial"/>
          <w:sz w:val="22"/>
          <w:szCs w:val="22"/>
        </w:rPr>
        <w:instrText xml:space="preserve"> REF _Ref207633457 \r \h </w:instrText>
      </w:r>
      <w:r w:rsidR="00FF5534" w:rsidRPr="006340F9">
        <w:rPr>
          <w:rFonts w:cs="Arial"/>
          <w:sz w:val="22"/>
          <w:szCs w:val="22"/>
        </w:rPr>
        <w:instrText xml:space="preserve"> \* MERGEFORMAT </w:instrText>
      </w:r>
      <w:r w:rsidR="007C2F89" w:rsidRPr="006340F9">
        <w:rPr>
          <w:rFonts w:cs="Arial"/>
          <w:sz w:val="22"/>
          <w:szCs w:val="22"/>
        </w:rPr>
      </w:r>
      <w:r w:rsidR="007C2F89" w:rsidRPr="006340F9">
        <w:rPr>
          <w:rFonts w:cs="Arial"/>
          <w:sz w:val="22"/>
          <w:szCs w:val="22"/>
        </w:rPr>
        <w:fldChar w:fldCharType="separate"/>
      </w:r>
      <w:r w:rsidR="007D732A">
        <w:rPr>
          <w:rFonts w:cs="Arial"/>
          <w:sz w:val="22"/>
          <w:szCs w:val="22"/>
        </w:rPr>
        <w:t>4</w:t>
      </w:r>
      <w:r w:rsidR="007C2F89" w:rsidRPr="006340F9">
        <w:rPr>
          <w:rFonts w:cs="Arial"/>
          <w:sz w:val="22"/>
          <w:szCs w:val="22"/>
        </w:rPr>
        <w:fldChar w:fldCharType="end"/>
      </w:r>
      <w:r w:rsidRPr="006340F9">
        <w:rPr>
          <w:rFonts w:cs="Arial"/>
          <w:sz w:val="22"/>
          <w:szCs w:val="22"/>
        </w:rPr>
        <w:t xml:space="preserve">. However, if the intent of current, albeit differing, regulations is to provide safer outcomes to both consumers of ART and those conceived through donor gamete pregnancies, </w:t>
      </w:r>
      <w:r w:rsidR="00213EBF" w:rsidRPr="006340F9">
        <w:rPr>
          <w:rFonts w:cs="Arial"/>
          <w:sz w:val="22"/>
          <w:szCs w:val="22"/>
        </w:rPr>
        <w:t xml:space="preserve">we believe that </w:t>
      </w:r>
      <w:r w:rsidR="00D07385" w:rsidRPr="006340F9">
        <w:rPr>
          <w:rFonts w:cs="Arial"/>
          <w:sz w:val="22"/>
          <w:szCs w:val="22"/>
        </w:rPr>
        <w:t>c</w:t>
      </w:r>
      <w:r w:rsidRPr="006340F9">
        <w:rPr>
          <w:rFonts w:cs="Arial"/>
          <w:sz w:val="22"/>
          <w:szCs w:val="22"/>
        </w:rPr>
        <w:t>onsideration of harmonisation of regulations would be worthwhile.</w:t>
      </w:r>
    </w:p>
    <w:p w14:paraId="24131D7A" w14:textId="568EF318" w:rsidR="00C3124C" w:rsidRPr="006340F9" w:rsidRDefault="00C3124C" w:rsidP="004600B7">
      <w:pPr>
        <w:pStyle w:val="Heading3"/>
      </w:pPr>
      <w:r w:rsidRPr="006340F9">
        <w:t xml:space="preserve">Clearer requirements about staff qualifications and </w:t>
      </w:r>
      <w:r w:rsidR="00217C09" w:rsidRPr="006340F9">
        <w:t xml:space="preserve">workforce staffing levels </w:t>
      </w:r>
      <w:r w:rsidRPr="006340F9">
        <w:t xml:space="preserve">would be beneficial </w:t>
      </w:r>
    </w:p>
    <w:p w14:paraId="0C5E9283" w14:textId="22E93F53" w:rsidR="00C3124C" w:rsidRPr="006340F9" w:rsidRDefault="00C3124C" w:rsidP="00381B8B">
      <w:pPr>
        <w:pStyle w:val="Body"/>
      </w:pPr>
      <w:r w:rsidRPr="006340F9">
        <w:t xml:space="preserve">Stakeholders regarded </w:t>
      </w:r>
      <w:proofErr w:type="spellStart"/>
      <w:r w:rsidRPr="006340F9">
        <w:t>Ahpra</w:t>
      </w:r>
      <w:proofErr w:type="spellEnd"/>
      <w:r w:rsidRPr="006340F9">
        <w:t xml:space="preserve"> as an established and effective regulator of health professionals through the NRAS</w:t>
      </w:r>
      <w:r w:rsidR="00213EBF" w:rsidRPr="006340F9">
        <w:t>. H</w:t>
      </w:r>
      <w:r w:rsidRPr="006340F9">
        <w:t xml:space="preserve">owever, concerns were raised about the level of professional regulation for key ART roles that do not fall within the NRAS. Stakeholders expressed concern that non-NRAS roles have the potential to contribute to </w:t>
      </w:r>
      <w:r w:rsidR="006D4641" w:rsidRPr="006340F9">
        <w:t xml:space="preserve">adverse </w:t>
      </w:r>
      <w:r w:rsidRPr="006340F9">
        <w:t>clinical outcomes without stronger regulation</w:t>
      </w:r>
      <w:r w:rsidR="006D4641" w:rsidRPr="006340F9">
        <w:t>.</w:t>
      </w:r>
      <w:r w:rsidR="00D07385" w:rsidRPr="006340F9">
        <w:t xml:space="preserve"> </w:t>
      </w:r>
      <w:r w:rsidR="00E614C7" w:rsidRPr="006340F9">
        <w:t>That said, a</w:t>
      </w:r>
      <w:r w:rsidR="004B6229" w:rsidRPr="006340F9">
        <w:t xml:space="preserve">dherence to </w:t>
      </w:r>
      <w:r w:rsidR="008C5D5B" w:rsidRPr="006340F9">
        <w:t xml:space="preserve">Code of Practice </w:t>
      </w:r>
      <w:r w:rsidR="004B6229" w:rsidRPr="006340F9">
        <w:t xml:space="preserve">staffing requirements </w:t>
      </w:r>
      <w:r w:rsidR="000C4FEF" w:rsidRPr="006340F9">
        <w:t>– a</w:t>
      </w:r>
      <w:r w:rsidR="009358B2" w:rsidRPr="006340F9">
        <w:t xml:space="preserve"> </w:t>
      </w:r>
      <w:r w:rsidR="00EB7142" w:rsidRPr="006340F9">
        <w:t xml:space="preserve">key </w:t>
      </w:r>
      <w:r w:rsidR="004F6627" w:rsidRPr="006340F9">
        <w:t>mechanism</w:t>
      </w:r>
      <w:r w:rsidR="006D4641" w:rsidRPr="006340F9">
        <w:t xml:space="preserve"> in RTAC’s scheme</w:t>
      </w:r>
      <w:r w:rsidR="004F6627" w:rsidRPr="006340F9">
        <w:t xml:space="preserve"> to drive quality and safety–</w:t>
      </w:r>
      <w:r w:rsidR="009358B2" w:rsidRPr="006340F9">
        <w:t xml:space="preserve"> </w:t>
      </w:r>
      <w:r w:rsidR="004B6229" w:rsidRPr="006340F9">
        <w:t>is</w:t>
      </w:r>
      <w:r w:rsidR="004B6229" w:rsidRPr="006340F9" w:rsidDel="00131AC8">
        <w:t xml:space="preserve"> </w:t>
      </w:r>
      <w:r w:rsidR="00A96C99" w:rsidRPr="006340F9">
        <w:t>reviewed</w:t>
      </w:r>
      <w:r w:rsidR="004B6229" w:rsidRPr="006340F9">
        <w:t xml:space="preserve"> annually through the RTAC surveillance audit process.</w:t>
      </w:r>
    </w:p>
    <w:p w14:paraId="2327601E" w14:textId="73E05E86" w:rsidR="00C3124C" w:rsidRPr="006340F9" w:rsidRDefault="00C3124C" w:rsidP="00381B8B">
      <w:pPr>
        <w:pStyle w:val="Body"/>
      </w:pPr>
      <w:r w:rsidRPr="006340F9">
        <w:t xml:space="preserve">One stakeholder felt that commercial incentives were driving low staffing levels in laboratories, with higher workloads potentially increasing the risk of human error, and non-compliance with manual witnessing requirements. It was suggested that </w:t>
      </w:r>
      <w:r w:rsidR="00347968" w:rsidRPr="006340F9">
        <w:t xml:space="preserve">ART standards that </w:t>
      </w:r>
      <w:r w:rsidRPr="006340F9">
        <w:t xml:space="preserve">prescribed staffing </w:t>
      </w:r>
      <w:r w:rsidR="00217C09" w:rsidRPr="006340F9">
        <w:t xml:space="preserve">levels </w:t>
      </w:r>
      <w:r w:rsidRPr="006340F9">
        <w:t>in laboratories could help drive improved quality and safety outcomes.</w:t>
      </w:r>
    </w:p>
    <w:p w14:paraId="4A40B46D" w14:textId="378DEC04" w:rsidR="003F5908" w:rsidRPr="006340F9" w:rsidRDefault="003F5908" w:rsidP="00381B8B">
      <w:pPr>
        <w:pStyle w:val="Body"/>
      </w:pPr>
      <w:r w:rsidRPr="006340F9">
        <w:t xml:space="preserve">Some stakeholders raised concerns that </w:t>
      </w:r>
      <w:r w:rsidR="007248BF" w:rsidRPr="006340F9">
        <w:t xml:space="preserve">inexperienced staff </w:t>
      </w:r>
      <w:r w:rsidR="000E2B74" w:rsidRPr="006340F9">
        <w:t xml:space="preserve">were able to secure senior positions in some ART laboratories, </w:t>
      </w:r>
      <w:r w:rsidR="00923E61" w:rsidRPr="006340F9">
        <w:t xml:space="preserve">creating clinical risk. We recommend that consideration be given to minimum </w:t>
      </w:r>
      <w:r w:rsidR="003A0682" w:rsidRPr="006340F9">
        <w:t>qualifications</w:t>
      </w:r>
      <w:r w:rsidR="00923E61" w:rsidRPr="006340F9">
        <w:t xml:space="preserve">, certifications or experience alongside </w:t>
      </w:r>
      <w:r w:rsidR="003A0682" w:rsidRPr="006340F9">
        <w:t>staffing levels.</w:t>
      </w:r>
    </w:p>
    <w:p w14:paraId="389F1F0A" w14:textId="070EBCFD" w:rsidR="00C3124C" w:rsidRPr="006340F9" w:rsidRDefault="007044B9" w:rsidP="0062093F">
      <w:pPr>
        <w:pStyle w:val="Heading2"/>
      </w:pPr>
      <w:bookmarkStart w:id="126" w:name="_Ref207975579"/>
      <w:bookmarkStart w:id="127" w:name="_Toc207976240"/>
      <w:bookmarkStart w:id="128" w:name="_Toc209441993"/>
      <w:r w:rsidRPr="006340F9">
        <w:t>Enforcement and r</w:t>
      </w:r>
      <w:r w:rsidR="00C3124C" w:rsidRPr="006340F9">
        <w:t>ecourse</w:t>
      </w:r>
      <w:bookmarkEnd w:id="126"/>
      <w:bookmarkEnd w:id="127"/>
      <w:bookmarkEnd w:id="128"/>
    </w:p>
    <w:p w14:paraId="4B7688B1" w14:textId="70EC2E37" w:rsidR="00C3124C" w:rsidRPr="006340F9" w:rsidRDefault="00921E92" w:rsidP="00C3124C">
      <w:pPr>
        <w:pStyle w:val="Body"/>
      </w:pPr>
      <w:r w:rsidRPr="006340F9">
        <w:t xml:space="preserve">In this </w:t>
      </w:r>
      <w:r w:rsidR="00C3124C" w:rsidRPr="006340F9">
        <w:t xml:space="preserve">section </w:t>
      </w:r>
      <w:r w:rsidRPr="006340F9">
        <w:t xml:space="preserve">we </w:t>
      </w:r>
      <w:r w:rsidR="00C3124C" w:rsidRPr="006340F9">
        <w:t xml:space="preserve">outline the issues </w:t>
      </w:r>
      <w:r w:rsidRPr="006340F9">
        <w:t xml:space="preserve">we </w:t>
      </w:r>
      <w:r w:rsidR="00C3124C" w:rsidRPr="006340F9">
        <w:t>identified with the enforcement</w:t>
      </w:r>
      <w:r w:rsidR="00D5773B" w:rsidRPr="006340F9">
        <w:t xml:space="preserve"> powers </w:t>
      </w:r>
      <w:r w:rsidR="00870353" w:rsidRPr="006340F9">
        <w:t>and recourse options</w:t>
      </w:r>
      <w:r w:rsidR="00D5773B" w:rsidRPr="006340F9">
        <w:t xml:space="preserve"> </w:t>
      </w:r>
      <w:r w:rsidR="00B10787" w:rsidRPr="006340F9">
        <w:t>available</w:t>
      </w:r>
      <w:r w:rsidR="00D5773B" w:rsidRPr="006340F9">
        <w:t xml:space="preserve"> </w:t>
      </w:r>
      <w:r w:rsidR="00D85622" w:rsidRPr="006340F9">
        <w:t>for the ART sector</w:t>
      </w:r>
      <w:r w:rsidR="00C3124C" w:rsidRPr="006340F9">
        <w:t>.</w:t>
      </w:r>
    </w:p>
    <w:p w14:paraId="4972582E" w14:textId="70C93695" w:rsidR="0010004E" w:rsidRPr="006340F9" w:rsidRDefault="007D4953" w:rsidP="004600B7">
      <w:pPr>
        <w:pStyle w:val="Heading3"/>
        <w:rPr>
          <w:sz w:val="22"/>
          <w:szCs w:val="22"/>
        </w:rPr>
      </w:pPr>
      <w:bookmarkStart w:id="129" w:name="_Ref207635916"/>
      <w:r w:rsidRPr="006340F9">
        <w:t>Enforcement powers are limited and under-utilised</w:t>
      </w:r>
      <w:bookmarkEnd w:id="129"/>
    </w:p>
    <w:p w14:paraId="42E0A311" w14:textId="77777777" w:rsidR="00C3124C" w:rsidRPr="006340F9" w:rsidRDefault="00C3124C" w:rsidP="004706E9">
      <w:pPr>
        <w:pStyle w:val="Heading4"/>
        <w:rPr>
          <w:b/>
          <w:bCs/>
        </w:rPr>
      </w:pPr>
      <w:r w:rsidRPr="006340F9">
        <w:t>Most jurisdictions have enforcement powers but rarely use them</w:t>
      </w:r>
    </w:p>
    <w:p w14:paraId="3EDCADB9" w14:textId="795F8C34" w:rsidR="00C3124C" w:rsidRPr="006340F9" w:rsidRDefault="00956F6C" w:rsidP="00C3124C">
      <w:pPr>
        <w:pStyle w:val="Body"/>
      </w:pPr>
      <w:r w:rsidRPr="006340F9">
        <w:t xml:space="preserve">Victoria and </w:t>
      </w:r>
      <w:r w:rsidR="00BA0282" w:rsidRPr="006340F9">
        <w:t>Western Australia</w:t>
      </w:r>
      <w:r w:rsidR="00C3124C" w:rsidRPr="006340F9">
        <w:t xml:space="preserve"> </w:t>
      </w:r>
      <w:r w:rsidRPr="006340F9">
        <w:t xml:space="preserve">are </w:t>
      </w:r>
      <w:r w:rsidR="00C3124C" w:rsidRPr="006340F9">
        <w:t>the only jurisdiction</w:t>
      </w:r>
      <w:r w:rsidR="00E34F09" w:rsidRPr="006340F9">
        <w:t>s</w:t>
      </w:r>
      <w:r w:rsidR="00C3124C" w:rsidRPr="006340F9">
        <w:t xml:space="preserve"> </w:t>
      </w:r>
      <w:r w:rsidR="007F2405" w:rsidRPr="006340F9">
        <w:t>that reported issuing</w:t>
      </w:r>
      <w:r w:rsidR="00C3124C" w:rsidRPr="006340F9" w:rsidDel="00DF1C10">
        <w:t xml:space="preserve"> </w:t>
      </w:r>
      <w:r w:rsidR="00C3124C" w:rsidRPr="006340F9">
        <w:t>any sanctions to ART providers</w:t>
      </w:r>
      <w:r w:rsidR="00DF1C10" w:rsidRPr="006340F9">
        <w:t xml:space="preserve"> over the past 10 years</w:t>
      </w:r>
      <w:r w:rsidR="005B6E41" w:rsidRPr="006340F9">
        <w:t>, all of which were</w:t>
      </w:r>
      <w:r w:rsidR="00C3124C" w:rsidRPr="006340F9">
        <w:t xml:space="preserve"> in the form of specific conditions of registration. Given recent quality and safety incidents in the ART sector, this lack of enforcement activity by </w:t>
      </w:r>
      <w:r w:rsidR="00EC182E" w:rsidRPr="006340F9">
        <w:rPr>
          <w:rFonts w:cs="Arial"/>
        </w:rPr>
        <w:t>State and Territory</w:t>
      </w:r>
      <w:r w:rsidR="00EC182E" w:rsidRPr="006340F9" w:rsidDel="00EC182E">
        <w:rPr>
          <w:rFonts w:cs="Arial"/>
        </w:rPr>
        <w:t xml:space="preserve"> </w:t>
      </w:r>
      <w:r w:rsidR="00557BB4" w:rsidRPr="006340F9">
        <w:t>regulatory authorities</w:t>
      </w:r>
      <w:r w:rsidR="00C3124C" w:rsidRPr="006340F9">
        <w:t xml:space="preserve"> suggests </w:t>
      </w:r>
      <w:r w:rsidR="00E93FFE" w:rsidRPr="006340F9">
        <w:t xml:space="preserve">gaps </w:t>
      </w:r>
      <w:r w:rsidR="00C3124C" w:rsidRPr="006340F9">
        <w:t>in current regulatory schemes.</w:t>
      </w:r>
    </w:p>
    <w:p w14:paraId="33017749" w14:textId="4F2F48FF" w:rsidR="00C3124C" w:rsidRPr="006340F9" w:rsidRDefault="00C3124C" w:rsidP="00C3124C">
      <w:pPr>
        <w:pStyle w:val="Body"/>
      </w:pPr>
      <w:r w:rsidRPr="006340F9">
        <w:lastRenderedPageBreak/>
        <w:t xml:space="preserve">Indeed, comprehensive, scalable powers appear to be available only in the </w:t>
      </w:r>
      <w:r w:rsidR="002A72E2" w:rsidRPr="006340F9">
        <w:t>Australian Capital Territory</w:t>
      </w:r>
      <w:r w:rsidRPr="006340F9">
        <w:t>, Queensland</w:t>
      </w:r>
      <w:r w:rsidR="00685405" w:rsidRPr="006340F9">
        <w:t xml:space="preserve"> (commencing March 2026)</w:t>
      </w:r>
      <w:r w:rsidR="001F2A2F" w:rsidRPr="006340F9">
        <w:t>,</w:t>
      </w:r>
      <w:r w:rsidRPr="006340F9">
        <w:t xml:space="preserve"> and Victoria</w:t>
      </w:r>
      <w:r w:rsidR="001F2A2F" w:rsidRPr="006340F9">
        <w:t xml:space="preserve">. And </w:t>
      </w:r>
      <w:r w:rsidRPr="006340F9">
        <w:t xml:space="preserve">only </w:t>
      </w:r>
      <w:r w:rsidR="001F2A2F" w:rsidRPr="006340F9">
        <w:t xml:space="preserve">there </w:t>
      </w:r>
      <w:r w:rsidRPr="006340F9">
        <w:t xml:space="preserve">following recent legislative reform. The powers available to other jurisdictional </w:t>
      </w:r>
      <w:r w:rsidR="00557BB4" w:rsidRPr="006340F9">
        <w:t>regulatory authorities</w:t>
      </w:r>
      <w:r w:rsidRPr="006340F9">
        <w:t xml:space="preserve"> are limited to the variation, suspension</w:t>
      </w:r>
      <w:r w:rsidR="00911173" w:rsidRPr="006340F9">
        <w:t>,</w:t>
      </w:r>
      <w:r w:rsidRPr="006340F9">
        <w:t xml:space="preserve"> or cancellation of registration, </w:t>
      </w:r>
      <w:proofErr w:type="gramStart"/>
      <w:r w:rsidRPr="006340F9">
        <w:t>with the exception of</w:t>
      </w:r>
      <w:proofErr w:type="gramEnd"/>
      <w:r w:rsidRPr="006340F9">
        <w:t xml:space="preserve"> </w:t>
      </w:r>
      <w:r w:rsidR="00A253AF" w:rsidRPr="006340F9">
        <w:t>New South Wales</w:t>
      </w:r>
      <w:r w:rsidRPr="006340F9">
        <w:t xml:space="preserve"> which only has a cancellation power, and </w:t>
      </w:r>
      <w:r w:rsidR="002F5278" w:rsidRPr="006340F9">
        <w:t xml:space="preserve">South Australia and </w:t>
      </w:r>
      <w:r w:rsidRPr="006340F9">
        <w:t>Tasmania which also has the power to issue monetary penalties. Such unscalable powers are inconsistent with contemporary, risk-based regulatory practices, particularly given the impact on consumers if a clinic’s registration were to be cancelled in the absence of any other regulatory options.</w:t>
      </w:r>
    </w:p>
    <w:p w14:paraId="5A4A06A2" w14:textId="77777777" w:rsidR="00C3124C" w:rsidRPr="006340F9" w:rsidRDefault="00C3124C" w:rsidP="004706E9">
      <w:pPr>
        <w:pStyle w:val="Heading4"/>
        <w:rPr>
          <w:b/>
          <w:bCs/>
        </w:rPr>
      </w:pPr>
      <w:r w:rsidRPr="006340F9">
        <w:t>The mechanisms for enforcing workforce compliance are appropriate</w:t>
      </w:r>
    </w:p>
    <w:p w14:paraId="64ED49E5" w14:textId="723A44B6" w:rsidR="00C3124C" w:rsidRPr="006340F9" w:rsidRDefault="00C3124C" w:rsidP="00C3124C">
      <w:pPr>
        <w:pStyle w:val="Body"/>
      </w:pPr>
      <w:proofErr w:type="spellStart"/>
      <w:r w:rsidRPr="006340F9">
        <w:t>Ahpra</w:t>
      </w:r>
      <w:proofErr w:type="spellEnd"/>
      <w:r w:rsidRPr="006340F9">
        <w:t xml:space="preserve"> has a clear and effective process for </w:t>
      </w:r>
      <w:proofErr w:type="gramStart"/>
      <w:r w:rsidRPr="006340F9">
        <w:t xml:space="preserve">taking </w:t>
      </w:r>
      <w:r w:rsidR="00F133A9" w:rsidRPr="006340F9">
        <w:t>action</w:t>
      </w:r>
      <w:proofErr w:type="gramEnd"/>
      <w:r w:rsidR="00F133A9" w:rsidRPr="006340F9">
        <w:t xml:space="preserve"> </w:t>
      </w:r>
      <w:r w:rsidRPr="006340F9">
        <w:t xml:space="preserve">against regulated health professionals, with a range of scalable actions available. For other non-NRAS professionals, enforcement options are limited to corrective action requirements under the </w:t>
      </w:r>
      <w:r w:rsidR="00DB2306" w:rsidRPr="006340F9">
        <w:t>Code of Practice</w:t>
      </w:r>
      <w:r w:rsidR="00416E8A" w:rsidRPr="006340F9">
        <w:t xml:space="preserve"> and National Code of Conduct for Health Care Workers</w:t>
      </w:r>
      <w:r w:rsidRPr="006340F9">
        <w:t>. We did not hear significant concerns about regulatory action against individual health professionals.</w:t>
      </w:r>
    </w:p>
    <w:p w14:paraId="7E38B63F" w14:textId="77777777" w:rsidR="00C3124C" w:rsidRPr="006340F9" w:rsidRDefault="00C3124C" w:rsidP="004600B7">
      <w:pPr>
        <w:pStyle w:val="Heading3"/>
      </w:pPr>
      <w:bookmarkStart w:id="130" w:name="_Ref207625886"/>
      <w:bookmarkEnd w:id="107"/>
      <w:r w:rsidRPr="006340F9">
        <w:t>Complaints avenues are confusing and confronting for consumers</w:t>
      </w:r>
      <w:bookmarkEnd w:id="130"/>
    </w:p>
    <w:p w14:paraId="60B489D8" w14:textId="77777777" w:rsidR="00C3124C" w:rsidRPr="006340F9" w:rsidRDefault="00C3124C" w:rsidP="004706E9">
      <w:pPr>
        <w:pStyle w:val="Heading4"/>
        <w:rPr>
          <w:b/>
          <w:bCs/>
        </w:rPr>
      </w:pPr>
      <w:r w:rsidRPr="006340F9">
        <w:t xml:space="preserve">Avenues to make complaints are difficult for consumers to navigate </w:t>
      </w:r>
    </w:p>
    <w:p w14:paraId="09190029" w14:textId="49216EE6" w:rsidR="00C3124C" w:rsidRPr="006340F9" w:rsidRDefault="00C3124C" w:rsidP="00C3124C">
      <w:pPr>
        <w:pStyle w:val="Body"/>
      </w:pPr>
      <w:r w:rsidRPr="006340F9">
        <w:t>While there are several avenues for consumers to make a complaint about an ART provider or practitioner, consumers advised that these are often confusing and difficult to navigate. It is often unclear which pathway is the most appropriate for their specific complaint</w:t>
      </w:r>
      <w:r w:rsidR="00965FDF" w:rsidRPr="006340F9">
        <w:t>.</w:t>
      </w:r>
      <w:r w:rsidRPr="006340F9">
        <w:t xml:space="preserve"> For example, a layperson may not realise that misleading and deceptive conduct should be referred to the ACCC, while an allegation from a consumer that an ART unit might be in breach of the </w:t>
      </w:r>
      <w:r w:rsidR="00403B6B" w:rsidRPr="006340F9">
        <w:t>Code of Practice</w:t>
      </w:r>
      <w:r w:rsidRPr="006340F9">
        <w:t xml:space="preserve"> should first be raised directly with </w:t>
      </w:r>
      <w:r w:rsidR="00433748" w:rsidRPr="006340F9">
        <w:t xml:space="preserve">the </w:t>
      </w:r>
      <w:r w:rsidRPr="006340F9">
        <w:t>provider, followed by the relevant health complaints body, before RTAC will consider it.</w:t>
      </w:r>
      <w:r w:rsidRPr="006340F9">
        <w:rPr>
          <w:rStyle w:val="FootnoteReference"/>
        </w:rPr>
        <w:footnoteReference w:id="175"/>
      </w:r>
      <w:r w:rsidRPr="006340F9">
        <w:t xml:space="preserve"> We explore this further in </w:t>
      </w:r>
      <w:r w:rsidR="002F7CFD" w:rsidRPr="006340F9">
        <w:t>c</w:t>
      </w:r>
      <w:r w:rsidRPr="006340F9">
        <w:t xml:space="preserve">hapter </w:t>
      </w:r>
      <w:r w:rsidR="007C2F89" w:rsidRPr="006340F9">
        <w:fldChar w:fldCharType="begin"/>
      </w:r>
      <w:r w:rsidR="007C2F89" w:rsidRPr="006340F9">
        <w:instrText xml:space="preserve"> REF _Ref207633472 \r \h </w:instrText>
      </w:r>
      <w:r w:rsidR="007C2F89" w:rsidRPr="006340F9">
        <w:fldChar w:fldCharType="separate"/>
      </w:r>
      <w:r w:rsidR="007D732A">
        <w:t>4</w:t>
      </w:r>
      <w:r w:rsidR="007C2F89" w:rsidRPr="006340F9">
        <w:fldChar w:fldCharType="end"/>
      </w:r>
      <w:r w:rsidRPr="006340F9">
        <w:t xml:space="preserve">. </w:t>
      </w:r>
    </w:p>
    <w:p w14:paraId="1F27CC76" w14:textId="5BB97BF9" w:rsidR="00C3124C" w:rsidRPr="006340F9" w:rsidRDefault="00C3124C" w:rsidP="00C3124C">
      <w:pPr>
        <w:pStyle w:val="Body"/>
        <w:rPr>
          <w:rFonts w:cs="Arial"/>
          <w:color w:val="FF0000"/>
        </w:rPr>
      </w:pPr>
      <w:r w:rsidRPr="006340F9">
        <w:t>The</w:t>
      </w:r>
      <w:r w:rsidR="00403B6B" w:rsidRPr="006340F9">
        <w:t xml:space="preserve"> Code of Practice</w:t>
      </w:r>
      <w:r w:rsidRPr="006340F9">
        <w:t xml:space="preserve"> requires ART units to acknowledge and investigate complaints</w:t>
      </w:r>
      <w:r w:rsidRPr="006340F9">
        <w:rPr>
          <w:rStyle w:val="FootnoteReference"/>
        </w:rPr>
        <w:footnoteReference w:id="176"/>
      </w:r>
      <w:r w:rsidRPr="006340F9">
        <w:t xml:space="preserve"> and provide patients with information about a range of other issues relating to their treatment.</w:t>
      </w:r>
      <w:r w:rsidRPr="006340F9">
        <w:rPr>
          <w:rStyle w:val="FootnoteReference"/>
        </w:rPr>
        <w:footnoteReference w:id="177"/>
      </w:r>
      <w:r w:rsidRPr="006340F9">
        <w:t xml:space="preserve"> It does not, however, require ART units to provide patients with information about how to make a complaint, beyond advising them of external escalation avenues</w:t>
      </w:r>
      <w:r w:rsidRPr="006340F9">
        <w:rPr>
          <w:rFonts w:cs="Arial"/>
        </w:rPr>
        <w:t>.</w:t>
      </w:r>
      <w:r w:rsidRPr="006340F9">
        <w:rPr>
          <w:rStyle w:val="FootnoteReference"/>
          <w:rFonts w:cs="Arial"/>
        </w:rPr>
        <w:footnoteReference w:id="178"/>
      </w:r>
      <w:r w:rsidRPr="006340F9">
        <w:rPr>
          <w:rFonts w:cs="Arial"/>
        </w:rPr>
        <w:t xml:space="preserve"> Several reviews have found that consumers are often unaware of complaint handing procedures and that clearer pathways and information are needed.</w:t>
      </w:r>
      <w:r w:rsidRPr="006340F9">
        <w:rPr>
          <w:rStyle w:val="FootnoteReference"/>
          <w:rFonts w:cs="Arial"/>
        </w:rPr>
        <w:footnoteReference w:id="179"/>
      </w:r>
      <w:r w:rsidRPr="006340F9">
        <w:rPr>
          <w:rFonts w:cs="Arial"/>
        </w:rPr>
        <w:t xml:space="preserve"> </w:t>
      </w:r>
      <w:r w:rsidRPr="006340F9">
        <w:rPr>
          <w:rStyle w:val="FootnoteReference"/>
          <w:rFonts w:cs="Arial"/>
        </w:rPr>
        <w:footnoteReference w:id="180"/>
      </w:r>
      <w:r w:rsidRPr="006340F9">
        <w:rPr>
          <w:rFonts w:cs="Arial"/>
        </w:rPr>
        <w:t xml:space="preserve"> </w:t>
      </w:r>
      <w:r w:rsidRPr="006340F9">
        <w:rPr>
          <w:rStyle w:val="FootnoteReference"/>
          <w:rFonts w:cs="Arial"/>
        </w:rPr>
        <w:footnoteReference w:id="181"/>
      </w:r>
      <w:r w:rsidRPr="006340F9">
        <w:rPr>
          <w:rFonts w:cs="Arial"/>
        </w:rPr>
        <w:t xml:space="preserve"> </w:t>
      </w:r>
    </w:p>
    <w:p w14:paraId="54DB7ABF" w14:textId="77777777" w:rsidR="00C3124C" w:rsidRPr="006340F9" w:rsidRDefault="00C3124C" w:rsidP="004706E9">
      <w:pPr>
        <w:pStyle w:val="Heading4"/>
        <w:rPr>
          <w:b/>
          <w:bCs/>
        </w:rPr>
      </w:pPr>
      <w:r w:rsidRPr="006340F9">
        <w:lastRenderedPageBreak/>
        <w:t>Lack of national harmonisation has led to inconsistency in complaints handling</w:t>
      </w:r>
    </w:p>
    <w:p w14:paraId="1240C9ED" w14:textId="03504ECB" w:rsidR="00D357AD" w:rsidRPr="006340F9" w:rsidRDefault="00C3124C" w:rsidP="00011D9B">
      <w:pPr>
        <w:pStyle w:val="Body"/>
      </w:pPr>
      <w:r w:rsidRPr="006340F9">
        <w:t>In the absence of clear complaints handling guidance, ART providers have developed different complaints processes. Together with differences in approaches between jurisdictional health complaints bodies, there is inconsistency in complaints handling across providers and jurisdictions.</w:t>
      </w:r>
      <w:r w:rsidRPr="006340F9">
        <w:rPr>
          <w:rStyle w:val="FootnoteReference"/>
        </w:rPr>
        <w:footnoteReference w:id="182"/>
      </w:r>
    </w:p>
    <w:p w14:paraId="50E5DD37" w14:textId="5F3869D4" w:rsidR="00C3124C" w:rsidRPr="006340F9" w:rsidRDefault="00C3124C" w:rsidP="004706E9">
      <w:pPr>
        <w:pStyle w:val="Heading4"/>
        <w:rPr>
          <w:b/>
          <w:bCs/>
        </w:rPr>
      </w:pPr>
      <w:r w:rsidRPr="006340F9">
        <w:t>Low levels of complaints may indicate potential under-reporting</w:t>
      </w:r>
    </w:p>
    <w:p w14:paraId="4310ECB5" w14:textId="64FC9174" w:rsidR="006F3C2E" w:rsidRPr="006340F9" w:rsidRDefault="00C3124C" w:rsidP="00C3124C">
      <w:pPr>
        <w:pStyle w:val="Body"/>
      </w:pPr>
      <w:r w:rsidRPr="006340F9">
        <w:t xml:space="preserve">Most jurisdictional health complaints bodies have been unable to confirm the number of ART sector complaints received in recent years, </w:t>
      </w:r>
      <w:proofErr w:type="gramStart"/>
      <w:r w:rsidRPr="006340F9">
        <w:t>with the exception of</w:t>
      </w:r>
      <w:proofErr w:type="gramEnd"/>
      <w:r w:rsidRPr="006340F9">
        <w:t xml:space="preserve"> RTAC and the Queensland</w:t>
      </w:r>
      <w:r w:rsidR="001979CB" w:rsidRPr="006340F9">
        <w:t>, South Australia,</w:t>
      </w:r>
      <w:r w:rsidRPr="006340F9">
        <w:t xml:space="preserve"> </w:t>
      </w:r>
      <w:r w:rsidR="00127052" w:rsidRPr="006340F9">
        <w:t xml:space="preserve">Victoria </w:t>
      </w:r>
      <w:r w:rsidRPr="006340F9">
        <w:t>and Tasmanian bodies. Anecdotally, complaints bodies told us that complaints are relatively few</w:t>
      </w:r>
      <w:r w:rsidR="7FE904A3" w:rsidRPr="006340F9">
        <w:t xml:space="preserve">. </w:t>
      </w:r>
      <w:r w:rsidR="240A8563" w:rsidRPr="006340F9">
        <w:t>H</w:t>
      </w:r>
      <w:r w:rsidR="00C7000B" w:rsidRPr="006340F9">
        <w:t xml:space="preserve">owever, data </w:t>
      </w:r>
      <w:r w:rsidR="00C24228" w:rsidRPr="006340F9">
        <w:t xml:space="preserve">provided by the </w:t>
      </w:r>
      <w:r w:rsidR="00402C1F" w:rsidRPr="006340F9">
        <w:t>Victorian Health Complaints Commissioner</w:t>
      </w:r>
      <w:r w:rsidR="00C7000B" w:rsidRPr="006340F9">
        <w:t xml:space="preserve"> show</w:t>
      </w:r>
      <w:r w:rsidR="00C720E3" w:rsidRPr="006340F9">
        <w:t xml:space="preserve"> </w:t>
      </w:r>
      <w:r w:rsidR="00A452B3" w:rsidRPr="006340F9">
        <w:t xml:space="preserve">the number of </w:t>
      </w:r>
      <w:r w:rsidR="00C7000B" w:rsidRPr="006340F9">
        <w:t xml:space="preserve">complaints </w:t>
      </w:r>
      <w:r w:rsidR="00FD31E1" w:rsidRPr="006340F9">
        <w:t>has</w:t>
      </w:r>
      <w:r w:rsidR="00A452B3" w:rsidRPr="006340F9">
        <w:t xml:space="preserve"> tripled</w:t>
      </w:r>
      <w:r w:rsidR="00C7000B" w:rsidRPr="006340F9">
        <w:t xml:space="preserve"> over the p</w:t>
      </w:r>
      <w:r w:rsidR="00402C1F" w:rsidRPr="006340F9">
        <w:t>ast</w:t>
      </w:r>
      <w:r w:rsidR="00C7000B" w:rsidRPr="006340F9">
        <w:t xml:space="preserve"> decade, with </w:t>
      </w:r>
      <w:r w:rsidR="006B4B18" w:rsidRPr="006340F9">
        <w:t xml:space="preserve">the most common issues </w:t>
      </w:r>
      <w:r w:rsidR="004067D0" w:rsidRPr="006340F9">
        <w:t>raised relating</w:t>
      </w:r>
      <w:r w:rsidR="006B4B18" w:rsidRPr="006340F9">
        <w:t xml:space="preserve"> to treatment and communication</w:t>
      </w:r>
      <w:r w:rsidRPr="006340F9">
        <w:t xml:space="preserve">. </w:t>
      </w:r>
    </w:p>
    <w:p w14:paraId="1D646997" w14:textId="65171F19" w:rsidR="00C3124C" w:rsidRPr="006340F9" w:rsidRDefault="00C3124C" w:rsidP="00C3124C">
      <w:pPr>
        <w:pStyle w:val="Body"/>
      </w:pPr>
      <w:r w:rsidRPr="006340F9">
        <w:t>Given the power imbalance between consumers and their ART provider, the common requirement to raise a complaint with the provider in the first instance may be contributing to under-reporting. The Gorton review heard that patients receiving ongoing services, including gamete or embryo storage with the clinic, can fear that a complaint may adversely affect their care, and that some consumers may be reluctant to engage with a generic health complaints body given the sensitivity inherent in infertility issues.</w:t>
      </w:r>
      <w:r w:rsidRPr="006340F9">
        <w:rPr>
          <w:rStyle w:val="FootnoteReference"/>
        </w:rPr>
        <w:footnoteReference w:id="183"/>
      </w:r>
      <w:r w:rsidRPr="006340F9">
        <w:t xml:space="preserve"> Health complaints bodies and </w:t>
      </w:r>
      <w:proofErr w:type="spellStart"/>
      <w:r w:rsidRPr="006340F9">
        <w:t>Ahpra</w:t>
      </w:r>
      <w:proofErr w:type="spellEnd"/>
      <w:r w:rsidRPr="006340F9">
        <w:t xml:space="preserve"> also told us that they do not typically receive complaints from the ART workforce.</w:t>
      </w:r>
    </w:p>
    <w:p w14:paraId="303391D6" w14:textId="77777777" w:rsidR="00C3124C" w:rsidRPr="006340F9" w:rsidRDefault="00C3124C" w:rsidP="00C3124C">
      <w:pPr>
        <w:pStyle w:val="Body"/>
      </w:pPr>
      <w:r w:rsidRPr="006340F9">
        <w:t>Understandably, some stakeholders expressed concern that the RTAC complaints handling function is undermined by its lack of financial and operational independence from FSANZ and ART providers. This perception may also contribute to a reluctance by some consumers to report a complaint to RTAC.</w:t>
      </w:r>
    </w:p>
    <w:p w14:paraId="456E7943" w14:textId="0E8E9751" w:rsidR="00C3124C" w:rsidRPr="006340F9" w:rsidRDefault="00C3124C" w:rsidP="004706E9">
      <w:pPr>
        <w:pStyle w:val="Heading4"/>
        <w:rPr>
          <w:b/>
          <w:bCs/>
        </w:rPr>
      </w:pPr>
      <w:r w:rsidRPr="006340F9">
        <w:t xml:space="preserve">Insights from complaints data are not leveraged by RTAC and </w:t>
      </w:r>
      <w:r w:rsidR="00557BB4" w:rsidRPr="006340F9">
        <w:t>regulatory authorities</w:t>
      </w:r>
    </w:p>
    <w:p w14:paraId="3A2ED3DC" w14:textId="44E293BC" w:rsidR="00C3124C" w:rsidRPr="006340F9" w:rsidRDefault="00C3124C" w:rsidP="00C3124C">
      <w:pPr>
        <w:pStyle w:val="Body"/>
      </w:pPr>
      <w:r w:rsidRPr="006340F9">
        <w:t xml:space="preserve">There </w:t>
      </w:r>
      <w:proofErr w:type="gramStart"/>
      <w:r w:rsidRPr="006340F9">
        <w:t>is</w:t>
      </w:r>
      <w:proofErr w:type="gramEnd"/>
      <w:r w:rsidRPr="006340F9">
        <w:t xml:space="preserve"> </w:t>
      </w:r>
      <w:r w:rsidR="00CD73EB" w:rsidRPr="006340F9">
        <w:t xml:space="preserve">currently </w:t>
      </w:r>
      <w:r w:rsidRPr="006340F9">
        <w:t xml:space="preserve">no </w:t>
      </w:r>
      <w:r w:rsidR="00CD73EB" w:rsidRPr="006340F9">
        <w:t>jurisdictional or</w:t>
      </w:r>
      <w:r w:rsidRPr="006340F9">
        <w:t xml:space="preserve"> national </w:t>
      </w:r>
      <w:r w:rsidR="00CD73EB" w:rsidRPr="006340F9">
        <w:t>collation of</w:t>
      </w:r>
      <w:r w:rsidRPr="006340F9">
        <w:t xml:space="preserve"> ART sector complaints across the different avenues. </w:t>
      </w:r>
      <w:r w:rsidR="00CD73EB" w:rsidRPr="006340F9">
        <w:t>No</w:t>
      </w:r>
      <w:r w:rsidRPr="006340F9">
        <w:t xml:space="preserve"> jurisdictional health complaints bod</w:t>
      </w:r>
      <w:r w:rsidR="002F7F40" w:rsidRPr="006340F9">
        <w:t>ies reported</w:t>
      </w:r>
      <w:r w:rsidRPr="006340F9">
        <w:t xml:space="preserve"> a formal relationship with RTAC</w:t>
      </w:r>
      <w:r w:rsidR="00D7211E" w:rsidRPr="006340F9">
        <w:t xml:space="preserve"> for information sharing</w:t>
      </w:r>
      <w:r w:rsidRPr="006340F9">
        <w:t xml:space="preserve">, and only </w:t>
      </w:r>
      <w:r w:rsidR="003A6042" w:rsidRPr="006340F9">
        <w:t>two</w:t>
      </w:r>
      <w:r w:rsidRPr="006340F9">
        <w:t xml:space="preserve"> of the </w:t>
      </w:r>
      <w:proofErr w:type="gramStart"/>
      <w:r w:rsidR="00D7211E" w:rsidRPr="006340F9">
        <w:t>complaints</w:t>
      </w:r>
      <w:proofErr w:type="gramEnd"/>
      <w:r w:rsidR="00D7211E" w:rsidRPr="006340F9">
        <w:t xml:space="preserve"> </w:t>
      </w:r>
      <w:r w:rsidRPr="006340F9">
        <w:t xml:space="preserve">bodies advised that they have an established relationship with their </w:t>
      </w:r>
      <w:r w:rsidR="00E62671" w:rsidRPr="006340F9">
        <w:t>state- or territory-</w:t>
      </w:r>
      <w:r w:rsidRPr="006340F9">
        <w:t xml:space="preserve"> regulator. </w:t>
      </w:r>
      <w:r w:rsidR="0010084D" w:rsidRPr="006340F9">
        <w:t xml:space="preserve">While this is consistent with </w:t>
      </w:r>
      <w:r w:rsidR="00265D49" w:rsidRPr="006340F9">
        <w:t>handling of broader healthcare complaints, t</w:t>
      </w:r>
      <w:r w:rsidR="00D86D58" w:rsidRPr="006340F9">
        <w:t xml:space="preserve">hese relationships </w:t>
      </w:r>
      <w:r w:rsidR="00F56ADD" w:rsidRPr="006340F9">
        <w:t>would enable the very low number of complaints currently recorded to be analysed for emerging trends and risks more effectively</w:t>
      </w:r>
      <w:r w:rsidR="007D4107" w:rsidRPr="006340F9">
        <w:t xml:space="preserve"> </w:t>
      </w:r>
      <w:r w:rsidR="007662E9" w:rsidRPr="006340F9">
        <w:t xml:space="preserve">and would reflect the </w:t>
      </w:r>
      <w:r w:rsidR="008350E4" w:rsidRPr="006340F9">
        <w:t>cross-jurisdictional operations of the large ART providers</w:t>
      </w:r>
      <w:r w:rsidR="00F56ADD" w:rsidRPr="006340F9">
        <w:t>.</w:t>
      </w:r>
      <w:r w:rsidRPr="006340F9">
        <w:t xml:space="preserve"> </w:t>
      </w:r>
    </w:p>
    <w:p w14:paraId="6E8CBF30" w14:textId="77777777" w:rsidR="002C40DD" w:rsidRPr="006340F9" w:rsidRDefault="002C40DD" w:rsidP="002C40DD">
      <w:pPr>
        <w:pStyle w:val="Body"/>
      </w:pPr>
    </w:p>
    <w:p w14:paraId="595AD4CB" w14:textId="77777777" w:rsidR="00D2458B" w:rsidRPr="006340F9" w:rsidRDefault="00D2458B" w:rsidP="5C345AD4">
      <w:pPr>
        <w:pStyle w:val="Heading1"/>
        <w:numPr>
          <w:ilvl w:val="0"/>
          <w:numId w:val="0"/>
        </w:numPr>
        <w:ind w:left="432"/>
        <w:sectPr w:rsidR="00D2458B" w:rsidRPr="006340F9" w:rsidSect="00DC625A">
          <w:pgSz w:w="11906" w:h="16838" w:code="9"/>
          <w:pgMar w:top="1440" w:right="1440" w:bottom="1440" w:left="1440" w:header="720" w:footer="720" w:gutter="0"/>
          <w:cols w:space="720"/>
          <w:docGrid w:linePitch="360"/>
        </w:sectPr>
      </w:pPr>
    </w:p>
    <w:p w14:paraId="3E745B06" w14:textId="0337F481" w:rsidR="003022A7" w:rsidRPr="006340F9" w:rsidRDefault="00D52176" w:rsidP="003022A7">
      <w:pPr>
        <w:pStyle w:val="Heading1"/>
      </w:pPr>
      <w:bookmarkStart w:id="131" w:name="_Ref207633457"/>
      <w:bookmarkStart w:id="132" w:name="_Ref207633472"/>
      <w:bookmarkStart w:id="133" w:name="_Ref207633563"/>
      <w:bookmarkStart w:id="134" w:name="_Ref207633570"/>
      <w:bookmarkStart w:id="135" w:name="_Toc207976241"/>
      <w:bookmarkStart w:id="136" w:name="_Toc209441994"/>
      <w:r w:rsidRPr="006340F9">
        <w:lastRenderedPageBreak/>
        <w:t>Consumer insights</w:t>
      </w:r>
      <w:bookmarkEnd w:id="131"/>
      <w:bookmarkEnd w:id="132"/>
      <w:bookmarkEnd w:id="133"/>
      <w:bookmarkEnd w:id="134"/>
      <w:bookmarkEnd w:id="135"/>
      <w:bookmarkEnd w:id="136"/>
      <w:r w:rsidR="00B919CD" w:rsidRPr="006340F9">
        <w:t xml:space="preserve"> </w:t>
      </w:r>
    </w:p>
    <w:p w14:paraId="063C7837" w14:textId="77777777" w:rsidR="00B919CD" w:rsidRPr="006340F9" w:rsidRDefault="00B919CD" w:rsidP="0090770C">
      <w:pPr>
        <w:pStyle w:val="QuoteEW"/>
        <w:rPr>
          <w:rFonts w:eastAsia="Arial"/>
          <w:i/>
          <w:sz w:val="32"/>
          <w:szCs w:val="32"/>
        </w:rPr>
      </w:pPr>
      <w:r w:rsidRPr="006340F9">
        <w:t>“</w:t>
      </w:r>
      <w:r w:rsidRPr="006340F9">
        <w:rPr>
          <w:rFonts w:eastAsia="Arial"/>
          <w:sz w:val="32"/>
          <w:szCs w:val="32"/>
        </w:rPr>
        <w:t>Nothing about us without us”</w:t>
      </w:r>
    </w:p>
    <w:p w14:paraId="58DC7766" w14:textId="77790AA5" w:rsidR="00B919CD" w:rsidRPr="006340F9" w:rsidRDefault="26AAFA31" w:rsidP="00E35BDD">
      <w:pPr>
        <w:pStyle w:val="QuoteEWauthor"/>
        <w:ind w:left="1134"/>
        <w:jc w:val="center"/>
        <w:rPr>
          <w:i/>
        </w:rPr>
      </w:pPr>
      <w:r w:rsidRPr="006340F9">
        <w:t>The Sejm (Polish parliament), 1505</w:t>
      </w:r>
    </w:p>
    <w:p w14:paraId="1CDD5E59" w14:textId="0252E144" w:rsidR="00B919CD" w:rsidRPr="006340F9" w:rsidRDefault="26AAFA31" w:rsidP="0062093F">
      <w:pPr>
        <w:pStyle w:val="Heading2"/>
      </w:pPr>
      <w:bookmarkStart w:id="137" w:name="_Toc207976242"/>
      <w:bookmarkStart w:id="138" w:name="_Toc209441995"/>
      <w:r w:rsidRPr="006340F9">
        <w:rPr>
          <w:rFonts w:eastAsia="Arial"/>
        </w:rPr>
        <w:t>Introduction</w:t>
      </w:r>
      <w:bookmarkEnd w:id="137"/>
      <w:bookmarkEnd w:id="138"/>
    </w:p>
    <w:p w14:paraId="73792B16" w14:textId="378247DF" w:rsidR="00B919CD" w:rsidRPr="006340F9" w:rsidRDefault="00B919CD" w:rsidP="002C40DD">
      <w:pPr>
        <w:pStyle w:val="Body"/>
      </w:pPr>
      <w:r w:rsidRPr="006340F9">
        <w:t xml:space="preserve">In this chapter we present some preliminary consumer insights on the current provision of </w:t>
      </w:r>
      <w:r w:rsidR="00CA0576" w:rsidRPr="006340F9">
        <w:t>ART</w:t>
      </w:r>
      <w:r w:rsidRPr="006340F9">
        <w:t xml:space="preserve"> in Australia. The insights are not intended to be exhaustive or comprehensive. Rather, we wished the patient/consumer voice </w:t>
      </w:r>
      <w:r w:rsidR="008A500D" w:rsidRPr="006340F9">
        <w:t xml:space="preserve">to be </w:t>
      </w:r>
      <w:r w:rsidRPr="006340F9">
        <w:t>present</w:t>
      </w:r>
      <w:r w:rsidR="00C65C39" w:rsidRPr="006340F9">
        <w:t>ed</w:t>
      </w:r>
      <w:r w:rsidRPr="006340F9">
        <w:t xml:space="preserve"> in a manner that made visible the issues that appear to be a priority for those using </w:t>
      </w:r>
      <w:r w:rsidR="00CA0576" w:rsidRPr="006340F9">
        <w:t>ART</w:t>
      </w:r>
      <w:r w:rsidRPr="006340F9">
        <w:t xml:space="preserve"> services. In this way, should improvements to </w:t>
      </w:r>
      <w:r w:rsidR="00CA0576" w:rsidRPr="006340F9">
        <w:t>ART</w:t>
      </w:r>
      <w:r w:rsidRPr="006340F9">
        <w:t xml:space="preserve"> accreditation and/or regulation be planned, consumer needs </w:t>
      </w:r>
      <w:r w:rsidR="008D434F" w:rsidRPr="006340F9">
        <w:t xml:space="preserve">will </w:t>
      </w:r>
      <w:r w:rsidRPr="006340F9">
        <w:t>inform those changes</w:t>
      </w:r>
      <w:r w:rsidR="00F75957" w:rsidRPr="006340F9">
        <w:t xml:space="preserve"> from the outset</w:t>
      </w:r>
      <w:r w:rsidRPr="006340F9">
        <w:t>.</w:t>
      </w:r>
    </w:p>
    <w:p w14:paraId="0A76D206" w14:textId="0866F880" w:rsidR="00B919CD" w:rsidRPr="006340F9" w:rsidRDefault="00B919CD" w:rsidP="002C40DD">
      <w:pPr>
        <w:pStyle w:val="Body"/>
      </w:pPr>
      <w:r w:rsidRPr="006340F9">
        <w:t xml:space="preserve">The insights summarised here were drawn from the two consumer roundtables that involved 18 consumers, and including those who have accessed ART services, with and without donors, and donor-conceived adults, and from a review of previous inquiries, recent media coverage, and other lay materials. We hope that the insights provide valuable consumer perspectives and offer an awareness of the concerns that matter most to those using </w:t>
      </w:r>
      <w:r w:rsidR="00CA0576" w:rsidRPr="006340F9">
        <w:t>ART</w:t>
      </w:r>
      <w:r w:rsidRPr="006340F9">
        <w:t xml:space="preserve">, if only to suggest what issues would be worth exploring further. We recommend that broader consumer consultation is commissioned as part of the design and implementation stages of any future reform. </w:t>
      </w:r>
    </w:p>
    <w:p w14:paraId="0B63DA5E" w14:textId="2DE49EDE" w:rsidR="00B919CD" w:rsidRPr="006340F9" w:rsidRDefault="00B919CD" w:rsidP="0062093F">
      <w:pPr>
        <w:pStyle w:val="Heading2"/>
      </w:pPr>
      <w:bookmarkStart w:id="139" w:name="_Toc207976243"/>
      <w:bookmarkStart w:id="140" w:name="_Toc209441996"/>
      <w:r w:rsidRPr="006340F9">
        <w:rPr>
          <w:rFonts w:eastAsia="Arial"/>
        </w:rPr>
        <w:t>Consumers highlighted barriers to making informed choices</w:t>
      </w:r>
      <w:bookmarkEnd w:id="139"/>
      <w:bookmarkEnd w:id="140"/>
      <w:r w:rsidRPr="006340F9">
        <w:rPr>
          <w:rFonts w:eastAsia="Arial"/>
        </w:rPr>
        <w:t xml:space="preserve">  </w:t>
      </w:r>
    </w:p>
    <w:p w14:paraId="10BD05BE" w14:textId="5A3FB969" w:rsidR="00B919CD" w:rsidRPr="006340F9" w:rsidRDefault="00B919CD" w:rsidP="002C40DD">
      <w:pPr>
        <w:pStyle w:val="Body"/>
      </w:pPr>
      <w:r w:rsidRPr="006340F9">
        <w:t xml:space="preserve">A recurrent observation of recent inquiries and the roundtables undertaken as part of this review was that many consumers find it is difficult to make informed choices about </w:t>
      </w:r>
      <w:r w:rsidR="00CA0576" w:rsidRPr="006340F9">
        <w:t>ART</w:t>
      </w:r>
      <w:r w:rsidRPr="006340F9">
        <w:t xml:space="preserve">. This appears largely because the information they receive is all too often incomplete and inconsistent. For example, </w:t>
      </w:r>
      <w:r w:rsidR="00E703FA" w:rsidRPr="006340F9">
        <w:t>the</w:t>
      </w:r>
      <w:r w:rsidR="00861207" w:rsidRPr="006340F9">
        <w:t xml:space="preserve"> </w:t>
      </w:r>
      <w:r w:rsidR="00482E81" w:rsidRPr="006340F9">
        <w:t>2024</w:t>
      </w:r>
      <w:r w:rsidR="00E703FA" w:rsidRPr="006340F9">
        <w:t xml:space="preserve"> </w:t>
      </w:r>
      <w:r w:rsidRPr="006340F9">
        <w:t xml:space="preserve">Queensland </w:t>
      </w:r>
      <w:r w:rsidR="00DD6863" w:rsidRPr="006340F9">
        <w:t>investigation into ART providers</w:t>
      </w:r>
      <w:r w:rsidR="00DD6863" w:rsidRPr="006340F9" w:rsidDel="008324C6">
        <w:t xml:space="preserve"> </w:t>
      </w:r>
      <w:r w:rsidRPr="006340F9">
        <w:t>found that inadequate information provision, and therefore compromised informed consent to care, is one of the most concerning issues in the ART sector.</w:t>
      </w:r>
      <w:r w:rsidRPr="006340F9">
        <w:rPr>
          <w:vertAlign w:val="superscript"/>
        </w:rPr>
        <w:footnoteReference w:id="184"/>
      </w:r>
      <w:r w:rsidRPr="006340F9">
        <w:rPr>
          <w:vertAlign w:val="superscript"/>
        </w:rPr>
        <w:t xml:space="preserve"> </w:t>
      </w:r>
    </w:p>
    <w:p w14:paraId="3E920957" w14:textId="77777777" w:rsidR="00B919CD" w:rsidRPr="006340F9" w:rsidRDefault="00B919CD" w:rsidP="004600B7">
      <w:pPr>
        <w:pStyle w:val="Heading3"/>
      </w:pPr>
      <w:r w:rsidRPr="006340F9">
        <w:t>Limited information on treatment efficacy and outcomes is a barrier to informed consent</w:t>
      </w:r>
    </w:p>
    <w:p w14:paraId="037D14BE" w14:textId="7960E304" w:rsidR="00B919CD" w:rsidRPr="006340F9" w:rsidRDefault="00B919CD" w:rsidP="002C40DD">
      <w:pPr>
        <w:pStyle w:val="Body"/>
      </w:pPr>
      <w:r w:rsidRPr="006340F9">
        <w:t>More specifically, consumers consistently raised concerns about the lack of information from providers about treatment efficacy and outcomes. Many reported that this meant they were unable to make informed choices or give informed consent. Examples include:</w:t>
      </w:r>
    </w:p>
    <w:p w14:paraId="70917119" w14:textId="259BDACD" w:rsidR="00B919CD" w:rsidRPr="006340F9" w:rsidRDefault="00B919CD" w:rsidP="00F12647">
      <w:pPr>
        <w:pStyle w:val="Bullet1"/>
        <w:ind w:left="284" w:hanging="284"/>
      </w:pPr>
      <w:r w:rsidRPr="006340F9">
        <w:t xml:space="preserve">Many consumers reported that success rates advertised by clinics were overly optimistic and misleading. One consumer shared that when she asked about her chances of being pregnant after embryo transfer, </w:t>
      </w:r>
      <w:r w:rsidR="002948A6" w:rsidRPr="006340F9">
        <w:t xml:space="preserve">her </w:t>
      </w:r>
      <w:r w:rsidRPr="006340F9">
        <w:t xml:space="preserve">doctor provided the average pregnancy success rate for women of </w:t>
      </w:r>
      <w:r w:rsidRPr="006340F9">
        <w:lastRenderedPageBreak/>
        <w:t>all ages rather than an average for her own (older) age group.</w:t>
      </w:r>
      <w:r w:rsidR="002948A6" w:rsidRPr="006340F9">
        <w:t xml:space="preserve"> This exaggerated her likelihood of a successful pregnancy.</w:t>
      </w:r>
    </w:p>
    <w:p w14:paraId="16ACAF24" w14:textId="6725ADAE" w:rsidR="00B919CD" w:rsidRPr="006340F9" w:rsidRDefault="00B919CD" w:rsidP="00F12647">
      <w:pPr>
        <w:pStyle w:val="Bullet1"/>
        <w:ind w:left="284" w:hanging="284"/>
      </w:pPr>
      <w:r w:rsidRPr="006340F9">
        <w:t xml:space="preserve">Many consumers felt that the options for managing their stored embryos or gametes were not adequately explained to them prior to treatment. Some reported being told that it was something to </w:t>
      </w:r>
      <w:r w:rsidR="000D44ED" w:rsidRPr="006340F9">
        <w:t xml:space="preserve">think </w:t>
      </w:r>
      <w:r w:rsidRPr="006340F9">
        <w:t>about later, only to discover later that their choices were limited to either disposal or ongoing storage that incurred additional fees.</w:t>
      </w:r>
    </w:p>
    <w:p w14:paraId="79C7B0A5" w14:textId="77777777" w:rsidR="00B919CD" w:rsidRPr="006340F9" w:rsidRDefault="00B919CD" w:rsidP="00F12647">
      <w:pPr>
        <w:pStyle w:val="Bullet1"/>
        <w:ind w:left="284" w:hanging="284"/>
      </w:pPr>
      <w:r w:rsidRPr="006340F9">
        <w:t>Some</w:t>
      </w:r>
      <w:r w:rsidRPr="006340F9" w:rsidDel="003E491A">
        <w:t xml:space="preserve"> </w:t>
      </w:r>
      <w:r w:rsidRPr="006340F9">
        <w:t>consumers reported that they were encouraged by clinics to undergo adjuvant (add on) treatments, each with additional cost, without being informed of the limited evidence about their effectiveness</w:t>
      </w:r>
      <w:r w:rsidRPr="006340F9">
        <w:rPr>
          <w:rStyle w:val="BodyChar"/>
        </w:rPr>
        <w:t>.</w:t>
      </w:r>
      <w:r w:rsidRPr="006340F9">
        <w:rPr>
          <w:rStyle w:val="BodyChar"/>
          <w:vertAlign w:val="superscript"/>
        </w:rPr>
        <w:footnoteReference w:id="185"/>
      </w:r>
      <w:r w:rsidRPr="006340F9">
        <w:rPr>
          <w:rStyle w:val="BodyChar"/>
          <w:vertAlign w:val="superscript"/>
        </w:rPr>
        <w:t xml:space="preserve"> </w:t>
      </w:r>
    </w:p>
    <w:p w14:paraId="7CD0AF76" w14:textId="1948F1B5" w:rsidR="00B919CD" w:rsidRPr="006340F9" w:rsidRDefault="00B919CD" w:rsidP="00650923">
      <w:pPr>
        <w:pStyle w:val="Bodyaftertablefigurebullets"/>
      </w:pPr>
      <w:r w:rsidRPr="006340F9">
        <w:t xml:space="preserve">Despite the above experiences, one consumer noted that the </w:t>
      </w:r>
      <w:proofErr w:type="spellStart"/>
      <w:r w:rsidRPr="006340F9">
        <w:rPr>
          <w:i/>
        </w:rPr>
        <w:t>YourIVFSuccess</w:t>
      </w:r>
      <w:proofErr w:type="spellEnd"/>
      <w:r w:rsidRPr="006340F9">
        <w:t xml:space="preserve"> </w:t>
      </w:r>
      <w:r w:rsidR="00931639" w:rsidRPr="006340F9">
        <w:t xml:space="preserve">website </w:t>
      </w:r>
      <w:r w:rsidRPr="006340F9">
        <w:t xml:space="preserve">is a valued resource and </w:t>
      </w:r>
      <w:r w:rsidR="00931639" w:rsidRPr="006340F9">
        <w:t xml:space="preserve">that </w:t>
      </w:r>
      <w:r w:rsidRPr="006340F9">
        <w:t>expanding the information provided on the platform would greatly assist consumers to make informed and better choices.</w:t>
      </w:r>
    </w:p>
    <w:p w14:paraId="6CE83614" w14:textId="77777777" w:rsidR="00B919CD" w:rsidRPr="006340F9" w:rsidRDefault="00B919CD" w:rsidP="004600B7">
      <w:pPr>
        <w:pStyle w:val="Heading3"/>
      </w:pPr>
      <w:r w:rsidRPr="006340F9">
        <w:t xml:space="preserve">Limited transparency of treatment costs creates stress for consumers </w:t>
      </w:r>
    </w:p>
    <w:p w14:paraId="236F92FB" w14:textId="3A7EAE3F" w:rsidR="00B919CD" w:rsidRPr="006340F9" w:rsidRDefault="00B919CD" w:rsidP="002C40DD">
      <w:pPr>
        <w:pStyle w:val="Body"/>
      </w:pPr>
      <w:r w:rsidRPr="006340F9">
        <w:t>Several</w:t>
      </w:r>
      <w:r w:rsidRPr="006340F9" w:rsidDel="00927748">
        <w:t xml:space="preserve"> </w:t>
      </w:r>
      <w:r w:rsidRPr="006340F9">
        <w:t>consumers advised that treatment costs are not adequately explained by providers. Some felt that disclosure of costs was confusing and misleading. In particular, the total cost of procedures, including any payments gaps, are not clearly communicated.</w:t>
      </w:r>
      <w:r w:rsidR="00E87104" w:rsidRPr="006340F9">
        <w:t xml:space="preserve"> This resulted in costs </w:t>
      </w:r>
      <w:r w:rsidR="00DB5AEB" w:rsidRPr="006340F9">
        <w:t xml:space="preserve">higher than </w:t>
      </w:r>
      <w:r w:rsidR="001A4D0C" w:rsidRPr="006340F9">
        <w:t>expected.</w:t>
      </w:r>
      <w:r w:rsidRPr="006340F9">
        <w:t xml:space="preserve"> </w:t>
      </w:r>
    </w:p>
    <w:p w14:paraId="0A666873" w14:textId="77777777" w:rsidR="00B919CD" w:rsidRPr="006340F9" w:rsidRDefault="00B919CD" w:rsidP="002C40DD">
      <w:pPr>
        <w:pStyle w:val="Body"/>
      </w:pPr>
      <w:r w:rsidRPr="006340F9">
        <w:t>A few</w:t>
      </w:r>
      <w:r w:rsidRPr="006340F9" w:rsidDel="00927748">
        <w:t xml:space="preserve"> </w:t>
      </w:r>
      <w:r w:rsidRPr="006340F9">
        <w:t xml:space="preserve">consumers expressed concern about providers encouraging debt-facilitated treatment, reporting that they are aware of several providers that offer ways for their patients to take out loans or access their superannuation to pay for ART services. </w:t>
      </w:r>
    </w:p>
    <w:p w14:paraId="15C1BF46" w14:textId="77777777" w:rsidR="00B919CD" w:rsidRPr="006340F9" w:rsidRDefault="00B919CD" w:rsidP="004600B7">
      <w:pPr>
        <w:pStyle w:val="Heading3"/>
      </w:pPr>
      <w:r w:rsidRPr="006340F9">
        <w:t xml:space="preserve">Counselling services provided during treatment are inadequate </w:t>
      </w:r>
    </w:p>
    <w:p w14:paraId="44D39C73" w14:textId="2509D4B5" w:rsidR="00B919CD" w:rsidRPr="006340F9" w:rsidRDefault="00B919CD" w:rsidP="002C40DD">
      <w:pPr>
        <w:pStyle w:val="Body"/>
      </w:pPr>
      <w:r w:rsidRPr="006340F9">
        <w:t xml:space="preserve">Consumers engaged through </w:t>
      </w:r>
      <w:r w:rsidR="002D2F1A" w:rsidRPr="006340F9">
        <w:t>our</w:t>
      </w:r>
      <w:r w:rsidRPr="006340F9">
        <w:t xml:space="preserve"> review and through </w:t>
      </w:r>
      <w:r w:rsidR="00FB6DD7" w:rsidRPr="006340F9">
        <w:t xml:space="preserve">other </w:t>
      </w:r>
      <w:r w:rsidRPr="006340F9">
        <w:t>recent inquiries have highlighted that more supportive and informative counselling would assist them to make fully informed decisions about their treatment.</w:t>
      </w:r>
      <w:r w:rsidRPr="006340F9">
        <w:rPr>
          <w:vertAlign w:val="superscript"/>
        </w:rPr>
        <w:footnoteReference w:id="186"/>
      </w:r>
      <w:r w:rsidR="007B255D" w:rsidRPr="006340F9">
        <w:t xml:space="preserve"> </w:t>
      </w:r>
      <w:r w:rsidRPr="006340F9">
        <w:t xml:space="preserve">For example, many consumers indicated that they did not have access to sufficient counselling during their treatment. They also raised concerns about inadequate or partial information being provided by counsellors, which they attributed to potential conflicts of interest given that most counsellors are employed directly by ART clinics. Some consumers felt unable to speak openly with counsellors, particularly when they had negative experiences with a clinic, for fear that their care would be compromised. </w:t>
      </w:r>
    </w:p>
    <w:p w14:paraId="0525AE37" w14:textId="4588CA23" w:rsidR="00B919CD" w:rsidRPr="006340F9" w:rsidRDefault="00B919CD" w:rsidP="00166ADC">
      <w:pPr>
        <w:pStyle w:val="Body"/>
      </w:pPr>
      <w:r w:rsidRPr="006340F9">
        <w:t>Several consumers engaged during this review reported that donor conception counselling is particularly lacking</w:t>
      </w:r>
      <w:r w:rsidR="00A03CE0" w:rsidRPr="006340F9">
        <w:t>.</w:t>
      </w:r>
      <w:r w:rsidR="00BB5E9D" w:rsidRPr="006340F9">
        <w:t xml:space="preserve"> </w:t>
      </w:r>
      <w:r w:rsidR="00A03CE0" w:rsidRPr="006340F9">
        <w:t>S</w:t>
      </w:r>
      <w:r w:rsidRPr="006340F9">
        <w:t xml:space="preserve">ome </w:t>
      </w:r>
      <w:r w:rsidR="00A03CE0" w:rsidRPr="006340F9">
        <w:t xml:space="preserve">consumers </w:t>
      </w:r>
      <w:r w:rsidRPr="006340F9">
        <w:t>su</w:t>
      </w:r>
      <w:r w:rsidR="00132EF9" w:rsidRPr="006340F9">
        <w:t>ggested</w:t>
      </w:r>
      <w:r w:rsidRPr="006340F9">
        <w:t xml:space="preserve"> that clinics may avoid offering comprehensive information about this topic to avoid discouraging patients from proceeding with treatment. </w:t>
      </w:r>
    </w:p>
    <w:p w14:paraId="4115EE7F" w14:textId="77777777" w:rsidR="003558ED" w:rsidRPr="006340F9" w:rsidRDefault="003558ED" w:rsidP="004600B7">
      <w:pPr>
        <w:pStyle w:val="Heading3"/>
        <w:sectPr w:rsidR="003558ED" w:rsidRPr="006340F9" w:rsidSect="009D6378">
          <w:headerReference w:type="even" r:id="rId31"/>
          <w:headerReference w:type="default" r:id="rId32"/>
          <w:footerReference w:type="even" r:id="rId33"/>
          <w:pgSz w:w="11906" w:h="16838" w:code="9"/>
          <w:pgMar w:top="1418" w:right="1304" w:bottom="1134" w:left="1304" w:header="680" w:footer="851" w:gutter="0"/>
          <w:cols w:space="340"/>
          <w:docGrid w:linePitch="360"/>
        </w:sectPr>
      </w:pPr>
    </w:p>
    <w:p w14:paraId="11991D92" w14:textId="77777777" w:rsidR="00B919CD" w:rsidRPr="006340F9" w:rsidRDefault="00B919CD" w:rsidP="004600B7">
      <w:pPr>
        <w:pStyle w:val="Heading3"/>
      </w:pPr>
      <w:r w:rsidRPr="006340F9">
        <w:lastRenderedPageBreak/>
        <w:t>Misleading advertising practices create confusion for consumers</w:t>
      </w:r>
    </w:p>
    <w:p w14:paraId="3A10163F" w14:textId="49ECD601" w:rsidR="00B919CD" w:rsidRPr="006340F9" w:rsidRDefault="00B919CD" w:rsidP="002C40DD">
      <w:pPr>
        <w:pStyle w:val="Body"/>
      </w:pPr>
      <w:r w:rsidRPr="006340F9">
        <w:t xml:space="preserve">Consumers consistently </w:t>
      </w:r>
      <w:r w:rsidR="00132EF9" w:rsidRPr="006340F9">
        <w:t>told us</w:t>
      </w:r>
      <w:r w:rsidRPr="006340F9" w:rsidDel="00132EF9">
        <w:t xml:space="preserve"> </w:t>
      </w:r>
      <w:r w:rsidRPr="006340F9">
        <w:t>that it was difficult to make sense of ART advertising and marketing materials. This was especially the case for information</w:t>
      </w:r>
      <w:r w:rsidR="00A23E79" w:rsidRPr="006340F9">
        <w:t xml:space="preserve"> that was central to their decision making</w:t>
      </w:r>
      <w:r w:rsidRPr="006340F9">
        <w:t>, such as comparative success rates of ART providers and/or different treatment options. Consumers reported that such information was often presented in confusing and non-comparable ways.</w:t>
      </w:r>
    </w:p>
    <w:p w14:paraId="16324F2C" w14:textId="77777777" w:rsidR="00B919CD" w:rsidRPr="006340F9" w:rsidRDefault="00B919CD" w:rsidP="002C40DD">
      <w:pPr>
        <w:pStyle w:val="Body"/>
      </w:pPr>
      <w:r w:rsidRPr="006340F9">
        <w:t>Several consumers also reported that some materials used by providers offered an overly optimistic, and potentially misleading, view of the efficacy of ART services. This led some people with unrealistic expectations and made it difficult to assess the merits of different treatment options. Many</w:t>
      </w:r>
      <w:r w:rsidRPr="006340F9" w:rsidDel="00B80637">
        <w:t xml:space="preserve"> </w:t>
      </w:r>
      <w:r w:rsidRPr="006340F9">
        <w:t xml:space="preserve">consumers described the advertising of ART services in Australia as aggressive and unlike any other area of medicine, suggesting that more regulation is needed so that patients can make better informed decisions. </w:t>
      </w:r>
    </w:p>
    <w:p w14:paraId="23140E1F" w14:textId="59BE0FD7" w:rsidR="00B919CD" w:rsidRPr="006340F9" w:rsidRDefault="00B919CD" w:rsidP="0062093F">
      <w:pPr>
        <w:pStyle w:val="Heading2"/>
        <w:rPr>
          <w:rFonts w:eastAsia="Arial"/>
        </w:rPr>
      </w:pPr>
      <w:bookmarkStart w:id="141" w:name="_Toc207976244"/>
      <w:bookmarkStart w:id="142" w:name="_Toc209441997"/>
      <w:r w:rsidRPr="006340F9">
        <w:rPr>
          <w:rFonts w:eastAsia="Arial"/>
        </w:rPr>
        <w:t>Profit-driven practices adversely impact consumer experience</w:t>
      </w:r>
      <w:bookmarkEnd w:id="141"/>
      <w:bookmarkEnd w:id="142"/>
      <w:r w:rsidRPr="006340F9">
        <w:rPr>
          <w:rFonts w:eastAsia="Arial"/>
        </w:rPr>
        <w:t xml:space="preserve"> </w:t>
      </w:r>
    </w:p>
    <w:p w14:paraId="536E8B82" w14:textId="2F03C5A1" w:rsidR="00B919CD" w:rsidRPr="006340F9" w:rsidRDefault="00B919CD" w:rsidP="00B634D5">
      <w:pPr>
        <w:pStyle w:val="Body"/>
        <w:rPr>
          <w:rFonts w:eastAsia="Arial"/>
        </w:rPr>
      </w:pPr>
      <w:r w:rsidRPr="006340F9">
        <w:t>As described in</w:t>
      </w:r>
      <w:r w:rsidR="00E670AE" w:rsidRPr="006340F9">
        <w:t xml:space="preserve"> </w:t>
      </w:r>
      <w:r w:rsidR="00AE2EFD" w:rsidRPr="006340F9">
        <w:t>section</w:t>
      </w:r>
      <w:r w:rsidR="00AE2EFD" w:rsidRPr="006340F9" w:rsidDel="00800FB7">
        <w:t xml:space="preserve"> </w:t>
      </w:r>
      <w:r w:rsidR="00574066" w:rsidRPr="006340F9">
        <w:fldChar w:fldCharType="begin"/>
      </w:r>
      <w:r w:rsidR="00574066" w:rsidRPr="006340F9">
        <w:instrText xml:space="preserve"> REF _Ref207915487 \r \h </w:instrText>
      </w:r>
      <w:r w:rsidR="00574066" w:rsidRPr="006340F9">
        <w:fldChar w:fldCharType="separate"/>
      </w:r>
      <w:r w:rsidR="007D732A">
        <w:t>1.3</w:t>
      </w:r>
      <w:r w:rsidR="00574066" w:rsidRPr="006340F9">
        <w:fldChar w:fldCharType="end"/>
      </w:r>
      <w:r w:rsidRPr="006340F9">
        <w:t xml:space="preserve">, most ART services are provided </w:t>
      </w:r>
      <w:r w:rsidR="00A0084B" w:rsidRPr="006340F9">
        <w:t>by</w:t>
      </w:r>
      <w:r w:rsidRPr="006340F9">
        <w:t xml:space="preserve"> the private sector. There is limited access to </w:t>
      </w:r>
      <w:r w:rsidR="007B255D" w:rsidRPr="006340F9">
        <w:t>publicly funded</w:t>
      </w:r>
      <w:r w:rsidRPr="006340F9">
        <w:t xml:space="preserve"> fertility services and such funded services are not available in all states and territories. </w:t>
      </w:r>
      <w:r w:rsidRPr="006340F9">
        <w:rPr>
          <w:rFonts w:eastAsia="Arial"/>
        </w:rPr>
        <w:t xml:space="preserve">The Gorton Review and </w:t>
      </w:r>
      <w:r w:rsidRPr="006340F9">
        <w:t xml:space="preserve">Queensland’s 2024 investigation into ART both </w:t>
      </w:r>
      <w:r w:rsidRPr="006340F9">
        <w:rPr>
          <w:rFonts w:eastAsia="Arial"/>
        </w:rPr>
        <w:t>highlighted consumer concerns about the increase in for</w:t>
      </w:r>
      <w:r w:rsidR="0076573A" w:rsidRPr="006340F9">
        <w:rPr>
          <w:rFonts w:eastAsia="Arial"/>
        </w:rPr>
        <w:t>-</w:t>
      </w:r>
      <w:r w:rsidRPr="006340F9">
        <w:rPr>
          <w:rFonts w:eastAsia="Arial"/>
        </w:rPr>
        <w:t xml:space="preserve">profit private providers, such as those publicly listed on the Australian Securities Exchange or owned by private equity. </w:t>
      </w:r>
      <w:proofErr w:type="gramStart"/>
      <w:r w:rsidRPr="006340F9">
        <w:rPr>
          <w:rFonts w:eastAsia="Arial"/>
        </w:rPr>
        <w:t>In particular, consumers</w:t>
      </w:r>
      <w:proofErr w:type="gramEnd"/>
      <w:r w:rsidRPr="006340F9">
        <w:rPr>
          <w:rFonts w:eastAsia="Arial"/>
        </w:rPr>
        <w:t xml:space="preserve"> were concerned that these providers may be more focused on maximising profit than patient care.</w:t>
      </w:r>
      <w:r w:rsidRPr="006340F9">
        <w:rPr>
          <w:rStyle w:val="FootnoteReference"/>
        </w:rPr>
        <w:footnoteReference w:id="187"/>
      </w:r>
    </w:p>
    <w:p w14:paraId="52EAE8AC" w14:textId="78885409" w:rsidR="00B919CD" w:rsidRPr="006340F9" w:rsidRDefault="00B919CD" w:rsidP="00B634D5">
      <w:pPr>
        <w:pStyle w:val="Body"/>
        <w:rPr>
          <w:rFonts w:eastAsia="Arial"/>
        </w:rPr>
      </w:pPr>
      <w:r w:rsidRPr="006340F9">
        <w:t>The</w:t>
      </w:r>
      <w:r w:rsidRPr="006340F9">
        <w:rPr>
          <w:rFonts w:eastAsia="Arial"/>
        </w:rPr>
        <w:t xml:space="preserve"> </w:t>
      </w:r>
      <w:r w:rsidRPr="006340F9">
        <w:t>consumers we engaged as part of this review also highlighted the tension between profit-driven practices and patient-centred care</w:t>
      </w:r>
      <w:r w:rsidRPr="006340F9">
        <w:rPr>
          <w:rFonts w:eastAsia="Arial"/>
        </w:rPr>
        <w:t>. Some examples</w:t>
      </w:r>
      <w:r w:rsidR="00A0084B" w:rsidRPr="006340F9">
        <w:rPr>
          <w:rFonts w:eastAsia="Arial"/>
        </w:rPr>
        <w:t xml:space="preserve"> include</w:t>
      </w:r>
      <w:r w:rsidRPr="006340F9">
        <w:t>:</w:t>
      </w:r>
    </w:p>
    <w:p w14:paraId="18ECDE49" w14:textId="509D7909" w:rsidR="00B919CD" w:rsidRPr="006340F9" w:rsidRDefault="00B919CD" w:rsidP="00362FB5">
      <w:pPr>
        <w:pStyle w:val="Bullet1"/>
        <w:ind w:left="284" w:hanging="284"/>
      </w:pPr>
      <w:r w:rsidRPr="006340F9">
        <w:rPr>
          <w:b/>
        </w:rPr>
        <w:t>Lack of consumer agency:</w:t>
      </w:r>
      <w:r w:rsidRPr="006340F9">
        <w:t xml:space="preserve"> </w:t>
      </w:r>
      <w:r w:rsidR="00EC1D82" w:rsidRPr="006340F9">
        <w:t xml:space="preserve">consumers </w:t>
      </w:r>
      <w:r w:rsidRPr="006340F9">
        <w:t>described feeling sidelined in decisions that directly affect</w:t>
      </w:r>
      <w:r w:rsidR="00EC1D82" w:rsidRPr="006340F9">
        <w:t>ed</w:t>
      </w:r>
      <w:r w:rsidRPr="006340F9">
        <w:t xml:space="preserve"> their care, with ART providers prioritising clinical and commercial interests over the lived experiences and emotional needs of patients. One consumer highlighted this as part of a broader power imbalance between providers and patients, where individuals undergoing treatment often feel they must defer to clinical advice, even when those interests may not align with their values or needs. </w:t>
      </w:r>
    </w:p>
    <w:p w14:paraId="52185B27" w14:textId="443938BE" w:rsidR="00B919CD" w:rsidRPr="006340F9" w:rsidRDefault="00B919CD" w:rsidP="00362FB5">
      <w:pPr>
        <w:pStyle w:val="Bullet1"/>
        <w:ind w:left="284" w:hanging="284"/>
        <w:rPr>
          <w:rFonts w:eastAsia="Arial"/>
        </w:rPr>
      </w:pPr>
      <w:r w:rsidRPr="006340F9">
        <w:rPr>
          <w:b/>
        </w:rPr>
        <w:t>Pressure to donate gametes/embryos:</w:t>
      </w:r>
      <w:r w:rsidRPr="006340F9" w:rsidDel="00EC1D82">
        <w:t xml:space="preserve"> </w:t>
      </w:r>
      <w:r w:rsidR="00EC1D82" w:rsidRPr="006340F9">
        <w:t xml:space="preserve">several </w:t>
      </w:r>
      <w:r w:rsidRPr="006340F9">
        <w:t xml:space="preserve">consumers described feeling pressured by clinics to donate, rather than destroy, their unused gametes/embryos They presumed that this was because the demand for surplus gametes/embryos is high and that they can be used by the provider to help another patient conceive. One consumer who wanted her stored eggs to be destroyed reported that she felt pressured by her provider to donate </w:t>
      </w:r>
      <w:r w:rsidR="00A0084B" w:rsidRPr="006340F9">
        <w:t>her</w:t>
      </w:r>
      <w:r w:rsidRPr="006340F9">
        <w:t xml:space="preserve"> eggs instead. The 2024 Queensland investigation into ART providers</w:t>
      </w:r>
      <w:r w:rsidRPr="006340F9" w:rsidDel="008324C6">
        <w:t xml:space="preserve"> </w:t>
      </w:r>
      <w:r w:rsidRPr="006340F9">
        <w:t>also identified instances of unexpected delays or lengthy turnaround times for the disposal of gametes and embryo</w:t>
      </w:r>
      <w:r w:rsidRPr="006340F9">
        <w:rPr>
          <w:rStyle w:val="BodyChar"/>
        </w:rPr>
        <w:t>s.</w:t>
      </w:r>
      <w:r w:rsidRPr="006340F9">
        <w:rPr>
          <w:rStyle w:val="BodyChar"/>
          <w:vertAlign w:val="superscript"/>
        </w:rPr>
        <w:footnoteReference w:id="188"/>
      </w:r>
    </w:p>
    <w:p w14:paraId="0B6DCFB2" w14:textId="33458A96" w:rsidR="00B919CD" w:rsidRPr="006340F9" w:rsidRDefault="00B919CD" w:rsidP="00362FB5">
      <w:pPr>
        <w:pStyle w:val="Bullet1"/>
        <w:ind w:left="284" w:hanging="284"/>
      </w:pPr>
      <w:r w:rsidRPr="006340F9">
        <w:rPr>
          <w:b/>
        </w:rPr>
        <w:t>Incentives encourage more treatment cycles:</w:t>
      </w:r>
      <w:r w:rsidRPr="006340F9">
        <w:t xml:space="preserve"> </w:t>
      </w:r>
      <w:r w:rsidR="00C85D7C" w:rsidRPr="006340F9">
        <w:t xml:space="preserve">a </w:t>
      </w:r>
      <w:r w:rsidRPr="006340F9">
        <w:t xml:space="preserve">few stakeholders reported instances of doctors being offered incentives by the providers they work for to have patients complete more </w:t>
      </w:r>
      <w:r w:rsidRPr="006340F9">
        <w:lastRenderedPageBreak/>
        <w:t xml:space="preserve">treatment cycles. One consumer advised that because of this practice they had been encouraged to complete more IVF cycles after several failed, even when their chances </w:t>
      </w:r>
      <w:r w:rsidR="000F4C62" w:rsidRPr="006340F9">
        <w:t xml:space="preserve">of success </w:t>
      </w:r>
      <w:r w:rsidRPr="006340F9">
        <w:t xml:space="preserve">were low given their (older) age. This consumer reported that their experience was reflective of a sector that appears to disregard the potential harm to consumers of ART treatment.  </w:t>
      </w:r>
    </w:p>
    <w:p w14:paraId="0EC5A20E" w14:textId="660395A3" w:rsidR="00B919CD" w:rsidRPr="006340F9" w:rsidRDefault="00874E73" w:rsidP="0062093F">
      <w:pPr>
        <w:pStyle w:val="Heading2"/>
      </w:pPr>
      <w:bookmarkStart w:id="143" w:name="_Toc207976245"/>
      <w:bookmarkStart w:id="144" w:name="_Toc209441998"/>
      <w:r w:rsidRPr="006340F9">
        <w:rPr>
          <w:rFonts w:eastAsia="Arial"/>
        </w:rPr>
        <w:t>Consumers experience d</w:t>
      </w:r>
      <w:r w:rsidR="00B919CD" w:rsidRPr="006340F9">
        <w:rPr>
          <w:rFonts w:eastAsia="Arial"/>
        </w:rPr>
        <w:t>ifficulties making and resolving complaints</w:t>
      </w:r>
      <w:bookmarkEnd w:id="143"/>
      <w:bookmarkEnd w:id="144"/>
      <w:r w:rsidR="00B919CD" w:rsidRPr="006340F9">
        <w:t xml:space="preserve"> </w:t>
      </w:r>
    </w:p>
    <w:p w14:paraId="4EE6A403" w14:textId="1A2E43FA" w:rsidR="00B919CD" w:rsidRPr="006340F9" w:rsidRDefault="00F52DFA" w:rsidP="00B7757E">
      <w:pPr>
        <w:pStyle w:val="Body"/>
      </w:pPr>
      <w:r w:rsidRPr="006340F9">
        <w:t xml:space="preserve">We have touched upon confusing complaints pathways in earlier chapters. </w:t>
      </w:r>
      <w:r w:rsidR="00B919CD" w:rsidRPr="006340F9">
        <w:t xml:space="preserve">While there are several established avenues for </w:t>
      </w:r>
      <w:r w:rsidR="00D91DF6" w:rsidRPr="006340F9">
        <w:t xml:space="preserve">patients to </w:t>
      </w:r>
      <w:r w:rsidR="00B919CD" w:rsidRPr="006340F9">
        <w:t>mak</w:t>
      </w:r>
      <w:r w:rsidR="00D91DF6" w:rsidRPr="006340F9">
        <w:t>e</w:t>
      </w:r>
      <w:r w:rsidR="00B919CD" w:rsidRPr="006340F9">
        <w:t xml:space="preserve"> a complaint about </w:t>
      </w:r>
      <w:r w:rsidR="00CA0576" w:rsidRPr="006340F9">
        <w:t>ART</w:t>
      </w:r>
      <w:r w:rsidR="00B919CD" w:rsidRPr="006340F9">
        <w:t xml:space="preserve"> care, consumers report that they find complaints processes confusing and difficult to navigate. </w:t>
      </w:r>
    </w:p>
    <w:p w14:paraId="012EF863" w14:textId="1FCEE0ED" w:rsidR="00B919CD" w:rsidRPr="006340F9" w:rsidRDefault="00B919CD" w:rsidP="00B7757E">
      <w:pPr>
        <w:pStyle w:val="Body"/>
      </w:pPr>
      <w:r w:rsidRPr="006340F9">
        <w:t>The Code of Practice requires ART providers to give patients information on how they can make a complaint. The Code also requires providers to acknowledge and investigate complaints when received</w:t>
      </w:r>
      <w:r w:rsidR="00624E19" w:rsidRPr="006340F9">
        <w:t>.</w:t>
      </w:r>
      <w:r w:rsidRPr="006340F9">
        <w:rPr>
          <w:vertAlign w:val="superscript"/>
        </w:rPr>
        <w:footnoteReference w:id="189"/>
      </w:r>
      <w:r w:rsidRPr="006340F9">
        <w:t xml:space="preserve"> However, several reviews have found that consumers are often unaware of complaint handing procedures and have called for clearer complaints pathways.</w:t>
      </w:r>
      <w:r w:rsidRPr="006340F9">
        <w:rPr>
          <w:rStyle w:val="FootnoteReference"/>
          <w:rFonts w:cs="Arial"/>
        </w:rPr>
        <w:footnoteReference w:id="190"/>
      </w:r>
      <w:r w:rsidRPr="006340F9">
        <w:t xml:space="preserve"> Most consumers consulted as part of this review confirmed the previous findings, </w:t>
      </w:r>
      <w:r w:rsidR="00306C1C" w:rsidRPr="006340F9" w:rsidDel="00924DC2">
        <w:t xml:space="preserve">telling </w:t>
      </w:r>
      <w:r w:rsidR="00924DC2" w:rsidRPr="006340F9">
        <w:t>us</w:t>
      </w:r>
      <w:r w:rsidR="00306C1C" w:rsidRPr="006340F9">
        <w:t xml:space="preserve"> </w:t>
      </w:r>
      <w:r w:rsidRPr="006340F9">
        <w:t xml:space="preserve">that complaints handling remains inadequate. Many reported having limited or no success resolving their complaints directly with clinics, even with assistance from RTAC. They also noted that they did not make a complaint through existing state-based complaints systems – which accords with the limited number of complaints reported by those agencies (see </w:t>
      </w:r>
      <w:r w:rsidR="007F3C56" w:rsidRPr="006340F9">
        <w:t xml:space="preserve">section </w:t>
      </w:r>
      <w:r w:rsidR="002B16EC" w:rsidRPr="006340F9">
        <w:fldChar w:fldCharType="begin"/>
      </w:r>
      <w:r w:rsidR="002B16EC" w:rsidRPr="006340F9">
        <w:instrText xml:space="preserve"> REF _Ref207975579 \r \h </w:instrText>
      </w:r>
      <w:r w:rsidR="002B16EC" w:rsidRPr="006340F9">
        <w:fldChar w:fldCharType="separate"/>
      </w:r>
      <w:r w:rsidR="007D732A">
        <w:t>3.5</w:t>
      </w:r>
      <w:r w:rsidR="002B16EC" w:rsidRPr="006340F9">
        <w:fldChar w:fldCharType="end"/>
      </w:r>
      <w:r w:rsidRPr="006340F9">
        <w:t xml:space="preserve">) – instead seeking legal advice to pursue a remedy. </w:t>
      </w:r>
    </w:p>
    <w:p w14:paraId="01FB93A8" w14:textId="668C94F4" w:rsidR="00B919CD" w:rsidRPr="006340F9" w:rsidRDefault="00B919CD" w:rsidP="00B7757E">
      <w:pPr>
        <w:pStyle w:val="Body"/>
      </w:pPr>
      <w:r w:rsidRPr="006340F9">
        <w:t xml:space="preserve">Of note, many consumers engaged through this review reported to us that they did not feel that changing providers midway through their treatment was a realistic option. They advised </w:t>
      </w:r>
      <w:r w:rsidR="00A265AC" w:rsidRPr="006340F9">
        <w:t xml:space="preserve">us </w:t>
      </w:r>
      <w:r w:rsidRPr="006340F9">
        <w:t xml:space="preserve">that even when they had complaints about their provider, they never considered changing provider because it was too time consuming and stressful to start again. </w:t>
      </w:r>
    </w:p>
    <w:p w14:paraId="2B5C5585" w14:textId="2653C992" w:rsidR="00B919CD" w:rsidRPr="006340F9" w:rsidRDefault="00B919CD" w:rsidP="0062093F">
      <w:pPr>
        <w:pStyle w:val="Heading2"/>
        <w:rPr>
          <w:rFonts w:eastAsia="Arial"/>
        </w:rPr>
      </w:pPr>
      <w:bookmarkStart w:id="145" w:name="_Ref207786386"/>
      <w:bookmarkStart w:id="146" w:name="_Toc207976246"/>
      <w:bookmarkStart w:id="147" w:name="_Toc209441999"/>
      <w:r w:rsidRPr="006340F9">
        <w:rPr>
          <w:rFonts w:eastAsia="Arial"/>
        </w:rPr>
        <w:t>Consumers raised concerns about donor gamete issues</w:t>
      </w:r>
      <w:bookmarkEnd w:id="145"/>
      <w:bookmarkEnd w:id="146"/>
      <w:bookmarkEnd w:id="147"/>
    </w:p>
    <w:p w14:paraId="1049AB38" w14:textId="58759F63" w:rsidR="00B919CD" w:rsidRPr="006340F9" w:rsidRDefault="00B919CD" w:rsidP="00F777F0">
      <w:pPr>
        <w:pStyle w:val="Body"/>
      </w:pPr>
      <w:r w:rsidRPr="006340F9">
        <w:t>As described earlier (</w:t>
      </w:r>
      <w:r w:rsidR="00AE2EFD" w:rsidRPr="006340F9">
        <w:t>section</w:t>
      </w:r>
      <w:r w:rsidR="00865C7A" w:rsidRPr="006340F9">
        <w:t>s</w:t>
      </w:r>
      <w:r w:rsidR="00AE2EFD" w:rsidRPr="006340F9">
        <w:t xml:space="preserve"> </w:t>
      </w:r>
      <w:r w:rsidR="00B20079" w:rsidRPr="006340F9">
        <w:fldChar w:fldCharType="begin"/>
      </w:r>
      <w:r w:rsidR="00B20079" w:rsidRPr="006340F9">
        <w:instrText xml:space="preserve"> REF _Ref207915591 \r \h </w:instrText>
      </w:r>
      <w:r w:rsidR="00B20079" w:rsidRPr="006340F9">
        <w:fldChar w:fldCharType="separate"/>
      </w:r>
      <w:r w:rsidR="007D732A">
        <w:t>2.2</w:t>
      </w:r>
      <w:r w:rsidR="00B20079" w:rsidRPr="006340F9">
        <w:fldChar w:fldCharType="end"/>
      </w:r>
      <w:r w:rsidRPr="006340F9">
        <w:t xml:space="preserve"> and </w:t>
      </w:r>
      <w:r w:rsidR="006F73D2" w:rsidRPr="006340F9">
        <w:fldChar w:fldCharType="begin"/>
      </w:r>
      <w:r w:rsidR="006F73D2" w:rsidRPr="006340F9">
        <w:instrText xml:space="preserve"> REF _Ref207635190 \r \h </w:instrText>
      </w:r>
      <w:r w:rsidR="00FB236E" w:rsidRPr="006340F9">
        <w:instrText xml:space="preserve"> \* MERGEFORMAT </w:instrText>
      </w:r>
      <w:r w:rsidR="006F73D2" w:rsidRPr="006340F9">
        <w:fldChar w:fldCharType="separate"/>
      </w:r>
      <w:r w:rsidR="007D732A">
        <w:t>3.4</w:t>
      </w:r>
      <w:r w:rsidR="006F73D2" w:rsidRPr="006340F9">
        <w:fldChar w:fldCharType="end"/>
      </w:r>
      <w:r w:rsidRPr="006340F9">
        <w:t>), varied legislation across jurisdictions has created a fragmented ART regulatory environment. This is particularly apparent in relation to who can donate gametes and how that information is recorded and accessed by donor conceived people.</w:t>
      </w:r>
    </w:p>
    <w:p w14:paraId="753A2AA4" w14:textId="77777777" w:rsidR="00B919CD" w:rsidRPr="006340F9" w:rsidRDefault="00B919CD" w:rsidP="00F777F0">
      <w:pPr>
        <w:pStyle w:val="Body"/>
        <w:rPr>
          <w:rFonts w:cs="Arial"/>
          <w:szCs w:val="21"/>
        </w:rPr>
      </w:pPr>
      <w:r w:rsidRPr="006340F9">
        <w:rPr>
          <w:rFonts w:cs="Arial"/>
          <w:szCs w:val="21"/>
        </w:rPr>
        <w:t>Several issues were highlighted by consumers:</w:t>
      </w:r>
    </w:p>
    <w:p w14:paraId="5382CCFA" w14:textId="038FD768" w:rsidR="00B919CD" w:rsidRPr="006340F9" w:rsidRDefault="00B919CD" w:rsidP="008C7844">
      <w:pPr>
        <w:pStyle w:val="Bullet1"/>
        <w:ind w:left="284" w:hanging="284"/>
      </w:pPr>
      <w:r w:rsidRPr="006340F9">
        <w:rPr>
          <w:b/>
        </w:rPr>
        <w:t>Increased reliance on overseas donors and ‘black market’ donations:</w:t>
      </w:r>
      <w:r w:rsidRPr="006340F9">
        <w:t xml:space="preserve"> </w:t>
      </w:r>
      <w:r w:rsidR="00B9427D" w:rsidRPr="006340F9">
        <w:t xml:space="preserve">several </w:t>
      </w:r>
      <w:r w:rsidRPr="006340F9">
        <w:t xml:space="preserve">consumers noted that the increasing demand for donor </w:t>
      </w:r>
      <w:r w:rsidR="004C737B" w:rsidRPr="006340F9">
        <w:t>gametes</w:t>
      </w:r>
      <w:r w:rsidRPr="006340F9">
        <w:t xml:space="preserve"> has resulted in demand exceeding local supply. </w:t>
      </w:r>
      <w:r w:rsidR="00B27012" w:rsidRPr="006340F9">
        <w:t>Anecdotally, t</w:t>
      </w:r>
      <w:r w:rsidRPr="006340F9">
        <w:t>his has resulted in a growing reliance on overseas donors and ‘black market’ donation</w:t>
      </w:r>
      <w:r w:rsidRPr="006340F9">
        <w:rPr>
          <w:rStyle w:val="BodyChar"/>
        </w:rPr>
        <w:t>s.</w:t>
      </w:r>
      <w:r w:rsidRPr="006340F9">
        <w:t xml:space="preserve"> Consumers raised concerns about the quality and traceability of donor material, and the absence of consumer protection rights for individuals conceived from such </w:t>
      </w:r>
      <w:r w:rsidRPr="006340F9">
        <w:lastRenderedPageBreak/>
        <w:t>donations. Queensland’s investigation of ART providers in 2024 noted these themes, highlighting the increased risks of consanguinity and transmission of inherited diseases</w:t>
      </w:r>
      <w:r w:rsidRPr="006340F9">
        <w:rPr>
          <w:rStyle w:val="BodyChar"/>
        </w:rPr>
        <w:t>.</w:t>
      </w:r>
      <w:r w:rsidRPr="006340F9">
        <w:rPr>
          <w:rStyle w:val="BodyChar"/>
          <w:vertAlign w:val="superscript"/>
        </w:rPr>
        <w:footnoteReference w:id="191"/>
      </w:r>
    </w:p>
    <w:p w14:paraId="5BFE6A8F" w14:textId="7DFAD83D" w:rsidR="00B919CD" w:rsidRPr="006340F9" w:rsidRDefault="00B919CD" w:rsidP="008C7844">
      <w:pPr>
        <w:pStyle w:val="Bullet1"/>
        <w:ind w:left="284" w:hanging="284"/>
      </w:pPr>
      <w:r w:rsidRPr="006340F9">
        <w:rPr>
          <w:b/>
        </w:rPr>
        <w:t>Inconsistent definitions and restrictions:</w:t>
      </w:r>
      <w:r w:rsidRPr="006340F9">
        <w:t xml:space="preserve"> </w:t>
      </w:r>
      <w:r w:rsidR="00155646" w:rsidRPr="006340F9">
        <w:t xml:space="preserve">several </w:t>
      </w:r>
      <w:r w:rsidRPr="006340F9">
        <w:t>consumers raised concerns about inconsistent restrictions on who can donate genetic material and about jurisdictional differences regarding the number of families that can be created using a single donor’s gametes.</w:t>
      </w:r>
      <w:r w:rsidRPr="006340F9">
        <w:rPr>
          <w:rStyle w:val="BodyChar"/>
          <w:vertAlign w:val="superscript"/>
        </w:rPr>
        <w:footnoteReference w:id="192"/>
      </w:r>
      <w:r w:rsidRPr="006340F9">
        <w:t xml:space="preserve"> These differences are contributing, directly or indirectly, to donor “tourism”, where donors </w:t>
      </w:r>
      <w:r w:rsidR="00843959" w:rsidRPr="006340F9">
        <w:t>living</w:t>
      </w:r>
      <w:r w:rsidRPr="006340F9">
        <w:t xml:space="preserve"> in one jurisdiction may </w:t>
      </w:r>
      <w:r w:rsidR="00A4121E" w:rsidRPr="006340F9">
        <w:t>donate</w:t>
      </w:r>
      <w:r w:rsidRPr="006340F9">
        <w:t xml:space="preserve"> in another, and “black market” donations. </w:t>
      </w:r>
    </w:p>
    <w:p w14:paraId="4A4AE4B0" w14:textId="041D7788" w:rsidR="00B919CD" w:rsidRPr="006340F9" w:rsidRDefault="00B919CD" w:rsidP="008C7844">
      <w:pPr>
        <w:pStyle w:val="Bullet1"/>
        <w:ind w:left="284" w:hanging="284"/>
      </w:pPr>
      <w:r w:rsidRPr="006340F9">
        <w:rPr>
          <w:b/>
        </w:rPr>
        <w:t>Absence of a national donor register and information sharing between jurisdictions:</w:t>
      </w:r>
      <w:r w:rsidRPr="006340F9">
        <w:t xml:space="preserve"> </w:t>
      </w:r>
      <w:r w:rsidR="00C30268" w:rsidRPr="006340F9">
        <w:t xml:space="preserve">donor </w:t>
      </w:r>
      <w:r w:rsidRPr="006340F9">
        <w:t xml:space="preserve">conceived individuals consulted during the review process stressed the risks of unregulated donations and the absence of a national donor register. While some jurisdictions have a donor register these databases are </w:t>
      </w:r>
      <w:r w:rsidR="00C30268" w:rsidRPr="006340F9">
        <w:t xml:space="preserve">each </w:t>
      </w:r>
      <w:r w:rsidRPr="006340F9">
        <w:t xml:space="preserve">managed independently and are not linked to each other. This means that a single donor can exceed legislated family limits by donating in multiple jurisdictions. The lack of a nationally linked resource also compromises the ability of donor conceived individuals to identify or verify donors, siblings, or medical information.  </w:t>
      </w:r>
    </w:p>
    <w:p w14:paraId="36340DA1" w14:textId="77777777" w:rsidR="00B919CD" w:rsidRPr="006340F9" w:rsidRDefault="00B919CD" w:rsidP="00B919CD">
      <w:pPr>
        <w:spacing w:before="60" w:after="0" w:line="278" w:lineRule="auto"/>
        <w:jc w:val="both"/>
        <w:rPr>
          <w:szCs w:val="21"/>
        </w:rPr>
      </w:pPr>
    </w:p>
    <w:p w14:paraId="22DC8AFC" w14:textId="77777777" w:rsidR="00B919CD" w:rsidRPr="006340F9" w:rsidRDefault="00B919CD" w:rsidP="00B919CD">
      <w:pPr>
        <w:spacing w:before="60" w:after="0" w:line="278" w:lineRule="auto"/>
        <w:jc w:val="both"/>
        <w:rPr>
          <w:szCs w:val="21"/>
        </w:rPr>
      </w:pPr>
    </w:p>
    <w:p w14:paraId="31090940" w14:textId="77777777" w:rsidR="006C5894" w:rsidRPr="006340F9" w:rsidRDefault="006C5894" w:rsidP="5C345AD4">
      <w:pPr>
        <w:pStyle w:val="Heading1"/>
        <w:numPr>
          <w:ilvl w:val="0"/>
          <w:numId w:val="0"/>
        </w:numPr>
        <w:ind w:left="432"/>
        <w:sectPr w:rsidR="006C5894" w:rsidRPr="006340F9" w:rsidSect="009D6378">
          <w:pgSz w:w="11906" w:h="16838" w:code="9"/>
          <w:pgMar w:top="1418" w:right="1304" w:bottom="1134" w:left="1304" w:header="680" w:footer="851" w:gutter="0"/>
          <w:cols w:space="340"/>
          <w:docGrid w:linePitch="360"/>
        </w:sectPr>
      </w:pPr>
    </w:p>
    <w:p w14:paraId="244E01FE" w14:textId="77777777" w:rsidR="004000E4" w:rsidRPr="006340F9" w:rsidRDefault="004000E4" w:rsidP="00193CC1">
      <w:pPr>
        <w:pStyle w:val="Heading1"/>
      </w:pPr>
      <w:bookmarkStart w:id="148" w:name="_Ref207633280"/>
      <w:bookmarkStart w:id="149" w:name="_Toc207976247"/>
      <w:bookmarkStart w:id="150" w:name="_Toc209442000"/>
      <w:r w:rsidRPr="006340F9">
        <w:lastRenderedPageBreak/>
        <w:t>System improvement</w:t>
      </w:r>
      <w:bookmarkEnd w:id="148"/>
      <w:bookmarkEnd w:id="149"/>
      <w:bookmarkEnd w:id="150"/>
    </w:p>
    <w:bookmarkEnd w:id="51"/>
    <w:p w14:paraId="5FAF40F7" w14:textId="77777777" w:rsidR="00027849" w:rsidRPr="006340F9" w:rsidRDefault="00027849" w:rsidP="0090770C">
      <w:pPr>
        <w:pStyle w:val="QuoteEW"/>
      </w:pPr>
      <w:r w:rsidRPr="006340F9">
        <w:t>“Every system is perfectly designed to get the results it gets”</w:t>
      </w:r>
    </w:p>
    <w:p w14:paraId="615C3FCF" w14:textId="77777777" w:rsidR="00027849" w:rsidRPr="006340F9" w:rsidRDefault="00027849" w:rsidP="00E35BDD">
      <w:pPr>
        <w:pStyle w:val="QuoteEWauthor"/>
        <w:jc w:val="left"/>
      </w:pPr>
      <w:r w:rsidRPr="006340F9">
        <w:tab/>
        <w:t>W Edwards Deming</w:t>
      </w:r>
    </w:p>
    <w:p w14:paraId="2B08E09C" w14:textId="77777777" w:rsidR="00027849" w:rsidRPr="006340F9" w:rsidRDefault="00027849" w:rsidP="00027849">
      <w:pPr>
        <w:jc w:val="both"/>
        <w:rPr>
          <w:rFonts w:eastAsia="Times" w:cs="Arial"/>
          <w:sz w:val="22"/>
          <w:szCs w:val="22"/>
        </w:rPr>
      </w:pPr>
    </w:p>
    <w:p w14:paraId="0E9D968B" w14:textId="1FA86188" w:rsidR="00027849" w:rsidRPr="006340F9" w:rsidRDefault="00027849" w:rsidP="00027849">
      <w:pPr>
        <w:spacing w:after="60"/>
        <w:jc w:val="both"/>
        <w:rPr>
          <w:rFonts w:eastAsia="Times" w:cs="Arial"/>
          <w:sz w:val="22"/>
          <w:szCs w:val="22"/>
        </w:rPr>
      </w:pPr>
      <w:r w:rsidRPr="006340F9">
        <w:rPr>
          <w:rFonts w:eastAsia="Times" w:cs="Arial"/>
          <w:sz w:val="22"/>
          <w:szCs w:val="22"/>
        </w:rPr>
        <w:t xml:space="preserve">As we outlined in chapter </w:t>
      </w:r>
      <w:r w:rsidR="006B4DA1" w:rsidRPr="006340F9">
        <w:rPr>
          <w:rFonts w:eastAsia="Times" w:cs="Arial"/>
          <w:sz w:val="22"/>
          <w:szCs w:val="22"/>
        </w:rPr>
        <w:fldChar w:fldCharType="begin"/>
      </w:r>
      <w:r w:rsidR="006B4DA1" w:rsidRPr="006340F9">
        <w:rPr>
          <w:rFonts w:eastAsia="Times" w:cs="Arial"/>
          <w:sz w:val="22"/>
          <w:szCs w:val="22"/>
        </w:rPr>
        <w:instrText xml:space="preserve"> REF _Ref209189477 \n \h </w:instrText>
      </w:r>
      <w:r w:rsidR="006B4DA1" w:rsidRPr="006340F9">
        <w:rPr>
          <w:rFonts w:eastAsia="Times" w:cs="Arial"/>
          <w:sz w:val="22"/>
          <w:szCs w:val="22"/>
        </w:rPr>
      </w:r>
      <w:r w:rsidR="006B4DA1" w:rsidRPr="006340F9">
        <w:rPr>
          <w:rFonts w:eastAsia="Times" w:cs="Arial"/>
          <w:sz w:val="22"/>
          <w:szCs w:val="22"/>
        </w:rPr>
        <w:fldChar w:fldCharType="separate"/>
      </w:r>
      <w:r w:rsidR="007D732A">
        <w:rPr>
          <w:rFonts w:eastAsia="Times" w:cs="Arial"/>
          <w:sz w:val="22"/>
          <w:szCs w:val="22"/>
        </w:rPr>
        <w:t>1</w:t>
      </w:r>
      <w:r w:rsidR="006B4DA1" w:rsidRPr="006340F9">
        <w:rPr>
          <w:rFonts w:eastAsia="Times" w:cs="Arial"/>
          <w:sz w:val="22"/>
          <w:szCs w:val="22"/>
        </w:rPr>
        <w:fldChar w:fldCharType="end"/>
      </w:r>
      <w:r w:rsidRPr="006340F9">
        <w:rPr>
          <w:rFonts w:eastAsia="Times" w:cs="Arial"/>
          <w:sz w:val="22"/>
          <w:szCs w:val="22"/>
        </w:rPr>
        <w:t>, Health Ministers instructed the Health Chief Executives to commission a rapid review of the accreditation and regulatory environment for ART and IVF, with the request that the review included:</w:t>
      </w:r>
    </w:p>
    <w:p w14:paraId="4EA50C1E" w14:textId="77777777" w:rsidR="00027849" w:rsidRPr="006340F9" w:rsidRDefault="00027849" w:rsidP="007C2C61">
      <w:pPr>
        <w:numPr>
          <w:ilvl w:val="0"/>
          <w:numId w:val="9"/>
        </w:numPr>
        <w:jc w:val="both"/>
        <w:rPr>
          <w:rFonts w:eastAsia="Times" w:cs="Arial"/>
          <w:sz w:val="22"/>
          <w:szCs w:val="22"/>
        </w:rPr>
      </w:pPr>
      <w:r w:rsidRPr="006340F9">
        <w:rPr>
          <w:rFonts w:eastAsia="Times" w:cs="Arial"/>
          <w:sz w:val="22"/>
          <w:szCs w:val="22"/>
        </w:rPr>
        <w:t>options for implementation of an independent accreditation body and process</w:t>
      </w:r>
    </w:p>
    <w:p w14:paraId="2CCEA887" w14:textId="77777777" w:rsidR="00027849" w:rsidRPr="006340F9" w:rsidRDefault="00027849" w:rsidP="007C2C61">
      <w:pPr>
        <w:numPr>
          <w:ilvl w:val="0"/>
          <w:numId w:val="9"/>
        </w:numPr>
        <w:jc w:val="both"/>
        <w:rPr>
          <w:rFonts w:eastAsia="Times" w:cs="Arial"/>
          <w:sz w:val="22"/>
          <w:szCs w:val="22"/>
        </w:rPr>
      </w:pPr>
      <w:r w:rsidRPr="006340F9">
        <w:rPr>
          <w:rFonts w:eastAsia="Times" w:cs="Arial"/>
          <w:sz w:val="22"/>
          <w:szCs w:val="22"/>
        </w:rPr>
        <w:t xml:space="preserve">consideration of how existing state-based regulatory regimes could be strengthened </w:t>
      </w:r>
    </w:p>
    <w:p w14:paraId="0F23FD6A" w14:textId="77777777" w:rsidR="00027849" w:rsidRPr="006340F9" w:rsidRDefault="00027849" w:rsidP="007C2C61">
      <w:pPr>
        <w:numPr>
          <w:ilvl w:val="0"/>
          <w:numId w:val="9"/>
        </w:numPr>
        <w:jc w:val="both"/>
        <w:rPr>
          <w:rFonts w:eastAsia="Times" w:cs="Arial"/>
          <w:sz w:val="22"/>
          <w:szCs w:val="22"/>
        </w:rPr>
      </w:pPr>
      <w:r w:rsidRPr="006340F9">
        <w:rPr>
          <w:rFonts w:eastAsia="Times" w:cs="Arial"/>
          <w:sz w:val="22"/>
          <w:szCs w:val="22"/>
        </w:rPr>
        <w:t>consideration of whether a national regulatory approach would deliver benefit.</w:t>
      </w:r>
    </w:p>
    <w:p w14:paraId="72BD9216" w14:textId="77777777" w:rsidR="00027849" w:rsidRPr="006340F9" w:rsidRDefault="00027849" w:rsidP="00027849">
      <w:pPr>
        <w:spacing w:before="120"/>
        <w:jc w:val="both"/>
        <w:rPr>
          <w:rFonts w:eastAsia="Times" w:cs="Arial"/>
          <w:sz w:val="22"/>
          <w:szCs w:val="22"/>
        </w:rPr>
      </w:pPr>
      <w:r w:rsidRPr="006340F9">
        <w:rPr>
          <w:rFonts w:eastAsia="Times" w:cs="Arial"/>
          <w:sz w:val="22"/>
          <w:szCs w:val="22"/>
        </w:rPr>
        <w:t>As described elsewhere in this review, the current accreditation and regulatory environment is confused and confusing, for providers, consumers, and regulatory authorities. This confusion has contributed to undermining the very intent of accreditation and regulation – the continuous improvement in the quality and safety of services being provided. However, it is not just the blurred lines of responsibility that underlie the compromised accreditation and regulatory processes and outcomes that we found. The lack of a skilled, independent accreditation agency, appropriately resourced, and the still evolving legislative and regulatory instruments that differ significantly across jurisdictions all contribute to a less than effective system and unsatisfactory outcomes.</w:t>
      </w:r>
    </w:p>
    <w:p w14:paraId="6D9A5A3D" w14:textId="2DC4A3DD" w:rsidR="00027849" w:rsidRPr="006340F9" w:rsidRDefault="00027849" w:rsidP="00027849">
      <w:pPr>
        <w:jc w:val="both"/>
        <w:rPr>
          <w:rFonts w:eastAsia="Times" w:cs="Arial"/>
          <w:sz w:val="22"/>
          <w:szCs w:val="22"/>
        </w:rPr>
      </w:pPr>
      <w:r w:rsidRPr="006340F9">
        <w:rPr>
          <w:rFonts w:eastAsia="Times" w:cs="Arial"/>
          <w:sz w:val="22"/>
          <w:szCs w:val="22"/>
        </w:rPr>
        <w:t xml:space="preserve">In this chapter we outline ten opportunities to improve accreditation and regulation, each with the intent of delivering better quality and safety of care, and better outcomes for consumers. </w:t>
      </w:r>
      <w:r w:rsidR="150ACD6C" w:rsidRPr="006340F9">
        <w:rPr>
          <w:rFonts w:eastAsia="Times" w:cs="Arial"/>
          <w:sz w:val="22"/>
          <w:szCs w:val="22"/>
        </w:rPr>
        <w:t>Reform ideas that would</w:t>
      </w:r>
      <w:r w:rsidRPr="006340F9">
        <w:rPr>
          <w:rFonts w:eastAsia="Times" w:cs="Arial"/>
          <w:sz w:val="22"/>
          <w:szCs w:val="22"/>
        </w:rPr>
        <w:t xml:space="preserve"> deliver a system that is designed to get the results that are wanted.</w:t>
      </w:r>
    </w:p>
    <w:p w14:paraId="5584C6ED" w14:textId="5DBB5C4E" w:rsidR="00027849" w:rsidRPr="006340F9" w:rsidRDefault="00027849" w:rsidP="00027849">
      <w:pPr>
        <w:jc w:val="both"/>
        <w:rPr>
          <w:rFonts w:eastAsia="Times" w:cs="Arial"/>
          <w:sz w:val="22"/>
          <w:szCs w:val="22"/>
        </w:rPr>
      </w:pPr>
      <w:r w:rsidRPr="006340F9">
        <w:rPr>
          <w:rFonts w:eastAsia="Times" w:cs="Arial"/>
          <w:sz w:val="22"/>
          <w:szCs w:val="22"/>
        </w:rPr>
        <w:t>Of the</w:t>
      </w:r>
      <w:r w:rsidRPr="006340F9" w:rsidDel="00CE5833">
        <w:rPr>
          <w:rFonts w:eastAsia="Times" w:cs="Arial"/>
          <w:sz w:val="22"/>
          <w:szCs w:val="22"/>
        </w:rPr>
        <w:t xml:space="preserve"> </w:t>
      </w:r>
      <w:r w:rsidRPr="006340F9">
        <w:rPr>
          <w:rFonts w:eastAsia="Times" w:cs="Arial"/>
          <w:sz w:val="22"/>
          <w:szCs w:val="22"/>
        </w:rPr>
        <w:t>ten opportunities, we believe that establishing an appropriately resourced independent accreditation authority capable of developing and implementing evidence-based standards of care is the priority. We also</w:t>
      </w:r>
      <w:r w:rsidRPr="006340F9" w:rsidDel="00E04923">
        <w:rPr>
          <w:rFonts w:eastAsia="Times" w:cs="Arial"/>
          <w:sz w:val="22"/>
          <w:szCs w:val="22"/>
        </w:rPr>
        <w:t xml:space="preserve"> </w:t>
      </w:r>
      <w:r w:rsidRPr="006340F9">
        <w:rPr>
          <w:rFonts w:eastAsia="Times" w:cs="Arial"/>
          <w:sz w:val="22"/>
          <w:szCs w:val="22"/>
        </w:rPr>
        <w:t>propose that better regulation could be most readily achieved through strengthening and harmonisation of existing state- and territory-based regulatory regimes rather than through the establishment of a standalone national regulator. We believe this approach would deliver stronger regulation more quickly and for significantly less cost than building a new national body.</w:t>
      </w:r>
    </w:p>
    <w:p w14:paraId="61D05A2C" w14:textId="241B34DD" w:rsidR="00A33D71" w:rsidRPr="006340F9" w:rsidRDefault="00027849" w:rsidP="00027849">
      <w:pPr>
        <w:jc w:val="both"/>
        <w:rPr>
          <w:rFonts w:eastAsia="Times" w:cs="Arial"/>
          <w:sz w:val="22"/>
          <w:szCs w:val="22"/>
        </w:rPr>
      </w:pPr>
      <w:r w:rsidRPr="006340F9">
        <w:rPr>
          <w:rFonts w:eastAsia="Times" w:cs="Arial"/>
          <w:sz w:val="22"/>
          <w:szCs w:val="22"/>
        </w:rPr>
        <w:t>Below, we have purposefully separated accreditation reform opportunities from regulatory improvement. We have done so with the intent of improving understanding of these two separate but dependent components of effective clinical governance.</w:t>
      </w:r>
    </w:p>
    <w:p w14:paraId="11202F4A" w14:textId="4AB37146" w:rsidR="00027849" w:rsidRPr="006340F9" w:rsidRDefault="00A33D71" w:rsidP="00A33D71">
      <w:pPr>
        <w:pStyle w:val="Heading2"/>
      </w:pPr>
      <w:r w:rsidRPr="006340F9">
        <w:rPr>
          <w:rFonts w:eastAsia="Times" w:cs="Arial"/>
          <w:sz w:val="22"/>
          <w:szCs w:val="22"/>
        </w:rPr>
        <w:br w:type="column"/>
      </w:r>
      <w:bookmarkStart w:id="151" w:name="_Toc207976248"/>
      <w:bookmarkStart w:id="152" w:name="_Toc209442001"/>
      <w:r w:rsidR="00027849" w:rsidRPr="006340F9">
        <w:lastRenderedPageBreak/>
        <w:t>Accreditation reform opportunities</w:t>
      </w:r>
      <w:bookmarkEnd w:id="151"/>
      <w:bookmarkEnd w:id="152"/>
      <w:r w:rsidR="00027849" w:rsidRPr="006340F9">
        <w:t xml:space="preserve">  </w:t>
      </w:r>
    </w:p>
    <w:p w14:paraId="1AC2F38A" w14:textId="0961A32B" w:rsidR="00027849" w:rsidRPr="006340F9" w:rsidRDefault="00027849" w:rsidP="00374D90">
      <w:pPr>
        <w:pStyle w:val="Body"/>
      </w:pPr>
      <w:r w:rsidRPr="006340F9">
        <w:t>We identified three key improvement opportunities in relation to accreditation, both at market entry and during market conduct:</w:t>
      </w:r>
    </w:p>
    <w:p w14:paraId="4405BDD0" w14:textId="01BD577E" w:rsidR="00027849" w:rsidRPr="006340F9" w:rsidRDefault="00027849" w:rsidP="007C2C61">
      <w:pPr>
        <w:numPr>
          <w:ilvl w:val="0"/>
          <w:numId w:val="14"/>
        </w:numPr>
        <w:jc w:val="both"/>
        <w:rPr>
          <w:rFonts w:eastAsia="Times" w:cs="Arial"/>
          <w:sz w:val="22"/>
          <w:szCs w:val="22"/>
        </w:rPr>
      </w:pPr>
      <w:r w:rsidRPr="006340F9">
        <w:rPr>
          <w:rFonts w:eastAsia="Times" w:cs="Arial"/>
          <w:sz w:val="22"/>
          <w:szCs w:val="22"/>
        </w:rPr>
        <w:t>Establishing an independent accreditation entity and process.</w:t>
      </w:r>
    </w:p>
    <w:p w14:paraId="2B4FB5BF" w14:textId="57D234B5" w:rsidR="00027849" w:rsidRPr="006340F9" w:rsidRDefault="00027849" w:rsidP="007C2C61">
      <w:pPr>
        <w:numPr>
          <w:ilvl w:val="0"/>
          <w:numId w:val="14"/>
        </w:numPr>
        <w:jc w:val="both"/>
        <w:rPr>
          <w:rFonts w:eastAsia="Times" w:cs="Arial"/>
          <w:sz w:val="22"/>
          <w:szCs w:val="22"/>
        </w:rPr>
      </w:pPr>
      <w:r w:rsidRPr="006340F9">
        <w:rPr>
          <w:rFonts w:eastAsia="Times" w:cs="Arial"/>
          <w:sz w:val="22"/>
          <w:szCs w:val="22"/>
        </w:rPr>
        <w:t>Developing and implementing more comprehensive national quality and safety standards for ART practice.</w:t>
      </w:r>
    </w:p>
    <w:p w14:paraId="2BFC2A6B" w14:textId="58996295" w:rsidR="00027849" w:rsidRPr="006340F9" w:rsidRDefault="00027849" w:rsidP="007C2C61">
      <w:pPr>
        <w:numPr>
          <w:ilvl w:val="0"/>
          <w:numId w:val="14"/>
        </w:numPr>
        <w:jc w:val="both"/>
        <w:rPr>
          <w:rFonts w:eastAsia="Times" w:cs="Arial"/>
          <w:sz w:val="22"/>
          <w:szCs w:val="22"/>
        </w:rPr>
      </w:pPr>
      <w:r w:rsidRPr="006340F9">
        <w:rPr>
          <w:rFonts w:eastAsia="Times" w:cs="Arial"/>
          <w:sz w:val="22"/>
          <w:szCs w:val="22"/>
        </w:rPr>
        <w:t>Improving oversight of and guidance for professional workers in the ART sector.</w:t>
      </w:r>
    </w:p>
    <w:p w14:paraId="03F41009" w14:textId="77777777" w:rsidR="00027849" w:rsidRPr="006340F9" w:rsidRDefault="00027849" w:rsidP="00027849">
      <w:pPr>
        <w:jc w:val="both"/>
        <w:rPr>
          <w:rFonts w:eastAsia="Times" w:cs="Arial"/>
          <w:sz w:val="22"/>
          <w:szCs w:val="22"/>
        </w:rPr>
      </w:pPr>
      <w:r w:rsidRPr="006340F9">
        <w:rPr>
          <w:rFonts w:eastAsia="Times" w:cs="Arial"/>
          <w:sz w:val="22"/>
          <w:szCs w:val="22"/>
        </w:rPr>
        <w:t>Each is discussed in turn.</w:t>
      </w:r>
    </w:p>
    <w:p w14:paraId="4517CF7C" w14:textId="2BA5AE68" w:rsidR="00027849" w:rsidRPr="006340F9" w:rsidRDefault="00027849" w:rsidP="006A1486">
      <w:pPr>
        <w:pStyle w:val="Heading3"/>
        <w:rPr>
          <w:bCs w:val="0"/>
        </w:rPr>
      </w:pPr>
      <w:r w:rsidRPr="006340F9">
        <w:t xml:space="preserve">Reform opportunity 1: </w:t>
      </w:r>
      <w:r w:rsidR="006A1AEA" w:rsidRPr="006340F9">
        <w:t>Establishing a</w:t>
      </w:r>
      <w:r w:rsidRPr="006340F9">
        <w:t>n independent accreditation entity and process</w:t>
      </w:r>
    </w:p>
    <w:p w14:paraId="3D7F93F3" w14:textId="6A242F73" w:rsidR="00027849" w:rsidRPr="006340F9" w:rsidRDefault="00027849" w:rsidP="00027849">
      <w:pPr>
        <w:jc w:val="both"/>
        <w:rPr>
          <w:rFonts w:eastAsia="Times"/>
          <w:sz w:val="22"/>
          <w:szCs w:val="22"/>
        </w:rPr>
      </w:pPr>
      <w:r w:rsidRPr="006340F9">
        <w:rPr>
          <w:rFonts w:eastAsia="Times"/>
          <w:sz w:val="22"/>
          <w:szCs w:val="22"/>
        </w:rPr>
        <w:t xml:space="preserve">As outlined in chapter </w:t>
      </w:r>
      <w:r w:rsidRPr="006340F9">
        <w:rPr>
          <w:rFonts w:eastAsia="Times"/>
          <w:sz w:val="22"/>
          <w:szCs w:val="22"/>
        </w:rPr>
        <w:fldChar w:fldCharType="begin"/>
      </w:r>
      <w:r w:rsidRPr="006340F9">
        <w:rPr>
          <w:rFonts w:eastAsia="Times"/>
          <w:sz w:val="22"/>
          <w:szCs w:val="22"/>
        </w:rPr>
        <w:instrText xml:space="preserve"> REF _Ref207633499 \r \h  \* MERGEFORMAT </w:instrText>
      </w:r>
      <w:r w:rsidRPr="006340F9">
        <w:rPr>
          <w:rFonts w:eastAsia="Times"/>
          <w:sz w:val="22"/>
          <w:szCs w:val="22"/>
        </w:rPr>
      </w:r>
      <w:r w:rsidRPr="006340F9">
        <w:rPr>
          <w:rFonts w:eastAsia="Times"/>
          <w:sz w:val="22"/>
          <w:szCs w:val="22"/>
        </w:rPr>
        <w:fldChar w:fldCharType="separate"/>
      </w:r>
      <w:r w:rsidR="007D732A">
        <w:rPr>
          <w:rFonts w:eastAsia="Times"/>
          <w:sz w:val="22"/>
          <w:szCs w:val="22"/>
        </w:rPr>
        <w:t>3</w:t>
      </w:r>
      <w:r w:rsidRPr="006340F9">
        <w:rPr>
          <w:rFonts w:eastAsia="Times"/>
          <w:sz w:val="22"/>
          <w:szCs w:val="22"/>
        </w:rPr>
        <w:fldChar w:fldCharType="end"/>
      </w:r>
      <w:r w:rsidRPr="006340F9">
        <w:rPr>
          <w:rFonts w:eastAsia="Times"/>
          <w:sz w:val="22"/>
          <w:szCs w:val="22"/>
        </w:rPr>
        <w:t xml:space="preserve">, the lack of independence of the current accreditation agency, RTAC, from the sector’s peak body FSANZ fundamentally undermines good governance, demonstrably constrains accreditation powers, and weakens consumer and government confidence. There is an opportunity to reform accreditation to ensure the </w:t>
      </w:r>
      <w:proofErr w:type="gramStart"/>
      <w:r w:rsidRPr="006340F9">
        <w:rPr>
          <w:rFonts w:eastAsia="Times"/>
          <w:sz w:val="22"/>
          <w:szCs w:val="22"/>
        </w:rPr>
        <w:t>accreditor</w:t>
      </w:r>
      <w:proofErr w:type="gramEnd"/>
      <w:r w:rsidRPr="006340F9">
        <w:rPr>
          <w:rFonts w:eastAsia="Times"/>
          <w:sz w:val="22"/>
          <w:szCs w:val="22"/>
        </w:rPr>
        <w:t xml:space="preserve"> and its processes are independent of providers.</w:t>
      </w:r>
    </w:p>
    <w:p w14:paraId="625BAB31" w14:textId="77777777" w:rsidR="00027849" w:rsidRPr="006340F9" w:rsidRDefault="00027849" w:rsidP="00027849">
      <w:pPr>
        <w:jc w:val="both"/>
        <w:rPr>
          <w:rFonts w:eastAsia="Times"/>
          <w:sz w:val="22"/>
          <w:szCs w:val="22"/>
        </w:rPr>
      </w:pPr>
      <w:r w:rsidRPr="006340F9">
        <w:rPr>
          <w:rFonts w:eastAsia="Times"/>
          <w:sz w:val="22"/>
          <w:szCs w:val="22"/>
        </w:rPr>
        <w:t>We identified three alternative options that would each provide independent accreditation:</w:t>
      </w:r>
    </w:p>
    <w:p w14:paraId="71C34F70" w14:textId="53B7EEDF" w:rsidR="00027849" w:rsidRPr="006340F9" w:rsidRDefault="00027849" w:rsidP="00027849">
      <w:pPr>
        <w:jc w:val="both"/>
        <w:rPr>
          <w:rFonts w:eastAsia="Times"/>
          <w:b/>
          <w:sz w:val="22"/>
          <w:szCs w:val="22"/>
        </w:rPr>
      </w:pPr>
      <w:r w:rsidRPr="006340F9">
        <w:rPr>
          <w:rFonts w:eastAsia="Times"/>
          <w:b/>
          <w:sz w:val="22"/>
          <w:szCs w:val="22"/>
        </w:rPr>
        <w:t>Option A: Authorise the</w:t>
      </w:r>
      <w:r w:rsidRPr="006340F9" w:rsidDel="00D16EB8">
        <w:rPr>
          <w:rFonts w:eastAsia="Times"/>
          <w:b/>
          <w:sz w:val="22"/>
          <w:szCs w:val="22"/>
        </w:rPr>
        <w:t xml:space="preserve"> </w:t>
      </w:r>
      <w:r w:rsidR="00DB1A65" w:rsidRPr="006340F9">
        <w:rPr>
          <w:rFonts w:eastAsia="Times"/>
          <w:b/>
          <w:sz w:val="22"/>
          <w:szCs w:val="22"/>
        </w:rPr>
        <w:t xml:space="preserve">Australian </w:t>
      </w:r>
      <w:r w:rsidR="003A05F1" w:rsidRPr="006340F9">
        <w:rPr>
          <w:rFonts w:eastAsia="Times"/>
          <w:b/>
          <w:sz w:val="22"/>
          <w:szCs w:val="22"/>
        </w:rPr>
        <w:t>Commission on Safety and Quality in Health Care</w:t>
      </w:r>
      <w:r w:rsidRPr="006340F9">
        <w:rPr>
          <w:rFonts w:eastAsia="Times"/>
          <w:b/>
          <w:sz w:val="22"/>
          <w:szCs w:val="22"/>
        </w:rPr>
        <w:t xml:space="preserve"> to deliver ART accreditation.</w:t>
      </w:r>
      <w:r w:rsidRPr="006340F9">
        <w:rPr>
          <w:rFonts w:eastAsia="Times"/>
          <w:b/>
          <w:bCs/>
          <w:sz w:val="22"/>
          <w:szCs w:val="22"/>
        </w:rPr>
        <w:t xml:space="preserve"> </w:t>
      </w:r>
      <w:r w:rsidRPr="006340F9">
        <w:rPr>
          <w:rFonts w:eastAsia="Times"/>
          <w:sz w:val="22"/>
          <w:szCs w:val="22"/>
        </w:rPr>
        <w:t>Expand and utilise the Commission’s capacity as an existing national accreditor to include ART providers.</w:t>
      </w:r>
    </w:p>
    <w:p w14:paraId="6CCB7751" w14:textId="77777777" w:rsidR="00027849" w:rsidRPr="006340F9" w:rsidRDefault="00027849" w:rsidP="00027849">
      <w:pPr>
        <w:jc w:val="both"/>
        <w:rPr>
          <w:rFonts w:eastAsia="Times"/>
          <w:b/>
          <w:sz w:val="22"/>
          <w:szCs w:val="22"/>
        </w:rPr>
      </w:pPr>
      <w:r w:rsidRPr="006340F9">
        <w:rPr>
          <w:rFonts w:eastAsia="Times"/>
          <w:b/>
          <w:sz w:val="22"/>
          <w:szCs w:val="22"/>
        </w:rPr>
        <w:t>Option B: Establish a new accreditation body.</w:t>
      </w:r>
      <w:r w:rsidRPr="006340F9">
        <w:rPr>
          <w:rFonts w:eastAsia="Times"/>
          <w:b/>
          <w:bCs/>
          <w:sz w:val="22"/>
          <w:szCs w:val="22"/>
        </w:rPr>
        <w:t xml:space="preserve"> </w:t>
      </w:r>
      <w:r w:rsidRPr="006340F9">
        <w:rPr>
          <w:rFonts w:eastAsia="Times"/>
          <w:sz w:val="22"/>
          <w:szCs w:val="22"/>
        </w:rPr>
        <w:t xml:space="preserve">Establishment of a new independent national entity to oversee ART accreditation. </w:t>
      </w:r>
    </w:p>
    <w:p w14:paraId="54AD538A" w14:textId="77777777" w:rsidR="00027849" w:rsidRPr="006340F9" w:rsidRDefault="00027849" w:rsidP="00027849">
      <w:pPr>
        <w:jc w:val="both"/>
        <w:rPr>
          <w:rFonts w:eastAsia="Times"/>
          <w:b/>
          <w:sz w:val="22"/>
          <w:szCs w:val="22"/>
        </w:rPr>
      </w:pPr>
      <w:r w:rsidRPr="006340F9">
        <w:rPr>
          <w:rFonts w:eastAsia="Times"/>
          <w:b/>
          <w:sz w:val="22"/>
          <w:szCs w:val="22"/>
        </w:rPr>
        <w:t>Option C</w:t>
      </w:r>
      <w:r w:rsidRPr="006340F9">
        <w:rPr>
          <w:rFonts w:eastAsiaTheme="minorEastAsia"/>
          <w:color w:val="000000"/>
          <w:sz w:val="22"/>
          <w:szCs w:val="22"/>
          <w:lang w:eastAsia="en-AU"/>
        </w:rPr>
        <w:t xml:space="preserve">: </w:t>
      </w:r>
      <w:r w:rsidRPr="006340F9">
        <w:rPr>
          <w:rFonts w:eastAsia="Times"/>
          <w:b/>
          <w:sz w:val="22"/>
          <w:szCs w:val="22"/>
        </w:rPr>
        <w:t>Reform the existing industry accreditor, RTAC.</w:t>
      </w:r>
      <w:r w:rsidRPr="006340F9">
        <w:rPr>
          <w:rFonts w:eastAsia="Times"/>
          <w:b/>
          <w:bCs/>
          <w:sz w:val="22"/>
          <w:szCs w:val="22"/>
        </w:rPr>
        <w:t xml:space="preserve"> </w:t>
      </w:r>
      <w:r w:rsidRPr="006340F9">
        <w:rPr>
          <w:rFonts w:eastAsia="Times"/>
          <w:sz w:val="22"/>
          <w:szCs w:val="22"/>
        </w:rPr>
        <w:t>Expand capacity and upskill an existing industry accreditor.</w:t>
      </w:r>
    </w:p>
    <w:p w14:paraId="186AAB61" w14:textId="77777777" w:rsidR="00027849" w:rsidRPr="006340F9" w:rsidRDefault="00027849" w:rsidP="00027849">
      <w:pPr>
        <w:keepNext/>
        <w:keepLines/>
        <w:spacing w:before="240" w:after="80"/>
        <w:outlineLvl w:val="3"/>
        <w:rPr>
          <w:rFonts w:eastAsia="MS Mincho"/>
          <w:color w:val="7F7F7F" w:themeColor="text1" w:themeTint="80"/>
          <w:sz w:val="28"/>
          <w:szCs w:val="22"/>
        </w:rPr>
      </w:pPr>
      <w:r w:rsidRPr="006340F9">
        <w:rPr>
          <w:rFonts w:eastAsia="MS Mincho"/>
          <w:color w:val="7F7F7F" w:themeColor="text1" w:themeTint="80"/>
          <w:sz w:val="28"/>
          <w:szCs w:val="22"/>
        </w:rPr>
        <w:t>Option consideration</w:t>
      </w:r>
    </w:p>
    <w:p w14:paraId="4F3D5E56" w14:textId="2875BBAE" w:rsidR="00027849" w:rsidRPr="006340F9" w:rsidRDefault="00027849" w:rsidP="00027849">
      <w:pPr>
        <w:jc w:val="both"/>
        <w:rPr>
          <w:rFonts w:cs="Arial"/>
          <w:color w:val="000000" w:themeColor="text1"/>
          <w:kern w:val="24"/>
          <w:sz w:val="22"/>
          <w:szCs w:val="22"/>
          <w:lang w:eastAsia="en-AU"/>
        </w:rPr>
      </w:pPr>
      <w:r w:rsidRPr="006340F9">
        <w:rPr>
          <w:rFonts w:eastAsia="Times" w:cs="Arial"/>
          <w:sz w:val="22"/>
          <w:szCs w:val="22"/>
        </w:rPr>
        <w:t>Option A would involve tasking the Commission to acquire responsibility for accreditation of ART providers, as it has for the rest of health care. This would require the Commission receiving additional resources and developing new capabilities, including the development of new ART standards. However, we anticipate that this would be less expensive and more readily implemented than establishing an entirely new accreditation body (</w:t>
      </w:r>
      <w:r w:rsidR="00BA0997" w:rsidRPr="006340F9">
        <w:rPr>
          <w:rFonts w:eastAsia="Times" w:cs="Arial"/>
          <w:sz w:val="22"/>
          <w:szCs w:val="22"/>
        </w:rPr>
        <w:t>O</w:t>
      </w:r>
      <w:r w:rsidRPr="006340F9">
        <w:rPr>
          <w:rFonts w:eastAsia="Times" w:cs="Arial"/>
          <w:sz w:val="22"/>
          <w:szCs w:val="22"/>
        </w:rPr>
        <w:t>ption B). Indeed, the industry-specific insights gained by the Commission</w:t>
      </w:r>
      <w:r w:rsidRPr="006340F9">
        <w:rPr>
          <w:rFonts w:cs="Arial"/>
          <w:color w:val="000000" w:themeColor="text1"/>
          <w:kern w:val="24"/>
          <w:sz w:val="22"/>
          <w:szCs w:val="22"/>
          <w:lang w:eastAsia="en-AU"/>
        </w:rPr>
        <w:t xml:space="preserve"> over recent years in establishing accreditation processes for cosmetic surgery would serve it well should it be tasked with ART accreditation.</w:t>
      </w:r>
    </w:p>
    <w:p w14:paraId="0058E8A1" w14:textId="19DF49C6" w:rsidR="00027849" w:rsidRPr="006340F9" w:rsidRDefault="00027849" w:rsidP="00027849">
      <w:pPr>
        <w:jc w:val="both"/>
        <w:rPr>
          <w:rFonts w:cs="Arial"/>
          <w:color w:val="000000" w:themeColor="text1"/>
          <w:kern w:val="24"/>
          <w:sz w:val="22"/>
          <w:szCs w:val="22"/>
          <w:lang w:eastAsia="en-AU"/>
        </w:rPr>
      </w:pPr>
      <w:r w:rsidRPr="006340F9">
        <w:rPr>
          <w:rFonts w:cs="Arial"/>
          <w:color w:val="000000" w:themeColor="text1"/>
          <w:kern w:val="24"/>
          <w:sz w:val="22"/>
          <w:szCs w:val="22"/>
          <w:lang w:eastAsia="en-AU"/>
        </w:rPr>
        <w:t xml:space="preserve">Option A would also readily enable reform opportunity 2 – the development and implementation of more effective national standards for ART. The Commission is the national expert in the development of healthcare standards for accreditation purposes. Appropriately resourced, it would have the expertise to develop a new set of standards for the ART sector, using an approach like that taken for cosmetic surgery. This would also enable better alignment with the national safety and quality standards and afford the ART sector robust accreditation processes, including short notice assessments and effective oversight of audit performance. The heightened </w:t>
      </w:r>
      <w:r w:rsidRPr="006340F9">
        <w:rPr>
          <w:rFonts w:cs="Arial"/>
          <w:color w:val="000000" w:themeColor="text1"/>
          <w:kern w:val="24"/>
          <w:sz w:val="22"/>
          <w:szCs w:val="22"/>
          <w:lang w:eastAsia="en-AU"/>
        </w:rPr>
        <w:lastRenderedPageBreak/>
        <w:t>rigour of accreditation that the Commission would bring to the sector would be expected to reduce the accreditation burden on providers over time.</w:t>
      </w:r>
    </w:p>
    <w:p w14:paraId="6DE124BA" w14:textId="36BC52B4" w:rsidR="00027849" w:rsidRPr="006340F9" w:rsidRDefault="00027849" w:rsidP="00027849">
      <w:pPr>
        <w:jc w:val="both"/>
        <w:rPr>
          <w:rFonts w:eastAsia="Times" w:cs="Arial"/>
          <w:sz w:val="22"/>
          <w:szCs w:val="22"/>
        </w:rPr>
      </w:pPr>
      <w:r w:rsidRPr="006340F9">
        <w:rPr>
          <w:rFonts w:eastAsia="Times" w:cs="Arial"/>
          <w:sz w:val="22"/>
          <w:szCs w:val="22"/>
        </w:rPr>
        <w:t>Establishing a new accreditation body (</w:t>
      </w:r>
      <w:r w:rsidR="00BA0997" w:rsidRPr="006340F9">
        <w:rPr>
          <w:rFonts w:eastAsia="Times" w:cs="Arial"/>
          <w:sz w:val="22"/>
          <w:szCs w:val="22"/>
        </w:rPr>
        <w:t>O</w:t>
      </w:r>
      <w:r w:rsidRPr="006340F9">
        <w:rPr>
          <w:rFonts w:eastAsia="Times" w:cs="Arial"/>
          <w:sz w:val="22"/>
          <w:szCs w:val="22"/>
        </w:rPr>
        <w:t xml:space="preserve">ption B) would address the need for an independent agency. However, we believe that this would require substantially more resources and a longer implementation timeline than either </w:t>
      </w:r>
      <w:r w:rsidR="00BA0997" w:rsidRPr="006340F9">
        <w:rPr>
          <w:rFonts w:eastAsia="Times" w:cs="Arial"/>
          <w:sz w:val="22"/>
          <w:szCs w:val="22"/>
        </w:rPr>
        <w:t>O</w:t>
      </w:r>
      <w:r w:rsidRPr="006340F9">
        <w:rPr>
          <w:rFonts w:eastAsia="Times" w:cs="Arial"/>
          <w:sz w:val="22"/>
          <w:szCs w:val="22"/>
        </w:rPr>
        <w:t xml:space="preserve">ption A or </w:t>
      </w:r>
      <w:r w:rsidR="00BA0997" w:rsidRPr="006340F9">
        <w:rPr>
          <w:rFonts w:eastAsia="Times" w:cs="Arial"/>
          <w:sz w:val="22"/>
          <w:szCs w:val="22"/>
        </w:rPr>
        <w:t xml:space="preserve">Option </w:t>
      </w:r>
      <w:r w:rsidRPr="006340F9">
        <w:rPr>
          <w:rFonts w:eastAsia="Times" w:cs="Arial"/>
          <w:sz w:val="22"/>
          <w:szCs w:val="22"/>
        </w:rPr>
        <w:t xml:space="preserve">C. Further, the ART sector is a small part of the health care overall. Whether the sector justifies the ongoing investment in a standalone accreditation body when those functions could, most likely, be provided more effectively and efficiently by the Commission is questionable. We also believe that a small, independent accreditation agency would be less able than the Commission to maintain contemporary accreditation standards and practices over time. That said, a dedicated ART accreditation agency, whether </w:t>
      </w:r>
      <w:r w:rsidR="00BA0997" w:rsidRPr="006340F9">
        <w:rPr>
          <w:rFonts w:eastAsia="Times" w:cs="Arial"/>
          <w:sz w:val="22"/>
          <w:szCs w:val="22"/>
        </w:rPr>
        <w:t>O</w:t>
      </w:r>
      <w:r w:rsidRPr="006340F9">
        <w:rPr>
          <w:rFonts w:eastAsia="Times" w:cs="Arial"/>
          <w:sz w:val="22"/>
          <w:szCs w:val="22"/>
        </w:rPr>
        <w:t xml:space="preserve">ption B or C, </w:t>
      </w:r>
      <w:r w:rsidRPr="006340F9">
        <w:rPr>
          <w:rFonts w:cs="Arial"/>
          <w:bCs/>
          <w:color w:val="000000" w:themeColor="text1"/>
          <w:kern w:val="24"/>
          <w:sz w:val="22"/>
          <w:szCs w:val="22"/>
          <w:lang w:eastAsia="en-AU"/>
        </w:rPr>
        <w:t>may be more responsive to emerging technologies or service models, than a larger entity such as the Commission.</w:t>
      </w:r>
    </w:p>
    <w:p w14:paraId="714AF545" w14:textId="0F9BA9E7" w:rsidR="00027849" w:rsidRPr="006340F9" w:rsidRDefault="00027849" w:rsidP="00027849">
      <w:pPr>
        <w:jc w:val="both"/>
        <w:rPr>
          <w:rFonts w:eastAsia="Times"/>
          <w:sz w:val="22"/>
          <w:szCs w:val="22"/>
        </w:rPr>
      </w:pPr>
      <w:r w:rsidRPr="006340F9">
        <w:rPr>
          <w:rFonts w:eastAsia="Times"/>
          <w:sz w:val="22"/>
          <w:szCs w:val="22"/>
          <w:lang w:eastAsia="en-AU"/>
        </w:rPr>
        <w:t xml:space="preserve">Option C – reforming RTAC – is relatively straight forward to pursue. It builds on existing structures and industry knowledge. However, as outlined in chapter </w:t>
      </w:r>
      <w:r w:rsidRPr="006340F9">
        <w:rPr>
          <w:rFonts w:eastAsia="Times"/>
          <w:sz w:val="22"/>
          <w:szCs w:val="22"/>
          <w:lang w:eastAsia="en-AU"/>
        </w:rPr>
        <w:fldChar w:fldCharType="begin"/>
      </w:r>
      <w:r w:rsidRPr="006340F9">
        <w:rPr>
          <w:rFonts w:eastAsia="Times"/>
          <w:sz w:val="22"/>
          <w:szCs w:val="22"/>
          <w:lang w:eastAsia="en-AU"/>
        </w:rPr>
        <w:instrText xml:space="preserve"> REF _Ref207633508 \r \h  \* MERGEFORMAT </w:instrText>
      </w:r>
      <w:r w:rsidRPr="006340F9">
        <w:rPr>
          <w:rFonts w:eastAsia="Times"/>
          <w:sz w:val="22"/>
          <w:szCs w:val="22"/>
          <w:lang w:eastAsia="en-AU"/>
        </w:rPr>
      </w:r>
      <w:r w:rsidRPr="006340F9">
        <w:rPr>
          <w:rFonts w:eastAsia="Times"/>
          <w:sz w:val="22"/>
          <w:szCs w:val="22"/>
          <w:lang w:eastAsia="en-AU"/>
        </w:rPr>
        <w:fldChar w:fldCharType="separate"/>
      </w:r>
      <w:r w:rsidR="007D732A">
        <w:rPr>
          <w:rFonts w:eastAsia="Times"/>
          <w:sz w:val="22"/>
          <w:szCs w:val="22"/>
          <w:lang w:eastAsia="en-AU"/>
        </w:rPr>
        <w:t>3</w:t>
      </w:r>
      <w:r w:rsidRPr="006340F9">
        <w:rPr>
          <w:rFonts w:eastAsia="Times"/>
          <w:sz w:val="22"/>
          <w:szCs w:val="22"/>
          <w:lang w:eastAsia="en-AU"/>
        </w:rPr>
        <w:fldChar w:fldCharType="end"/>
      </w:r>
      <w:r w:rsidRPr="006340F9">
        <w:rPr>
          <w:rFonts w:eastAsia="Times"/>
          <w:sz w:val="22"/>
          <w:szCs w:val="22"/>
          <w:lang w:eastAsia="en-AU"/>
        </w:rPr>
        <w:t xml:space="preserve">, there is widespread concern among stakeholders about RTAC’s lack of independence from industry. Whether reform of RTAC could assuage those concerns would depend on the extent of the reform. Even with reform and establishment of new governance and a professional board, there is a risk that RTAC would still be perceived as captured by industry, and certainly more so than the Commission. This option also has the same weaknesses as </w:t>
      </w:r>
      <w:r w:rsidR="00BA0997" w:rsidRPr="006340F9">
        <w:rPr>
          <w:rFonts w:eastAsia="Times"/>
          <w:sz w:val="22"/>
          <w:szCs w:val="22"/>
          <w:lang w:eastAsia="en-AU"/>
        </w:rPr>
        <w:t>O</w:t>
      </w:r>
      <w:r w:rsidRPr="006340F9">
        <w:rPr>
          <w:rFonts w:eastAsia="Times"/>
          <w:sz w:val="22"/>
          <w:szCs w:val="22"/>
          <w:lang w:eastAsia="en-AU"/>
        </w:rPr>
        <w:t>ption B – a small, standalone accreditation entity that will be relatively expensive to run and still likely struggle to maintain contemporary standards of care and accreditation practices. However, a reformed RTAC may be more agile in responding to emerging technologies or service models than the Commission.</w:t>
      </w:r>
    </w:p>
    <w:p w14:paraId="63B05079" w14:textId="77777777" w:rsidR="00027849" w:rsidRPr="006340F9" w:rsidRDefault="00027849" w:rsidP="00027849">
      <w:pPr>
        <w:keepNext/>
        <w:keepLines/>
        <w:spacing w:before="240" w:after="80"/>
        <w:outlineLvl w:val="3"/>
        <w:rPr>
          <w:rFonts w:eastAsia="MS Mincho"/>
          <w:color w:val="7F7F7F" w:themeColor="text1" w:themeTint="80"/>
          <w:sz w:val="28"/>
          <w:szCs w:val="22"/>
        </w:rPr>
      </w:pPr>
      <w:r w:rsidRPr="006340F9">
        <w:rPr>
          <w:rFonts w:eastAsia="MS Mincho"/>
          <w:color w:val="7F7F7F" w:themeColor="text1" w:themeTint="80"/>
          <w:sz w:val="28"/>
          <w:szCs w:val="22"/>
        </w:rPr>
        <w:t>Recommendation</w:t>
      </w:r>
    </w:p>
    <w:p w14:paraId="7E0C2E42" w14:textId="0821FC18" w:rsidR="00027849" w:rsidRPr="006340F9" w:rsidRDefault="002B5E7E" w:rsidP="00027849">
      <w:pPr>
        <w:jc w:val="both"/>
        <w:rPr>
          <w:rFonts w:eastAsia="Times"/>
          <w:b/>
          <w:sz w:val="22"/>
          <w:szCs w:val="22"/>
        </w:rPr>
      </w:pPr>
      <w:r w:rsidRPr="006340F9">
        <w:rPr>
          <w:b/>
          <w:bCs/>
          <w:sz w:val="22"/>
          <w:szCs w:val="22"/>
        </w:rPr>
        <w:t>W</w:t>
      </w:r>
      <w:r w:rsidR="00027849" w:rsidRPr="006340F9">
        <w:rPr>
          <w:b/>
          <w:bCs/>
          <w:sz w:val="22"/>
          <w:szCs w:val="22"/>
        </w:rPr>
        <w:t>e</w:t>
      </w:r>
      <w:r w:rsidR="00027849" w:rsidRPr="006340F9">
        <w:rPr>
          <w:rFonts w:eastAsia="Times"/>
          <w:b/>
          <w:sz w:val="22"/>
          <w:szCs w:val="22"/>
        </w:rPr>
        <w:t xml:space="preserve"> recommend that independent accreditation be pursued through the existing national health care accreditation body, the </w:t>
      </w:r>
      <w:r w:rsidR="00DF2407" w:rsidRPr="006340F9">
        <w:rPr>
          <w:rFonts w:eastAsia="Times"/>
          <w:b/>
          <w:sz w:val="22"/>
          <w:szCs w:val="22"/>
        </w:rPr>
        <w:t xml:space="preserve">Australian </w:t>
      </w:r>
      <w:r w:rsidR="00027849" w:rsidRPr="006340F9">
        <w:rPr>
          <w:rFonts w:eastAsia="Times"/>
          <w:b/>
          <w:sz w:val="22"/>
          <w:szCs w:val="22"/>
        </w:rPr>
        <w:t xml:space="preserve">Commission </w:t>
      </w:r>
      <w:r w:rsidR="00DF2407" w:rsidRPr="006340F9">
        <w:rPr>
          <w:rFonts w:eastAsia="Times"/>
          <w:b/>
          <w:sz w:val="22"/>
          <w:szCs w:val="22"/>
        </w:rPr>
        <w:t xml:space="preserve">on Safety and Quality in Health Care </w:t>
      </w:r>
      <w:r w:rsidR="00027849" w:rsidRPr="006340F9">
        <w:rPr>
          <w:rFonts w:eastAsia="Times"/>
          <w:b/>
          <w:bCs/>
          <w:sz w:val="22"/>
          <w:szCs w:val="22"/>
        </w:rPr>
        <w:t>(</w:t>
      </w:r>
      <w:r w:rsidR="007F2BBC" w:rsidRPr="006340F9">
        <w:rPr>
          <w:rFonts w:eastAsia="Times"/>
          <w:b/>
          <w:bCs/>
          <w:sz w:val="22"/>
          <w:szCs w:val="22"/>
        </w:rPr>
        <w:t>O</w:t>
      </w:r>
      <w:r w:rsidR="00027849" w:rsidRPr="006340F9">
        <w:rPr>
          <w:rFonts w:eastAsia="Times"/>
          <w:b/>
          <w:sz w:val="22"/>
          <w:szCs w:val="22"/>
        </w:rPr>
        <w:t>ption A).</w:t>
      </w:r>
    </w:p>
    <w:p w14:paraId="00285365" w14:textId="0DC6E6A0" w:rsidR="002B5E7E" w:rsidRPr="006340F9" w:rsidRDefault="007F2BBC" w:rsidP="00027849">
      <w:pPr>
        <w:jc w:val="both"/>
        <w:rPr>
          <w:rFonts w:eastAsia="Times"/>
          <w:sz w:val="22"/>
          <w:szCs w:val="22"/>
        </w:rPr>
      </w:pPr>
      <w:r w:rsidRPr="006340F9">
        <w:rPr>
          <w:rFonts w:eastAsia="Times"/>
          <w:sz w:val="22"/>
          <w:szCs w:val="22"/>
        </w:rPr>
        <w:t xml:space="preserve">This recommendation reflects consideration of </w:t>
      </w:r>
      <w:r w:rsidR="002B5E7E" w:rsidRPr="006340F9">
        <w:rPr>
          <w:rFonts w:eastAsia="Times"/>
          <w:sz w:val="22"/>
          <w:szCs w:val="22"/>
        </w:rPr>
        <w:t>both the feasibility of implementation and the need for independence from industry</w:t>
      </w:r>
      <w:r w:rsidRPr="006340F9">
        <w:rPr>
          <w:rFonts w:eastAsia="Times"/>
          <w:sz w:val="22"/>
          <w:szCs w:val="22"/>
        </w:rPr>
        <w:t>.</w:t>
      </w:r>
    </w:p>
    <w:tbl>
      <w:tblPr>
        <w:tblStyle w:val="TableGrid"/>
        <w:tblW w:w="0" w:type="auto"/>
        <w:tblLook w:val="04A0" w:firstRow="1" w:lastRow="0" w:firstColumn="1" w:lastColumn="0" w:noHBand="0" w:noVBand="1"/>
      </w:tblPr>
      <w:tblGrid>
        <w:gridCol w:w="9288"/>
      </w:tblGrid>
      <w:tr w:rsidR="00027849" w:rsidRPr="006340F9" w14:paraId="6BEAB399" w14:textId="77777777">
        <w:tc>
          <w:tcPr>
            <w:tcW w:w="9288" w:type="dxa"/>
            <w:shd w:val="clear" w:color="auto" w:fill="C6D9F1" w:themeFill="text2" w:themeFillTint="33"/>
          </w:tcPr>
          <w:p w14:paraId="3457A74B" w14:textId="77777777" w:rsidR="00027849" w:rsidRPr="006340F9" w:rsidRDefault="00027849" w:rsidP="00027849">
            <w:pPr>
              <w:jc w:val="both"/>
              <w:rPr>
                <w:rFonts w:eastAsia="Times" w:cs="Arial"/>
                <w:sz w:val="22"/>
                <w:szCs w:val="22"/>
              </w:rPr>
            </w:pPr>
            <w:r w:rsidRPr="006340F9">
              <w:rPr>
                <w:rFonts w:eastAsia="Times" w:cs="Arial"/>
                <w:b/>
                <w:sz w:val="22"/>
                <w:szCs w:val="22"/>
              </w:rPr>
              <w:t>The Commission</w:t>
            </w:r>
            <w:r w:rsidRPr="006340F9">
              <w:rPr>
                <w:rFonts w:eastAsia="Times" w:cs="Arial"/>
                <w:b/>
                <w:bCs/>
                <w:sz w:val="22"/>
                <w:szCs w:val="22"/>
              </w:rPr>
              <w:t xml:space="preserve"> takes a continuous improvement approach to accreditation </w:t>
            </w:r>
          </w:p>
          <w:p w14:paraId="21B9B1E7" w14:textId="4654A698" w:rsidR="00027849" w:rsidRPr="006340F9" w:rsidRDefault="00027849" w:rsidP="00027849">
            <w:pPr>
              <w:jc w:val="both"/>
              <w:rPr>
                <w:rFonts w:eastAsia="Times" w:cs="Arial"/>
                <w:sz w:val="22"/>
                <w:szCs w:val="22"/>
              </w:rPr>
            </w:pPr>
            <w:r w:rsidRPr="006340F9">
              <w:rPr>
                <w:rFonts w:eastAsia="Times" w:cs="Arial"/>
                <w:sz w:val="22"/>
                <w:szCs w:val="22"/>
              </w:rPr>
              <w:t xml:space="preserve">As outlined in chapter </w:t>
            </w:r>
            <w:r w:rsidRPr="006340F9">
              <w:rPr>
                <w:rFonts w:eastAsia="Times" w:cs="Arial"/>
                <w:sz w:val="22"/>
                <w:szCs w:val="22"/>
              </w:rPr>
              <w:fldChar w:fldCharType="begin"/>
            </w:r>
            <w:r w:rsidRPr="006340F9">
              <w:rPr>
                <w:rFonts w:eastAsia="Times" w:cs="Arial"/>
                <w:sz w:val="22"/>
                <w:szCs w:val="22"/>
              </w:rPr>
              <w:instrText xml:space="preserve"> REF _Ref207633520 \r \h  \* MERGEFORMAT </w:instrText>
            </w:r>
            <w:r w:rsidRPr="006340F9">
              <w:rPr>
                <w:rFonts w:eastAsia="Times" w:cs="Arial"/>
                <w:sz w:val="22"/>
                <w:szCs w:val="22"/>
              </w:rPr>
            </w:r>
            <w:r w:rsidRPr="006340F9">
              <w:rPr>
                <w:rFonts w:eastAsia="Times" w:cs="Arial"/>
                <w:sz w:val="22"/>
                <w:szCs w:val="22"/>
              </w:rPr>
              <w:fldChar w:fldCharType="separate"/>
            </w:r>
            <w:r w:rsidR="007D732A">
              <w:rPr>
                <w:rFonts w:eastAsia="Times" w:cs="Arial"/>
                <w:sz w:val="22"/>
                <w:szCs w:val="22"/>
              </w:rPr>
              <w:t>2</w:t>
            </w:r>
            <w:r w:rsidRPr="006340F9">
              <w:rPr>
                <w:rFonts w:eastAsia="Times" w:cs="Arial"/>
                <w:sz w:val="22"/>
                <w:szCs w:val="22"/>
              </w:rPr>
              <w:fldChar w:fldCharType="end"/>
            </w:r>
            <w:r w:rsidRPr="006340F9">
              <w:rPr>
                <w:rFonts w:eastAsia="Times" w:cs="Arial"/>
                <w:sz w:val="22"/>
                <w:szCs w:val="22"/>
              </w:rPr>
              <w:t>, the Commission is responsible for overseeing the accreditation of health services and hospitals, underpinned by the NSQHS standards. The Commission is responsible for designing and administering national accreditation schemes for healthcare services that relate to healthcare safety and quality matters. This involves developing standards of care; designing the accreditation scheme; providing oversight of the accreditation process through the approval and performance management of accrediting agencies; ensuring consistent, high-quality assessments across accrediting agencies; and evaluating the effectiveness of accreditation schemes using assessment outcome data.</w:t>
            </w:r>
            <w:r w:rsidRPr="006340F9">
              <w:rPr>
                <w:rFonts w:eastAsia="Times" w:cs="Arial"/>
                <w:sz w:val="22"/>
                <w:szCs w:val="22"/>
                <w:vertAlign w:val="superscript"/>
              </w:rPr>
              <w:footnoteReference w:id="193"/>
            </w:r>
          </w:p>
        </w:tc>
      </w:tr>
    </w:tbl>
    <w:p w14:paraId="562D8A4E" w14:textId="40B4306F" w:rsidR="00027849" w:rsidRPr="006340F9" w:rsidRDefault="00027849" w:rsidP="001C4DDE">
      <w:pPr>
        <w:pStyle w:val="Heading3"/>
        <w:rPr>
          <w:bCs w:val="0"/>
        </w:rPr>
      </w:pPr>
      <w:r w:rsidRPr="006340F9">
        <w:lastRenderedPageBreak/>
        <w:t>Reform opportunity 2:</w:t>
      </w:r>
      <w:r w:rsidR="003C5EDD" w:rsidRPr="006340F9">
        <w:t xml:space="preserve"> </w:t>
      </w:r>
      <w:r w:rsidR="00E51430" w:rsidRPr="006340F9">
        <w:t>Developing and implementing m</w:t>
      </w:r>
      <w:r w:rsidRPr="006340F9">
        <w:rPr>
          <w:bCs w:val="0"/>
        </w:rPr>
        <w:t>ore comprehensive national quality and safety standards for ART practice</w:t>
      </w:r>
    </w:p>
    <w:p w14:paraId="2C1FC4D4" w14:textId="5F7F9EC8" w:rsidR="00027849" w:rsidRPr="006340F9" w:rsidRDefault="00027849" w:rsidP="00027849">
      <w:pPr>
        <w:jc w:val="both"/>
        <w:rPr>
          <w:rFonts w:eastAsia="Times" w:cs="Arial"/>
          <w:sz w:val="22"/>
          <w:szCs w:val="22"/>
        </w:rPr>
      </w:pPr>
      <w:r w:rsidRPr="006340F9">
        <w:rPr>
          <w:rFonts w:eastAsia="Times" w:cs="Arial"/>
          <w:sz w:val="22"/>
          <w:szCs w:val="22"/>
        </w:rPr>
        <w:t>Irrespective of the accreditation agency itself, there is a need for a revised set of quality and safety standards in ART practice. Specifically, standards that would more effectively set minimum expected standards of care against which care can be audited. There is a need to set standards that are clear, directive, evidence-informed and readily understood by providers, auditors, regulators, and consumers. Such standards would better support a strengthened and independent accreditation process, more effective continuous improvement by ART providers, and consumer protection.</w:t>
      </w:r>
    </w:p>
    <w:p w14:paraId="59CEC178" w14:textId="77777777" w:rsidR="00027849" w:rsidRPr="006340F9" w:rsidRDefault="00027849" w:rsidP="00027849">
      <w:pPr>
        <w:jc w:val="both"/>
        <w:rPr>
          <w:rFonts w:eastAsia="Times" w:cs="Arial"/>
          <w:sz w:val="22"/>
          <w:szCs w:val="22"/>
        </w:rPr>
      </w:pPr>
      <w:r w:rsidRPr="006340F9">
        <w:rPr>
          <w:rFonts w:eastAsia="Times" w:cs="Arial"/>
          <w:sz w:val="22"/>
          <w:szCs w:val="22"/>
        </w:rPr>
        <w:t xml:space="preserve">We identified four complementary options to strengthen and enhance the current national standards for ART practice: </w:t>
      </w:r>
    </w:p>
    <w:p w14:paraId="6BE10B3B" w14:textId="77777777" w:rsidR="00027849" w:rsidRPr="006340F9" w:rsidRDefault="00027849" w:rsidP="00027849">
      <w:pPr>
        <w:jc w:val="both"/>
        <w:rPr>
          <w:rFonts w:eastAsia="Times"/>
          <w:b/>
          <w:sz w:val="22"/>
          <w:szCs w:val="22"/>
          <w:lang w:eastAsia="en-AU"/>
        </w:rPr>
      </w:pPr>
      <w:r w:rsidRPr="006340F9">
        <w:rPr>
          <w:rFonts w:eastAsia="Times"/>
          <w:b/>
          <w:sz w:val="22"/>
          <w:szCs w:val="22"/>
          <w:lang w:eastAsia="en-AU"/>
        </w:rPr>
        <w:t>Option A: Update Code of Practice with uniform minimum standards.</w:t>
      </w:r>
    </w:p>
    <w:p w14:paraId="3378D331" w14:textId="77777777" w:rsidR="00027849" w:rsidRPr="006340F9" w:rsidRDefault="00027849" w:rsidP="00027849">
      <w:pPr>
        <w:jc w:val="both"/>
        <w:rPr>
          <w:rFonts w:eastAsia="Times"/>
          <w:b/>
          <w:sz w:val="22"/>
          <w:szCs w:val="22"/>
          <w:lang w:eastAsia="en-AU"/>
        </w:rPr>
      </w:pPr>
      <w:r w:rsidRPr="006340F9">
        <w:rPr>
          <w:rFonts w:eastAsia="Times"/>
          <w:sz w:val="22"/>
          <w:szCs w:val="22"/>
          <w:lang w:eastAsia="en-AU"/>
        </w:rPr>
        <w:t>Ensure standards are clear and prescriptive across all areas, including details on identification and traceability, informed consent, partnering with consumers, and adverse event reporting requirements.</w:t>
      </w:r>
    </w:p>
    <w:p w14:paraId="3D4AC2E9" w14:textId="77777777" w:rsidR="00027849" w:rsidRPr="006340F9" w:rsidRDefault="00027849" w:rsidP="00027849">
      <w:pPr>
        <w:jc w:val="both"/>
        <w:rPr>
          <w:rFonts w:eastAsia="Times"/>
          <w:b/>
          <w:sz w:val="22"/>
          <w:szCs w:val="22"/>
          <w:lang w:eastAsia="en-AU"/>
        </w:rPr>
      </w:pPr>
      <w:r w:rsidRPr="006340F9">
        <w:rPr>
          <w:rFonts w:eastAsia="Times"/>
          <w:b/>
          <w:sz w:val="22"/>
          <w:szCs w:val="22"/>
          <w:lang w:eastAsia="en-AU"/>
        </w:rPr>
        <w:t>Option B: Update the Code of Practice to include performance monitoring metrics.</w:t>
      </w:r>
    </w:p>
    <w:p w14:paraId="782442C0" w14:textId="77777777" w:rsidR="00027849" w:rsidRPr="006340F9" w:rsidRDefault="00027849" w:rsidP="00027849">
      <w:pPr>
        <w:jc w:val="both"/>
        <w:rPr>
          <w:rFonts w:eastAsia="Times"/>
          <w:sz w:val="22"/>
          <w:szCs w:val="22"/>
          <w:lang w:eastAsia="en-AU"/>
        </w:rPr>
      </w:pPr>
      <w:r w:rsidRPr="006340F9">
        <w:rPr>
          <w:rFonts w:eastAsia="Times"/>
          <w:sz w:val="22"/>
          <w:szCs w:val="22"/>
          <w:lang w:eastAsia="en-AU"/>
        </w:rPr>
        <w:t xml:space="preserve">Include key metrics to track ART unit performance and outline associate data reporting criteria. For example, metrics could include ‘exceeds expectations’, ‘meets expectations’ and ‘does not meet </w:t>
      </w:r>
      <w:proofErr w:type="gramStart"/>
      <w:r w:rsidRPr="006340F9">
        <w:rPr>
          <w:rFonts w:eastAsia="Times"/>
          <w:sz w:val="22"/>
          <w:szCs w:val="22"/>
          <w:lang w:eastAsia="en-AU"/>
        </w:rPr>
        <w:t>expectations’</w:t>
      </w:r>
      <w:proofErr w:type="gramEnd"/>
      <w:r w:rsidRPr="006340F9">
        <w:rPr>
          <w:rFonts w:eastAsia="Times"/>
          <w:sz w:val="22"/>
          <w:szCs w:val="22"/>
          <w:lang w:eastAsia="en-AU"/>
        </w:rPr>
        <w:t xml:space="preserve">. </w:t>
      </w:r>
    </w:p>
    <w:p w14:paraId="2221C559" w14:textId="77777777" w:rsidR="00027849" w:rsidRPr="006340F9" w:rsidRDefault="00027849" w:rsidP="00027849">
      <w:pPr>
        <w:jc w:val="both"/>
        <w:rPr>
          <w:rFonts w:eastAsia="Times"/>
          <w:b/>
          <w:sz w:val="22"/>
          <w:szCs w:val="22"/>
          <w:lang w:eastAsia="en-AU"/>
        </w:rPr>
      </w:pPr>
      <w:r w:rsidRPr="006340F9">
        <w:rPr>
          <w:rFonts w:eastAsia="Times"/>
          <w:b/>
          <w:sz w:val="22"/>
          <w:szCs w:val="22"/>
          <w:lang w:eastAsia="en-AU"/>
        </w:rPr>
        <w:t>Option C: Refresh the Code of Practice to align with NSQHS Standards.</w:t>
      </w:r>
    </w:p>
    <w:p w14:paraId="049CBC14" w14:textId="77777777" w:rsidR="00027849" w:rsidRPr="006340F9" w:rsidRDefault="00027849" w:rsidP="00027849">
      <w:pPr>
        <w:jc w:val="both"/>
        <w:rPr>
          <w:rFonts w:eastAsia="Times"/>
          <w:b/>
          <w:sz w:val="22"/>
          <w:szCs w:val="22"/>
        </w:rPr>
      </w:pPr>
      <w:r w:rsidRPr="006340F9">
        <w:rPr>
          <w:rFonts w:eastAsia="Times"/>
          <w:sz w:val="22"/>
          <w:szCs w:val="22"/>
          <w:lang w:eastAsia="en-AU"/>
        </w:rPr>
        <w:t>Ensure the Code of Practice aligns with existing national safety and quality standards that healthcare facilities are subject to and address any identified gaps.</w:t>
      </w:r>
    </w:p>
    <w:p w14:paraId="0BE80F74" w14:textId="3DFB5438" w:rsidR="00027849" w:rsidRPr="006340F9" w:rsidRDefault="00027849" w:rsidP="00027849">
      <w:pPr>
        <w:jc w:val="both"/>
        <w:rPr>
          <w:rFonts w:eastAsia="Times"/>
          <w:b/>
          <w:sz w:val="22"/>
          <w:szCs w:val="22"/>
          <w:lang w:eastAsia="en-AU"/>
        </w:rPr>
      </w:pPr>
      <w:r w:rsidRPr="006340F9">
        <w:rPr>
          <w:rFonts w:eastAsia="Times"/>
          <w:b/>
          <w:sz w:val="22"/>
          <w:szCs w:val="22"/>
          <w:lang w:eastAsia="en-AU"/>
        </w:rPr>
        <w:t xml:space="preserve">Option D: Update Code of Practice to include </w:t>
      </w:r>
      <w:r w:rsidRPr="006340F9">
        <w:rPr>
          <w:rFonts w:eastAsia="Times"/>
          <w:b/>
          <w:sz w:val="22"/>
          <w:szCs w:val="22"/>
        </w:rPr>
        <w:t>guardrails</w:t>
      </w:r>
      <w:r w:rsidRPr="006340F9">
        <w:rPr>
          <w:rFonts w:eastAsia="Times"/>
          <w:b/>
          <w:sz w:val="22"/>
          <w:szCs w:val="22"/>
          <w:lang w:eastAsia="en-AU"/>
        </w:rPr>
        <w:t xml:space="preserve"> for </w:t>
      </w:r>
      <w:r w:rsidR="007C519D" w:rsidRPr="006340F9">
        <w:rPr>
          <w:rFonts w:eastAsia="Times"/>
          <w:b/>
          <w:sz w:val="22"/>
          <w:szCs w:val="22"/>
          <w:lang w:eastAsia="en-AU"/>
        </w:rPr>
        <w:t>adjuvant treatments</w:t>
      </w:r>
      <w:r w:rsidRPr="006340F9">
        <w:rPr>
          <w:rFonts w:eastAsia="Times"/>
          <w:b/>
          <w:sz w:val="22"/>
          <w:szCs w:val="22"/>
          <w:lang w:eastAsia="en-AU"/>
        </w:rPr>
        <w:t xml:space="preserve"> and new technology.</w:t>
      </w:r>
    </w:p>
    <w:p w14:paraId="60A593DB" w14:textId="6DDAC1F5" w:rsidR="00027849" w:rsidRPr="006340F9" w:rsidRDefault="00027849" w:rsidP="00027849">
      <w:pPr>
        <w:jc w:val="both"/>
        <w:rPr>
          <w:rFonts w:eastAsia="Times"/>
          <w:b/>
          <w:sz w:val="22"/>
          <w:szCs w:val="22"/>
          <w:lang w:eastAsia="en-AU"/>
        </w:rPr>
      </w:pPr>
      <w:r w:rsidRPr="006340F9">
        <w:rPr>
          <w:rFonts w:eastAsia="Times"/>
          <w:sz w:val="22"/>
          <w:szCs w:val="22"/>
          <w:lang w:eastAsia="en-AU"/>
        </w:rPr>
        <w:t xml:space="preserve">Introduce processes for the adoption of new interventions or technologies with the objective that it is clear to providers and consumers when </w:t>
      </w:r>
      <w:r w:rsidR="007C519D" w:rsidRPr="006340F9">
        <w:rPr>
          <w:rFonts w:eastAsia="Times"/>
          <w:sz w:val="22"/>
          <w:szCs w:val="22"/>
          <w:lang w:eastAsia="en-AU"/>
        </w:rPr>
        <w:t>adjuvant treatments</w:t>
      </w:r>
      <w:r w:rsidRPr="006340F9">
        <w:rPr>
          <w:rFonts w:eastAsia="Times"/>
          <w:sz w:val="22"/>
          <w:szCs w:val="22"/>
          <w:lang w:eastAsia="en-AU"/>
        </w:rPr>
        <w:t xml:space="preserve"> and new technology are evidence-based or when the evidence is emerging and it should be considered a clinical trial.</w:t>
      </w:r>
    </w:p>
    <w:p w14:paraId="4B2613AC" w14:textId="77777777" w:rsidR="00027849" w:rsidRPr="006340F9" w:rsidRDefault="00027849" w:rsidP="00027849">
      <w:pPr>
        <w:keepNext/>
        <w:keepLines/>
        <w:spacing w:before="240" w:after="80"/>
        <w:outlineLvl w:val="3"/>
        <w:rPr>
          <w:rFonts w:eastAsia="MS Mincho"/>
          <w:color w:val="7F7F7F" w:themeColor="text1" w:themeTint="80"/>
          <w:sz w:val="28"/>
          <w:szCs w:val="22"/>
        </w:rPr>
      </w:pPr>
      <w:r w:rsidRPr="006340F9">
        <w:rPr>
          <w:rFonts w:eastAsia="MS Mincho"/>
          <w:color w:val="7F7F7F" w:themeColor="text1" w:themeTint="80"/>
          <w:sz w:val="28"/>
          <w:szCs w:val="22"/>
          <w:lang w:eastAsia="en-AU"/>
        </w:rPr>
        <w:t xml:space="preserve">Option </w:t>
      </w:r>
      <w:r w:rsidRPr="006340F9">
        <w:rPr>
          <w:rFonts w:eastAsia="MS Mincho"/>
          <w:color w:val="7F7F7F" w:themeColor="text1" w:themeTint="80"/>
          <w:sz w:val="28"/>
          <w:szCs w:val="22"/>
        </w:rPr>
        <w:t>consideration</w:t>
      </w:r>
    </w:p>
    <w:p w14:paraId="0ECD8288" w14:textId="77777777" w:rsidR="00027849" w:rsidRPr="006340F9" w:rsidRDefault="00027849" w:rsidP="00027849">
      <w:pPr>
        <w:jc w:val="both"/>
        <w:rPr>
          <w:rFonts w:cs="Arial"/>
          <w:bCs/>
          <w:color w:val="000000" w:themeColor="text1"/>
          <w:kern w:val="24"/>
          <w:sz w:val="22"/>
          <w:szCs w:val="22"/>
          <w:lang w:eastAsia="en-AU"/>
        </w:rPr>
      </w:pPr>
      <w:r w:rsidRPr="006340F9">
        <w:rPr>
          <w:rFonts w:cs="Arial"/>
          <w:bCs/>
          <w:color w:val="000000" w:themeColor="text1"/>
          <w:kern w:val="24"/>
          <w:sz w:val="22"/>
          <w:szCs w:val="22"/>
          <w:lang w:eastAsia="en-AU"/>
        </w:rPr>
        <w:t xml:space="preserve">An improved Code of Practice would increase transparency and consistency across the ART sector and set a baseline for quality and safety. It allows for </w:t>
      </w:r>
      <w:r w:rsidRPr="006340F9">
        <w:rPr>
          <w:rFonts w:cs="Arial"/>
          <w:color w:val="000000" w:themeColor="text1"/>
          <w:kern w:val="24"/>
          <w:sz w:val="22"/>
          <w:szCs w:val="22"/>
          <w:lang w:eastAsia="en-AU"/>
        </w:rPr>
        <w:t>private market innovation and acknowledges varying levels of</w:t>
      </w:r>
      <w:r w:rsidRPr="006340F9" w:rsidDel="004C405B">
        <w:rPr>
          <w:rFonts w:cs="Arial"/>
          <w:color w:val="000000" w:themeColor="text1"/>
          <w:kern w:val="24"/>
          <w:sz w:val="22"/>
          <w:szCs w:val="22"/>
          <w:lang w:eastAsia="en-AU"/>
        </w:rPr>
        <w:t xml:space="preserve"> </w:t>
      </w:r>
      <w:r w:rsidRPr="006340F9">
        <w:rPr>
          <w:rFonts w:cs="Arial"/>
          <w:color w:val="000000" w:themeColor="text1"/>
          <w:kern w:val="24"/>
          <w:sz w:val="22"/>
          <w:szCs w:val="22"/>
          <w:lang w:eastAsia="en-AU"/>
        </w:rPr>
        <w:t xml:space="preserve">provider maturity by setting minimum required standards and encouraging providers to perform above the baseline. </w:t>
      </w:r>
      <w:r w:rsidRPr="006340F9">
        <w:rPr>
          <w:rFonts w:cs="Arial"/>
          <w:bCs/>
          <w:color w:val="000000" w:themeColor="text1"/>
          <w:kern w:val="24"/>
          <w:sz w:val="22"/>
          <w:szCs w:val="22"/>
          <w:lang w:eastAsia="en-AU"/>
        </w:rPr>
        <w:t xml:space="preserve">Clearer, minimum standards would better enable the other reforms outlined in this </w:t>
      </w:r>
      <w:r w:rsidRPr="006340F9">
        <w:rPr>
          <w:rFonts w:cs="Arial"/>
          <w:color w:val="000000" w:themeColor="text1"/>
          <w:kern w:val="24"/>
          <w:sz w:val="22"/>
          <w:szCs w:val="22"/>
          <w:lang w:eastAsia="en-AU"/>
        </w:rPr>
        <w:t>chapter</w:t>
      </w:r>
      <w:r w:rsidRPr="006340F9">
        <w:rPr>
          <w:rFonts w:cs="Arial"/>
          <w:bCs/>
          <w:color w:val="000000" w:themeColor="text1"/>
          <w:kern w:val="24"/>
          <w:sz w:val="22"/>
          <w:szCs w:val="22"/>
          <w:lang w:eastAsia="en-AU"/>
        </w:rPr>
        <w:t xml:space="preserve">, such as performance monitoring, complaints handling, data transparency and more effective performance benchmarking. </w:t>
      </w:r>
    </w:p>
    <w:p w14:paraId="7D155519" w14:textId="77777777" w:rsidR="00027849" w:rsidRPr="006340F9" w:rsidRDefault="00027849" w:rsidP="00027849">
      <w:pPr>
        <w:jc w:val="both"/>
        <w:rPr>
          <w:rFonts w:cs="Arial"/>
          <w:bCs/>
          <w:color w:val="365F91" w:themeColor="accent1" w:themeShade="BF"/>
          <w:kern w:val="24"/>
          <w:sz w:val="22"/>
          <w:szCs w:val="22"/>
          <w:lang w:eastAsia="en-AU"/>
        </w:rPr>
      </w:pPr>
      <w:r w:rsidRPr="006340F9">
        <w:rPr>
          <w:rFonts w:cs="Arial"/>
          <w:bCs/>
          <w:color w:val="000000" w:themeColor="text1"/>
          <w:kern w:val="24"/>
          <w:sz w:val="22"/>
          <w:szCs w:val="22"/>
          <w:lang w:eastAsia="en-AU"/>
        </w:rPr>
        <w:t>Implementation of these options will require resources for careful design, including stakeholder engagement, and expertise in the development of effective quality and safety standards. There is a risk that more detailed standards will increase costs of compliance burden. However, stakeholders, including ART providers and RTAC, recognised the need for improved standards and were supportive of a suite of minimum standards of care. Consumer and industry consultation would be important to inform the development of an updated Code of Practice</w:t>
      </w:r>
      <w:r w:rsidRPr="006340F9">
        <w:rPr>
          <w:rFonts w:cs="Arial"/>
          <w:bCs/>
          <w:color w:val="365F91" w:themeColor="accent1" w:themeShade="BF"/>
          <w:kern w:val="24"/>
          <w:sz w:val="22"/>
          <w:szCs w:val="22"/>
          <w:lang w:eastAsia="en-AU"/>
        </w:rPr>
        <w:t>.</w:t>
      </w:r>
    </w:p>
    <w:p w14:paraId="366E9B0A" w14:textId="77777777" w:rsidR="00027849" w:rsidRPr="006340F9" w:rsidRDefault="00027849" w:rsidP="00027849">
      <w:pPr>
        <w:keepNext/>
        <w:keepLines/>
        <w:spacing w:before="240" w:after="80"/>
        <w:outlineLvl w:val="3"/>
        <w:rPr>
          <w:rFonts w:eastAsia="MS Mincho"/>
          <w:color w:val="7F7F7F" w:themeColor="text1" w:themeTint="80"/>
          <w:sz w:val="28"/>
          <w:szCs w:val="22"/>
          <w:lang w:eastAsia="en-AU"/>
        </w:rPr>
      </w:pPr>
      <w:r w:rsidRPr="006340F9">
        <w:rPr>
          <w:rFonts w:eastAsia="MS Mincho"/>
          <w:color w:val="7F7F7F" w:themeColor="text1" w:themeTint="80"/>
          <w:sz w:val="28"/>
          <w:szCs w:val="22"/>
        </w:rPr>
        <w:lastRenderedPageBreak/>
        <w:t>Recommendation</w:t>
      </w:r>
    </w:p>
    <w:p w14:paraId="0AA86EB3" w14:textId="6C1B2612" w:rsidR="004E52E2" w:rsidRPr="006340F9" w:rsidRDefault="00027849" w:rsidP="00027849">
      <w:pPr>
        <w:jc w:val="both"/>
        <w:rPr>
          <w:rFonts w:cs="Arial"/>
          <w:b/>
          <w:color w:val="000000" w:themeColor="text1"/>
          <w:kern w:val="24"/>
          <w:sz w:val="22"/>
          <w:szCs w:val="22"/>
          <w:lang w:eastAsia="en-AU"/>
        </w:rPr>
      </w:pPr>
      <w:r w:rsidRPr="006340F9">
        <w:rPr>
          <w:rFonts w:cs="Arial"/>
          <w:b/>
          <w:color w:val="000000" w:themeColor="text1"/>
          <w:kern w:val="24"/>
          <w:sz w:val="22"/>
          <w:szCs w:val="22"/>
          <w:lang w:eastAsia="en-AU"/>
        </w:rPr>
        <w:t xml:space="preserve">We recommend that </w:t>
      </w:r>
      <w:r w:rsidR="0056692B" w:rsidRPr="006340F9">
        <w:rPr>
          <w:rFonts w:cs="Arial"/>
          <w:b/>
          <w:color w:val="000000" w:themeColor="text1"/>
          <w:kern w:val="24"/>
          <w:sz w:val="22"/>
          <w:szCs w:val="22"/>
          <w:lang w:eastAsia="en-AU"/>
        </w:rPr>
        <w:t xml:space="preserve">an updated Code of Practice or </w:t>
      </w:r>
      <w:r w:rsidR="2EE0E573" w:rsidRPr="006340F9">
        <w:rPr>
          <w:rFonts w:cs="Arial"/>
          <w:b/>
          <w:bCs/>
          <w:color w:val="000000" w:themeColor="text1"/>
          <w:kern w:val="24"/>
          <w:sz w:val="22"/>
          <w:szCs w:val="22"/>
          <w:lang w:eastAsia="en-AU"/>
        </w:rPr>
        <w:t xml:space="preserve">a </w:t>
      </w:r>
      <w:r w:rsidR="0056692B" w:rsidRPr="006340F9">
        <w:rPr>
          <w:rFonts w:cs="Arial"/>
          <w:b/>
          <w:color w:val="000000" w:themeColor="text1"/>
          <w:kern w:val="24"/>
          <w:sz w:val="22"/>
          <w:szCs w:val="22"/>
          <w:lang w:eastAsia="en-AU"/>
        </w:rPr>
        <w:t>suite of new ART standards be developed a</w:t>
      </w:r>
      <w:r w:rsidR="002042BD" w:rsidRPr="006340F9">
        <w:rPr>
          <w:rFonts w:cs="Arial"/>
          <w:b/>
          <w:color w:val="000000" w:themeColor="text1"/>
          <w:kern w:val="24"/>
          <w:sz w:val="22"/>
          <w:szCs w:val="22"/>
          <w:lang w:eastAsia="en-AU"/>
        </w:rPr>
        <w:t xml:space="preserve">ligned with the NSQHS Standards and </w:t>
      </w:r>
      <w:r w:rsidR="0056692B" w:rsidRPr="006340F9">
        <w:rPr>
          <w:rFonts w:cs="Arial"/>
          <w:b/>
          <w:bCs/>
          <w:color w:val="000000" w:themeColor="text1"/>
          <w:kern w:val="24"/>
          <w:sz w:val="22"/>
          <w:szCs w:val="22"/>
          <w:lang w:eastAsia="en-AU"/>
        </w:rPr>
        <w:t>includ</w:t>
      </w:r>
      <w:r w:rsidR="7EF963FC" w:rsidRPr="006340F9">
        <w:rPr>
          <w:rFonts w:cs="Arial"/>
          <w:b/>
          <w:bCs/>
          <w:color w:val="000000" w:themeColor="text1"/>
          <w:kern w:val="24"/>
          <w:sz w:val="22"/>
          <w:szCs w:val="22"/>
          <w:lang w:eastAsia="en-AU"/>
        </w:rPr>
        <w:t>ing</w:t>
      </w:r>
      <w:r w:rsidR="004E52E2" w:rsidRPr="006340F9">
        <w:rPr>
          <w:rFonts w:cs="Arial"/>
          <w:b/>
          <w:color w:val="000000" w:themeColor="text1"/>
          <w:kern w:val="24"/>
          <w:sz w:val="22"/>
          <w:szCs w:val="22"/>
          <w:lang w:eastAsia="en-AU"/>
        </w:rPr>
        <w:t xml:space="preserve"> uniform minimum standards, performance monitoring metrics</w:t>
      </w:r>
      <w:r w:rsidR="19D009BB" w:rsidRPr="006340F9">
        <w:rPr>
          <w:rFonts w:cs="Arial"/>
          <w:b/>
          <w:bCs/>
          <w:color w:val="000000" w:themeColor="text1"/>
          <w:kern w:val="24"/>
          <w:sz w:val="22"/>
          <w:szCs w:val="22"/>
          <w:lang w:eastAsia="en-AU"/>
        </w:rPr>
        <w:t>,</w:t>
      </w:r>
      <w:r w:rsidR="002042BD" w:rsidRPr="006340F9">
        <w:rPr>
          <w:rFonts w:cs="Arial"/>
          <w:b/>
          <w:color w:val="000000" w:themeColor="text1"/>
          <w:kern w:val="24"/>
          <w:sz w:val="22"/>
          <w:szCs w:val="22"/>
          <w:lang w:eastAsia="en-AU"/>
        </w:rPr>
        <w:t xml:space="preserve"> and guardrails for </w:t>
      </w:r>
      <w:r w:rsidR="005A465F" w:rsidRPr="006340F9">
        <w:rPr>
          <w:rFonts w:cs="Arial"/>
          <w:b/>
          <w:color w:val="000000" w:themeColor="text1"/>
          <w:kern w:val="24"/>
          <w:sz w:val="22"/>
          <w:szCs w:val="22"/>
          <w:lang w:eastAsia="en-AU"/>
        </w:rPr>
        <w:t>adjuvant treatments</w:t>
      </w:r>
      <w:r w:rsidR="002042BD" w:rsidRPr="006340F9">
        <w:rPr>
          <w:rFonts w:cs="Arial"/>
          <w:b/>
          <w:color w:val="000000" w:themeColor="text1"/>
          <w:kern w:val="24"/>
          <w:sz w:val="22"/>
          <w:szCs w:val="22"/>
          <w:lang w:eastAsia="en-AU"/>
        </w:rPr>
        <w:t xml:space="preserve"> and new technology</w:t>
      </w:r>
      <w:r w:rsidR="007071E9" w:rsidRPr="006340F9">
        <w:rPr>
          <w:rFonts w:cs="Arial"/>
          <w:b/>
          <w:color w:val="000000" w:themeColor="text1"/>
          <w:kern w:val="24"/>
          <w:sz w:val="22"/>
          <w:szCs w:val="22"/>
          <w:lang w:eastAsia="en-AU"/>
        </w:rPr>
        <w:t xml:space="preserve"> (Options A, B, C and D)</w:t>
      </w:r>
      <w:r w:rsidR="002042BD" w:rsidRPr="006340F9">
        <w:rPr>
          <w:rFonts w:cs="Arial"/>
          <w:b/>
          <w:color w:val="000000" w:themeColor="text1"/>
          <w:kern w:val="24"/>
          <w:sz w:val="22"/>
          <w:szCs w:val="22"/>
          <w:lang w:eastAsia="en-AU"/>
        </w:rPr>
        <w:t>.</w:t>
      </w:r>
    </w:p>
    <w:p w14:paraId="4C3EAB52" w14:textId="4D292F70" w:rsidR="00027849" w:rsidRPr="006340F9" w:rsidRDefault="0026044D" w:rsidP="00027849">
      <w:pPr>
        <w:jc w:val="both"/>
        <w:rPr>
          <w:rFonts w:cs="Arial"/>
          <w:bCs/>
          <w:color w:val="000000" w:themeColor="text1"/>
          <w:kern w:val="24"/>
          <w:sz w:val="22"/>
          <w:szCs w:val="22"/>
          <w:lang w:eastAsia="en-AU"/>
        </w:rPr>
      </w:pPr>
      <w:r w:rsidRPr="006340F9">
        <w:rPr>
          <w:rFonts w:cs="Arial"/>
          <w:bCs/>
          <w:color w:val="000000" w:themeColor="text1"/>
          <w:kern w:val="24"/>
          <w:sz w:val="22"/>
          <w:szCs w:val="22"/>
          <w:lang w:eastAsia="en-AU"/>
        </w:rPr>
        <w:t xml:space="preserve">While </w:t>
      </w:r>
      <w:proofErr w:type="gramStart"/>
      <w:r w:rsidR="00027849" w:rsidRPr="006340F9">
        <w:rPr>
          <w:rFonts w:cs="Arial"/>
          <w:bCs/>
          <w:color w:val="000000" w:themeColor="text1"/>
          <w:kern w:val="24"/>
          <w:sz w:val="22"/>
          <w:szCs w:val="22"/>
          <w:lang w:eastAsia="en-AU"/>
        </w:rPr>
        <w:t>all of</w:t>
      </w:r>
      <w:proofErr w:type="gramEnd"/>
      <w:r w:rsidR="00027849" w:rsidRPr="006340F9">
        <w:rPr>
          <w:rFonts w:cs="Arial"/>
          <w:bCs/>
          <w:color w:val="000000" w:themeColor="text1"/>
          <w:kern w:val="24"/>
          <w:sz w:val="22"/>
          <w:szCs w:val="22"/>
          <w:lang w:eastAsia="en-AU"/>
        </w:rPr>
        <w:t xml:space="preserve"> the above options </w:t>
      </w:r>
      <w:r w:rsidR="005A465F" w:rsidRPr="006340F9">
        <w:rPr>
          <w:rFonts w:cs="Arial"/>
          <w:bCs/>
          <w:color w:val="000000" w:themeColor="text1"/>
          <w:kern w:val="24"/>
          <w:sz w:val="22"/>
          <w:szCs w:val="22"/>
          <w:lang w:eastAsia="en-AU"/>
        </w:rPr>
        <w:t xml:space="preserve">should </w:t>
      </w:r>
      <w:r w:rsidR="00027849" w:rsidRPr="006340F9">
        <w:rPr>
          <w:rFonts w:cs="Arial"/>
          <w:bCs/>
          <w:color w:val="000000" w:themeColor="text1"/>
          <w:kern w:val="24"/>
          <w:sz w:val="22"/>
          <w:szCs w:val="22"/>
          <w:lang w:eastAsia="en-AU"/>
        </w:rPr>
        <w:t>be progressively adopted</w:t>
      </w:r>
      <w:r w:rsidRPr="006340F9">
        <w:rPr>
          <w:rFonts w:cs="Arial"/>
          <w:bCs/>
          <w:color w:val="000000" w:themeColor="text1"/>
          <w:kern w:val="24"/>
          <w:sz w:val="22"/>
          <w:szCs w:val="22"/>
          <w:lang w:eastAsia="en-AU"/>
        </w:rPr>
        <w:t>, w</w:t>
      </w:r>
      <w:r w:rsidR="00027849" w:rsidRPr="006340F9">
        <w:rPr>
          <w:rFonts w:cs="Arial"/>
          <w:bCs/>
          <w:color w:val="000000" w:themeColor="text1"/>
          <w:kern w:val="24"/>
          <w:sz w:val="22"/>
          <w:szCs w:val="22"/>
          <w:lang w:eastAsia="en-AU"/>
        </w:rPr>
        <w:t xml:space="preserve">e believe that Options A and B are the immediate priorities. Option C would be a necessary step should the </w:t>
      </w:r>
      <w:r w:rsidR="0094378E" w:rsidRPr="006340F9">
        <w:rPr>
          <w:rFonts w:cs="Arial"/>
          <w:bCs/>
          <w:color w:val="000000" w:themeColor="text1"/>
          <w:kern w:val="24"/>
          <w:sz w:val="22"/>
          <w:szCs w:val="22"/>
          <w:lang w:eastAsia="en-AU"/>
        </w:rPr>
        <w:t xml:space="preserve">Commission </w:t>
      </w:r>
      <w:r w:rsidR="00027849" w:rsidRPr="006340F9">
        <w:rPr>
          <w:rFonts w:cs="Arial"/>
          <w:bCs/>
          <w:color w:val="000000" w:themeColor="text1"/>
          <w:kern w:val="24"/>
          <w:sz w:val="22"/>
          <w:szCs w:val="22"/>
          <w:lang w:eastAsia="en-AU"/>
        </w:rPr>
        <w:t>assume accreditation responsibilities for the ART sector but would still be worthwhile if it didn’t. While Option D would also be beneficial, it will likely require further consultation to ensure the guardrails are future-proofed and do not prevent innovative safe practices that would benefit consumers.</w:t>
      </w:r>
    </w:p>
    <w:p w14:paraId="1B3F36B8" w14:textId="400DA98A" w:rsidR="00027849" w:rsidRPr="006340F9" w:rsidRDefault="00027849" w:rsidP="00027849">
      <w:pPr>
        <w:jc w:val="both"/>
        <w:rPr>
          <w:rFonts w:cs="Arial"/>
          <w:bCs/>
          <w:color w:val="000000" w:themeColor="text1"/>
          <w:kern w:val="24"/>
          <w:sz w:val="22"/>
          <w:szCs w:val="22"/>
          <w:lang w:eastAsia="en-AU"/>
        </w:rPr>
      </w:pPr>
      <w:proofErr w:type="gramStart"/>
      <w:r w:rsidRPr="006340F9">
        <w:rPr>
          <w:rFonts w:cs="Arial"/>
          <w:bCs/>
          <w:color w:val="000000" w:themeColor="text1"/>
          <w:kern w:val="24"/>
          <w:sz w:val="22"/>
          <w:szCs w:val="22"/>
          <w:lang w:eastAsia="en-AU"/>
        </w:rPr>
        <w:t>In the event that</w:t>
      </w:r>
      <w:proofErr w:type="gramEnd"/>
      <w:r w:rsidRPr="006340F9">
        <w:rPr>
          <w:rFonts w:cs="Arial"/>
          <w:bCs/>
          <w:color w:val="000000" w:themeColor="text1"/>
          <w:kern w:val="24"/>
          <w:sz w:val="22"/>
          <w:szCs w:val="22"/>
          <w:lang w:eastAsia="en-AU"/>
        </w:rPr>
        <w:t xml:space="preserve"> the </w:t>
      </w:r>
      <w:r w:rsidR="0094378E" w:rsidRPr="006340F9">
        <w:rPr>
          <w:rFonts w:cs="Arial"/>
          <w:bCs/>
          <w:color w:val="000000" w:themeColor="text1"/>
          <w:kern w:val="24"/>
          <w:sz w:val="22"/>
          <w:szCs w:val="22"/>
          <w:lang w:eastAsia="en-AU"/>
        </w:rPr>
        <w:t xml:space="preserve">Commission </w:t>
      </w:r>
      <w:r w:rsidRPr="006340F9">
        <w:rPr>
          <w:rFonts w:cs="Arial"/>
          <w:bCs/>
          <w:color w:val="000000" w:themeColor="text1"/>
          <w:kern w:val="24"/>
          <w:sz w:val="22"/>
          <w:szCs w:val="22"/>
          <w:lang w:eastAsia="en-AU"/>
        </w:rPr>
        <w:t xml:space="preserve">becomes the ART sector accreditor (as proposed in opportunity 1), then the Commission should use the updated and refreshed Code of Practice as a basis for a set of accreditation standards for the ART sector. This would be </w:t>
      </w:r>
      <w:proofErr w:type="gramStart"/>
      <w:r w:rsidRPr="006340F9">
        <w:rPr>
          <w:rFonts w:cs="Arial"/>
          <w:bCs/>
          <w:color w:val="000000" w:themeColor="text1"/>
          <w:kern w:val="24"/>
          <w:sz w:val="22"/>
          <w:szCs w:val="22"/>
          <w:lang w:eastAsia="en-AU"/>
        </w:rPr>
        <w:t>similar to</w:t>
      </w:r>
      <w:proofErr w:type="gramEnd"/>
      <w:r w:rsidRPr="006340F9">
        <w:rPr>
          <w:rFonts w:cs="Arial"/>
          <w:bCs/>
          <w:color w:val="000000" w:themeColor="text1"/>
          <w:kern w:val="24"/>
          <w:sz w:val="22"/>
          <w:szCs w:val="22"/>
          <w:lang w:eastAsia="en-AU"/>
        </w:rPr>
        <w:t xml:space="preserve"> the approach they took for the cosmetic surgery sector.</w:t>
      </w:r>
    </w:p>
    <w:tbl>
      <w:tblPr>
        <w:tblStyle w:val="TableGrid"/>
        <w:tblW w:w="0" w:type="auto"/>
        <w:tblLook w:val="04A0" w:firstRow="1" w:lastRow="0" w:firstColumn="1" w:lastColumn="0" w:noHBand="0" w:noVBand="1"/>
      </w:tblPr>
      <w:tblGrid>
        <w:gridCol w:w="9288"/>
      </w:tblGrid>
      <w:tr w:rsidR="00027849" w:rsidRPr="006340F9" w14:paraId="3EC551EF" w14:textId="77777777">
        <w:tc>
          <w:tcPr>
            <w:tcW w:w="9288" w:type="dxa"/>
            <w:shd w:val="clear" w:color="auto" w:fill="C6D9F1" w:themeFill="text2" w:themeFillTint="33"/>
          </w:tcPr>
          <w:p w14:paraId="6322E0B9" w14:textId="77777777" w:rsidR="00027849" w:rsidRPr="006340F9" w:rsidRDefault="00027849" w:rsidP="00027849">
            <w:pPr>
              <w:jc w:val="both"/>
              <w:rPr>
                <w:rFonts w:cs="Arial"/>
                <w:b/>
                <w:color w:val="000000" w:themeColor="text1"/>
                <w:kern w:val="24"/>
                <w:sz w:val="22"/>
                <w:szCs w:val="22"/>
                <w:lang w:eastAsia="en-AU"/>
              </w:rPr>
            </w:pPr>
            <w:r w:rsidRPr="006340F9">
              <w:rPr>
                <w:rFonts w:cs="Arial"/>
                <w:b/>
                <w:color w:val="000000" w:themeColor="text1"/>
                <w:kern w:val="24"/>
                <w:sz w:val="22"/>
                <w:szCs w:val="22"/>
                <w:lang w:eastAsia="en-AU"/>
              </w:rPr>
              <w:t>Cosmetic surgery standards provide a model for sector-specific standards embedded in health sector standards and accreditation</w:t>
            </w:r>
          </w:p>
          <w:p w14:paraId="4C13F5AB" w14:textId="77777777" w:rsidR="00027849" w:rsidRPr="006340F9" w:rsidRDefault="00027849" w:rsidP="00027849">
            <w:pPr>
              <w:jc w:val="both"/>
              <w:rPr>
                <w:rFonts w:cs="Arial"/>
                <w:bCs/>
                <w:color w:val="000000" w:themeColor="text1"/>
                <w:kern w:val="24"/>
                <w:sz w:val="22"/>
                <w:szCs w:val="22"/>
                <w:lang w:eastAsia="en-AU"/>
              </w:rPr>
            </w:pPr>
            <w:r w:rsidRPr="006340F9">
              <w:rPr>
                <w:rFonts w:cs="Arial"/>
                <w:bCs/>
                <w:color w:val="000000" w:themeColor="text1"/>
                <w:kern w:val="24"/>
                <w:sz w:val="22"/>
                <w:szCs w:val="22"/>
                <w:lang w:eastAsia="en-AU"/>
              </w:rPr>
              <w:t>In September 2022, Australian Health Ministers announced urgent reforms to the cosmetic surgery sector. These reforms were delivered in response to concerning reports of patient harm. As part of these reforms the Commission developed a National Licensing Framework and the National Safety and Quality Cosmetic Surgery Standards. The standards were launched on 14 December 2023.</w:t>
            </w:r>
          </w:p>
          <w:p w14:paraId="34C48081" w14:textId="77777777" w:rsidR="00027849" w:rsidRPr="006340F9" w:rsidRDefault="00027849" w:rsidP="00027849">
            <w:pPr>
              <w:jc w:val="both"/>
              <w:rPr>
                <w:rFonts w:cs="Arial"/>
                <w:bCs/>
                <w:color w:val="000000" w:themeColor="text1"/>
                <w:kern w:val="24"/>
                <w:sz w:val="22"/>
                <w:szCs w:val="22"/>
                <w:lang w:eastAsia="en-AU"/>
              </w:rPr>
            </w:pPr>
            <w:r w:rsidRPr="006340F9">
              <w:rPr>
                <w:rFonts w:cs="Arial"/>
                <w:bCs/>
                <w:color w:val="000000" w:themeColor="text1"/>
                <w:kern w:val="24"/>
                <w:sz w:val="22"/>
                <w:szCs w:val="22"/>
                <w:lang w:eastAsia="en-AU"/>
              </w:rPr>
              <w:t xml:space="preserve">The development of the Cosmetic Surgery Standards involved consultation with consumers, clinicians, services, professional and peak bodies, regulatory authorities and other representatives of the sector. The standards are designed to be person-centred, focusing on informed decision-making, patient suitability assessments, and post-operative care. </w:t>
            </w:r>
          </w:p>
          <w:p w14:paraId="7182B777" w14:textId="77777777" w:rsidR="00027849" w:rsidRPr="006340F9" w:rsidRDefault="00027849" w:rsidP="00027849">
            <w:pPr>
              <w:jc w:val="both"/>
              <w:rPr>
                <w:rFonts w:cs="Arial"/>
                <w:bCs/>
                <w:color w:val="000000" w:themeColor="text1"/>
                <w:kern w:val="24"/>
                <w:sz w:val="22"/>
                <w:szCs w:val="22"/>
                <w:lang w:eastAsia="en-AU"/>
              </w:rPr>
            </w:pPr>
            <w:r w:rsidRPr="006340F9">
              <w:rPr>
                <w:rFonts w:cs="Arial"/>
                <w:bCs/>
                <w:color w:val="000000" w:themeColor="text1"/>
                <w:kern w:val="24"/>
                <w:sz w:val="22"/>
                <w:szCs w:val="22"/>
                <w:lang w:eastAsia="en-AU"/>
              </w:rPr>
              <w:t>To support implementation, the Commission introduced two accreditation pathways: one for services seeking standalone accreditation to the Cosmetic Surgery Standards, and another for those already accredited under the NSQHS Standards, which can adopt a supplementary Cosmetic Surgery Module. These pathways aim to reduce compliance burdens while ensuring rigorous oversight.</w:t>
            </w:r>
          </w:p>
        </w:tc>
      </w:tr>
    </w:tbl>
    <w:p w14:paraId="32E5017C" w14:textId="77777777" w:rsidR="00027849" w:rsidRPr="006340F9" w:rsidRDefault="00027849" w:rsidP="00027849">
      <w:pPr>
        <w:jc w:val="both"/>
        <w:rPr>
          <w:rFonts w:cs="Arial"/>
          <w:bCs/>
          <w:color w:val="000000" w:themeColor="text1"/>
          <w:kern w:val="24"/>
          <w:sz w:val="22"/>
          <w:szCs w:val="22"/>
          <w:lang w:eastAsia="en-AU"/>
        </w:rPr>
      </w:pPr>
    </w:p>
    <w:tbl>
      <w:tblPr>
        <w:tblStyle w:val="TableGrid"/>
        <w:tblW w:w="0" w:type="auto"/>
        <w:tblLook w:val="04A0" w:firstRow="1" w:lastRow="0" w:firstColumn="1" w:lastColumn="0" w:noHBand="0" w:noVBand="1"/>
      </w:tblPr>
      <w:tblGrid>
        <w:gridCol w:w="9288"/>
      </w:tblGrid>
      <w:tr w:rsidR="00027849" w:rsidRPr="006340F9" w14:paraId="6A290143" w14:textId="77777777">
        <w:tc>
          <w:tcPr>
            <w:tcW w:w="9288" w:type="dxa"/>
            <w:shd w:val="clear" w:color="auto" w:fill="C6D9F1" w:themeFill="text2" w:themeFillTint="33"/>
          </w:tcPr>
          <w:p w14:paraId="1676CCB7" w14:textId="77777777" w:rsidR="00027849" w:rsidRPr="006340F9" w:rsidRDefault="00027849" w:rsidP="00027849">
            <w:pPr>
              <w:jc w:val="both"/>
              <w:rPr>
                <w:rFonts w:eastAsia="Times" w:cs="Arial"/>
                <w:b/>
                <w:bCs/>
                <w:sz w:val="22"/>
                <w:szCs w:val="22"/>
              </w:rPr>
            </w:pPr>
            <w:bookmarkStart w:id="153" w:name="_Hlk207099970"/>
            <w:r w:rsidRPr="006340F9">
              <w:rPr>
                <w:rFonts w:eastAsia="Times" w:cs="Arial"/>
                <w:b/>
                <w:bCs/>
                <w:sz w:val="22"/>
                <w:szCs w:val="22"/>
              </w:rPr>
              <w:t>Essential performance metrics are a critical element of the NSQHS standards</w:t>
            </w:r>
          </w:p>
          <w:p w14:paraId="669833B6" w14:textId="77777777" w:rsidR="00027849" w:rsidRPr="006340F9" w:rsidRDefault="00027849" w:rsidP="00027849">
            <w:pPr>
              <w:jc w:val="both"/>
              <w:rPr>
                <w:rFonts w:eastAsia="Times" w:cs="Arial"/>
                <w:sz w:val="22"/>
                <w:szCs w:val="22"/>
              </w:rPr>
            </w:pPr>
            <w:r w:rsidRPr="006340F9">
              <w:rPr>
                <w:rFonts w:eastAsia="Times" w:cs="Arial"/>
                <w:sz w:val="22"/>
                <w:szCs w:val="22"/>
              </w:rPr>
              <w:t>The NSQHS standards comprise 8 core standards, each of which include a series of specific, numbered actions.</w:t>
            </w:r>
            <w:r w:rsidRPr="006340F9">
              <w:rPr>
                <w:rFonts w:eastAsia="Times" w:cs="Arial"/>
                <w:sz w:val="22"/>
                <w:szCs w:val="22"/>
                <w:vertAlign w:val="superscript"/>
              </w:rPr>
              <w:footnoteReference w:id="194"/>
            </w:r>
            <w:r w:rsidRPr="006340F9">
              <w:rPr>
                <w:rFonts w:eastAsia="Times" w:cs="Arial"/>
                <w:sz w:val="22"/>
                <w:szCs w:val="22"/>
              </w:rPr>
              <w:t xml:space="preserve"> These actions define what health services must do to meet the standard. This structure provides clarity and consistency across the sector, ensuring all services understand what is required of them. Because each action is linked to a specific outcome, they serve as a roadmap for continuous improvement. Services can identify gaps, implement changes and track progress over time. This approach supports quality improvement and accountability.</w:t>
            </w:r>
          </w:p>
          <w:p w14:paraId="7804C5E6" w14:textId="77777777" w:rsidR="00027849" w:rsidRPr="006340F9" w:rsidRDefault="00027849" w:rsidP="00027849">
            <w:pPr>
              <w:jc w:val="both"/>
              <w:rPr>
                <w:rFonts w:cs="Arial"/>
                <w:color w:val="000000" w:themeColor="text1"/>
                <w:kern w:val="24"/>
                <w:sz w:val="22"/>
                <w:szCs w:val="22"/>
                <w:lang w:eastAsia="en-AU"/>
              </w:rPr>
            </w:pPr>
            <w:r w:rsidRPr="006340F9">
              <w:rPr>
                <w:rFonts w:eastAsia="Times" w:cs="Arial"/>
                <w:sz w:val="22"/>
                <w:szCs w:val="22"/>
              </w:rPr>
              <w:lastRenderedPageBreak/>
              <w:t>Actions are linked to performance metrics that are publicly reported. Accreditation bodies evaluate health services on their implementation of these actions through audits and the results are publicly reported on the Commission website, showing what actions were met, where improvements were recommended or required or where the actions were not applicable.</w:t>
            </w:r>
            <w:r w:rsidRPr="006340F9">
              <w:rPr>
                <w:rFonts w:eastAsia="Times" w:cs="Arial"/>
                <w:sz w:val="22"/>
                <w:szCs w:val="22"/>
                <w:vertAlign w:val="superscript"/>
              </w:rPr>
              <w:footnoteReference w:id="195"/>
            </w:r>
            <w:r w:rsidRPr="006340F9">
              <w:rPr>
                <w:rFonts w:eastAsia="Times" w:cs="Arial"/>
                <w:sz w:val="22"/>
                <w:szCs w:val="22"/>
              </w:rPr>
              <w:t xml:space="preserve"> This allows for benchmarking across services and supports transparency for consumers. Public reporting also incentivises services to meet standards.</w:t>
            </w:r>
            <w:bookmarkEnd w:id="153"/>
          </w:p>
        </w:tc>
      </w:tr>
    </w:tbl>
    <w:p w14:paraId="42225928" w14:textId="672DE268" w:rsidR="00027849" w:rsidRPr="006340F9" w:rsidRDefault="00027849" w:rsidP="004C1F76">
      <w:pPr>
        <w:pStyle w:val="Heading3"/>
        <w:rPr>
          <w:bCs w:val="0"/>
        </w:rPr>
      </w:pPr>
      <w:r w:rsidRPr="006340F9">
        <w:lastRenderedPageBreak/>
        <w:t xml:space="preserve">Reform opportunity 3: </w:t>
      </w:r>
      <w:r w:rsidR="00E51430" w:rsidRPr="006340F9">
        <w:t xml:space="preserve">Improving </w:t>
      </w:r>
      <w:r w:rsidRPr="006340F9">
        <w:t xml:space="preserve">oversight </w:t>
      </w:r>
      <w:r w:rsidR="00E51430" w:rsidRPr="006340F9">
        <w:t xml:space="preserve">of and guidance </w:t>
      </w:r>
      <w:r w:rsidRPr="006340F9">
        <w:t>for professional workers in the ART sector</w:t>
      </w:r>
    </w:p>
    <w:p w14:paraId="3AC32A00" w14:textId="292FC58B" w:rsidR="00027849" w:rsidRPr="006340F9" w:rsidRDefault="00027849" w:rsidP="00027849">
      <w:pPr>
        <w:jc w:val="both"/>
        <w:rPr>
          <w:rFonts w:eastAsia="Times" w:cs="Arial"/>
          <w:sz w:val="22"/>
          <w:szCs w:val="22"/>
        </w:rPr>
      </w:pPr>
      <w:r w:rsidRPr="006340F9">
        <w:rPr>
          <w:rFonts w:eastAsia="Times" w:cs="Arial"/>
          <w:sz w:val="22"/>
          <w:szCs w:val="22"/>
        </w:rPr>
        <w:t xml:space="preserve">Most stakeholders consulted were satisfied that most of the ART sector workforce is registered with </w:t>
      </w:r>
      <w:proofErr w:type="spellStart"/>
      <w:r w:rsidRPr="006340F9">
        <w:rPr>
          <w:rFonts w:eastAsia="Times" w:cs="Arial"/>
          <w:sz w:val="22"/>
          <w:szCs w:val="22"/>
        </w:rPr>
        <w:t>Ahpra</w:t>
      </w:r>
      <w:proofErr w:type="spellEnd"/>
      <w:r w:rsidR="00E3151C" w:rsidRPr="006340F9">
        <w:rPr>
          <w:rFonts w:eastAsia="Times" w:cs="Arial"/>
          <w:sz w:val="22"/>
          <w:szCs w:val="22"/>
        </w:rPr>
        <w:t xml:space="preserve">. </w:t>
      </w:r>
      <w:r w:rsidRPr="006340F9">
        <w:rPr>
          <w:rFonts w:eastAsia="Times" w:cs="Arial"/>
          <w:sz w:val="22"/>
          <w:szCs w:val="22"/>
        </w:rPr>
        <w:t xml:space="preserve">However, many noted that embryologists, laboratory managers, counsellors, and quality managers are not registered with </w:t>
      </w:r>
      <w:proofErr w:type="spellStart"/>
      <w:r w:rsidRPr="006340F9">
        <w:rPr>
          <w:rFonts w:eastAsia="Times" w:cs="Arial"/>
          <w:sz w:val="22"/>
          <w:szCs w:val="22"/>
        </w:rPr>
        <w:t>Ahpra</w:t>
      </w:r>
      <w:proofErr w:type="spellEnd"/>
      <w:r w:rsidRPr="006340F9">
        <w:rPr>
          <w:rFonts w:eastAsia="Times" w:cs="Arial"/>
          <w:sz w:val="22"/>
          <w:szCs w:val="22"/>
        </w:rPr>
        <w:t xml:space="preserve"> and that the Code of Practice does not include minimum qualifications or CPD requirements. While</w:t>
      </w:r>
      <w:r w:rsidRPr="006340F9" w:rsidDel="008A7ED4">
        <w:rPr>
          <w:rFonts w:eastAsia="Times" w:cs="Arial"/>
          <w:sz w:val="22"/>
          <w:szCs w:val="22"/>
        </w:rPr>
        <w:t xml:space="preserve"> </w:t>
      </w:r>
      <w:r w:rsidRPr="006340F9">
        <w:rPr>
          <w:rFonts w:eastAsia="Times" w:cs="Arial"/>
          <w:sz w:val="22"/>
          <w:szCs w:val="22"/>
        </w:rPr>
        <w:t xml:space="preserve">several stakeholders noted that improved oversight for professional workers should not displace effective regulation of providers and their systems and processes, there remains an opportunity to promote individual practitioner responsibility to </w:t>
      </w:r>
      <w:r w:rsidRPr="006340F9" w:rsidDel="00195B4A">
        <w:rPr>
          <w:rFonts w:eastAsia="Times" w:cs="Arial"/>
          <w:sz w:val="22"/>
          <w:szCs w:val="22"/>
        </w:rPr>
        <w:t xml:space="preserve">support </w:t>
      </w:r>
      <w:r w:rsidRPr="006340F9">
        <w:rPr>
          <w:rFonts w:eastAsia="Times" w:cs="Arial"/>
          <w:sz w:val="22"/>
          <w:szCs w:val="22"/>
        </w:rPr>
        <w:t xml:space="preserve">quality and safety. </w:t>
      </w:r>
    </w:p>
    <w:p w14:paraId="6C2F0D00" w14:textId="77777777" w:rsidR="00027849" w:rsidRPr="006340F9" w:rsidRDefault="00027849" w:rsidP="00027849">
      <w:pPr>
        <w:jc w:val="both"/>
        <w:rPr>
          <w:rFonts w:eastAsia="Times" w:cs="Arial"/>
          <w:sz w:val="22"/>
          <w:szCs w:val="22"/>
        </w:rPr>
      </w:pPr>
      <w:r w:rsidRPr="006340F9">
        <w:rPr>
          <w:rFonts w:eastAsia="Times" w:cs="Arial"/>
          <w:sz w:val="22"/>
          <w:szCs w:val="22"/>
        </w:rPr>
        <w:t>We identified two options that may enhance oversight of professional workers in the ART sector:</w:t>
      </w:r>
    </w:p>
    <w:p w14:paraId="6412B262" w14:textId="77777777" w:rsidR="00027849" w:rsidRPr="006340F9" w:rsidRDefault="00027849" w:rsidP="00027849">
      <w:pPr>
        <w:jc w:val="both"/>
        <w:rPr>
          <w:rFonts w:eastAsia="Times"/>
          <w:b/>
          <w:sz w:val="22"/>
          <w:szCs w:val="22"/>
        </w:rPr>
      </w:pPr>
      <w:r w:rsidRPr="006340F9">
        <w:rPr>
          <w:rFonts w:eastAsia="Times"/>
          <w:b/>
          <w:sz w:val="22"/>
          <w:szCs w:val="22"/>
        </w:rPr>
        <w:t>Option A: Introduce workforce and staffing guidance in the Code of Practice.</w:t>
      </w:r>
    </w:p>
    <w:p w14:paraId="3C523D55" w14:textId="77777777" w:rsidR="00027849" w:rsidRPr="006340F9" w:rsidRDefault="00027849" w:rsidP="00027849">
      <w:pPr>
        <w:jc w:val="both"/>
        <w:rPr>
          <w:rFonts w:eastAsia="Times"/>
          <w:sz w:val="22"/>
          <w:szCs w:val="22"/>
        </w:rPr>
      </w:pPr>
      <w:r w:rsidRPr="006340F9">
        <w:rPr>
          <w:rFonts w:eastAsia="Times"/>
          <w:sz w:val="22"/>
          <w:szCs w:val="22"/>
        </w:rPr>
        <w:t xml:space="preserve">Embed workforce requirements for all professions working within ART units within an updated Code of Practice for service-level oversight of professional workers. This would include minimum qualifications, CPD requirements, and staffing guidance. For example, staffing guidance could include requirements about the need for more than one person working in a laboratory to ensure manual witnessing can occur. </w:t>
      </w:r>
    </w:p>
    <w:p w14:paraId="3A07B6A7" w14:textId="77777777" w:rsidR="00027849" w:rsidRPr="006340F9" w:rsidRDefault="00027849" w:rsidP="00027849">
      <w:pPr>
        <w:jc w:val="both"/>
        <w:rPr>
          <w:rFonts w:eastAsia="Times"/>
          <w:b/>
          <w:sz w:val="22"/>
          <w:szCs w:val="22"/>
        </w:rPr>
      </w:pPr>
      <w:r w:rsidRPr="006340F9">
        <w:rPr>
          <w:rFonts w:eastAsia="Times"/>
          <w:b/>
          <w:sz w:val="22"/>
          <w:szCs w:val="22"/>
        </w:rPr>
        <w:t xml:space="preserve">Option B: Introduce </w:t>
      </w:r>
      <w:proofErr w:type="spellStart"/>
      <w:r w:rsidRPr="006340F9">
        <w:rPr>
          <w:rFonts w:eastAsia="Times"/>
          <w:b/>
          <w:sz w:val="22"/>
          <w:szCs w:val="22"/>
        </w:rPr>
        <w:t>Ahpra</w:t>
      </w:r>
      <w:proofErr w:type="spellEnd"/>
      <w:r w:rsidRPr="006340F9">
        <w:rPr>
          <w:rFonts w:eastAsia="Times"/>
          <w:b/>
          <w:sz w:val="22"/>
          <w:szCs w:val="22"/>
        </w:rPr>
        <w:t xml:space="preserve"> registration for embryologists, laboratory managers, counsellors and quality managers.</w:t>
      </w:r>
    </w:p>
    <w:p w14:paraId="54F6F72A" w14:textId="243455F5" w:rsidR="00027849" w:rsidRPr="006340F9" w:rsidRDefault="00027849" w:rsidP="00027849">
      <w:pPr>
        <w:jc w:val="both"/>
        <w:rPr>
          <w:rFonts w:eastAsia="Times"/>
          <w:b/>
          <w:sz w:val="22"/>
          <w:szCs w:val="22"/>
        </w:rPr>
      </w:pPr>
      <w:r w:rsidRPr="006340F9">
        <w:rPr>
          <w:rFonts w:eastAsia="Times"/>
          <w:sz w:val="22"/>
          <w:szCs w:val="22"/>
        </w:rPr>
        <w:t>Seek to enhance individual accountability and national consistency through</w:t>
      </w:r>
      <w:r w:rsidRPr="006340F9">
        <w:rPr>
          <w:rFonts w:eastAsia="Times"/>
          <w:b/>
          <w:sz w:val="22"/>
          <w:szCs w:val="22"/>
        </w:rPr>
        <w:t xml:space="preserve"> </w:t>
      </w:r>
      <w:r w:rsidRPr="006340F9">
        <w:rPr>
          <w:rFonts w:eastAsia="Times"/>
          <w:sz w:val="22"/>
          <w:szCs w:val="22"/>
        </w:rPr>
        <w:t xml:space="preserve">formal registration of ART workforces as registered health professionals under the </w:t>
      </w:r>
      <w:r w:rsidRPr="006340F9">
        <w:rPr>
          <w:color w:val="000000" w:themeColor="text1"/>
          <w:kern w:val="24"/>
          <w:sz w:val="22"/>
          <w:szCs w:val="22"/>
          <w:lang w:eastAsia="en-AU"/>
        </w:rPr>
        <w:t>National Registration and Accreditation Scheme.</w:t>
      </w:r>
    </w:p>
    <w:p w14:paraId="2174DF93" w14:textId="77777777" w:rsidR="00027849" w:rsidRPr="006340F9" w:rsidRDefault="00027849" w:rsidP="00027849">
      <w:pPr>
        <w:keepNext/>
        <w:keepLines/>
        <w:spacing w:before="240" w:after="80"/>
        <w:outlineLvl w:val="3"/>
        <w:rPr>
          <w:rFonts w:eastAsia="MS Mincho"/>
          <w:color w:val="7F7F7F" w:themeColor="text1" w:themeTint="80"/>
          <w:sz w:val="28"/>
          <w:szCs w:val="22"/>
        </w:rPr>
      </w:pPr>
      <w:r w:rsidRPr="006340F9">
        <w:rPr>
          <w:rFonts w:eastAsia="MS Mincho"/>
          <w:color w:val="7F7F7F" w:themeColor="text1" w:themeTint="80"/>
          <w:sz w:val="28"/>
          <w:szCs w:val="22"/>
        </w:rPr>
        <w:t>Option consideration</w:t>
      </w:r>
    </w:p>
    <w:p w14:paraId="1BB1D1A9" w14:textId="77777777" w:rsidR="00027849" w:rsidRPr="006340F9" w:rsidRDefault="00027849" w:rsidP="00027849">
      <w:pPr>
        <w:jc w:val="both"/>
        <w:rPr>
          <w:rFonts w:eastAsia="Times" w:cs="Arial"/>
          <w:sz w:val="22"/>
          <w:szCs w:val="22"/>
        </w:rPr>
      </w:pPr>
      <w:r w:rsidRPr="006340F9">
        <w:rPr>
          <w:rFonts w:eastAsia="Times" w:cs="Arial"/>
          <w:sz w:val="22"/>
          <w:szCs w:val="22"/>
        </w:rPr>
        <w:t xml:space="preserve">Option A offers improved oversight and professional requirements of ART workers that are not registered with </w:t>
      </w:r>
      <w:proofErr w:type="spellStart"/>
      <w:r w:rsidRPr="006340F9">
        <w:rPr>
          <w:rFonts w:eastAsia="Times" w:cs="Arial"/>
          <w:sz w:val="22"/>
          <w:szCs w:val="22"/>
        </w:rPr>
        <w:t>Ahpra</w:t>
      </w:r>
      <w:proofErr w:type="spellEnd"/>
      <w:r w:rsidRPr="006340F9">
        <w:rPr>
          <w:rFonts w:eastAsia="Times" w:cs="Arial"/>
          <w:sz w:val="22"/>
          <w:szCs w:val="22"/>
        </w:rPr>
        <w:t xml:space="preserve">. It is proportionate and ensures that those staff have the appropriate skills and knowledge and that providers ensure that the systems and processes they operate within maintain quality and safety. This option could be implemented in the near term as part of the updates to the Code of Practice outlined in opportunity 2. </w:t>
      </w:r>
    </w:p>
    <w:p w14:paraId="0FC51045" w14:textId="3427813B" w:rsidR="00027849" w:rsidRPr="006340F9" w:rsidRDefault="00027849" w:rsidP="00027849">
      <w:pPr>
        <w:jc w:val="both"/>
        <w:rPr>
          <w:rFonts w:eastAsia="Times" w:cs="Arial"/>
          <w:sz w:val="22"/>
          <w:szCs w:val="22"/>
        </w:rPr>
      </w:pPr>
      <w:r w:rsidRPr="006340F9">
        <w:rPr>
          <w:rFonts w:eastAsia="Times" w:cs="Arial"/>
          <w:sz w:val="22"/>
          <w:szCs w:val="22"/>
        </w:rPr>
        <w:t xml:space="preserve">Option B could offer enhanced oversight of individual workers. However, creating a new group of registered practitioners within </w:t>
      </w:r>
      <w:proofErr w:type="spellStart"/>
      <w:r w:rsidRPr="006340F9">
        <w:rPr>
          <w:rFonts w:eastAsia="Times" w:cs="Arial"/>
          <w:sz w:val="22"/>
          <w:szCs w:val="22"/>
        </w:rPr>
        <w:t>Ahpra</w:t>
      </w:r>
      <w:proofErr w:type="spellEnd"/>
      <w:r w:rsidRPr="006340F9">
        <w:rPr>
          <w:rFonts w:eastAsia="Times" w:cs="Arial"/>
          <w:sz w:val="22"/>
          <w:szCs w:val="22"/>
        </w:rPr>
        <w:t xml:space="preserve">, with the required practitioner board and dedicated registration standards, does not appear well justified. Further, lessons from recent incidents indicate that errors made in laboratories were less of an issue of individual behaviour, and more </w:t>
      </w:r>
      <w:r w:rsidRPr="006340F9">
        <w:rPr>
          <w:rFonts w:eastAsia="Times" w:cs="Arial"/>
          <w:sz w:val="22"/>
          <w:szCs w:val="22"/>
        </w:rPr>
        <w:lastRenderedPageBreak/>
        <w:t xml:space="preserve">of an issue of a lack of effective systems and processes that providers are accountable for. Accordingly, we do not believe that adding ART laboratory workforces to </w:t>
      </w:r>
      <w:proofErr w:type="spellStart"/>
      <w:r w:rsidRPr="006340F9">
        <w:rPr>
          <w:rFonts w:eastAsia="Times" w:cs="Arial"/>
          <w:sz w:val="22"/>
          <w:szCs w:val="22"/>
        </w:rPr>
        <w:t>Ah</w:t>
      </w:r>
      <w:r w:rsidR="001B10EA" w:rsidRPr="006340F9">
        <w:rPr>
          <w:rFonts w:eastAsia="Times" w:cs="Arial"/>
          <w:sz w:val="22"/>
          <w:szCs w:val="22"/>
        </w:rPr>
        <w:t>p</w:t>
      </w:r>
      <w:r w:rsidRPr="006340F9">
        <w:rPr>
          <w:rFonts w:eastAsia="Times" w:cs="Arial"/>
          <w:sz w:val="22"/>
          <w:szCs w:val="22"/>
        </w:rPr>
        <w:t>ra’s</w:t>
      </w:r>
      <w:proofErr w:type="spellEnd"/>
      <w:r w:rsidRPr="006340F9">
        <w:rPr>
          <w:rFonts w:eastAsia="Times" w:cs="Arial"/>
          <w:sz w:val="22"/>
          <w:szCs w:val="22"/>
        </w:rPr>
        <w:t xml:space="preserve"> NRAS would necessarily enhance the safety of ART services. We do suggest that further consideration be given to the professional requirements and CPD of embryologists, including whether participation in laboratory-based professional bodies, such as AIMS, be a future condition for employment.</w:t>
      </w:r>
    </w:p>
    <w:p w14:paraId="160DF2AC" w14:textId="77777777" w:rsidR="00027849" w:rsidRPr="006340F9" w:rsidRDefault="00027849" w:rsidP="00027849">
      <w:pPr>
        <w:keepNext/>
        <w:keepLines/>
        <w:spacing w:before="240" w:after="80"/>
        <w:outlineLvl w:val="3"/>
        <w:rPr>
          <w:rFonts w:eastAsia="MS Mincho"/>
          <w:color w:val="7F7F7F" w:themeColor="text1" w:themeTint="80"/>
          <w:sz w:val="28"/>
          <w:szCs w:val="22"/>
        </w:rPr>
      </w:pPr>
      <w:r w:rsidRPr="006340F9">
        <w:rPr>
          <w:rFonts w:eastAsia="MS Mincho"/>
          <w:color w:val="7F7F7F" w:themeColor="text1" w:themeTint="80"/>
          <w:sz w:val="28"/>
          <w:szCs w:val="22"/>
        </w:rPr>
        <w:t>Recommendation</w:t>
      </w:r>
    </w:p>
    <w:p w14:paraId="73A961F1" w14:textId="52A26395" w:rsidR="00A031E2" w:rsidRPr="006340F9" w:rsidRDefault="00027849" w:rsidP="00027849">
      <w:pPr>
        <w:jc w:val="both"/>
        <w:rPr>
          <w:rFonts w:eastAsia="Times" w:cs="Arial"/>
          <w:b/>
          <w:sz w:val="22"/>
          <w:szCs w:val="22"/>
        </w:rPr>
      </w:pPr>
      <w:r w:rsidRPr="006340F9">
        <w:rPr>
          <w:rFonts w:eastAsia="Times" w:cs="Arial"/>
          <w:b/>
          <w:sz w:val="22"/>
          <w:szCs w:val="22"/>
        </w:rPr>
        <w:t xml:space="preserve">We recommend </w:t>
      </w:r>
      <w:r w:rsidR="00A031E2" w:rsidRPr="006340F9">
        <w:rPr>
          <w:rFonts w:eastAsia="Times" w:cs="Arial"/>
          <w:b/>
          <w:sz w:val="22"/>
          <w:szCs w:val="22"/>
        </w:rPr>
        <w:t>that workforce requirements</w:t>
      </w:r>
      <w:r w:rsidR="004C444B" w:rsidRPr="006340F9">
        <w:rPr>
          <w:rFonts w:eastAsia="Times" w:cs="Arial"/>
          <w:b/>
          <w:sz w:val="22"/>
          <w:szCs w:val="22"/>
        </w:rPr>
        <w:t xml:space="preserve">, including minimum qualifications, </w:t>
      </w:r>
      <w:r w:rsidR="006C1F6A" w:rsidRPr="006340F9">
        <w:rPr>
          <w:rFonts w:eastAsia="Times" w:cs="Arial"/>
          <w:b/>
          <w:sz w:val="22"/>
          <w:szCs w:val="22"/>
        </w:rPr>
        <w:t>continuing professional development</w:t>
      </w:r>
      <w:r w:rsidR="004C444B" w:rsidRPr="006340F9">
        <w:rPr>
          <w:rFonts w:eastAsia="Times" w:cs="Arial"/>
          <w:b/>
          <w:sz w:val="22"/>
          <w:szCs w:val="22"/>
        </w:rPr>
        <w:t xml:space="preserve"> requirements and staffing guidance, </w:t>
      </w:r>
      <w:r w:rsidR="00AD39A1" w:rsidRPr="006340F9">
        <w:rPr>
          <w:rFonts w:eastAsia="Times" w:cs="Arial"/>
          <w:b/>
          <w:sz w:val="22"/>
          <w:szCs w:val="22"/>
        </w:rPr>
        <w:t xml:space="preserve">be embedded in the </w:t>
      </w:r>
      <w:r w:rsidR="01F50B9B" w:rsidRPr="006340F9">
        <w:rPr>
          <w:rFonts w:eastAsia="Times" w:cs="Arial"/>
          <w:b/>
          <w:bCs/>
          <w:sz w:val="22"/>
          <w:szCs w:val="22"/>
        </w:rPr>
        <w:t>new standards</w:t>
      </w:r>
      <w:r w:rsidR="006C1F6A" w:rsidRPr="006340F9">
        <w:rPr>
          <w:rFonts w:eastAsia="Times" w:cs="Arial"/>
          <w:b/>
          <w:bCs/>
          <w:sz w:val="22"/>
          <w:szCs w:val="22"/>
        </w:rPr>
        <w:t xml:space="preserve"> (</w:t>
      </w:r>
      <w:r w:rsidRPr="006340F9">
        <w:rPr>
          <w:rFonts w:eastAsia="Times" w:cs="Arial"/>
          <w:b/>
          <w:sz w:val="22"/>
          <w:szCs w:val="22"/>
        </w:rPr>
        <w:t>Option A</w:t>
      </w:r>
      <w:r w:rsidR="006C1F6A" w:rsidRPr="006340F9">
        <w:rPr>
          <w:rFonts w:eastAsia="Times" w:cs="Arial"/>
          <w:b/>
          <w:bCs/>
          <w:sz w:val="22"/>
          <w:szCs w:val="22"/>
        </w:rPr>
        <w:t>)</w:t>
      </w:r>
      <w:r w:rsidR="004C444B" w:rsidRPr="006340F9">
        <w:rPr>
          <w:rFonts w:eastAsia="Times" w:cs="Arial"/>
          <w:b/>
          <w:sz w:val="22"/>
          <w:szCs w:val="22"/>
        </w:rPr>
        <w:t>.</w:t>
      </w:r>
    </w:p>
    <w:p w14:paraId="2B35E915" w14:textId="1F73EDC6" w:rsidR="00AE36A5" w:rsidRPr="006340F9" w:rsidRDefault="00027849" w:rsidP="00027849">
      <w:pPr>
        <w:jc w:val="both"/>
        <w:rPr>
          <w:rFonts w:eastAsia="Times" w:cs="Arial"/>
          <w:sz w:val="22"/>
          <w:szCs w:val="22"/>
        </w:rPr>
      </w:pPr>
      <w:r w:rsidRPr="006340F9">
        <w:rPr>
          <w:rFonts w:eastAsia="Times" w:cs="Arial"/>
          <w:sz w:val="22"/>
          <w:szCs w:val="22"/>
        </w:rPr>
        <w:t xml:space="preserve">Option A </w:t>
      </w:r>
      <w:r w:rsidR="004E52E2" w:rsidRPr="006340F9">
        <w:rPr>
          <w:rFonts w:eastAsia="Times" w:cs="Arial"/>
          <w:sz w:val="22"/>
          <w:szCs w:val="22"/>
        </w:rPr>
        <w:t xml:space="preserve">should </w:t>
      </w:r>
      <w:r w:rsidR="005C1882" w:rsidRPr="006340F9">
        <w:rPr>
          <w:rFonts w:eastAsia="Times" w:cs="Arial"/>
          <w:sz w:val="22"/>
          <w:szCs w:val="22"/>
        </w:rPr>
        <w:t>be</w:t>
      </w:r>
      <w:r w:rsidRPr="006340F9">
        <w:rPr>
          <w:rFonts w:eastAsia="Times" w:cs="Arial"/>
          <w:sz w:val="22"/>
          <w:szCs w:val="22"/>
        </w:rPr>
        <w:t xml:space="preserve"> implemented in the immediate term as part of the broader reforms and updates to the Code of Practice outlined in opportunity 2. </w:t>
      </w:r>
    </w:p>
    <w:p w14:paraId="30236E87" w14:textId="6D77E26A" w:rsidR="00027849" w:rsidRPr="006340F9" w:rsidRDefault="00027849" w:rsidP="00027849">
      <w:pPr>
        <w:jc w:val="both"/>
        <w:rPr>
          <w:rFonts w:eastAsia="Times" w:cs="Arial"/>
          <w:sz w:val="22"/>
          <w:szCs w:val="22"/>
        </w:rPr>
      </w:pPr>
      <w:r w:rsidRPr="006340F9">
        <w:rPr>
          <w:rFonts w:eastAsia="Times" w:cs="Arial"/>
          <w:sz w:val="22"/>
          <w:szCs w:val="22"/>
        </w:rPr>
        <w:t xml:space="preserve">It appropriately balances the need for more oversight of staff not registered with </w:t>
      </w:r>
      <w:proofErr w:type="spellStart"/>
      <w:r w:rsidRPr="006340F9">
        <w:rPr>
          <w:rFonts w:eastAsia="Times" w:cs="Arial"/>
          <w:sz w:val="22"/>
          <w:szCs w:val="22"/>
        </w:rPr>
        <w:t>Ahpra</w:t>
      </w:r>
      <w:proofErr w:type="spellEnd"/>
      <w:r w:rsidRPr="006340F9">
        <w:rPr>
          <w:rFonts w:eastAsia="Times" w:cs="Arial"/>
          <w:sz w:val="22"/>
          <w:szCs w:val="22"/>
        </w:rPr>
        <w:t xml:space="preserve"> without creating unwarranted administrative burden and costs on individuals and </w:t>
      </w:r>
      <w:proofErr w:type="spellStart"/>
      <w:r w:rsidRPr="006340F9">
        <w:rPr>
          <w:rFonts w:eastAsia="Times" w:cs="Arial"/>
          <w:sz w:val="22"/>
          <w:szCs w:val="22"/>
        </w:rPr>
        <w:t>Ahpra</w:t>
      </w:r>
      <w:proofErr w:type="spellEnd"/>
      <w:r w:rsidRPr="006340F9">
        <w:rPr>
          <w:rFonts w:eastAsia="Times" w:cs="Arial"/>
          <w:sz w:val="22"/>
          <w:szCs w:val="22"/>
        </w:rPr>
        <w:t xml:space="preserve">. It also emphasises the need for providers to ensure sufficient staffing to enable safe practices, particularly in laboratories. </w:t>
      </w:r>
    </w:p>
    <w:tbl>
      <w:tblPr>
        <w:tblStyle w:val="TableGrid"/>
        <w:tblW w:w="0" w:type="auto"/>
        <w:tblLook w:val="04A0" w:firstRow="1" w:lastRow="0" w:firstColumn="1" w:lastColumn="0" w:noHBand="0" w:noVBand="1"/>
      </w:tblPr>
      <w:tblGrid>
        <w:gridCol w:w="9288"/>
      </w:tblGrid>
      <w:tr w:rsidR="00027849" w:rsidRPr="006340F9" w14:paraId="5AC78390" w14:textId="77777777">
        <w:tc>
          <w:tcPr>
            <w:tcW w:w="9288" w:type="dxa"/>
            <w:shd w:val="clear" w:color="auto" w:fill="C6D9F1" w:themeFill="text2" w:themeFillTint="33"/>
          </w:tcPr>
          <w:p w14:paraId="5A53F3CE" w14:textId="77777777" w:rsidR="00027849" w:rsidRPr="006340F9" w:rsidRDefault="00027849" w:rsidP="00027849">
            <w:pPr>
              <w:jc w:val="both"/>
              <w:rPr>
                <w:rFonts w:eastAsia="Times" w:cs="Arial"/>
                <w:sz w:val="22"/>
                <w:szCs w:val="22"/>
              </w:rPr>
            </w:pPr>
            <w:r w:rsidRPr="006340F9">
              <w:rPr>
                <w:rFonts w:eastAsia="Times" w:cs="Arial"/>
                <w:b/>
                <w:bCs/>
                <w:sz w:val="22"/>
                <w:szCs w:val="22"/>
              </w:rPr>
              <w:t>NZ and UK have greater oversight of embryologists and medical scientists</w:t>
            </w:r>
          </w:p>
          <w:p w14:paraId="61BCF99B" w14:textId="77777777" w:rsidR="00027849" w:rsidRPr="006340F9" w:rsidRDefault="00027849" w:rsidP="00027849">
            <w:pPr>
              <w:jc w:val="both"/>
              <w:rPr>
                <w:rFonts w:eastAsia="Times" w:cs="Arial"/>
                <w:sz w:val="22"/>
                <w:szCs w:val="22"/>
              </w:rPr>
            </w:pPr>
            <w:r w:rsidRPr="006340F9">
              <w:rPr>
                <w:rFonts w:eastAsia="Times" w:cs="Arial"/>
                <w:sz w:val="22"/>
                <w:szCs w:val="22"/>
              </w:rPr>
              <w:t>In the UK, clinical embryologists are registered and regulated as clinical scientists through a structured process and a professional body. Clinical scientist is a protected title in the UK, meaning that professionals must be registered to use it.</w:t>
            </w:r>
            <w:r w:rsidRPr="006340F9">
              <w:rPr>
                <w:rFonts w:eastAsia="Times" w:cs="Arial"/>
                <w:sz w:val="22"/>
                <w:szCs w:val="22"/>
                <w:vertAlign w:val="superscript"/>
              </w:rPr>
              <w:footnoteReference w:id="196"/>
            </w:r>
            <w:r w:rsidRPr="006340F9">
              <w:rPr>
                <w:rFonts w:eastAsia="Times" w:cs="Arial"/>
                <w:sz w:val="22"/>
                <w:szCs w:val="22"/>
              </w:rPr>
              <w:t xml:space="preserve"> The Health and Care Professions Council (HCPC) is the regulator responsible for maintaining the register of clinical scientists. To be eligible for HCPC registration, embryologists have usually completed a postgraduate-level work-based training program.</w:t>
            </w:r>
            <w:r w:rsidRPr="006340F9">
              <w:rPr>
                <w:rFonts w:eastAsia="Times" w:cs="Arial"/>
                <w:sz w:val="22"/>
                <w:szCs w:val="22"/>
                <w:vertAlign w:val="superscript"/>
              </w:rPr>
              <w:footnoteReference w:id="197"/>
            </w:r>
            <w:r w:rsidRPr="006340F9">
              <w:rPr>
                <w:rFonts w:eastAsia="Times" w:cs="Arial"/>
                <w:sz w:val="22"/>
                <w:szCs w:val="22"/>
              </w:rPr>
              <w:t xml:space="preserve"> Once registered, clinical embryologists must undertake CPD to keep their knowledge and skills up to date. </w:t>
            </w:r>
          </w:p>
          <w:p w14:paraId="29C08BFF" w14:textId="77777777" w:rsidR="00027849" w:rsidRPr="006340F9" w:rsidRDefault="00027849" w:rsidP="00027849">
            <w:pPr>
              <w:jc w:val="both"/>
              <w:rPr>
                <w:rFonts w:eastAsia="Times" w:cs="Arial"/>
                <w:sz w:val="22"/>
                <w:szCs w:val="22"/>
              </w:rPr>
            </w:pPr>
            <w:r w:rsidRPr="006340F9">
              <w:rPr>
                <w:rFonts w:eastAsia="Times" w:cs="Arial"/>
                <w:sz w:val="22"/>
                <w:szCs w:val="22"/>
              </w:rPr>
              <w:t xml:space="preserve">In New Zealand, embryologists are currently regulated under the </w:t>
            </w:r>
            <w:r w:rsidRPr="006340F9">
              <w:rPr>
                <w:rFonts w:eastAsia="Times" w:cs="Arial"/>
                <w:i/>
                <w:sz w:val="22"/>
                <w:szCs w:val="22"/>
              </w:rPr>
              <w:t>Health Practitioners Competence Assurance Act 2003</w:t>
            </w:r>
            <w:r w:rsidRPr="006340F9">
              <w:rPr>
                <w:rFonts w:eastAsia="Times" w:cs="Arial"/>
                <w:sz w:val="22"/>
                <w:szCs w:val="22"/>
              </w:rPr>
              <w:t xml:space="preserve"> falling under the broader category of medical laboratory scientists which is a regulated profession overseen by the Medical Sciences Council of New Zealand (MSCNZ).</w:t>
            </w:r>
            <w:r w:rsidRPr="006340F9">
              <w:rPr>
                <w:rFonts w:eastAsia="Times" w:cs="Arial"/>
                <w:sz w:val="22"/>
                <w:szCs w:val="22"/>
                <w:vertAlign w:val="superscript"/>
              </w:rPr>
              <w:footnoteReference w:id="198"/>
            </w:r>
            <w:r w:rsidRPr="006340F9">
              <w:rPr>
                <w:rFonts w:eastAsia="Times" w:cs="Arial"/>
                <w:sz w:val="22"/>
                <w:szCs w:val="22"/>
              </w:rPr>
              <w:t xml:space="preserve"> To be registered under the MSCNZ, embryologists much obtain their qualification from an accredited education program. Once registered, recertification requires professionals to have an annual practicing certification and to engage in CPD. </w:t>
            </w:r>
          </w:p>
        </w:tc>
      </w:tr>
    </w:tbl>
    <w:p w14:paraId="498CE7AE" w14:textId="77777777" w:rsidR="00193FA7" w:rsidRPr="006340F9" w:rsidRDefault="00193FA7" w:rsidP="00193CC1">
      <w:pPr>
        <w:pStyle w:val="Heading2"/>
        <w:sectPr w:rsidR="00193FA7" w:rsidRPr="006340F9" w:rsidSect="00027849">
          <w:footerReference w:type="first" r:id="rId34"/>
          <w:pgSz w:w="11906" w:h="16838" w:code="9"/>
          <w:pgMar w:top="1418" w:right="1304" w:bottom="1134" w:left="1304" w:header="680" w:footer="851" w:gutter="0"/>
          <w:cols w:space="340"/>
          <w:docGrid w:linePitch="360"/>
        </w:sectPr>
      </w:pPr>
      <w:bookmarkStart w:id="154" w:name="_Toc207976249"/>
    </w:p>
    <w:p w14:paraId="330F018E" w14:textId="77777777" w:rsidR="00027849" w:rsidRPr="006340F9" w:rsidRDefault="00027849" w:rsidP="00193CC1">
      <w:pPr>
        <w:pStyle w:val="Heading2"/>
      </w:pPr>
      <w:bookmarkStart w:id="155" w:name="_Toc209442002"/>
      <w:r w:rsidRPr="006340F9">
        <w:lastRenderedPageBreak/>
        <w:t>Regulation reform opportunities</w:t>
      </w:r>
      <w:bookmarkEnd w:id="154"/>
      <w:bookmarkEnd w:id="155"/>
    </w:p>
    <w:p w14:paraId="61BB810C" w14:textId="77777777" w:rsidR="00027849" w:rsidRPr="006340F9" w:rsidRDefault="00027849" w:rsidP="00027849">
      <w:pPr>
        <w:jc w:val="both"/>
        <w:rPr>
          <w:rFonts w:eastAsia="Times" w:cs="Arial"/>
          <w:sz w:val="22"/>
          <w:szCs w:val="22"/>
        </w:rPr>
      </w:pPr>
      <w:r w:rsidRPr="006340F9">
        <w:rPr>
          <w:rFonts w:eastAsia="Times" w:cs="Arial"/>
          <w:sz w:val="22"/>
          <w:szCs w:val="22"/>
        </w:rPr>
        <w:t>We identified three improvement opportunities in relation to regulation, both at market entry and during market conduct:</w:t>
      </w:r>
    </w:p>
    <w:p w14:paraId="715288BE" w14:textId="3D758D03" w:rsidR="00027849" w:rsidRPr="006340F9" w:rsidRDefault="00027849" w:rsidP="007C2C61">
      <w:pPr>
        <w:numPr>
          <w:ilvl w:val="0"/>
          <w:numId w:val="14"/>
        </w:numPr>
        <w:jc w:val="both"/>
        <w:rPr>
          <w:rFonts w:eastAsia="Times" w:cs="Arial"/>
          <w:sz w:val="22"/>
          <w:szCs w:val="22"/>
        </w:rPr>
      </w:pPr>
      <w:r w:rsidRPr="006340F9">
        <w:rPr>
          <w:rFonts w:eastAsia="Times" w:cs="Arial"/>
          <w:sz w:val="22"/>
          <w:szCs w:val="22"/>
        </w:rPr>
        <w:t>Harmonising registration and reporting requirements across jurisdictions</w:t>
      </w:r>
    </w:p>
    <w:p w14:paraId="0654C3A2" w14:textId="61AF7BE3" w:rsidR="00027849" w:rsidRPr="006340F9" w:rsidRDefault="00027849" w:rsidP="007C2C61">
      <w:pPr>
        <w:numPr>
          <w:ilvl w:val="0"/>
          <w:numId w:val="14"/>
        </w:numPr>
        <w:jc w:val="both"/>
        <w:rPr>
          <w:rFonts w:eastAsia="Times" w:cs="Arial"/>
          <w:sz w:val="22"/>
          <w:szCs w:val="22"/>
        </w:rPr>
      </w:pPr>
      <w:r w:rsidRPr="006340F9">
        <w:rPr>
          <w:rFonts w:eastAsia="Times" w:cs="Arial"/>
          <w:sz w:val="22"/>
          <w:szCs w:val="22"/>
        </w:rPr>
        <w:t>Implementing more effective compliance monitoring.</w:t>
      </w:r>
    </w:p>
    <w:p w14:paraId="7CE1D2D3" w14:textId="24309E77" w:rsidR="00027849" w:rsidRPr="006340F9" w:rsidRDefault="00027849" w:rsidP="007C2C61">
      <w:pPr>
        <w:numPr>
          <w:ilvl w:val="0"/>
          <w:numId w:val="14"/>
        </w:numPr>
        <w:jc w:val="both"/>
        <w:rPr>
          <w:rFonts w:eastAsia="Times" w:cs="Arial"/>
          <w:sz w:val="22"/>
          <w:szCs w:val="22"/>
        </w:rPr>
      </w:pPr>
      <w:r w:rsidRPr="006340F9">
        <w:rPr>
          <w:rFonts w:eastAsia="Times" w:cs="Arial"/>
          <w:sz w:val="22"/>
          <w:szCs w:val="22"/>
        </w:rPr>
        <w:t xml:space="preserve">Enabling more effective regulatory enforcement. </w:t>
      </w:r>
    </w:p>
    <w:p w14:paraId="7E61D299" w14:textId="77777777" w:rsidR="00027849" w:rsidRPr="006340F9" w:rsidRDefault="00027849" w:rsidP="00027849">
      <w:pPr>
        <w:jc w:val="both"/>
        <w:rPr>
          <w:rFonts w:eastAsia="Times"/>
          <w:sz w:val="22"/>
          <w:szCs w:val="22"/>
        </w:rPr>
      </w:pPr>
      <w:r w:rsidRPr="006340F9">
        <w:rPr>
          <w:rFonts w:eastAsia="Times" w:cs="Arial"/>
          <w:sz w:val="22"/>
          <w:szCs w:val="22"/>
        </w:rPr>
        <w:t>Each is discussed in turn.</w:t>
      </w:r>
    </w:p>
    <w:p w14:paraId="09D931CB" w14:textId="72DC1256" w:rsidR="00027849" w:rsidRPr="006340F9" w:rsidRDefault="00027849" w:rsidP="00906B48">
      <w:pPr>
        <w:pStyle w:val="Heading3"/>
      </w:pPr>
      <w:r w:rsidRPr="006340F9">
        <w:t xml:space="preserve">Reform opportunity 4: </w:t>
      </w:r>
      <w:r w:rsidR="007B6BD3" w:rsidRPr="006340F9">
        <w:t xml:space="preserve">Harmonising </w:t>
      </w:r>
      <w:r w:rsidRPr="006340F9">
        <w:t>registration and reporting requirements across jurisdictions</w:t>
      </w:r>
    </w:p>
    <w:p w14:paraId="6C57F61C" w14:textId="4873C4FF" w:rsidR="00027849" w:rsidRPr="006340F9" w:rsidRDefault="00027849" w:rsidP="00027849">
      <w:pPr>
        <w:jc w:val="both"/>
        <w:rPr>
          <w:rFonts w:eastAsia="Times" w:cs="Arial"/>
          <w:sz w:val="22"/>
          <w:szCs w:val="22"/>
        </w:rPr>
      </w:pPr>
      <w:r w:rsidRPr="006340F9">
        <w:rPr>
          <w:rFonts w:eastAsia="Times" w:cs="Arial"/>
          <w:sz w:val="22"/>
          <w:szCs w:val="22"/>
        </w:rPr>
        <w:t xml:space="preserve">As outlined in chapters </w:t>
      </w:r>
      <w:r w:rsidRPr="006340F9">
        <w:rPr>
          <w:rFonts w:eastAsia="Times" w:cs="Arial"/>
          <w:sz w:val="22"/>
          <w:szCs w:val="22"/>
        </w:rPr>
        <w:fldChar w:fldCharType="begin"/>
      </w:r>
      <w:r w:rsidRPr="006340F9">
        <w:rPr>
          <w:rFonts w:eastAsia="Times" w:cs="Arial"/>
          <w:sz w:val="22"/>
          <w:szCs w:val="22"/>
        </w:rPr>
        <w:instrText xml:space="preserve"> REF _Ref207633531 \r \h  \* MERGEFORMAT </w:instrText>
      </w:r>
      <w:r w:rsidRPr="006340F9">
        <w:rPr>
          <w:rFonts w:eastAsia="Times" w:cs="Arial"/>
          <w:sz w:val="22"/>
          <w:szCs w:val="22"/>
        </w:rPr>
      </w:r>
      <w:r w:rsidRPr="006340F9">
        <w:rPr>
          <w:rFonts w:eastAsia="Times" w:cs="Arial"/>
          <w:sz w:val="22"/>
          <w:szCs w:val="22"/>
        </w:rPr>
        <w:fldChar w:fldCharType="separate"/>
      </w:r>
      <w:r w:rsidR="007D732A">
        <w:rPr>
          <w:rFonts w:eastAsia="Times" w:cs="Arial"/>
          <w:sz w:val="22"/>
          <w:szCs w:val="22"/>
        </w:rPr>
        <w:t>2</w:t>
      </w:r>
      <w:r w:rsidRPr="006340F9">
        <w:rPr>
          <w:rFonts w:eastAsia="Times" w:cs="Arial"/>
          <w:sz w:val="22"/>
          <w:szCs w:val="22"/>
        </w:rPr>
        <w:fldChar w:fldCharType="end"/>
      </w:r>
      <w:r w:rsidRPr="006340F9">
        <w:rPr>
          <w:rFonts w:eastAsia="Times" w:cs="Arial"/>
          <w:sz w:val="22"/>
          <w:szCs w:val="22"/>
        </w:rPr>
        <w:t xml:space="preserve"> and </w:t>
      </w:r>
      <w:r w:rsidRPr="006340F9">
        <w:rPr>
          <w:rFonts w:eastAsia="Times" w:cs="Arial"/>
          <w:sz w:val="22"/>
          <w:szCs w:val="22"/>
        </w:rPr>
        <w:fldChar w:fldCharType="begin"/>
      </w:r>
      <w:r w:rsidRPr="006340F9">
        <w:rPr>
          <w:rFonts w:eastAsia="Times" w:cs="Arial"/>
          <w:sz w:val="22"/>
          <w:szCs w:val="22"/>
        </w:rPr>
        <w:instrText xml:space="preserve"> REF _Ref207633540 \r \h  \* MERGEFORMAT </w:instrText>
      </w:r>
      <w:r w:rsidRPr="006340F9">
        <w:rPr>
          <w:rFonts w:eastAsia="Times" w:cs="Arial"/>
          <w:sz w:val="22"/>
          <w:szCs w:val="22"/>
        </w:rPr>
      </w:r>
      <w:r w:rsidRPr="006340F9">
        <w:rPr>
          <w:rFonts w:eastAsia="Times" w:cs="Arial"/>
          <w:sz w:val="22"/>
          <w:szCs w:val="22"/>
        </w:rPr>
        <w:fldChar w:fldCharType="separate"/>
      </w:r>
      <w:r w:rsidR="007D732A">
        <w:rPr>
          <w:rFonts w:eastAsia="Times" w:cs="Arial"/>
          <w:sz w:val="22"/>
          <w:szCs w:val="22"/>
        </w:rPr>
        <w:t>3</w:t>
      </w:r>
      <w:r w:rsidRPr="006340F9">
        <w:rPr>
          <w:rFonts w:eastAsia="Times" w:cs="Arial"/>
          <w:sz w:val="22"/>
          <w:szCs w:val="22"/>
        </w:rPr>
        <w:fldChar w:fldCharType="end"/>
      </w:r>
      <w:r w:rsidRPr="006340F9">
        <w:rPr>
          <w:rFonts w:eastAsia="Times" w:cs="Arial"/>
          <w:sz w:val="22"/>
          <w:szCs w:val="22"/>
        </w:rPr>
        <w:t>, several providers are required to apply for registration in separate jurisdictions, and each jurisdiction has different registration periods and may impose different conditions. Providers reported that this creates regulatory burden and confusion for those operating across multiple jurisdictions. We acknowledge that requiring providers to be registered enables state</w:t>
      </w:r>
      <w:r w:rsidR="00A10CBC" w:rsidRPr="006340F9">
        <w:rPr>
          <w:rFonts w:eastAsia="Times" w:cs="Arial"/>
          <w:sz w:val="22"/>
          <w:szCs w:val="22"/>
        </w:rPr>
        <w:t>s</w:t>
      </w:r>
      <w:r w:rsidRPr="006340F9">
        <w:rPr>
          <w:rFonts w:eastAsia="Times" w:cs="Arial"/>
          <w:sz w:val="22"/>
          <w:szCs w:val="22"/>
        </w:rPr>
        <w:t xml:space="preserve"> and territories to regulate the sector. However, it would be beneficial if these registration and reporting requirements were consistent across jurisdictions. This would ensure alignment of minimum legal standards for safety, quality, and ethical practice, and reduce administrative burden on regulatory authorities. This</w:t>
      </w:r>
      <w:r w:rsidRPr="006340F9" w:rsidDel="009B2824">
        <w:rPr>
          <w:rFonts w:eastAsia="Times" w:cs="Arial"/>
          <w:sz w:val="22"/>
          <w:szCs w:val="22"/>
        </w:rPr>
        <w:t xml:space="preserve"> </w:t>
      </w:r>
      <w:r w:rsidRPr="006340F9">
        <w:rPr>
          <w:rFonts w:eastAsia="Times" w:cs="Arial"/>
          <w:sz w:val="22"/>
          <w:szCs w:val="22"/>
        </w:rPr>
        <w:t>would also support a coherent national approach to ART regulation and promote public confidence.</w:t>
      </w:r>
    </w:p>
    <w:p w14:paraId="05898750" w14:textId="77777777" w:rsidR="00027849" w:rsidRPr="006340F9" w:rsidRDefault="00027849" w:rsidP="00027849">
      <w:pPr>
        <w:jc w:val="both"/>
        <w:rPr>
          <w:rFonts w:eastAsia="Times" w:cs="Arial"/>
          <w:sz w:val="22"/>
          <w:szCs w:val="22"/>
        </w:rPr>
      </w:pPr>
      <w:r w:rsidRPr="006340F9">
        <w:rPr>
          <w:rFonts w:eastAsia="Times" w:cs="Arial"/>
          <w:sz w:val="22"/>
          <w:szCs w:val="22"/>
        </w:rPr>
        <w:t xml:space="preserve">We identified two alternative options: </w:t>
      </w:r>
    </w:p>
    <w:p w14:paraId="0818B459" w14:textId="28808554" w:rsidR="00027849" w:rsidRPr="006340F9" w:rsidRDefault="00027849" w:rsidP="00027849">
      <w:pPr>
        <w:jc w:val="both"/>
        <w:rPr>
          <w:rFonts w:eastAsia="Times"/>
          <w:b/>
          <w:sz w:val="22"/>
          <w:szCs w:val="22"/>
        </w:rPr>
      </w:pPr>
      <w:r w:rsidRPr="006340F9">
        <w:rPr>
          <w:rFonts w:eastAsia="Times"/>
          <w:b/>
          <w:sz w:val="22"/>
          <w:szCs w:val="22"/>
        </w:rPr>
        <w:t xml:space="preserve">Option A: Consistent registration and reporting requirements imposed by individual </w:t>
      </w:r>
      <w:r w:rsidR="001E7E27" w:rsidRPr="006340F9">
        <w:rPr>
          <w:rFonts w:eastAsia="Times"/>
          <w:b/>
          <w:sz w:val="22"/>
          <w:szCs w:val="22"/>
        </w:rPr>
        <w:t>State and Territory</w:t>
      </w:r>
      <w:r w:rsidR="001E7E27" w:rsidRPr="006340F9" w:rsidDel="00EC182E">
        <w:rPr>
          <w:rFonts w:eastAsia="Times"/>
          <w:b/>
          <w:sz w:val="22"/>
          <w:szCs w:val="22"/>
        </w:rPr>
        <w:t xml:space="preserve"> </w:t>
      </w:r>
      <w:r w:rsidRPr="006340F9">
        <w:rPr>
          <w:rFonts w:eastAsia="Times"/>
          <w:b/>
          <w:sz w:val="22"/>
          <w:szCs w:val="22"/>
        </w:rPr>
        <w:t>regulatory authorities.</w:t>
      </w:r>
    </w:p>
    <w:p w14:paraId="36CB7B39" w14:textId="77777777" w:rsidR="00027849" w:rsidRPr="006340F9" w:rsidRDefault="00027849" w:rsidP="00027849">
      <w:pPr>
        <w:jc w:val="both"/>
        <w:rPr>
          <w:rFonts w:eastAsia="Times"/>
          <w:b/>
          <w:sz w:val="22"/>
          <w:szCs w:val="22"/>
        </w:rPr>
      </w:pPr>
      <w:r w:rsidRPr="006340F9">
        <w:rPr>
          <w:rFonts w:eastAsia="Times"/>
          <w:b/>
          <w:sz w:val="22"/>
          <w:szCs w:val="22"/>
        </w:rPr>
        <w:t>Option B: Establish a national ART regulator to deliver national registration and reporting requirements.</w:t>
      </w:r>
    </w:p>
    <w:p w14:paraId="3742F8B9" w14:textId="77777777" w:rsidR="00027849" w:rsidRPr="006340F9" w:rsidRDefault="00027849" w:rsidP="00027849">
      <w:pPr>
        <w:keepNext/>
        <w:keepLines/>
        <w:spacing w:before="240" w:after="80"/>
        <w:outlineLvl w:val="3"/>
        <w:rPr>
          <w:rFonts w:eastAsia="MS Mincho"/>
          <w:color w:val="7F7F7F" w:themeColor="text1" w:themeTint="80"/>
          <w:sz w:val="28"/>
          <w:szCs w:val="22"/>
        </w:rPr>
      </w:pPr>
      <w:r w:rsidRPr="006340F9">
        <w:rPr>
          <w:rFonts w:eastAsia="MS Mincho"/>
          <w:color w:val="7F7F7F" w:themeColor="text1" w:themeTint="80"/>
          <w:sz w:val="28"/>
          <w:szCs w:val="22"/>
        </w:rPr>
        <w:t>Option consideration</w:t>
      </w:r>
    </w:p>
    <w:p w14:paraId="1F4CA1D5" w14:textId="77777777" w:rsidR="00027849" w:rsidRPr="006340F9" w:rsidRDefault="00027849" w:rsidP="00027849">
      <w:pPr>
        <w:jc w:val="both"/>
        <w:rPr>
          <w:rFonts w:eastAsia="Times" w:cs="Arial"/>
          <w:sz w:val="22"/>
          <w:szCs w:val="22"/>
        </w:rPr>
      </w:pPr>
      <w:r w:rsidRPr="006340F9">
        <w:rPr>
          <w:rFonts w:eastAsia="Times" w:cs="Arial"/>
          <w:sz w:val="22"/>
          <w:szCs w:val="22"/>
        </w:rPr>
        <w:t>Both options have the same objective – to provide consistent registration and reporting requirements so that all ART providers are held to the same requirements and providers operating in multiple jurisdictions are subject to the same registration conditions. This reduces administrative burden for providers and better supports each jurisdiction to have the same regulatory levers available to them to support compliance monitoring and enforcement (as outlined in opportunities 5 and 6).</w:t>
      </w:r>
    </w:p>
    <w:p w14:paraId="59E92CF0" w14:textId="77777777" w:rsidR="00027849" w:rsidRPr="006340F9" w:rsidRDefault="00027849" w:rsidP="00027849">
      <w:pPr>
        <w:jc w:val="both"/>
        <w:rPr>
          <w:rFonts w:eastAsia="Times" w:cs="Arial"/>
          <w:sz w:val="22"/>
          <w:szCs w:val="22"/>
        </w:rPr>
      </w:pPr>
      <w:r w:rsidRPr="006340F9">
        <w:rPr>
          <w:rFonts w:eastAsia="Times" w:cs="Arial"/>
          <w:sz w:val="22"/>
          <w:szCs w:val="22"/>
        </w:rPr>
        <w:t xml:space="preserve">Option A can be implemented through a shared framework and progressive harmonisation of registration requirements. Jurisdictions with a small number of ART providers could potentially rely upon the registration requirements of another jurisdiction rather than establish their own regulatory authority and legislation. This option leverages existing arrangements but seeks to harmonise them, whereas Option B requires the establishment of a new standalone national regulator. Establishing a national regulator would be a lengthy process requiring coordinated </w:t>
      </w:r>
      <w:r w:rsidRPr="006340F9">
        <w:rPr>
          <w:rFonts w:eastAsia="Times" w:cs="Arial"/>
          <w:sz w:val="22"/>
          <w:szCs w:val="22"/>
        </w:rPr>
        <w:lastRenderedPageBreak/>
        <w:t>legislative reform, intergovernmental negotiation and system redesign.</w:t>
      </w:r>
      <w:r w:rsidRPr="006340F9">
        <w:rPr>
          <w:rFonts w:eastAsia="Times" w:cs="Arial"/>
          <w:sz w:val="22"/>
          <w:szCs w:val="22"/>
          <w:vertAlign w:val="superscript"/>
        </w:rPr>
        <w:footnoteReference w:id="199"/>
      </w:r>
      <w:r w:rsidRPr="006340F9">
        <w:rPr>
          <w:rFonts w:eastAsia="Times" w:cs="Arial"/>
          <w:sz w:val="22"/>
          <w:szCs w:val="22"/>
        </w:rPr>
        <w:t xml:space="preserve"> While some stakeholders cited examples of standalone regulators, such as the Aged Care Commission, aged care is a $36 billion industry compared to the much smaller $810 million ART sector.</w:t>
      </w:r>
      <w:r w:rsidRPr="006340F9">
        <w:rPr>
          <w:rFonts w:eastAsia="Times" w:cs="Arial"/>
          <w:sz w:val="22"/>
          <w:szCs w:val="22"/>
          <w:vertAlign w:val="superscript"/>
        </w:rPr>
        <w:footnoteReference w:id="200"/>
      </w:r>
      <w:r w:rsidRPr="006340F9">
        <w:rPr>
          <w:rFonts w:eastAsia="Times" w:cs="Arial"/>
          <w:sz w:val="22"/>
          <w:szCs w:val="22"/>
        </w:rPr>
        <w:t xml:space="preserve"> </w:t>
      </w:r>
    </w:p>
    <w:p w14:paraId="616DD4BE" w14:textId="77777777" w:rsidR="00027849" w:rsidRPr="006340F9" w:rsidRDefault="00027849" w:rsidP="00027849">
      <w:pPr>
        <w:keepNext/>
        <w:keepLines/>
        <w:spacing w:before="240" w:after="80"/>
        <w:outlineLvl w:val="3"/>
        <w:rPr>
          <w:rFonts w:eastAsia="MS Mincho"/>
          <w:color w:val="7F7F7F" w:themeColor="text1" w:themeTint="80"/>
          <w:sz w:val="28"/>
          <w:szCs w:val="22"/>
        </w:rPr>
      </w:pPr>
      <w:r w:rsidRPr="006340F9">
        <w:rPr>
          <w:rFonts w:eastAsia="MS Mincho"/>
          <w:color w:val="7F7F7F" w:themeColor="text1" w:themeTint="80"/>
          <w:sz w:val="28"/>
          <w:szCs w:val="22"/>
        </w:rPr>
        <w:t>Recommendation</w:t>
      </w:r>
    </w:p>
    <w:p w14:paraId="4D8769E5" w14:textId="77777777" w:rsidR="00027849" w:rsidRPr="006340F9" w:rsidRDefault="00027849" w:rsidP="00027849">
      <w:pPr>
        <w:jc w:val="both"/>
        <w:rPr>
          <w:rFonts w:eastAsia="Times" w:cs="Arial"/>
          <w:sz w:val="22"/>
          <w:szCs w:val="22"/>
        </w:rPr>
      </w:pPr>
      <w:r w:rsidRPr="006340F9">
        <w:rPr>
          <w:rFonts w:eastAsia="Times" w:cs="Arial"/>
          <w:sz w:val="22"/>
          <w:szCs w:val="22"/>
        </w:rPr>
        <w:t>Both options provide consistent registration and reporting requirements.</w:t>
      </w:r>
    </w:p>
    <w:p w14:paraId="5EF64D1B" w14:textId="6AE2271D" w:rsidR="00027849" w:rsidRPr="006340F9" w:rsidRDefault="00027849" w:rsidP="00027849">
      <w:pPr>
        <w:jc w:val="both"/>
        <w:rPr>
          <w:rFonts w:eastAsia="Times" w:cs="Arial"/>
          <w:b/>
          <w:sz w:val="22"/>
          <w:szCs w:val="22"/>
        </w:rPr>
      </w:pPr>
      <w:r w:rsidRPr="006340F9">
        <w:rPr>
          <w:rFonts w:eastAsia="Times" w:cs="Arial"/>
          <w:b/>
          <w:sz w:val="22"/>
          <w:szCs w:val="22"/>
        </w:rPr>
        <w:t xml:space="preserve">We recommend </w:t>
      </w:r>
      <w:r w:rsidRPr="006340F9">
        <w:rPr>
          <w:rFonts w:eastAsia="Times"/>
          <w:b/>
          <w:sz w:val="22"/>
          <w:szCs w:val="22"/>
        </w:rPr>
        <w:t xml:space="preserve">that consistent registration and reporting requirements </w:t>
      </w:r>
      <w:r w:rsidR="006443EA" w:rsidRPr="006340F9">
        <w:rPr>
          <w:rFonts w:eastAsia="Times"/>
          <w:b/>
          <w:sz w:val="22"/>
          <w:szCs w:val="22"/>
        </w:rPr>
        <w:t xml:space="preserve">be </w:t>
      </w:r>
      <w:r w:rsidRPr="006340F9">
        <w:rPr>
          <w:rFonts w:eastAsia="Times"/>
          <w:b/>
          <w:sz w:val="22"/>
          <w:szCs w:val="22"/>
        </w:rPr>
        <w:t xml:space="preserve">imposed by individual </w:t>
      </w:r>
      <w:r w:rsidR="001E7E27" w:rsidRPr="006340F9">
        <w:rPr>
          <w:rFonts w:eastAsia="Times"/>
          <w:b/>
          <w:bCs/>
          <w:sz w:val="22"/>
          <w:szCs w:val="22"/>
        </w:rPr>
        <w:t>S</w:t>
      </w:r>
      <w:r w:rsidRPr="006340F9">
        <w:rPr>
          <w:rFonts w:eastAsia="Times"/>
          <w:b/>
          <w:sz w:val="22"/>
          <w:szCs w:val="22"/>
        </w:rPr>
        <w:t xml:space="preserve">tate and </w:t>
      </w:r>
      <w:r w:rsidR="001E7E27" w:rsidRPr="006340F9">
        <w:rPr>
          <w:rFonts w:eastAsia="Times"/>
          <w:b/>
          <w:bCs/>
          <w:sz w:val="22"/>
          <w:szCs w:val="22"/>
        </w:rPr>
        <w:t>T</w:t>
      </w:r>
      <w:r w:rsidRPr="006340F9">
        <w:rPr>
          <w:rFonts w:eastAsia="Times"/>
          <w:b/>
          <w:bCs/>
          <w:sz w:val="22"/>
          <w:szCs w:val="22"/>
        </w:rPr>
        <w:t>erritory</w:t>
      </w:r>
      <w:r w:rsidRPr="006340F9">
        <w:rPr>
          <w:rFonts w:eastAsia="Times"/>
          <w:b/>
          <w:sz w:val="22"/>
          <w:szCs w:val="22"/>
        </w:rPr>
        <w:t xml:space="preserve"> regulatory authorities (</w:t>
      </w:r>
      <w:r w:rsidRPr="006340F9">
        <w:rPr>
          <w:rFonts w:eastAsia="Times" w:cs="Arial"/>
          <w:b/>
          <w:sz w:val="22"/>
          <w:szCs w:val="22"/>
        </w:rPr>
        <w:t>Option A).</w:t>
      </w:r>
    </w:p>
    <w:p w14:paraId="29F8F9A0" w14:textId="417F3E82" w:rsidR="00027849" w:rsidRPr="006340F9" w:rsidRDefault="00027849" w:rsidP="00027849">
      <w:pPr>
        <w:jc w:val="both"/>
        <w:rPr>
          <w:rFonts w:eastAsia="Times" w:cs="Arial"/>
          <w:sz w:val="22"/>
          <w:szCs w:val="22"/>
        </w:rPr>
      </w:pPr>
      <w:r w:rsidRPr="006340F9">
        <w:rPr>
          <w:rFonts w:eastAsia="Times" w:cs="Arial"/>
          <w:sz w:val="22"/>
          <w:szCs w:val="22"/>
        </w:rPr>
        <w:t>This approach is more feasible and less costly than establishing a new national ART regulator (Option B). Option A also builds on existing regulatory capability and aligns ART regulation with the rest of health</w:t>
      </w:r>
      <w:r w:rsidR="00F54102" w:rsidRPr="006340F9">
        <w:rPr>
          <w:rFonts w:eastAsia="Times" w:cs="Arial"/>
          <w:sz w:val="22"/>
          <w:szCs w:val="22"/>
        </w:rPr>
        <w:t xml:space="preserve"> </w:t>
      </w:r>
      <w:r w:rsidRPr="006340F9">
        <w:rPr>
          <w:rFonts w:eastAsia="Times" w:cs="Arial"/>
          <w:sz w:val="22"/>
          <w:szCs w:val="22"/>
        </w:rPr>
        <w:t xml:space="preserve">care. While there may be some benefit in a national regulator, the ART sector is a relatively small part of the health sector. We believe that it is difficult to justify a standalone regulator. This is discussed further in opportunities 5 and 6. </w:t>
      </w:r>
    </w:p>
    <w:p w14:paraId="4F8D296B" w14:textId="498DEBA0" w:rsidR="00027849" w:rsidRPr="006340F9" w:rsidRDefault="00027849" w:rsidP="00906B48">
      <w:pPr>
        <w:pStyle w:val="Heading3"/>
        <w:rPr>
          <w:bCs w:val="0"/>
        </w:rPr>
      </w:pPr>
      <w:r w:rsidRPr="006340F9">
        <w:t xml:space="preserve">Reform opportunity 5: </w:t>
      </w:r>
      <w:r w:rsidR="00B2561F" w:rsidRPr="006340F9">
        <w:t>Implementing m</w:t>
      </w:r>
      <w:r w:rsidRPr="006340F9">
        <w:t>ore effective compliance monitoring</w:t>
      </w:r>
    </w:p>
    <w:p w14:paraId="757AD3D8" w14:textId="257FC6B2" w:rsidR="00027849" w:rsidRPr="006340F9" w:rsidRDefault="00027849" w:rsidP="00027849">
      <w:pPr>
        <w:jc w:val="both"/>
        <w:rPr>
          <w:rFonts w:cs="Arial"/>
          <w:sz w:val="22"/>
          <w:szCs w:val="22"/>
        </w:rPr>
      </w:pPr>
      <w:r w:rsidRPr="006340F9">
        <w:rPr>
          <w:rFonts w:cs="Arial"/>
          <w:sz w:val="22"/>
          <w:szCs w:val="22"/>
        </w:rPr>
        <w:t xml:space="preserve">As discussed in chapter </w:t>
      </w:r>
      <w:r w:rsidRPr="006340F9">
        <w:rPr>
          <w:rFonts w:cs="Arial"/>
          <w:sz w:val="22"/>
          <w:szCs w:val="22"/>
        </w:rPr>
        <w:fldChar w:fldCharType="begin"/>
      </w:r>
      <w:r w:rsidRPr="006340F9">
        <w:rPr>
          <w:rFonts w:cs="Arial"/>
          <w:sz w:val="22"/>
          <w:szCs w:val="22"/>
        </w:rPr>
        <w:instrText xml:space="preserve"> REF _Ref207633549 \r \h  \* MERGEFORMAT </w:instrText>
      </w:r>
      <w:r w:rsidRPr="006340F9">
        <w:rPr>
          <w:rFonts w:cs="Arial"/>
          <w:sz w:val="22"/>
          <w:szCs w:val="22"/>
        </w:rPr>
      </w:r>
      <w:r w:rsidRPr="006340F9">
        <w:rPr>
          <w:rFonts w:cs="Arial"/>
          <w:sz w:val="22"/>
          <w:szCs w:val="22"/>
        </w:rPr>
        <w:fldChar w:fldCharType="separate"/>
      </w:r>
      <w:r w:rsidR="007D732A">
        <w:rPr>
          <w:rFonts w:cs="Arial"/>
          <w:sz w:val="22"/>
          <w:szCs w:val="22"/>
        </w:rPr>
        <w:t>3</w:t>
      </w:r>
      <w:r w:rsidRPr="006340F9">
        <w:rPr>
          <w:rFonts w:cs="Arial"/>
          <w:sz w:val="22"/>
          <w:szCs w:val="22"/>
        </w:rPr>
        <w:fldChar w:fldCharType="end"/>
      </w:r>
      <w:r w:rsidRPr="006340F9">
        <w:rPr>
          <w:rFonts w:cs="Arial"/>
          <w:sz w:val="22"/>
          <w:szCs w:val="22"/>
        </w:rPr>
        <w:t xml:space="preserve">, there is significant variation in </w:t>
      </w:r>
      <w:r w:rsidR="001E7E27" w:rsidRPr="006340F9">
        <w:rPr>
          <w:rFonts w:cs="Arial"/>
          <w:sz w:val="22"/>
          <w:szCs w:val="22"/>
        </w:rPr>
        <w:t>State and Territory</w:t>
      </w:r>
      <w:r w:rsidR="001E7E27" w:rsidRPr="006340F9" w:rsidDel="00EC182E">
        <w:rPr>
          <w:rFonts w:cs="Arial"/>
          <w:sz w:val="22"/>
          <w:szCs w:val="22"/>
        </w:rPr>
        <w:t xml:space="preserve"> </w:t>
      </w:r>
      <w:r w:rsidRPr="006340F9">
        <w:rPr>
          <w:rFonts w:cs="Arial"/>
          <w:sz w:val="22"/>
          <w:szCs w:val="22"/>
        </w:rPr>
        <w:t xml:space="preserve">compliance powers, compliance monitoring, and regulatory posture. Many jurisdictions rely on RTAC’s accreditation process to identify non-compliance. This is inconsistent with the rest of the health sector where the national accreditor (the Commission) role is distinct from </w:t>
      </w:r>
      <w:r w:rsidR="001E7E27" w:rsidRPr="006340F9">
        <w:rPr>
          <w:rFonts w:cs="Arial"/>
          <w:sz w:val="22"/>
          <w:szCs w:val="22"/>
        </w:rPr>
        <w:t>State and Territory</w:t>
      </w:r>
      <w:r w:rsidR="001E7E27" w:rsidRPr="006340F9" w:rsidDel="00EC182E">
        <w:rPr>
          <w:rFonts w:cs="Arial"/>
          <w:sz w:val="22"/>
          <w:szCs w:val="22"/>
        </w:rPr>
        <w:t xml:space="preserve"> </w:t>
      </w:r>
      <w:r w:rsidRPr="006340F9">
        <w:rPr>
          <w:rFonts w:cs="Arial"/>
          <w:sz w:val="22"/>
          <w:szCs w:val="22"/>
        </w:rPr>
        <w:t>regulatory authorities who monitor compliance and regulate conduct.</w:t>
      </w:r>
    </w:p>
    <w:p w14:paraId="041E0DD8" w14:textId="77777777" w:rsidR="00027849" w:rsidRPr="006340F9" w:rsidRDefault="00027849" w:rsidP="00027849">
      <w:pPr>
        <w:jc w:val="both"/>
        <w:rPr>
          <w:rFonts w:eastAsia="Times" w:cs="Arial"/>
          <w:sz w:val="22"/>
          <w:szCs w:val="22"/>
        </w:rPr>
      </w:pPr>
      <w:r w:rsidRPr="006340F9">
        <w:rPr>
          <w:rFonts w:eastAsia="Times" w:cs="Arial"/>
          <w:sz w:val="22"/>
          <w:szCs w:val="22"/>
        </w:rPr>
        <w:t xml:space="preserve">This opportunity would improve the oversight of provider conduct across jurisdictions. It includes drawing on regulatory intelligence from audits and other available data to identify risks and proactively investigate where providers are non-compliant.  </w:t>
      </w:r>
    </w:p>
    <w:p w14:paraId="1005BB10" w14:textId="7BC1EB1F" w:rsidR="00027849" w:rsidRPr="006340F9" w:rsidRDefault="00027849" w:rsidP="00027849">
      <w:pPr>
        <w:keepNext/>
        <w:jc w:val="both"/>
        <w:rPr>
          <w:rFonts w:eastAsia="Times" w:cs="Arial"/>
          <w:sz w:val="22"/>
          <w:szCs w:val="22"/>
        </w:rPr>
      </w:pPr>
      <w:r w:rsidRPr="006340F9">
        <w:rPr>
          <w:rFonts w:eastAsia="Times" w:cs="Arial"/>
          <w:sz w:val="22"/>
          <w:szCs w:val="22"/>
        </w:rPr>
        <w:t xml:space="preserve">The two alternative options (as outlined in </w:t>
      </w:r>
      <w:r w:rsidR="00500F71" w:rsidRPr="006340F9">
        <w:rPr>
          <w:rFonts w:eastAsia="Times" w:cs="Arial"/>
          <w:sz w:val="22"/>
          <w:szCs w:val="22"/>
        </w:rPr>
        <w:t xml:space="preserve">opportunities </w:t>
      </w:r>
      <w:r w:rsidRPr="006340F9">
        <w:rPr>
          <w:rFonts w:eastAsia="Times" w:cs="Arial"/>
          <w:sz w:val="22"/>
          <w:szCs w:val="22"/>
        </w:rPr>
        <w:t xml:space="preserve">4 and 6): </w:t>
      </w:r>
    </w:p>
    <w:p w14:paraId="46E61301" w14:textId="59660211" w:rsidR="00027849" w:rsidRPr="006340F9" w:rsidRDefault="00027849" w:rsidP="00027849">
      <w:pPr>
        <w:jc w:val="both"/>
        <w:rPr>
          <w:rFonts w:eastAsia="Times"/>
          <w:b/>
          <w:sz w:val="22"/>
          <w:szCs w:val="22"/>
        </w:rPr>
      </w:pPr>
      <w:r w:rsidRPr="006340F9">
        <w:rPr>
          <w:rFonts w:eastAsia="Times"/>
          <w:b/>
          <w:sz w:val="22"/>
          <w:szCs w:val="22"/>
        </w:rPr>
        <w:t xml:space="preserve">Option A: State and </w:t>
      </w:r>
      <w:r w:rsidR="001E7E27" w:rsidRPr="006340F9">
        <w:rPr>
          <w:rFonts w:eastAsia="Times"/>
          <w:b/>
          <w:sz w:val="22"/>
          <w:szCs w:val="22"/>
        </w:rPr>
        <w:t>T</w:t>
      </w:r>
      <w:r w:rsidRPr="006340F9">
        <w:rPr>
          <w:rFonts w:eastAsia="Times"/>
          <w:b/>
          <w:sz w:val="22"/>
          <w:szCs w:val="22"/>
        </w:rPr>
        <w:t xml:space="preserve">erritory </w:t>
      </w:r>
      <w:r w:rsidRPr="006340F9">
        <w:rPr>
          <w:rFonts w:eastAsia="Times"/>
          <w:b/>
          <w:bCs/>
          <w:sz w:val="22"/>
          <w:szCs w:val="22"/>
        </w:rPr>
        <w:t>regulatory authorities</w:t>
      </w:r>
      <w:r w:rsidRPr="006340F9">
        <w:rPr>
          <w:rFonts w:eastAsia="Times"/>
          <w:b/>
          <w:sz w:val="22"/>
          <w:szCs w:val="22"/>
        </w:rPr>
        <w:t xml:space="preserve"> take a proactive, risk-based approach to compliance monitoring with consistent tools.</w:t>
      </w:r>
    </w:p>
    <w:p w14:paraId="0373DE11" w14:textId="77777777" w:rsidR="00027849" w:rsidRPr="006340F9" w:rsidRDefault="00027849" w:rsidP="00027849">
      <w:pPr>
        <w:jc w:val="both"/>
        <w:rPr>
          <w:rFonts w:eastAsia="Times"/>
          <w:b/>
          <w:sz w:val="22"/>
          <w:szCs w:val="22"/>
        </w:rPr>
      </w:pPr>
      <w:r w:rsidRPr="006340F9">
        <w:rPr>
          <w:rFonts w:eastAsia="Times"/>
          <w:b/>
          <w:sz w:val="22"/>
          <w:szCs w:val="22"/>
        </w:rPr>
        <w:t>Option B: A centralised national regulator that adopts a proactive, risk-based approach to compliance monitoring.</w:t>
      </w:r>
    </w:p>
    <w:p w14:paraId="0F1AD758" w14:textId="77777777" w:rsidR="00027849" w:rsidRPr="006340F9" w:rsidRDefault="00027849" w:rsidP="00027849">
      <w:pPr>
        <w:keepNext/>
        <w:keepLines/>
        <w:spacing w:before="240" w:after="80"/>
        <w:outlineLvl w:val="3"/>
        <w:rPr>
          <w:rFonts w:eastAsia="MS Mincho"/>
          <w:color w:val="7F7F7F" w:themeColor="text1" w:themeTint="80"/>
          <w:sz w:val="28"/>
          <w:szCs w:val="22"/>
        </w:rPr>
      </w:pPr>
      <w:r w:rsidRPr="006340F9">
        <w:rPr>
          <w:rFonts w:eastAsia="MS Mincho"/>
          <w:color w:val="7F7F7F" w:themeColor="text1" w:themeTint="80"/>
          <w:sz w:val="28"/>
          <w:szCs w:val="22"/>
        </w:rPr>
        <w:t>Option consideration</w:t>
      </w:r>
    </w:p>
    <w:p w14:paraId="13C4020B" w14:textId="77777777" w:rsidR="00027849" w:rsidRPr="006340F9" w:rsidRDefault="00027849" w:rsidP="00027849">
      <w:pPr>
        <w:jc w:val="both"/>
        <w:rPr>
          <w:rFonts w:eastAsia="Times" w:cs="Arial"/>
          <w:sz w:val="22"/>
          <w:szCs w:val="22"/>
        </w:rPr>
      </w:pPr>
      <w:r w:rsidRPr="006340F9">
        <w:rPr>
          <w:rFonts w:eastAsia="Times" w:cs="Arial"/>
          <w:sz w:val="22"/>
          <w:szCs w:val="22"/>
        </w:rPr>
        <w:t>As outlined above, we identified the potential benefit of a national regulatory approach to be achieved through strengthening and harmonising existing state-based regulatory regimes, rather than through the establishment of a standalone national regulator.</w:t>
      </w:r>
    </w:p>
    <w:p w14:paraId="618F26E0" w14:textId="5F46D2AD" w:rsidR="00027849" w:rsidRPr="006340F9" w:rsidRDefault="00027849" w:rsidP="00027849">
      <w:pPr>
        <w:jc w:val="both"/>
        <w:rPr>
          <w:rFonts w:eastAsia="Times" w:cs="Arial"/>
          <w:sz w:val="22"/>
          <w:szCs w:val="22"/>
        </w:rPr>
      </w:pPr>
      <w:r w:rsidRPr="006340F9">
        <w:rPr>
          <w:rFonts w:eastAsia="Times" w:cs="Arial"/>
          <w:sz w:val="22"/>
          <w:szCs w:val="22"/>
        </w:rPr>
        <w:t xml:space="preserve">Under Option A, individual </w:t>
      </w:r>
      <w:r w:rsidR="001E7E27" w:rsidRPr="006340F9">
        <w:rPr>
          <w:rFonts w:cs="Arial"/>
          <w:sz w:val="22"/>
          <w:szCs w:val="22"/>
        </w:rPr>
        <w:t>State and Territory</w:t>
      </w:r>
      <w:r w:rsidRPr="006340F9">
        <w:rPr>
          <w:rFonts w:eastAsia="Times" w:cs="Arial"/>
          <w:sz w:val="22"/>
          <w:szCs w:val="22"/>
        </w:rPr>
        <w:t xml:space="preserve"> regulatory authorities would be responsible for monitoring compliance of ART providers, as they are for hospitals and health services.</w:t>
      </w:r>
      <w:r w:rsidRPr="006340F9">
        <w:rPr>
          <w:rFonts w:eastAsia="Times" w:cs="Arial"/>
          <w:sz w:val="22"/>
          <w:szCs w:val="22"/>
          <w:vertAlign w:val="superscript"/>
        </w:rPr>
        <w:footnoteReference w:id="201"/>
      </w:r>
      <w:r w:rsidRPr="006340F9">
        <w:rPr>
          <w:rFonts w:eastAsia="Times" w:cs="Arial"/>
          <w:sz w:val="22"/>
          <w:szCs w:val="22"/>
        </w:rPr>
        <w:t xml:space="preserve"> A </w:t>
      </w:r>
      <w:r w:rsidRPr="006340F9">
        <w:rPr>
          <w:rFonts w:eastAsia="Times" w:cs="Arial"/>
          <w:sz w:val="22"/>
          <w:szCs w:val="22"/>
        </w:rPr>
        <w:lastRenderedPageBreak/>
        <w:t>resourcing uplift may be required for some jurisdictions to enforce regulations, particularly in New South Wales and the Northern Territory. However, resourcing requirements may vary across jurisdictions depending on the local scale of providers. Queensland Health currently has 5 FTE dedicated towards regulating the 24 ART clinics in their state.</w:t>
      </w:r>
      <w:r w:rsidRPr="006340F9" w:rsidDel="00AD6A59">
        <w:rPr>
          <w:rFonts w:eastAsia="Times" w:cs="Arial"/>
          <w:sz w:val="22"/>
          <w:szCs w:val="22"/>
        </w:rPr>
        <w:t xml:space="preserve"> </w:t>
      </w:r>
      <w:r w:rsidRPr="006340F9">
        <w:rPr>
          <w:rFonts w:eastAsia="Times" w:cs="Arial"/>
          <w:sz w:val="22"/>
          <w:szCs w:val="22"/>
        </w:rPr>
        <w:t xml:space="preserve">This could serve as a guide for other jurisdictions. Generalist staff as part of a broader health compliance/regulation team may also be considered to balance regulatory oversight with local demand and available resourcing. </w:t>
      </w:r>
    </w:p>
    <w:p w14:paraId="4BD35922" w14:textId="77777777" w:rsidR="00027849" w:rsidRPr="006340F9" w:rsidRDefault="00027849" w:rsidP="00027849">
      <w:pPr>
        <w:jc w:val="both"/>
        <w:rPr>
          <w:rFonts w:eastAsia="Times" w:cs="Arial"/>
          <w:sz w:val="22"/>
          <w:szCs w:val="22"/>
          <w:lang w:eastAsia="en-AU"/>
        </w:rPr>
      </w:pPr>
      <w:r w:rsidRPr="006340F9">
        <w:rPr>
          <w:rFonts w:eastAsia="Times" w:cs="Arial"/>
          <w:sz w:val="22"/>
          <w:szCs w:val="22"/>
          <w:lang w:eastAsia="en-AU"/>
        </w:rPr>
        <w:t>Further investment would also be required to implement case management systems, data analytics, and operational capacity to support effective monitoring and enforcement.</w:t>
      </w:r>
    </w:p>
    <w:p w14:paraId="060F4D90" w14:textId="77777777" w:rsidR="00027849" w:rsidRPr="006340F9" w:rsidRDefault="00027849" w:rsidP="00027849">
      <w:pPr>
        <w:keepNext/>
        <w:keepLines/>
        <w:spacing w:before="240" w:after="80"/>
        <w:outlineLvl w:val="3"/>
        <w:rPr>
          <w:rFonts w:eastAsia="MS Mincho"/>
          <w:color w:val="7F7F7F" w:themeColor="text1" w:themeTint="80"/>
          <w:sz w:val="28"/>
          <w:szCs w:val="22"/>
        </w:rPr>
      </w:pPr>
      <w:r w:rsidRPr="006340F9">
        <w:rPr>
          <w:rFonts w:eastAsia="MS Mincho"/>
          <w:color w:val="7F7F7F" w:themeColor="text1" w:themeTint="80"/>
          <w:sz w:val="28"/>
          <w:szCs w:val="22"/>
        </w:rPr>
        <w:t xml:space="preserve">Recommendation </w:t>
      </w:r>
    </w:p>
    <w:p w14:paraId="0DBD81E7" w14:textId="70C9EEA7" w:rsidR="009F5984" w:rsidRPr="006340F9" w:rsidRDefault="005C40C2" w:rsidP="00027849">
      <w:pPr>
        <w:jc w:val="both"/>
        <w:rPr>
          <w:rFonts w:eastAsia="Times"/>
          <w:b/>
          <w:bCs/>
          <w:sz w:val="22"/>
          <w:szCs w:val="22"/>
        </w:rPr>
      </w:pPr>
      <w:r w:rsidRPr="006340F9">
        <w:rPr>
          <w:rFonts w:eastAsia="Times" w:cs="Arial"/>
          <w:b/>
          <w:bCs/>
          <w:sz w:val="22"/>
          <w:szCs w:val="22"/>
        </w:rPr>
        <w:t>W</w:t>
      </w:r>
      <w:r w:rsidR="00027849" w:rsidRPr="006340F9">
        <w:rPr>
          <w:rFonts w:eastAsia="Times" w:cs="Arial"/>
          <w:b/>
          <w:sz w:val="22"/>
          <w:szCs w:val="22"/>
        </w:rPr>
        <w:t xml:space="preserve">e recommend that </w:t>
      </w:r>
      <w:r w:rsidR="00027849" w:rsidRPr="006340F9">
        <w:rPr>
          <w:rFonts w:eastAsia="Times"/>
          <w:b/>
          <w:sz w:val="22"/>
          <w:szCs w:val="22"/>
        </w:rPr>
        <w:t xml:space="preserve">State and </w:t>
      </w:r>
      <w:r w:rsidR="001E7E27" w:rsidRPr="006340F9">
        <w:rPr>
          <w:rFonts w:eastAsia="Times"/>
          <w:b/>
          <w:bCs/>
          <w:sz w:val="22"/>
          <w:szCs w:val="22"/>
        </w:rPr>
        <w:t>T</w:t>
      </w:r>
      <w:r w:rsidR="00027849" w:rsidRPr="006340F9">
        <w:rPr>
          <w:rFonts w:eastAsia="Times"/>
          <w:b/>
          <w:sz w:val="22"/>
          <w:szCs w:val="22"/>
        </w:rPr>
        <w:t>erritory regulatory authorities take a proactive, risk-based approach to compliance monitoring with consistent tools (Option A).</w:t>
      </w:r>
      <w:r w:rsidR="009F5984" w:rsidRPr="006340F9">
        <w:rPr>
          <w:rFonts w:eastAsia="Times"/>
          <w:b/>
          <w:bCs/>
          <w:sz w:val="22"/>
          <w:szCs w:val="22"/>
        </w:rPr>
        <w:t xml:space="preserve"> </w:t>
      </w:r>
    </w:p>
    <w:p w14:paraId="75D188CA" w14:textId="78DD1A02" w:rsidR="00027849" w:rsidRPr="006340F9" w:rsidRDefault="00027849" w:rsidP="00027849">
      <w:pPr>
        <w:jc w:val="both"/>
        <w:rPr>
          <w:rFonts w:eastAsia="Times" w:cs="Arial"/>
          <w:sz w:val="22"/>
          <w:szCs w:val="22"/>
        </w:rPr>
      </w:pPr>
      <w:r w:rsidRPr="006340F9">
        <w:rPr>
          <w:rFonts w:eastAsia="Times" w:cs="Arial"/>
          <w:sz w:val="22"/>
          <w:szCs w:val="22"/>
        </w:rPr>
        <w:t>This is more consistent with health regulation practices more broadly and is more proportionate to the size of the ART sector than establishing a standalone national regulator (Option B).</w:t>
      </w:r>
    </w:p>
    <w:p w14:paraId="0279A712" w14:textId="553BC419" w:rsidR="00027849" w:rsidRPr="006340F9" w:rsidRDefault="00027849" w:rsidP="00906B48">
      <w:pPr>
        <w:pStyle w:val="Heading3"/>
        <w:rPr>
          <w:bCs w:val="0"/>
        </w:rPr>
      </w:pPr>
      <w:r w:rsidRPr="006340F9">
        <w:t xml:space="preserve">Reform opportunity 6: </w:t>
      </w:r>
      <w:r w:rsidR="00E1602A" w:rsidRPr="006340F9">
        <w:t>Enabling m</w:t>
      </w:r>
      <w:r w:rsidRPr="006340F9">
        <w:t>ore effective regulatory enforcement</w:t>
      </w:r>
    </w:p>
    <w:p w14:paraId="100B106B" w14:textId="77777777" w:rsidR="00027849" w:rsidRPr="006340F9" w:rsidRDefault="00027849" w:rsidP="00027849">
      <w:pPr>
        <w:jc w:val="both"/>
        <w:rPr>
          <w:rFonts w:eastAsia="Times" w:cs="Arial"/>
          <w:sz w:val="22"/>
          <w:szCs w:val="22"/>
        </w:rPr>
      </w:pPr>
      <w:r w:rsidRPr="006340F9">
        <w:rPr>
          <w:rFonts w:eastAsia="Times" w:cs="Arial"/>
          <w:sz w:val="22"/>
          <w:szCs w:val="22"/>
        </w:rPr>
        <w:t>As outlined in chapter 3, currently regulatory powers are limited and under-utilised. Most jurisdictions have blunt enforcement powers that are not being optimally used.</w:t>
      </w:r>
    </w:p>
    <w:p w14:paraId="1381992A" w14:textId="77777777" w:rsidR="00027849" w:rsidRPr="006340F9" w:rsidRDefault="00027849" w:rsidP="00027849">
      <w:pPr>
        <w:jc w:val="both"/>
        <w:rPr>
          <w:rFonts w:eastAsia="Times" w:cs="Arial"/>
          <w:sz w:val="22"/>
          <w:szCs w:val="22"/>
        </w:rPr>
      </w:pPr>
      <w:r w:rsidRPr="006340F9">
        <w:rPr>
          <w:rFonts w:eastAsia="Times" w:cs="Arial"/>
          <w:sz w:val="22"/>
          <w:szCs w:val="22"/>
        </w:rPr>
        <w:t xml:space="preserve">There are two alternative options to address this issue: </w:t>
      </w:r>
    </w:p>
    <w:p w14:paraId="6DDDA4E4" w14:textId="303FB633" w:rsidR="00027849" w:rsidRPr="006340F9" w:rsidRDefault="00027849" w:rsidP="00027849">
      <w:pPr>
        <w:jc w:val="both"/>
        <w:rPr>
          <w:rFonts w:eastAsia="Times"/>
          <w:b/>
          <w:sz w:val="22"/>
          <w:szCs w:val="22"/>
        </w:rPr>
      </w:pPr>
      <w:r w:rsidRPr="006340F9">
        <w:rPr>
          <w:rFonts w:eastAsia="Times"/>
          <w:b/>
          <w:sz w:val="22"/>
          <w:szCs w:val="22"/>
        </w:rPr>
        <w:t xml:space="preserve">Option A: State and </w:t>
      </w:r>
      <w:r w:rsidR="001E7E27" w:rsidRPr="006340F9">
        <w:rPr>
          <w:rFonts w:eastAsia="Times"/>
          <w:b/>
          <w:sz w:val="22"/>
          <w:szCs w:val="22"/>
        </w:rPr>
        <w:t>T</w:t>
      </w:r>
      <w:r w:rsidRPr="006340F9">
        <w:rPr>
          <w:rFonts w:eastAsia="Times"/>
          <w:b/>
          <w:sz w:val="22"/>
          <w:szCs w:val="22"/>
        </w:rPr>
        <w:t>erritory regulatory authorities draw on a spectrum of enforcement tools to enable decisive, proportionate action that deters misconduct</w:t>
      </w:r>
    </w:p>
    <w:p w14:paraId="6B0BA75A" w14:textId="77777777" w:rsidR="00027849" w:rsidRPr="006340F9" w:rsidRDefault="00027849" w:rsidP="00027849">
      <w:pPr>
        <w:jc w:val="both"/>
        <w:rPr>
          <w:rFonts w:eastAsia="Times"/>
          <w:b/>
          <w:sz w:val="22"/>
          <w:szCs w:val="22"/>
        </w:rPr>
      </w:pPr>
      <w:r w:rsidRPr="006340F9">
        <w:rPr>
          <w:rFonts w:eastAsia="Times"/>
          <w:b/>
          <w:sz w:val="22"/>
          <w:szCs w:val="22"/>
        </w:rPr>
        <w:t>Option B: A centralised national regulator with a spectrum of enforcement tools that takes decisive, proportionate action that deters misconduct</w:t>
      </w:r>
    </w:p>
    <w:p w14:paraId="39201085" w14:textId="77777777" w:rsidR="00027849" w:rsidRPr="006340F9" w:rsidRDefault="00027849" w:rsidP="00027849">
      <w:pPr>
        <w:keepNext/>
        <w:keepLines/>
        <w:spacing w:before="240" w:after="80"/>
        <w:outlineLvl w:val="3"/>
        <w:rPr>
          <w:rFonts w:eastAsia="MS Mincho"/>
          <w:color w:val="7F7F7F" w:themeColor="text1" w:themeTint="80"/>
          <w:sz w:val="28"/>
          <w:szCs w:val="22"/>
        </w:rPr>
      </w:pPr>
      <w:r w:rsidRPr="006340F9">
        <w:rPr>
          <w:rFonts w:eastAsia="MS Mincho"/>
          <w:color w:val="7F7F7F" w:themeColor="text1" w:themeTint="80"/>
          <w:sz w:val="28"/>
          <w:szCs w:val="22"/>
        </w:rPr>
        <w:t>Option consideration</w:t>
      </w:r>
    </w:p>
    <w:p w14:paraId="1E269CA7" w14:textId="77777777" w:rsidR="00027849" w:rsidRPr="006340F9" w:rsidRDefault="00027849" w:rsidP="00027849">
      <w:pPr>
        <w:jc w:val="both"/>
        <w:rPr>
          <w:rFonts w:eastAsia="Times" w:cs="Arial"/>
          <w:sz w:val="22"/>
          <w:szCs w:val="22"/>
        </w:rPr>
      </w:pPr>
      <w:r w:rsidRPr="006340F9">
        <w:rPr>
          <w:rFonts w:eastAsia="Times" w:cs="Arial"/>
          <w:sz w:val="22"/>
          <w:szCs w:val="22"/>
        </w:rPr>
        <w:t>Under both options, the regulator/s would have a graduated set of enforcement tools that enable a series of escalating series of actions. In both scenarios, regulatory authorities take enforcement action to address immediate non-compliance and to deter other providers from engaging in similar conduct. Both scenarios would also rely on strengthened communication and sharing of regulatory intelligence between regulatory authorities and the accreditation body to inform compliance monitoring and enforcement activity. Enforcement action requires resources particularly when sanctions and application of penalties result in litigation and appeals.</w:t>
      </w:r>
    </w:p>
    <w:p w14:paraId="4A548071" w14:textId="77777777" w:rsidR="00027849" w:rsidRPr="006340F9" w:rsidRDefault="00027849" w:rsidP="00027849">
      <w:pPr>
        <w:jc w:val="both"/>
        <w:rPr>
          <w:rFonts w:eastAsia="Times" w:cs="Arial"/>
          <w:sz w:val="22"/>
          <w:szCs w:val="22"/>
        </w:rPr>
      </w:pPr>
      <w:r w:rsidRPr="006340F9">
        <w:rPr>
          <w:rFonts w:eastAsia="Times" w:cs="Arial"/>
          <w:sz w:val="22"/>
          <w:szCs w:val="22"/>
        </w:rPr>
        <w:t>Option A can be implemented through a shared framework and harmonisation of enforcement powers. This option leverages existing arrangements but seeks to harmonise them, whereas Option B requires the establishment of a new standalone national regulator. As outlined in opportunity 4, establishing a national regulator would be a lengthy process requiring coordinated legislative reform, intergovernmental negotiation and system redesign.</w:t>
      </w:r>
      <w:r w:rsidRPr="006340F9">
        <w:rPr>
          <w:rFonts w:eastAsia="Times" w:cs="Arial"/>
          <w:sz w:val="22"/>
          <w:szCs w:val="22"/>
          <w:vertAlign w:val="superscript"/>
        </w:rPr>
        <w:footnoteReference w:id="202"/>
      </w:r>
    </w:p>
    <w:p w14:paraId="26D05DB9" w14:textId="77777777" w:rsidR="00027849" w:rsidRPr="006340F9" w:rsidRDefault="00027849" w:rsidP="00027849">
      <w:pPr>
        <w:keepNext/>
        <w:keepLines/>
        <w:spacing w:before="240" w:after="80"/>
        <w:outlineLvl w:val="3"/>
        <w:rPr>
          <w:rFonts w:eastAsia="MS Mincho"/>
          <w:color w:val="7F7F7F" w:themeColor="text1" w:themeTint="80"/>
          <w:sz w:val="28"/>
          <w:szCs w:val="22"/>
        </w:rPr>
      </w:pPr>
      <w:r w:rsidRPr="006340F9">
        <w:rPr>
          <w:rFonts w:eastAsia="MS Mincho"/>
          <w:color w:val="7F7F7F" w:themeColor="text1" w:themeTint="80"/>
          <w:sz w:val="28"/>
          <w:szCs w:val="22"/>
        </w:rPr>
        <w:lastRenderedPageBreak/>
        <w:t>Recommendation</w:t>
      </w:r>
    </w:p>
    <w:p w14:paraId="2BC1197F" w14:textId="558A2DDA" w:rsidR="00027849" w:rsidRPr="006340F9" w:rsidRDefault="00367213" w:rsidP="00027849">
      <w:pPr>
        <w:jc w:val="both"/>
        <w:rPr>
          <w:rFonts w:eastAsia="Times"/>
          <w:b/>
          <w:sz w:val="22"/>
          <w:szCs w:val="22"/>
        </w:rPr>
      </w:pPr>
      <w:r w:rsidRPr="006340F9">
        <w:rPr>
          <w:rFonts w:eastAsia="Times" w:cs="Arial"/>
          <w:b/>
          <w:bCs/>
          <w:sz w:val="22"/>
          <w:szCs w:val="22"/>
        </w:rPr>
        <w:t>W</w:t>
      </w:r>
      <w:r w:rsidR="00027849" w:rsidRPr="006340F9">
        <w:rPr>
          <w:rFonts w:eastAsia="Times" w:cs="Arial"/>
          <w:b/>
          <w:bCs/>
          <w:sz w:val="22"/>
          <w:szCs w:val="22"/>
        </w:rPr>
        <w:t>e</w:t>
      </w:r>
      <w:r w:rsidR="00027849" w:rsidRPr="006340F9">
        <w:rPr>
          <w:rFonts w:eastAsia="Times" w:cs="Arial"/>
          <w:b/>
          <w:sz w:val="22"/>
          <w:szCs w:val="22"/>
        </w:rPr>
        <w:t xml:space="preserve"> recommend that </w:t>
      </w:r>
      <w:r w:rsidR="00027849" w:rsidRPr="006340F9">
        <w:rPr>
          <w:rFonts w:eastAsia="Times"/>
          <w:b/>
          <w:sz w:val="22"/>
          <w:szCs w:val="22"/>
        </w:rPr>
        <w:t xml:space="preserve">State and </w:t>
      </w:r>
      <w:r w:rsidR="001E7E27" w:rsidRPr="006340F9">
        <w:rPr>
          <w:rFonts w:eastAsia="Times"/>
          <w:b/>
          <w:bCs/>
          <w:sz w:val="22"/>
          <w:szCs w:val="22"/>
        </w:rPr>
        <w:t>T</w:t>
      </w:r>
      <w:r w:rsidR="00027849" w:rsidRPr="006340F9">
        <w:rPr>
          <w:rFonts w:eastAsia="Times"/>
          <w:b/>
          <w:sz w:val="22"/>
          <w:szCs w:val="22"/>
        </w:rPr>
        <w:t>erritory regulatory authorities draw on a spectrum of enforcement tools to enable decisive, proportionate action that deters misconduct (Option A).</w:t>
      </w:r>
    </w:p>
    <w:p w14:paraId="29FBE06D" w14:textId="3D9ED317" w:rsidR="00027849" w:rsidRPr="006340F9" w:rsidRDefault="00367213" w:rsidP="00027849">
      <w:pPr>
        <w:jc w:val="both"/>
        <w:rPr>
          <w:rFonts w:eastAsia="Times" w:cs="Arial"/>
          <w:sz w:val="22"/>
          <w:szCs w:val="22"/>
        </w:rPr>
      </w:pPr>
      <w:r w:rsidRPr="006340F9">
        <w:rPr>
          <w:rFonts w:eastAsia="Times"/>
          <w:bCs/>
          <w:sz w:val="22"/>
          <w:szCs w:val="22"/>
        </w:rPr>
        <w:t>This recommendation is c</w:t>
      </w:r>
      <w:r w:rsidRPr="006340F9">
        <w:rPr>
          <w:rFonts w:eastAsia="Times" w:cs="Arial"/>
          <w:sz w:val="22"/>
          <w:szCs w:val="22"/>
        </w:rPr>
        <w:t xml:space="preserve">onsistent with maintaining jurisdiction-led regulation (opportunities 4 and 5). </w:t>
      </w:r>
      <w:r w:rsidR="00027849" w:rsidRPr="006340F9">
        <w:rPr>
          <w:rFonts w:eastAsia="Times" w:cs="Arial"/>
          <w:sz w:val="22"/>
          <w:szCs w:val="22"/>
        </w:rPr>
        <w:t xml:space="preserve">We believe that Option A is more feasible than developing enforcement tools within a national regulator (Option B). While there may be some benefit in a national regulator, the ART sector is a relatively small part of the health sector, and it is difficult to justify a standalone regulator. </w:t>
      </w:r>
    </w:p>
    <w:p w14:paraId="3EDD6D6B" w14:textId="00B839EF" w:rsidR="00027849" w:rsidRPr="006340F9" w:rsidRDefault="00027849" w:rsidP="00193CC1">
      <w:pPr>
        <w:pStyle w:val="Heading2"/>
        <w:rPr>
          <w:b w:val="0"/>
        </w:rPr>
      </w:pPr>
      <w:bookmarkStart w:id="156" w:name="_Toc207976250"/>
      <w:bookmarkStart w:id="157" w:name="_Toc209442003"/>
      <w:r w:rsidRPr="006340F9">
        <w:t>Enablers of reform opportunities</w:t>
      </w:r>
      <w:bookmarkEnd w:id="156"/>
      <w:bookmarkEnd w:id="157"/>
    </w:p>
    <w:p w14:paraId="4FBB8813" w14:textId="77777777" w:rsidR="00027849" w:rsidRPr="006340F9" w:rsidRDefault="00027849" w:rsidP="00027849">
      <w:pPr>
        <w:jc w:val="both"/>
        <w:rPr>
          <w:rFonts w:eastAsia="Times" w:cs="Arial"/>
          <w:sz w:val="22"/>
          <w:szCs w:val="22"/>
        </w:rPr>
      </w:pPr>
      <w:r w:rsidRPr="006340F9">
        <w:rPr>
          <w:rFonts w:eastAsia="Times" w:cs="Arial"/>
          <w:sz w:val="22"/>
          <w:szCs w:val="22"/>
        </w:rPr>
        <w:t>We identified four further opportunities that will strengthen oversight of the ART sector:</w:t>
      </w:r>
    </w:p>
    <w:p w14:paraId="68601173" w14:textId="03225E17" w:rsidR="00027849" w:rsidRPr="006340F9" w:rsidRDefault="00027849" w:rsidP="007C2C61">
      <w:pPr>
        <w:numPr>
          <w:ilvl w:val="0"/>
          <w:numId w:val="14"/>
        </w:numPr>
        <w:jc w:val="both"/>
        <w:rPr>
          <w:rFonts w:eastAsia="Times" w:cs="Arial"/>
          <w:sz w:val="22"/>
          <w:szCs w:val="22"/>
        </w:rPr>
      </w:pPr>
      <w:r w:rsidRPr="006340F9">
        <w:rPr>
          <w:rFonts w:eastAsia="Times" w:cs="Arial"/>
          <w:sz w:val="22"/>
          <w:szCs w:val="22"/>
        </w:rPr>
        <w:t>Shar</w:t>
      </w:r>
      <w:r w:rsidR="00403FBD" w:rsidRPr="006340F9">
        <w:rPr>
          <w:rFonts w:eastAsia="Times" w:cs="Arial"/>
          <w:sz w:val="22"/>
          <w:szCs w:val="22"/>
        </w:rPr>
        <w:t>ing</w:t>
      </w:r>
      <w:r w:rsidRPr="006340F9">
        <w:rPr>
          <w:rFonts w:eastAsia="Times" w:cs="Arial"/>
          <w:sz w:val="22"/>
          <w:szCs w:val="22"/>
        </w:rPr>
        <w:t xml:space="preserve"> and publish</w:t>
      </w:r>
      <w:r w:rsidR="007B4C01" w:rsidRPr="006340F9">
        <w:rPr>
          <w:rFonts w:eastAsia="Times" w:cs="Arial"/>
          <w:sz w:val="22"/>
          <w:szCs w:val="22"/>
        </w:rPr>
        <w:t>ing</w:t>
      </w:r>
      <w:r w:rsidRPr="006340F9">
        <w:rPr>
          <w:rFonts w:eastAsia="Times" w:cs="Arial"/>
          <w:sz w:val="22"/>
          <w:szCs w:val="22"/>
        </w:rPr>
        <w:t xml:space="preserve"> data on safety and quality improvement.</w:t>
      </w:r>
    </w:p>
    <w:p w14:paraId="7AD5B5EC" w14:textId="2B1EADB2" w:rsidR="003A0FBE" w:rsidRPr="006340F9" w:rsidRDefault="00027849" w:rsidP="007C2C61">
      <w:pPr>
        <w:numPr>
          <w:ilvl w:val="0"/>
          <w:numId w:val="14"/>
        </w:numPr>
        <w:jc w:val="both"/>
        <w:rPr>
          <w:rFonts w:eastAsia="Times" w:cs="Arial"/>
          <w:sz w:val="22"/>
          <w:szCs w:val="22"/>
        </w:rPr>
      </w:pPr>
      <w:r w:rsidRPr="006340F9">
        <w:rPr>
          <w:rFonts w:eastAsia="Times" w:cs="Arial"/>
          <w:sz w:val="22"/>
          <w:szCs w:val="22"/>
        </w:rPr>
        <w:t>Improv</w:t>
      </w:r>
      <w:r w:rsidR="007B4C01" w:rsidRPr="006340F9">
        <w:rPr>
          <w:rFonts w:eastAsia="Times" w:cs="Arial"/>
          <w:sz w:val="22"/>
          <w:szCs w:val="22"/>
        </w:rPr>
        <w:t>ing</w:t>
      </w:r>
      <w:r w:rsidRPr="006340F9">
        <w:rPr>
          <w:rFonts w:eastAsia="Times" w:cs="Arial"/>
          <w:sz w:val="22"/>
          <w:szCs w:val="22"/>
        </w:rPr>
        <w:t xml:space="preserve"> transparency and guidance to enable informed consumer choice and consent.</w:t>
      </w:r>
    </w:p>
    <w:p w14:paraId="6EB67371" w14:textId="3D8190D8" w:rsidR="003A0FBE" w:rsidRPr="006340F9" w:rsidRDefault="00027849" w:rsidP="007C2C61">
      <w:pPr>
        <w:numPr>
          <w:ilvl w:val="0"/>
          <w:numId w:val="14"/>
        </w:numPr>
        <w:jc w:val="both"/>
        <w:rPr>
          <w:rFonts w:eastAsia="Times" w:cs="Arial"/>
          <w:sz w:val="22"/>
          <w:szCs w:val="22"/>
        </w:rPr>
      </w:pPr>
      <w:r w:rsidRPr="006340F9">
        <w:rPr>
          <w:rFonts w:eastAsia="Times" w:cs="Arial"/>
          <w:sz w:val="22"/>
          <w:szCs w:val="22"/>
        </w:rPr>
        <w:t>Clarify</w:t>
      </w:r>
      <w:r w:rsidR="007B4C01" w:rsidRPr="006340F9">
        <w:rPr>
          <w:rFonts w:eastAsia="Times" w:cs="Arial"/>
          <w:sz w:val="22"/>
          <w:szCs w:val="22"/>
        </w:rPr>
        <w:t>ing</w:t>
      </w:r>
      <w:r w:rsidRPr="006340F9">
        <w:rPr>
          <w:rFonts w:eastAsia="Times" w:cs="Arial"/>
          <w:sz w:val="22"/>
          <w:szCs w:val="22"/>
        </w:rPr>
        <w:t xml:space="preserve"> establish</w:t>
      </w:r>
      <w:r w:rsidR="00736CD5" w:rsidRPr="006340F9">
        <w:rPr>
          <w:rFonts w:eastAsia="Times" w:cs="Arial"/>
          <w:sz w:val="22"/>
          <w:szCs w:val="22"/>
        </w:rPr>
        <w:t>ed</w:t>
      </w:r>
      <w:r w:rsidRPr="006340F9">
        <w:rPr>
          <w:rFonts w:eastAsia="Times" w:cs="Arial"/>
          <w:sz w:val="22"/>
          <w:szCs w:val="22"/>
        </w:rPr>
        <w:t xml:space="preserve"> complaints pathways and processes</w:t>
      </w:r>
      <w:r w:rsidR="003A0FBE" w:rsidRPr="006340F9">
        <w:rPr>
          <w:rFonts w:eastAsia="Times" w:cs="Arial"/>
          <w:sz w:val="22"/>
          <w:szCs w:val="22"/>
        </w:rPr>
        <w:t>.</w:t>
      </w:r>
    </w:p>
    <w:p w14:paraId="4E95582B" w14:textId="11564218" w:rsidR="00027849" w:rsidRPr="006340F9" w:rsidRDefault="00027849" w:rsidP="007C2C61">
      <w:pPr>
        <w:numPr>
          <w:ilvl w:val="0"/>
          <w:numId w:val="14"/>
        </w:numPr>
        <w:jc w:val="both"/>
        <w:rPr>
          <w:rFonts w:eastAsia="Times" w:cs="Arial"/>
          <w:sz w:val="22"/>
          <w:szCs w:val="22"/>
        </w:rPr>
      </w:pPr>
      <w:r w:rsidRPr="006340F9">
        <w:rPr>
          <w:rFonts w:eastAsia="Times" w:cs="Arial"/>
          <w:sz w:val="22"/>
          <w:szCs w:val="22"/>
        </w:rPr>
        <w:t>Shar</w:t>
      </w:r>
      <w:r w:rsidR="007B4C01" w:rsidRPr="006340F9">
        <w:rPr>
          <w:rFonts w:eastAsia="Times" w:cs="Arial"/>
          <w:sz w:val="22"/>
          <w:szCs w:val="22"/>
        </w:rPr>
        <w:t>ing</w:t>
      </w:r>
      <w:r w:rsidRPr="006340F9">
        <w:rPr>
          <w:rFonts w:eastAsia="Times" w:cs="Arial"/>
          <w:sz w:val="22"/>
          <w:szCs w:val="22"/>
        </w:rPr>
        <w:t xml:space="preserve"> and us</w:t>
      </w:r>
      <w:r w:rsidR="007B4C01" w:rsidRPr="006340F9">
        <w:rPr>
          <w:rFonts w:eastAsia="Times" w:cs="Arial"/>
          <w:sz w:val="22"/>
          <w:szCs w:val="22"/>
        </w:rPr>
        <w:t>ing</w:t>
      </w:r>
      <w:r w:rsidRPr="006340F9">
        <w:rPr>
          <w:rFonts w:eastAsia="Times" w:cs="Arial"/>
          <w:sz w:val="22"/>
          <w:szCs w:val="22"/>
        </w:rPr>
        <w:t xml:space="preserve"> complaints data to support accreditation and regulatory activities.</w:t>
      </w:r>
    </w:p>
    <w:p w14:paraId="6B93D681" w14:textId="6EFEB2CC" w:rsidR="00027849" w:rsidRPr="006340F9" w:rsidRDefault="00027849" w:rsidP="004D3513">
      <w:pPr>
        <w:pStyle w:val="Heading3"/>
        <w:rPr>
          <w:bCs w:val="0"/>
        </w:rPr>
      </w:pPr>
      <w:r w:rsidRPr="006340F9">
        <w:t xml:space="preserve">Reform opportunity 7: </w:t>
      </w:r>
      <w:r w:rsidR="001C4329" w:rsidRPr="006340F9">
        <w:t xml:space="preserve">Sharing </w:t>
      </w:r>
      <w:r w:rsidRPr="006340F9">
        <w:t>and publish</w:t>
      </w:r>
      <w:r w:rsidR="001C4329" w:rsidRPr="006340F9">
        <w:t>ing</w:t>
      </w:r>
      <w:r w:rsidRPr="006340F9">
        <w:t xml:space="preserve"> data on safety and quality improvement </w:t>
      </w:r>
    </w:p>
    <w:p w14:paraId="2198F1A6" w14:textId="6F147ABB" w:rsidR="00027849" w:rsidRPr="006340F9" w:rsidRDefault="00027849" w:rsidP="00027849">
      <w:pPr>
        <w:jc w:val="both"/>
        <w:rPr>
          <w:rFonts w:eastAsia="Times" w:cs="Arial"/>
          <w:sz w:val="22"/>
          <w:szCs w:val="22"/>
        </w:rPr>
      </w:pPr>
      <w:r w:rsidRPr="006340F9">
        <w:rPr>
          <w:rFonts w:eastAsia="Times" w:cs="Arial"/>
          <w:sz w:val="22"/>
          <w:szCs w:val="22"/>
        </w:rPr>
        <w:t xml:space="preserve">As discussed in chapter </w:t>
      </w:r>
      <w:r w:rsidRPr="006340F9">
        <w:rPr>
          <w:rFonts w:eastAsia="Times" w:cs="Arial"/>
          <w:sz w:val="22"/>
          <w:szCs w:val="22"/>
        </w:rPr>
        <w:fldChar w:fldCharType="begin"/>
      </w:r>
      <w:r w:rsidRPr="006340F9">
        <w:rPr>
          <w:rFonts w:eastAsia="Times" w:cs="Arial"/>
          <w:sz w:val="22"/>
          <w:szCs w:val="22"/>
        </w:rPr>
        <w:instrText xml:space="preserve"> REF _Ref207633499 \r \h  \* MERGEFORMAT </w:instrText>
      </w:r>
      <w:r w:rsidRPr="006340F9">
        <w:rPr>
          <w:rFonts w:eastAsia="Times" w:cs="Arial"/>
          <w:sz w:val="22"/>
          <w:szCs w:val="22"/>
        </w:rPr>
      </w:r>
      <w:r w:rsidRPr="006340F9">
        <w:rPr>
          <w:rFonts w:eastAsia="Times" w:cs="Arial"/>
          <w:sz w:val="22"/>
          <w:szCs w:val="22"/>
        </w:rPr>
        <w:fldChar w:fldCharType="separate"/>
      </w:r>
      <w:r w:rsidR="007D732A">
        <w:rPr>
          <w:rFonts w:eastAsia="Times" w:cs="Arial"/>
          <w:sz w:val="22"/>
          <w:szCs w:val="22"/>
        </w:rPr>
        <w:t>3</w:t>
      </w:r>
      <w:r w:rsidRPr="006340F9">
        <w:rPr>
          <w:rFonts w:eastAsia="Times" w:cs="Arial"/>
          <w:sz w:val="22"/>
          <w:szCs w:val="22"/>
        </w:rPr>
        <w:fldChar w:fldCharType="end"/>
      </w:r>
      <w:r w:rsidRPr="006340F9">
        <w:rPr>
          <w:rFonts w:eastAsia="Times" w:cs="Arial"/>
          <w:sz w:val="22"/>
          <w:szCs w:val="22"/>
        </w:rPr>
        <w:t xml:space="preserve">, ART providers already collect and report a significant volume of process and outcome data to ANZARD. However, these data are not used by RTAC or jurisdictional regulatory authorities to inform regulatory activities or support continuous improvement. This is particularly the case for safety and quality improvement data. These are missed opportunities. Better use of data already collected and reported, including publication of the data in the public domain, would significantly enhance accreditation and regulatory functions, and consumer decision making (as outlined in </w:t>
      </w:r>
      <w:r w:rsidRPr="006340F9">
        <w:rPr>
          <w:rFonts w:eastAsia="Times" w:cs="Arial"/>
          <w:i/>
          <w:iCs/>
          <w:sz w:val="22"/>
          <w:szCs w:val="22"/>
        </w:rPr>
        <w:fldChar w:fldCharType="begin"/>
      </w:r>
      <w:r w:rsidRPr="006340F9">
        <w:rPr>
          <w:rFonts w:eastAsia="Times" w:cs="Arial"/>
          <w:i/>
          <w:iCs/>
          <w:sz w:val="22"/>
          <w:szCs w:val="22"/>
        </w:rPr>
        <w:instrText xml:space="preserve"> REF _Ref207640928 \h </w:instrText>
      </w:r>
      <w:r w:rsidRPr="006340F9">
        <w:rPr>
          <w:rFonts w:eastAsia="Times" w:cs="Arial"/>
          <w:i/>
          <w:iCs/>
          <w:sz w:val="22"/>
          <w:szCs w:val="22"/>
        </w:rPr>
      </w:r>
      <w:r w:rsidRPr="006340F9">
        <w:rPr>
          <w:rFonts w:eastAsia="Times" w:cs="Arial"/>
          <w:i/>
          <w:iCs/>
          <w:sz w:val="22"/>
          <w:szCs w:val="22"/>
        </w:rPr>
        <w:fldChar w:fldCharType="separate"/>
      </w:r>
      <w:r w:rsidR="007D732A" w:rsidRPr="006340F9">
        <w:t xml:space="preserve">Reform opportunity 8: Improving transparency and guidance to enable informed consumer choice and </w:t>
      </w:r>
      <w:r w:rsidR="007D732A" w:rsidRPr="006340F9" w:rsidDel="00137EFC">
        <w:t>consent</w:t>
      </w:r>
      <w:r w:rsidRPr="006340F9">
        <w:rPr>
          <w:rFonts w:eastAsia="Times" w:cs="Arial"/>
          <w:i/>
          <w:iCs/>
          <w:sz w:val="22"/>
          <w:szCs w:val="22"/>
        </w:rPr>
        <w:fldChar w:fldCharType="end"/>
      </w:r>
      <w:r w:rsidRPr="006340F9">
        <w:rPr>
          <w:rFonts w:eastAsia="Times" w:cs="Arial"/>
          <w:sz w:val="22"/>
          <w:szCs w:val="22"/>
        </w:rPr>
        <w:t>).</w:t>
      </w:r>
    </w:p>
    <w:p w14:paraId="037B3E9B" w14:textId="77777777" w:rsidR="00027849" w:rsidRPr="006340F9" w:rsidRDefault="00027849" w:rsidP="00027849">
      <w:pPr>
        <w:jc w:val="both"/>
        <w:rPr>
          <w:rFonts w:eastAsia="Times" w:cs="Arial"/>
          <w:sz w:val="22"/>
          <w:szCs w:val="22"/>
        </w:rPr>
      </w:pPr>
      <w:r w:rsidRPr="006340F9">
        <w:rPr>
          <w:rFonts w:eastAsia="Times" w:cs="Arial"/>
          <w:sz w:val="22"/>
          <w:szCs w:val="22"/>
        </w:rPr>
        <w:t xml:space="preserve">We identified three potential options: </w:t>
      </w:r>
    </w:p>
    <w:p w14:paraId="2A1D76DC" w14:textId="77777777" w:rsidR="00027849" w:rsidRPr="006340F9" w:rsidRDefault="00027849" w:rsidP="00027849">
      <w:pPr>
        <w:jc w:val="both"/>
        <w:rPr>
          <w:rFonts w:eastAsia="Times"/>
          <w:b/>
          <w:sz w:val="22"/>
          <w:szCs w:val="22"/>
        </w:rPr>
      </w:pPr>
      <w:r w:rsidRPr="006340F9">
        <w:rPr>
          <w:rFonts w:eastAsia="Times"/>
          <w:b/>
          <w:sz w:val="22"/>
          <w:szCs w:val="22"/>
        </w:rPr>
        <w:t>Option A: Share safety data (e.g. audit and adverse events) between</w:t>
      </w:r>
      <w:r w:rsidRPr="006340F9" w:rsidDel="00242BF2">
        <w:rPr>
          <w:rFonts w:eastAsia="Times"/>
          <w:b/>
          <w:sz w:val="22"/>
          <w:szCs w:val="22"/>
        </w:rPr>
        <w:t xml:space="preserve"> </w:t>
      </w:r>
      <w:r w:rsidRPr="006340F9">
        <w:rPr>
          <w:rFonts w:eastAsia="Times"/>
          <w:b/>
          <w:sz w:val="22"/>
          <w:szCs w:val="22"/>
        </w:rPr>
        <w:t>the accreditor and regulators to inform standards, accreditation, and regulatory</w:t>
      </w:r>
      <w:r w:rsidRPr="006340F9" w:rsidDel="00242BF2">
        <w:rPr>
          <w:rFonts w:eastAsia="Times"/>
          <w:b/>
          <w:sz w:val="22"/>
          <w:szCs w:val="22"/>
        </w:rPr>
        <w:t xml:space="preserve"> </w:t>
      </w:r>
      <w:r w:rsidRPr="006340F9">
        <w:rPr>
          <w:rFonts w:eastAsia="Times"/>
          <w:b/>
          <w:sz w:val="22"/>
          <w:szCs w:val="22"/>
        </w:rPr>
        <w:t>activities.</w:t>
      </w:r>
    </w:p>
    <w:p w14:paraId="47659264" w14:textId="77777777" w:rsidR="00027849" w:rsidRPr="006340F9" w:rsidRDefault="00027849" w:rsidP="00027849">
      <w:pPr>
        <w:jc w:val="both"/>
        <w:rPr>
          <w:rFonts w:eastAsia="Times"/>
          <w:sz w:val="22"/>
          <w:szCs w:val="22"/>
        </w:rPr>
      </w:pPr>
      <w:r w:rsidRPr="006340F9">
        <w:rPr>
          <w:rFonts w:eastAsia="Times"/>
          <w:sz w:val="22"/>
          <w:szCs w:val="22"/>
        </w:rPr>
        <w:t xml:space="preserve">This would support a risk-based approach to regulation and oversight of the sector and support proactive compliance monitoring and continuous improvement where data reveals pockets or trends of non-compliance.  </w:t>
      </w:r>
    </w:p>
    <w:p w14:paraId="1EADD036" w14:textId="77777777" w:rsidR="00027849" w:rsidRPr="006340F9" w:rsidRDefault="00027849" w:rsidP="00027849">
      <w:pPr>
        <w:jc w:val="both"/>
        <w:rPr>
          <w:rFonts w:eastAsia="Times"/>
          <w:b/>
          <w:sz w:val="22"/>
          <w:szCs w:val="22"/>
        </w:rPr>
      </w:pPr>
      <w:r w:rsidRPr="006340F9" w:rsidDel="00BA48AC">
        <w:rPr>
          <w:rFonts w:eastAsia="Times"/>
          <w:b/>
          <w:sz w:val="22"/>
          <w:szCs w:val="22"/>
        </w:rPr>
        <w:t>Option B</w:t>
      </w:r>
      <w:r w:rsidRPr="006340F9">
        <w:rPr>
          <w:rFonts w:eastAsia="Times"/>
          <w:b/>
          <w:sz w:val="22"/>
          <w:szCs w:val="22"/>
        </w:rPr>
        <w:t>: Publish accreditation data for public transparency.</w:t>
      </w:r>
    </w:p>
    <w:p w14:paraId="0D195ED8" w14:textId="77777777" w:rsidR="00027849" w:rsidRPr="006340F9" w:rsidRDefault="00027849" w:rsidP="00027849">
      <w:pPr>
        <w:jc w:val="both"/>
        <w:rPr>
          <w:rFonts w:eastAsia="Times"/>
          <w:sz w:val="22"/>
          <w:szCs w:val="22"/>
        </w:rPr>
      </w:pPr>
      <w:r w:rsidRPr="006340F9">
        <w:rPr>
          <w:rFonts w:eastAsia="Times"/>
          <w:sz w:val="22"/>
          <w:szCs w:val="22"/>
        </w:rPr>
        <w:t>This would involve publishing provider assessment results, undertaken as part of the accreditation process.</w:t>
      </w:r>
    </w:p>
    <w:p w14:paraId="215832ED" w14:textId="77777777" w:rsidR="00027849" w:rsidRPr="006340F9" w:rsidRDefault="00027849" w:rsidP="00027849">
      <w:pPr>
        <w:jc w:val="both"/>
        <w:rPr>
          <w:rFonts w:eastAsia="Times"/>
          <w:b/>
          <w:sz w:val="22"/>
          <w:szCs w:val="22"/>
        </w:rPr>
      </w:pPr>
      <w:r w:rsidRPr="006340F9">
        <w:rPr>
          <w:rFonts w:eastAsia="Times"/>
          <w:b/>
          <w:sz w:val="22"/>
          <w:szCs w:val="22"/>
        </w:rPr>
        <w:t>Option C: Share and publish thematic analysis of safety (e.g. audit and adverse events) and quality improvement data to support providers to continuously improve.</w:t>
      </w:r>
    </w:p>
    <w:p w14:paraId="4FA67940" w14:textId="77777777" w:rsidR="00027849" w:rsidRPr="006340F9" w:rsidRDefault="00027849" w:rsidP="00027849">
      <w:pPr>
        <w:jc w:val="both"/>
        <w:rPr>
          <w:rFonts w:eastAsia="Times"/>
          <w:bCs/>
          <w:sz w:val="22"/>
          <w:szCs w:val="22"/>
        </w:rPr>
      </w:pPr>
      <w:r w:rsidRPr="006340F9">
        <w:rPr>
          <w:rFonts w:eastAsia="Times"/>
          <w:bCs/>
          <w:sz w:val="22"/>
          <w:szCs w:val="22"/>
        </w:rPr>
        <w:t>This would involve the accreditation agency, regulators and/or ANZARD regularly undertaking analysis and publishing reports on topical issues to drive continuous improvement.</w:t>
      </w:r>
    </w:p>
    <w:p w14:paraId="40866D35" w14:textId="77777777" w:rsidR="00027849" w:rsidRPr="006340F9" w:rsidRDefault="00027849" w:rsidP="00027849">
      <w:pPr>
        <w:keepNext/>
        <w:keepLines/>
        <w:spacing w:before="240" w:after="80"/>
        <w:outlineLvl w:val="3"/>
        <w:rPr>
          <w:rFonts w:eastAsia="MS Mincho"/>
          <w:color w:val="7F7F7F" w:themeColor="text1" w:themeTint="80"/>
          <w:sz w:val="28"/>
          <w:szCs w:val="22"/>
        </w:rPr>
      </w:pPr>
      <w:r w:rsidRPr="006340F9">
        <w:rPr>
          <w:rFonts w:eastAsia="MS Mincho"/>
          <w:color w:val="7F7F7F" w:themeColor="text1" w:themeTint="80"/>
          <w:sz w:val="28"/>
          <w:szCs w:val="22"/>
        </w:rPr>
        <w:lastRenderedPageBreak/>
        <w:t>Option consideration</w:t>
      </w:r>
    </w:p>
    <w:p w14:paraId="001865BF" w14:textId="77777777" w:rsidR="00027849" w:rsidRPr="006340F9" w:rsidRDefault="00027849" w:rsidP="00027849">
      <w:pPr>
        <w:jc w:val="both"/>
        <w:rPr>
          <w:rFonts w:eastAsia="Times" w:cs="Arial"/>
          <w:sz w:val="22"/>
          <w:szCs w:val="22"/>
        </w:rPr>
      </w:pPr>
      <w:r w:rsidRPr="006340F9">
        <w:rPr>
          <w:rFonts w:eastAsia="Times" w:cs="Arial"/>
          <w:sz w:val="22"/>
          <w:szCs w:val="22"/>
        </w:rPr>
        <w:t>The sharing of safety data to support accreditation and regulatory activities (Option A) would require</w:t>
      </w:r>
      <w:r w:rsidRPr="006340F9" w:rsidDel="00696463">
        <w:rPr>
          <w:rFonts w:eastAsia="Times" w:cs="Arial"/>
          <w:sz w:val="22"/>
          <w:szCs w:val="22"/>
        </w:rPr>
        <w:t xml:space="preserve"> </w:t>
      </w:r>
      <w:r w:rsidRPr="006340F9">
        <w:rPr>
          <w:rFonts w:eastAsia="Times" w:cs="Arial"/>
          <w:sz w:val="22"/>
          <w:szCs w:val="22"/>
        </w:rPr>
        <w:t>systems for managing and categorising information between the accreditor and regulators. It would likely require a memorandum of understanding that clearly establishes the type of information that should be shared and in what timeframes. Ideally information would be shared in a seamless and automated way rather than manual data entry.</w:t>
      </w:r>
    </w:p>
    <w:p w14:paraId="4303FB8C" w14:textId="77777777" w:rsidR="00027849" w:rsidRPr="006340F9" w:rsidRDefault="00027849" w:rsidP="00027849">
      <w:pPr>
        <w:jc w:val="both"/>
        <w:rPr>
          <w:rFonts w:eastAsia="Times" w:cs="Arial"/>
          <w:sz w:val="22"/>
          <w:szCs w:val="22"/>
        </w:rPr>
      </w:pPr>
      <w:r w:rsidRPr="006340F9">
        <w:rPr>
          <w:rFonts w:eastAsia="Times" w:cs="Arial"/>
          <w:sz w:val="22"/>
          <w:szCs w:val="22"/>
        </w:rPr>
        <w:t>Option B would involve the publication of accreditation results via the accreditor’s website. Providers may not be supportive of this approach. However, this approach is currently used by the Commission which publishes assessment outcomes for hospitals.</w:t>
      </w:r>
      <w:r w:rsidRPr="006340F9">
        <w:rPr>
          <w:rFonts w:eastAsia="Times" w:cs="Arial"/>
          <w:sz w:val="22"/>
          <w:szCs w:val="22"/>
          <w:vertAlign w:val="superscript"/>
        </w:rPr>
        <w:footnoteReference w:id="203"/>
      </w:r>
      <w:r w:rsidRPr="006340F9">
        <w:rPr>
          <w:rFonts w:eastAsia="Times" w:cs="Arial"/>
          <w:sz w:val="22"/>
          <w:szCs w:val="22"/>
        </w:rPr>
        <w:t xml:space="preserve"> The ART sector could adopt the same approach. This would improve performance transparency and benefit consumers seeking further information about a provider’s safety standards. </w:t>
      </w:r>
    </w:p>
    <w:p w14:paraId="0AD5F551" w14:textId="77777777" w:rsidR="00027849" w:rsidRPr="006340F9" w:rsidRDefault="00027849" w:rsidP="00027849">
      <w:pPr>
        <w:jc w:val="both"/>
        <w:rPr>
          <w:rFonts w:eastAsia="Times" w:cs="Arial"/>
          <w:sz w:val="22"/>
          <w:szCs w:val="22"/>
        </w:rPr>
      </w:pPr>
      <w:r w:rsidRPr="006340F9">
        <w:rPr>
          <w:rFonts w:eastAsia="Times" w:cs="Arial"/>
          <w:sz w:val="22"/>
          <w:szCs w:val="22"/>
        </w:rPr>
        <w:t>Option C would require leveraging existing data collected by ANZARD, the accreditor, and regulators to identify themes relating to safety and quality improvement. Given the type of data analysis required, it may be preferable for ANZARD to be responsible for this analysis and its publication. The organisation would likely require additional</w:t>
      </w:r>
      <w:r w:rsidRPr="006340F9" w:rsidDel="00A00FDB">
        <w:rPr>
          <w:rFonts w:eastAsia="Times" w:cs="Arial"/>
          <w:sz w:val="22"/>
          <w:szCs w:val="22"/>
        </w:rPr>
        <w:t xml:space="preserve"> resourcing and capability uplift to undertake </w:t>
      </w:r>
      <w:r w:rsidRPr="006340F9">
        <w:rPr>
          <w:rFonts w:eastAsia="Times" w:cs="Arial"/>
          <w:sz w:val="22"/>
          <w:szCs w:val="22"/>
        </w:rPr>
        <w:t xml:space="preserve">this </w:t>
      </w:r>
      <w:r w:rsidRPr="006340F9" w:rsidDel="00A00FDB">
        <w:rPr>
          <w:rFonts w:eastAsia="Times" w:cs="Arial"/>
          <w:sz w:val="22"/>
          <w:szCs w:val="22"/>
        </w:rPr>
        <w:t xml:space="preserve">analysis and </w:t>
      </w:r>
      <w:r w:rsidRPr="006340F9">
        <w:rPr>
          <w:rFonts w:eastAsia="Times" w:cs="Arial"/>
          <w:sz w:val="22"/>
          <w:szCs w:val="22"/>
        </w:rPr>
        <w:t>publication of data on a regular basis. There was strong appetite from providers engaged as part of this review to gain access to information that supports benchmarking and quality improvement.</w:t>
      </w:r>
    </w:p>
    <w:p w14:paraId="4D30E22B" w14:textId="77777777" w:rsidR="00027849" w:rsidRPr="006340F9" w:rsidRDefault="00027849" w:rsidP="00027849">
      <w:pPr>
        <w:keepNext/>
        <w:keepLines/>
        <w:spacing w:before="240" w:after="80"/>
        <w:outlineLvl w:val="3"/>
        <w:rPr>
          <w:rFonts w:eastAsia="MS Mincho"/>
          <w:color w:val="7F7F7F" w:themeColor="text1" w:themeTint="80"/>
          <w:sz w:val="28"/>
          <w:szCs w:val="22"/>
        </w:rPr>
      </w:pPr>
      <w:r w:rsidRPr="006340F9">
        <w:rPr>
          <w:rFonts w:eastAsia="MS Mincho"/>
          <w:color w:val="7F7F7F" w:themeColor="text1" w:themeTint="80"/>
          <w:sz w:val="28"/>
          <w:szCs w:val="22"/>
        </w:rPr>
        <w:t>Recommendation</w:t>
      </w:r>
    </w:p>
    <w:p w14:paraId="2293AE36" w14:textId="7A94525D" w:rsidR="004902DD" w:rsidRPr="006340F9" w:rsidRDefault="00027849" w:rsidP="00027849">
      <w:pPr>
        <w:jc w:val="both"/>
        <w:rPr>
          <w:rFonts w:eastAsia="Times" w:cs="Arial"/>
          <w:b/>
          <w:bCs/>
          <w:sz w:val="22"/>
          <w:szCs w:val="22"/>
        </w:rPr>
      </w:pPr>
      <w:r w:rsidRPr="006340F9">
        <w:rPr>
          <w:rFonts w:eastAsia="Times" w:cs="Arial"/>
          <w:b/>
          <w:sz w:val="22"/>
          <w:szCs w:val="22"/>
        </w:rPr>
        <w:t xml:space="preserve">We recommend that </w:t>
      </w:r>
      <w:r w:rsidR="005A70DF" w:rsidRPr="006340F9">
        <w:rPr>
          <w:rFonts w:eastAsia="Times" w:cs="Arial"/>
          <w:b/>
          <w:bCs/>
          <w:sz w:val="22"/>
          <w:szCs w:val="22"/>
        </w:rPr>
        <w:t>the</w:t>
      </w:r>
      <w:r w:rsidR="0083231C" w:rsidRPr="006340F9">
        <w:rPr>
          <w:rFonts w:eastAsia="Times" w:cs="Arial"/>
          <w:b/>
          <w:bCs/>
          <w:sz w:val="22"/>
          <w:szCs w:val="22"/>
        </w:rPr>
        <w:t xml:space="preserve"> accreditor and</w:t>
      </w:r>
      <w:r w:rsidR="00097B25" w:rsidRPr="006340F9">
        <w:rPr>
          <w:rFonts w:eastAsia="Times" w:cs="Arial"/>
          <w:b/>
          <w:bCs/>
          <w:sz w:val="22"/>
          <w:szCs w:val="22"/>
        </w:rPr>
        <w:t xml:space="preserve"> </w:t>
      </w:r>
      <w:r w:rsidR="007A1B72" w:rsidRPr="006340F9">
        <w:rPr>
          <w:rFonts w:eastAsia="Times" w:cs="Arial"/>
          <w:b/>
          <w:bCs/>
          <w:sz w:val="22"/>
          <w:szCs w:val="22"/>
        </w:rPr>
        <w:t xml:space="preserve">State and Territory regulatory authorities </w:t>
      </w:r>
      <w:r w:rsidR="005A70DF" w:rsidRPr="006340F9">
        <w:rPr>
          <w:rFonts w:eastAsia="Times" w:cs="Arial"/>
          <w:b/>
          <w:bCs/>
          <w:sz w:val="22"/>
          <w:szCs w:val="22"/>
        </w:rPr>
        <w:t>share safety data</w:t>
      </w:r>
      <w:r w:rsidR="00970FB6" w:rsidRPr="006340F9">
        <w:rPr>
          <w:rFonts w:eastAsia="Times" w:cs="Arial"/>
          <w:b/>
          <w:bCs/>
          <w:sz w:val="22"/>
          <w:szCs w:val="22"/>
        </w:rPr>
        <w:t>, and that</w:t>
      </w:r>
      <w:r w:rsidR="009E7033" w:rsidRPr="006340F9">
        <w:rPr>
          <w:rFonts w:eastAsia="Times" w:cs="Arial"/>
          <w:b/>
          <w:bCs/>
          <w:sz w:val="22"/>
          <w:szCs w:val="22"/>
        </w:rPr>
        <w:t xml:space="preserve"> </w:t>
      </w:r>
      <w:r w:rsidR="00985795" w:rsidRPr="006340F9">
        <w:rPr>
          <w:rFonts w:eastAsia="Times" w:cs="Arial"/>
          <w:b/>
          <w:bCs/>
          <w:sz w:val="22"/>
          <w:szCs w:val="22"/>
        </w:rPr>
        <w:t xml:space="preserve">accreditation data and </w:t>
      </w:r>
      <w:r w:rsidR="009E7033" w:rsidRPr="006340F9">
        <w:rPr>
          <w:rFonts w:eastAsia="Times" w:cs="Arial"/>
          <w:b/>
          <w:bCs/>
          <w:sz w:val="22"/>
          <w:szCs w:val="22"/>
        </w:rPr>
        <w:t xml:space="preserve">thematic analysis of safety </w:t>
      </w:r>
      <w:r w:rsidR="003F2B17" w:rsidRPr="006340F9">
        <w:rPr>
          <w:rFonts w:eastAsia="Times" w:cs="Arial"/>
          <w:b/>
          <w:bCs/>
          <w:sz w:val="22"/>
          <w:szCs w:val="22"/>
        </w:rPr>
        <w:t xml:space="preserve">and quality improvement </w:t>
      </w:r>
      <w:r w:rsidR="009E7033" w:rsidRPr="006340F9">
        <w:rPr>
          <w:rFonts w:eastAsia="Times" w:cs="Arial"/>
          <w:b/>
          <w:bCs/>
          <w:sz w:val="22"/>
          <w:szCs w:val="22"/>
        </w:rPr>
        <w:t>data be published</w:t>
      </w:r>
      <w:r w:rsidR="005E10AF" w:rsidRPr="006340F9">
        <w:rPr>
          <w:rFonts w:eastAsia="Times" w:cs="Arial"/>
          <w:b/>
          <w:bCs/>
          <w:sz w:val="22"/>
          <w:szCs w:val="22"/>
        </w:rPr>
        <w:t xml:space="preserve"> (Options A, B and C).</w:t>
      </w:r>
    </w:p>
    <w:p w14:paraId="676158DF" w14:textId="336F3BA6" w:rsidR="00027849" w:rsidRPr="006340F9" w:rsidRDefault="00382799" w:rsidP="00027849">
      <w:pPr>
        <w:jc w:val="both"/>
        <w:rPr>
          <w:rFonts w:eastAsia="Times" w:cs="Arial"/>
          <w:sz w:val="22"/>
          <w:szCs w:val="22"/>
        </w:rPr>
      </w:pPr>
      <w:r w:rsidRPr="006340F9">
        <w:rPr>
          <w:rFonts w:eastAsia="Times" w:cs="Arial"/>
          <w:sz w:val="22"/>
          <w:szCs w:val="22"/>
        </w:rPr>
        <w:t xml:space="preserve">We recommend that </w:t>
      </w:r>
      <w:proofErr w:type="gramStart"/>
      <w:r w:rsidR="00027849" w:rsidRPr="006340F9">
        <w:rPr>
          <w:rFonts w:eastAsia="Times" w:cs="Arial"/>
          <w:sz w:val="22"/>
          <w:szCs w:val="22"/>
        </w:rPr>
        <w:t>all of</w:t>
      </w:r>
      <w:proofErr w:type="gramEnd"/>
      <w:r w:rsidR="00027849" w:rsidRPr="006340F9">
        <w:rPr>
          <w:rFonts w:eastAsia="Times" w:cs="Arial"/>
          <w:sz w:val="22"/>
          <w:szCs w:val="22"/>
        </w:rPr>
        <w:t xml:space="preserve"> these options are pursued given the benefits to oversight of the ART sector </w:t>
      </w:r>
      <w:proofErr w:type="gramStart"/>
      <w:r w:rsidR="00027849" w:rsidRPr="006340F9">
        <w:rPr>
          <w:rFonts w:eastAsia="Times" w:cs="Arial"/>
          <w:sz w:val="22"/>
          <w:szCs w:val="22"/>
        </w:rPr>
        <w:t>and also</w:t>
      </w:r>
      <w:proofErr w:type="gramEnd"/>
      <w:r w:rsidR="00027849" w:rsidRPr="006340F9">
        <w:rPr>
          <w:rFonts w:eastAsia="Times" w:cs="Arial"/>
          <w:sz w:val="22"/>
          <w:szCs w:val="22"/>
        </w:rPr>
        <w:t xml:space="preserve"> the potential for it to inform continuous improvement by providers. Each of the options </w:t>
      </w:r>
      <w:r w:rsidR="000824B1" w:rsidRPr="006340F9">
        <w:rPr>
          <w:rFonts w:eastAsia="Times" w:cs="Arial"/>
          <w:sz w:val="22"/>
          <w:szCs w:val="22"/>
        </w:rPr>
        <w:t>has</w:t>
      </w:r>
      <w:r w:rsidR="000824B1" w:rsidRPr="006340F9" w:rsidDel="00F933E3">
        <w:rPr>
          <w:rFonts w:eastAsia="Times" w:cs="Arial"/>
          <w:sz w:val="22"/>
          <w:szCs w:val="22"/>
        </w:rPr>
        <w:t xml:space="preserve"> </w:t>
      </w:r>
      <w:r w:rsidR="00027849" w:rsidRPr="006340F9">
        <w:rPr>
          <w:rFonts w:eastAsia="Times" w:cs="Arial"/>
          <w:sz w:val="22"/>
          <w:szCs w:val="22"/>
        </w:rPr>
        <w:t xml:space="preserve">potential to be implemented in the near term as they leverage existing data and platforms. </w:t>
      </w:r>
    </w:p>
    <w:tbl>
      <w:tblPr>
        <w:tblStyle w:val="TableGrid"/>
        <w:tblW w:w="0" w:type="auto"/>
        <w:tblLook w:val="04A0" w:firstRow="1" w:lastRow="0" w:firstColumn="1" w:lastColumn="0" w:noHBand="0" w:noVBand="1"/>
      </w:tblPr>
      <w:tblGrid>
        <w:gridCol w:w="9288"/>
      </w:tblGrid>
      <w:tr w:rsidR="00027849" w:rsidRPr="006340F9" w14:paraId="5F7896B0" w14:textId="77777777">
        <w:tc>
          <w:tcPr>
            <w:tcW w:w="9288" w:type="dxa"/>
            <w:shd w:val="clear" w:color="auto" w:fill="C6D9F1" w:themeFill="text2" w:themeFillTint="33"/>
          </w:tcPr>
          <w:p w14:paraId="1C9B4745" w14:textId="77777777" w:rsidR="00027849" w:rsidRPr="006340F9" w:rsidRDefault="00027849" w:rsidP="00027849">
            <w:pPr>
              <w:jc w:val="both"/>
              <w:rPr>
                <w:rFonts w:eastAsia="Times" w:cs="Arial"/>
                <w:b/>
                <w:bCs/>
                <w:sz w:val="22"/>
                <w:szCs w:val="22"/>
              </w:rPr>
            </w:pPr>
            <w:r w:rsidRPr="006340F9">
              <w:rPr>
                <w:rFonts w:eastAsia="Times" w:cs="Arial"/>
                <w:b/>
                <w:bCs/>
                <w:sz w:val="22"/>
                <w:szCs w:val="22"/>
              </w:rPr>
              <w:t xml:space="preserve">HFEA in the UK regularly publishes ART sector data </w:t>
            </w:r>
          </w:p>
          <w:p w14:paraId="0C09D6E5" w14:textId="77777777" w:rsidR="00027849" w:rsidRPr="006340F9" w:rsidRDefault="00027849" w:rsidP="00027849">
            <w:pPr>
              <w:jc w:val="both"/>
              <w:rPr>
                <w:rFonts w:eastAsia="Times" w:cs="Arial"/>
                <w:sz w:val="22"/>
                <w:szCs w:val="22"/>
              </w:rPr>
            </w:pPr>
            <w:r w:rsidRPr="006340F9">
              <w:rPr>
                <w:rFonts w:eastAsia="Times" w:cs="Arial"/>
                <w:sz w:val="22"/>
                <w:szCs w:val="22"/>
              </w:rPr>
              <w:t>HFEA, the UK’s independent ART regulator, publishes reports on adverse events and non-compliance to support transparency and continuous improvement of UK’s ART sector. This includes:</w:t>
            </w:r>
          </w:p>
          <w:p w14:paraId="7085C4D6" w14:textId="77777777" w:rsidR="00027849" w:rsidRPr="006340F9" w:rsidRDefault="00027849" w:rsidP="007C2C61">
            <w:pPr>
              <w:numPr>
                <w:ilvl w:val="0"/>
                <w:numId w:val="6"/>
              </w:numPr>
              <w:spacing w:after="40"/>
              <w:ind w:left="284" w:hanging="284"/>
              <w:rPr>
                <w:rFonts w:eastAsia="Times" w:cs="Arial"/>
                <w:sz w:val="22"/>
                <w:szCs w:val="21"/>
              </w:rPr>
            </w:pPr>
            <w:r w:rsidRPr="006340F9">
              <w:rPr>
                <w:rFonts w:eastAsia="Times" w:cs="Arial"/>
                <w:sz w:val="22"/>
                <w:szCs w:val="21"/>
              </w:rPr>
              <w:t xml:space="preserve">Annual state of the fertility sector reports which include information on HFEA licensed clinics, offering national and clinic-level data on treatment cycles, success rates and adverse events reported. </w:t>
            </w:r>
          </w:p>
          <w:p w14:paraId="56DD480B" w14:textId="77777777" w:rsidR="00027849" w:rsidRPr="006340F9" w:rsidRDefault="00027849" w:rsidP="007C2C61">
            <w:pPr>
              <w:numPr>
                <w:ilvl w:val="0"/>
                <w:numId w:val="6"/>
              </w:numPr>
              <w:ind w:left="284" w:hanging="284"/>
              <w:rPr>
                <w:rFonts w:eastAsia="Times" w:cs="Arial"/>
                <w:sz w:val="22"/>
                <w:szCs w:val="21"/>
              </w:rPr>
            </w:pPr>
            <w:r w:rsidRPr="006340F9">
              <w:rPr>
                <w:rFonts w:eastAsia="Times" w:cs="Arial"/>
                <w:sz w:val="22"/>
                <w:szCs w:val="21"/>
              </w:rPr>
              <w:t>Quarterly Clinical governance updates that are shared via HFEA’s clinic newsletter ‘Clinic Focus’. These reports give providers an overview of most common non-compliances in the reported quarter. Insights into non-compliances support clinics to address areas of non-compliance as they emerge across the sector.</w:t>
            </w:r>
            <w:r w:rsidRPr="006340F9">
              <w:rPr>
                <w:rFonts w:eastAsia="Times" w:cs="Arial"/>
                <w:sz w:val="22"/>
                <w:szCs w:val="21"/>
                <w:vertAlign w:val="superscript"/>
              </w:rPr>
              <w:footnoteReference w:id="204"/>
            </w:r>
            <w:r w:rsidRPr="006340F9">
              <w:rPr>
                <w:rFonts w:eastAsia="Times" w:cs="Arial"/>
                <w:sz w:val="22"/>
                <w:szCs w:val="21"/>
              </w:rPr>
              <w:t xml:space="preserve"> </w:t>
            </w:r>
          </w:p>
          <w:p w14:paraId="0221A30B" w14:textId="77777777" w:rsidR="00027849" w:rsidRPr="006340F9" w:rsidRDefault="00027849" w:rsidP="00027849">
            <w:pPr>
              <w:jc w:val="both"/>
              <w:rPr>
                <w:rFonts w:eastAsia="Times" w:cs="Arial"/>
                <w:sz w:val="22"/>
                <w:szCs w:val="22"/>
              </w:rPr>
            </w:pPr>
            <w:r w:rsidRPr="006340F9">
              <w:rPr>
                <w:rFonts w:eastAsia="Times" w:cs="Arial"/>
                <w:sz w:val="22"/>
                <w:szCs w:val="22"/>
              </w:rPr>
              <w:lastRenderedPageBreak/>
              <w:t>Report data is compiled from information gathered by HFEA’s inspections throughout the year and other sources of information including incident reports, patient feedback and patient complaints.</w:t>
            </w:r>
            <w:r w:rsidRPr="006340F9">
              <w:rPr>
                <w:rFonts w:eastAsia="Times" w:cs="Arial"/>
                <w:sz w:val="22"/>
                <w:szCs w:val="22"/>
                <w:vertAlign w:val="superscript"/>
              </w:rPr>
              <w:footnoteReference w:id="205"/>
            </w:r>
          </w:p>
        </w:tc>
      </w:tr>
    </w:tbl>
    <w:p w14:paraId="3039D8E6" w14:textId="77777777" w:rsidR="00027849" w:rsidRPr="006340F9" w:rsidRDefault="00027849" w:rsidP="00027849">
      <w:pPr>
        <w:jc w:val="both"/>
        <w:rPr>
          <w:rFonts w:eastAsia="Times" w:cs="Arial"/>
          <w:sz w:val="22"/>
          <w:szCs w:val="22"/>
        </w:rPr>
      </w:pPr>
    </w:p>
    <w:tbl>
      <w:tblPr>
        <w:tblStyle w:val="TableGrid"/>
        <w:tblW w:w="0" w:type="auto"/>
        <w:tblLook w:val="04A0" w:firstRow="1" w:lastRow="0" w:firstColumn="1" w:lastColumn="0" w:noHBand="0" w:noVBand="1"/>
      </w:tblPr>
      <w:tblGrid>
        <w:gridCol w:w="9288"/>
      </w:tblGrid>
      <w:tr w:rsidR="00027849" w:rsidRPr="006340F9" w14:paraId="22FC7083" w14:textId="77777777">
        <w:tc>
          <w:tcPr>
            <w:tcW w:w="9288" w:type="dxa"/>
            <w:shd w:val="clear" w:color="auto" w:fill="C6D9F1" w:themeFill="text2" w:themeFillTint="33"/>
          </w:tcPr>
          <w:p w14:paraId="3642BCCF" w14:textId="77777777" w:rsidR="00027849" w:rsidRPr="006340F9" w:rsidRDefault="00027849" w:rsidP="00027849">
            <w:pPr>
              <w:jc w:val="both"/>
              <w:rPr>
                <w:rFonts w:eastAsia="Times" w:cs="Arial"/>
                <w:b/>
                <w:bCs/>
                <w:sz w:val="22"/>
                <w:szCs w:val="22"/>
              </w:rPr>
            </w:pPr>
            <w:r w:rsidRPr="006340F9">
              <w:rPr>
                <w:rFonts w:eastAsia="Times" w:cs="Arial"/>
                <w:b/>
                <w:bCs/>
                <w:sz w:val="22"/>
                <w:szCs w:val="22"/>
              </w:rPr>
              <w:t>The Commission publishes accreditation results for Australian hospitals</w:t>
            </w:r>
          </w:p>
          <w:p w14:paraId="39520F17" w14:textId="77777777" w:rsidR="00027849" w:rsidRPr="006340F9" w:rsidRDefault="00027849" w:rsidP="00027849">
            <w:pPr>
              <w:jc w:val="both"/>
              <w:rPr>
                <w:rFonts w:eastAsia="Times" w:cs="Arial"/>
                <w:sz w:val="22"/>
                <w:szCs w:val="22"/>
              </w:rPr>
            </w:pPr>
            <w:r w:rsidRPr="006340F9">
              <w:rPr>
                <w:rFonts w:eastAsia="Times" w:cs="Arial"/>
                <w:sz w:val="22"/>
                <w:szCs w:val="22"/>
              </w:rPr>
              <w:t>Information about how hospitals performed at their last assessment against the NSQHC standards are published on the Commission’s web page.</w:t>
            </w:r>
            <w:r w:rsidRPr="006340F9">
              <w:rPr>
                <w:rFonts w:eastAsia="Times" w:cs="Arial"/>
                <w:sz w:val="22"/>
                <w:szCs w:val="22"/>
                <w:vertAlign w:val="superscript"/>
              </w:rPr>
              <w:footnoteReference w:id="206"/>
            </w:r>
            <w:r w:rsidRPr="006340F9">
              <w:rPr>
                <w:rFonts w:eastAsia="Times" w:cs="Arial"/>
                <w:sz w:val="22"/>
                <w:szCs w:val="22"/>
              </w:rPr>
              <w:t xml:space="preserve"> Consumers and stakeholders can search and view how individual hospitals performed. </w:t>
            </w:r>
          </w:p>
          <w:p w14:paraId="1C19C08C" w14:textId="77777777" w:rsidR="00027849" w:rsidRPr="006340F9" w:rsidRDefault="00027849" w:rsidP="00027849">
            <w:pPr>
              <w:jc w:val="both"/>
              <w:rPr>
                <w:rFonts w:eastAsia="Times" w:cs="Arial"/>
                <w:b/>
                <w:bCs/>
                <w:sz w:val="22"/>
                <w:szCs w:val="22"/>
              </w:rPr>
            </w:pPr>
            <w:r w:rsidRPr="006340F9">
              <w:rPr>
                <w:rFonts w:eastAsia="Times" w:cs="Arial"/>
                <w:sz w:val="22"/>
                <w:szCs w:val="22"/>
              </w:rPr>
              <w:t xml:space="preserve">The Commission is responsible for collecting assessment outcomes from accrediting agencies, then compiles, interprets and develop reports on hospital performance data, enabling monitoring of safety and quality across the health system.  </w:t>
            </w:r>
          </w:p>
        </w:tc>
      </w:tr>
    </w:tbl>
    <w:p w14:paraId="4975072A" w14:textId="4D500B40" w:rsidR="00027849" w:rsidRPr="006340F9" w:rsidRDefault="00027849" w:rsidP="00A94273">
      <w:pPr>
        <w:pStyle w:val="Heading3"/>
        <w:rPr>
          <w:bCs w:val="0"/>
        </w:rPr>
      </w:pPr>
      <w:bookmarkStart w:id="158" w:name="_Ref207628791"/>
      <w:bookmarkStart w:id="159" w:name="_Ref207640928"/>
      <w:r w:rsidRPr="006340F9">
        <w:t xml:space="preserve">Reform opportunity 8: </w:t>
      </w:r>
      <w:r w:rsidR="00A87CA4" w:rsidRPr="006340F9">
        <w:t xml:space="preserve">Improving </w:t>
      </w:r>
      <w:r w:rsidRPr="006340F9">
        <w:t xml:space="preserve">transparency and guidance to enable informed consumer choice and </w:t>
      </w:r>
      <w:r w:rsidRPr="006340F9" w:rsidDel="00137EFC">
        <w:rPr>
          <w:bCs w:val="0"/>
        </w:rPr>
        <w:t>consent</w:t>
      </w:r>
      <w:bookmarkEnd w:id="158"/>
      <w:bookmarkEnd w:id="159"/>
    </w:p>
    <w:p w14:paraId="29A0AB3A" w14:textId="6956BBCE" w:rsidR="00027849" w:rsidRPr="006340F9" w:rsidRDefault="00027849" w:rsidP="00027849">
      <w:pPr>
        <w:jc w:val="both"/>
        <w:rPr>
          <w:rFonts w:eastAsia="Times" w:cs="Arial"/>
          <w:sz w:val="22"/>
          <w:szCs w:val="22"/>
        </w:rPr>
      </w:pPr>
      <w:r w:rsidRPr="006340F9">
        <w:rPr>
          <w:rFonts w:eastAsia="Times" w:cs="Arial"/>
          <w:sz w:val="22"/>
          <w:szCs w:val="22"/>
        </w:rPr>
        <w:t xml:space="preserve">As discussed in chapter </w:t>
      </w:r>
      <w:r w:rsidRPr="006340F9">
        <w:rPr>
          <w:rFonts w:eastAsia="Times" w:cs="Arial"/>
          <w:sz w:val="22"/>
          <w:szCs w:val="22"/>
        </w:rPr>
        <w:fldChar w:fldCharType="begin"/>
      </w:r>
      <w:r w:rsidRPr="006340F9">
        <w:rPr>
          <w:rFonts w:eastAsia="Times" w:cs="Arial"/>
          <w:sz w:val="22"/>
          <w:szCs w:val="22"/>
        </w:rPr>
        <w:instrText xml:space="preserve"> REF _Ref207633563 \r \h  \* MERGEFORMAT </w:instrText>
      </w:r>
      <w:r w:rsidRPr="006340F9">
        <w:rPr>
          <w:rFonts w:eastAsia="Times" w:cs="Arial"/>
          <w:sz w:val="22"/>
          <w:szCs w:val="22"/>
        </w:rPr>
      </w:r>
      <w:r w:rsidRPr="006340F9">
        <w:rPr>
          <w:rFonts w:eastAsia="Times" w:cs="Arial"/>
          <w:sz w:val="22"/>
          <w:szCs w:val="22"/>
        </w:rPr>
        <w:fldChar w:fldCharType="separate"/>
      </w:r>
      <w:r w:rsidR="007D732A">
        <w:rPr>
          <w:rFonts w:eastAsia="Times" w:cs="Arial"/>
          <w:sz w:val="22"/>
          <w:szCs w:val="22"/>
        </w:rPr>
        <w:t>4</w:t>
      </w:r>
      <w:r w:rsidRPr="006340F9">
        <w:rPr>
          <w:rFonts w:eastAsia="Times" w:cs="Arial"/>
          <w:sz w:val="22"/>
          <w:szCs w:val="22"/>
        </w:rPr>
        <w:fldChar w:fldCharType="end"/>
      </w:r>
      <w:r w:rsidRPr="006340F9">
        <w:rPr>
          <w:rFonts w:eastAsia="Times" w:cs="Arial"/>
          <w:sz w:val="22"/>
          <w:szCs w:val="22"/>
        </w:rPr>
        <w:t xml:space="preserve">, consumers consistently report barriers to making informed choices about ART treatment. Ensuring there is improved transparency </w:t>
      </w:r>
      <w:r w:rsidRPr="006340F9" w:rsidDel="007D4AF8">
        <w:rPr>
          <w:rFonts w:eastAsia="Times" w:cs="Arial"/>
          <w:sz w:val="22"/>
          <w:szCs w:val="22"/>
        </w:rPr>
        <w:t xml:space="preserve">about </w:t>
      </w:r>
      <w:r w:rsidRPr="006340F9">
        <w:rPr>
          <w:rFonts w:eastAsia="Times" w:cs="Arial"/>
          <w:sz w:val="22"/>
          <w:szCs w:val="22"/>
        </w:rPr>
        <w:t xml:space="preserve">treatment efficacy and outcomes would assist consumers to make informed choices and give informed consent.  </w:t>
      </w:r>
    </w:p>
    <w:p w14:paraId="13D5A92A" w14:textId="77777777" w:rsidR="00027849" w:rsidRPr="006340F9" w:rsidRDefault="00027849" w:rsidP="00027849">
      <w:pPr>
        <w:jc w:val="both"/>
        <w:rPr>
          <w:rFonts w:eastAsia="Times" w:cs="Arial"/>
          <w:sz w:val="22"/>
          <w:szCs w:val="22"/>
        </w:rPr>
      </w:pPr>
      <w:r w:rsidRPr="006340F9">
        <w:rPr>
          <w:rFonts w:eastAsia="Times" w:cs="Arial"/>
          <w:sz w:val="22"/>
          <w:szCs w:val="22"/>
        </w:rPr>
        <w:t xml:space="preserve">We identified four potential </w:t>
      </w:r>
      <w:r w:rsidRPr="006340F9" w:rsidDel="00FC186C">
        <w:rPr>
          <w:rFonts w:eastAsia="Times" w:cs="Arial"/>
          <w:sz w:val="22"/>
          <w:szCs w:val="22"/>
        </w:rPr>
        <w:t>options</w:t>
      </w:r>
      <w:r w:rsidRPr="006340F9">
        <w:rPr>
          <w:rFonts w:eastAsia="Times" w:cs="Arial"/>
          <w:sz w:val="22"/>
          <w:szCs w:val="22"/>
        </w:rPr>
        <w:t xml:space="preserve"> to improve transparency and guidance for consumers: </w:t>
      </w:r>
    </w:p>
    <w:p w14:paraId="06C7629D" w14:textId="77777777" w:rsidR="00027849" w:rsidRPr="006340F9" w:rsidRDefault="00027849" w:rsidP="00027849">
      <w:pPr>
        <w:jc w:val="both"/>
        <w:rPr>
          <w:rFonts w:eastAsia="Times"/>
          <w:b/>
          <w:sz w:val="22"/>
          <w:szCs w:val="22"/>
        </w:rPr>
      </w:pPr>
      <w:r w:rsidRPr="006340F9">
        <w:rPr>
          <w:rFonts w:eastAsia="Times"/>
          <w:b/>
          <w:sz w:val="22"/>
          <w:szCs w:val="22"/>
        </w:rPr>
        <w:t xml:space="preserve">Option A: Expand </w:t>
      </w:r>
      <w:proofErr w:type="spellStart"/>
      <w:r w:rsidRPr="006340F9">
        <w:rPr>
          <w:rFonts w:eastAsia="Times"/>
          <w:b/>
          <w:i/>
          <w:sz w:val="22"/>
          <w:szCs w:val="22"/>
        </w:rPr>
        <w:t>YourIVFSuccess</w:t>
      </w:r>
      <w:proofErr w:type="spellEnd"/>
      <w:r w:rsidRPr="006340F9">
        <w:rPr>
          <w:rFonts w:eastAsia="Times"/>
          <w:b/>
          <w:sz w:val="22"/>
          <w:szCs w:val="22"/>
        </w:rPr>
        <w:t>.</w:t>
      </w:r>
    </w:p>
    <w:p w14:paraId="2A1ED6E9" w14:textId="12CC6CB8" w:rsidR="00027849" w:rsidRPr="006340F9" w:rsidRDefault="00027849" w:rsidP="00027849">
      <w:pPr>
        <w:jc w:val="both"/>
        <w:rPr>
          <w:rFonts w:eastAsia="Times"/>
          <w:sz w:val="22"/>
          <w:szCs w:val="22"/>
        </w:rPr>
      </w:pPr>
      <w:r w:rsidRPr="006340F9">
        <w:rPr>
          <w:rFonts w:eastAsia="Times"/>
          <w:sz w:val="22"/>
          <w:szCs w:val="22"/>
        </w:rPr>
        <w:t>An expansion could</w:t>
      </w:r>
      <w:r w:rsidRPr="006340F9">
        <w:rPr>
          <w:rFonts w:eastAsia="Times"/>
          <w:b/>
          <w:sz w:val="22"/>
          <w:szCs w:val="22"/>
        </w:rPr>
        <w:t xml:space="preserve"> </w:t>
      </w:r>
      <w:r w:rsidRPr="006340F9">
        <w:rPr>
          <w:rFonts w:eastAsia="Times"/>
          <w:sz w:val="22"/>
          <w:szCs w:val="22"/>
        </w:rPr>
        <w:t xml:space="preserve">include additional information such as treatment success rates, evidence for </w:t>
      </w:r>
      <w:r w:rsidR="00347F57" w:rsidRPr="006340F9">
        <w:rPr>
          <w:rFonts w:eastAsia="Times"/>
          <w:sz w:val="22"/>
          <w:szCs w:val="22"/>
        </w:rPr>
        <w:t>adjuvant treatments</w:t>
      </w:r>
      <w:r w:rsidRPr="006340F9">
        <w:rPr>
          <w:rFonts w:eastAsia="Times"/>
          <w:sz w:val="22"/>
          <w:szCs w:val="22"/>
        </w:rPr>
        <w:t xml:space="preserve">, and treatment costs. </w:t>
      </w:r>
    </w:p>
    <w:p w14:paraId="7C27731F" w14:textId="77777777" w:rsidR="00027849" w:rsidRPr="006340F9" w:rsidRDefault="00027849" w:rsidP="00027849">
      <w:pPr>
        <w:jc w:val="both"/>
        <w:rPr>
          <w:rFonts w:eastAsia="Times"/>
          <w:b/>
          <w:sz w:val="22"/>
          <w:szCs w:val="22"/>
        </w:rPr>
      </w:pPr>
      <w:r w:rsidRPr="006340F9">
        <w:rPr>
          <w:rFonts w:eastAsia="Times"/>
          <w:b/>
          <w:sz w:val="22"/>
          <w:szCs w:val="22"/>
        </w:rPr>
        <w:t>Option B:</w:t>
      </w:r>
      <w:r w:rsidRPr="006340F9">
        <w:rPr>
          <w:rFonts w:eastAsia="Times"/>
          <w:sz w:val="22"/>
          <w:szCs w:val="22"/>
        </w:rPr>
        <w:t xml:space="preserve"> </w:t>
      </w:r>
      <w:r w:rsidRPr="006340F9">
        <w:rPr>
          <w:rFonts w:eastAsia="Times"/>
          <w:b/>
          <w:sz w:val="22"/>
          <w:szCs w:val="22"/>
        </w:rPr>
        <w:t>Introduce a provider star rating system including quality and performance domains to rate clinics.</w:t>
      </w:r>
    </w:p>
    <w:p w14:paraId="10785B3C" w14:textId="77777777" w:rsidR="00027849" w:rsidRPr="006340F9" w:rsidRDefault="00027849" w:rsidP="00027849">
      <w:pPr>
        <w:jc w:val="both"/>
        <w:rPr>
          <w:rFonts w:eastAsia="Times"/>
          <w:sz w:val="22"/>
          <w:szCs w:val="22"/>
        </w:rPr>
      </w:pPr>
      <w:r w:rsidRPr="006340F9">
        <w:rPr>
          <w:rFonts w:eastAsia="Times"/>
          <w:sz w:val="22"/>
          <w:szCs w:val="22"/>
        </w:rPr>
        <w:t xml:space="preserve">These ratings could be included on the </w:t>
      </w:r>
      <w:proofErr w:type="spellStart"/>
      <w:r w:rsidRPr="006340F9">
        <w:rPr>
          <w:rFonts w:eastAsia="Times"/>
          <w:i/>
          <w:sz w:val="22"/>
          <w:szCs w:val="22"/>
        </w:rPr>
        <w:t>YourIVFSuccess</w:t>
      </w:r>
      <w:proofErr w:type="spellEnd"/>
      <w:r w:rsidRPr="006340F9">
        <w:rPr>
          <w:rFonts w:eastAsia="Times"/>
          <w:sz w:val="22"/>
          <w:szCs w:val="22"/>
        </w:rPr>
        <w:t xml:space="preserve"> website.</w:t>
      </w:r>
    </w:p>
    <w:p w14:paraId="7450C0B8" w14:textId="77777777" w:rsidR="00027849" w:rsidRPr="006340F9" w:rsidRDefault="00027849" w:rsidP="00027849">
      <w:pPr>
        <w:jc w:val="both"/>
        <w:rPr>
          <w:rFonts w:eastAsia="Times"/>
          <w:sz w:val="22"/>
          <w:szCs w:val="22"/>
        </w:rPr>
      </w:pPr>
      <w:r w:rsidRPr="006340F9">
        <w:rPr>
          <w:rFonts w:eastAsia="Times"/>
          <w:b/>
          <w:sz w:val="22"/>
          <w:szCs w:val="22"/>
        </w:rPr>
        <w:t>Option C: Deliver a targeted public fertility education campaign in partnership with the ART sector.</w:t>
      </w:r>
    </w:p>
    <w:p w14:paraId="58FE4E53" w14:textId="77777777" w:rsidR="00027849" w:rsidRPr="006340F9" w:rsidRDefault="00027849" w:rsidP="00027849">
      <w:pPr>
        <w:jc w:val="both"/>
        <w:rPr>
          <w:rFonts w:eastAsia="Times"/>
          <w:sz w:val="22"/>
          <w:szCs w:val="22"/>
        </w:rPr>
      </w:pPr>
      <w:r w:rsidRPr="006340F9">
        <w:rPr>
          <w:rFonts w:eastAsia="Times"/>
          <w:sz w:val="22"/>
          <w:szCs w:val="22"/>
        </w:rPr>
        <w:t xml:space="preserve">This would draw on industry expertise and drive accountability of providers to promote evidence-based information to prospective consumers. </w:t>
      </w:r>
    </w:p>
    <w:p w14:paraId="2F0FAD2E" w14:textId="751C9B6F" w:rsidR="00027849" w:rsidRPr="006340F9" w:rsidRDefault="00027849" w:rsidP="00027849">
      <w:pPr>
        <w:jc w:val="both"/>
        <w:rPr>
          <w:rFonts w:eastAsia="Times"/>
          <w:sz w:val="22"/>
          <w:szCs w:val="22"/>
        </w:rPr>
      </w:pPr>
      <w:r w:rsidRPr="006340F9">
        <w:rPr>
          <w:rFonts w:eastAsia="Times"/>
          <w:b/>
          <w:sz w:val="22"/>
          <w:szCs w:val="22"/>
        </w:rPr>
        <w:t>Option D: Deliver a public health campaign</w:t>
      </w:r>
      <w:r w:rsidR="00D30C38" w:rsidRPr="006340F9">
        <w:rPr>
          <w:rFonts w:eastAsia="Times"/>
          <w:b/>
          <w:sz w:val="22"/>
          <w:szCs w:val="22"/>
        </w:rPr>
        <w:t>.</w:t>
      </w:r>
    </w:p>
    <w:p w14:paraId="07738E30" w14:textId="77777777" w:rsidR="00027849" w:rsidRPr="006340F9" w:rsidRDefault="00027849" w:rsidP="00027849">
      <w:pPr>
        <w:jc w:val="both"/>
        <w:rPr>
          <w:rFonts w:eastAsia="Times"/>
          <w:b/>
          <w:sz w:val="22"/>
          <w:szCs w:val="22"/>
        </w:rPr>
      </w:pPr>
      <w:r w:rsidRPr="006340F9">
        <w:rPr>
          <w:rFonts w:eastAsia="Times"/>
          <w:sz w:val="22"/>
          <w:szCs w:val="22"/>
        </w:rPr>
        <w:t>This would provide the general population with information about fertility care and treatment options via digital platforms and media coverage.</w:t>
      </w:r>
    </w:p>
    <w:p w14:paraId="77227E0F" w14:textId="77777777" w:rsidR="00027849" w:rsidRPr="006340F9" w:rsidRDefault="00027849" w:rsidP="00027849">
      <w:pPr>
        <w:keepNext/>
        <w:keepLines/>
        <w:spacing w:before="240" w:after="80"/>
        <w:outlineLvl w:val="3"/>
        <w:rPr>
          <w:rFonts w:eastAsia="MS Mincho"/>
          <w:color w:val="7F7F7F" w:themeColor="text1" w:themeTint="80"/>
          <w:sz w:val="28"/>
          <w:szCs w:val="22"/>
        </w:rPr>
      </w:pPr>
      <w:r w:rsidRPr="006340F9">
        <w:rPr>
          <w:rFonts w:eastAsia="MS Mincho"/>
          <w:color w:val="7F7F7F" w:themeColor="text1" w:themeTint="80"/>
          <w:sz w:val="28"/>
          <w:szCs w:val="22"/>
        </w:rPr>
        <w:t>Option consideration</w:t>
      </w:r>
    </w:p>
    <w:p w14:paraId="014AEF41" w14:textId="00E39B12" w:rsidR="00027849" w:rsidRPr="006340F9" w:rsidRDefault="00027849" w:rsidP="00027849">
      <w:pPr>
        <w:jc w:val="both"/>
        <w:rPr>
          <w:rFonts w:eastAsia="Times" w:cs="Arial"/>
          <w:sz w:val="22"/>
          <w:szCs w:val="22"/>
        </w:rPr>
      </w:pPr>
      <w:r w:rsidRPr="006340F9">
        <w:rPr>
          <w:rFonts w:eastAsia="Times" w:cs="Arial"/>
          <w:sz w:val="22"/>
          <w:szCs w:val="22"/>
        </w:rPr>
        <w:t xml:space="preserve">Expanding </w:t>
      </w:r>
      <w:proofErr w:type="spellStart"/>
      <w:r w:rsidRPr="006340F9">
        <w:rPr>
          <w:rFonts w:eastAsia="Times" w:cs="Arial"/>
          <w:i/>
          <w:sz w:val="22"/>
          <w:szCs w:val="22"/>
        </w:rPr>
        <w:t>YourIVFSuccess</w:t>
      </w:r>
      <w:proofErr w:type="spellEnd"/>
      <w:r w:rsidRPr="006340F9">
        <w:rPr>
          <w:rFonts w:eastAsia="Times" w:cs="Arial"/>
          <w:sz w:val="22"/>
          <w:szCs w:val="22"/>
        </w:rPr>
        <w:t xml:space="preserve"> to include additional information (</w:t>
      </w:r>
      <w:r w:rsidR="00C30D44" w:rsidRPr="006340F9">
        <w:rPr>
          <w:rFonts w:eastAsia="Times" w:cs="Arial"/>
          <w:sz w:val="22"/>
          <w:szCs w:val="22"/>
        </w:rPr>
        <w:t>O</w:t>
      </w:r>
      <w:r w:rsidRPr="006340F9">
        <w:rPr>
          <w:rFonts w:eastAsia="Times" w:cs="Arial"/>
          <w:sz w:val="22"/>
          <w:szCs w:val="22"/>
        </w:rPr>
        <w:t>ption A) and a provider star rating system (</w:t>
      </w:r>
      <w:r w:rsidR="00C30D44" w:rsidRPr="006340F9">
        <w:rPr>
          <w:rFonts w:eastAsia="Times" w:cs="Arial"/>
          <w:sz w:val="22"/>
          <w:szCs w:val="22"/>
        </w:rPr>
        <w:t>O</w:t>
      </w:r>
      <w:r w:rsidRPr="006340F9">
        <w:rPr>
          <w:rFonts w:eastAsia="Times" w:cs="Arial"/>
          <w:sz w:val="22"/>
          <w:szCs w:val="22"/>
        </w:rPr>
        <w:t xml:space="preserve">ption B) would provide consumers with more information to make informed choices </w:t>
      </w:r>
      <w:r w:rsidRPr="006340F9">
        <w:rPr>
          <w:rFonts w:eastAsia="Times" w:cs="Arial"/>
          <w:sz w:val="22"/>
          <w:szCs w:val="22"/>
        </w:rPr>
        <w:lastRenderedPageBreak/>
        <w:t xml:space="preserve">about their treatment and has the benefit of leveraging an existing platform. These options would rely on data collection and sharing with the platform. There would likely be an increased cost associated with </w:t>
      </w:r>
      <w:proofErr w:type="spellStart"/>
      <w:r w:rsidRPr="006340F9">
        <w:rPr>
          <w:rFonts w:eastAsia="Times" w:cs="Arial"/>
          <w:i/>
          <w:sz w:val="22"/>
          <w:szCs w:val="22"/>
        </w:rPr>
        <w:t>YourIVFSuccess</w:t>
      </w:r>
      <w:proofErr w:type="spellEnd"/>
      <w:r w:rsidRPr="006340F9">
        <w:rPr>
          <w:rFonts w:eastAsia="Times" w:cs="Arial"/>
          <w:sz w:val="22"/>
          <w:szCs w:val="22"/>
        </w:rPr>
        <w:t xml:space="preserve"> including more information on the website. An implementation challenge could be providers’ resistance to submit data, and to ensure data quality and comparability across clinics. Providers will likely also not be supportive of a star rating system that could have a potentially negative impact on their business.  </w:t>
      </w:r>
    </w:p>
    <w:p w14:paraId="32C93002" w14:textId="1EA29270" w:rsidR="00027849" w:rsidRPr="006340F9" w:rsidRDefault="00027849" w:rsidP="00027849">
      <w:pPr>
        <w:jc w:val="both"/>
        <w:rPr>
          <w:rFonts w:eastAsia="Times" w:cs="Arial"/>
          <w:sz w:val="22"/>
          <w:szCs w:val="22"/>
        </w:rPr>
      </w:pPr>
      <w:r w:rsidRPr="006340F9">
        <w:rPr>
          <w:rFonts w:eastAsia="Times" w:cs="Arial"/>
          <w:sz w:val="22"/>
          <w:szCs w:val="22"/>
        </w:rPr>
        <w:t>Options C and D</w:t>
      </w:r>
      <w:r w:rsidRPr="006340F9" w:rsidDel="008E1EEC">
        <w:rPr>
          <w:rFonts w:eastAsia="Times" w:cs="Arial"/>
          <w:sz w:val="22"/>
          <w:szCs w:val="22"/>
        </w:rPr>
        <w:t xml:space="preserve"> </w:t>
      </w:r>
      <w:r w:rsidRPr="006340F9">
        <w:rPr>
          <w:rFonts w:eastAsia="Times" w:cs="Arial"/>
          <w:sz w:val="22"/>
          <w:szCs w:val="22"/>
        </w:rPr>
        <w:t>both offer opportunities to support informed reproductive choices and reduce stigmatisation and misinformation around infertility and ART. While public health campaigns (</w:t>
      </w:r>
      <w:r w:rsidR="00316510" w:rsidRPr="006340F9">
        <w:rPr>
          <w:rFonts w:eastAsia="Times" w:cs="Arial"/>
          <w:sz w:val="22"/>
          <w:szCs w:val="22"/>
        </w:rPr>
        <w:t>O</w:t>
      </w:r>
      <w:r w:rsidRPr="006340F9">
        <w:rPr>
          <w:rFonts w:eastAsia="Times" w:cs="Arial"/>
          <w:sz w:val="22"/>
          <w:szCs w:val="22"/>
        </w:rPr>
        <w:t xml:space="preserve">ption D) may achieve a wider reach, they can be costly and need to have a critical mass for messages to land. Option C has the benefit of targeting prospective consumers and linking their personal circumstances to probability of success. It would draw on industry expertise and driving provider accountability to ensure key messages are evidence-based and accurate. Both options would require funding. </w:t>
      </w:r>
    </w:p>
    <w:p w14:paraId="6B439AAF" w14:textId="77777777" w:rsidR="00027849" w:rsidRPr="006340F9" w:rsidRDefault="00027849" w:rsidP="00027849">
      <w:pPr>
        <w:jc w:val="both"/>
        <w:rPr>
          <w:rFonts w:eastAsia="Times" w:cs="Arial"/>
          <w:sz w:val="22"/>
          <w:szCs w:val="22"/>
        </w:rPr>
      </w:pPr>
      <w:r w:rsidRPr="006340F9">
        <w:rPr>
          <w:rFonts w:eastAsia="Times" w:cs="Arial"/>
          <w:sz w:val="22"/>
          <w:szCs w:val="22"/>
        </w:rPr>
        <w:t xml:space="preserve">To be successful, all options require careful monitoring to ensure available information is not outdated or misleading. </w:t>
      </w:r>
    </w:p>
    <w:p w14:paraId="1B922EBD" w14:textId="77777777" w:rsidR="00027849" w:rsidRPr="006340F9" w:rsidRDefault="00027849" w:rsidP="00027849">
      <w:pPr>
        <w:keepNext/>
        <w:keepLines/>
        <w:spacing w:before="240" w:after="80"/>
        <w:outlineLvl w:val="3"/>
        <w:rPr>
          <w:rFonts w:eastAsia="MS Mincho"/>
          <w:color w:val="7F7F7F" w:themeColor="text1" w:themeTint="80"/>
          <w:sz w:val="28"/>
          <w:szCs w:val="22"/>
        </w:rPr>
      </w:pPr>
      <w:r w:rsidRPr="006340F9">
        <w:rPr>
          <w:rFonts w:eastAsia="MS Mincho"/>
          <w:color w:val="7F7F7F" w:themeColor="text1" w:themeTint="80"/>
          <w:sz w:val="28"/>
          <w:szCs w:val="22"/>
        </w:rPr>
        <w:t>Recommendation</w:t>
      </w:r>
    </w:p>
    <w:p w14:paraId="5217CDF8" w14:textId="466F36DF" w:rsidR="00027849" w:rsidRPr="006340F9" w:rsidRDefault="00027849" w:rsidP="00027849">
      <w:pPr>
        <w:jc w:val="both"/>
        <w:rPr>
          <w:rFonts w:eastAsia="Times" w:cs="Arial"/>
          <w:sz w:val="22"/>
          <w:szCs w:val="22"/>
        </w:rPr>
      </w:pPr>
      <w:r w:rsidRPr="006340F9">
        <w:rPr>
          <w:rFonts w:eastAsia="Times" w:cs="Arial"/>
          <w:b/>
          <w:sz w:val="22"/>
          <w:szCs w:val="22"/>
        </w:rPr>
        <w:t xml:space="preserve">We recommend that </w:t>
      </w:r>
      <w:proofErr w:type="spellStart"/>
      <w:r w:rsidR="001B2ABE" w:rsidRPr="006340F9">
        <w:rPr>
          <w:rFonts w:eastAsia="Times" w:cs="Arial"/>
          <w:b/>
          <w:bCs/>
          <w:i/>
          <w:iCs/>
          <w:sz w:val="22"/>
          <w:szCs w:val="22"/>
        </w:rPr>
        <w:t>YourIVFSuccess</w:t>
      </w:r>
      <w:proofErr w:type="spellEnd"/>
      <w:r w:rsidR="001B2ABE" w:rsidRPr="006340F9">
        <w:rPr>
          <w:rFonts w:eastAsia="Times" w:cs="Arial"/>
          <w:b/>
          <w:sz w:val="22"/>
          <w:szCs w:val="22"/>
        </w:rPr>
        <w:t xml:space="preserve"> </w:t>
      </w:r>
      <w:r w:rsidR="00044A66" w:rsidRPr="006340F9">
        <w:rPr>
          <w:rFonts w:eastAsia="Times" w:cs="Arial"/>
          <w:b/>
          <w:sz w:val="22"/>
          <w:szCs w:val="22"/>
        </w:rPr>
        <w:t>be expanded</w:t>
      </w:r>
      <w:r w:rsidRPr="006340F9">
        <w:rPr>
          <w:rFonts w:eastAsia="Times" w:cs="Arial"/>
          <w:b/>
          <w:sz w:val="22"/>
          <w:szCs w:val="22"/>
        </w:rPr>
        <w:t xml:space="preserve"> in the near term to enable more informed consumer choice and consent</w:t>
      </w:r>
      <w:r w:rsidR="0009007D" w:rsidRPr="006340F9">
        <w:rPr>
          <w:rFonts w:eastAsia="Times" w:cs="Arial"/>
          <w:b/>
          <w:sz w:val="22"/>
          <w:szCs w:val="22"/>
        </w:rPr>
        <w:t xml:space="preserve"> (Option A)</w:t>
      </w:r>
      <w:r w:rsidRPr="006340F9">
        <w:rPr>
          <w:rFonts w:eastAsia="Times" w:cs="Arial"/>
          <w:b/>
          <w:sz w:val="22"/>
          <w:szCs w:val="22"/>
        </w:rPr>
        <w:t>.</w:t>
      </w:r>
      <w:r w:rsidRPr="006340F9">
        <w:rPr>
          <w:rFonts w:eastAsia="Times" w:cs="Arial"/>
          <w:sz w:val="22"/>
          <w:szCs w:val="22"/>
        </w:rPr>
        <w:t xml:space="preserve"> </w:t>
      </w:r>
    </w:p>
    <w:p w14:paraId="76457D9B" w14:textId="77777777" w:rsidR="00027849" w:rsidRPr="006340F9" w:rsidRDefault="00027849" w:rsidP="00027849">
      <w:pPr>
        <w:jc w:val="both"/>
        <w:rPr>
          <w:rFonts w:eastAsia="Times" w:cs="Arial"/>
          <w:sz w:val="22"/>
          <w:szCs w:val="22"/>
        </w:rPr>
      </w:pPr>
      <w:r w:rsidRPr="006340F9">
        <w:rPr>
          <w:rFonts w:eastAsia="Times" w:cs="Arial"/>
          <w:sz w:val="22"/>
          <w:szCs w:val="22"/>
        </w:rPr>
        <w:t>The review team recommends further exploration of a provider star rating system (Option B) as a recognisable indicator of a clinic’s performance.</w:t>
      </w:r>
    </w:p>
    <w:p w14:paraId="62F08D55" w14:textId="77777777" w:rsidR="00027849" w:rsidRPr="006340F9" w:rsidRDefault="00027849" w:rsidP="00027849">
      <w:pPr>
        <w:jc w:val="both"/>
        <w:rPr>
          <w:rFonts w:eastAsia="Times" w:cs="Arial"/>
          <w:sz w:val="22"/>
          <w:szCs w:val="22"/>
        </w:rPr>
      </w:pPr>
      <w:r w:rsidRPr="006340F9">
        <w:rPr>
          <w:rFonts w:eastAsia="Times" w:cs="Arial"/>
          <w:sz w:val="22"/>
          <w:szCs w:val="22"/>
        </w:rPr>
        <w:t xml:space="preserve">Option C may warrant further exploration subject to funding to support the initiative and industry buy-in. Option D is not recommended given expense and it not being as targeted as Option C. </w:t>
      </w:r>
    </w:p>
    <w:tbl>
      <w:tblPr>
        <w:tblStyle w:val="TableGrid"/>
        <w:tblW w:w="0" w:type="auto"/>
        <w:tblLook w:val="04A0" w:firstRow="1" w:lastRow="0" w:firstColumn="1" w:lastColumn="0" w:noHBand="0" w:noVBand="1"/>
      </w:tblPr>
      <w:tblGrid>
        <w:gridCol w:w="9288"/>
      </w:tblGrid>
      <w:tr w:rsidR="00027849" w:rsidRPr="006340F9" w14:paraId="64A50458" w14:textId="77777777">
        <w:tc>
          <w:tcPr>
            <w:tcW w:w="9288" w:type="dxa"/>
            <w:shd w:val="clear" w:color="auto" w:fill="C6D9F1" w:themeFill="text2" w:themeFillTint="33"/>
          </w:tcPr>
          <w:p w14:paraId="416AD09E" w14:textId="77777777" w:rsidR="00027849" w:rsidRPr="006340F9" w:rsidRDefault="00027849" w:rsidP="00027849">
            <w:pPr>
              <w:spacing w:after="40"/>
              <w:jc w:val="both"/>
              <w:rPr>
                <w:rFonts w:eastAsia="Times" w:cs="Arial"/>
                <w:sz w:val="22"/>
                <w:szCs w:val="21"/>
              </w:rPr>
            </w:pPr>
            <w:r w:rsidRPr="006340F9">
              <w:rPr>
                <w:rFonts w:eastAsia="Times" w:cs="Arial"/>
                <w:b/>
                <w:bCs/>
                <w:sz w:val="22"/>
                <w:szCs w:val="21"/>
              </w:rPr>
              <w:t>Aged care star ratings are a useful tool to inform consumer choice</w:t>
            </w:r>
          </w:p>
          <w:p w14:paraId="39D215F7" w14:textId="2C47743A" w:rsidR="00027849" w:rsidRPr="006340F9" w:rsidRDefault="00027849" w:rsidP="00027849">
            <w:pPr>
              <w:jc w:val="both"/>
              <w:rPr>
                <w:rFonts w:eastAsia="Times" w:cs="Arial"/>
                <w:sz w:val="22"/>
                <w:szCs w:val="22"/>
              </w:rPr>
            </w:pPr>
            <w:r w:rsidRPr="006340F9">
              <w:rPr>
                <w:rFonts w:eastAsia="Times" w:cs="Arial"/>
                <w:sz w:val="22"/>
                <w:szCs w:val="22"/>
              </w:rPr>
              <w:t>Provider rating systems are used in the residential aged care sector</w:t>
            </w:r>
            <w:r w:rsidR="00C839AF">
              <w:rPr>
                <w:rFonts w:eastAsia="Times" w:cs="Arial"/>
                <w:sz w:val="22"/>
                <w:szCs w:val="22"/>
              </w:rPr>
              <w:t xml:space="preserve"> (see Figure 5.1)</w:t>
            </w:r>
            <w:r w:rsidRPr="006340F9">
              <w:rPr>
                <w:rFonts w:eastAsia="Times" w:cs="Arial"/>
                <w:sz w:val="22"/>
                <w:szCs w:val="22"/>
              </w:rPr>
              <w:t xml:space="preserve">. The ratings assist older people, their families and carers to compare the quality of aged care homes. Aged care homes receive an overall star rating and a rating against </w:t>
            </w:r>
            <w:r w:rsidR="00503CC3" w:rsidRPr="006340F9">
              <w:rPr>
                <w:rFonts w:eastAsia="Times" w:cs="Arial"/>
                <w:sz w:val="22"/>
                <w:szCs w:val="22"/>
              </w:rPr>
              <w:t>four</w:t>
            </w:r>
            <w:r w:rsidRPr="006340F9">
              <w:rPr>
                <w:rFonts w:eastAsia="Times" w:cs="Arial"/>
                <w:sz w:val="22"/>
                <w:szCs w:val="22"/>
              </w:rPr>
              <w:t xml:space="preserve"> sub-categories: residents</w:t>
            </w:r>
            <w:r w:rsidR="0097616C" w:rsidRPr="006340F9">
              <w:rPr>
                <w:rFonts w:eastAsia="Times" w:cs="Arial"/>
                <w:sz w:val="22"/>
                <w:szCs w:val="22"/>
              </w:rPr>
              <w:t>’</w:t>
            </w:r>
            <w:r w:rsidRPr="006340F9">
              <w:rPr>
                <w:rFonts w:eastAsia="Times" w:cs="Arial"/>
                <w:sz w:val="22"/>
                <w:szCs w:val="22"/>
              </w:rPr>
              <w:t xml:space="preserve"> experience, compliance, staffing and quality measures. These are calculated using data from aged care residents, aged care providers, and the Aged Care Quality and Safety Commission – which are updated at least every quarter.</w:t>
            </w:r>
            <w:r w:rsidRPr="006340F9">
              <w:rPr>
                <w:rFonts w:eastAsia="Times" w:cs="Arial"/>
                <w:sz w:val="22"/>
                <w:szCs w:val="22"/>
                <w:vertAlign w:val="superscript"/>
              </w:rPr>
              <w:footnoteReference w:id="207"/>
            </w:r>
            <w:r w:rsidRPr="006340F9">
              <w:rPr>
                <w:rFonts w:eastAsia="Times" w:cs="Arial"/>
                <w:sz w:val="22"/>
                <w:szCs w:val="22"/>
              </w:rPr>
              <w:t xml:space="preserve"> Transparent information about the quality, safety, and services of residential aged care homes help people compare options and encourages providers to improve their care standards. </w:t>
            </w:r>
          </w:p>
          <w:p w14:paraId="4BA17308" w14:textId="306F4483" w:rsidR="00027849" w:rsidRPr="006340F9" w:rsidRDefault="00027849" w:rsidP="00027849">
            <w:pPr>
              <w:keepNext/>
              <w:keepLines/>
              <w:spacing w:before="240" w:line="250" w:lineRule="atLeast"/>
              <w:jc w:val="center"/>
              <w:rPr>
                <w:b/>
              </w:rPr>
            </w:pPr>
            <w:r w:rsidRPr="006340F9">
              <w:rPr>
                <w:b/>
              </w:rPr>
              <w:lastRenderedPageBreak/>
              <w:t>Figure</w:t>
            </w:r>
            <w:r w:rsidR="00B651AA" w:rsidRPr="006340F9">
              <w:rPr>
                <w:b/>
              </w:rPr>
              <w:t xml:space="preserve"> </w:t>
            </w:r>
            <w:r w:rsidR="00A415FB" w:rsidRPr="006340F9">
              <w:rPr>
                <w:b/>
              </w:rPr>
              <w:t xml:space="preserve">5.1: </w:t>
            </w:r>
            <w:r w:rsidRPr="006340F9">
              <w:rPr>
                <w:b/>
              </w:rPr>
              <w:t>Star rating of Mercy Place East Melbourne residential aged care.</w:t>
            </w:r>
          </w:p>
          <w:p w14:paraId="0BC6CCA1" w14:textId="77777777" w:rsidR="00027849" w:rsidRPr="006340F9" w:rsidRDefault="00027849" w:rsidP="00027849">
            <w:pPr>
              <w:spacing w:after="40"/>
              <w:jc w:val="center"/>
              <w:rPr>
                <w:rFonts w:eastAsia="Times" w:cs="Arial"/>
                <w:sz w:val="22"/>
                <w:szCs w:val="21"/>
              </w:rPr>
            </w:pPr>
            <w:r w:rsidRPr="006340F9">
              <w:rPr>
                <w:rFonts w:eastAsia="Times" w:cs="Arial"/>
                <w:noProof/>
                <w:sz w:val="22"/>
                <w:szCs w:val="21"/>
              </w:rPr>
              <w:drawing>
                <wp:inline distT="0" distB="0" distL="0" distR="0" wp14:anchorId="383EAE33" wp14:editId="38ABE52E">
                  <wp:extent cx="3935245" cy="2484000"/>
                  <wp:effectExtent l="0" t="0" r="8255" b="0"/>
                  <wp:docPr id="91807719" name="Picture 1" descr="Figure 5.1: Star rating of Mercy Place East Melbourne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7719" name="Picture 1" descr="Figure 5.1: Star rating of Mercy Place East Melbourne residential aged care."/>
                          <pic:cNvPicPr/>
                        </pic:nvPicPr>
                        <pic:blipFill rotWithShape="1">
                          <a:blip r:embed="rId35"/>
                          <a:srcRect l="-1" t="6027" r="360" b="12537"/>
                          <a:stretch>
                            <a:fillRect/>
                          </a:stretch>
                        </pic:blipFill>
                        <pic:spPr bwMode="auto">
                          <a:xfrm>
                            <a:off x="0" y="0"/>
                            <a:ext cx="3935245" cy="248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A4853A" w14:textId="5E0C1E35" w:rsidR="00027849" w:rsidRPr="006340F9" w:rsidRDefault="00027849" w:rsidP="00A94273">
      <w:pPr>
        <w:pStyle w:val="Heading3"/>
        <w:rPr>
          <w:bCs w:val="0"/>
        </w:rPr>
      </w:pPr>
      <w:r w:rsidRPr="006340F9">
        <w:lastRenderedPageBreak/>
        <w:t>Reform opportunity 9: Clarify</w:t>
      </w:r>
      <w:r w:rsidR="00736CD5" w:rsidRPr="006340F9">
        <w:t>ing</w:t>
      </w:r>
      <w:r w:rsidRPr="006340F9">
        <w:t xml:space="preserve"> established complaints pathways and processes</w:t>
      </w:r>
      <w:r w:rsidRPr="006340F9" w:rsidDel="00CF5368">
        <w:rPr>
          <w:bCs w:val="0"/>
        </w:rPr>
        <w:t xml:space="preserve"> </w:t>
      </w:r>
    </w:p>
    <w:p w14:paraId="2797D312" w14:textId="3B9151B9" w:rsidR="00027849" w:rsidRPr="006340F9" w:rsidRDefault="00027849" w:rsidP="00027849">
      <w:pPr>
        <w:jc w:val="both"/>
        <w:rPr>
          <w:rFonts w:eastAsia="Times"/>
          <w:sz w:val="22"/>
          <w:szCs w:val="22"/>
        </w:rPr>
      </w:pPr>
      <w:r w:rsidRPr="006340F9">
        <w:rPr>
          <w:rFonts w:eastAsia="Times"/>
          <w:sz w:val="22"/>
          <w:szCs w:val="22"/>
        </w:rPr>
        <w:t xml:space="preserve">As outlined in chapter </w:t>
      </w:r>
      <w:r w:rsidRPr="006340F9">
        <w:rPr>
          <w:rFonts w:eastAsia="Times"/>
          <w:sz w:val="22"/>
          <w:szCs w:val="22"/>
        </w:rPr>
        <w:fldChar w:fldCharType="begin"/>
      </w:r>
      <w:r w:rsidRPr="006340F9">
        <w:rPr>
          <w:rFonts w:eastAsia="Times"/>
          <w:sz w:val="22"/>
          <w:szCs w:val="22"/>
        </w:rPr>
        <w:instrText xml:space="preserve"> REF _Ref207633570 \r \h  \* MERGEFORMAT </w:instrText>
      </w:r>
      <w:r w:rsidRPr="006340F9">
        <w:rPr>
          <w:rFonts w:eastAsia="Times"/>
          <w:sz w:val="22"/>
          <w:szCs w:val="22"/>
        </w:rPr>
      </w:r>
      <w:r w:rsidRPr="006340F9">
        <w:rPr>
          <w:rFonts w:eastAsia="Times"/>
          <w:sz w:val="22"/>
          <w:szCs w:val="22"/>
        </w:rPr>
        <w:fldChar w:fldCharType="separate"/>
      </w:r>
      <w:r w:rsidR="007D732A">
        <w:rPr>
          <w:rFonts w:eastAsia="Times"/>
          <w:sz w:val="22"/>
          <w:szCs w:val="22"/>
        </w:rPr>
        <w:t>4</w:t>
      </w:r>
      <w:r w:rsidRPr="006340F9">
        <w:rPr>
          <w:rFonts w:eastAsia="Times"/>
          <w:sz w:val="22"/>
          <w:szCs w:val="22"/>
        </w:rPr>
        <w:fldChar w:fldCharType="end"/>
      </w:r>
      <w:r w:rsidRPr="006340F9" w:rsidDel="00EC0F0A">
        <w:rPr>
          <w:rFonts w:eastAsia="Times"/>
          <w:sz w:val="22"/>
          <w:szCs w:val="22"/>
        </w:rPr>
        <w:t>,</w:t>
      </w:r>
      <w:r w:rsidRPr="006340F9">
        <w:rPr>
          <w:rFonts w:eastAsia="Times"/>
          <w:sz w:val="22"/>
          <w:szCs w:val="22"/>
        </w:rPr>
        <w:t xml:space="preserve"> consumers consistently told us that they have difficulties making and resolving complaints with ART providers. </w:t>
      </w:r>
    </w:p>
    <w:p w14:paraId="06891A95" w14:textId="77777777" w:rsidR="00027849" w:rsidRPr="006340F9" w:rsidRDefault="00027849" w:rsidP="00027849">
      <w:pPr>
        <w:jc w:val="both"/>
        <w:rPr>
          <w:rFonts w:eastAsia="Times"/>
          <w:sz w:val="22"/>
          <w:szCs w:val="22"/>
        </w:rPr>
      </w:pPr>
      <w:r w:rsidRPr="006340F9">
        <w:rPr>
          <w:rFonts w:eastAsia="Times"/>
          <w:sz w:val="22"/>
          <w:szCs w:val="22"/>
        </w:rPr>
        <w:t>We propose two alternative options to address this:</w:t>
      </w:r>
    </w:p>
    <w:p w14:paraId="54CD6CB7" w14:textId="77777777" w:rsidR="00027849" w:rsidRPr="006340F9" w:rsidRDefault="00027849" w:rsidP="00027849">
      <w:pPr>
        <w:jc w:val="both"/>
        <w:rPr>
          <w:rFonts w:eastAsia="Times"/>
          <w:b/>
          <w:sz w:val="22"/>
          <w:szCs w:val="22"/>
        </w:rPr>
      </w:pPr>
      <w:r w:rsidRPr="006340F9">
        <w:rPr>
          <w:rFonts w:eastAsia="Times"/>
          <w:b/>
          <w:sz w:val="22"/>
          <w:szCs w:val="22"/>
        </w:rPr>
        <w:t>Option A: Better enable consumers to use existing complaints handling bodies and processes.</w:t>
      </w:r>
    </w:p>
    <w:p w14:paraId="67D09739" w14:textId="77777777" w:rsidR="00027849" w:rsidRPr="006340F9" w:rsidRDefault="00027849" w:rsidP="00027849">
      <w:pPr>
        <w:jc w:val="both"/>
        <w:rPr>
          <w:rFonts w:eastAsia="Times"/>
          <w:sz w:val="22"/>
          <w:szCs w:val="22"/>
        </w:rPr>
      </w:pPr>
      <w:r w:rsidRPr="006340F9">
        <w:rPr>
          <w:rFonts w:eastAsia="Times"/>
          <w:sz w:val="22"/>
          <w:szCs w:val="22"/>
        </w:rPr>
        <w:t xml:space="preserve">The accreditor, providers, and regulators should all provide consumers with clear and accessible information about how they can make a complaint, and which entity can assist them with different issues. For example, if a complainant is unable to reach a resolution with their provider and their complaint relates to a practitioner, they should be referred to </w:t>
      </w:r>
      <w:proofErr w:type="spellStart"/>
      <w:r w:rsidRPr="006340F9">
        <w:rPr>
          <w:rFonts w:eastAsia="Times"/>
          <w:sz w:val="22"/>
          <w:szCs w:val="22"/>
        </w:rPr>
        <w:t>Ahpra</w:t>
      </w:r>
      <w:proofErr w:type="spellEnd"/>
      <w:r w:rsidRPr="006340F9">
        <w:rPr>
          <w:rFonts w:eastAsia="Times"/>
          <w:sz w:val="22"/>
          <w:szCs w:val="22"/>
        </w:rPr>
        <w:t>. However, if the complaint relates to a provider, the consumer should be referred to the relevant state-based health complaints body.</w:t>
      </w:r>
      <w:r w:rsidRPr="006340F9">
        <w:rPr>
          <w:rFonts w:eastAsia="Times"/>
          <w:b/>
          <w:sz w:val="22"/>
          <w:szCs w:val="22"/>
        </w:rPr>
        <w:t xml:space="preserve"> </w:t>
      </w:r>
    </w:p>
    <w:p w14:paraId="48465161" w14:textId="77777777" w:rsidR="00027849" w:rsidRPr="006340F9" w:rsidRDefault="00027849" w:rsidP="00027849">
      <w:pPr>
        <w:jc w:val="both"/>
        <w:rPr>
          <w:rFonts w:eastAsia="Times"/>
          <w:b/>
          <w:sz w:val="22"/>
          <w:szCs w:val="22"/>
        </w:rPr>
      </w:pPr>
      <w:r w:rsidRPr="006340F9">
        <w:rPr>
          <w:rFonts w:eastAsia="Times"/>
          <w:b/>
          <w:sz w:val="22"/>
          <w:szCs w:val="22"/>
        </w:rPr>
        <w:t>Option B: A dedicated ART complaints ombudsman.</w:t>
      </w:r>
    </w:p>
    <w:p w14:paraId="4CACD0C0" w14:textId="77777777" w:rsidR="00027849" w:rsidRPr="006340F9" w:rsidRDefault="00027849" w:rsidP="00027849">
      <w:pPr>
        <w:jc w:val="both"/>
        <w:rPr>
          <w:rFonts w:eastAsia="Times"/>
          <w:sz w:val="22"/>
          <w:szCs w:val="22"/>
        </w:rPr>
      </w:pPr>
      <w:r w:rsidRPr="006340F9">
        <w:rPr>
          <w:rFonts w:eastAsia="Times"/>
          <w:sz w:val="22"/>
          <w:szCs w:val="22"/>
        </w:rPr>
        <w:t>An independent, specialised authority would be responsible for investigating and resolving complaints related to services, conduct or practices within the ART sector. The independent review of complexity in the NRAS is considering a reduction in the number of complaints bodies within the NRAS, which could be leveraged to improve pathways for ART consumers.</w:t>
      </w:r>
      <w:r w:rsidRPr="006340F9">
        <w:rPr>
          <w:rFonts w:eastAsia="Times"/>
          <w:sz w:val="22"/>
          <w:szCs w:val="22"/>
          <w:vertAlign w:val="superscript"/>
        </w:rPr>
        <w:footnoteReference w:id="208"/>
      </w:r>
      <w:r w:rsidRPr="006340F9">
        <w:rPr>
          <w:rFonts w:eastAsia="Times"/>
          <w:sz w:val="22"/>
          <w:szCs w:val="22"/>
        </w:rPr>
        <w:t xml:space="preserve">   </w:t>
      </w:r>
    </w:p>
    <w:p w14:paraId="1CD13FC7" w14:textId="77777777" w:rsidR="00027849" w:rsidRPr="006340F9" w:rsidRDefault="00027849" w:rsidP="00027849">
      <w:pPr>
        <w:keepNext/>
        <w:keepLines/>
        <w:spacing w:before="240" w:after="80"/>
        <w:outlineLvl w:val="3"/>
        <w:rPr>
          <w:rFonts w:eastAsia="MS Mincho"/>
          <w:color w:val="7F7F7F" w:themeColor="text1" w:themeTint="80"/>
          <w:sz w:val="28"/>
          <w:szCs w:val="22"/>
        </w:rPr>
      </w:pPr>
      <w:r w:rsidRPr="006340F9">
        <w:rPr>
          <w:rFonts w:eastAsia="MS Mincho"/>
          <w:color w:val="7F7F7F" w:themeColor="text1" w:themeTint="80"/>
          <w:sz w:val="28"/>
          <w:szCs w:val="22"/>
        </w:rPr>
        <w:t>Options consideration</w:t>
      </w:r>
    </w:p>
    <w:p w14:paraId="22886998" w14:textId="2DC6E6D4" w:rsidR="00027849" w:rsidRPr="006340F9" w:rsidRDefault="00027849" w:rsidP="00027849">
      <w:pPr>
        <w:jc w:val="both"/>
        <w:rPr>
          <w:rFonts w:eastAsia="Times" w:cs="Arial"/>
          <w:sz w:val="22"/>
          <w:szCs w:val="22"/>
        </w:rPr>
      </w:pPr>
      <w:r w:rsidRPr="006340F9">
        <w:rPr>
          <w:rFonts w:eastAsia="Times" w:cs="Arial"/>
          <w:sz w:val="22"/>
          <w:szCs w:val="22"/>
        </w:rPr>
        <w:t xml:space="preserve">Option A involves better use of existing complaints handling processes and bodies. It requires the accreditor, providers and regulators to ensure consumers receive clear and accessible information about how to make and resolve complaints. This option leverages existing entities </w:t>
      </w:r>
      <w:r w:rsidRPr="006340F9">
        <w:rPr>
          <w:rFonts w:eastAsia="Times" w:cs="Arial"/>
          <w:sz w:val="22"/>
          <w:szCs w:val="22"/>
        </w:rPr>
        <w:lastRenderedPageBreak/>
        <w:t xml:space="preserve">such as </w:t>
      </w:r>
      <w:proofErr w:type="spellStart"/>
      <w:r w:rsidRPr="006340F9">
        <w:rPr>
          <w:rFonts w:eastAsia="Times" w:cs="Arial"/>
          <w:sz w:val="22"/>
          <w:szCs w:val="22"/>
        </w:rPr>
        <w:t>Ahpra</w:t>
      </w:r>
      <w:proofErr w:type="spellEnd"/>
      <w:r w:rsidRPr="006340F9">
        <w:rPr>
          <w:rFonts w:eastAsia="Times" w:cs="Arial"/>
          <w:sz w:val="22"/>
          <w:szCs w:val="22"/>
        </w:rPr>
        <w:t xml:space="preserve">, and </w:t>
      </w:r>
      <w:r w:rsidR="001E7E27" w:rsidRPr="006340F9">
        <w:rPr>
          <w:rFonts w:cs="Arial"/>
          <w:sz w:val="22"/>
          <w:szCs w:val="22"/>
        </w:rPr>
        <w:t>State and Territory</w:t>
      </w:r>
      <w:r w:rsidR="001E7E27" w:rsidRPr="006340F9" w:rsidDel="00EC182E">
        <w:rPr>
          <w:rFonts w:cs="Arial"/>
          <w:sz w:val="22"/>
          <w:szCs w:val="22"/>
        </w:rPr>
        <w:t xml:space="preserve"> </w:t>
      </w:r>
      <w:r w:rsidRPr="006340F9">
        <w:rPr>
          <w:rFonts w:eastAsia="Times" w:cs="Arial"/>
          <w:sz w:val="22"/>
          <w:szCs w:val="22"/>
        </w:rPr>
        <w:t xml:space="preserve">health complaints bodies, rather than establishing a new entity. It should be noted that some consumers may not be satisfied with this option given their experiences with current processes. </w:t>
      </w:r>
    </w:p>
    <w:p w14:paraId="6647BDD0" w14:textId="77777777" w:rsidR="00027849" w:rsidRPr="006340F9" w:rsidRDefault="00027849" w:rsidP="00027849">
      <w:pPr>
        <w:jc w:val="both"/>
        <w:rPr>
          <w:rFonts w:eastAsia="Times" w:cs="Arial"/>
          <w:sz w:val="22"/>
          <w:szCs w:val="22"/>
        </w:rPr>
      </w:pPr>
      <w:r w:rsidRPr="006340F9">
        <w:rPr>
          <w:rFonts w:eastAsia="Times" w:cs="Arial"/>
          <w:sz w:val="22"/>
          <w:szCs w:val="22"/>
        </w:rPr>
        <w:t xml:space="preserve">Establishing a dedicated ART ombudsman to handle ART complaints (Option B) would be welcomed by consumers because it would create a single, dedicated pathway to make a complaint. Additionally, the creation of a dedicated complaints body for the ART sector would mean that staff would have subject matter expertise about ART services and treatments. However, at present, we believe that the volume of complaints makes it is difficult to justify a standalone ombudsman for the ART sector. </w:t>
      </w:r>
    </w:p>
    <w:p w14:paraId="6949CD58" w14:textId="77777777" w:rsidR="00027849" w:rsidRPr="006340F9" w:rsidRDefault="00027849" w:rsidP="00027849">
      <w:pPr>
        <w:keepNext/>
        <w:keepLines/>
        <w:spacing w:before="240" w:after="80"/>
        <w:outlineLvl w:val="3"/>
        <w:rPr>
          <w:rFonts w:eastAsia="MS Mincho"/>
          <w:color w:val="7F7F7F" w:themeColor="text1" w:themeTint="80"/>
          <w:sz w:val="28"/>
          <w:szCs w:val="22"/>
        </w:rPr>
      </w:pPr>
      <w:r w:rsidRPr="006340F9">
        <w:rPr>
          <w:rFonts w:eastAsia="MS Mincho"/>
          <w:color w:val="7F7F7F" w:themeColor="text1" w:themeTint="80"/>
          <w:sz w:val="28"/>
          <w:szCs w:val="22"/>
        </w:rPr>
        <w:t>Recommendation</w:t>
      </w:r>
    </w:p>
    <w:p w14:paraId="4F57A1AD" w14:textId="77777777" w:rsidR="00027849" w:rsidRPr="006340F9" w:rsidRDefault="00027849" w:rsidP="00027849">
      <w:pPr>
        <w:jc w:val="both"/>
        <w:rPr>
          <w:rFonts w:eastAsia="Times"/>
          <w:b/>
          <w:sz w:val="22"/>
          <w:szCs w:val="22"/>
        </w:rPr>
      </w:pPr>
      <w:r w:rsidRPr="006340F9">
        <w:rPr>
          <w:rFonts w:eastAsia="Times"/>
          <w:b/>
          <w:sz w:val="22"/>
          <w:szCs w:val="22"/>
        </w:rPr>
        <w:t>We recommend that consumers are better supported to use existing complaints handling bodies and processes (Option A).</w:t>
      </w:r>
    </w:p>
    <w:p w14:paraId="59E07F5A" w14:textId="777A2235" w:rsidR="00027849" w:rsidRPr="006340F9" w:rsidRDefault="00027849" w:rsidP="001669E8">
      <w:pPr>
        <w:pStyle w:val="Heading3"/>
      </w:pPr>
      <w:r w:rsidRPr="006340F9">
        <w:t xml:space="preserve">Reform opportunity 10: </w:t>
      </w:r>
      <w:r w:rsidR="00736CD5" w:rsidRPr="006340F9">
        <w:t xml:space="preserve">Sharing </w:t>
      </w:r>
      <w:r w:rsidRPr="006340F9">
        <w:t>and us</w:t>
      </w:r>
      <w:r w:rsidR="00736CD5" w:rsidRPr="006340F9">
        <w:t>ing</w:t>
      </w:r>
      <w:r w:rsidRPr="006340F9">
        <w:t xml:space="preserve"> complaints data to support accreditation and regulatory activities </w:t>
      </w:r>
    </w:p>
    <w:p w14:paraId="14829543" w14:textId="77777777" w:rsidR="00027849" w:rsidRPr="006340F9" w:rsidRDefault="00027849" w:rsidP="00027849">
      <w:pPr>
        <w:jc w:val="both"/>
        <w:rPr>
          <w:rFonts w:eastAsia="Times" w:cs="Arial"/>
          <w:sz w:val="22"/>
          <w:szCs w:val="22"/>
        </w:rPr>
      </w:pPr>
      <w:r w:rsidRPr="006340F9">
        <w:rPr>
          <w:rFonts w:eastAsia="Times" w:cs="Arial"/>
          <w:sz w:val="22"/>
          <w:szCs w:val="22"/>
        </w:rPr>
        <w:t>Regulators and accreditors can use complaints data to gain insights into potential harms, identify trends and systemic issues, and inform their audit, compliance, enforcement, and policy-making activities. At present, complaints data in the ART sector are not collected in a systemised manner. This is a missed improvement opportunity, both for the ART sector and health care more broadly.</w:t>
      </w:r>
    </w:p>
    <w:p w14:paraId="70A4DE97" w14:textId="77777777" w:rsidR="00027849" w:rsidRPr="006340F9" w:rsidRDefault="00027849" w:rsidP="00027849">
      <w:pPr>
        <w:keepNext/>
        <w:keepLines/>
        <w:spacing w:before="240" w:after="80"/>
        <w:outlineLvl w:val="3"/>
        <w:rPr>
          <w:rFonts w:eastAsia="MS Mincho"/>
          <w:color w:val="7F7F7F" w:themeColor="text1" w:themeTint="80"/>
          <w:sz w:val="28"/>
          <w:szCs w:val="22"/>
        </w:rPr>
      </w:pPr>
      <w:r w:rsidRPr="006340F9">
        <w:rPr>
          <w:rFonts w:eastAsia="MS Mincho"/>
          <w:color w:val="7F7F7F" w:themeColor="text1" w:themeTint="80"/>
          <w:sz w:val="28"/>
          <w:szCs w:val="22"/>
        </w:rPr>
        <w:t>Recommendation</w:t>
      </w:r>
    </w:p>
    <w:p w14:paraId="339EB215" w14:textId="77777777" w:rsidR="002D39AC" w:rsidRPr="006340F9" w:rsidRDefault="00027849" w:rsidP="00B73D14">
      <w:pPr>
        <w:keepLines/>
        <w:jc w:val="both"/>
        <w:rPr>
          <w:rFonts w:eastAsia="Times" w:cs="Arial"/>
          <w:b/>
          <w:sz w:val="22"/>
          <w:szCs w:val="22"/>
        </w:rPr>
      </w:pPr>
      <w:r w:rsidRPr="006340F9">
        <w:rPr>
          <w:rFonts w:eastAsia="Times" w:cs="Arial"/>
          <w:b/>
          <w:sz w:val="22"/>
          <w:szCs w:val="22"/>
        </w:rPr>
        <w:t xml:space="preserve">We recommend that providers, the accreditor, regulators and complaints handling bodies share complaints data. </w:t>
      </w:r>
    </w:p>
    <w:p w14:paraId="4C39EFE1" w14:textId="77777777" w:rsidR="00027849" w:rsidRPr="006340F9" w:rsidRDefault="00027849" w:rsidP="00B73D14">
      <w:pPr>
        <w:keepLines/>
        <w:jc w:val="both"/>
        <w:rPr>
          <w:rFonts w:eastAsia="Times" w:cs="Arial"/>
          <w:sz w:val="22"/>
          <w:szCs w:val="22"/>
        </w:rPr>
      </w:pPr>
      <w:r w:rsidRPr="006340F9">
        <w:rPr>
          <w:rFonts w:eastAsia="Times" w:cs="Arial"/>
          <w:sz w:val="22"/>
          <w:szCs w:val="22"/>
        </w:rPr>
        <w:t xml:space="preserve">Insights from complaints data could usefully inform accreditation and regulatory activities. For example, if a provider is subject to multiple complaints, this could prompt proactive compliance monitoring by the regulator.  </w:t>
      </w:r>
    </w:p>
    <w:p w14:paraId="07E38E61" w14:textId="6A22984F" w:rsidR="00027849" w:rsidRPr="006340F9" w:rsidRDefault="00027849" w:rsidP="00B73D14">
      <w:pPr>
        <w:keepLines/>
        <w:jc w:val="both"/>
        <w:rPr>
          <w:rFonts w:eastAsia="Times" w:cs="Arial"/>
          <w:sz w:val="22"/>
          <w:szCs w:val="22"/>
        </w:rPr>
      </w:pPr>
      <w:r w:rsidRPr="006340F9">
        <w:rPr>
          <w:rFonts w:eastAsia="Times" w:cs="Arial"/>
          <w:sz w:val="22"/>
          <w:szCs w:val="22"/>
        </w:rPr>
        <w:t>A network of reporting arrangements across the various complaints handling, accreditation and regulatory authorities would need to be established. This would need to consider privacy protections so that consumers are not identifiable. Consideration would need to be given to how entities would share and report data to minimise manual data entry and enable analysis and trends to be identified.</w:t>
      </w:r>
    </w:p>
    <w:tbl>
      <w:tblPr>
        <w:tblStyle w:val="TableGrid"/>
        <w:tblW w:w="0" w:type="auto"/>
        <w:tblLook w:val="04A0" w:firstRow="1" w:lastRow="0" w:firstColumn="1" w:lastColumn="0" w:noHBand="0" w:noVBand="1"/>
      </w:tblPr>
      <w:tblGrid>
        <w:gridCol w:w="9288"/>
      </w:tblGrid>
      <w:tr w:rsidR="00027849" w:rsidRPr="006340F9" w14:paraId="550DA9DE" w14:textId="77777777">
        <w:tc>
          <w:tcPr>
            <w:tcW w:w="9288" w:type="dxa"/>
            <w:shd w:val="clear" w:color="auto" w:fill="C6D9F1" w:themeFill="text2" w:themeFillTint="33"/>
          </w:tcPr>
          <w:p w14:paraId="3FD9CD05" w14:textId="2DA55008" w:rsidR="00027849" w:rsidRPr="006340F9" w:rsidRDefault="00027849" w:rsidP="00921E6D">
            <w:pPr>
              <w:keepLines/>
              <w:spacing w:after="0"/>
              <w:jc w:val="both"/>
              <w:rPr>
                <w:rFonts w:eastAsia="Times" w:cs="Arial"/>
                <w:b/>
                <w:sz w:val="22"/>
                <w:szCs w:val="22"/>
              </w:rPr>
            </w:pPr>
            <w:r w:rsidRPr="006340F9">
              <w:rPr>
                <w:rFonts w:eastAsia="Times" w:cs="Arial"/>
                <w:b/>
                <w:sz w:val="22"/>
                <w:szCs w:val="22"/>
              </w:rPr>
              <w:t xml:space="preserve">Australian Securities and Investments Commission (ASIC) uses complaints data to inform compliance monitoring activities </w:t>
            </w:r>
          </w:p>
          <w:p w14:paraId="219B11FC" w14:textId="620F00D3" w:rsidR="00027849" w:rsidRPr="006340F9" w:rsidRDefault="00027849" w:rsidP="00457948">
            <w:pPr>
              <w:keepLines/>
              <w:spacing w:after="80"/>
              <w:jc w:val="both"/>
              <w:rPr>
                <w:rFonts w:eastAsia="Times" w:cs="Arial"/>
                <w:bCs/>
              </w:rPr>
            </w:pPr>
            <w:r w:rsidRPr="006340F9">
              <w:rPr>
                <w:rFonts w:cs="Arial"/>
                <w:sz w:val="22"/>
                <w:szCs w:val="22"/>
              </w:rPr>
              <w:t>Internal dispute resolution</w:t>
            </w:r>
            <w:r w:rsidRPr="006340F9" w:rsidDel="009B6B92">
              <w:rPr>
                <w:rFonts w:cs="Arial"/>
                <w:sz w:val="22"/>
                <w:szCs w:val="22"/>
              </w:rPr>
              <w:t xml:space="preserve"> </w:t>
            </w:r>
            <w:r w:rsidRPr="006340F9">
              <w:rPr>
                <w:rFonts w:cs="Arial"/>
                <w:sz w:val="22"/>
                <w:szCs w:val="22"/>
              </w:rPr>
              <w:t>data reporting to ASIC is a mandatory and ongoing obligation for all in-scope financial firms.</w:t>
            </w:r>
            <w:bookmarkStart w:id="160" w:name="_Ref207719866"/>
            <w:r w:rsidRPr="006340F9">
              <w:rPr>
                <w:rFonts w:cs="Arial"/>
                <w:sz w:val="22"/>
                <w:szCs w:val="22"/>
                <w:vertAlign w:val="superscript"/>
              </w:rPr>
              <w:footnoteReference w:id="209"/>
            </w:r>
            <w:bookmarkEnd w:id="160"/>
            <w:r w:rsidRPr="006340F9">
              <w:rPr>
                <w:rFonts w:cs="Arial"/>
                <w:sz w:val="22"/>
                <w:szCs w:val="22"/>
              </w:rPr>
              <w:t xml:space="preserve"> Firms are required to report detailed data about their complaints management processes twice a year.</w:t>
            </w:r>
            <w:r w:rsidRPr="006340F9">
              <w:rPr>
                <w:rFonts w:cs="Arial"/>
                <w:sz w:val="22"/>
                <w:szCs w:val="22"/>
                <w:vertAlign w:val="superscript"/>
              </w:rPr>
              <w:footnoteReference w:id="210"/>
            </w:r>
            <w:r w:rsidRPr="006340F9">
              <w:rPr>
                <w:rFonts w:cs="Arial"/>
                <w:sz w:val="22"/>
                <w:szCs w:val="22"/>
              </w:rPr>
              <w:t xml:space="preserve"> This allows ASIC to </w:t>
            </w:r>
            <w:r w:rsidRPr="006340F9">
              <w:rPr>
                <w:rFonts w:eastAsia="Times" w:cs="Arial"/>
                <w:sz w:val="22"/>
                <w:szCs w:val="22"/>
              </w:rPr>
              <w:t xml:space="preserve">use reports of misconduct to inform its surveillance activities and investigations and allocate finite resources. </w:t>
            </w:r>
            <w:r w:rsidRPr="006340F9">
              <w:rPr>
                <w:rFonts w:cs="Arial"/>
                <w:sz w:val="22"/>
                <w:szCs w:val="22"/>
              </w:rPr>
              <w:t xml:space="preserve"> </w:t>
            </w:r>
          </w:p>
        </w:tc>
      </w:tr>
    </w:tbl>
    <w:p w14:paraId="083A81C5" w14:textId="77777777" w:rsidR="00027849" w:rsidRPr="006340F9" w:rsidRDefault="00027849" w:rsidP="00193CC1">
      <w:pPr>
        <w:pStyle w:val="Heading2"/>
      </w:pPr>
      <w:bookmarkStart w:id="161" w:name="_Ref207803879"/>
      <w:bookmarkStart w:id="162" w:name="_Toc207976251"/>
      <w:bookmarkStart w:id="163" w:name="_Toc209442004"/>
      <w:r w:rsidRPr="006340F9">
        <w:lastRenderedPageBreak/>
        <w:t>Further work to be commissioned</w:t>
      </w:r>
      <w:bookmarkEnd w:id="161"/>
      <w:bookmarkEnd w:id="162"/>
      <w:bookmarkEnd w:id="163"/>
    </w:p>
    <w:p w14:paraId="4791070E" w14:textId="11C760F8" w:rsidR="00027849" w:rsidRPr="006340F9" w:rsidRDefault="00027849" w:rsidP="00027849">
      <w:pPr>
        <w:jc w:val="both"/>
        <w:rPr>
          <w:rFonts w:eastAsia="Times"/>
          <w:sz w:val="22"/>
          <w:szCs w:val="22"/>
        </w:rPr>
      </w:pPr>
      <w:r w:rsidRPr="006340F9">
        <w:rPr>
          <w:rFonts w:eastAsia="Times"/>
          <w:sz w:val="22"/>
          <w:szCs w:val="22"/>
        </w:rPr>
        <w:t xml:space="preserve">During our review we identified some further work related to improving ART governance nationally but </w:t>
      </w:r>
      <w:r w:rsidR="4D11847D" w:rsidRPr="006340F9">
        <w:rPr>
          <w:rFonts w:eastAsia="Times"/>
          <w:sz w:val="22"/>
          <w:szCs w:val="22"/>
        </w:rPr>
        <w:t xml:space="preserve">that was </w:t>
      </w:r>
      <w:r w:rsidRPr="006340F9">
        <w:rPr>
          <w:rFonts w:eastAsia="Times"/>
          <w:sz w:val="22"/>
          <w:szCs w:val="22"/>
        </w:rPr>
        <w:t>beyond the scope of this review.</w:t>
      </w:r>
    </w:p>
    <w:p w14:paraId="21C88F89" w14:textId="77777777" w:rsidR="00027849" w:rsidRPr="006340F9" w:rsidRDefault="00027849" w:rsidP="001669E8">
      <w:pPr>
        <w:pStyle w:val="Heading3"/>
      </w:pPr>
      <w:r w:rsidRPr="006340F9">
        <w:t>Commissioning of consumer engagement</w:t>
      </w:r>
    </w:p>
    <w:p w14:paraId="26374061" w14:textId="0F1A5255" w:rsidR="00027849" w:rsidRPr="006340F9" w:rsidRDefault="00027849" w:rsidP="00027849">
      <w:pPr>
        <w:jc w:val="both"/>
        <w:rPr>
          <w:rFonts w:eastAsia="Times" w:cs="Arial"/>
          <w:bCs/>
          <w:sz w:val="22"/>
          <w:szCs w:val="22"/>
        </w:rPr>
      </w:pPr>
      <w:r w:rsidRPr="006340F9">
        <w:rPr>
          <w:rFonts w:eastAsia="Times" w:cs="Arial"/>
          <w:sz w:val="22"/>
          <w:szCs w:val="22"/>
        </w:rPr>
        <w:t>The review team recommends</w:t>
      </w:r>
      <w:r w:rsidRPr="006340F9">
        <w:rPr>
          <w:rFonts w:eastAsia="Times" w:cs="Arial"/>
          <w:bCs/>
          <w:sz w:val="22"/>
          <w:szCs w:val="22"/>
        </w:rPr>
        <w:t xml:space="preserve"> that health ministers commission consumer engagement</w:t>
      </w:r>
      <w:r w:rsidR="00264CFB" w:rsidRPr="006340F9">
        <w:rPr>
          <w:rFonts w:eastAsia="Times" w:cs="Arial"/>
          <w:bCs/>
          <w:sz w:val="22"/>
          <w:szCs w:val="22"/>
        </w:rPr>
        <w:t>.</w:t>
      </w:r>
      <w:r w:rsidRPr="006340F9">
        <w:rPr>
          <w:rFonts w:eastAsia="Times" w:cs="Arial"/>
          <w:bCs/>
          <w:sz w:val="22"/>
          <w:szCs w:val="22"/>
        </w:rPr>
        <w:t xml:space="preserve"> </w:t>
      </w:r>
    </w:p>
    <w:p w14:paraId="30AD9943" w14:textId="77777777" w:rsidR="00027849" w:rsidRPr="006340F9" w:rsidRDefault="00027849" w:rsidP="00027849">
      <w:pPr>
        <w:jc w:val="both"/>
        <w:rPr>
          <w:rFonts w:eastAsia="Times" w:cs="Arial"/>
          <w:sz w:val="22"/>
          <w:szCs w:val="22"/>
        </w:rPr>
      </w:pPr>
      <w:r w:rsidRPr="006340F9">
        <w:rPr>
          <w:rFonts w:eastAsia="Times" w:cs="Arial"/>
          <w:sz w:val="22"/>
          <w:szCs w:val="22"/>
        </w:rPr>
        <w:t xml:space="preserve">We were not able to conduct widespread consumer engagement due to this review’s short timeframe. While we did glean consumer insights during our desktop review and facilitated two consumer roundtables with 18 consumers, we recommend health ministers commission a project that engages a broader range of consumers to gain a deeper understanding of ART consumers’ experiences. </w:t>
      </w:r>
    </w:p>
    <w:p w14:paraId="0EDD78E2" w14:textId="77777777" w:rsidR="00027849" w:rsidRPr="006340F9" w:rsidRDefault="00027849" w:rsidP="00027849">
      <w:pPr>
        <w:jc w:val="both"/>
        <w:rPr>
          <w:rFonts w:eastAsia="Times"/>
          <w:sz w:val="22"/>
          <w:szCs w:val="22"/>
        </w:rPr>
      </w:pPr>
      <w:r w:rsidRPr="006340F9">
        <w:rPr>
          <w:rFonts w:eastAsia="Times" w:cs="Arial"/>
          <w:sz w:val="22"/>
          <w:szCs w:val="22"/>
        </w:rPr>
        <w:t>These insights would be critical to inform the design and implementation of future reform. Insights from this engagement would be useful to inform improvements to the Code of Practice, publication of performance data, guidance to support community understanding and informed consent, and improvements to complaints processes.</w:t>
      </w:r>
    </w:p>
    <w:p w14:paraId="61732BE6" w14:textId="77777777" w:rsidR="00027849" w:rsidRPr="006340F9" w:rsidRDefault="00027849" w:rsidP="001669E8">
      <w:pPr>
        <w:pStyle w:val="Heading3"/>
      </w:pPr>
      <w:r w:rsidRPr="006340F9">
        <w:t>Referral of donor issues to the Australian Law Reform Commission</w:t>
      </w:r>
    </w:p>
    <w:p w14:paraId="22E548B1" w14:textId="77777777" w:rsidR="00027849" w:rsidRPr="006340F9" w:rsidRDefault="00027849" w:rsidP="00027849">
      <w:pPr>
        <w:jc w:val="both"/>
        <w:rPr>
          <w:rFonts w:eastAsia="Times"/>
          <w:sz w:val="22"/>
          <w:szCs w:val="22"/>
        </w:rPr>
      </w:pPr>
      <w:r w:rsidRPr="006340F9">
        <w:rPr>
          <w:rFonts w:eastAsia="Times"/>
          <w:sz w:val="22"/>
          <w:szCs w:val="22"/>
        </w:rPr>
        <w:t>As outlined above, both providers and consumers engaged during this review repeatedly highlighted the risks of unregulated donations and the absence of a national donor register where individuals can access important information. While some jurisdictions have their own donor registers, these databases are managed independently which means a single donor can exceed family limits by donating in multiple jurisdictions. One example cited was the Australian Organ Donor Register, currently operated by Services Australia.</w:t>
      </w:r>
    </w:p>
    <w:p w14:paraId="512261C7" w14:textId="7B8C059F" w:rsidR="00027849" w:rsidRPr="006340F9" w:rsidRDefault="00027849" w:rsidP="00027849">
      <w:pPr>
        <w:jc w:val="both"/>
        <w:rPr>
          <w:rFonts w:eastAsia="Times"/>
          <w:sz w:val="22"/>
          <w:szCs w:val="22"/>
        </w:rPr>
      </w:pPr>
      <w:r w:rsidRPr="006340F9">
        <w:rPr>
          <w:rFonts w:eastAsia="Times"/>
          <w:sz w:val="22"/>
          <w:szCs w:val="22"/>
        </w:rPr>
        <w:t>Opportunities that seek to create more consistency in laws and regulations</w:t>
      </w:r>
      <w:r w:rsidRPr="006340F9">
        <w:rPr>
          <w:rFonts w:eastAsia="Times"/>
          <w:sz w:val="22"/>
          <w:szCs w:val="22"/>
          <w:vertAlign w:val="superscript"/>
        </w:rPr>
        <w:footnoteReference w:id="211"/>
      </w:r>
      <w:r w:rsidRPr="006340F9">
        <w:rPr>
          <w:rFonts w:eastAsia="Times"/>
          <w:sz w:val="22"/>
          <w:szCs w:val="22"/>
        </w:rPr>
        <w:t xml:space="preserve"> across jurisdictions for donations should be considered in the future to address this issue. This process however should not delay implementation of legislative reform in Queensland and Western Australia.</w:t>
      </w:r>
    </w:p>
    <w:p w14:paraId="2F0DE0F7" w14:textId="77EA8F8A" w:rsidR="00027849" w:rsidRPr="006340F9" w:rsidRDefault="00027849" w:rsidP="00027849">
      <w:pPr>
        <w:jc w:val="both"/>
        <w:rPr>
          <w:rFonts w:eastAsia="Times"/>
          <w:sz w:val="22"/>
          <w:szCs w:val="22"/>
        </w:rPr>
      </w:pPr>
      <w:r w:rsidRPr="006340F9">
        <w:rPr>
          <w:rFonts w:eastAsia="Times"/>
          <w:sz w:val="22"/>
          <w:szCs w:val="22"/>
        </w:rPr>
        <w:t>The Australian Law Reform Commission (ALRC) is currently conducting two reviews of related matters, including a Review of Human Tissue Laws inquiry</w:t>
      </w:r>
      <w:r w:rsidRPr="006340F9">
        <w:rPr>
          <w:rFonts w:eastAsia="Times"/>
          <w:sz w:val="22"/>
          <w:szCs w:val="22"/>
          <w:vertAlign w:val="superscript"/>
        </w:rPr>
        <w:footnoteReference w:id="212"/>
      </w:r>
      <w:r w:rsidRPr="006340F9">
        <w:rPr>
          <w:rFonts w:eastAsia="Times"/>
          <w:sz w:val="22"/>
          <w:szCs w:val="22"/>
        </w:rPr>
        <w:t xml:space="preserve"> and a Review of Surrogacy Laws.</w:t>
      </w:r>
      <w:r w:rsidRPr="006340F9">
        <w:rPr>
          <w:rFonts w:eastAsia="Times"/>
          <w:sz w:val="22"/>
          <w:szCs w:val="22"/>
          <w:vertAlign w:val="superscript"/>
        </w:rPr>
        <w:footnoteReference w:id="213"/>
      </w:r>
      <w:r w:rsidRPr="006340F9">
        <w:rPr>
          <w:rFonts w:eastAsia="Times"/>
          <w:sz w:val="22"/>
          <w:szCs w:val="22"/>
        </w:rPr>
        <w:t xml:space="preserve"> </w:t>
      </w:r>
    </w:p>
    <w:p w14:paraId="427C3D1F" w14:textId="53B3BDF1" w:rsidR="00027849" w:rsidRPr="006340F9" w:rsidRDefault="00027849" w:rsidP="00027849">
      <w:pPr>
        <w:jc w:val="both"/>
        <w:rPr>
          <w:rFonts w:eastAsia="Times"/>
          <w:sz w:val="22"/>
          <w:szCs w:val="22"/>
        </w:rPr>
      </w:pPr>
      <w:r w:rsidRPr="006340F9">
        <w:rPr>
          <w:rFonts w:eastAsia="Times"/>
          <w:sz w:val="22"/>
          <w:szCs w:val="22"/>
        </w:rPr>
        <w:t xml:space="preserve">We recommend that health ministers endorse a referral to the </w:t>
      </w:r>
      <w:r w:rsidR="009C0EFA" w:rsidRPr="006340F9">
        <w:rPr>
          <w:rFonts w:eastAsia="Times"/>
          <w:sz w:val="22"/>
          <w:szCs w:val="22"/>
        </w:rPr>
        <w:t xml:space="preserve">ALRC </w:t>
      </w:r>
      <w:r w:rsidRPr="006340F9">
        <w:rPr>
          <w:rFonts w:eastAsia="Times"/>
          <w:sz w:val="22"/>
          <w:szCs w:val="22"/>
        </w:rPr>
        <w:t xml:space="preserve">to explore opportunities to harmonise legislation in relation to donated gametes. The review could explore: </w:t>
      </w:r>
    </w:p>
    <w:p w14:paraId="33419C7D" w14:textId="77777777" w:rsidR="00027849" w:rsidRPr="006340F9" w:rsidRDefault="00027849" w:rsidP="00027849">
      <w:pPr>
        <w:numPr>
          <w:ilvl w:val="0"/>
          <w:numId w:val="4"/>
        </w:numPr>
        <w:spacing w:after="40"/>
        <w:jc w:val="both"/>
        <w:rPr>
          <w:rFonts w:eastAsia="Times" w:cs="Arial"/>
          <w:sz w:val="22"/>
          <w:szCs w:val="22"/>
        </w:rPr>
      </w:pPr>
      <w:r w:rsidRPr="006340F9">
        <w:rPr>
          <w:rFonts w:eastAsia="Times" w:cs="Arial"/>
          <w:sz w:val="22"/>
          <w:szCs w:val="22"/>
        </w:rPr>
        <w:t>whether who can be a donor is too restrictive and should be expanded to facilitate more local donations and deter ‘black market’ donations</w:t>
      </w:r>
    </w:p>
    <w:p w14:paraId="771D3329" w14:textId="77777777" w:rsidR="00027849" w:rsidRPr="006340F9" w:rsidRDefault="00027849" w:rsidP="00027849">
      <w:pPr>
        <w:numPr>
          <w:ilvl w:val="0"/>
          <w:numId w:val="4"/>
        </w:numPr>
        <w:spacing w:after="40"/>
        <w:jc w:val="both"/>
        <w:rPr>
          <w:rFonts w:eastAsia="Times" w:cs="Arial"/>
          <w:sz w:val="22"/>
          <w:szCs w:val="22"/>
        </w:rPr>
      </w:pPr>
      <w:r w:rsidRPr="006340F9">
        <w:rPr>
          <w:rFonts w:eastAsia="Times" w:cs="Arial"/>
          <w:sz w:val="22"/>
          <w:szCs w:val="22"/>
        </w:rPr>
        <w:t>ways to more effectively monitor family donation limits to minimise consanguinity risks</w:t>
      </w:r>
    </w:p>
    <w:p w14:paraId="36409E3C" w14:textId="77777777" w:rsidR="00027849" w:rsidRPr="006340F9" w:rsidRDefault="00027849" w:rsidP="00027849">
      <w:pPr>
        <w:numPr>
          <w:ilvl w:val="0"/>
          <w:numId w:val="4"/>
        </w:numPr>
        <w:spacing w:after="40"/>
        <w:jc w:val="both"/>
        <w:rPr>
          <w:rFonts w:eastAsia="Times" w:cs="Arial"/>
          <w:sz w:val="22"/>
          <w:szCs w:val="22"/>
        </w:rPr>
      </w:pPr>
      <w:r w:rsidRPr="006340F9">
        <w:rPr>
          <w:rFonts w:eastAsia="Times" w:cs="Arial"/>
          <w:sz w:val="22"/>
          <w:szCs w:val="22"/>
        </w:rPr>
        <w:lastRenderedPageBreak/>
        <w:t xml:space="preserve">effective regulation of the movement of donor material </w:t>
      </w:r>
    </w:p>
    <w:p w14:paraId="680344D4" w14:textId="77777777" w:rsidR="00027849" w:rsidRPr="006340F9" w:rsidRDefault="00027849" w:rsidP="00027849">
      <w:pPr>
        <w:numPr>
          <w:ilvl w:val="0"/>
          <w:numId w:val="4"/>
        </w:numPr>
        <w:spacing w:after="40"/>
        <w:jc w:val="both"/>
        <w:rPr>
          <w:rFonts w:eastAsia="Times" w:cs="Arial"/>
          <w:sz w:val="22"/>
          <w:szCs w:val="22"/>
        </w:rPr>
      </w:pPr>
      <w:r w:rsidRPr="006340F9">
        <w:rPr>
          <w:rFonts w:eastAsia="Times" w:cs="Arial"/>
          <w:sz w:val="22"/>
          <w:szCs w:val="22"/>
        </w:rPr>
        <w:t>ways to enable greater access to information for donor-conceived people.</w:t>
      </w:r>
    </w:p>
    <w:p w14:paraId="60745B78" w14:textId="2DBF336F" w:rsidR="00027849" w:rsidRPr="006340F9" w:rsidRDefault="00027849" w:rsidP="00027849">
      <w:pPr>
        <w:spacing w:before="120"/>
        <w:jc w:val="both"/>
        <w:rPr>
          <w:rFonts w:eastAsia="Times" w:cs="Arial"/>
          <w:sz w:val="22"/>
          <w:szCs w:val="22"/>
        </w:rPr>
      </w:pPr>
      <w:r w:rsidRPr="006340F9">
        <w:rPr>
          <w:rFonts w:eastAsia="Times"/>
          <w:sz w:val="22"/>
          <w:szCs w:val="22"/>
        </w:rPr>
        <w:t>The objective of the review would be to ensure integrated and effective legislation aligned with contemporary issues and community expectations. We</w:t>
      </w:r>
      <w:r w:rsidR="00A96E68" w:rsidRPr="006340F9">
        <w:rPr>
          <w:rFonts w:eastAsia="Times"/>
          <w:sz w:val="22"/>
          <w:szCs w:val="22"/>
        </w:rPr>
        <w:t xml:space="preserve"> </w:t>
      </w:r>
      <w:r w:rsidRPr="006340F9">
        <w:rPr>
          <w:rFonts w:eastAsia="Times"/>
          <w:sz w:val="22"/>
          <w:szCs w:val="22"/>
        </w:rPr>
        <w:t>recommend that a broad cross-section of consumers is engaged as part of this process.</w:t>
      </w:r>
    </w:p>
    <w:p w14:paraId="6AE5FE5B" w14:textId="77777777" w:rsidR="00027849" w:rsidRPr="006340F9" w:rsidRDefault="00027849" w:rsidP="00027849">
      <w:pPr>
        <w:spacing w:after="0" w:line="240" w:lineRule="auto"/>
        <w:rPr>
          <w:rFonts w:cs="Arial"/>
        </w:rPr>
      </w:pPr>
    </w:p>
    <w:p w14:paraId="145BDB41" w14:textId="77777777" w:rsidR="00027849" w:rsidRPr="006340F9" w:rsidRDefault="00027849" w:rsidP="007C2C61">
      <w:pPr>
        <w:keepNext/>
        <w:keepLines/>
        <w:numPr>
          <w:ilvl w:val="0"/>
          <w:numId w:val="11"/>
        </w:numPr>
        <w:spacing w:before="520" w:after="240" w:line="480" w:lineRule="atLeast"/>
        <w:outlineLvl w:val="0"/>
        <w:rPr>
          <w:rFonts w:eastAsia="MS Gothic" w:cs="Arial"/>
          <w:bCs/>
          <w:color w:val="201547"/>
          <w:kern w:val="32"/>
          <w:sz w:val="44"/>
          <w:szCs w:val="44"/>
        </w:rPr>
        <w:sectPr w:rsidR="00027849" w:rsidRPr="006340F9" w:rsidSect="00027849">
          <w:pgSz w:w="11906" w:h="16838" w:code="9"/>
          <w:pgMar w:top="1418" w:right="1304" w:bottom="1134" w:left="1304" w:header="680" w:footer="851" w:gutter="0"/>
          <w:cols w:space="340"/>
          <w:docGrid w:linePitch="360"/>
        </w:sectPr>
      </w:pPr>
    </w:p>
    <w:p w14:paraId="22F6F933" w14:textId="77777777" w:rsidR="00027849" w:rsidRPr="006340F9" w:rsidRDefault="00027849" w:rsidP="00193CC1">
      <w:pPr>
        <w:pStyle w:val="Heading1"/>
      </w:pPr>
      <w:bookmarkStart w:id="164" w:name="_Toc207976252"/>
      <w:bookmarkStart w:id="165" w:name="_Toc209442005"/>
      <w:r w:rsidRPr="006340F9">
        <w:lastRenderedPageBreak/>
        <w:t>Proposed implementation approach</w:t>
      </w:r>
      <w:bookmarkEnd w:id="164"/>
      <w:bookmarkEnd w:id="165"/>
    </w:p>
    <w:p w14:paraId="77C2CFEC" w14:textId="02B138F1" w:rsidR="00027849" w:rsidRPr="006340F9" w:rsidRDefault="00027849" w:rsidP="00027849">
      <w:pPr>
        <w:jc w:val="both"/>
        <w:rPr>
          <w:rFonts w:eastAsia="Times"/>
          <w:sz w:val="22"/>
          <w:szCs w:val="22"/>
        </w:rPr>
      </w:pPr>
      <w:r w:rsidRPr="006340F9">
        <w:rPr>
          <w:rFonts w:eastAsia="Times"/>
          <w:sz w:val="22"/>
          <w:szCs w:val="22"/>
        </w:rPr>
        <w:t xml:space="preserve">In addition to the opportunities, options, and recommendations above, we propose a three-phased approach to implementing the reform recommendations set out in this report. This is outlined in </w:t>
      </w:r>
      <w:r w:rsidR="007B3B55" w:rsidRPr="006340F9">
        <w:rPr>
          <w:rFonts w:eastAsia="Times"/>
          <w:sz w:val="22"/>
          <w:szCs w:val="22"/>
        </w:rPr>
        <w:t>Figure</w:t>
      </w:r>
      <w:r w:rsidR="00A415FB" w:rsidRPr="006340F9">
        <w:rPr>
          <w:rFonts w:eastAsia="Times"/>
          <w:sz w:val="22"/>
          <w:szCs w:val="22"/>
        </w:rPr>
        <w:t xml:space="preserve"> 6.1.</w:t>
      </w:r>
    </w:p>
    <w:p w14:paraId="07AF8BFF" w14:textId="25074EC5" w:rsidR="00027849" w:rsidRPr="006340F9" w:rsidRDefault="00027849" w:rsidP="00027849">
      <w:pPr>
        <w:keepNext/>
        <w:keepLines/>
        <w:spacing w:before="240" w:line="250" w:lineRule="atLeast"/>
        <w:rPr>
          <w:b/>
        </w:rPr>
      </w:pPr>
      <w:bookmarkStart w:id="166" w:name="_Ref207793214"/>
      <w:r w:rsidRPr="006340F9">
        <w:rPr>
          <w:b/>
        </w:rPr>
        <w:t>Figure</w:t>
      </w:r>
      <w:r w:rsidR="00A415FB" w:rsidRPr="006340F9">
        <w:rPr>
          <w:b/>
        </w:rPr>
        <w:t xml:space="preserve"> 6.1:</w:t>
      </w:r>
      <w:bookmarkEnd w:id="166"/>
      <w:r w:rsidRPr="006340F9">
        <w:rPr>
          <w:b/>
        </w:rPr>
        <w:t xml:space="preserve"> Proposed prioritisation and phasing of reform opportunities.</w:t>
      </w:r>
    </w:p>
    <w:p w14:paraId="749A6178" w14:textId="6E2B521A" w:rsidR="00027849" w:rsidRPr="006340F9" w:rsidRDefault="00DB6786" w:rsidP="00027849">
      <w:pPr>
        <w:jc w:val="both"/>
        <w:rPr>
          <w:rFonts w:eastAsia="Times"/>
          <w:sz w:val="22"/>
          <w:szCs w:val="22"/>
        </w:rPr>
      </w:pPr>
      <w:r w:rsidRPr="006340F9">
        <w:rPr>
          <w:rFonts w:eastAsia="Times"/>
          <w:noProof/>
          <w:sz w:val="22"/>
          <w:szCs w:val="22"/>
        </w:rPr>
        <w:drawing>
          <wp:inline distT="0" distB="0" distL="0" distR="0" wp14:anchorId="4B522829" wp14:editId="62D19D1E">
            <wp:extent cx="5955432" cy="5727700"/>
            <wp:effectExtent l="0" t="0" r="0" b="0"/>
            <wp:docPr id="880392005" name="Picture 1" descr="Figure 6.1: Proposed prioritisation and phasing of reform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92005" name="Picture 1" descr="Figure 6.1: Proposed prioritisation and phasing of reform opportunit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1223" cy="5733270"/>
                    </a:xfrm>
                    <a:prstGeom prst="rect">
                      <a:avLst/>
                    </a:prstGeom>
                    <a:noFill/>
                  </pic:spPr>
                </pic:pic>
              </a:graphicData>
            </a:graphic>
          </wp:inline>
        </w:drawing>
      </w:r>
    </w:p>
    <w:p w14:paraId="619A1C66" w14:textId="7CCB4F49" w:rsidR="00027849" w:rsidRPr="006340F9" w:rsidRDefault="00027849" w:rsidP="00027849">
      <w:pPr>
        <w:spacing w:before="120"/>
        <w:jc w:val="both"/>
        <w:rPr>
          <w:rFonts w:eastAsia="Times"/>
          <w:sz w:val="22"/>
          <w:szCs w:val="22"/>
        </w:rPr>
      </w:pPr>
      <w:r w:rsidRPr="006340F9">
        <w:rPr>
          <w:rFonts w:eastAsia="Times"/>
          <w:sz w:val="22"/>
          <w:szCs w:val="22"/>
        </w:rPr>
        <w:t xml:space="preserve">In addition to progressing the above reform opportunities, and as outlined in section </w:t>
      </w:r>
      <w:r w:rsidRPr="006340F9">
        <w:rPr>
          <w:rFonts w:eastAsia="Times"/>
          <w:sz w:val="22"/>
          <w:szCs w:val="22"/>
        </w:rPr>
        <w:fldChar w:fldCharType="begin"/>
      </w:r>
      <w:r w:rsidRPr="006340F9">
        <w:rPr>
          <w:rFonts w:eastAsia="Times"/>
          <w:sz w:val="22"/>
          <w:szCs w:val="22"/>
        </w:rPr>
        <w:instrText xml:space="preserve"> REF _Ref207803879 \r \h </w:instrText>
      </w:r>
      <w:r w:rsidRPr="006340F9">
        <w:rPr>
          <w:rFonts w:eastAsia="Times"/>
          <w:sz w:val="22"/>
          <w:szCs w:val="22"/>
        </w:rPr>
      </w:r>
      <w:r w:rsidRPr="006340F9">
        <w:rPr>
          <w:rFonts w:eastAsia="Times"/>
          <w:sz w:val="22"/>
          <w:szCs w:val="22"/>
        </w:rPr>
        <w:fldChar w:fldCharType="separate"/>
      </w:r>
      <w:r w:rsidR="007D732A">
        <w:rPr>
          <w:rFonts w:eastAsia="Times"/>
          <w:sz w:val="22"/>
          <w:szCs w:val="22"/>
        </w:rPr>
        <w:t>5.4</w:t>
      </w:r>
      <w:r w:rsidRPr="006340F9">
        <w:rPr>
          <w:rFonts w:eastAsia="Times"/>
          <w:sz w:val="22"/>
          <w:szCs w:val="22"/>
        </w:rPr>
        <w:fldChar w:fldCharType="end"/>
      </w:r>
      <w:r w:rsidRPr="006340F9">
        <w:rPr>
          <w:rFonts w:eastAsia="Times"/>
          <w:sz w:val="22"/>
          <w:szCs w:val="22"/>
        </w:rPr>
        <w:t>, we recommend that health ministers commission a project that engages a broad range of consumers to gain a deeper understanding of ART consumers’ experiences. We also recommend that health ministers endorse a referral to the ALRC to explore harmonisation opportunities in relation to donor issues.</w:t>
      </w:r>
    </w:p>
    <w:p w14:paraId="70404CCB" w14:textId="77777777" w:rsidR="00027849" w:rsidRPr="006340F9" w:rsidRDefault="00027849" w:rsidP="004832AF">
      <w:pPr>
        <w:pStyle w:val="Heading1"/>
        <w:numPr>
          <w:ilvl w:val="0"/>
          <w:numId w:val="0"/>
        </w:numPr>
        <w:ind w:left="432" w:hanging="432"/>
        <w:rPr>
          <w:bCs w:val="0"/>
        </w:rPr>
      </w:pPr>
      <w:r w:rsidRPr="006340F9">
        <w:rPr>
          <w:bCs w:val="0"/>
        </w:rPr>
        <w:br w:type="column"/>
      </w:r>
      <w:bookmarkStart w:id="167" w:name="_Ref207367255"/>
      <w:bookmarkStart w:id="168" w:name="_Toc209442006"/>
      <w:r w:rsidRPr="006340F9">
        <w:lastRenderedPageBreak/>
        <w:t>Appendix 1</w:t>
      </w:r>
      <w:bookmarkEnd w:id="167"/>
      <w:bookmarkEnd w:id="168"/>
    </w:p>
    <w:p w14:paraId="6DCEFC7B" w14:textId="1CAD6099" w:rsidR="00027849" w:rsidRPr="006340F9" w:rsidRDefault="001972AD" w:rsidP="00027849">
      <w:pPr>
        <w:keepNext/>
        <w:spacing w:line="240" w:lineRule="auto"/>
        <w:rPr>
          <w:b/>
        </w:rPr>
      </w:pPr>
      <w:bookmarkStart w:id="169" w:name="_Ref207282832"/>
      <w:r w:rsidRPr="006340F9">
        <w:rPr>
          <w:b/>
        </w:rPr>
        <w:t>Table A1</w:t>
      </w:r>
      <w:r w:rsidR="0086531E" w:rsidRPr="006340F9">
        <w:rPr>
          <w:b/>
        </w:rPr>
        <w:fldChar w:fldCharType="begin"/>
      </w:r>
      <w:bookmarkEnd w:id="169"/>
      <w:r w:rsidR="0086531E" w:rsidRPr="006340F9">
        <w:rPr>
          <w:b/>
        </w:rPr>
        <w:fldChar w:fldCharType="separate"/>
      </w:r>
      <w:r w:rsidR="0086531E" w:rsidRPr="006340F9">
        <w:rPr>
          <w:b/>
        </w:rPr>
        <w:t>10</w:t>
      </w:r>
      <w:r w:rsidR="0086531E" w:rsidRPr="006340F9">
        <w:rPr>
          <w:b/>
        </w:rPr>
        <w:fldChar w:fldCharType="end"/>
      </w:r>
      <w:r w:rsidR="00027849" w:rsidRPr="006340F9">
        <w:rPr>
          <w:b/>
        </w:rPr>
        <w:t>: Chronology of ART sector reviews and inquiries conducted since 2014.</w:t>
      </w:r>
    </w:p>
    <w:tbl>
      <w:tblPr>
        <w:tblStyle w:val="ListTable4-Accent1"/>
        <w:tblW w:w="0" w:type="auto"/>
        <w:tblLook w:val="04A0" w:firstRow="1" w:lastRow="0" w:firstColumn="1" w:lastColumn="0" w:noHBand="0" w:noVBand="1"/>
      </w:tblPr>
      <w:tblGrid>
        <w:gridCol w:w="1818"/>
        <w:gridCol w:w="1671"/>
        <w:gridCol w:w="5799"/>
      </w:tblGrid>
      <w:tr w:rsidR="0037159A" w:rsidRPr="006340F9" w14:paraId="512AE3EC" w14:textId="7777777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38" w:type="dxa"/>
          </w:tcPr>
          <w:p w14:paraId="38B8FAE3" w14:textId="77777777" w:rsidR="00027849" w:rsidRPr="006340F9" w:rsidRDefault="00027849" w:rsidP="00027849">
            <w:pPr>
              <w:rPr>
                <w:rFonts w:eastAsia="Times"/>
                <w:sz w:val="22"/>
                <w:szCs w:val="22"/>
              </w:rPr>
            </w:pPr>
            <w:r w:rsidRPr="006340F9">
              <w:rPr>
                <w:rFonts w:eastAsia="Times"/>
                <w:sz w:val="22"/>
                <w:szCs w:val="22"/>
              </w:rPr>
              <w:t>Published</w:t>
            </w:r>
          </w:p>
        </w:tc>
        <w:tc>
          <w:tcPr>
            <w:tcW w:w="1407" w:type="dxa"/>
          </w:tcPr>
          <w:p w14:paraId="2B7DA837" w14:textId="3811E3A3" w:rsidR="00027849" w:rsidRPr="006340F9" w:rsidRDefault="004260D9" w:rsidP="00027849">
            <w:pPr>
              <w:cnfStyle w:val="100000000000" w:firstRow="1" w:lastRow="0" w:firstColumn="0" w:lastColumn="0" w:oddVBand="0" w:evenVBand="0" w:oddHBand="0" w:evenHBand="0" w:firstRowFirstColumn="0" w:firstRowLastColumn="0" w:lastRowFirstColumn="0" w:lastRowLastColumn="0"/>
              <w:rPr>
                <w:rFonts w:eastAsia="Times"/>
                <w:sz w:val="22"/>
                <w:szCs w:val="22"/>
              </w:rPr>
            </w:pPr>
            <w:r w:rsidRPr="006340F9">
              <w:rPr>
                <w:rFonts w:eastAsia="Times"/>
                <w:sz w:val="22"/>
                <w:szCs w:val="22"/>
              </w:rPr>
              <w:t>Relevant j</w:t>
            </w:r>
            <w:r w:rsidR="00027849" w:rsidRPr="006340F9">
              <w:rPr>
                <w:rFonts w:eastAsia="Times"/>
                <w:sz w:val="22"/>
                <w:szCs w:val="22"/>
              </w:rPr>
              <w:t>urisdiction</w:t>
            </w:r>
            <w:r w:rsidRPr="006340F9">
              <w:rPr>
                <w:rFonts w:eastAsia="Times"/>
                <w:sz w:val="22"/>
                <w:szCs w:val="22"/>
              </w:rPr>
              <w:t>(s)</w:t>
            </w:r>
          </w:p>
        </w:tc>
        <w:tc>
          <w:tcPr>
            <w:tcW w:w="5942" w:type="dxa"/>
          </w:tcPr>
          <w:p w14:paraId="0EAAFFFA" w14:textId="77777777" w:rsidR="00027849" w:rsidRPr="006340F9" w:rsidRDefault="00027849" w:rsidP="00027849">
            <w:pPr>
              <w:cnfStyle w:val="100000000000" w:firstRow="1" w:lastRow="0" w:firstColumn="0" w:lastColumn="0" w:oddVBand="0" w:evenVBand="0" w:oddHBand="0" w:evenHBand="0" w:firstRowFirstColumn="0" w:firstRowLastColumn="0" w:lastRowFirstColumn="0" w:lastRowLastColumn="0"/>
              <w:rPr>
                <w:rFonts w:eastAsia="Times"/>
                <w:sz w:val="22"/>
                <w:szCs w:val="22"/>
              </w:rPr>
            </w:pPr>
            <w:r w:rsidRPr="006340F9">
              <w:rPr>
                <w:rFonts w:eastAsia="Times"/>
                <w:sz w:val="22"/>
                <w:szCs w:val="22"/>
              </w:rPr>
              <w:t>Title</w:t>
            </w:r>
          </w:p>
        </w:tc>
      </w:tr>
      <w:tr w:rsidR="0037159A" w:rsidRPr="006340F9" w14:paraId="5E206F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76C739" w14:textId="77777777" w:rsidR="00027849" w:rsidRPr="006340F9" w:rsidRDefault="00027849" w:rsidP="00027849">
            <w:pPr>
              <w:spacing w:before="80" w:after="60" w:line="240" w:lineRule="auto"/>
              <w:rPr>
                <w:sz w:val="20"/>
                <w:szCs w:val="18"/>
              </w:rPr>
            </w:pPr>
            <w:r w:rsidRPr="006340F9">
              <w:rPr>
                <w:sz w:val="20"/>
                <w:szCs w:val="18"/>
              </w:rPr>
              <w:t>November 2024</w:t>
            </w:r>
          </w:p>
        </w:tc>
        <w:tc>
          <w:tcPr>
            <w:tcW w:w="1407" w:type="dxa"/>
          </w:tcPr>
          <w:p w14:paraId="68C5C486" w14:textId="76ED1E8F"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All</w:t>
            </w:r>
          </w:p>
        </w:tc>
        <w:tc>
          <w:tcPr>
            <w:tcW w:w="5942" w:type="dxa"/>
          </w:tcPr>
          <w:p w14:paraId="06113B66" w14:textId="77777777"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Findings, Recommendations and Framework for an Australian 10 Year Fertility Roadmap.</w:t>
            </w:r>
          </w:p>
        </w:tc>
      </w:tr>
      <w:tr w:rsidR="00027849" w:rsidRPr="006340F9" w14:paraId="30975B13" w14:textId="77777777">
        <w:tc>
          <w:tcPr>
            <w:cnfStyle w:val="001000000000" w:firstRow="0" w:lastRow="0" w:firstColumn="1" w:lastColumn="0" w:oddVBand="0" w:evenVBand="0" w:oddHBand="0" w:evenHBand="0" w:firstRowFirstColumn="0" w:firstRowLastColumn="0" w:lastRowFirstColumn="0" w:lastRowLastColumn="0"/>
            <w:tcW w:w="1838" w:type="dxa"/>
          </w:tcPr>
          <w:p w14:paraId="1D512C01" w14:textId="77777777" w:rsidR="00027849" w:rsidRPr="006340F9" w:rsidRDefault="00027849" w:rsidP="00027849">
            <w:pPr>
              <w:spacing w:before="80" w:after="60" w:line="240" w:lineRule="auto"/>
              <w:rPr>
                <w:sz w:val="20"/>
                <w:szCs w:val="18"/>
              </w:rPr>
            </w:pPr>
            <w:r w:rsidRPr="006340F9">
              <w:rPr>
                <w:sz w:val="20"/>
                <w:szCs w:val="18"/>
              </w:rPr>
              <w:t>July 2024</w:t>
            </w:r>
          </w:p>
        </w:tc>
        <w:tc>
          <w:tcPr>
            <w:tcW w:w="1407" w:type="dxa"/>
          </w:tcPr>
          <w:p w14:paraId="4E11D384" w14:textId="77777777"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Qld</w:t>
            </w:r>
          </w:p>
        </w:tc>
        <w:tc>
          <w:tcPr>
            <w:tcW w:w="5942" w:type="dxa"/>
          </w:tcPr>
          <w:p w14:paraId="1CEC4ECA" w14:textId="77777777"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Section 81 – Investigation of ART Providers in Queensland.</w:t>
            </w:r>
          </w:p>
        </w:tc>
      </w:tr>
      <w:tr w:rsidR="0037159A" w:rsidRPr="006340F9" w14:paraId="4E7F557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8DAA84" w14:textId="77777777" w:rsidR="00027849" w:rsidRPr="006340F9" w:rsidRDefault="00027849" w:rsidP="00027849">
            <w:pPr>
              <w:spacing w:before="80" w:after="60" w:line="240" w:lineRule="auto"/>
              <w:rPr>
                <w:sz w:val="20"/>
                <w:szCs w:val="18"/>
              </w:rPr>
            </w:pPr>
            <w:r w:rsidRPr="006340F9">
              <w:rPr>
                <w:sz w:val="20"/>
                <w:szCs w:val="18"/>
              </w:rPr>
              <w:t>December 2022</w:t>
            </w:r>
          </w:p>
        </w:tc>
        <w:tc>
          <w:tcPr>
            <w:tcW w:w="1407" w:type="dxa"/>
          </w:tcPr>
          <w:p w14:paraId="0AD34FCA" w14:textId="77777777"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WA</w:t>
            </w:r>
          </w:p>
        </w:tc>
        <w:tc>
          <w:tcPr>
            <w:tcW w:w="5942" w:type="dxa"/>
          </w:tcPr>
          <w:p w14:paraId="67A8B6F2" w14:textId="77777777"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Ministerial Expert Panel on Assisted Reproductive Technology and Surrogacy: Final Report.</w:t>
            </w:r>
          </w:p>
        </w:tc>
      </w:tr>
      <w:tr w:rsidR="00027849" w:rsidRPr="006340F9" w14:paraId="395F4DD5" w14:textId="77777777">
        <w:tc>
          <w:tcPr>
            <w:cnfStyle w:val="001000000000" w:firstRow="0" w:lastRow="0" w:firstColumn="1" w:lastColumn="0" w:oddVBand="0" w:evenVBand="0" w:oddHBand="0" w:evenHBand="0" w:firstRowFirstColumn="0" w:firstRowLastColumn="0" w:lastRowFirstColumn="0" w:lastRowLastColumn="0"/>
            <w:tcW w:w="1838" w:type="dxa"/>
          </w:tcPr>
          <w:p w14:paraId="05FE206E" w14:textId="77777777" w:rsidR="00027849" w:rsidRPr="006340F9" w:rsidRDefault="00027849" w:rsidP="00027849">
            <w:pPr>
              <w:spacing w:before="80" w:after="60" w:line="240" w:lineRule="auto"/>
              <w:rPr>
                <w:sz w:val="20"/>
                <w:szCs w:val="18"/>
              </w:rPr>
            </w:pPr>
            <w:r w:rsidRPr="006340F9">
              <w:rPr>
                <w:sz w:val="20"/>
                <w:szCs w:val="18"/>
              </w:rPr>
              <w:t>August 2022</w:t>
            </w:r>
          </w:p>
        </w:tc>
        <w:tc>
          <w:tcPr>
            <w:tcW w:w="1407" w:type="dxa"/>
          </w:tcPr>
          <w:p w14:paraId="012ED4E9" w14:textId="77777777"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Qld</w:t>
            </w:r>
          </w:p>
        </w:tc>
        <w:tc>
          <w:tcPr>
            <w:tcW w:w="5942" w:type="dxa"/>
          </w:tcPr>
          <w:p w14:paraId="7CAAA3EA" w14:textId="77777777"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Inquiry into matters relating to donor conception information: Report No. 33, 57</w:t>
            </w:r>
            <w:r w:rsidRPr="006340F9">
              <w:rPr>
                <w:sz w:val="20"/>
                <w:szCs w:val="18"/>
                <w:vertAlign w:val="superscript"/>
              </w:rPr>
              <w:t>th</w:t>
            </w:r>
            <w:r w:rsidRPr="006340F9">
              <w:rPr>
                <w:sz w:val="20"/>
                <w:szCs w:val="18"/>
              </w:rPr>
              <w:t xml:space="preserve"> Parliament. </w:t>
            </w:r>
          </w:p>
        </w:tc>
      </w:tr>
      <w:tr w:rsidR="0037159A" w:rsidRPr="006340F9" w14:paraId="6BF354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839B322" w14:textId="77777777" w:rsidR="00027849" w:rsidRPr="006340F9" w:rsidRDefault="00027849" w:rsidP="00027849">
            <w:pPr>
              <w:spacing w:before="80" w:after="60" w:line="240" w:lineRule="auto"/>
              <w:rPr>
                <w:sz w:val="20"/>
                <w:szCs w:val="18"/>
              </w:rPr>
            </w:pPr>
            <w:r w:rsidRPr="006340F9">
              <w:rPr>
                <w:sz w:val="20"/>
                <w:szCs w:val="18"/>
              </w:rPr>
              <w:t>August 2022</w:t>
            </w:r>
          </w:p>
        </w:tc>
        <w:tc>
          <w:tcPr>
            <w:tcW w:w="1407" w:type="dxa"/>
          </w:tcPr>
          <w:p w14:paraId="7899CF27" w14:textId="77777777"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ACT</w:t>
            </w:r>
          </w:p>
        </w:tc>
        <w:tc>
          <w:tcPr>
            <w:tcW w:w="5942" w:type="dxa"/>
          </w:tcPr>
          <w:p w14:paraId="3FAD0706" w14:textId="77777777"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Assisted Reproductive Technology: Regulation and Access – ACT Government Response.</w:t>
            </w:r>
          </w:p>
        </w:tc>
      </w:tr>
      <w:tr w:rsidR="00027849" w:rsidRPr="006340F9" w14:paraId="5DF3CE9E" w14:textId="77777777">
        <w:tc>
          <w:tcPr>
            <w:cnfStyle w:val="001000000000" w:firstRow="0" w:lastRow="0" w:firstColumn="1" w:lastColumn="0" w:oddVBand="0" w:evenVBand="0" w:oddHBand="0" w:evenHBand="0" w:firstRowFirstColumn="0" w:firstRowLastColumn="0" w:lastRowFirstColumn="0" w:lastRowLastColumn="0"/>
            <w:tcW w:w="1838" w:type="dxa"/>
          </w:tcPr>
          <w:p w14:paraId="71077FAC" w14:textId="77777777" w:rsidR="00027849" w:rsidRPr="006340F9" w:rsidRDefault="00027849" w:rsidP="00027849">
            <w:pPr>
              <w:spacing w:before="80" w:after="60" w:line="240" w:lineRule="auto"/>
              <w:rPr>
                <w:sz w:val="20"/>
                <w:szCs w:val="18"/>
              </w:rPr>
            </w:pPr>
            <w:r w:rsidRPr="006340F9">
              <w:rPr>
                <w:sz w:val="20"/>
                <w:szCs w:val="18"/>
              </w:rPr>
              <w:t>March 2020</w:t>
            </w:r>
          </w:p>
        </w:tc>
        <w:tc>
          <w:tcPr>
            <w:tcW w:w="1407" w:type="dxa"/>
          </w:tcPr>
          <w:p w14:paraId="47B9EA96" w14:textId="77777777"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Vic</w:t>
            </w:r>
          </w:p>
        </w:tc>
        <w:tc>
          <w:tcPr>
            <w:tcW w:w="5942" w:type="dxa"/>
          </w:tcPr>
          <w:p w14:paraId="42695522" w14:textId="77777777"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Inquiry into Assisted Reproductive Treatment Practices in Victoria: Final Report.</w:t>
            </w:r>
          </w:p>
        </w:tc>
      </w:tr>
      <w:tr w:rsidR="0037159A" w:rsidRPr="006340F9" w14:paraId="70A91F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D4A785C" w14:textId="77777777" w:rsidR="00027849" w:rsidRPr="006340F9" w:rsidRDefault="00027849" w:rsidP="00027849">
            <w:pPr>
              <w:spacing w:before="80" w:after="60" w:line="240" w:lineRule="auto"/>
              <w:rPr>
                <w:sz w:val="20"/>
                <w:szCs w:val="18"/>
              </w:rPr>
            </w:pPr>
            <w:r w:rsidRPr="006340F9">
              <w:rPr>
                <w:sz w:val="20"/>
                <w:szCs w:val="18"/>
              </w:rPr>
              <w:t>May 2019</w:t>
            </w:r>
          </w:p>
        </w:tc>
        <w:tc>
          <w:tcPr>
            <w:tcW w:w="1407" w:type="dxa"/>
          </w:tcPr>
          <w:p w14:paraId="5CF85004" w14:textId="77777777"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Vic</w:t>
            </w:r>
          </w:p>
        </w:tc>
        <w:tc>
          <w:tcPr>
            <w:tcW w:w="5942" w:type="dxa"/>
          </w:tcPr>
          <w:p w14:paraId="3D228730" w14:textId="77777777"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Final Report of the Independent Review of Assisted Reproductive Treatment.</w:t>
            </w:r>
          </w:p>
        </w:tc>
      </w:tr>
      <w:tr w:rsidR="00027849" w:rsidRPr="006340F9" w14:paraId="39C09677" w14:textId="77777777">
        <w:tc>
          <w:tcPr>
            <w:cnfStyle w:val="001000000000" w:firstRow="0" w:lastRow="0" w:firstColumn="1" w:lastColumn="0" w:oddVBand="0" w:evenVBand="0" w:oddHBand="0" w:evenHBand="0" w:firstRowFirstColumn="0" w:firstRowLastColumn="0" w:lastRowFirstColumn="0" w:lastRowLastColumn="0"/>
            <w:tcW w:w="1838" w:type="dxa"/>
          </w:tcPr>
          <w:p w14:paraId="231E8414" w14:textId="77777777" w:rsidR="00027849" w:rsidRPr="006340F9" w:rsidRDefault="00027849" w:rsidP="00027849">
            <w:pPr>
              <w:spacing w:before="80" w:after="60" w:line="240" w:lineRule="auto"/>
              <w:rPr>
                <w:sz w:val="20"/>
                <w:szCs w:val="18"/>
              </w:rPr>
            </w:pPr>
            <w:r w:rsidRPr="006340F9">
              <w:rPr>
                <w:sz w:val="20"/>
                <w:szCs w:val="18"/>
              </w:rPr>
              <w:t>October 2018</w:t>
            </w:r>
          </w:p>
        </w:tc>
        <w:tc>
          <w:tcPr>
            <w:tcW w:w="1407" w:type="dxa"/>
          </w:tcPr>
          <w:p w14:paraId="64BDAEAF" w14:textId="77777777"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Vic</w:t>
            </w:r>
          </w:p>
        </w:tc>
        <w:tc>
          <w:tcPr>
            <w:tcW w:w="5942" w:type="dxa"/>
          </w:tcPr>
          <w:p w14:paraId="5BE34AFC" w14:textId="77777777"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Interim Report of the Independent Review of Assisted Reproductive Treatment.</w:t>
            </w:r>
          </w:p>
        </w:tc>
      </w:tr>
      <w:tr w:rsidR="0037159A" w:rsidRPr="006340F9" w14:paraId="192041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C5922CE" w14:textId="77777777" w:rsidR="00027849" w:rsidRPr="006340F9" w:rsidRDefault="00027849" w:rsidP="00027849">
            <w:pPr>
              <w:spacing w:before="80" w:after="60" w:line="240" w:lineRule="auto"/>
              <w:rPr>
                <w:sz w:val="20"/>
                <w:szCs w:val="18"/>
              </w:rPr>
            </w:pPr>
            <w:r w:rsidRPr="006340F9">
              <w:rPr>
                <w:sz w:val="20"/>
                <w:szCs w:val="18"/>
              </w:rPr>
              <w:t>2019</w:t>
            </w:r>
          </w:p>
        </w:tc>
        <w:tc>
          <w:tcPr>
            <w:tcW w:w="1407" w:type="dxa"/>
          </w:tcPr>
          <w:p w14:paraId="72990EED" w14:textId="77777777"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WA</w:t>
            </w:r>
          </w:p>
        </w:tc>
        <w:tc>
          <w:tcPr>
            <w:tcW w:w="5942" w:type="dxa"/>
          </w:tcPr>
          <w:p w14:paraId="74DE8EFC" w14:textId="77777777"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 xml:space="preserve">The Review of the Western Australian </w:t>
            </w:r>
            <w:r w:rsidRPr="006340F9">
              <w:rPr>
                <w:i/>
                <w:sz w:val="20"/>
                <w:szCs w:val="18"/>
              </w:rPr>
              <w:t>Human Reproductive Technology Act 1991</w:t>
            </w:r>
            <w:r w:rsidRPr="006340F9">
              <w:rPr>
                <w:sz w:val="20"/>
                <w:szCs w:val="18"/>
              </w:rPr>
              <w:t xml:space="preserve"> and the </w:t>
            </w:r>
            <w:r w:rsidRPr="006340F9">
              <w:rPr>
                <w:i/>
                <w:sz w:val="20"/>
                <w:szCs w:val="18"/>
              </w:rPr>
              <w:t>Surrogacy Act 2008</w:t>
            </w:r>
            <w:r w:rsidRPr="006340F9">
              <w:rPr>
                <w:sz w:val="20"/>
                <w:szCs w:val="18"/>
              </w:rPr>
              <w:t xml:space="preserve"> (Report: Part 1).</w:t>
            </w:r>
          </w:p>
        </w:tc>
      </w:tr>
      <w:tr w:rsidR="00027849" w:rsidRPr="006340F9" w14:paraId="4512339F" w14:textId="77777777">
        <w:tc>
          <w:tcPr>
            <w:cnfStyle w:val="001000000000" w:firstRow="0" w:lastRow="0" w:firstColumn="1" w:lastColumn="0" w:oddVBand="0" w:evenVBand="0" w:oddHBand="0" w:evenHBand="0" w:firstRowFirstColumn="0" w:firstRowLastColumn="0" w:lastRowFirstColumn="0" w:lastRowLastColumn="0"/>
            <w:tcW w:w="1838" w:type="dxa"/>
          </w:tcPr>
          <w:p w14:paraId="057116EB" w14:textId="77777777" w:rsidR="00027849" w:rsidRPr="006340F9" w:rsidRDefault="00027849" w:rsidP="00027849">
            <w:pPr>
              <w:spacing w:before="80" w:after="60" w:line="240" w:lineRule="auto"/>
              <w:rPr>
                <w:sz w:val="20"/>
                <w:szCs w:val="18"/>
              </w:rPr>
            </w:pPr>
            <w:r w:rsidRPr="006340F9">
              <w:rPr>
                <w:sz w:val="20"/>
                <w:szCs w:val="18"/>
              </w:rPr>
              <w:t>January 2017</w:t>
            </w:r>
          </w:p>
        </w:tc>
        <w:tc>
          <w:tcPr>
            <w:tcW w:w="1407" w:type="dxa"/>
          </w:tcPr>
          <w:p w14:paraId="5E88F85B" w14:textId="77777777"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SA</w:t>
            </w:r>
          </w:p>
        </w:tc>
        <w:tc>
          <w:tcPr>
            <w:tcW w:w="5942" w:type="dxa"/>
          </w:tcPr>
          <w:p w14:paraId="47ACA3BC" w14:textId="77777777"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 xml:space="preserve">Report on the review of the </w:t>
            </w:r>
            <w:r w:rsidRPr="006340F9">
              <w:rPr>
                <w:i/>
                <w:sz w:val="20"/>
                <w:szCs w:val="18"/>
              </w:rPr>
              <w:t xml:space="preserve">Assisted Reproductive Treatment Act 1988 </w:t>
            </w:r>
            <w:r w:rsidRPr="006340F9">
              <w:rPr>
                <w:sz w:val="20"/>
                <w:szCs w:val="18"/>
              </w:rPr>
              <w:t>(SA).</w:t>
            </w:r>
          </w:p>
        </w:tc>
      </w:tr>
      <w:tr w:rsidR="0037159A" w:rsidRPr="006340F9" w14:paraId="0EE675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65329CF" w14:textId="77777777" w:rsidR="00027849" w:rsidRPr="006340F9" w:rsidRDefault="00027849" w:rsidP="00027849">
            <w:pPr>
              <w:spacing w:before="80" w:after="60" w:line="240" w:lineRule="auto"/>
              <w:rPr>
                <w:sz w:val="20"/>
                <w:szCs w:val="18"/>
              </w:rPr>
            </w:pPr>
            <w:r w:rsidRPr="006340F9">
              <w:rPr>
                <w:sz w:val="20"/>
                <w:szCs w:val="18"/>
              </w:rPr>
              <w:t>May 2014</w:t>
            </w:r>
          </w:p>
        </w:tc>
        <w:tc>
          <w:tcPr>
            <w:tcW w:w="1407" w:type="dxa"/>
          </w:tcPr>
          <w:p w14:paraId="1F77DC3E" w14:textId="77777777"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NSW</w:t>
            </w:r>
          </w:p>
        </w:tc>
        <w:tc>
          <w:tcPr>
            <w:tcW w:w="5942" w:type="dxa"/>
          </w:tcPr>
          <w:p w14:paraId="5448FB88" w14:textId="77777777"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 xml:space="preserve">Report on the Statutory Review of the </w:t>
            </w:r>
            <w:r w:rsidRPr="006340F9">
              <w:rPr>
                <w:i/>
                <w:sz w:val="20"/>
                <w:szCs w:val="18"/>
              </w:rPr>
              <w:t xml:space="preserve">Assisted Reproductive Technology Act 2007 </w:t>
            </w:r>
            <w:r w:rsidRPr="006340F9">
              <w:rPr>
                <w:sz w:val="20"/>
                <w:szCs w:val="18"/>
              </w:rPr>
              <w:t>(NSW)</w:t>
            </w:r>
          </w:p>
        </w:tc>
      </w:tr>
      <w:tr w:rsidR="00027849" w:rsidRPr="006340F9" w14:paraId="2A2DBF1D" w14:textId="77777777">
        <w:tc>
          <w:tcPr>
            <w:cnfStyle w:val="001000000000" w:firstRow="0" w:lastRow="0" w:firstColumn="1" w:lastColumn="0" w:oddVBand="0" w:evenVBand="0" w:oddHBand="0" w:evenHBand="0" w:firstRowFirstColumn="0" w:firstRowLastColumn="0" w:lastRowFirstColumn="0" w:lastRowLastColumn="0"/>
            <w:tcW w:w="1838" w:type="dxa"/>
          </w:tcPr>
          <w:p w14:paraId="3A33114A" w14:textId="77777777" w:rsidR="00027849" w:rsidRPr="006340F9" w:rsidRDefault="00027849" w:rsidP="00027849">
            <w:pPr>
              <w:spacing w:before="80" w:after="60" w:line="240" w:lineRule="auto"/>
              <w:rPr>
                <w:sz w:val="20"/>
                <w:szCs w:val="18"/>
              </w:rPr>
            </w:pPr>
            <w:r w:rsidRPr="006340F9">
              <w:rPr>
                <w:sz w:val="20"/>
                <w:szCs w:val="18"/>
              </w:rPr>
              <w:t>February 2014</w:t>
            </w:r>
          </w:p>
        </w:tc>
        <w:tc>
          <w:tcPr>
            <w:tcW w:w="1407" w:type="dxa"/>
          </w:tcPr>
          <w:p w14:paraId="542B1D0C" w14:textId="77777777"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WA</w:t>
            </w:r>
          </w:p>
        </w:tc>
        <w:tc>
          <w:tcPr>
            <w:tcW w:w="5942" w:type="dxa"/>
          </w:tcPr>
          <w:p w14:paraId="1506350C" w14:textId="77777777"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Position on the Posthumous Collection and Use of Gametes.</w:t>
            </w:r>
          </w:p>
        </w:tc>
      </w:tr>
    </w:tbl>
    <w:p w14:paraId="38098664" w14:textId="77777777" w:rsidR="00027849" w:rsidRPr="006340F9" w:rsidRDefault="00027849" w:rsidP="00027849">
      <w:pPr>
        <w:keepNext/>
        <w:spacing w:line="240" w:lineRule="auto"/>
        <w:rPr>
          <w:b/>
        </w:rPr>
      </w:pPr>
      <w:bookmarkStart w:id="170" w:name="_Ref207282804"/>
    </w:p>
    <w:bookmarkEnd w:id="170"/>
    <w:p w14:paraId="60756F69" w14:textId="77777777" w:rsidR="00027849" w:rsidRPr="006340F9" w:rsidRDefault="00027849" w:rsidP="00027849">
      <w:pPr>
        <w:rPr>
          <w:rFonts w:cs="Arial"/>
          <w:szCs w:val="21"/>
        </w:rPr>
      </w:pPr>
    </w:p>
    <w:p w14:paraId="187F38A4" w14:textId="77777777" w:rsidR="00186294" w:rsidRPr="006340F9" w:rsidRDefault="00186294" w:rsidP="00027849">
      <w:pPr>
        <w:keepNext/>
        <w:keepLines/>
        <w:spacing w:before="520" w:after="240" w:line="480" w:lineRule="atLeast"/>
        <w:outlineLvl w:val="0"/>
        <w:rPr>
          <w:rFonts w:eastAsia="MS Gothic" w:cs="Arial"/>
          <w:bCs/>
          <w:color w:val="201547"/>
          <w:kern w:val="32"/>
          <w:sz w:val="44"/>
          <w:szCs w:val="44"/>
        </w:rPr>
      </w:pPr>
      <w:r w:rsidRPr="006340F9">
        <w:rPr>
          <w:rFonts w:eastAsia="MS Gothic" w:cs="Arial"/>
          <w:bCs/>
          <w:color w:val="201547"/>
          <w:kern w:val="32"/>
          <w:sz w:val="44"/>
          <w:szCs w:val="44"/>
        </w:rPr>
        <w:br w:type="page"/>
      </w:r>
    </w:p>
    <w:p w14:paraId="088053D5" w14:textId="77777777" w:rsidR="0000321B" w:rsidRPr="006340F9" w:rsidRDefault="0000321B" w:rsidP="00C277E2">
      <w:pPr>
        <w:keepNext/>
        <w:keepLines/>
        <w:spacing w:before="520" w:after="240" w:line="480" w:lineRule="atLeast"/>
        <w:ind w:left="432" w:hanging="432"/>
        <w:outlineLvl w:val="0"/>
        <w:rPr>
          <w:rFonts w:eastAsia="MS Gothic" w:cs="Arial"/>
          <w:bCs/>
          <w:color w:val="201547"/>
          <w:kern w:val="32"/>
          <w:sz w:val="44"/>
          <w:szCs w:val="44"/>
        </w:rPr>
        <w:sectPr w:rsidR="0000321B" w:rsidRPr="006340F9" w:rsidSect="0000321B">
          <w:footerReference w:type="first" r:id="rId37"/>
          <w:pgSz w:w="11906" w:h="16838" w:code="9"/>
          <w:pgMar w:top="1418" w:right="1304" w:bottom="1134" w:left="1304" w:header="680" w:footer="851" w:gutter="0"/>
          <w:cols w:space="340"/>
          <w:docGrid w:linePitch="360"/>
        </w:sectPr>
      </w:pPr>
    </w:p>
    <w:p w14:paraId="7FC34E38" w14:textId="39339A37" w:rsidR="00186294" w:rsidRPr="006340F9" w:rsidRDefault="00186294" w:rsidP="004832AF">
      <w:pPr>
        <w:pStyle w:val="Heading1"/>
        <w:numPr>
          <w:ilvl w:val="0"/>
          <w:numId w:val="0"/>
        </w:numPr>
        <w:ind w:left="432" w:hanging="432"/>
        <w:rPr>
          <w:bCs w:val="0"/>
        </w:rPr>
      </w:pPr>
      <w:bookmarkStart w:id="171" w:name="_Toc209442007"/>
      <w:r w:rsidRPr="006340F9">
        <w:rPr>
          <w:bCs w:val="0"/>
        </w:rPr>
        <w:lastRenderedPageBreak/>
        <w:t>Appendix 2</w:t>
      </w:r>
      <w:bookmarkEnd w:id="171"/>
    </w:p>
    <w:p w14:paraId="1996BCE4" w14:textId="5C205A38" w:rsidR="00186294" w:rsidRPr="006340F9" w:rsidRDefault="001972AD" w:rsidP="00C277E2">
      <w:pPr>
        <w:keepNext/>
        <w:spacing w:line="240" w:lineRule="auto"/>
        <w:rPr>
          <w:rFonts w:eastAsia="MS Gothic"/>
          <w:b/>
        </w:rPr>
      </w:pPr>
      <w:r w:rsidRPr="006340F9">
        <w:rPr>
          <w:b/>
        </w:rPr>
        <w:t>Table</w:t>
      </w:r>
      <w:r w:rsidR="00AD66B3" w:rsidRPr="006340F9">
        <w:rPr>
          <w:b/>
        </w:rPr>
        <w:t xml:space="preserve"> A2</w:t>
      </w:r>
      <w:r w:rsidR="00AD66B3" w:rsidRPr="006340F9">
        <w:rPr>
          <w:b/>
        </w:rPr>
        <w:fldChar w:fldCharType="begin"/>
      </w:r>
      <w:r w:rsidR="00AD66B3" w:rsidRPr="006340F9">
        <w:rPr>
          <w:b/>
        </w:rPr>
        <w:fldChar w:fldCharType="separate"/>
      </w:r>
      <w:r w:rsidR="00AD66B3" w:rsidRPr="006340F9">
        <w:rPr>
          <w:b/>
        </w:rPr>
        <w:t>10</w:t>
      </w:r>
      <w:r w:rsidR="00AD66B3" w:rsidRPr="006340F9">
        <w:rPr>
          <w:b/>
        </w:rPr>
        <w:fldChar w:fldCharType="end"/>
      </w:r>
      <w:r w:rsidR="00AD66B3" w:rsidRPr="006340F9">
        <w:rPr>
          <w:b/>
        </w:rPr>
        <w:t xml:space="preserve">: </w:t>
      </w:r>
      <w:r w:rsidR="00107D14" w:rsidRPr="006340F9">
        <w:rPr>
          <w:b/>
        </w:rPr>
        <w:t xml:space="preserve">Summary of State and Territory </w:t>
      </w:r>
      <w:r w:rsidR="0031485F" w:rsidRPr="006340F9">
        <w:rPr>
          <w:b/>
        </w:rPr>
        <w:t>regulatory powers</w:t>
      </w:r>
      <w:r w:rsidR="002437E9" w:rsidRPr="006340F9">
        <w:rPr>
          <w:b/>
        </w:rPr>
        <w:t xml:space="preserve"> and </w:t>
      </w:r>
      <w:r w:rsidR="00204D9E" w:rsidRPr="006340F9">
        <w:rPr>
          <w:b/>
        </w:rPr>
        <w:t>jurisdictional features</w:t>
      </w:r>
      <w:r w:rsidR="00415EA7" w:rsidRPr="006340F9">
        <w:rPr>
          <w:b/>
        </w:rPr>
        <w:t xml:space="preserve"> (Tables </w:t>
      </w:r>
      <w:r w:rsidR="003D2BCC" w:rsidRPr="006340F9">
        <w:rPr>
          <w:b/>
        </w:rPr>
        <w:t>2.1 – 2.8)</w:t>
      </w:r>
      <w:r w:rsidR="0031485F" w:rsidRPr="006340F9">
        <w:rPr>
          <w:b/>
        </w:rPr>
        <w:t>.</w:t>
      </w:r>
    </w:p>
    <w:tbl>
      <w:tblPr>
        <w:tblStyle w:val="GridTable4-Accent1"/>
        <w:tblW w:w="14343" w:type="dxa"/>
        <w:tblLayout w:type="fixed"/>
        <w:tblLook w:val="04A0" w:firstRow="1" w:lastRow="0" w:firstColumn="1" w:lastColumn="0" w:noHBand="0" w:noVBand="1"/>
      </w:tblPr>
      <w:tblGrid>
        <w:gridCol w:w="3458"/>
        <w:gridCol w:w="1304"/>
        <w:gridCol w:w="1304"/>
        <w:gridCol w:w="1304"/>
        <w:gridCol w:w="1304"/>
        <w:gridCol w:w="1304"/>
        <w:gridCol w:w="1304"/>
        <w:gridCol w:w="1984"/>
        <w:gridCol w:w="1077"/>
      </w:tblGrid>
      <w:tr w:rsidR="009711EA" w:rsidRPr="006340F9" w14:paraId="5F1DF766" w14:textId="77777777" w:rsidTr="00566A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dxa"/>
          </w:tcPr>
          <w:p w14:paraId="69AF4FE1" w14:textId="77777777" w:rsidR="00563AFC" w:rsidRPr="006340F9" w:rsidRDefault="00563AFC" w:rsidP="001C440C">
            <w:pPr>
              <w:pStyle w:val="Body"/>
              <w:rPr>
                <w:sz w:val="20"/>
                <w:szCs w:val="20"/>
              </w:rPr>
            </w:pPr>
          </w:p>
        </w:tc>
        <w:tc>
          <w:tcPr>
            <w:tcW w:w="1304" w:type="dxa"/>
          </w:tcPr>
          <w:p w14:paraId="05985A16" w14:textId="77777777" w:rsidR="00563AFC" w:rsidRPr="006340F9" w:rsidRDefault="00563AFC" w:rsidP="001C440C">
            <w:pPr>
              <w:pStyle w:val="Body"/>
              <w:cnfStyle w:val="100000000000" w:firstRow="1" w:lastRow="0" w:firstColumn="0" w:lastColumn="0" w:oddVBand="0" w:evenVBand="0" w:oddHBand="0" w:evenHBand="0" w:firstRowFirstColumn="0" w:firstRowLastColumn="0" w:lastRowFirstColumn="0" w:lastRowLastColumn="0"/>
              <w:rPr>
                <w:sz w:val="20"/>
                <w:szCs w:val="20"/>
              </w:rPr>
            </w:pPr>
            <w:r w:rsidRPr="006340F9">
              <w:rPr>
                <w:sz w:val="20"/>
                <w:szCs w:val="20"/>
              </w:rPr>
              <w:t>ACT</w:t>
            </w:r>
          </w:p>
        </w:tc>
        <w:tc>
          <w:tcPr>
            <w:tcW w:w="1304" w:type="dxa"/>
          </w:tcPr>
          <w:p w14:paraId="40C4AE52" w14:textId="77777777" w:rsidR="00563AFC" w:rsidRPr="006340F9" w:rsidRDefault="00563AFC" w:rsidP="001C440C">
            <w:pPr>
              <w:pStyle w:val="Body"/>
              <w:cnfStyle w:val="100000000000" w:firstRow="1" w:lastRow="0" w:firstColumn="0" w:lastColumn="0" w:oddVBand="0" w:evenVBand="0" w:oddHBand="0" w:evenHBand="0" w:firstRowFirstColumn="0" w:firstRowLastColumn="0" w:lastRowFirstColumn="0" w:lastRowLastColumn="0"/>
              <w:rPr>
                <w:sz w:val="20"/>
                <w:szCs w:val="20"/>
              </w:rPr>
            </w:pPr>
            <w:r w:rsidRPr="006340F9">
              <w:rPr>
                <w:sz w:val="20"/>
                <w:szCs w:val="20"/>
              </w:rPr>
              <w:t>NSW</w:t>
            </w:r>
          </w:p>
        </w:tc>
        <w:tc>
          <w:tcPr>
            <w:tcW w:w="1304" w:type="dxa"/>
          </w:tcPr>
          <w:p w14:paraId="54605FB2" w14:textId="77777777" w:rsidR="00563AFC" w:rsidRPr="006340F9" w:rsidRDefault="00563AFC" w:rsidP="001C440C">
            <w:pPr>
              <w:pStyle w:val="Body"/>
              <w:cnfStyle w:val="100000000000" w:firstRow="1" w:lastRow="0" w:firstColumn="0" w:lastColumn="0" w:oddVBand="0" w:evenVBand="0" w:oddHBand="0" w:evenHBand="0" w:firstRowFirstColumn="0" w:firstRowLastColumn="0" w:lastRowFirstColumn="0" w:lastRowLastColumn="0"/>
              <w:rPr>
                <w:sz w:val="20"/>
                <w:szCs w:val="20"/>
              </w:rPr>
            </w:pPr>
            <w:r w:rsidRPr="006340F9">
              <w:rPr>
                <w:sz w:val="20"/>
                <w:szCs w:val="20"/>
              </w:rPr>
              <w:t>NT</w:t>
            </w:r>
          </w:p>
        </w:tc>
        <w:tc>
          <w:tcPr>
            <w:tcW w:w="1304" w:type="dxa"/>
          </w:tcPr>
          <w:p w14:paraId="10441CB0" w14:textId="77777777" w:rsidR="00563AFC" w:rsidRPr="006340F9" w:rsidRDefault="00563AFC" w:rsidP="001C440C">
            <w:pPr>
              <w:pStyle w:val="Body"/>
              <w:cnfStyle w:val="100000000000" w:firstRow="1" w:lastRow="0" w:firstColumn="0" w:lastColumn="0" w:oddVBand="0" w:evenVBand="0" w:oddHBand="0" w:evenHBand="0" w:firstRowFirstColumn="0" w:firstRowLastColumn="0" w:lastRowFirstColumn="0" w:lastRowLastColumn="0"/>
              <w:rPr>
                <w:sz w:val="20"/>
                <w:szCs w:val="20"/>
              </w:rPr>
            </w:pPr>
            <w:r w:rsidRPr="006340F9">
              <w:rPr>
                <w:sz w:val="20"/>
                <w:szCs w:val="20"/>
              </w:rPr>
              <w:t>QLD</w:t>
            </w:r>
          </w:p>
        </w:tc>
        <w:tc>
          <w:tcPr>
            <w:tcW w:w="1304" w:type="dxa"/>
          </w:tcPr>
          <w:p w14:paraId="200D4A6E" w14:textId="77777777" w:rsidR="00563AFC" w:rsidRPr="006340F9" w:rsidRDefault="00563AFC" w:rsidP="001C440C">
            <w:pPr>
              <w:pStyle w:val="Body"/>
              <w:cnfStyle w:val="100000000000" w:firstRow="1" w:lastRow="0" w:firstColumn="0" w:lastColumn="0" w:oddVBand="0" w:evenVBand="0" w:oddHBand="0" w:evenHBand="0" w:firstRowFirstColumn="0" w:firstRowLastColumn="0" w:lastRowFirstColumn="0" w:lastRowLastColumn="0"/>
              <w:rPr>
                <w:sz w:val="20"/>
                <w:szCs w:val="20"/>
              </w:rPr>
            </w:pPr>
            <w:r w:rsidRPr="006340F9">
              <w:rPr>
                <w:sz w:val="20"/>
                <w:szCs w:val="20"/>
              </w:rPr>
              <w:t>SA</w:t>
            </w:r>
          </w:p>
        </w:tc>
        <w:tc>
          <w:tcPr>
            <w:tcW w:w="1304" w:type="dxa"/>
          </w:tcPr>
          <w:p w14:paraId="38ED242B" w14:textId="77777777" w:rsidR="00563AFC" w:rsidRPr="006340F9" w:rsidRDefault="00563AFC" w:rsidP="001C440C">
            <w:pPr>
              <w:pStyle w:val="Body"/>
              <w:cnfStyle w:val="100000000000" w:firstRow="1" w:lastRow="0" w:firstColumn="0" w:lastColumn="0" w:oddVBand="0" w:evenVBand="0" w:oddHBand="0" w:evenHBand="0" w:firstRowFirstColumn="0" w:firstRowLastColumn="0" w:lastRowFirstColumn="0" w:lastRowLastColumn="0"/>
              <w:rPr>
                <w:sz w:val="20"/>
                <w:szCs w:val="20"/>
              </w:rPr>
            </w:pPr>
            <w:r w:rsidRPr="006340F9">
              <w:rPr>
                <w:sz w:val="20"/>
                <w:szCs w:val="20"/>
              </w:rPr>
              <w:t>TAS</w:t>
            </w:r>
          </w:p>
        </w:tc>
        <w:tc>
          <w:tcPr>
            <w:tcW w:w="1984" w:type="dxa"/>
          </w:tcPr>
          <w:p w14:paraId="7C916706" w14:textId="77777777" w:rsidR="00563AFC" w:rsidRPr="006340F9" w:rsidRDefault="00563AFC" w:rsidP="001C440C">
            <w:pPr>
              <w:pStyle w:val="Body"/>
              <w:cnfStyle w:val="100000000000" w:firstRow="1" w:lastRow="0" w:firstColumn="0" w:lastColumn="0" w:oddVBand="0" w:evenVBand="0" w:oddHBand="0" w:evenHBand="0" w:firstRowFirstColumn="0" w:firstRowLastColumn="0" w:lastRowFirstColumn="0" w:lastRowLastColumn="0"/>
              <w:rPr>
                <w:sz w:val="20"/>
                <w:szCs w:val="20"/>
              </w:rPr>
            </w:pPr>
            <w:r w:rsidRPr="006340F9">
              <w:rPr>
                <w:sz w:val="20"/>
                <w:szCs w:val="20"/>
              </w:rPr>
              <w:t>Vic</w:t>
            </w:r>
          </w:p>
        </w:tc>
        <w:tc>
          <w:tcPr>
            <w:tcW w:w="1077" w:type="dxa"/>
          </w:tcPr>
          <w:p w14:paraId="712A5679" w14:textId="77777777" w:rsidR="00563AFC" w:rsidRPr="006340F9" w:rsidRDefault="00563AFC" w:rsidP="001C440C">
            <w:pPr>
              <w:pStyle w:val="Body"/>
              <w:cnfStyle w:val="100000000000" w:firstRow="1" w:lastRow="0" w:firstColumn="0" w:lastColumn="0" w:oddVBand="0" w:evenVBand="0" w:oddHBand="0" w:evenHBand="0" w:firstRowFirstColumn="0" w:firstRowLastColumn="0" w:lastRowFirstColumn="0" w:lastRowLastColumn="0"/>
              <w:rPr>
                <w:sz w:val="20"/>
                <w:szCs w:val="20"/>
              </w:rPr>
            </w:pPr>
            <w:r w:rsidRPr="006340F9">
              <w:rPr>
                <w:sz w:val="20"/>
                <w:szCs w:val="20"/>
              </w:rPr>
              <w:t>WA</w:t>
            </w:r>
          </w:p>
        </w:tc>
      </w:tr>
      <w:tr w:rsidR="009711EA" w:rsidRPr="006340F9" w14:paraId="6D9ECD3E" w14:textId="77777777" w:rsidTr="00566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dxa"/>
          </w:tcPr>
          <w:p w14:paraId="5AF8CD54" w14:textId="77777777" w:rsidR="00563AFC" w:rsidRPr="006340F9" w:rsidRDefault="00563AFC" w:rsidP="001C440C">
            <w:pPr>
              <w:pStyle w:val="Body"/>
              <w:rPr>
                <w:sz w:val="20"/>
                <w:szCs w:val="20"/>
              </w:rPr>
            </w:pPr>
            <w:r w:rsidRPr="006340F9">
              <w:rPr>
                <w:sz w:val="20"/>
                <w:szCs w:val="20"/>
              </w:rPr>
              <w:t>Registration required</w:t>
            </w:r>
          </w:p>
        </w:tc>
        <w:tc>
          <w:tcPr>
            <w:tcW w:w="1304" w:type="dxa"/>
          </w:tcPr>
          <w:p w14:paraId="15E9FA11" w14:textId="77777777" w:rsidR="00563AFC" w:rsidRPr="006340F9" w:rsidRDefault="00563AFC" w:rsidP="001C440C">
            <w:pPr>
              <w:pStyle w:val="Body"/>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Yes</w:t>
            </w:r>
          </w:p>
        </w:tc>
        <w:tc>
          <w:tcPr>
            <w:tcW w:w="1304" w:type="dxa"/>
          </w:tcPr>
          <w:p w14:paraId="4C2B2B47" w14:textId="77777777" w:rsidR="00563AFC" w:rsidRPr="006340F9" w:rsidRDefault="00563AFC" w:rsidP="001C440C">
            <w:pPr>
              <w:pStyle w:val="Body"/>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Yes</w:t>
            </w:r>
          </w:p>
        </w:tc>
        <w:tc>
          <w:tcPr>
            <w:tcW w:w="1304" w:type="dxa"/>
          </w:tcPr>
          <w:p w14:paraId="2F28191D" w14:textId="6823D67B" w:rsidR="00563AFC" w:rsidRPr="006340F9" w:rsidRDefault="00563AFC" w:rsidP="001C440C">
            <w:pPr>
              <w:pStyle w:val="Body"/>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No</w:t>
            </w:r>
            <w:r w:rsidR="00293F1B" w:rsidRPr="006340F9">
              <w:rPr>
                <w:sz w:val="20"/>
                <w:szCs w:val="20"/>
              </w:rPr>
              <w:t>*</w:t>
            </w:r>
          </w:p>
        </w:tc>
        <w:tc>
          <w:tcPr>
            <w:tcW w:w="1304" w:type="dxa"/>
          </w:tcPr>
          <w:p w14:paraId="30582A9A" w14:textId="77777777" w:rsidR="00563AFC" w:rsidRPr="006340F9" w:rsidRDefault="00563AFC" w:rsidP="001C440C">
            <w:pPr>
              <w:pStyle w:val="Body"/>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Yes</w:t>
            </w:r>
          </w:p>
        </w:tc>
        <w:tc>
          <w:tcPr>
            <w:tcW w:w="1304" w:type="dxa"/>
          </w:tcPr>
          <w:p w14:paraId="41673135" w14:textId="77777777" w:rsidR="00563AFC" w:rsidRPr="006340F9" w:rsidRDefault="00563AFC" w:rsidP="001C440C">
            <w:pPr>
              <w:pStyle w:val="Body"/>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Yes</w:t>
            </w:r>
          </w:p>
        </w:tc>
        <w:tc>
          <w:tcPr>
            <w:tcW w:w="1304" w:type="dxa"/>
          </w:tcPr>
          <w:p w14:paraId="2ED7A13C" w14:textId="77777777" w:rsidR="00563AFC" w:rsidRPr="006340F9" w:rsidRDefault="00563AFC" w:rsidP="001C440C">
            <w:pPr>
              <w:pStyle w:val="Body"/>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Yes</w:t>
            </w:r>
          </w:p>
        </w:tc>
        <w:tc>
          <w:tcPr>
            <w:tcW w:w="1984" w:type="dxa"/>
          </w:tcPr>
          <w:p w14:paraId="2151529D" w14:textId="77777777" w:rsidR="00563AFC" w:rsidRPr="006340F9" w:rsidRDefault="00563AFC" w:rsidP="001C440C">
            <w:pPr>
              <w:pStyle w:val="Body"/>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Yes</w:t>
            </w:r>
          </w:p>
        </w:tc>
        <w:tc>
          <w:tcPr>
            <w:tcW w:w="1077" w:type="dxa"/>
          </w:tcPr>
          <w:p w14:paraId="47DB2661" w14:textId="2557CF7D" w:rsidR="00563AFC" w:rsidRPr="006340F9" w:rsidRDefault="007F60FB" w:rsidP="001C440C">
            <w:pPr>
              <w:pStyle w:val="Body"/>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Yes</w:t>
            </w:r>
          </w:p>
        </w:tc>
      </w:tr>
      <w:tr w:rsidR="007F2526" w:rsidRPr="006340F9" w14:paraId="699CAD93" w14:textId="77777777" w:rsidTr="00D23839">
        <w:tc>
          <w:tcPr>
            <w:cnfStyle w:val="001000000000" w:firstRow="0" w:lastRow="0" w:firstColumn="1" w:lastColumn="0" w:oddVBand="0" w:evenVBand="0" w:oddHBand="0" w:evenHBand="0" w:firstRowFirstColumn="0" w:firstRowLastColumn="0" w:lastRowFirstColumn="0" w:lastRowLastColumn="0"/>
            <w:tcW w:w="3458" w:type="dxa"/>
            <w:vAlign w:val="center"/>
          </w:tcPr>
          <w:p w14:paraId="142FC550" w14:textId="77777777" w:rsidR="00563AFC" w:rsidRPr="006340F9" w:rsidRDefault="00563AFC" w:rsidP="00D23839">
            <w:pPr>
              <w:pStyle w:val="Body"/>
              <w:jc w:val="left"/>
              <w:rPr>
                <w:sz w:val="20"/>
                <w:szCs w:val="20"/>
              </w:rPr>
            </w:pPr>
            <w:r w:rsidRPr="006340F9">
              <w:rPr>
                <w:sz w:val="20"/>
                <w:szCs w:val="20"/>
              </w:rPr>
              <w:t>Registration period</w:t>
            </w:r>
          </w:p>
        </w:tc>
        <w:tc>
          <w:tcPr>
            <w:tcW w:w="1304" w:type="dxa"/>
            <w:vAlign w:val="center"/>
          </w:tcPr>
          <w:p w14:paraId="07B145D0"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rPr>
              <w:t>5 years</w:t>
            </w:r>
          </w:p>
        </w:tc>
        <w:tc>
          <w:tcPr>
            <w:tcW w:w="1304" w:type="dxa"/>
            <w:vAlign w:val="center"/>
          </w:tcPr>
          <w:p w14:paraId="36CFF56F"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rPr>
              <w:t>12 months</w:t>
            </w:r>
          </w:p>
        </w:tc>
        <w:tc>
          <w:tcPr>
            <w:tcW w:w="1304" w:type="dxa"/>
            <w:vAlign w:val="center"/>
          </w:tcPr>
          <w:p w14:paraId="630777FE"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rPr>
              <w:t>N/A</w:t>
            </w:r>
          </w:p>
        </w:tc>
        <w:tc>
          <w:tcPr>
            <w:tcW w:w="1304" w:type="dxa"/>
            <w:vAlign w:val="center"/>
          </w:tcPr>
          <w:p w14:paraId="30932EDB"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rPr>
              <w:t>Up to 3 years</w:t>
            </w:r>
          </w:p>
        </w:tc>
        <w:tc>
          <w:tcPr>
            <w:tcW w:w="1304" w:type="dxa"/>
            <w:vAlign w:val="center"/>
          </w:tcPr>
          <w:p w14:paraId="19794A66"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rPr>
              <w:t>Not specified</w:t>
            </w:r>
          </w:p>
        </w:tc>
        <w:tc>
          <w:tcPr>
            <w:tcW w:w="1304" w:type="dxa"/>
            <w:vAlign w:val="center"/>
          </w:tcPr>
          <w:p w14:paraId="5D27DF6E"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rPr>
              <w:t>Not specified</w:t>
            </w:r>
          </w:p>
        </w:tc>
        <w:tc>
          <w:tcPr>
            <w:tcW w:w="1984" w:type="dxa"/>
            <w:vAlign w:val="center"/>
          </w:tcPr>
          <w:p w14:paraId="5DB35786"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rPr>
              <w:t>Not specified – registration period aligns with RTAC accreditation</w:t>
            </w:r>
          </w:p>
        </w:tc>
        <w:tc>
          <w:tcPr>
            <w:tcW w:w="1077" w:type="dxa"/>
            <w:vAlign w:val="center"/>
          </w:tcPr>
          <w:p w14:paraId="4431A458" w14:textId="62F4A89C" w:rsidR="00563AFC" w:rsidRPr="006340F9" w:rsidRDefault="0063295D"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 xml:space="preserve">Up to </w:t>
            </w:r>
            <w:r w:rsidR="00A57C52" w:rsidRPr="006340F9">
              <w:rPr>
                <w:sz w:val="20"/>
                <w:szCs w:val="20"/>
              </w:rPr>
              <w:t>5 years</w:t>
            </w:r>
          </w:p>
        </w:tc>
      </w:tr>
      <w:tr w:rsidR="009711EA" w:rsidRPr="006340F9" w14:paraId="746AD115" w14:textId="77777777" w:rsidTr="00D23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dxa"/>
            <w:vAlign w:val="center"/>
          </w:tcPr>
          <w:p w14:paraId="5CF3CC28" w14:textId="2A398662" w:rsidR="00563AFC" w:rsidRPr="006340F9" w:rsidRDefault="000642BF" w:rsidP="00D23839">
            <w:pPr>
              <w:pStyle w:val="Body"/>
              <w:jc w:val="left"/>
              <w:rPr>
                <w:sz w:val="20"/>
                <w:szCs w:val="20"/>
              </w:rPr>
            </w:pPr>
            <w:r w:rsidRPr="006340F9">
              <w:rPr>
                <w:sz w:val="20"/>
                <w:szCs w:val="20"/>
              </w:rPr>
              <w:t>Requirement to report whether RTAC licence has been renewed</w:t>
            </w:r>
          </w:p>
        </w:tc>
        <w:tc>
          <w:tcPr>
            <w:tcW w:w="1304" w:type="dxa"/>
            <w:vAlign w:val="center"/>
          </w:tcPr>
          <w:p w14:paraId="0FEBFBCB" w14:textId="341D9993"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 xml:space="preserve">ART </w:t>
            </w:r>
            <w:r w:rsidR="00AB633F" w:rsidRPr="006340F9">
              <w:rPr>
                <w:sz w:val="20"/>
                <w:szCs w:val="20"/>
              </w:rPr>
              <w:t>u</w:t>
            </w:r>
            <w:r w:rsidRPr="006340F9">
              <w:rPr>
                <w:sz w:val="20"/>
                <w:szCs w:val="20"/>
              </w:rPr>
              <w:t>nits must advise</w:t>
            </w:r>
          </w:p>
        </w:tc>
        <w:tc>
          <w:tcPr>
            <w:tcW w:w="1304" w:type="dxa"/>
            <w:vAlign w:val="center"/>
          </w:tcPr>
          <w:p w14:paraId="6B274561" w14:textId="2C4ACE63" w:rsidR="00563AFC" w:rsidRPr="006340F9" w:rsidRDefault="00FC58C5"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No requirement</w:t>
            </w:r>
          </w:p>
        </w:tc>
        <w:tc>
          <w:tcPr>
            <w:tcW w:w="1304" w:type="dxa"/>
            <w:vAlign w:val="center"/>
          </w:tcPr>
          <w:p w14:paraId="5C9D81A3" w14:textId="77777777"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No requirement</w:t>
            </w:r>
          </w:p>
        </w:tc>
        <w:tc>
          <w:tcPr>
            <w:tcW w:w="1304" w:type="dxa"/>
            <w:vAlign w:val="center"/>
          </w:tcPr>
          <w:p w14:paraId="21833D88" w14:textId="22A5BF5F"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 xml:space="preserve">ART </w:t>
            </w:r>
            <w:r w:rsidR="00AB633F" w:rsidRPr="006340F9">
              <w:rPr>
                <w:sz w:val="20"/>
                <w:szCs w:val="20"/>
              </w:rPr>
              <w:t>u</w:t>
            </w:r>
            <w:r w:rsidRPr="006340F9">
              <w:rPr>
                <w:sz w:val="20"/>
                <w:szCs w:val="20"/>
              </w:rPr>
              <w:t>nits must advise</w:t>
            </w:r>
          </w:p>
        </w:tc>
        <w:tc>
          <w:tcPr>
            <w:tcW w:w="1304" w:type="dxa"/>
            <w:vAlign w:val="center"/>
          </w:tcPr>
          <w:p w14:paraId="42DC52CA" w14:textId="216E20B0"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 xml:space="preserve">ART </w:t>
            </w:r>
            <w:r w:rsidR="00AB633F" w:rsidRPr="006340F9">
              <w:rPr>
                <w:sz w:val="20"/>
                <w:szCs w:val="20"/>
              </w:rPr>
              <w:t>u</w:t>
            </w:r>
            <w:r w:rsidRPr="006340F9">
              <w:rPr>
                <w:sz w:val="20"/>
                <w:szCs w:val="20"/>
              </w:rPr>
              <w:t>nits must advise</w:t>
            </w:r>
          </w:p>
        </w:tc>
        <w:tc>
          <w:tcPr>
            <w:tcW w:w="1304" w:type="dxa"/>
            <w:vAlign w:val="center"/>
          </w:tcPr>
          <w:p w14:paraId="1960D4B2" w14:textId="77777777"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No requirement</w:t>
            </w:r>
          </w:p>
        </w:tc>
        <w:tc>
          <w:tcPr>
            <w:tcW w:w="1984" w:type="dxa"/>
            <w:vAlign w:val="center"/>
          </w:tcPr>
          <w:p w14:paraId="32CC64D1" w14:textId="08F95E74"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 xml:space="preserve">ART </w:t>
            </w:r>
            <w:r w:rsidR="00AB633F" w:rsidRPr="006340F9">
              <w:rPr>
                <w:sz w:val="20"/>
                <w:szCs w:val="20"/>
              </w:rPr>
              <w:t>u</w:t>
            </w:r>
            <w:r w:rsidRPr="006340F9">
              <w:rPr>
                <w:sz w:val="20"/>
                <w:szCs w:val="20"/>
              </w:rPr>
              <w:t>nits must advise</w:t>
            </w:r>
          </w:p>
        </w:tc>
        <w:tc>
          <w:tcPr>
            <w:tcW w:w="1077" w:type="dxa"/>
            <w:vAlign w:val="center"/>
          </w:tcPr>
          <w:p w14:paraId="66446996" w14:textId="37D8B291"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 xml:space="preserve">ART </w:t>
            </w:r>
            <w:r w:rsidR="00AB633F" w:rsidRPr="006340F9">
              <w:rPr>
                <w:sz w:val="20"/>
                <w:szCs w:val="20"/>
              </w:rPr>
              <w:t>u</w:t>
            </w:r>
            <w:r w:rsidRPr="006340F9">
              <w:rPr>
                <w:sz w:val="20"/>
                <w:szCs w:val="20"/>
              </w:rPr>
              <w:t>nits must advise</w:t>
            </w:r>
          </w:p>
        </w:tc>
      </w:tr>
      <w:tr w:rsidR="00566AFD" w:rsidRPr="006340F9" w14:paraId="6E87CA62" w14:textId="77777777" w:rsidTr="00D23839">
        <w:tc>
          <w:tcPr>
            <w:cnfStyle w:val="001000000000" w:firstRow="0" w:lastRow="0" w:firstColumn="1" w:lastColumn="0" w:oddVBand="0" w:evenVBand="0" w:oddHBand="0" w:evenHBand="0" w:firstRowFirstColumn="0" w:firstRowLastColumn="0" w:lastRowFirstColumn="0" w:lastRowLastColumn="0"/>
            <w:tcW w:w="3458" w:type="dxa"/>
            <w:vAlign w:val="center"/>
          </w:tcPr>
          <w:p w14:paraId="59C22220" w14:textId="77777777" w:rsidR="00563AFC" w:rsidRPr="006340F9" w:rsidRDefault="00563AFC" w:rsidP="00D23839">
            <w:pPr>
              <w:pStyle w:val="Body"/>
              <w:jc w:val="left"/>
              <w:rPr>
                <w:sz w:val="20"/>
                <w:szCs w:val="20"/>
              </w:rPr>
            </w:pPr>
            <w:r w:rsidRPr="006340F9">
              <w:rPr>
                <w:sz w:val="20"/>
                <w:szCs w:val="20"/>
              </w:rPr>
              <w:t xml:space="preserve">ART clinics participating in </w:t>
            </w:r>
            <w:proofErr w:type="spellStart"/>
            <w:r w:rsidRPr="006340F9">
              <w:rPr>
                <w:i/>
                <w:iCs/>
                <w:sz w:val="20"/>
                <w:szCs w:val="20"/>
              </w:rPr>
              <w:t>YourIVFSuccess</w:t>
            </w:r>
            <w:proofErr w:type="spellEnd"/>
            <w:r w:rsidRPr="006340F9">
              <w:rPr>
                <w:sz w:val="20"/>
                <w:szCs w:val="20"/>
              </w:rPr>
              <w:t xml:space="preserve"> reporting</w:t>
            </w:r>
          </w:p>
        </w:tc>
        <w:tc>
          <w:tcPr>
            <w:tcW w:w="1304" w:type="dxa"/>
            <w:vAlign w:val="center"/>
          </w:tcPr>
          <w:p w14:paraId="07A41E6A"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3 of 3</w:t>
            </w:r>
          </w:p>
        </w:tc>
        <w:tc>
          <w:tcPr>
            <w:tcW w:w="1304" w:type="dxa"/>
            <w:vAlign w:val="center"/>
          </w:tcPr>
          <w:p w14:paraId="3E2F747E"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33 of 34</w:t>
            </w:r>
          </w:p>
        </w:tc>
        <w:tc>
          <w:tcPr>
            <w:tcW w:w="1304" w:type="dxa"/>
            <w:vAlign w:val="center"/>
          </w:tcPr>
          <w:p w14:paraId="3D94D127"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1 of 1</w:t>
            </w:r>
          </w:p>
        </w:tc>
        <w:tc>
          <w:tcPr>
            <w:tcW w:w="1304" w:type="dxa"/>
            <w:vAlign w:val="center"/>
          </w:tcPr>
          <w:p w14:paraId="112894AC"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22 of 24</w:t>
            </w:r>
          </w:p>
        </w:tc>
        <w:tc>
          <w:tcPr>
            <w:tcW w:w="1304" w:type="dxa"/>
            <w:vAlign w:val="center"/>
          </w:tcPr>
          <w:p w14:paraId="5CDC333E"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4 of 4</w:t>
            </w:r>
          </w:p>
        </w:tc>
        <w:tc>
          <w:tcPr>
            <w:tcW w:w="1304" w:type="dxa"/>
            <w:vAlign w:val="center"/>
          </w:tcPr>
          <w:p w14:paraId="06A6CA89"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2 of 2</w:t>
            </w:r>
          </w:p>
        </w:tc>
        <w:tc>
          <w:tcPr>
            <w:tcW w:w="1984" w:type="dxa"/>
            <w:vAlign w:val="center"/>
          </w:tcPr>
          <w:p w14:paraId="47B4AAA8"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21 of 23</w:t>
            </w:r>
          </w:p>
        </w:tc>
        <w:tc>
          <w:tcPr>
            <w:tcW w:w="1077" w:type="dxa"/>
            <w:vAlign w:val="center"/>
          </w:tcPr>
          <w:p w14:paraId="7903D468" w14:textId="54980EFC"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 xml:space="preserve">8 of </w:t>
            </w:r>
            <w:r w:rsidR="00753E9D" w:rsidRPr="006340F9">
              <w:rPr>
                <w:sz w:val="20"/>
                <w:szCs w:val="20"/>
              </w:rPr>
              <w:t>8</w:t>
            </w:r>
          </w:p>
        </w:tc>
      </w:tr>
      <w:tr w:rsidR="009711EA" w:rsidRPr="006340F9" w14:paraId="08CCC77B" w14:textId="77777777" w:rsidTr="00D23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dxa"/>
            <w:vAlign w:val="center"/>
          </w:tcPr>
          <w:p w14:paraId="34D69A20" w14:textId="4BEEFBD3" w:rsidR="00563AFC" w:rsidRPr="006340F9" w:rsidRDefault="0035190D" w:rsidP="00D23839">
            <w:pPr>
              <w:pStyle w:val="Body"/>
              <w:jc w:val="left"/>
              <w:rPr>
                <w:sz w:val="20"/>
                <w:szCs w:val="20"/>
              </w:rPr>
            </w:pPr>
            <w:r w:rsidRPr="006340F9">
              <w:rPr>
                <w:sz w:val="20"/>
                <w:szCs w:val="20"/>
              </w:rPr>
              <w:t>Number of times conditions</w:t>
            </w:r>
            <w:r w:rsidR="00BA356F" w:rsidRPr="006340F9">
              <w:rPr>
                <w:sz w:val="20"/>
                <w:szCs w:val="20"/>
              </w:rPr>
              <w:t>,</w:t>
            </w:r>
            <w:r w:rsidRPr="006340F9">
              <w:rPr>
                <w:sz w:val="20"/>
                <w:szCs w:val="20"/>
              </w:rPr>
              <w:t xml:space="preserve"> </w:t>
            </w:r>
            <w:r w:rsidR="00794516" w:rsidRPr="006340F9">
              <w:rPr>
                <w:sz w:val="20"/>
                <w:szCs w:val="20"/>
              </w:rPr>
              <w:t xml:space="preserve">in response to </w:t>
            </w:r>
            <w:r w:rsidR="000F3C71" w:rsidRPr="006340F9">
              <w:rPr>
                <w:sz w:val="20"/>
                <w:szCs w:val="20"/>
              </w:rPr>
              <w:t>ART unit’s</w:t>
            </w:r>
            <w:r w:rsidRPr="006340F9">
              <w:rPr>
                <w:sz w:val="20"/>
                <w:szCs w:val="20"/>
              </w:rPr>
              <w:t xml:space="preserve"> quality, safety, or conduct</w:t>
            </w:r>
            <w:r w:rsidR="00BA356F" w:rsidRPr="006340F9">
              <w:rPr>
                <w:sz w:val="20"/>
                <w:szCs w:val="20"/>
              </w:rPr>
              <w:t>,</w:t>
            </w:r>
            <w:r w:rsidRPr="006340F9">
              <w:rPr>
                <w:sz w:val="20"/>
                <w:szCs w:val="20"/>
              </w:rPr>
              <w:t xml:space="preserve"> </w:t>
            </w:r>
            <w:r w:rsidR="004E6623" w:rsidRPr="006340F9">
              <w:rPr>
                <w:sz w:val="20"/>
                <w:szCs w:val="20"/>
              </w:rPr>
              <w:t xml:space="preserve">were applied in </w:t>
            </w:r>
            <w:r w:rsidRPr="006340F9">
              <w:rPr>
                <w:sz w:val="20"/>
                <w:szCs w:val="20"/>
              </w:rPr>
              <w:t xml:space="preserve">the last 10 </w:t>
            </w:r>
            <w:r w:rsidR="004E6623" w:rsidRPr="006340F9">
              <w:rPr>
                <w:sz w:val="20"/>
                <w:szCs w:val="20"/>
              </w:rPr>
              <w:t>years</w:t>
            </w:r>
          </w:p>
        </w:tc>
        <w:tc>
          <w:tcPr>
            <w:tcW w:w="1304" w:type="dxa"/>
            <w:vAlign w:val="center"/>
          </w:tcPr>
          <w:p w14:paraId="27E39F2F" w14:textId="77777777"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0</w:t>
            </w:r>
          </w:p>
        </w:tc>
        <w:tc>
          <w:tcPr>
            <w:tcW w:w="1304" w:type="dxa"/>
            <w:vAlign w:val="center"/>
          </w:tcPr>
          <w:p w14:paraId="625E9494" w14:textId="77777777"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N/A</w:t>
            </w:r>
          </w:p>
        </w:tc>
        <w:tc>
          <w:tcPr>
            <w:tcW w:w="1304" w:type="dxa"/>
            <w:vAlign w:val="center"/>
          </w:tcPr>
          <w:p w14:paraId="6176EF0B" w14:textId="77777777"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N/A</w:t>
            </w:r>
          </w:p>
        </w:tc>
        <w:tc>
          <w:tcPr>
            <w:tcW w:w="1304" w:type="dxa"/>
            <w:vAlign w:val="center"/>
          </w:tcPr>
          <w:p w14:paraId="2ABD6DD0" w14:textId="1807D441"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N/A</w:t>
            </w:r>
            <w:r w:rsidR="00293F1B" w:rsidRPr="006340F9">
              <w:rPr>
                <w:sz w:val="20"/>
                <w:szCs w:val="20"/>
              </w:rPr>
              <w:t>**</w:t>
            </w:r>
          </w:p>
        </w:tc>
        <w:tc>
          <w:tcPr>
            <w:tcW w:w="1304" w:type="dxa"/>
            <w:vAlign w:val="center"/>
          </w:tcPr>
          <w:p w14:paraId="402A7EDB" w14:textId="77777777"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0</w:t>
            </w:r>
          </w:p>
        </w:tc>
        <w:tc>
          <w:tcPr>
            <w:tcW w:w="1304" w:type="dxa"/>
            <w:vAlign w:val="center"/>
          </w:tcPr>
          <w:p w14:paraId="39517D89" w14:textId="77777777"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0</w:t>
            </w:r>
          </w:p>
        </w:tc>
        <w:tc>
          <w:tcPr>
            <w:tcW w:w="1984" w:type="dxa"/>
            <w:vAlign w:val="center"/>
          </w:tcPr>
          <w:p w14:paraId="0649D2C8" w14:textId="559CD416"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5</w:t>
            </w:r>
            <w:r w:rsidR="00837621" w:rsidRPr="006340F9">
              <w:rPr>
                <w:sz w:val="20"/>
                <w:szCs w:val="20"/>
                <w:vertAlign w:val="superscript"/>
              </w:rPr>
              <w:t>#</w:t>
            </w:r>
          </w:p>
        </w:tc>
        <w:tc>
          <w:tcPr>
            <w:tcW w:w="1077" w:type="dxa"/>
            <w:vAlign w:val="center"/>
          </w:tcPr>
          <w:p w14:paraId="5927E63F" w14:textId="77777777"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3</w:t>
            </w:r>
          </w:p>
        </w:tc>
      </w:tr>
      <w:tr w:rsidR="00566AFD" w:rsidRPr="006340F9" w14:paraId="4A1C045F" w14:textId="77777777" w:rsidTr="00D23839">
        <w:tc>
          <w:tcPr>
            <w:cnfStyle w:val="001000000000" w:firstRow="0" w:lastRow="0" w:firstColumn="1" w:lastColumn="0" w:oddVBand="0" w:evenVBand="0" w:oddHBand="0" w:evenHBand="0" w:firstRowFirstColumn="0" w:firstRowLastColumn="0" w:lastRowFirstColumn="0" w:lastRowLastColumn="0"/>
            <w:tcW w:w="3458" w:type="dxa"/>
            <w:vAlign w:val="center"/>
          </w:tcPr>
          <w:p w14:paraId="51FA36BF" w14:textId="77777777" w:rsidR="00563AFC" w:rsidRPr="006340F9" w:rsidRDefault="00563AFC" w:rsidP="00D23839">
            <w:pPr>
              <w:pStyle w:val="Body"/>
              <w:jc w:val="left"/>
              <w:rPr>
                <w:sz w:val="20"/>
                <w:szCs w:val="20"/>
              </w:rPr>
            </w:pPr>
            <w:r w:rsidRPr="006340F9">
              <w:rPr>
                <w:sz w:val="20"/>
                <w:szCs w:val="20"/>
              </w:rPr>
              <w:t>Power to undertake investigations</w:t>
            </w:r>
          </w:p>
        </w:tc>
        <w:tc>
          <w:tcPr>
            <w:tcW w:w="1304" w:type="dxa"/>
            <w:vAlign w:val="center"/>
          </w:tcPr>
          <w:p w14:paraId="07132F48"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Yes</w:t>
            </w:r>
          </w:p>
        </w:tc>
        <w:tc>
          <w:tcPr>
            <w:tcW w:w="1304" w:type="dxa"/>
            <w:vAlign w:val="center"/>
          </w:tcPr>
          <w:p w14:paraId="0609943B"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No</w:t>
            </w:r>
          </w:p>
        </w:tc>
        <w:tc>
          <w:tcPr>
            <w:tcW w:w="1304" w:type="dxa"/>
            <w:vAlign w:val="center"/>
          </w:tcPr>
          <w:p w14:paraId="38886251"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No</w:t>
            </w:r>
          </w:p>
        </w:tc>
        <w:tc>
          <w:tcPr>
            <w:tcW w:w="1304" w:type="dxa"/>
            <w:vAlign w:val="center"/>
          </w:tcPr>
          <w:p w14:paraId="633090D2"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Yes</w:t>
            </w:r>
          </w:p>
        </w:tc>
        <w:tc>
          <w:tcPr>
            <w:tcW w:w="1304" w:type="dxa"/>
            <w:vAlign w:val="center"/>
          </w:tcPr>
          <w:p w14:paraId="5930A87F" w14:textId="401977B2"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w:t>
            </w:r>
            <w:r w:rsidR="00C44123" w:rsidRPr="006340F9">
              <w:rPr>
                <w:sz w:val="20"/>
                <w:szCs w:val="20"/>
                <w:vertAlign w:val="superscript"/>
              </w:rPr>
              <w:t>##</w:t>
            </w:r>
          </w:p>
        </w:tc>
        <w:tc>
          <w:tcPr>
            <w:tcW w:w="1304" w:type="dxa"/>
            <w:vAlign w:val="center"/>
          </w:tcPr>
          <w:p w14:paraId="3ABCF2AB"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Yes</w:t>
            </w:r>
          </w:p>
        </w:tc>
        <w:tc>
          <w:tcPr>
            <w:tcW w:w="1984" w:type="dxa"/>
            <w:vAlign w:val="center"/>
          </w:tcPr>
          <w:p w14:paraId="7DB65E7D"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Yes</w:t>
            </w:r>
          </w:p>
        </w:tc>
        <w:tc>
          <w:tcPr>
            <w:tcW w:w="1077" w:type="dxa"/>
            <w:vAlign w:val="center"/>
          </w:tcPr>
          <w:p w14:paraId="5853CF7B"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Yes</w:t>
            </w:r>
          </w:p>
        </w:tc>
      </w:tr>
      <w:tr w:rsidR="009711EA" w:rsidRPr="006340F9" w14:paraId="684631EF" w14:textId="77777777" w:rsidTr="00D23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dxa"/>
            <w:vAlign w:val="center"/>
          </w:tcPr>
          <w:p w14:paraId="43D76079" w14:textId="77777777" w:rsidR="00563AFC" w:rsidRPr="006340F9" w:rsidRDefault="00563AFC" w:rsidP="00D23839">
            <w:pPr>
              <w:pStyle w:val="Body"/>
              <w:jc w:val="left"/>
              <w:rPr>
                <w:sz w:val="20"/>
                <w:szCs w:val="20"/>
              </w:rPr>
            </w:pPr>
            <w:r w:rsidRPr="006340F9">
              <w:rPr>
                <w:sz w:val="20"/>
                <w:szCs w:val="20"/>
              </w:rPr>
              <w:t>Jurisdictional adverse event reporting requirements</w:t>
            </w:r>
          </w:p>
        </w:tc>
        <w:tc>
          <w:tcPr>
            <w:tcW w:w="1304" w:type="dxa"/>
            <w:vAlign w:val="center"/>
          </w:tcPr>
          <w:p w14:paraId="389CE47D" w14:textId="2EF5CAB5"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No</w:t>
            </w:r>
            <w:r w:rsidR="00EE0E69" w:rsidRPr="006340F9">
              <w:rPr>
                <w:sz w:val="20"/>
                <w:szCs w:val="20"/>
                <w:vertAlign w:val="superscript"/>
              </w:rPr>
              <w:t>~</w:t>
            </w:r>
          </w:p>
        </w:tc>
        <w:tc>
          <w:tcPr>
            <w:tcW w:w="1304" w:type="dxa"/>
            <w:vAlign w:val="center"/>
          </w:tcPr>
          <w:p w14:paraId="75F663C7" w14:textId="77777777"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No</w:t>
            </w:r>
          </w:p>
        </w:tc>
        <w:tc>
          <w:tcPr>
            <w:tcW w:w="1304" w:type="dxa"/>
            <w:vAlign w:val="center"/>
          </w:tcPr>
          <w:p w14:paraId="085EB75E" w14:textId="77777777"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No</w:t>
            </w:r>
          </w:p>
        </w:tc>
        <w:tc>
          <w:tcPr>
            <w:tcW w:w="1304" w:type="dxa"/>
            <w:vAlign w:val="center"/>
          </w:tcPr>
          <w:p w14:paraId="34AD3E2E" w14:textId="5575BCCE" w:rsidR="00563AFC" w:rsidRPr="006340F9" w:rsidRDefault="00075AB2"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vertAlign w:val="superscript"/>
              </w:rPr>
            </w:pPr>
            <w:r w:rsidRPr="006340F9">
              <w:rPr>
                <w:sz w:val="24"/>
                <w:szCs w:val="24"/>
                <w:vertAlign w:val="subscript"/>
              </w:rPr>
              <w:t>~</w:t>
            </w:r>
            <w:r w:rsidR="00EE0E69" w:rsidRPr="006340F9">
              <w:rPr>
                <w:sz w:val="20"/>
                <w:szCs w:val="20"/>
                <w:vertAlign w:val="superscript"/>
              </w:rPr>
              <w:t>~~</w:t>
            </w:r>
          </w:p>
        </w:tc>
        <w:tc>
          <w:tcPr>
            <w:tcW w:w="1304" w:type="dxa"/>
            <w:vAlign w:val="center"/>
          </w:tcPr>
          <w:p w14:paraId="75374AEA" w14:textId="77777777"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Yes</w:t>
            </w:r>
          </w:p>
        </w:tc>
        <w:tc>
          <w:tcPr>
            <w:tcW w:w="1304" w:type="dxa"/>
            <w:vAlign w:val="center"/>
          </w:tcPr>
          <w:p w14:paraId="6541FBE6" w14:textId="52FD13FF" w:rsidR="00563AFC" w:rsidRPr="006340F9" w:rsidRDefault="00ED13C6"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w:t>
            </w:r>
            <w:r w:rsidR="00915210" w:rsidRPr="006340F9">
              <w:rPr>
                <w:sz w:val="20"/>
                <w:szCs w:val="20"/>
                <w:vertAlign w:val="superscript"/>
              </w:rPr>
              <w:t>^</w:t>
            </w:r>
          </w:p>
        </w:tc>
        <w:tc>
          <w:tcPr>
            <w:tcW w:w="1984" w:type="dxa"/>
            <w:vAlign w:val="center"/>
          </w:tcPr>
          <w:p w14:paraId="2F69A15D" w14:textId="77777777"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Yes</w:t>
            </w:r>
          </w:p>
        </w:tc>
        <w:tc>
          <w:tcPr>
            <w:tcW w:w="1077" w:type="dxa"/>
            <w:vAlign w:val="center"/>
          </w:tcPr>
          <w:p w14:paraId="02603B77" w14:textId="77777777" w:rsidR="00563AFC" w:rsidRPr="006340F9" w:rsidRDefault="00563AFC" w:rsidP="00D23839">
            <w:pPr>
              <w:pStyle w:val="Body"/>
              <w:jc w:val="left"/>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Yes</w:t>
            </w:r>
          </w:p>
        </w:tc>
      </w:tr>
      <w:tr w:rsidR="00566AFD" w:rsidRPr="006340F9" w14:paraId="39BFC053" w14:textId="77777777" w:rsidTr="00D23839">
        <w:tc>
          <w:tcPr>
            <w:cnfStyle w:val="001000000000" w:firstRow="0" w:lastRow="0" w:firstColumn="1" w:lastColumn="0" w:oddVBand="0" w:evenVBand="0" w:oddHBand="0" w:evenHBand="0" w:firstRowFirstColumn="0" w:firstRowLastColumn="0" w:lastRowFirstColumn="0" w:lastRowLastColumn="0"/>
            <w:tcW w:w="3458" w:type="dxa"/>
            <w:vAlign w:val="center"/>
          </w:tcPr>
          <w:p w14:paraId="69F47ECA" w14:textId="77777777" w:rsidR="00563AFC" w:rsidRPr="006340F9" w:rsidRDefault="00563AFC" w:rsidP="00D23839">
            <w:pPr>
              <w:pStyle w:val="Body"/>
              <w:jc w:val="left"/>
              <w:rPr>
                <w:sz w:val="20"/>
                <w:szCs w:val="20"/>
              </w:rPr>
            </w:pPr>
            <w:r w:rsidRPr="006340F9">
              <w:rPr>
                <w:sz w:val="20"/>
                <w:szCs w:val="20"/>
              </w:rPr>
              <w:t>Donor registry</w:t>
            </w:r>
          </w:p>
        </w:tc>
        <w:tc>
          <w:tcPr>
            <w:tcW w:w="1304" w:type="dxa"/>
            <w:vAlign w:val="center"/>
          </w:tcPr>
          <w:p w14:paraId="63B10584"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Yes</w:t>
            </w:r>
          </w:p>
        </w:tc>
        <w:tc>
          <w:tcPr>
            <w:tcW w:w="1304" w:type="dxa"/>
            <w:vAlign w:val="center"/>
          </w:tcPr>
          <w:p w14:paraId="192D75A4"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Yes</w:t>
            </w:r>
          </w:p>
        </w:tc>
        <w:tc>
          <w:tcPr>
            <w:tcW w:w="1304" w:type="dxa"/>
            <w:vAlign w:val="center"/>
          </w:tcPr>
          <w:p w14:paraId="0006E282"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No</w:t>
            </w:r>
          </w:p>
        </w:tc>
        <w:tc>
          <w:tcPr>
            <w:tcW w:w="1304" w:type="dxa"/>
            <w:vAlign w:val="center"/>
          </w:tcPr>
          <w:p w14:paraId="232C451C" w14:textId="65E7626A"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Yes</w:t>
            </w:r>
            <w:r w:rsidR="0076393E" w:rsidRPr="006340F9">
              <w:rPr>
                <w:sz w:val="20"/>
                <w:szCs w:val="20"/>
                <w:vertAlign w:val="superscript"/>
              </w:rPr>
              <w:t>~</w:t>
            </w:r>
          </w:p>
        </w:tc>
        <w:tc>
          <w:tcPr>
            <w:tcW w:w="1304" w:type="dxa"/>
            <w:vAlign w:val="center"/>
          </w:tcPr>
          <w:p w14:paraId="7463F945"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Yes</w:t>
            </w:r>
          </w:p>
        </w:tc>
        <w:tc>
          <w:tcPr>
            <w:tcW w:w="1304" w:type="dxa"/>
            <w:vAlign w:val="center"/>
          </w:tcPr>
          <w:p w14:paraId="3A5EB916"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No</w:t>
            </w:r>
          </w:p>
        </w:tc>
        <w:tc>
          <w:tcPr>
            <w:tcW w:w="1984" w:type="dxa"/>
            <w:vAlign w:val="center"/>
          </w:tcPr>
          <w:p w14:paraId="5EEF65EB"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Yes</w:t>
            </w:r>
          </w:p>
        </w:tc>
        <w:tc>
          <w:tcPr>
            <w:tcW w:w="1077" w:type="dxa"/>
            <w:vAlign w:val="center"/>
          </w:tcPr>
          <w:p w14:paraId="2125DBEA" w14:textId="77777777" w:rsidR="00563AFC" w:rsidRPr="006340F9" w:rsidRDefault="00563AFC" w:rsidP="00D23839">
            <w:pPr>
              <w:pStyle w:val="Body"/>
              <w:jc w:val="left"/>
              <w:cnfStyle w:val="000000000000" w:firstRow="0" w:lastRow="0" w:firstColumn="0" w:lastColumn="0" w:oddVBand="0" w:evenVBand="0" w:oddHBand="0" w:evenHBand="0" w:firstRowFirstColumn="0" w:firstRowLastColumn="0" w:lastRowFirstColumn="0" w:lastRowLastColumn="0"/>
              <w:rPr>
                <w:sz w:val="20"/>
                <w:szCs w:val="20"/>
              </w:rPr>
            </w:pPr>
            <w:r w:rsidRPr="006340F9">
              <w:rPr>
                <w:sz w:val="20"/>
                <w:szCs w:val="20"/>
              </w:rPr>
              <w:t>Yes</w:t>
            </w:r>
          </w:p>
        </w:tc>
      </w:tr>
      <w:tr w:rsidR="009711EA" w:rsidRPr="006340F9" w14:paraId="151B7F13" w14:textId="77777777" w:rsidTr="00566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dxa"/>
          </w:tcPr>
          <w:p w14:paraId="717DC7C4" w14:textId="77777777" w:rsidR="00563AFC" w:rsidRPr="006340F9" w:rsidRDefault="00563AFC" w:rsidP="001C440C">
            <w:pPr>
              <w:pStyle w:val="Body"/>
              <w:rPr>
                <w:sz w:val="20"/>
                <w:szCs w:val="20"/>
              </w:rPr>
            </w:pPr>
            <w:r w:rsidRPr="006340F9">
              <w:rPr>
                <w:sz w:val="20"/>
                <w:szCs w:val="20"/>
              </w:rPr>
              <w:lastRenderedPageBreak/>
              <w:t>Donor limits</w:t>
            </w:r>
          </w:p>
        </w:tc>
        <w:tc>
          <w:tcPr>
            <w:tcW w:w="1304" w:type="dxa"/>
            <w:vAlign w:val="center"/>
          </w:tcPr>
          <w:p w14:paraId="0165AC35" w14:textId="5DFD785E" w:rsidR="00563AFC" w:rsidRPr="006340F9" w:rsidRDefault="00DB28A8" w:rsidP="001C440C">
            <w:pPr>
              <w:pStyle w:val="Body"/>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 xml:space="preserve">5 families in the ACT </w:t>
            </w:r>
            <w:r w:rsidR="00FB75C7" w:rsidRPr="006340F9">
              <w:rPr>
                <w:sz w:val="20"/>
                <w:szCs w:val="20"/>
              </w:rPr>
              <w:t>or</w:t>
            </w:r>
            <w:r w:rsidRPr="006340F9">
              <w:rPr>
                <w:sz w:val="20"/>
                <w:szCs w:val="20"/>
              </w:rPr>
              <w:t xml:space="preserve"> </w:t>
            </w:r>
            <w:r w:rsidR="00563AFC" w:rsidRPr="006340F9">
              <w:rPr>
                <w:sz w:val="20"/>
                <w:szCs w:val="20"/>
              </w:rPr>
              <w:t>10 families</w:t>
            </w:r>
            <w:r w:rsidR="00FB75C7" w:rsidRPr="006340F9">
              <w:rPr>
                <w:sz w:val="20"/>
                <w:szCs w:val="20"/>
              </w:rPr>
              <w:t xml:space="preserve"> Australia-wide.</w:t>
            </w:r>
          </w:p>
        </w:tc>
        <w:tc>
          <w:tcPr>
            <w:tcW w:w="1304" w:type="dxa"/>
            <w:vAlign w:val="center"/>
          </w:tcPr>
          <w:p w14:paraId="348C266D" w14:textId="77777777" w:rsidR="00563AFC" w:rsidRPr="006340F9" w:rsidRDefault="00563AFC" w:rsidP="001C440C">
            <w:pPr>
              <w:pStyle w:val="Body"/>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5 women</w:t>
            </w:r>
          </w:p>
        </w:tc>
        <w:tc>
          <w:tcPr>
            <w:tcW w:w="1304" w:type="dxa"/>
            <w:vAlign w:val="center"/>
          </w:tcPr>
          <w:p w14:paraId="7FAAEDC6" w14:textId="77777777" w:rsidR="00563AFC" w:rsidRPr="006340F9" w:rsidRDefault="00563AFC" w:rsidP="001C440C">
            <w:pPr>
              <w:pStyle w:val="Body"/>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No limit</w:t>
            </w:r>
          </w:p>
        </w:tc>
        <w:tc>
          <w:tcPr>
            <w:tcW w:w="1304" w:type="dxa"/>
            <w:vAlign w:val="center"/>
          </w:tcPr>
          <w:p w14:paraId="5B70C9E3" w14:textId="6329D5CF" w:rsidR="00563AFC" w:rsidRPr="006340F9" w:rsidRDefault="00563AFC" w:rsidP="001C440C">
            <w:pPr>
              <w:pStyle w:val="Body"/>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6340F9">
              <w:rPr>
                <w:sz w:val="20"/>
                <w:szCs w:val="20"/>
              </w:rPr>
              <w:t>10 families</w:t>
            </w:r>
            <w:r w:rsidR="00915210" w:rsidRPr="006340F9">
              <w:rPr>
                <w:sz w:val="20"/>
                <w:szCs w:val="20"/>
                <w:vertAlign w:val="superscript"/>
              </w:rPr>
              <w:t>^^</w:t>
            </w:r>
          </w:p>
        </w:tc>
        <w:tc>
          <w:tcPr>
            <w:tcW w:w="1304" w:type="dxa"/>
            <w:vAlign w:val="center"/>
          </w:tcPr>
          <w:p w14:paraId="10FE02ED" w14:textId="77777777" w:rsidR="00563AFC" w:rsidRPr="006340F9" w:rsidRDefault="00563AFC" w:rsidP="001C440C">
            <w:pPr>
              <w:pStyle w:val="Body"/>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10 families</w:t>
            </w:r>
          </w:p>
        </w:tc>
        <w:tc>
          <w:tcPr>
            <w:tcW w:w="1304" w:type="dxa"/>
            <w:vAlign w:val="center"/>
          </w:tcPr>
          <w:p w14:paraId="7BC3026E" w14:textId="77777777" w:rsidR="00563AFC" w:rsidRPr="006340F9" w:rsidRDefault="00563AFC" w:rsidP="001C440C">
            <w:pPr>
              <w:pStyle w:val="Body"/>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6340F9">
              <w:rPr>
                <w:sz w:val="20"/>
                <w:szCs w:val="20"/>
              </w:rPr>
              <w:t>No limit</w:t>
            </w:r>
          </w:p>
        </w:tc>
        <w:tc>
          <w:tcPr>
            <w:tcW w:w="1984" w:type="dxa"/>
            <w:vAlign w:val="center"/>
          </w:tcPr>
          <w:p w14:paraId="034128FB" w14:textId="1867B3D9" w:rsidR="00563AFC" w:rsidRPr="006340F9" w:rsidRDefault="0091026D" w:rsidP="001C440C">
            <w:pPr>
              <w:pStyle w:val="Body"/>
              <w:cnfStyle w:val="000000100000" w:firstRow="0" w:lastRow="0" w:firstColumn="0" w:lastColumn="0" w:oddVBand="0" w:evenVBand="0" w:oddHBand="1" w:evenHBand="0" w:firstRowFirstColumn="0" w:firstRowLastColumn="0" w:lastRowFirstColumn="0" w:lastRowLastColumn="0"/>
              <w:rPr>
                <w:sz w:val="20"/>
                <w:szCs w:val="20"/>
              </w:rPr>
            </w:pPr>
            <w:r w:rsidRPr="0091026D">
              <w:rPr>
                <w:sz w:val="20"/>
                <w:szCs w:val="20"/>
              </w:rPr>
              <w:t>10 women</w:t>
            </w:r>
          </w:p>
        </w:tc>
        <w:tc>
          <w:tcPr>
            <w:tcW w:w="1077" w:type="dxa"/>
            <w:vAlign w:val="center"/>
          </w:tcPr>
          <w:p w14:paraId="75CDD1C3" w14:textId="77777777" w:rsidR="00563AFC" w:rsidRPr="006340F9" w:rsidRDefault="00563AFC" w:rsidP="001C440C">
            <w:pPr>
              <w:pStyle w:val="Body"/>
              <w:cnfStyle w:val="000000100000" w:firstRow="0" w:lastRow="0" w:firstColumn="0" w:lastColumn="0" w:oddVBand="0" w:evenVBand="0" w:oddHBand="1" w:evenHBand="0" w:firstRowFirstColumn="0" w:firstRowLastColumn="0" w:lastRowFirstColumn="0" w:lastRowLastColumn="0"/>
              <w:rPr>
                <w:sz w:val="20"/>
                <w:szCs w:val="20"/>
              </w:rPr>
            </w:pPr>
            <w:r w:rsidRPr="006340F9">
              <w:rPr>
                <w:sz w:val="20"/>
                <w:szCs w:val="20"/>
              </w:rPr>
              <w:t>5 families</w:t>
            </w:r>
          </w:p>
        </w:tc>
      </w:tr>
    </w:tbl>
    <w:p w14:paraId="764245A0" w14:textId="0CBA1F6D" w:rsidR="005702C0" w:rsidRPr="006340F9" w:rsidRDefault="00293F1B" w:rsidP="0031013D">
      <w:pPr>
        <w:pStyle w:val="Figurenote"/>
        <w:keepNext/>
      </w:pPr>
      <w:r w:rsidRPr="006340F9">
        <w:rPr>
          <w:vertAlign w:val="superscript"/>
        </w:rPr>
        <w:t>*</w:t>
      </w:r>
      <w:r w:rsidR="005702C0" w:rsidRPr="006340F9">
        <w:t xml:space="preserve"> </w:t>
      </w:r>
      <w:r w:rsidR="009145B6" w:rsidRPr="006340F9">
        <w:t xml:space="preserve">There is a sole ART/IVF provider in </w:t>
      </w:r>
      <w:r w:rsidR="00CE634C" w:rsidRPr="006340F9">
        <w:t>Northern Territory</w:t>
      </w:r>
      <w:r w:rsidR="009145B6" w:rsidRPr="006340F9">
        <w:t xml:space="preserve">: </w:t>
      </w:r>
      <w:proofErr w:type="spellStart"/>
      <w:r w:rsidR="009145B6" w:rsidRPr="006340F9">
        <w:t>Repromed</w:t>
      </w:r>
      <w:proofErr w:type="spellEnd"/>
      <w:r w:rsidR="009145B6" w:rsidRPr="006340F9">
        <w:t xml:space="preserve"> Darwin. While </w:t>
      </w:r>
      <w:proofErr w:type="spellStart"/>
      <w:r w:rsidR="009145B6" w:rsidRPr="006340F9">
        <w:t>Repromed</w:t>
      </w:r>
      <w:proofErr w:type="spellEnd"/>
      <w:r w:rsidR="009145B6" w:rsidRPr="006340F9">
        <w:t xml:space="preserve"> Darwin is a separate entity to </w:t>
      </w:r>
      <w:proofErr w:type="spellStart"/>
      <w:r w:rsidR="009145B6" w:rsidRPr="006340F9">
        <w:t>Repromed</w:t>
      </w:r>
      <w:proofErr w:type="spellEnd"/>
      <w:r w:rsidR="009145B6" w:rsidRPr="006340F9">
        <w:t xml:space="preserve"> SA and has unique RTAC licences, both clinics operate under a similar operational model and use the same policies and procedures where possible. </w:t>
      </w:r>
      <w:proofErr w:type="spellStart"/>
      <w:r w:rsidR="009145B6" w:rsidRPr="006340F9">
        <w:t>Repromed</w:t>
      </w:r>
      <w:proofErr w:type="spellEnd"/>
      <w:r w:rsidR="009145B6" w:rsidRPr="006340F9">
        <w:t xml:space="preserve"> Darwin is however not regulated under </w:t>
      </w:r>
      <w:r w:rsidR="00E2254F" w:rsidRPr="006340F9">
        <w:t>South Australia</w:t>
      </w:r>
      <w:r w:rsidR="009145B6" w:rsidRPr="006340F9">
        <w:t xml:space="preserve"> or any other ART legislation.</w:t>
      </w:r>
    </w:p>
    <w:p w14:paraId="764E1DFE" w14:textId="1A0CEAB1" w:rsidR="00C44123" w:rsidRPr="006340F9" w:rsidRDefault="00C44123" w:rsidP="00C44123">
      <w:pPr>
        <w:pStyle w:val="Figurenote"/>
        <w:keepNext/>
      </w:pPr>
      <w:r w:rsidRPr="006340F9">
        <w:rPr>
          <w:vertAlign w:val="superscript"/>
        </w:rPr>
        <w:t>**</w:t>
      </w:r>
      <w:r w:rsidRPr="006340F9">
        <w:t xml:space="preserve"> Relevant powers under new Queensland legislation will not come into effect until March 2026.</w:t>
      </w:r>
    </w:p>
    <w:p w14:paraId="49BA8C5D" w14:textId="7144DA7C" w:rsidR="000A56E6" w:rsidRPr="006340F9" w:rsidRDefault="00837621" w:rsidP="0031013D">
      <w:pPr>
        <w:pStyle w:val="Figurenote"/>
        <w:keepNext/>
        <w:rPr>
          <w:rFonts w:cs="Arial"/>
          <w:highlight w:val="yellow"/>
        </w:rPr>
      </w:pPr>
      <w:r w:rsidRPr="006340F9">
        <w:rPr>
          <w:vertAlign w:val="superscript"/>
        </w:rPr>
        <w:t>#</w:t>
      </w:r>
      <w:r w:rsidR="00BE4F6E" w:rsidRPr="006340F9">
        <w:rPr>
          <w:vertAlign w:val="superscript"/>
        </w:rPr>
        <w:t xml:space="preserve"> </w:t>
      </w:r>
      <w:r w:rsidR="00E615C1" w:rsidRPr="006340F9">
        <w:t>The number of conditions applied in Victoria may not represent all conditions applied due to changes in reporting.</w:t>
      </w:r>
    </w:p>
    <w:p w14:paraId="63AF0D02" w14:textId="7A4A52DA" w:rsidR="00B44228" w:rsidRPr="006340F9" w:rsidRDefault="00EE0E69" w:rsidP="00B44228">
      <w:pPr>
        <w:pStyle w:val="Figurenote"/>
        <w:keepNext/>
      </w:pPr>
      <w:r w:rsidRPr="006340F9">
        <w:rPr>
          <w:vertAlign w:val="superscript"/>
        </w:rPr>
        <w:t>##</w:t>
      </w:r>
      <w:r w:rsidR="00B44228" w:rsidRPr="006340F9">
        <w:t xml:space="preserve"> </w:t>
      </w:r>
      <w:r w:rsidR="002079C1" w:rsidRPr="006340F9">
        <w:t>South Australia does not have express powers of investigation under the</w:t>
      </w:r>
      <w:r w:rsidR="002079C1" w:rsidRPr="006340F9">
        <w:rPr>
          <w:i/>
          <w:iCs w:val="0"/>
        </w:rPr>
        <w:t xml:space="preserve"> Assisted Reproductive Treatment Act 1988 </w:t>
      </w:r>
      <w:r w:rsidR="002079C1" w:rsidRPr="006340F9">
        <w:t>(SA) and are limited to undertake investigations into a registered clinic using powers of an Authorised Person or relying on conditions of their registration which state they must provide specified information as requested to the Minister.</w:t>
      </w:r>
      <w:r w:rsidR="002079C1" w:rsidRPr="006340F9">
        <w:rPr>
          <w:i/>
          <w:iCs w:val="0"/>
        </w:rPr>
        <w:t xml:space="preserve">  </w:t>
      </w:r>
      <w:r w:rsidRPr="006340F9">
        <w:rPr>
          <w:vertAlign w:val="superscript"/>
        </w:rPr>
        <w:t>~</w:t>
      </w:r>
      <w:r w:rsidR="00BE4F6E" w:rsidRPr="006340F9">
        <w:rPr>
          <w:vertAlign w:val="superscript"/>
        </w:rPr>
        <w:t xml:space="preserve"> </w:t>
      </w:r>
      <w:r w:rsidR="00B44228" w:rsidRPr="006340F9">
        <w:t xml:space="preserve">The Australian Capital Territory is yet to complete regulations to support the </w:t>
      </w:r>
      <w:r w:rsidR="00B44228" w:rsidRPr="006340F9">
        <w:rPr>
          <w:i/>
        </w:rPr>
        <w:t>Assisted Reproductive Technology Act 2024</w:t>
      </w:r>
      <w:r w:rsidR="00B44228" w:rsidRPr="006340F9">
        <w:rPr>
          <w:iCs w:val="0"/>
        </w:rPr>
        <w:t xml:space="preserve"> (ACT)</w:t>
      </w:r>
      <w:r w:rsidR="00B44228" w:rsidRPr="006340F9">
        <w:t xml:space="preserve">, which may include prescribing other events that must be reported to the Australian Capital Territory Health and Community Services Directorate. </w:t>
      </w:r>
    </w:p>
    <w:p w14:paraId="4D92E6E8" w14:textId="343D6E3A" w:rsidR="00B44228" w:rsidRPr="006340F9" w:rsidRDefault="00915210" w:rsidP="00B44228">
      <w:pPr>
        <w:pStyle w:val="Figurenote"/>
        <w:keepNext/>
      </w:pPr>
      <w:r w:rsidRPr="006340F9">
        <w:rPr>
          <w:vertAlign w:val="superscript"/>
        </w:rPr>
        <w:t>~~</w:t>
      </w:r>
      <w:r w:rsidR="00075AB2" w:rsidRPr="006340F9">
        <w:rPr>
          <w:vertAlign w:val="superscript"/>
        </w:rPr>
        <w:t xml:space="preserve"> </w:t>
      </w:r>
      <w:r w:rsidR="00B44228" w:rsidRPr="006340F9">
        <w:t>Queensland will require mandatory adverse event reporting from 1 March 2026.</w:t>
      </w:r>
    </w:p>
    <w:p w14:paraId="17B142AD" w14:textId="23CFEFE2" w:rsidR="00B44228" w:rsidRPr="006340F9" w:rsidRDefault="00BE4F6E" w:rsidP="00B44228">
      <w:pPr>
        <w:pStyle w:val="Figurenote"/>
        <w:keepNext/>
      </w:pPr>
      <w:r w:rsidRPr="006340F9">
        <w:rPr>
          <w:sz w:val="20"/>
          <w:szCs w:val="20"/>
          <w:vertAlign w:val="superscript"/>
        </w:rPr>
        <w:t>^</w:t>
      </w:r>
      <w:r w:rsidR="00075AB2" w:rsidRPr="006340F9">
        <w:rPr>
          <w:sz w:val="20"/>
          <w:szCs w:val="20"/>
          <w:vertAlign w:val="superscript"/>
        </w:rPr>
        <w:t xml:space="preserve"> </w:t>
      </w:r>
      <w:r w:rsidR="00B44228" w:rsidRPr="006340F9">
        <w:t>Tasmania requires reporting of injuries, transfers, deaths and other sentinel events, but does not impose an ART-specific adverse event definition.</w:t>
      </w:r>
    </w:p>
    <w:p w14:paraId="562E485E" w14:textId="3478A66F" w:rsidR="00442F48" w:rsidRPr="006340F9" w:rsidRDefault="00915210" w:rsidP="008C4020">
      <w:pPr>
        <w:pStyle w:val="Figurenote"/>
        <w:keepNext/>
        <w:rPr>
          <w:vertAlign w:val="superscript"/>
        </w:rPr>
      </w:pPr>
      <w:r w:rsidRPr="006340F9">
        <w:rPr>
          <w:sz w:val="20"/>
          <w:szCs w:val="20"/>
          <w:vertAlign w:val="superscript"/>
        </w:rPr>
        <w:t>^^</w:t>
      </w:r>
      <w:r w:rsidR="0076393E" w:rsidRPr="006340F9">
        <w:rPr>
          <w:vertAlign w:val="superscript"/>
        </w:rPr>
        <w:t xml:space="preserve"> </w:t>
      </w:r>
      <w:r w:rsidR="000F76CA" w:rsidRPr="006340F9">
        <w:t>The Queensland donor limit will come into effect from mid- to late-2026.</w:t>
      </w:r>
    </w:p>
    <w:p w14:paraId="5DB6EA8E" w14:textId="4E458B1D" w:rsidR="008C4020" w:rsidRPr="006340F9" w:rsidRDefault="008C4020" w:rsidP="00B44228">
      <w:pPr>
        <w:pStyle w:val="Figurenote"/>
        <w:keepNext/>
      </w:pPr>
    </w:p>
    <w:p w14:paraId="14FD8915" w14:textId="77777777" w:rsidR="00B44228" w:rsidRPr="006340F9" w:rsidRDefault="00B44228" w:rsidP="00C277E2">
      <w:pPr>
        <w:pStyle w:val="Body"/>
      </w:pPr>
    </w:p>
    <w:p w14:paraId="6FEA7265" w14:textId="77777777" w:rsidR="00563AFC" w:rsidRPr="006340F9" w:rsidRDefault="00563AFC" w:rsidP="00C277E2">
      <w:pPr>
        <w:pStyle w:val="Body"/>
      </w:pPr>
    </w:p>
    <w:p w14:paraId="3E152767" w14:textId="77777777" w:rsidR="00563AFC" w:rsidRPr="006340F9" w:rsidRDefault="00563AFC" w:rsidP="00C277E2">
      <w:pPr>
        <w:pStyle w:val="Body"/>
      </w:pPr>
    </w:p>
    <w:p w14:paraId="71016C84" w14:textId="77777777" w:rsidR="000A56E6" w:rsidRPr="006340F9" w:rsidRDefault="000A56E6" w:rsidP="0031013D">
      <w:pPr>
        <w:pStyle w:val="Body"/>
        <w:sectPr w:rsidR="000A56E6" w:rsidRPr="006340F9" w:rsidSect="0039309F">
          <w:pgSz w:w="16838" w:h="11906" w:orient="landscape" w:code="9"/>
          <w:pgMar w:top="1304" w:right="1418" w:bottom="1304" w:left="1134" w:header="680" w:footer="851" w:gutter="0"/>
          <w:cols w:space="340"/>
          <w:docGrid w:linePitch="360"/>
        </w:sectPr>
      </w:pPr>
    </w:p>
    <w:p w14:paraId="143FFB1F" w14:textId="7405BAFF" w:rsidR="00027849" w:rsidRPr="006340F9" w:rsidRDefault="00027849" w:rsidP="007C2C61">
      <w:pPr>
        <w:pStyle w:val="Heading1"/>
        <w:numPr>
          <w:ilvl w:val="0"/>
          <w:numId w:val="0"/>
        </w:numPr>
        <w:ind w:left="432" w:hanging="432"/>
        <w:rPr>
          <w:bCs w:val="0"/>
        </w:rPr>
      </w:pPr>
      <w:bookmarkStart w:id="172" w:name="_Toc209442008"/>
      <w:r w:rsidRPr="006340F9">
        <w:rPr>
          <w:bCs w:val="0"/>
        </w:rPr>
        <w:lastRenderedPageBreak/>
        <w:t>Glossary</w:t>
      </w:r>
      <w:bookmarkEnd w:id="172"/>
    </w:p>
    <w:tbl>
      <w:tblPr>
        <w:tblStyle w:val="GridTable4-Accent1"/>
        <w:tblW w:w="0" w:type="auto"/>
        <w:tblLook w:val="04A0" w:firstRow="1" w:lastRow="0" w:firstColumn="1" w:lastColumn="0" w:noHBand="0" w:noVBand="1"/>
      </w:tblPr>
      <w:tblGrid>
        <w:gridCol w:w="2832"/>
        <w:gridCol w:w="6456"/>
      </w:tblGrid>
      <w:tr w:rsidR="00772B36" w:rsidRPr="006340F9" w14:paraId="1F4979A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75917DEB" w14:textId="77777777" w:rsidR="00027849" w:rsidRPr="006340F9" w:rsidRDefault="00027849" w:rsidP="00027849">
            <w:pPr>
              <w:spacing w:before="80" w:after="60" w:line="240" w:lineRule="auto"/>
              <w:rPr>
                <w:sz w:val="22"/>
                <w:szCs w:val="22"/>
              </w:rPr>
            </w:pPr>
            <w:r w:rsidRPr="006340F9">
              <w:rPr>
                <w:sz w:val="22"/>
                <w:szCs w:val="22"/>
              </w:rPr>
              <w:t>Term</w:t>
            </w:r>
          </w:p>
        </w:tc>
        <w:tc>
          <w:tcPr>
            <w:tcW w:w="6456" w:type="dxa"/>
          </w:tcPr>
          <w:p w14:paraId="6998A045" w14:textId="77777777" w:rsidR="00027849" w:rsidRPr="006340F9" w:rsidRDefault="00027849" w:rsidP="00027849">
            <w:pPr>
              <w:spacing w:before="80" w:after="60"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6340F9">
              <w:rPr>
                <w:sz w:val="22"/>
                <w:szCs w:val="22"/>
              </w:rPr>
              <w:t>Definition</w:t>
            </w:r>
          </w:p>
        </w:tc>
      </w:tr>
      <w:tr w:rsidR="00772B36" w:rsidRPr="006340F9" w14:paraId="4B337E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60CD5F99" w14:textId="77777777" w:rsidR="00027849" w:rsidRPr="006340F9" w:rsidRDefault="00027849" w:rsidP="00027849">
            <w:pPr>
              <w:spacing w:before="80" w:after="60" w:line="240" w:lineRule="auto"/>
              <w:rPr>
                <w:sz w:val="20"/>
                <w:szCs w:val="18"/>
              </w:rPr>
            </w:pPr>
            <w:r w:rsidRPr="006340F9">
              <w:rPr>
                <w:sz w:val="20"/>
                <w:szCs w:val="18"/>
              </w:rPr>
              <w:t>Adjuvant (or ‘add on’) treatments</w:t>
            </w:r>
          </w:p>
        </w:tc>
        <w:tc>
          <w:tcPr>
            <w:tcW w:w="6456" w:type="dxa"/>
          </w:tcPr>
          <w:p w14:paraId="41D95F8D" w14:textId="09AC87FB"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 xml:space="preserve">Procedures or medications </w:t>
            </w:r>
            <w:r w:rsidR="00CF2596" w:rsidRPr="006340F9">
              <w:rPr>
                <w:sz w:val="20"/>
                <w:szCs w:val="18"/>
              </w:rPr>
              <w:t xml:space="preserve">that </w:t>
            </w:r>
            <w:r w:rsidRPr="006340F9">
              <w:rPr>
                <w:sz w:val="20"/>
                <w:szCs w:val="18"/>
              </w:rPr>
              <w:t xml:space="preserve">are added to ART treatment to try to improve </w:t>
            </w:r>
            <w:r w:rsidR="00CF2596" w:rsidRPr="006340F9">
              <w:rPr>
                <w:sz w:val="20"/>
                <w:szCs w:val="18"/>
              </w:rPr>
              <w:t xml:space="preserve">a </w:t>
            </w:r>
            <w:r w:rsidRPr="006340F9">
              <w:rPr>
                <w:sz w:val="20"/>
                <w:szCs w:val="18"/>
              </w:rPr>
              <w:t xml:space="preserve">patient’s chance of success to conceive. </w:t>
            </w:r>
          </w:p>
        </w:tc>
      </w:tr>
      <w:tr w:rsidR="00027849" w:rsidRPr="006340F9" w14:paraId="4058C2ED" w14:textId="77777777">
        <w:tc>
          <w:tcPr>
            <w:cnfStyle w:val="001000000000" w:firstRow="0" w:lastRow="0" w:firstColumn="1" w:lastColumn="0" w:oddVBand="0" w:evenVBand="0" w:oddHBand="0" w:evenHBand="0" w:firstRowFirstColumn="0" w:firstRowLastColumn="0" w:lastRowFirstColumn="0" w:lastRowLastColumn="0"/>
            <w:tcW w:w="2832" w:type="dxa"/>
          </w:tcPr>
          <w:p w14:paraId="11865CD7" w14:textId="77777777" w:rsidR="00027849" w:rsidRPr="006340F9" w:rsidRDefault="00027849" w:rsidP="00027849">
            <w:pPr>
              <w:spacing w:before="80" w:after="60" w:line="240" w:lineRule="auto"/>
              <w:rPr>
                <w:sz w:val="20"/>
                <w:szCs w:val="18"/>
              </w:rPr>
            </w:pPr>
            <w:r w:rsidRPr="006340F9">
              <w:rPr>
                <w:sz w:val="20"/>
                <w:szCs w:val="18"/>
              </w:rPr>
              <w:t>Assisted reproductive treatment (ART)</w:t>
            </w:r>
          </w:p>
        </w:tc>
        <w:tc>
          <w:tcPr>
            <w:tcW w:w="6456" w:type="dxa"/>
          </w:tcPr>
          <w:p w14:paraId="6AA468E3" w14:textId="77777777"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 xml:space="preserve">A range of treatment or procedures that aim to achieve pregnancy. </w:t>
            </w:r>
          </w:p>
        </w:tc>
      </w:tr>
      <w:tr w:rsidR="00772B36" w:rsidRPr="006340F9" w14:paraId="7FFF18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283ADE9B" w14:textId="77777777" w:rsidR="00027849" w:rsidRPr="006340F9" w:rsidRDefault="00027849" w:rsidP="00027849">
            <w:pPr>
              <w:spacing w:before="80" w:after="60" w:line="240" w:lineRule="auto"/>
              <w:rPr>
                <w:sz w:val="20"/>
                <w:szCs w:val="18"/>
              </w:rPr>
            </w:pPr>
            <w:r w:rsidRPr="006340F9">
              <w:rPr>
                <w:sz w:val="20"/>
                <w:szCs w:val="18"/>
              </w:rPr>
              <w:t xml:space="preserve">ART provider </w:t>
            </w:r>
          </w:p>
        </w:tc>
        <w:tc>
          <w:tcPr>
            <w:tcW w:w="6456" w:type="dxa"/>
          </w:tcPr>
          <w:p w14:paraId="757AB859" w14:textId="77777777"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 xml:space="preserve">A person or organisation that is registered under their jurisdiction’s ART legislation to provide ART services. ART providers may operate multiple ART units/clinics across different locations. </w:t>
            </w:r>
          </w:p>
        </w:tc>
      </w:tr>
      <w:tr w:rsidR="00027849" w:rsidRPr="006340F9" w14:paraId="0FA71498" w14:textId="77777777">
        <w:tc>
          <w:tcPr>
            <w:cnfStyle w:val="001000000000" w:firstRow="0" w:lastRow="0" w:firstColumn="1" w:lastColumn="0" w:oddVBand="0" w:evenVBand="0" w:oddHBand="0" w:evenHBand="0" w:firstRowFirstColumn="0" w:firstRowLastColumn="0" w:lastRowFirstColumn="0" w:lastRowLastColumn="0"/>
            <w:tcW w:w="2832" w:type="dxa"/>
          </w:tcPr>
          <w:p w14:paraId="785ED57B" w14:textId="7A6CF12A" w:rsidR="00027849" w:rsidRPr="006340F9" w:rsidRDefault="00027849" w:rsidP="00027849">
            <w:pPr>
              <w:spacing w:before="80" w:after="60" w:line="240" w:lineRule="auto"/>
              <w:rPr>
                <w:sz w:val="20"/>
                <w:szCs w:val="18"/>
              </w:rPr>
            </w:pPr>
            <w:r w:rsidRPr="006340F9">
              <w:rPr>
                <w:sz w:val="20"/>
                <w:szCs w:val="18"/>
              </w:rPr>
              <w:t>ART units/clinics</w:t>
            </w:r>
          </w:p>
        </w:tc>
        <w:tc>
          <w:tcPr>
            <w:tcW w:w="6456" w:type="dxa"/>
          </w:tcPr>
          <w:p w14:paraId="6930C94A" w14:textId="3FD47384"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These terms are used interchangeably to refer to the regulated entity that is authorised to deliver ART services. ART units</w:t>
            </w:r>
            <w:r w:rsidR="00EA0E8A" w:rsidRPr="006340F9">
              <w:rPr>
                <w:sz w:val="20"/>
                <w:szCs w:val="18"/>
              </w:rPr>
              <w:t>/</w:t>
            </w:r>
            <w:r w:rsidRPr="006340F9">
              <w:rPr>
                <w:sz w:val="20"/>
                <w:szCs w:val="18"/>
              </w:rPr>
              <w:t>clinics are a subset of fertility clinics and encompasses associations, agencies, groups, independent practitioners, and individuals responsible for providing ART services to patients.</w:t>
            </w:r>
          </w:p>
        </w:tc>
      </w:tr>
      <w:tr w:rsidR="00772B36" w:rsidRPr="006340F9" w14:paraId="16B4A3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17CDD699" w14:textId="77777777" w:rsidR="00027849" w:rsidRPr="006340F9" w:rsidRDefault="00027849" w:rsidP="00027849">
            <w:pPr>
              <w:spacing w:before="80" w:after="60" w:line="240" w:lineRule="auto"/>
              <w:rPr>
                <w:sz w:val="20"/>
                <w:szCs w:val="18"/>
              </w:rPr>
            </w:pPr>
            <w:r w:rsidRPr="006340F9">
              <w:rPr>
                <w:sz w:val="20"/>
                <w:szCs w:val="18"/>
              </w:rPr>
              <w:t>Donor conception</w:t>
            </w:r>
          </w:p>
        </w:tc>
        <w:tc>
          <w:tcPr>
            <w:tcW w:w="6456" w:type="dxa"/>
          </w:tcPr>
          <w:p w14:paraId="4EAE7B15" w14:textId="77777777"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 xml:space="preserve">The process of achieving conception through using donated sperm, eggs, or embryos. </w:t>
            </w:r>
          </w:p>
        </w:tc>
      </w:tr>
      <w:tr w:rsidR="00027849" w:rsidRPr="006340F9" w14:paraId="054996F4" w14:textId="77777777">
        <w:tc>
          <w:tcPr>
            <w:cnfStyle w:val="001000000000" w:firstRow="0" w:lastRow="0" w:firstColumn="1" w:lastColumn="0" w:oddVBand="0" w:evenVBand="0" w:oddHBand="0" w:evenHBand="0" w:firstRowFirstColumn="0" w:firstRowLastColumn="0" w:lastRowFirstColumn="0" w:lastRowLastColumn="0"/>
            <w:tcW w:w="2832" w:type="dxa"/>
          </w:tcPr>
          <w:p w14:paraId="2AFAF5C3" w14:textId="77777777" w:rsidR="00027849" w:rsidRPr="006340F9" w:rsidRDefault="00027849" w:rsidP="00027849">
            <w:pPr>
              <w:spacing w:before="80" w:after="60" w:line="240" w:lineRule="auto"/>
              <w:rPr>
                <w:sz w:val="20"/>
                <w:szCs w:val="18"/>
              </w:rPr>
            </w:pPr>
            <w:r w:rsidRPr="006340F9">
              <w:rPr>
                <w:sz w:val="20"/>
                <w:szCs w:val="18"/>
              </w:rPr>
              <w:t>Embryo</w:t>
            </w:r>
          </w:p>
        </w:tc>
        <w:tc>
          <w:tcPr>
            <w:tcW w:w="6456" w:type="dxa"/>
          </w:tcPr>
          <w:p w14:paraId="78B2FABA" w14:textId="77777777"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 xml:space="preserve">A biological entity created when a human egg is fertilised by sperm after which time it begins to grow and divide into more cells and is up to eight weeks old or 10 weeks gestation. </w:t>
            </w:r>
          </w:p>
        </w:tc>
      </w:tr>
      <w:tr w:rsidR="00772B36" w:rsidRPr="006340F9" w14:paraId="2340A5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7330B8F9" w14:textId="77777777" w:rsidR="00027849" w:rsidRPr="006340F9" w:rsidRDefault="00027849" w:rsidP="00027849">
            <w:pPr>
              <w:spacing w:before="80" w:after="60" w:line="240" w:lineRule="auto"/>
              <w:rPr>
                <w:sz w:val="20"/>
                <w:szCs w:val="18"/>
              </w:rPr>
            </w:pPr>
            <w:r w:rsidRPr="006340F9">
              <w:rPr>
                <w:sz w:val="20"/>
                <w:szCs w:val="18"/>
              </w:rPr>
              <w:t>Gamete</w:t>
            </w:r>
          </w:p>
        </w:tc>
        <w:tc>
          <w:tcPr>
            <w:tcW w:w="6456" w:type="dxa"/>
          </w:tcPr>
          <w:p w14:paraId="2F351A59" w14:textId="77777777"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 xml:space="preserve">An egg or sperm.  </w:t>
            </w:r>
          </w:p>
        </w:tc>
      </w:tr>
      <w:tr w:rsidR="00027849" w:rsidRPr="006340F9" w14:paraId="5DB5D031" w14:textId="77777777">
        <w:tc>
          <w:tcPr>
            <w:cnfStyle w:val="001000000000" w:firstRow="0" w:lastRow="0" w:firstColumn="1" w:lastColumn="0" w:oddVBand="0" w:evenVBand="0" w:oddHBand="0" w:evenHBand="0" w:firstRowFirstColumn="0" w:firstRowLastColumn="0" w:lastRowFirstColumn="0" w:lastRowLastColumn="0"/>
            <w:tcW w:w="2832" w:type="dxa"/>
          </w:tcPr>
          <w:p w14:paraId="02243D74" w14:textId="77777777" w:rsidR="00027849" w:rsidRPr="006340F9" w:rsidRDefault="00027849" w:rsidP="00027849">
            <w:pPr>
              <w:spacing w:before="80" w:after="60" w:line="240" w:lineRule="auto"/>
              <w:rPr>
                <w:sz w:val="20"/>
                <w:szCs w:val="18"/>
              </w:rPr>
            </w:pPr>
            <w:r w:rsidRPr="006340F9">
              <w:rPr>
                <w:sz w:val="20"/>
                <w:szCs w:val="18"/>
              </w:rPr>
              <w:t>Health complaints body</w:t>
            </w:r>
          </w:p>
        </w:tc>
        <w:tc>
          <w:tcPr>
            <w:tcW w:w="6456" w:type="dxa"/>
          </w:tcPr>
          <w:p w14:paraId="4356382C" w14:textId="61D97E18"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 xml:space="preserve">An independent organisation set up in each state or territory to support people to resolve concerns about health services or health practitioners. Health complaints bodies are governed by their local jurisdiction legislation which outlines powers for them to investigate, resolve and manage complaints. </w:t>
            </w:r>
          </w:p>
        </w:tc>
      </w:tr>
      <w:tr w:rsidR="00772B36" w:rsidRPr="006340F9" w14:paraId="4417A2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2300E156" w14:textId="77777777" w:rsidR="00027849" w:rsidRPr="006340F9" w:rsidRDefault="00027849" w:rsidP="00027849">
            <w:pPr>
              <w:spacing w:before="80" w:after="60" w:line="240" w:lineRule="auto"/>
              <w:rPr>
                <w:sz w:val="20"/>
                <w:szCs w:val="18"/>
              </w:rPr>
            </w:pPr>
            <w:r w:rsidRPr="006340F9">
              <w:rPr>
                <w:sz w:val="20"/>
                <w:szCs w:val="18"/>
              </w:rPr>
              <w:t>Intracytoplasmic sperm injection (ICSI)</w:t>
            </w:r>
          </w:p>
        </w:tc>
        <w:tc>
          <w:tcPr>
            <w:tcW w:w="6456" w:type="dxa"/>
          </w:tcPr>
          <w:p w14:paraId="73D16B8B" w14:textId="77777777"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 xml:space="preserve">ICSI is a form of ART procedure where a single sperm is injected into the inner cellular structure of an egg using a microscopic needle to achieve fertilisation. </w:t>
            </w:r>
          </w:p>
        </w:tc>
      </w:tr>
      <w:tr w:rsidR="00027849" w:rsidRPr="006340F9" w14:paraId="35B43742" w14:textId="77777777">
        <w:tc>
          <w:tcPr>
            <w:cnfStyle w:val="001000000000" w:firstRow="0" w:lastRow="0" w:firstColumn="1" w:lastColumn="0" w:oddVBand="0" w:evenVBand="0" w:oddHBand="0" w:evenHBand="0" w:firstRowFirstColumn="0" w:firstRowLastColumn="0" w:lastRowFirstColumn="0" w:lastRowLastColumn="0"/>
            <w:tcW w:w="2832" w:type="dxa"/>
          </w:tcPr>
          <w:p w14:paraId="59BDA992" w14:textId="77777777" w:rsidR="00027849" w:rsidRPr="006340F9" w:rsidRDefault="00027849" w:rsidP="00027849">
            <w:pPr>
              <w:spacing w:before="80" w:after="60" w:line="240" w:lineRule="auto"/>
              <w:rPr>
                <w:sz w:val="20"/>
                <w:szCs w:val="18"/>
              </w:rPr>
            </w:pPr>
            <w:r w:rsidRPr="006340F9">
              <w:rPr>
                <w:sz w:val="20"/>
                <w:szCs w:val="18"/>
              </w:rPr>
              <w:t>In-vitro fertilisation (IVF)</w:t>
            </w:r>
          </w:p>
        </w:tc>
        <w:tc>
          <w:tcPr>
            <w:tcW w:w="6456" w:type="dxa"/>
          </w:tcPr>
          <w:p w14:paraId="5C1F3EAC" w14:textId="77777777"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 xml:space="preserve">IVF is a form of ART procedure. IVF treatment includes all fertility treatments where embryos or eggs and sperm are combined and handled outside of the body with the goal of achieving a pregnancy. </w:t>
            </w:r>
          </w:p>
        </w:tc>
      </w:tr>
      <w:tr w:rsidR="00772B36" w:rsidRPr="006340F9" w14:paraId="046AA1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5DB8B298" w14:textId="77777777" w:rsidR="00027849" w:rsidRPr="006340F9" w:rsidRDefault="00027849" w:rsidP="00027849">
            <w:pPr>
              <w:spacing w:before="80" w:after="60" w:line="240" w:lineRule="auto"/>
              <w:rPr>
                <w:sz w:val="20"/>
                <w:szCs w:val="18"/>
              </w:rPr>
            </w:pPr>
            <w:r w:rsidRPr="006340F9">
              <w:rPr>
                <w:sz w:val="20"/>
                <w:szCs w:val="18"/>
              </w:rPr>
              <w:t>Oocyte</w:t>
            </w:r>
          </w:p>
        </w:tc>
        <w:tc>
          <w:tcPr>
            <w:tcW w:w="6456" w:type="dxa"/>
          </w:tcPr>
          <w:p w14:paraId="11A86656" w14:textId="579E5FD1"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A cell that provides maternal genetic material for embryo formation. Oocytes can be fertilised by a sperm to create an embryo. They are released from a woman’s ovary usually one per monthly cycle</w:t>
            </w:r>
            <w:r w:rsidR="0010419B" w:rsidRPr="006340F9">
              <w:rPr>
                <w:sz w:val="20"/>
                <w:szCs w:val="18"/>
              </w:rPr>
              <w:t xml:space="preserve"> and</w:t>
            </w:r>
            <w:r w:rsidRPr="006340F9">
              <w:rPr>
                <w:sz w:val="20"/>
                <w:szCs w:val="18"/>
              </w:rPr>
              <w:t xml:space="preserve"> can be fertilised by a sperm to create an embryo. </w:t>
            </w:r>
          </w:p>
        </w:tc>
      </w:tr>
      <w:tr w:rsidR="00027849" w:rsidRPr="006340F9" w14:paraId="7EFED941" w14:textId="77777777">
        <w:tc>
          <w:tcPr>
            <w:cnfStyle w:val="001000000000" w:firstRow="0" w:lastRow="0" w:firstColumn="1" w:lastColumn="0" w:oddVBand="0" w:evenVBand="0" w:oddHBand="0" w:evenHBand="0" w:firstRowFirstColumn="0" w:firstRowLastColumn="0" w:lastRowFirstColumn="0" w:lastRowLastColumn="0"/>
            <w:tcW w:w="2832" w:type="dxa"/>
          </w:tcPr>
          <w:p w14:paraId="09B11EDB" w14:textId="77777777" w:rsidR="00027849" w:rsidRPr="006340F9" w:rsidRDefault="00027849" w:rsidP="00027849">
            <w:pPr>
              <w:spacing w:before="80" w:after="60" w:line="240" w:lineRule="auto"/>
              <w:rPr>
                <w:sz w:val="20"/>
                <w:szCs w:val="18"/>
              </w:rPr>
            </w:pPr>
            <w:r w:rsidRPr="006340F9">
              <w:rPr>
                <w:sz w:val="20"/>
                <w:szCs w:val="18"/>
              </w:rPr>
              <w:t>Ovarian hyperstimulation syndrome</w:t>
            </w:r>
          </w:p>
        </w:tc>
        <w:tc>
          <w:tcPr>
            <w:tcW w:w="6456" w:type="dxa"/>
          </w:tcPr>
          <w:p w14:paraId="6AF974B3" w14:textId="77777777"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 xml:space="preserve">A potential complication of fertility treatment that can occur when injectable hormone medication to stimulate the ovaries to produce eggs causes an excessive response. This causes the ovaries to swell and become painful.  </w:t>
            </w:r>
          </w:p>
        </w:tc>
      </w:tr>
      <w:tr w:rsidR="00772B36" w:rsidRPr="006340F9" w14:paraId="52FB20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11E197EA" w14:textId="77777777" w:rsidR="00027849" w:rsidRPr="006340F9" w:rsidRDefault="00027849" w:rsidP="00027849">
            <w:pPr>
              <w:spacing w:before="80" w:after="60" w:line="240" w:lineRule="auto"/>
              <w:rPr>
                <w:sz w:val="20"/>
                <w:szCs w:val="18"/>
              </w:rPr>
            </w:pPr>
            <w:r w:rsidRPr="006340F9">
              <w:rPr>
                <w:sz w:val="20"/>
                <w:szCs w:val="18"/>
              </w:rPr>
              <w:t>Ovulation induction</w:t>
            </w:r>
          </w:p>
        </w:tc>
        <w:tc>
          <w:tcPr>
            <w:tcW w:w="6456" w:type="dxa"/>
          </w:tcPr>
          <w:p w14:paraId="168DA4E2" w14:textId="77777777"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A fertility treatment that uses medication to stimulate the ovaries to produce and release eggs in larger quantities.</w:t>
            </w:r>
          </w:p>
        </w:tc>
      </w:tr>
      <w:tr w:rsidR="00027849" w:rsidRPr="006340F9" w14:paraId="2FDAF980" w14:textId="77777777">
        <w:tc>
          <w:tcPr>
            <w:cnfStyle w:val="001000000000" w:firstRow="0" w:lastRow="0" w:firstColumn="1" w:lastColumn="0" w:oddVBand="0" w:evenVBand="0" w:oddHBand="0" w:evenHBand="0" w:firstRowFirstColumn="0" w:firstRowLastColumn="0" w:lastRowFirstColumn="0" w:lastRowLastColumn="0"/>
            <w:tcW w:w="2832" w:type="dxa"/>
          </w:tcPr>
          <w:p w14:paraId="0717195D" w14:textId="77777777" w:rsidR="00027849" w:rsidRPr="006340F9" w:rsidRDefault="00027849" w:rsidP="00027849">
            <w:pPr>
              <w:spacing w:before="80" w:after="60" w:line="240" w:lineRule="auto"/>
              <w:rPr>
                <w:sz w:val="20"/>
                <w:szCs w:val="18"/>
              </w:rPr>
            </w:pPr>
            <w:r w:rsidRPr="006340F9">
              <w:rPr>
                <w:sz w:val="20"/>
                <w:szCs w:val="18"/>
              </w:rPr>
              <w:t>Preimplantation genetic testing (PGT)</w:t>
            </w:r>
          </w:p>
        </w:tc>
        <w:tc>
          <w:tcPr>
            <w:tcW w:w="6456" w:type="dxa"/>
          </w:tcPr>
          <w:p w14:paraId="1C34C7A0" w14:textId="77777777"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 xml:space="preserve">A scientific technique to test embryos for a specific genetic condition or chromosomal abnormalities. This is done to allow the selection of </w:t>
            </w:r>
            <w:r w:rsidRPr="006340F9">
              <w:rPr>
                <w:sz w:val="20"/>
                <w:szCs w:val="18"/>
              </w:rPr>
              <w:lastRenderedPageBreak/>
              <w:t xml:space="preserve">chromosomally healthy embryos for transfer during an IVF cycle, increasing the likelihood of a healthy baby.  </w:t>
            </w:r>
          </w:p>
        </w:tc>
      </w:tr>
      <w:tr w:rsidR="00772B36" w:rsidRPr="006340F9" w14:paraId="1E2E291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7EA27C10" w14:textId="77777777" w:rsidR="00027849" w:rsidRPr="006340F9" w:rsidRDefault="00027849" w:rsidP="00027849">
            <w:pPr>
              <w:spacing w:before="80" w:after="60" w:line="240" w:lineRule="auto"/>
              <w:rPr>
                <w:sz w:val="20"/>
                <w:szCs w:val="18"/>
              </w:rPr>
            </w:pPr>
            <w:r w:rsidRPr="006340F9">
              <w:rPr>
                <w:sz w:val="20"/>
                <w:szCs w:val="18"/>
              </w:rPr>
              <w:lastRenderedPageBreak/>
              <w:t>Registration</w:t>
            </w:r>
          </w:p>
        </w:tc>
        <w:tc>
          <w:tcPr>
            <w:tcW w:w="6456" w:type="dxa"/>
          </w:tcPr>
          <w:p w14:paraId="3A7E667A" w14:textId="47C7897A"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Formal process through which an ART unit is authorised by their state or territory regulator to legally operate and offer ART services in their jurisdiction</w:t>
            </w:r>
            <w:r w:rsidR="00D00575" w:rsidRPr="006340F9">
              <w:rPr>
                <w:sz w:val="20"/>
                <w:szCs w:val="18"/>
              </w:rPr>
              <w:t xml:space="preserve">, </w:t>
            </w:r>
            <w:r w:rsidR="00400D0F" w:rsidRPr="006340F9">
              <w:rPr>
                <w:sz w:val="20"/>
                <w:szCs w:val="18"/>
              </w:rPr>
              <w:t>which may include</w:t>
            </w:r>
            <w:r w:rsidR="00D00575" w:rsidRPr="006340F9">
              <w:rPr>
                <w:sz w:val="20"/>
                <w:szCs w:val="18"/>
              </w:rPr>
              <w:t xml:space="preserve"> the </w:t>
            </w:r>
            <w:r w:rsidR="00400D0F" w:rsidRPr="006340F9">
              <w:rPr>
                <w:sz w:val="20"/>
                <w:szCs w:val="18"/>
              </w:rPr>
              <w:t>granting</w:t>
            </w:r>
            <w:r w:rsidR="00D00575" w:rsidRPr="006340F9">
              <w:rPr>
                <w:sz w:val="20"/>
                <w:szCs w:val="18"/>
              </w:rPr>
              <w:t xml:space="preserve"> of a licence</w:t>
            </w:r>
            <w:r w:rsidR="00400D0F" w:rsidRPr="006340F9">
              <w:rPr>
                <w:sz w:val="20"/>
                <w:szCs w:val="18"/>
              </w:rPr>
              <w:t xml:space="preserve"> to provide ART services.</w:t>
            </w:r>
          </w:p>
        </w:tc>
      </w:tr>
      <w:tr w:rsidR="00027849" w:rsidRPr="006340F9" w14:paraId="6A79C16A" w14:textId="77777777">
        <w:tc>
          <w:tcPr>
            <w:cnfStyle w:val="001000000000" w:firstRow="0" w:lastRow="0" w:firstColumn="1" w:lastColumn="0" w:oddVBand="0" w:evenVBand="0" w:oddHBand="0" w:evenHBand="0" w:firstRowFirstColumn="0" w:firstRowLastColumn="0" w:lastRowFirstColumn="0" w:lastRowLastColumn="0"/>
            <w:tcW w:w="2832" w:type="dxa"/>
          </w:tcPr>
          <w:p w14:paraId="6BEC32B8" w14:textId="6E96F927" w:rsidR="00027849" w:rsidRPr="006340F9" w:rsidRDefault="00027849" w:rsidP="00027849">
            <w:pPr>
              <w:spacing w:before="80" w:after="60" w:line="240" w:lineRule="auto"/>
              <w:rPr>
                <w:sz w:val="20"/>
                <w:szCs w:val="18"/>
              </w:rPr>
            </w:pPr>
            <w:r w:rsidRPr="006340F9">
              <w:rPr>
                <w:sz w:val="20"/>
                <w:szCs w:val="18"/>
              </w:rPr>
              <w:t xml:space="preserve">State and </w:t>
            </w:r>
            <w:r w:rsidR="001E7E27" w:rsidRPr="006340F9">
              <w:rPr>
                <w:sz w:val="20"/>
                <w:szCs w:val="18"/>
              </w:rPr>
              <w:t>T</w:t>
            </w:r>
            <w:r w:rsidRPr="006340F9">
              <w:rPr>
                <w:sz w:val="20"/>
                <w:szCs w:val="18"/>
              </w:rPr>
              <w:t>erritory regulatory authority</w:t>
            </w:r>
          </w:p>
        </w:tc>
        <w:tc>
          <w:tcPr>
            <w:tcW w:w="6456" w:type="dxa"/>
          </w:tcPr>
          <w:p w14:paraId="5F62C057" w14:textId="02068B33"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 xml:space="preserve">State and </w:t>
            </w:r>
            <w:r w:rsidR="001E7E27" w:rsidRPr="006340F9">
              <w:rPr>
                <w:sz w:val="20"/>
                <w:szCs w:val="18"/>
              </w:rPr>
              <w:t>T</w:t>
            </w:r>
            <w:r w:rsidRPr="006340F9">
              <w:rPr>
                <w:sz w:val="20"/>
                <w:szCs w:val="18"/>
              </w:rPr>
              <w:t>erritory regulatory authorities are typically based in health departments and responsible for the registration and subsequent regulation of ART units operating in their jurisdiction under the relevant local legislation</w:t>
            </w:r>
            <w:r w:rsidRPr="006340F9">
              <w:rPr>
                <w:sz w:val="20"/>
                <w:szCs w:val="18"/>
                <w:vertAlign w:val="subscript"/>
              </w:rPr>
              <w:t>.</w:t>
            </w:r>
          </w:p>
        </w:tc>
      </w:tr>
      <w:tr w:rsidR="00772B36" w:rsidRPr="006340F9" w14:paraId="2871CD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5BFDEA5B" w14:textId="77777777" w:rsidR="00027849" w:rsidRPr="006340F9" w:rsidRDefault="00027849" w:rsidP="00027849">
            <w:pPr>
              <w:spacing w:before="80" w:after="60" w:line="240" w:lineRule="auto"/>
              <w:rPr>
                <w:sz w:val="20"/>
                <w:szCs w:val="18"/>
              </w:rPr>
            </w:pPr>
            <w:r w:rsidRPr="006340F9">
              <w:rPr>
                <w:sz w:val="20"/>
                <w:szCs w:val="18"/>
              </w:rPr>
              <w:t>Surrogacy</w:t>
            </w:r>
          </w:p>
        </w:tc>
        <w:tc>
          <w:tcPr>
            <w:tcW w:w="6456" w:type="dxa"/>
          </w:tcPr>
          <w:p w14:paraId="37147FA6" w14:textId="77777777" w:rsidR="00027849" w:rsidRPr="006340F9" w:rsidRDefault="00027849" w:rsidP="00027849">
            <w:pPr>
              <w:spacing w:before="80"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6340F9">
              <w:rPr>
                <w:sz w:val="20"/>
                <w:szCs w:val="18"/>
              </w:rPr>
              <w:t xml:space="preserve">An arrangement where one woman (the surrogate) agrees to carry an implanted embryo through pregnancy and childbirth on behalf of another person or couple (the intended parent/s). </w:t>
            </w:r>
          </w:p>
        </w:tc>
      </w:tr>
      <w:tr w:rsidR="00027849" w:rsidRPr="006340F9" w14:paraId="7926DC28" w14:textId="77777777">
        <w:tc>
          <w:tcPr>
            <w:cnfStyle w:val="001000000000" w:firstRow="0" w:lastRow="0" w:firstColumn="1" w:lastColumn="0" w:oddVBand="0" w:evenVBand="0" w:oddHBand="0" w:evenHBand="0" w:firstRowFirstColumn="0" w:firstRowLastColumn="0" w:lastRowFirstColumn="0" w:lastRowLastColumn="0"/>
            <w:tcW w:w="2832" w:type="dxa"/>
          </w:tcPr>
          <w:p w14:paraId="30F6205E" w14:textId="77777777" w:rsidR="00027849" w:rsidRPr="006340F9" w:rsidRDefault="00027849" w:rsidP="00027849">
            <w:pPr>
              <w:spacing w:before="80" w:after="60" w:line="240" w:lineRule="auto"/>
              <w:rPr>
                <w:sz w:val="20"/>
                <w:szCs w:val="18"/>
              </w:rPr>
            </w:pPr>
            <w:r w:rsidRPr="006340F9">
              <w:rPr>
                <w:sz w:val="20"/>
                <w:szCs w:val="18"/>
              </w:rPr>
              <w:t xml:space="preserve">Transfer </w:t>
            </w:r>
          </w:p>
        </w:tc>
        <w:tc>
          <w:tcPr>
            <w:tcW w:w="6456" w:type="dxa"/>
          </w:tcPr>
          <w:p w14:paraId="6D44881E" w14:textId="0EA7E6FB" w:rsidR="00027849" w:rsidRPr="006340F9" w:rsidRDefault="00027849" w:rsidP="00027849">
            <w:pPr>
              <w:spacing w:before="80"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6340F9">
              <w:rPr>
                <w:sz w:val="20"/>
                <w:szCs w:val="18"/>
              </w:rPr>
              <w:t xml:space="preserve">A procedure whereby one or more embryos, created through IVF, is placed into a </w:t>
            </w:r>
            <w:r w:rsidR="00200AA6" w:rsidRPr="006340F9">
              <w:rPr>
                <w:sz w:val="20"/>
                <w:szCs w:val="18"/>
              </w:rPr>
              <w:t xml:space="preserve">person’s </w:t>
            </w:r>
            <w:r w:rsidRPr="006340F9">
              <w:rPr>
                <w:sz w:val="20"/>
                <w:szCs w:val="18"/>
              </w:rPr>
              <w:t xml:space="preserve">uterus. </w:t>
            </w:r>
          </w:p>
        </w:tc>
      </w:tr>
    </w:tbl>
    <w:p w14:paraId="62D8F512" w14:textId="77777777" w:rsidR="00027849" w:rsidRPr="006340F9" w:rsidRDefault="00027849" w:rsidP="00027849">
      <w:pPr>
        <w:jc w:val="both"/>
        <w:rPr>
          <w:rFonts w:eastAsia="Times"/>
          <w:sz w:val="22"/>
          <w:szCs w:val="22"/>
        </w:rPr>
      </w:pPr>
    </w:p>
    <w:p w14:paraId="24BF55B9" w14:textId="78230310" w:rsidR="00EB4BC7" w:rsidRPr="006340F9" w:rsidRDefault="00EB4BC7" w:rsidP="00724376">
      <w:pPr>
        <w:pStyle w:val="Heading1"/>
        <w:numPr>
          <w:ilvl w:val="0"/>
          <w:numId w:val="0"/>
        </w:numPr>
      </w:pPr>
    </w:p>
    <w:sectPr w:rsidR="00EB4BC7" w:rsidRPr="006340F9" w:rsidSect="00AB58DE">
      <w:pgSz w:w="11906" w:h="16838" w:code="9"/>
      <w:pgMar w:top="1418" w:right="1304" w:bottom="1134"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3A456" w14:textId="77777777" w:rsidR="00AC30EF" w:rsidRDefault="00AC30EF">
      <w:r>
        <w:separator/>
      </w:r>
    </w:p>
    <w:p w14:paraId="55C46BC1" w14:textId="77777777" w:rsidR="00AC30EF" w:rsidRDefault="00AC30EF"/>
  </w:endnote>
  <w:endnote w:type="continuationSeparator" w:id="0">
    <w:p w14:paraId="5E6DD84F" w14:textId="77777777" w:rsidR="00AC30EF" w:rsidRDefault="00AC30EF">
      <w:r>
        <w:continuationSeparator/>
      </w:r>
    </w:p>
    <w:p w14:paraId="37102B3D" w14:textId="77777777" w:rsidR="00AC30EF" w:rsidRDefault="00AC30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ublic Sans">
    <w:altName w:val="Calibri"/>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8A288" w14:textId="708AE9FE" w:rsidR="00EB4BC7" w:rsidRDefault="008B6573">
    <w:pPr>
      <w:pStyle w:val="Footer"/>
    </w:pPr>
    <w:r>
      <w:rPr>
        <w:noProof/>
      </w:rPr>
      <mc:AlternateContent>
        <mc:Choice Requires="wps">
          <w:drawing>
            <wp:anchor distT="0" distB="0" distL="0" distR="0" simplePos="0" relativeHeight="251668485" behindDoc="0" locked="0" layoutInCell="1" allowOverlap="1" wp14:anchorId="1C3F9FE6" wp14:editId="1FCF5522">
              <wp:simplePos x="635" y="635"/>
              <wp:positionH relativeFrom="page">
                <wp:align>center</wp:align>
              </wp:positionH>
              <wp:positionV relativeFrom="page">
                <wp:align>bottom</wp:align>
              </wp:positionV>
              <wp:extent cx="551815" cy="376555"/>
              <wp:effectExtent l="0" t="0" r="635" b="0"/>
              <wp:wrapNone/>
              <wp:docPr id="108133446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5A6DB06" w14:textId="2D2D467A"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3F9FE6" id="_x0000_t202" coordsize="21600,21600" o:spt="202" path="m,l,21600r21600,l21600,xe">
              <v:stroke joinstyle="miter"/>
              <v:path gradientshapeok="t" o:connecttype="rect"/>
            </v:shapetype>
            <v:shape id="Text Box 10" o:spid="_x0000_s1028" type="#_x0000_t202" alt="OFFICIAL" style="position:absolute;left:0;text-align:left;margin-left:0;margin-top:0;width:43.45pt;height:29.65pt;z-index:2516684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45A6DB06" w14:textId="2D2D467A"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35A2A" w14:textId="5F98FCC0" w:rsidR="008B6573" w:rsidRDefault="008B65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96C60" w14:textId="3A03B0ED" w:rsidR="00EB4BC7" w:rsidRDefault="008B6573">
    <w:pPr>
      <w:pStyle w:val="Footer"/>
    </w:pPr>
    <w:r>
      <w:rPr>
        <w:noProof/>
      </w:rPr>
      <mc:AlternateContent>
        <mc:Choice Requires="wps">
          <w:drawing>
            <wp:anchor distT="0" distB="0" distL="0" distR="0" simplePos="0" relativeHeight="251667461" behindDoc="0" locked="0" layoutInCell="1" allowOverlap="1" wp14:anchorId="3AA75907" wp14:editId="2078193A">
              <wp:simplePos x="635" y="635"/>
              <wp:positionH relativeFrom="page">
                <wp:align>center</wp:align>
              </wp:positionH>
              <wp:positionV relativeFrom="page">
                <wp:align>bottom</wp:align>
              </wp:positionV>
              <wp:extent cx="551815" cy="376555"/>
              <wp:effectExtent l="0" t="0" r="635" b="0"/>
              <wp:wrapNone/>
              <wp:docPr id="164531246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E802620" w14:textId="15439F4D"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A75907" id="_x0000_t202" coordsize="21600,21600" o:spt="202" path="m,l,21600r21600,l21600,xe">
              <v:stroke joinstyle="miter"/>
              <v:path gradientshapeok="t" o:connecttype="rect"/>
            </v:shapetype>
            <v:shape id="Text Box 9" o:spid="_x0000_s1030" type="#_x0000_t202" alt="OFFICIAL" style="position:absolute;left:0;text-align:left;margin-left:0;margin-top:0;width:43.45pt;height:29.65pt;z-index:2516674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textbox style="mso-fit-shape-to-text:t" inset="0,0,0,15pt">
                <w:txbxContent>
                  <w:p w14:paraId="7E802620" w14:textId="15439F4D"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D57DD" w14:textId="232BA221" w:rsidR="005C554F" w:rsidRPr="00EF5CEA" w:rsidRDefault="005C554F">
    <w:pPr>
      <w:pStyle w:val="Footer"/>
      <w:rPr>
        <w:szCs w:val="20"/>
      </w:rPr>
    </w:pPr>
    <w:r w:rsidRPr="00EF5CEA">
      <w:rPr>
        <w:szCs w:val="20"/>
      </w:rPr>
      <w:t xml:space="preserve"> Page </w:t>
    </w:r>
    <w:sdt>
      <w:sdtPr>
        <w:rPr>
          <w:szCs w:val="20"/>
        </w:rPr>
        <w:id w:val="-600337185"/>
        <w:docPartObj>
          <w:docPartGallery w:val="Page Numbers (Bottom of Page)"/>
          <w:docPartUnique/>
        </w:docPartObj>
      </w:sdtPr>
      <w:sdtEndPr>
        <w:rPr>
          <w:noProof/>
        </w:rPr>
      </w:sdtEndPr>
      <w:sdtContent>
        <w:r w:rsidRPr="00EF5CEA">
          <w:rPr>
            <w:szCs w:val="20"/>
          </w:rPr>
          <w:fldChar w:fldCharType="begin"/>
        </w:r>
        <w:r w:rsidRPr="00EF5CEA">
          <w:rPr>
            <w:szCs w:val="20"/>
          </w:rPr>
          <w:instrText xml:space="preserve"> PAGE   \* MERGEFORMAT </w:instrText>
        </w:r>
        <w:r w:rsidRPr="00EF5CEA">
          <w:rPr>
            <w:szCs w:val="20"/>
          </w:rPr>
          <w:fldChar w:fldCharType="separate"/>
        </w:r>
        <w:r w:rsidRPr="00EF5CEA">
          <w:rPr>
            <w:noProof/>
            <w:szCs w:val="20"/>
          </w:rPr>
          <w:t>2</w:t>
        </w:r>
        <w:r w:rsidRPr="00EF5CEA">
          <w:rPr>
            <w:noProof/>
            <w:szCs w:val="20"/>
          </w:rPr>
          <w:fldChar w:fldCharType="end"/>
        </w:r>
      </w:sdtContent>
    </w:sdt>
  </w:p>
  <w:p w14:paraId="7F407560" w14:textId="77777777" w:rsidR="005C554F" w:rsidRDefault="005C55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C2D1E" w14:textId="4E312847" w:rsidR="00D63636" w:rsidRDefault="008B6573">
    <w:pPr>
      <w:pStyle w:val="Footer"/>
    </w:pPr>
    <w:r>
      <w:rPr>
        <w:noProof/>
      </w:rPr>
      <mc:AlternateContent>
        <mc:Choice Requires="wps">
          <w:drawing>
            <wp:anchor distT="0" distB="0" distL="0" distR="0" simplePos="0" relativeHeight="251671557" behindDoc="0" locked="0" layoutInCell="1" allowOverlap="1" wp14:anchorId="4EE2FDD7" wp14:editId="39F63665">
              <wp:simplePos x="635" y="635"/>
              <wp:positionH relativeFrom="page">
                <wp:align>center</wp:align>
              </wp:positionH>
              <wp:positionV relativeFrom="page">
                <wp:align>bottom</wp:align>
              </wp:positionV>
              <wp:extent cx="551815" cy="376555"/>
              <wp:effectExtent l="0" t="0" r="635" b="0"/>
              <wp:wrapNone/>
              <wp:docPr id="181223720"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27F8E70" w14:textId="228852C1"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E2FDD7" id="_x0000_t202" coordsize="21600,21600" o:spt="202" path="m,l,21600r21600,l21600,xe">
              <v:stroke joinstyle="miter"/>
              <v:path gradientshapeok="t" o:connecttype="rect"/>
            </v:shapetype>
            <v:shape id="Text Box 13" o:spid="_x0000_s1034" type="#_x0000_t202" alt="OFFICIAL" style="position:absolute;left:0;text-align:left;margin-left:0;margin-top:0;width:43.45pt;height:29.65pt;z-index:2516715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textbox style="mso-fit-shape-to-text:t" inset="0,0,0,15pt">
                <w:txbxContent>
                  <w:p w14:paraId="727F8E70" w14:textId="228852C1"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437B6" w14:textId="2F69137E" w:rsidR="00027849" w:rsidRDefault="008B6573">
    <w:pPr>
      <w:pStyle w:val="Footer"/>
    </w:pPr>
    <w:r>
      <w:rPr>
        <w:noProof/>
      </w:rPr>
      <mc:AlternateContent>
        <mc:Choice Requires="wps">
          <w:drawing>
            <wp:anchor distT="0" distB="0" distL="0" distR="0" simplePos="0" relativeHeight="251672581" behindDoc="0" locked="0" layoutInCell="1" allowOverlap="1" wp14:anchorId="6D1D8AC8" wp14:editId="55957447">
              <wp:simplePos x="635" y="635"/>
              <wp:positionH relativeFrom="page">
                <wp:align>center</wp:align>
              </wp:positionH>
              <wp:positionV relativeFrom="page">
                <wp:align>bottom</wp:align>
              </wp:positionV>
              <wp:extent cx="551815" cy="376555"/>
              <wp:effectExtent l="0" t="0" r="635" b="0"/>
              <wp:wrapNone/>
              <wp:docPr id="149027956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967702F" w14:textId="4047B489"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1D8AC8" id="_x0000_t202" coordsize="21600,21600" o:spt="202" path="m,l,21600r21600,l21600,xe">
              <v:stroke joinstyle="miter"/>
              <v:path gradientshapeok="t" o:connecttype="rect"/>
            </v:shapetype>
            <v:shape id="Text Box 14" o:spid="_x0000_s1035" type="#_x0000_t202" alt="OFFICIAL" style="position:absolute;left:0;text-align:left;margin-left:0;margin-top:0;width:43.45pt;height:29.65pt;z-index:2516725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6967702F" w14:textId="4047B489"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81CCE" w14:textId="0531AA47" w:rsidR="009D6378" w:rsidRDefault="008B6573">
    <w:pPr>
      <w:pStyle w:val="Footer"/>
    </w:pPr>
    <w:r>
      <w:rPr>
        <w:noProof/>
      </w:rPr>
      <mc:AlternateContent>
        <mc:Choice Requires="wps">
          <w:drawing>
            <wp:anchor distT="0" distB="0" distL="0" distR="0" simplePos="0" relativeHeight="251673605" behindDoc="0" locked="0" layoutInCell="1" allowOverlap="1" wp14:anchorId="5D5E0B8E" wp14:editId="59AFA103">
              <wp:simplePos x="635" y="635"/>
              <wp:positionH relativeFrom="page">
                <wp:align>center</wp:align>
              </wp:positionH>
              <wp:positionV relativeFrom="page">
                <wp:align>bottom</wp:align>
              </wp:positionV>
              <wp:extent cx="551815" cy="376555"/>
              <wp:effectExtent l="0" t="0" r="635" b="0"/>
              <wp:wrapNone/>
              <wp:docPr id="71453983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1134CFD" w14:textId="3C7D7E52"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5E0B8E" id="_x0000_t202" coordsize="21600,21600" o:spt="202" path="m,l,21600r21600,l21600,xe">
              <v:stroke joinstyle="miter"/>
              <v:path gradientshapeok="t" o:connecttype="rect"/>
            </v:shapetype>
            <v:shape id="Text Box 15" o:spid="_x0000_s1036" type="#_x0000_t202" alt="OFFICIAL" style="position:absolute;left:0;text-align:left;margin-left:0;margin-top:0;width:43.45pt;height:29.65pt;z-index:2516736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uDQ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pk98RtcGmgNthXAk3Du56qj3g/DhWSAxTIuQ&#10;asMTHdrAUHM4WZy1gD/+5o/5BDxFORtIMTW3JGnOzDdLhERxTQZOxiYZxee8zClud/0dkA4LehJO&#10;JpO8GMxkaoT+lfS8jI0oJKykdjXfTOZdOEqX3oNUy2VKIh05ER7s2slYOuIVwXwZXwW6E+KBqHqE&#10;SU6iegP8MTfe9G65CwR/YuUC5Aly0mDi9fReosh//U9Zl1e9+Ak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IEsS24NAgAAHQQA&#10;AA4AAAAAAAAAAAAAAAAALgIAAGRycy9lMm9Eb2MueG1sUEsBAi0AFAAGAAgAAAAhACB6wcjaAAAA&#10;AwEAAA8AAAAAAAAAAAAAAAAAZwQAAGRycy9kb3ducmV2LnhtbFBLBQYAAAAABAAEAPMAAABuBQAA&#10;AAA=&#10;" filled="f" stroked="f">
              <v:textbox style="mso-fit-shape-to-text:t" inset="0,0,0,15pt">
                <w:txbxContent>
                  <w:p w14:paraId="61134CFD" w14:textId="3C7D7E52"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0567D" w14:textId="77777777" w:rsidR="00AC30EF" w:rsidRDefault="00AC30EF" w:rsidP="00207717">
      <w:pPr>
        <w:spacing w:before="120"/>
      </w:pPr>
      <w:r>
        <w:separator/>
      </w:r>
    </w:p>
  </w:footnote>
  <w:footnote w:type="continuationSeparator" w:id="0">
    <w:p w14:paraId="69A3AFA5" w14:textId="77777777" w:rsidR="00AC30EF" w:rsidRDefault="00AC30EF">
      <w:r>
        <w:continuationSeparator/>
      </w:r>
    </w:p>
    <w:p w14:paraId="47963DC9" w14:textId="77777777" w:rsidR="00AC30EF" w:rsidRDefault="00AC30EF"/>
  </w:footnote>
  <w:footnote w:id="1">
    <w:p w14:paraId="527D290C" w14:textId="77777777" w:rsidR="00B104E4" w:rsidRDefault="00B104E4" w:rsidP="000C3628">
      <w:pPr>
        <w:pStyle w:val="FootnoteText"/>
      </w:pPr>
      <w:r>
        <w:rPr>
          <w:rStyle w:val="FootnoteReference"/>
        </w:rPr>
        <w:footnoteRef/>
      </w:r>
      <w:r>
        <w:t xml:space="preserve"> Arna Richardson</w:t>
      </w:r>
      <w:r w:rsidRPr="00585D7C">
        <w:t xml:space="preserve">, </w:t>
      </w:r>
      <w:r w:rsidRPr="009155E6">
        <w:rPr>
          <w:i/>
          <w:iCs/>
        </w:rPr>
        <w:t>Fertility Clinics in Australia – Market Research Report</w:t>
      </w:r>
      <w:r>
        <w:rPr>
          <w:i/>
          <w:iCs/>
        </w:rPr>
        <w:t xml:space="preserve"> (2015-2030)</w:t>
      </w:r>
      <w:r w:rsidRPr="00585D7C">
        <w:t xml:space="preserve"> (Report, January 2025)</w:t>
      </w:r>
      <w:r>
        <w:t>.</w:t>
      </w:r>
    </w:p>
  </w:footnote>
  <w:footnote w:id="2">
    <w:p w14:paraId="604141EE" w14:textId="5EF337B4" w:rsidR="00B104E4" w:rsidRDefault="00B104E4" w:rsidP="000C3628">
      <w:pPr>
        <w:pStyle w:val="FootnoteText"/>
      </w:pPr>
      <w:r>
        <w:rPr>
          <w:rStyle w:val="FootnoteReference"/>
        </w:rPr>
        <w:footnoteRef/>
      </w:r>
      <w:r>
        <w:t xml:space="preserve"> Greg Hunt and Rachel Swift, </w:t>
      </w:r>
      <w:r w:rsidRPr="009155E6">
        <w:rPr>
          <w:i/>
          <w:iCs/>
        </w:rPr>
        <w:t xml:space="preserve">Findings, Recommendations and Framework for </w:t>
      </w:r>
      <w:r w:rsidR="002801DD">
        <w:rPr>
          <w:i/>
          <w:iCs/>
        </w:rPr>
        <w:t xml:space="preserve">an Australian </w:t>
      </w:r>
      <w:r w:rsidRPr="009155E6">
        <w:rPr>
          <w:i/>
          <w:iCs/>
        </w:rPr>
        <w:t>10 Year Fertility Roadmap</w:t>
      </w:r>
      <w:r>
        <w:t xml:space="preserve"> (Report, </w:t>
      </w:r>
      <w:r w:rsidR="002801DD">
        <w:t xml:space="preserve">November </w:t>
      </w:r>
      <w:r>
        <w:t>2024)</w:t>
      </w:r>
      <w:r w:rsidR="00362A2A">
        <w:t>.</w:t>
      </w:r>
    </w:p>
  </w:footnote>
  <w:footnote w:id="3">
    <w:p w14:paraId="6E17F849" w14:textId="04F35307" w:rsidR="00E84DA8" w:rsidRDefault="00E84DA8" w:rsidP="000C3628">
      <w:pPr>
        <w:pStyle w:val="FootnoteText"/>
      </w:pPr>
      <w:r>
        <w:rPr>
          <w:rStyle w:val="FootnoteReference"/>
        </w:rPr>
        <w:footnoteRef/>
      </w:r>
      <w:r>
        <w:t xml:space="preserve"> </w:t>
      </w:r>
      <w:r w:rsidR="00E33399">
        <w:t xml:space="preserve">Hunt and Swift (n </w:t>
      </w:r>
      <w:r w:rsidR="00E33399">
        <w:fldChar w:fldCharType="begin"/>
      </w:r>
      <w:r w:rsidR="00E33399">
        <w:instrText xml:space="preserve"> NOTEREF _Ref207713279 \h </w:instrText>
      </w:r>
      <w:r w:rsidR="000C3628">
        <w:instrText xml:space="preserve"> \* MERGEFORMAT </w:instrText>
      </w:r>
      <w:r w:rsidR="00E33399">
        <w:fldChar w:fldCharType="separate"/>
      </w:r>
      <w:r w:rsidR="007D732A">
        <w:t>2</w:t>
      </w:r>
      <w:r w:rsidR="00E33399">
        <w:fldChar w:fldCharType="end"/>
      </w:r>
      <w:r w:rsidR="00E33399">
        <w:t>).</w:t>
      </w:r>
    </w:p>
  </w:footnote>
  <w:footnote w:id="4">
    <w:p w14:paraId="6E6F79CE" w14:textId="6FE20556" w:rsidR="00B104E4" w:rsidRDefault="00B104E4" w:rsidP="000C3628">
      <w:pPr>
        <w:pStyle w:val="FootnoteText"/>
      </w:pPr>
      <w:r>
        <w:rPr>
          <w:rStyle w:val="FootnoteReference"/>
        </w:rPr>
        <w:footnoteRef/>
      </w:r>
      <w:r>
        <w:t xml:space="preserve"> Hunt and Swift</w:t>
      </w:r>
      <w:r w:rsidR="00451524">
        <w:t xml:space="preserve"> (n</w:t>
      </w:r>
      <w:r w:rsidR="00E33399">
        <w:t xml:space="preserve"> </w:t>
      </w:r>
      <w:r w:rsidR="00E33399">
        <w:fldChar w:fldCharType="begin"/>
      </w:r>
      <w:r w:rsidR="00E33399">
        <w:instrText xml:space="preserve"> NOTEREF _Ref207713279 \h </w:instrText>
      </w:r>
      <w:r w:rsidR="000C3628">
        <w:instrText xml:space="preserve"> \* MERGEFORMAT </w:instrText>
      </w:r>
      <w:r w:rsidR="00E33399">
        <w:fldChar w:fldCharType="separate"/>
      </w:r>
      <w:r w:rsidR="007D732A">
        <w:t>2</w:t>
      </w:r>
      <w:r w:rsidR="00E33399">
        <w:fldChar w:fldCharType="end"/>
      </w:r>
      <w:r w:rsidR="00451524">
        <w:t>).</w:t>
      </w:r>
    </w:p>
  </w:footnote>
  <w:footnote w:id="5">
    <w:p w14:paraId="45A0D251" w14:textId="7987389C" w:rsidR="00B104E4" w:rsidRDefault="00B104E4" w:rsidP="000C3628">
      <w:pPr>
        <w:pStyle w:val="FootnoteText"/>
      </w:pPr>
      <w:r>
        <w:rPr>
          <w:rStyle w:val="FootnoteReference"/>
        </w:rPr>
        <w:footnoteRef/>
      </w:r>
      <w:r>
        <w:t xml:space="preserve"> </w:t>
      </w:r>
      <w:r w:rsidR="0010211E">
        <w:t>Damian P Kotevski et al,</w:t>
      </w:r>
      <w:r w:rsidRPr="00061A1B">
        <w:t xml:space="preserve"> </w:t>
      </w:r>
      <w:r w:rsidRPr="00061A1B">
        <w:rPr>
          <w:i/>
          <w:iCs/>
        </w:rPr>
        <w:t>Assisted Reproductive Technology in Australia and New Zealand 202</w:t>
      </w:r>
      <w:r w:rsidR="00CC6B7F">
        <w:rPr>
          <w:i/>
          <w:iCs/>
        </w:rPr>
        <w:t>3</w:t>
      </w:r>
      <w:r w:rsidRPr="00061A1B">
        <w:t xml:space="preserve"> (</w:t>
      </w:r>
      <w:r>
        <w:t>Report</w:t>
      </w:r>
      <w:r w:rsidRPr="00061A1B">
        <w:t xml:space="preserve">, </w:t>
      </w:r>
      <w:r w:rsidR="0000212C">
        <w:t xml:space="preserve">September </w:t>
      </w:r>
      <w:r w:rsidRPr="00061A1B">
        <w:t>202</w:t>
      </w:r>
      <w:r w:rsidR="00CC6B7F">
        <w:t>5</w:t>
      </w:r>
      <w:r w:rsidRPr="00061A1B">
        <w:t>)</w:t>
      </w:r>
      <w:r w:rsidR="00A63335">
        <w:t xml:space="preserve"> (</w:t>
      </w:r>
      <w:r w:rsidR="005F6651" w:rsidRPr="00735F2B">
        <w:rPr>
          <w:i/>
          <w:iCs/>
        </w:rPr>
        <w:t>‘</w:t>
      </w:r>
      <w:r w:rsidR="005252E9" w:rsidRPr="00735F2B">
        <w:rPr>
          <w:i/>
          <w:iCs/>
        </w:rPr>
        <w:t>202</w:t>
      </w:r>
      <w:r w:rsidR="00CC6B7F">
        <w:rPr>
          <w:i/>
          <w:iCs/>
        </w:rPr>
        <w:t>3</w:t>
      </w:r>
      <w:r w:rsidR="005252E9" w:rsidRPr="00735F2B">
        <w:rPr>
          <w:i/>
          <w:iCs/>
        </w:rPr>
        <w:t xml:space="preserve"> ART report</w:t>
      </w:r>
      <w:r w:rsidR="005F6651" w:rsidRPr="00735F2B">
        <w:rPr>
          <w:i/>
          <w:iCs/>
        </w:rPr>
        <w:t>’</w:t>
      </w:r>
      <w:r w:rsidR="005252E9">
        <w:t>).</w:t>
      </w:r>
    </w:p>
  </w:footnote>
  <w:footnote w:id="6">
    <w:p w14:paraId="45B13847" w14:textId="112E92AF" w:rsidR="00B104E4" w:rsidRPr="008F6736" w:rsidRDefault="00B104E4" w:rsidP="000C3628">
      <w:pPr>
        <w:pStyle w:val="FootnoteText"/>
      </w:pPr>
      <w:r>
        <w:rPr>
          <w:rStyle w:val="FootnoteReference"/>
        </w:rPr>
        <w:footnoteRef/>
      </w:r>
      <w:r>
        <w:t xml:space="preserve"> </w:t>
      </w:r>
      <w:r w:rsidRPr="009161FE">
        <w:t xml:space="preserve">Alan </w:t>
      </w:r>
      <w:proofErr w:type="spellStart"/>
      <w:r w:rsidRPr="009161FE">
        <w:t>Macaldowie</w:t>
      </w:r>
      <w:proofErr w:type="spellEnd"/>
      <w:r w:rsidR="00965C8C">
        <w:t xml:space="preserve"> et al</w:t>
      </w:r>
      <w:r w:rsidRPr="009161FE">
        <w:t>,</w:t>
      </w:r>
      <w:r>
        <w:t xml:space="preserve"> </w:t>
      </w:r>
      <w:r>
        <w:rPr>
          <w:i/>
          <w:iCs/>
        </w:rPr>
        <w:t xml:space="preserve">Assisted Reproductive Technology in Australia and New Zealand 2010 </w:t>
      </w:r>
      <w:r>
        <w:t>(Report, 2012).</w:t>
      </w:r>
    </w:p>
  </w:footnote>
  <w:footnote w:id="7">
    <w:p w14:paraId="3AC8E73E" w14:textId="77777777" w:rsidR="00B104E4" w:rsidRDefault="00B104E4" w:rsidP="000C3628">
      <w:pPr>
        <w:pStyle w:val="FootnoteText"/>
      </w:pPr>
      <w:r>
        <w:rPr>
          <w:rStyle w:val="FootnoteReference"/>
        </w:rPr>
        <w:footnoteRef/>
      </w:r>
      <w:r>
        <w:t xml:space="preserve"> ‘IVF Statistics in Australia and New Zealand’, </w:t>
      </w:r>
      <w:proofErr w:type="spellStart"/>
      <w:r w:rsidRPr="00766281">
        <w:rPr>
          <w:i/>
          <w:iCs/>
        </w:rPr>
        <w:t>YourIVFSuccess</w:t>
      </w:r>
      <w:proofErr w:type="spellEnd"/>
      <w:r>
        <w:rPr>
          <w:i/>
          <w:iCs/>
        </w:rPr>
        <w:t xml:space="preserve"> </w:t>
      </w:r>
      <w:r>
        <w:t>(Web Page) &lt;</w:t>
      </w:r>
      <w:r w:rsidRPr="00AE18C9">
        <w:t>https://yourivfsuccess.com.au/national-statistics</w:t>
      </w:r>
      <w:r>
        <w:t>&gt;.</w:t>
      </w:r>
    </w:p>
  </w:footnote>
  <w:footnote w:id="8">
    <w:p w14:paraId="485BFB22" w14:textId="3AFCBAFE" w:rsidR="00B104E4" w:rsidRDefault="00B104E4" w:rsidP="000C3628">
      <w:pPr>
        <w:pStyle w:val="FootnoteText"/>
      </w:pPr>
      <w:r>
        <w:rPr>
          <w:rStyle w:val="FootnoteReference"/>
        </w:rPr>
        <w:footnoteRef/>
      </w:r>
      <w:r>
        <w:t xml:space="preserve"> </w:t>
      </w:r>
      <w:r w:rsidR="008647C6">
        <w:t xml:space="preserve">Kotevski </w:t>
      </w:r>
      <w:r w:rsidR="00D01E25">
        <w:t>et al</w:t>
      </w:r>
      <w:r w:rsidR="004D25EF">
        <w:t xml:space="preserve">, </w:t>
      </w:r>
      <w:r w:rsidR="00735F2B" w:rsidRPr="00735F2B">
        <w:rPr>
          <w:i/>
          <w:iCs/>
        </w:rPr>
        <w:t>202</w:t>
      </w:r>
      <w:r w:rsidR="008647C6">
        <w:rPr>
          <w:i/>
          <w:iCs/>
        </w:rPr>
        <w:t>3</w:t>
      </w:r>
      <w:r w:rsidR="00735F2B" w:rsidRPr="00735F2B">
        <w:rPr>
          <w:i/>
          <w:iCs/>
        </w:rPr>
        <w:t xml:space="preserve"> ART report</w:t>
      </w:r>
      <w:r w:rsidR="00735F2B">
        <w:rPr>
          <w:i/>
          <w:iCs/>
        </w:rPr>
        <w:t xml:space="preserve"> </w:t>
      </w:r>
      <w:r w:rsidR="00D01E25">
        <w:t xml:space="preserve">(n </w:t>
      </w:r>
      <w:r w:rsidR="008F6B6A">
        <w:fldChar w:fldCharType="begin"/>
      </w:r>
      <w:r w:rsidR="008F6B6A">
        <w:instrText xml:space="preserve"> NOTEREF _Ref207802069 \h </w:instrText>
      </w:r>
      <w:r w:rsidR="000C3628">
        <w:instrText xml:space="preserve"> \* MERGEFORMAT </w:instrText>
      </w:r>
      <w:r w:rsidR="008F6B6A">
        <w:fldChar w:fldCharType="separate"/>
      </w:r>
      <w:r w:rsidR="007D732A">
        <w:t>5</w:t>
      </w:r>
      <w:r w:rsidR="008F6B6A">
        <w:fldChar w:fldCharType="end"/>
      </w:r>
      <w:r w:rsidR="00D01E25">
        <w:t xml:space="preserve">) </w:t>
      </w:r>
      <w:r>
        <w:t>1.</w:t>
      </w:r>
    </w:p>
  </w:footnote>
  <w:footnote w:id="9">
    <w:p w14:paraId="01A078D1" w14:textId="383448E3" w:rsidR="00114E78" w:rsidRDefault="00114E78" w:rsidP="000C3628">
      <w:pPr>
        <w:pStyle w:val="FootnoteText"/>
      </w:pPr>
      <w:r>
        <w:rPr>
          <w:rStyle w:val="FootnoteReference"/>
        </w:rPr>
        <w:footnoteRef/>
      </w:r>
      <w:r>
        <w:t xml:space="preserve"> </w:t>
      </w:r>
      <w:r w:rsidR="008647C6">
        <w:t xml:space="preserve">Kotevski </w:t>
      </w:r>
      <w:r w:rsidR="00D01E25">
        <w:t>et al</w:t>
      </w:r>
      <w:r w:rsidR="007767E9">
        <w:t xml:space="preserve">, </w:t>
      </w:r>
      <w:r w:rsidR="007767E9" w:rsidRPr="00735F2B">
        <w:rPr>
          <w:i/>
          <w:iCs/>
        </w:rPr>
        <w:t>202</w:t>
      </w:r>
      <w:r w:rsidR="008647C6">
        <w:rPr>
          <w:i/>
          <w:iCs/>
        </w:rPr>
        <w:t>3</w:t>
      </w:r>
      <w:r w:rsidR="007767E9" w:rsidRPr="00735F2B">
        <w:rPr>
          <w:i/>
          <w:iCs/>
        </w:rPr>
        <w:t xml:space="preserve"> ART report</w:t>
      </w:r>
      <w:r w:rsidR="007767E9">
        <w:rPr>
          <w:i/>
          <w:iCs/>
        </w:rPr>
        <w:t xml:space="preserve"> </w:t>
      </w:r>
      <w:r w:rsidR="00D01E25">
        <w:t xml:space="preserve">(n </w:t>
      </w:r>
      <w:r w:rsidR="008F6B6A">
        <w:fldChar w:fldCharType="begin"/>
      </w:r>
      <w:r w:rsidR="008F6B6A">
        <w:instrText xml:space="preserve"> NOTEREF _Ref207802069 \h </w:instrText>
      </w:r>
      <w:r w:rsidR="000C3628">
        <w:instrText xml:space="preserve"> \* MERGEFORMAT </w:instrText>
      </w:r>
      <w:r w:rsidR="008F6B6A">
        <w:fldChar w:fldCharType="separate"/>
      </w:r>
      <w:r w:rsidR="007D732A">
        <w:t>5</w:t>
      </w:r>
      <w:r w:rsidR="008F6B6A">
        <w:fldChar w:fldCharType="end"/>
      </w:r>
      <w:r w:rsidR="00D01E25">
        <w:t xml:space="preserve">) </w:t>
      </w:r>
      <w:r w:rsidR="0010319A">
        <w:t xml:space="preserve">vii. </w:t>
      </w:r>
    </w:p>
  </w:footnote>
  <w:footnote w:id="10">
    <w:p w14:paraId="0BBE1761" w14:textId="61D7950D" w:rsidR="00B104E4" w:rsidRDefault="00B104E4" w:rsidP="000C3628">
      <w:pPr>
        <w:pStyle w:val="FootnoteText"/>
      </w:pPr>
      <w:r>
        <w:rPr>
          <w:rStyle w:val="FootnoteReference"/>
        </w:rPr>
        <w:footnoteRef/>
      </w:r>
      <w:r>
        <w:t xml:space="preserve"> </w:t>
      </w:r>
      <w:r w:rsidR="008647C6">
        <w:t xml:space="preserve">Kotevski </w:t>
      </w:r>
      <w:r w:rsidR="00D01E25">
        <w:t>et al</w:t>
      </w:r>
      <w:r w:rsidR="007767E9">
        <w:t xml:space="preserve">, </w:t>
      </w:r>
      <w:r w:rsidR="007767E9" w:rsidRPr="00735F2B">
        <w:rPr>
          <w:i/>
          <w:iCs/>
        </w:rPr>
        <w:t>202</w:t>
      </w:r>
      <w:r w:rsidR="008647C6">
        <w:rPr>
          <w:i/>
          <w:iCs/>
        </w:rPr>
        <w:t>3</w:t>
      </w:r>
      <w:r w:rsidR="007767E9" w:rsidRPr="00735F2B">
        <w:rPr>
          <w:i/>
          <w:iCs/>
        </w:rPr>
        <w:t xml:space="preserve"> ART report</w:t>
      </w:r>
      <w:r w:rsidR="00D01E25">
        <w:t xml:space="preserve"> (n </w:t>
      </w:r>
      <w:r w:rsidR="008F6B6A">
        <w:fldChar w:fldCharType="begin"/>
      </w:r>
      <w:r w:rsidR="008F6B6A">
        <w:instrText xml:space="preserve"> NOTEREF _Ref207802069 \h </w:instrText>
      </w:r>
      <w:r w:rsidR="000C3628">
        <w:instrText xml:space="preserve"> \* MERGEFORMAT </w:instrText>
      </w:r>
      <w:r w:rsidR="008F6B6A">
        <w:fldChar w:fldCharType="separate"/>
      </w:r>
      <w:r w:rsidR="007D732A">
        <w:t>5</w:t>
      </w:r>
      <w:r w:rsidR="008F6B6A">
        <w:fldChar w:fldCharType="end"/>
      </w:r>
      <w:r w:rsidR="00D01E25">
        <w:t xml:space="preserve">) </w:t>
      </w:r>
      <w:r>
        <w:t>vii.</w:t>
      </w:r>
    </w:p>
  </w:footnote>
  <w:footnote w:id="11">
    <w:p w14:paraId="1693976B" w14:textId="77777777" w:rsidR="00B104E4" w:rsidRDefault="00B104E4" w:rsidP="000C3628">
      <w:pPr>
        <w:pStyle w:val="FootnoteText"/>
      </w:pPr>
      <w:r>
        <w:rPr>
          <w:rStyle w:val="FootnoteReference"/>
        </w:rPr>
        <w:footnoteRef/>
      </w:r>
      <w:r>
        <w:t xml:space="preserve"> </w:t>
      </w:r>
      <w:r w:rsidRPr="00146FC7">
        <w:t xml:space="preserve">Rozen G et al, ‘Barriers to Reproductive Treatments in Australia’ (2023) </w:t>
      </w:r>
      <w:r>
        <w:t xml:space="preserve">52(3) </w:t>
      </w:r>
      <w:r w:rsidRPr="00146FC7">
        <w:rPr>
          <w:i/>
          <w:iCs/>
        </w:rPr>
        <w:t>Australian Journal of General Practice</w:t>
      </w:r>
      <w:r>
        <w:rPr>
          <w:i/>
          <w:iCs/>
        </w:rPr>
        <w:t xml:space="preserve"> </w:t>
      </w:r>
      <w:r w:rsidRPr="007E20FB">
        <w:t>109</w:t>
      </w:r>
      <w:r>
        <w:t>.</w:t>
      </w:r>
    </w:p>
  </w:footnote>
  <w:footnote w:id="12">
    <w:p w14:paraId="372499AC" w14:textId="7CCFD65D" w:rsidR="00B104E4" w:rsidRDefault="00B104E4" w:rsidP="000C3628">
      <w:pPr>
        <w:pStyle w:val="FootnoteText"/>
      </w:pPr>
      <w:r>
        <w:rPr>
          <w:rStyle w:val="FootnoteReference"/>
        </w:rPr>
        <w:footnoteRef/>
      </w:r>
      <w:r>
        <w:t xml:space="preserve"> Michael Gorton, </w:t>
      </w:r>
      <w:r w:rsidRPr="00915E58">
        <w:rPr>
          <w:i/>
          <w:iCs/>
        </w:rPr>
        <w:t>H</w:t>
      </w:r>
      <w:r w:rsidRPr="003D4574">
        <w:rPr>
          <w:i/>
          <w:iCs/>
        </w:rPr>
        <w:t>elping Victorians Create Families with Assisted Reproductive Treatment: Final Report of the Independent Review of Assisted Reproductive Treatment</w:t>
      </w:r>
      <w:r>
        <w:t xml:space="preserve"> (Report, May 2019)</w:t>
      </w:r>
      <w:r w:rsidR="003D52F5">
        <w:t xml:space="preserve">; </w:t>
      </w:r>
      <w:r w:rsidR="006F687F">
        <w:t>Office of the Health Ombudsman (Qld</w:t>
      </w:r>
      <w:r w:rsidR="001A1515" w:rsidRPr="005076FA">
        <w:t xml:space="preserve">), </w:t>
      </w:r>
      <w:r w:rsidR="001A1515" w:rsidRPr="005076FA">
        <w:rPr>
          <w:i/>
          <w:iCs/>
        </w:rPr>
        <w:t>Section 81 – Investigation of ART Providers in Queensland: Final Report</w:t>
      </w:r>
      <w:r w:rsidR="001A1515" w:rsidRPr="005076FA">
        <w:t xml:space="preserve"> (Report, </w:t>
      </w:r>
      <w:r w:rsidR="007869A4">
        <w:t>June</w:t>
      </w:r>
      <w:r w:rsidR="007869A4" w:rsidRPr="005076FA">
        <w:t xml:space="preserve"> </w:t>
      </w:r>
      <w:r w:rsidR="001A1515" w:rsidRPr="005076FA">
        <w:t>202</w:t>
      </w:r>
      <w:r w:rsidR="007869A4">
        <w:t>4</w:t>
      </w:r>
      <w:r w:rsidR="001A1515" w:rsidRPr="005076FA">
        <w:t>)</w:t>
      </w:r>
      <w:r w:rsidR="006F687F" w:rsidRPr="005076FA">
        <w:t>.</w:t>
      </w:r>
    </w:p>
  </w:footnote>
  <w:footnote w:id="13">
    <w:p w14:paraId="2839E95D" w14:textId="7730BCA3" w:rsidR="00B104E4" w:rsidRDefault="00B104E4" w:rsidP="000C3628">
      <w:pPr>
        <w:pStyle w:val="FootnoteText"/>
      </w:pPr>
      <w:r>
        <w:rPr>
          <w:rStyle w:val="FootnoteReference"/>
        </w:rPr>
        <w:footnoteRef/>
      </w:r>
      <w:r>
        <w:t xml:space="preserve"> </w:t>
      </w:r>
      <w:r w:rsidRPr="000A6E22">
        <w:t xml:space="preserve">Reproductive Technology Accreditation Committee, </w:t>
      </w:r>
      <w:r w:rsidRPr="000A6E22">
        <w:rPr>
          <w:i/>
          <w:iCs/>
        </w:rPr>
        <w:t>Annual Report 2023–2024</w:t>
      </w:r>
      <w:r w:rsidRPr="000A6E22">
        <w:t xml:space="preserve"> (</w:t>
      </w:r>
      <w:r>
        <w:t>Report</w:t>
      </w:r>
      <w:r w:rsidRPr="000A6E22">
        <w:t>, 2024)</w:t>
      </w:r>
      <w:r w:rsidR="00C677F7">
        <w:t xml:space="preserve"> </w:t>
      </w:r>
      <w:r w:rsidR="00C677F7" w:rsidRPr="00017FE1">
        <w:rPr>
          <w:i/>
          <w:iCs/>
        </w:rPr>
        <w:t>(</w:t>
      </w:r>
      <w:r w:rsidR="00017FE1" w:rsidRPr="00017FE1">
        <w:rPr>
          <w:i/>
          <w:iCs/>
        </w:rPr>
        <w:t>‘</w:t>
      </w:r>
      <w:r w:rsidR="00C677F7" w:rsidRPr="00017FE1">
        <w:rPr>
          <w:i/>
          <w:iCs/>
        </w:rPr>
        <w:t>Annual Report 2023-</w:t>
      </w:r>
      <w:r w:rsidR="00017FE1" w:rsidRPr="00017FE1">
        <w:rPr>
          <w:i/>
          <w:iCs/>
        </w:rPr>
        <w:t>2024’)</w:t>
      </w:r>
      <w:r w:rsidR="00BD65E6" w:rsidRPr="00017FE1">
        <w:rPr>
          <w:i/>
          <w:iCs/>
        </w:rPr>
        <w:t>.</w:t>
      </w:r>
      <w:r w:rsidRPr="000A6E22">
        <w:t xml:space="preserve"> </w:t>
      </w:r>
    </w:p>
  </w:footnote>
  <w:footnote w:id="14">
    <w:p w14:paraId="50BA6EA0" w14:textId="1248DD79" w:rsidR="00B104E4" w:rsidRDefault="00B104E4" w:rsidP="000C3628">
      <w:pPr>
        <w:pStyle w:val="FootnoteText"/>
      </w:pPr>
      <w:r>
        <w:rPr>
          <w:rStyle w:val="FootnoteReference"/>
        </w:rPr>
        <w:footnoteRef/>
      </w:r>
      <w:r>
        <w:t xml:space="preserve"> </w:t>
      </w:r>
      <w:r w:rsidR="00393D38">
        <w:t>Jade</w:t>
      </w:r>
      <w:r w:rsidRPr="000C71E0">
        <w:t xml:space="preserve"> E Newman</w:t>
      </w:r>
      <w:r w:rsidR="008E02DA">
        <w:t xml:space="preserve"> et al</w:t>
      </w:r>
      <w:r w:rsidRPr="000C71E0">
        <w:t xml:space="preserve">, </w:t>
      </w:r>
      <w:r w:rsidRPr="000C71E0">
        <w:rPr>
          <w:i/>
          <w:iCs/>
        </w:rPr>
        <w:t>Assisted Reproductive Technology in Australia and New Zealand 2017</w:t>
      </w:r>
      <w:r w:rsidRPr="000C71E0">
        <w:t xml:space="preserve"> (</w:t>
      </w:r>
      <w:r>
        <w:t>Report</w:t>
      </w:r>
      <w:r w:rsidRPr="000C71E0">
        <w:t xml:space="preserve">, </w:t>
      </w:r>
      <w:r>
        <w:t xml:space="preserve">September </w:t>
      </w:r>
      <w:r w:rsidRPr="000C71E0">
        <w:t>2019)</w:t>
      </w:r>
      <w:r>
        <w:t>.</w:t>
      </w:r>
    </w:p>
  </w:footnote>
  <w:footnote w:id="15">
    <w:p w14:paraId="4A20B0A7" w14:textId="49151337" w:rsidR="00101229" w:rsidRDefault="00101229" w:rsidP="000C3628">
      <w:pPr>
        <w:pStyle w:val="FootnoteText"/>
      </w:pPr>
      <w:r>
        <w:rPr>
          <w:rStyle w:val="FootnoteReference"/>
        </w:rPr>
        <w:footnoteRef/>
      </w:r>
      <w:r>
        <w:t xml:space="preserve"> </w:t>
      </w:r>
      <w:r w:rsidR="002D597D" w:rsidRPr="000A6E22">
        <w:t>Reproductive Technology Accreditation Committee</w:t>
      </w:r>
      <w:r w:rsidR="00EB526F">
        <w:rPr>
          <w:i/>
          <w:iCs/>
        </w:rPr>
        <w:t xml:space="preserve">, </w:t>
      </w:r>
      <w:r w:rsidR="00EB526F" w:rsidRPr="00017FE1">
        <w:rPr>
          <w:i/>
          <w:iCs/>
        </w:rPr>
        <w:t>Annual Report 2023-2024</w:t>
      </w:r>
      <w:r w:rsidR="00732103">
        <w:t xml:space="preserve"> (n </w:t>
      </w:r>
      <w:r w:rsidR="00732103">
        <w:fldChar w:fldCharType="begin"/>
      </w:r>
      <w:r w:rsidR="00732103">
        <w:instrText xml:space="preserve"> NOTEREF _Ref207714269 \h </w:instrText>
      </w:r>
      <w:r w:rsidR="000C3628">
        <w:instrText xml:space="preserve"> \* MERGEFORMAT </w:instrText>
      </w:r>
      <w:r w:rsidR="00732103">
        <w:fldChar w:fldCharType="separate"/>
      </w:r>
      <w:r w:rsidR="007D732A">
        <w:t>13</w:t>
      </w:r>
      <w:r w:rsidR="00732103">
        <w:fldChar w:fldCharType="end"/>
      </w:r>
      <w:r w:rsidR="00732103">
        <w:t xml:space="preserve">) </w:t>
      </w:r>
      <w:r w:rsidR="003F1956">
        <w:t>12</w:t>
      </w:r>
      <w:r w:rsidR="002D597D">
        <w:t>.</w:t>
      </w:r>
    </w:p>
  </w:footnote>
  <w:footnote w:id="16">
    <w:p w14:paraId="1B32C1CD" w14:textId="320BE1DE" w:rsidR="00B104E4" w:rsidRDefault="00B104E4" w:rsidP="000C3628">
      <w:pPr>
        <w:pStyle w:val="FootnoteText"/>
      </w:pPr>
      <w:r>
        <w:rPr>
          <w:rStyle w:val="FootnoteReference"/>
        </w:rPr>
        <w:footnoteRef/>
      </w:r>
      <w:r>
        <w:t xml:space="preserve"> Gorton</w:t>
      </w:r>
      <w:r w:rsidR="009D1D62">
        <w:t xml:space="preserve"> (n </w:t>
      </w:r>
      <w:r w:rsidR="009D1D62">
        <w:fldChar w:fldCharType="begin"/>
      </w:r>
      <w:r w:rsidR="009D1D62">
        <w:instrText xml:space="preserve"> NOTEREF _Ref207713890 \h </w:instrText>
      </w:r>
      <w:r w:rsidR="000C3628">
        <w:instrText xml:space="preserve"> \* MERGEFORMAT </w:instrText>
      </w:r>
      <w:r w:rsidR="009D1D62">
        <w:fldChar w:fldCharType="separate"/>
      </w:r>
      <w:r w:rsidR="007D732A">
        <w:t>12</w:t>
      </w:r>
      <w:r w:rsidR="009D1D62">
        <w:fldChar w:fldCharType="end"/>
      </w:r>
      <w:r>
        <w:t>) 6.</w:t>
      </w:r>
    </w:p>
  </w:footnote>
  <w:footnote w:id="17">
    <w:p w14:paraId="05418881" w14:textId="3EA06BCE" w:rsidR="00B104E4" w:rsidRDefault="00B104E4" w:rsidP="000C3628">
      <w:pPr>
        <w:pStyle w:val="FootnoteText"/>
      </w:pPr>
      <w:r>
        <w:rPr>
          <w:rStyle w:val="FootnoteReference"/>
        </w:rPr>
        <w:footnoteRef/>
      </w:r>
      <w:r>
        <w:t xml:space="preserve"> Richardson</w:t>
      </w:r>
      <w:r w:rsidR="00F47DA9">
        <w:t xml:space="preserve"> (n </w:t>
      </w:r>
      <w:r w:rsidR="00F47DA9">
        <w:fldChar w:fldCharType="begin"/>
      </w:r>
      <w:r w:rsidR="00F47DA9">
        <w:instrText xml:space="preserve"> NOTEREF _Ref207713403 \h </w:instrText>
      </w:r>
      <w:r w:rsidR="000C3628">
        <w:instrText xml:space="preserve"> \* MERGEFORMAT </w:instrText>
      </w:r>
      <w:r w:rsidR="00F47DA9">
        <w:fldChar w:fldCharType="separate"/>
      </w:r>
      <w:r w:rsidR="007D732A">
        <w:t>1</w:t>
      </w:r>
      <w:r w:rsidR="00F47DA9">
        <w:fldChar w:fldCharType="end"/>
      </w:r>
      <w:r w:rsidR="00F47DA9">
        <w:t>).</w:t>
      </w:r>
    </w:p>
  </w:footnote>
  <w:footnote w:id="18">
    <w:p w14:paraId="3E1E64BA" w14:textId="77777777" w:rsidR="00B104E4" w:rsidRDefault="00B104E4" w:rsidP="000C3628">
      <w:pPr>
        <w:pStyle w:val="FootnoteText"/>
      </w:pPr>
      <w:r>
        <w:rPr>
          <w:rStyle w:val="FootnoteReference"/>
        </w:rPr>
        <w:footnoteRef/>
      </w:r>
      <w:r>
        <w:t xml:space="preserve"> Australian Competition and Consumer Commission, ‘</w:t>
      </w:r>
      <w:r w:rsidRPr="00906DFD">
        <w:t>Monash IVF’s Proposed Acquisition of Fertility North Not Opposed</w:t>
      </w:r>
      <w:r>
        <w:t>’</w:t>
      </w:r>
      <w:r>
        <w:rPr>
          <w:i/>
          <w:iCs/>
        </w:rPr>
        <w:t xml:space="preserve"> </w:t>
      </w:r>
      <w:r>
        <w:t>(Media Release, 22 February 2024).</w:t>
      </w:r>
    </w:p>
  </w:footnote>
  <w:footnote w:id="19">
    <w:p w14:paraId="2F0AFF53" w14:textId="65269238" w:rsidR="00B104E4" w:rsidRDefault="00B104E4" w:rsidP="000C3628">
      <w:pPr>
        <w:pStyle w:val="FootnoteText"/>
      </w:pPr>
      <w:r>
        <w:rPr>
          <w:rStyle w:val="FootnoteReference"/>
        </w:rPr>
        <w:footnoteRef/>
      </w:r>
      <w:r>
        <w:t xml:space="preserve"> </w:t>
      </w:r>
      <w:r w:rsidR="00F47DA9">
        <w:t xml:space="preserve">Richardson (n </w:t>
      </w:r>
      <w:r w:rsidR="00F47DA9">
        <w:fldChar w:fldCharType="begin"/>
      </w:r>
      <w:r w:rsidR="00F47DA9">
        <w:instrText xml:space="preserve"> NOTEREF _Ref207713403 \h </w:instrText>
      </w:r>
      <w:r w:rsidR="000C3628">
        <w:instrText xml:space="preserve"> \* MERGEFORMAT </w:instrText>
      </w:r>
      <w:r w:rsidR="00F47DA9">
        <w:fldChar w:fldCharType="separate"/>
      </w:r>
      <w:r w:rsidR="007D732A">
        <w:t>1</w:t>
      </w:r>
      <w:r w:rsidR="00F47DA9">
        <w:fldChar w:fldCharType="end"/>
      </w:r>
      <w:r w:rsidR="00F47DA9">
        <w:t>).</w:t>
      </w:r>
    </w:p>
  </w:footnote>
  <w:footnote w:id="20">
    <w:p w14:paraId="53F1DF21" w14:textId="6CD38E56" w:rsidR="00B104E4" w:rsidRDefault="00B104E4" w:rsidP="000C3628">
      <w:pPr>
        <w:pStyle w:val="FootnoteText"/>
      </w:pPr>
      <w:r w:rsidRPr="00F1219B">
        <w:rPr>
          <w:rStyle w:val="FootnoteReference"/>
        </w:rPr>
        <w:footnoteRef/>
      </w:r>
      <w:r w:rsidRPr="00F1219B">
        <w:t xml:space="preserve"> 77% of the nation's population are in </w:t>
      </w:r>
      <w:r w:rsidR="00303AA3">
        <w:t>New South Wales</w:t>
      </w:r>
      <w:r w:rsidR="00A2793B">
        <w:t xml:space="preserve">, </w:t>
      </w:r>
      <w:r w:rsidR="0050364F">
        <w:t>Queensland</w:t>
      </w:r>
      <w:r w:rsidRPr="00F1219B">
        <w:t xml:space="preserve">, and </w:t>
      </w:r>
      <w:r w:rsidR="007345FA">
        <w:t>Victoria</w:t>
      </w:r>
      <w:r w:rsidRPr="00F1219B">
        <w:t xml:space="preserve">: </w:t>
      </w:r>
      <w:r>
        <w:t>‘</w:t>
      </w:r>
      <w:r w:rsidRPr="00182C2C">
        <w:t>National, state and territory population</w:t>
      </w:r>
      <w:r>
        <w:t xml:space="preserve">’, </w:t>
      </w:r>
      <w:r w:rsidRPr="00182C2C">
        <w:rPr>
          <w:i/>
          <w:iCs/>
        </w:rPr>
        <w:t>Australian Bureau of Statistics</w:t>
      </w:r>
      <w:r>
        <w:t xml:space="preserve"> (Web Page, December 2024) &lt;</w:t>
      </w:r>
      <w:r w:rsidRPr="00F81525">
        <w:t>https://www.abs.gov.au/statistics/people/population/national-state-and-territory-population/latest-release#cite-window1</w:t>
      </w:r>
      <w:r>
        <w:t>&gt;.</w:t>
      </w:r>
    </w:p>
  </w:footnote>
  <w:footnote w:id="21">
    <w:p w14:paraId="0109D5E0" w14:textId="6EFA8340" w:rsidR="00B104E4" w:rsidRDefault="00B104E4" w:rsidP="000C3628">
      <w:pPr>
        <w:pStyle w:val="FootnoteText"/>
      </w:pPr>
      <w:r>
        <w:rPr>
          <w:rStyle w:val="FootnoteReference"/>
        </w:rPr>
        <w:footnoteRef/>
      </w:r>
      <w:r>
        <w:t xml:space="preserve"> </w:t>
      </w:r>
      <w:r w:rsidR="00F47DA9">
        <w:t xml:space="preserve">Richardson (n </w:t>
      </w:r>
      <w:r w:rsidR="00F47DA9">
        <w:fldChar w:fldCharType="begin"/>
      </w:r>
      <w:r w:rsidR="00F47DA9">
        <w:instrText xml:space="preserve"> NOTEREF _Ref207713403 \h </w:instrText>
      </w:r>
      <w:r w:rsidR="000C3628">
        <w:instrText xml:space="preserve"> \* MERGEFORMAT </w:instrText>
      </w:r>
      <w:r w:rsidR="00F47DA9">
        <w:fldChar w:fldCharType="separate"/>
      </w:r>
      <w:r w:rsidR="007D732A">
        <w:t>1</w:t>
      </w:r>
      <w:r w:rsidR="00F47DA9">
        <w:fldChar w:fldCharType="end"/>
      </w:r>
      <w:r w:rsidR="00F47DA9">
        <w:t>).</w:t>
      </w:r>
    </w:p>
  </w:footnote>
  <w:footnote w:id="22">
    <w:p w14:paraId="715EA087" w14:textId="77777777" w:rsidR="00B104E4" w:rsidRPr="00641427" w:rsidRDefault="00B104E4" w:rsidP="000C3628">
      <w:pPr>
        <w:pStyle w:val="FootnoteText"/>
      </w:pPr>
      <w:r>
        <w:rPr>
          <w:rStyle w:val="FootnoteReference"/>
        </w:rPr>
        <w:footnoteRef/>
      </w:r>
      <w:r>
        <w:t xml:space="preserve"> Amanda Mackay, Selina Taylor and Beverly Glass, ‘</w:t>
      </w:r>
      <w:r w:rsidRPr="00C537C3">
        <w:t>Inequity of Access: Scoping the Barriers to Assisted Reproductive Technologies</w:t>
      </w:r>
      <w:r>
        <w:t xml:space="preserve">’ (2023) 11(1) </w:t>
      </w:r>
      <w:r>
        <w:rPr>
          <w:i/>
          <w:iCs/>
        </w:rPr>
        <w:t xml:space="preserve">Pharmacy </w:t>
      </w:r>
      <w:r>
        <w:t>17.</w:t>
      </w:r>
    </w:p>
  </w:footnote>
  <w:footnote w:id="23">
    <w:p w14:paraId="5641570D" w14:textId="1A59810A" w:rsidR="00B104E4" w:rsidRDefault="00B104E4" w:rsidP="000C3628">
      <w:pPr>
        <w:pStyle w:val="FootnoteText"/>
      </w:pPr>
      <w:r>
        <w:rPr>
          <w:rStyle w:val="FootnoteReference"/>
        </w:rPr>
        <w:footnoteRef/>
      </w:r>
      <w:r>
        <w:t xml:space="preserve"> </w:t>
      </w:r>
      <w:r w:rsidRPr="000A6E22">
        <w:t>Reproductive Technology Accreditation Committee</w:t>
      </w:r>
      <w:r w:rsidR="00EB526F">
        <w:rPr>
          <w:i/>
          <w:iCs/>
        </w:rPr>
        <w:t xml:space="preserve">, </w:t>
      </w:r>
      <w:r w:rsidR="00EB526F" w:rsidRPr="00017FE1">
        <w:rPr>
          <w:i/>
          <w:iCs/>
        </w:rPr>
        <w:t>Annual Report 2023-2024</w:t>
      </w:r>
      <w:r w:rsidR="00732103">
        <w:t xml:space="preserve"> (n </w:t>
      </w:r>
      <w:r w:rsidR="00732103">
        <w:fldChar w:fldCharType="begin"/>
      </w:r>
      <w:r w:rsidR="00732103">
        <w:instrText xml:space="preserve"> NOTEREF _Ref207714269 \h </w:instrText>
      </w:r>
      <w:r w:rsidR="000C3628">
        <w:instrText xml:space="preserve"> \* MERGEFORMAT </w:instrText>
      </w:r>
      <w:r w:rsidR="00732103">
        <w:fldChar w:fldCharType="separate"/>
      </w:r>
      <w:r w:rsidR="007D732A">
        <w:t>13</w:t>
      </w:r>
      <w:r w:rsidR="00732103">
        <w:fldChar w:fldCharType="end"/>
      </w:r>
      <w:r w:rsidR="00732103">
        <w:t>).</w:t>
      </w:r>
    </w:p>
  </w:footnote>
  <w:footnote w:id="24">
    <w:p w14:paraId="47C93087" w14:textId="0D7CFD4A" w:rsidR="00E86F8C" w:rsidRDefault="00E86F8C" w:rsidP="000C3628">
      <w:pPr>
        <w:pStyle w:val="FootnoteText"/>
      </w:pPr>
      <w:r>
        <w:rPr>
          <w:rStyle w:val="FootnoteReference"/>
        </w:rPr>
        <w:footnoteRef/>
      </w:r>
      <w:r>
        <w:t xml:space="preserve"> </w:t>
      </w:r>
      <w:r w:rsidR="00732103" w:rsidRPr="000A6E22">
        <w:t>Reproductive Technology Accreditation Committee</w:t>
      </w:r>
      <w:r w:rsidR="00EB526F">
        <w:rPr>
          <w:i/>
          <w:iCs/>
        </w:rPr>
        <w:t xml:space="preserve">, </w:t>
      </w:r>
      <w:r w:rsidR="00EB526F" w:rsidRPr="00017FE1">
        <w:rPr>
          <w:i/>
          <w:iCs/>
        </w:rPr>
        <w:t>Annual Report 2023-2024</w:t>
      </w:r>
      <w:r w:rsidR="00732103">
        <w:t xml:space="preserve"> (n </w:t>
      </w:r>
      <w:r w:rsidR="00732103">
        <w:fldChar w:fldCharType="begin"/>
      </w:r>
      <w:r w:rsidR="00732103">
        <w:instrText xml:space="preserve"> NOTEREF _Ref207714269 \h </w:instrText>
      </w:r>
      <w:r w:rsidR="000C3628">
        <w:instrText xml:space="preserve"> \* MERGEFORMAT </w:instrText>
      </w:r>
      <w:r w:rsidR="00732103">
        <w:fldChar w:fldCharType="separate"/>
      </w:r>
      <w:r w:rsidR="007D732A">
        <w:t>13</w:t>
      </w:r>
      <w:r w:rsidR="00732103">
        <w:fldChar w:fldCharType="end"/>
      </w:r>
      <w:r w:rsidR="00732103">
        <w:t xml:space="preserve">) </w:t>
      </w:r>
      <w:r>
        <w:t>12.</w:t>
      </w:r>
    </w:p>
  </w:footnote>
  <w:footnote w:id="25">
    <w:p w14:paraId="0C5797D8" w14:textId="7734176A" w:rsidR="00E86F8C" w:rsidRDefault="00E86F8C" w:rsidP="000C3628">
      <w:pPr>
        <w:pStyle w:val="FootnoteText"/>
      </w:pPr>
      <w:r>
        <w:rPr>
          <w:rStyle w:val="FootnoteReference"/>
        </w:rPr>
        <w:footnoteRef/>
      </w:r>
      <w:r>
        <w:t xml:space="preserve"> There is one public fertility clinic in Western Australia, however</w:t>
      </w:r>
      <w:r w:rsidR="00EB1E47">
        <w:t>,</w:t>
      </w:r>
      <w:r>
        <w:t xml:space="preserve"> it </w:t>
      </w:r>
      <w:r w:rsidR="00EB1E47">
        <w:t>is</w:t>
      </w:r>
      <w:r>
        <w:t xml:space="preserve"> not </w:t>
      </w:r>
      <w:r w:rsidR="00E24184">
        <w:t>accredited by</w:t>
      </w:r>
      <w:r>
        <w:t xml:space="preserve"> RTAC as it does not offer IVF services. </w:t>
      </w:r>
    </w:p>
  </w:footnote>
  <w:footnote w:id="26">
    <w:p w14:paraId="103B6B8D" w14:textId="50B6FB91" w:rsidR="000D74F6" w:rsidRDefault="000D74F6">
      <w:pPr>
        <w:pStyle w:val="FootnoteText"/>
      </w:pPr>
      <w:r>
        <w:rPr>
          <w:rStyle w:val="FootnoteReference"/>
        </w:rPr>
        <w:footnoteRef/>
      </w:r>
      <w:r>
        <w:t xml:space="preserve"> In this report, </w:t>
      </w:r>
      <w:r w:rsidR="00CC20DF">
        <w:t xml:space="preserve">we focus on </w:t>
      </w:r>
      <w:r w:rsidR="002449D7">
        <w:t xml:space="preserve">fertility preservation </w:t>
      </w:r>
      <w:r w:rsidR="0032434D">
        <w:t>services</w:t>
      </w:r>
      <w:r w:rsidR="002449D7">
        <w:t xml:space="preserve"> </w:t>
      </w:r>
      <w:r w:rsidR="00F32D81">
        <w:t xml:space="preserve">that </w:t>
      </w:r>
      <w:r w:rsidR="00291D66">
        <w:t>fall under</w:t>
      </w:r>
      <w:r w:rsidR="00BF3D28">
        <w:t xml:space="preserve"> ART procedures</w:t>
      </w:r>
      <w:r w:rsidR="005A0666">
        <w:t xml:space="preserve">. </w:t>
      </w:r>
      <w:r w:rsidR="003E3D81">
        <w:t xml:space="preserve">It is important to note that </w:t>
      </w:r>
      <w:r w:rsidR="0017687C">
        <w:t>there are other types of</w:t>
      </w:r>
      <w:r w:rsidR="003E3D81">
        <w:t xml:space="preserve"> fertility preservation </w:t>
      </w:r>
      <w:r w:rsidR="0017687C">
        <w:t xml:space="preserve">services </w:t>
      </w:r>
      <w:r w:rsidR="00D775C9">
        <w:t xml:space="preserve">(e.g. collection of ovarian or testicular tissue) </w:t>
      </w:r>
      <w:r w:rsidR="0017687C">
        <w:t>that</w:t>
      </w:r>
      <w:r w:rsidR="00524FE4">
        <w:t xml:space="preserve"> </w:t>
      </w:r>
      <w:r w:rsidR="006450F9">
        <w:t>are not considered</w:t>
      </w:r>
      <w:r w:rsidR="00C97E0E">
        <w:t xml:space="preserve"> as</w:t>
      </w:r>
      <w:r w:rsidR="003E3D81">
        <w:t xml:space="preserve"> ART procedures.  </w:t>
      </w:r>
    </w:p>
  </w:footnote>
  <w:footnote w:id="27">
    <w:p w14:paraId="23B5646B" w14:textId="1AAF6D38" w:rsidR="00B104E4" w:rsidRDefault="00B104E4" w:rsidP="000C3628">
      <w:pPr>
        <w:pStyle w:val="FootnoteText"/>
      </w:pPr>
      <w:r>
        <w:rPr>
          <w:rStyle w:val="FootnoteReference"/>
        </w:rPr>
        <w:footnoteRef/>
      </w:r>
      <w:r>
        <w:t xml:space="preserve"> </w:t>
      </w:r>
      <w:r w:rsidR="00D621CA">
        <w:t>Jade</w:t>
      </w:r>
      <w:r w:rsidRPr="00E8417A">
        <w:t xml:space="preserve"> E Newman, </w:t>
      </w:r>
      <w:proofErr w:type="spellStart"/>
      <w:r>
        <w:t>Repon</w:t>
      </w:r>
      <w:proofErr w:type="spellEnd"/>
      <w:r w:rsidRPr="00E8417A">
        <w:t xml:space="preserve"> C Paul and </w:t>
      </w:r>
      <w:r w:rsidR="00E707EA">
        <w:t>Georgina</w:t>
      </w:r>
      <w:r w:rsidRPr="00E8417A">
        <w:t xml:space="preserve"> M Chambers, </w:t>
      </w:r>
      <w:r w:rsidRPr="00E8417A">
        <w:rPr>
          <w:i/>
          <w:iCs/>
        </w:rPr>
        <w:t>Assisted Reproductive Technology in Australia and New Zealand 2020</w:t>
      </w:r>
      <w:r w:rsidRPr="00E8417A">
        <w:t xml:space="preserve"> (</w:t>
      </w:r>
      <w:r>
        <w:t>Report</w:t>
      </w:r>
      <w:r w:rsidRPr="00E8417A">
        <w:t xml:space="preserve">, </w:t>
      </w:r>
      <w:r w:rsidR="00C054B3">
        <w:t>October 2022</w:t>
      </w:r>
      <w:r w:rsidRPr="00E8417A">
        <w:t>)</w:t>
      </w:r>
      <w:r w:rsidR="00211F47">
        <w:t xml:space="preserve"> 17</w:t>
      </w:r>
      <w:r w:rsidR="00914582">
        <w:t xml:space="preserve">; </w:t>
      </w:r>
      <w:r w:rsidR="002C64F0">
        <w:t xml:space="preserve">Kotevski </w:t>
      </w:r>
      <w:r w:rsidR="001725EE">
        <w:t>et al</w:t>
      </w:r>
      <w:r w:rsidR="00184200">
        <w:t xml:space="preserve">, </w:t>
      </w:r>
      <w:r w:rsidR="00184200" w:rsidRPr="00735F2B">
        <w:rPr>
          <w:i/>
          <w:iCs/>
        </w:rPr>
        <w:t>202</w:t>
      </w:r>
      <w:r w:rsidR="002C64F0">
        <w:rPr>
          <w:i/>
          <w:iCs/>
        </w:rPr>
        <w:t>3</w:t>
      </w:r>
      <w:r w:rsidR="00184200" w:rsidRPr="00735F2B">
        <w:rPr>
          <w:i/>
          <w:iCs/>
        </w:rPr>
        <w:t xml:space="preserve"> ART report</w:t>
      </w:r>
      <w:r w:rsidR="001725EE">
        <w:t xml:space="preserve"> (n </w:t>
      </w:r>
      <w:r w:rsidR="009605C3">
        <w:fldChar w:fldCharType="begin"/>
      </w:r>
      <w:r w:rsidR="009605C3">
        <w:instrText xml:space="preserve"> NOTEREF _Ref207802069 \h </w:instrText>
      </w:r>
      <w:r w:rsidR="000C3628">
        <w:instrText xml:space="preserve"> \* MERGEFORMAT </w:instrText>
      </w:r>
      <w:r w:rsidR="009605C3">
        <w:fldChar w:fldCharType="separate"/>
      </w:r>
      <w:r w:rsidR="007D732A">
        <w:t>5</w:t>
      </w:r>
      <w:r w:rsidR="009605C3">
        <w:fldChar w:fldCharType="end"/>
      </w:r>
      <w:r w:rsidR="001725EE">
        <w:t xml:space="preserve">) </w:t>
      </w:r>
      <w:r w:rsidR="0083243C">
        <w:t>17</w:t>
      </w:r>
      <w:r w:rsidR="00914582">
        <w:t>.</w:t>
      </w:r>
    </w:p>
  </w:footnote>
  <w:footnote w:id="28">
    <w:p w14:paraId="025EDA03" w14:textId="5EC2AAF5" w:rsidR="00101229" w:rsidRDefault="00101229" w:rsidP="000C3628">
      <w:pPr>
        <w:pStyle w:val="FootnoteText"/>
      </w:pPr>
      <w:r>
        <w:rPr>
          <w:rStyle w:val="FootnoteReference"/>
        </w:rPr>
        <w:footnoteRef/>
      </w:r>
      <w:r>
        <w:t xml:space="preserve"> </w:t>
      </w:r>
      <w:r w:rsidR="00A57E89">
        <w:t xml:space="preserve">Kotevski </w:t>
      </w:r>
      <w:r w:rsidR="00421282">
        <w:t>et al</w:t>
      </w:r>
      <w:r w:rsidR="00184200">
        <w:t xml:space="preserve">, </w:t>
      </w:r>
      <w:r w:rsidR="00184200" w:rsidRPr="00735F2B">
        <w:rPr>
          <w:i/>
          <w:iCs/>
        </w:rPr>
        <w:t>202</w:t>
      </w:r>
      <w:r w:rsidR="00A57E89">
        <w:rPr>
          <w:i/>
          <w:iCs/>
        </w:rPr>
        <w:t>3</w:t>
      </w:r>
      <w:r w:rsidR="00184200" w:rsidRPr="00735F2B">
        <w:rPr>
          <w:i/>
          <w:iCs/>
        </w:rPr>
        <w:t xml:space="preserve"> ART report</w:t>
      </w:r>
      <w:r w:rsidR="00421282">
        <w:t xml:space="preserve"> (n </w:t>
      </w:r>
      <w:r w:rsidR="009605C3">
        <w:fldChar w:fldCharType="begin"/>
      </w:r>
      <w:r w:rsidR="009605C3">
        <w:instrText xml:space="preserve"> NOTEREF _Ref207802069 \h </w:instrText>
      </w:r>
      <w:r w:rsidR="000C3628">
        <w:instrText xml:space="preserve"> \* MERGEFORMAT </w:instrText>
      </w:r>
      <w:r w:rsidR="009605C3">
        <w:fldChar w:fldCharType="separate"/>
      </w:r>
      <w:r w:rsidR="007D732A">
        <w:t>5</w:t>
      </w:r>
      <w:r w:rsidR="009605C3">
        <w:fldChar w:fldCharType="end"/>
      </w:r>
      <w:r w:rsidR="00421282">
        <w:t xml:space="preserve">) </w:t>
      </w:r>
      <w:r w:rsidR="00BA6466">
        <w:t>46</w:t>
      </w:r>
      <w:r w:rsidR="009A1BB0">
        <w:t>.</w:t>
      </w:r>
    </w:p>
  </w:footnote>
  <w:footnote w:id="29">
    <w:p w14:paraId="07A46B50" w14:textId="4EF01739" w:rsidR="00101229" w:rsidRDefault="00101229" w:rsidP="000C3628">
      <w:pPr>
        <w:pStyle w:val="FootnoteText"/>
      </w:pPr>
      <w:r>
        <w:rPr>
          <w:rStyle w:val="FootnoteReference"/>
        </w:rPr>
        <w:footnoteRef/>
      </w:r>
      <w:r>
        <w:t xml:space="preserve"> </w:t>
      </w:r>
      <w:r w:rsidR="00A57E89">
        <w:t xml:space="preserve">Kotevski </w:t>
      </w:r>
      <w:r w:rsidR="00421282">
        <w:t>et al</w:t>
      </w:r>
      <w:r w:rsidR="00184200">
        <w:t xml:space="preserve">, </w:t>
      </w:r>
      <w:r w:rsidR="00184200" w:rsidRPr="00735F2B">
        <w:rPr>
          <w:i/>
          <w:iCs/>
        </w:rPr>
        <w:t>202</w:t>
      </w:r>
      <w:r w:rsidR="00A57E89">
        <w:rPr>
          <w:i/>
          <w:iCs/>
        </w:rPr>
        <w:t>3</w:t>
      </w:r>
      <w:r w:rsidR="00184200" w:rsidRPr="00735F2B">
        <w:rPr>
          <w:i/>
          <w:iCs/>
        </w:rPr>
        <w:t xml:space="preserve"> ART report</w:t>
      </w:r>
      <w:r w:rsidR="00421282">
        <w:t xml:space="preserve"> (n </w:t>
      </w:r>
      <w:r w:rsidR="009605C3">
        <w:fldChar w:fldCharType="begin"/>
      </w:r>
      <w:r w:rsidR="009605C3">
        <w:instrText xml:space="preserve"> NOTEREF _Ref207802069 \h </w:instrText>
      </w:r>
      <w:r w:rsidR="000C3628">
        <w:instrText xml:space="preserve"> \* MERGEFORMAT </w:instrText>
      </w:r>
      <w:r w:rsidR="009605C3">
        <w:fldChar w:fldCharType="separate"/>
      </w:r>
      <w:r w:rsidR="007D732A">
        <w:t>5</w:t>
      </w:r>
      <w:r w:rsidR="009605C3">
        <w:fldChar w:fldCharType="end"/>
      </w:r>
      <w:r w:rsidR="00421282">
        <w:t xml:space="preserve">) </w:t>
      </w:r>
      <w:r w:rsidR="009A7B84">
        <w:t>17.</w:t>
      </w:r>
    </w:p>
  </w:footnote>
  <w:footnote w:id="30">
    <w:p w14:paraId="499ACD87" w14:textId="77777777" w:rsidR="00B104E4" w:rsidRPr="00471271" w:rsidRDefault="00B104E4" w:rsidP="000C3628">
      <w:pPr>
        <w:pStyle w:val="FootnoteText"/>
      </w:pPr>
      <w:r>
        <w:rPr>
          <w:rStyle w:val="FootnoteReference"/>
        </w:rPr>
        <w:footnoteRef/>
      </w:r>
      <w:r>
        <w:t xml:space="preserve"> Sara </w:t>
      </w:r>
      <w:r w:rsidRPr="004A4E9B">
        <w:t xml:space="preserve">Attinger </w:t>
      </w:r>
      <w:r>
        <w:t xml:space="preserve">et al, ‘Addressing the consequences of the corporatization of reproductive medicine’ (2024) 32(4) </w:t>
      </w:r>
      <w:r>
        <w:rPr>
          <w:i/>
          <w:iCs/>
        </w:rPr>
        <w:t xml:space="preserve">Medical Law Review </w:t>
      </w:r>
      <w:r>
        <w:t>444.</w:t>
      </w:r>
    </w:p>
  </w:footnote>
  <w:footnote w:id="31">
    <w:p w14:paraId="448CC7AF" w14:textId="30143B91" w:rsidR="001F7CC2" w:rsidRDefault="001F7CC2" w:rsidP="000C3628">
      <w:pPr>
        <w:pStyle w:val="FootnoteText"/>
      </w:pPr>
      <w:r>
        <w:rPr>
          <w:rStyle w:val="FootnoteReference"/>
        </w:rPr>
        <w:footnoteRef/>
      </w:r>
      <w:r>
        <w:t xml:space="preserve"> </w:t>
      </w:r>
      <w:r w:rsidR="00D0620A">
        <w:t xml:space="preserve">‘Assisted reproductive technology services’, </w:t>
      </w:r>
      <w:r w:rsidR="00D0620A">
        <w:rPr>
          <w:i/>
          <w:iCs/>
        </w:rPr>
        <w:t>Services Australia</w:t>
      </w:r>
      <w:r w:rsidR="00D0620A">
        <w:t xml:space="preserve"> (Web Page, 1 June 2025) &lt;</w:t>
      </w:r>
      <w:r w:rsidR="00D0620A" w:rsidRPr="00D0620A">
        <w:t xml:space="preserve"> https://www.servicesaustralia.gov.au/mbs-billing-for-assisted-reproductive-technology-services?context=20</w:t>
      </w:r>
      <w:r w:rsidR="00A73418">
        <w:t>&gt;.</w:t>
      </w:r>
    </w:p>
  </w:footnote>
  <w:footnote w:id="32">
    <w:p w14:paraId="4C063945" w14:textId="62C1F2DF" w:rsidR="00C430FD" w:rsidRDefault="00C430FD" w:rsidP="000C3628">
      <w:pPr>
        <w:pStyle w:val="FootnoteText"/>
      </w:pPr>
      <w:r>
        <w:rPr>
          <w:rStyle w:val="FootnoteReference"/>
        </w:rPr>
        <w:footnoteRef/>
      </w:r>
      <w:r w:rsidR="00CD61A9">
        <w:t xml:space="preserve"> </w:t>
      </w:r>
      <w:r w:rsidR="00645F1B">
        <w:t>Australian Government,</w:t>
      </w:r>
      <w:r w:rsidR="00CD61A9">
        <w:t xml:space="preserve"> </w:t>
      </w:r>
      <w:r w:rsidR="00956167" w:rsidRPr="00DD1107">
        <w:rPr>
          <w:i/>
        </w:rPr>
        <w:t>Understanding Medicare: Provider Handbook</w:t>
      </w:r>
      <w:r w:rsidR="00956167">
        <w:t xml:space="preserve"> </w:t>
      </w:r>
      <w:r w:rsidR="00645F1B">
        <w:t>(1 September 2024)</w:t>
      </w:r>
      <w:r w:rsidR="00374428">
        <w:t xml:space="preserve"> </w:t>
      </w:r>
      <w:r w:rsidR="004937C8">
        <w:t>26.</w:t>
      </w:r>
    </w:p>
  </w:footnote>
  <w:footnote w:id="33">
    <w:p w14:paraId="52CB98E6" w14:textId="77777777" w:rsidR="00B104E4" w:rsidRPr="005D45AD" w:rsidRDefault="00B104E4" w:rsidP="000C3628">
      <w:pPr>
        <w:pStyle w:val="FootnoteText"/>
      </w:pPr>
      <w:r>
        <w:rPr>
          <w:rStyle w:val="FootnoteReference"/>
        </w:rPr>
        <w:footnoteRef/>
      </w:r>
      <w:r>
        <w:t xml:space="preserve"> ‘</w:t>
      </w:r>
      <w:r w:rsidRPr="00B41C08">
        <w:t>IVF Costs and Fees</w:t>
      </w:r>
      <w:r>
        <w:t>’</w:t>
      </w:r>
      <w:r>
        <w:rPr>
          <w:i/>
          <w:iCs/>
        </w:rPr>
        <w:t xml:space="preserve">, </w:t>
      </w:r>
      <w:r w:rsidRPr="00676B16">
        <w:rPr>
          <w:i/>
          <w:iCs/>
        </w:rPr>
        <w:t>IVF Australia</w:t>
      </w:r>
      <w:r>
        <w:rPr>
          <w:i/>
          <w:iCs/>
        </w:rPr>
        <w:t xml:space="preserve"> </w:t>
      </w:r>
      <w:r>
        <w:t>(Web Page, 1 June 2025) &lt;</w:t>
      </w:r>
      <w:r w:rsidRPr="000D241D">
        <w:t>https://www.ivf.com.au/ivf-cost/ivf-costs</w:t>
      </w:r>
      <w:r>
        <w:t>&gt;.</w:t>
      </w:r>
    </w:p>
  </w:footnote>
  <w:footnote w:id="34">
    <w:p w14:paraId="52A87507" w14:textId="54DBEF40" w:rsidR="001F7CC2" w:rsidRDefault="001F7CC2" w:rsidP="000C3628">
      <w:pPr>
        <w:pStyle w:val="FootnoteText"/>
      </w:pPr>
      <w:r>
        <w:rPr>
          <w:rStyle w:val="FootnoteReference"/>
        </w:rPr>
        <w:footnoteRef/>
      </w:r>
      <w:r>
        <w:t xml:space="preserve"> </w:t>
      </w:r>
      <w:r w:rsidR="0057019D">
        <w:t xml:space="preserve">This is based on the 2025 Medicare </w:t>
      </w:r>
      <w:r w:rsidR="005B0BE6">
        <w:t>S</w:t>
      </w:r>
      <w:r w:rsidR="0057019D">
        <w:t xml:space="preserve">afety </w:t>
      </w:r>
      <w:r w:rsidR="005B0BE6">
        <w:t>N</w:t>
      </w:r>
      <w:r w:rsidR="0057019D">
        <w:t>et thresholds:</w:t>
      </w:r>
      <w:r>
        <w:t xml:space="preserve"> </w:t>
      </w:r>
      <w:r w:rsidR="00D92265">
        <w:t xml:space="preserve">‘What are the thresholds’, </w:t>
      </w:r>
      <w:r w:rsidR="00D92265">
        <w:rPr>
          <w:i/>
          <w:iCs/>
        </w:rPr>
        <w:t>Services Australia</w:t>
      </w:r>
      <w:r w:rsidR="00D92265">
        <w:t xml:space="preserve"> (Web Page, 1 January 2025) &lt;</w:t>
      </w:r>
      <w:r w:rsidR="00D92265" w:rsidRPr="00D92265">
        <w:t xml:space="preserve"> https://www.servicesaustralia.gov.au/what-are-medicare-safety-nets-thresholds?context=22001</w:t>
      </w:r>
      <w:r w:rsidR="00D92265">
        <w:t>&gt;.</w:t>
      </w:r>
    </w:p>
  </w:footnote>
  <w:footnote w:id="35">
    <w:p w14:paraId="67B58139" w14:textId="03253092" w:rsidR="00B104E4" w:rsidRDefault="00B104E4" w:rsidP="000C3628">
      <w:pPr>
        <w:pStyle w:val="FootnoteText"/>
      </w:pPr>
      <w:r>
        <w:rPr>
          <w:rStyle w:val="FootnoteReference"/>
        </w:rPr>
        <w:footnoteRef/>
      </w:r>
      <w:r>
        <w:t xml:space="preserve"> </w:t>
      </w:r>
      <w:r w:rsidR="009D1D62">
        <w:t xml:space="preserve">Gorton (n </w:t>
      </w:r>
      <w:r w:rsidR="009D1D62">
        <w:fldChar w:fldCharType="begin"/>
      </w:r>
      <w:r w:rsidR="009D1D62">
        <w:instrText xml:space="preserve"> NOTEREF _Ref207713890 \h </w:instrText>
      </w:r>
      <w:r w:rsidR="000C3628">
        <w:instrText xml:space="preserve"> \* MERGEFORMAT </w:instrText>
      </w:r>
      <w:r w:rsidR="009D1D62">
        <w:fldChar w:fldCharType="separate"/>
      </w:r>
      <w:r w:rsidR="007D732A">
        <w:t>12</w:t>
      </w:r>
      <w:r w:rsidR="009D1D62">
        <w:fldChar w:fldCharType="end"/>
      </w:r>
      <w:r w:rsidR="009D1D62">
        <w:t>).</w:t>
      </w:r>
    </w:p>
  </w:footnote>
  <w:footnote w:id="36">
    <w:p w14:paraId="392B6776" w14:textId="51737898" w:rsidR="00B104E4" w:rsidRDefault="00B104E4" w:rsidP="000C3628">
      <w:pPr>
        <w:pStyle w:val="FootnoteText"/>
      </w:pPr>
      <w:r>
        <w:rPr>
          <w:rStyle w:val="FootnoteReference"/>
        </w:rPr>
        <w:footnoteRef/>
      </w:r>
      <w:r>
        <w:t xml:space="preserve"> In </w:t>
      </w:r>
      <w:r w:rsidR="00A91706">
        <w:t>New South Wales</w:t>
      </w:r>
      <w:r>
        <w:t>, additional financial support is provided via a rebate scheme rather than offering a public fertility service.</w:t>
      </w:r>
    </w:p>
  </w:footnote>
  <w:footnote w:id="37">
    <w:p w14:paraId="512CE817" w14:textId="2D727CC3" w:rsidR="00B104E4" w:rsidRPr="00806CCE" w:rsidRDefault="00B104E4" w:rsidP="000C3628">
      <w:pPr>
        <w:pStyle w:val="FootnoteText"/>
      </w:pPr>
      <w:r>
        <w:rPr>
          <w:rStyle w:val="FootnoteReference"/>
        </w:rPr>
        <w:footnoteRef/>
      </w:r>
      <w:r>
        <w:t xml:space="preserve"> In </w:t>
      </w:r>
      <w:r w:rsidR="00456576">
        <w:t>Western Australia</w:t>
      </w:r>
      <w:r>
        <w:t>, public fertility services are provided by King Edward Memorial Hospital Fertility Clinic</w:t>
      </w:r>
      <w:r w:rsidR="001169C9">
        <w:t>. S</w:t>
      </w:r>
      <w:r>
        <w:t>ervice offering</w:t>
      </w:r>
      <w:r w:rsidR="001562AE">
        <w:t>s</w:t>
      </w:r>
      <w:r>
        <w:t xml:space="preserve"> </w:t>
      </w:r>
      <w:r w:rsidR="001562AE">
        <w:t>are</w:t>
      </w:r>
      <w:r>
        <w:t xml:space="preserve"> limited to procedures preceding IVF</w:t>
      </w:r>
      <w:r w:rsidR="0087141C">
        <w:t>,</w:t>
      </w:r>
      <w:r>
        <w:t xml:space="preserve"> such as ovulation induction and surgery</w:t>
      </w:r>
      <w:r w:rsidR="0087141C">
        <w:t>,</w:t>
      </w:r>
      <w:r>
        <w:t xml:space="preserve"> with patients being referred to other</w:t>
      </w:r>
      <w:r w:rsidR="0087141C">
        <w:t xml:space="preserve"> </w:t>
      </w:r>
      <w:r>
        <w:t xml:space="preserve">fertility clinics for treatment: Western Australian Reproductive Technology Council, </w:t>
      </w:r>
      <w:r w:rsidRPr="00806CCE">
        <w:rPr>
          <w:i/>
          <w:iCs/>
        </w:rPr>
        <w:t>Western Australian Reproductive Council Annual Report 2023–2024</w:t>
      </w:r>
      <w:r>
        <w:t xml:space="preserve"> (Report, 2024) 16; ‘Reproductive Medicine Service – including Fertility Clinic’, </w:t>
      </w:r>
      <w:r>
        <w:rPr>
          <w:i/>
          <w:iCs/>
        </w:rPr>
        <w:t>Government of Western Australia</w:t>
      </w:r>
      <w:r>
        <w:t xml:space="preserve"> (Web Page 16 July 2024)</w:t>
      </w:r>
      <w:r w:rsidR="0087141C">
        <w:t>.</w:t>
      </w:r>
      <w:r>
        <w:t xml:space="preserve"> &lt;</w:t>
      </w:r>
      <w:r w:rsidRPr="00510135">
        <w:t>https://www.kemh.health.wa.gov.au/For-Health-Professionals/Gynaecology/Reproductive</w:t>
      </w:r>
      <w:r>
        <w:t xml:space="preserve">&gt;. </w:t>
      </w:r>
    </w:p>
  </w:footnote>
  <w:footnote w:id="38">
    <w:p w14:paraId="0649C692" w14:textId="7677D138" w:rsidR="005C554F" w:rsidRDefault="005C554F" w:rsidP="000C3628">
      <w:pPr>
        <w:pStyle w:val="FootnoteText"/>
      </w:pPr>
      <w:r>
        <w:rPr>
          <w:rStyle w:val="FootnoteReference"/>
        </w:rPr>
        <w:footnoteRef/>
      </w:r>
      <w:r>
        <w:t xml:space="preserve"> Fertility Society of Australia and New Zealand, </w:t>
      </w:r>
      <w:r>
        <w:rPr>
          <w:i/>
          <w:iCs/>
        </w:rPr>
        <w:t>Code of Practice</w:t>
      </w:r>
      <w:r>
        <w:rPr>
          <w:i/>
        </w:rPr>
        <w:t xml:space="preserve"> </w:t>
      </w:r>
      <w:proofErr w:type="gramStart"/>
      <w:r>
        <w:rPr>
          <w:i/>
          <w:iCs/>
        </w:rPr>
        <w:t>For</w:t>
      </w:r>
      <w:proofErr w:type="gramEnd"/>
      <w:r>
        <w:rPr>
          <w:i/>
          <w:iCs/>
        </w:rPr>
        <w:t xml:space="preserve"> Assisted Reproductive Technology Units </w:t>
      </w:r>
      <w:r>
        <w:t xml:space="preserve">(June </w:t>
      </w:r>
      <w:r w:rsidRPr="003D483B">
        <w:t>2025</w:t>
      </w:r>
      <w:r>
        <w:t>)</w:t>
      </w:r>
      <w:r>
        <w:rPr>
          <w:i/>
          <w:iCs/>
        </w:rPr>
        <w:t xml:space="preserve"> </w:t>
      </w:r>
      <w:r>
        <w:t>s 1.4.1</w:t>
      </w:r>
      <w:r w:rsidR="006374B7">
        <w:t xml:space="preserve"> </w:t>
      </w:r>
      <w:r w:rsidR="006374B7" w:rsidRPr="006374B7">
        <w:rPr>
          <w:i/>
          <w:iCs/>
        </w:rPr>
        <w:t>(‘RTAC Code of Practice’)</w:t>
      </w:r>
      <w:r w:rsidR="00825D83">
        <w:t>.</w:t>
      </w:r>
      <w:r>
        <w:t xml:space="preserve"> </w:t>
      </w:r>
    </w:p>
  </w:footnote>
  <w:footnote w:id="39">
    <w:p w14:paraId="43CF7D12" w14:textId="77777777" w:rsidR="00BA1AB8" w:rsidRDefault="00BA1AB8" w:rsidP="000C3628">
      <w:pPr>
        <w:pStyle w:val="FootnoteText"/>
      </w:pPr>
      <w:r>
        <w:rPr>
          <w:rStyle w:val="FootnoteReference"/>
        </w:rPr>
        <w:footnoteRef/>
      </w:r>
      <w:r>
        <w:t xml:space="preserve"> </w:t>
      </w:r>
      <w:r w:rsidRPr="008643F6">
        <w:t>Reproductive Technology Accreditation Committee</w:t>
      </w:r>
      <w:r>
        <w:t xml:space="preserve">, </w:t>
      </w:r>
      <w:r>
        <w:rPr>
          <w:i/>
          <w:iCs/>
        </w:rPr>
        <w:t>The Reproductive Technology Accreditation Committee:</w:t>
      </w:r>
      <w:r w:rsidRPr="008643F6">
        <w:rPr>
          <w:i/>
          <w:iCs/>
        </w:rPr>
        <w:t xml:space="preserve"> Terms of Reference</w:t>
      </w:r>
      <w:r w:rsidRPr="008643F6">
        <w:t xml:space="preserve"> (Report, </w:t>
      </w:r>
      <w:r>
        <w:t>January</w:t>
      </w:r>
      <w:r w:rsidRPr="008643F6">
        <w:t xml:space="preserve"> 2020) </w:t>
      </w:r>
      <w:r>
        <w:t xml:space="preserve">s 1 </w:t>
      </w:r>
      <w:r w:rsidRPr="00B17943">
        <w:rPr>
          <w:i/>
          <w:iCs/>
        </w:rPr>
        <w:t>(‘RTAC Terms of Reference’)</w:t>
      </w:r>
      <w:r>
        <w:t>.</w:t>
      </w:r>
    </w:p>
  </w:footnote>
  <w:footnote w:id="40">
    <w:p w14:paraId="2E983623" w14:textId="54709775" w:rsidR="00BA1AB8" w:rsidRDefault="00BA1AB8" w:rsidP="000C3628">
      <w:pPr>
        <w:pStyle w:val="FootnoteText"/>
      </w:pPr>
      <w:r>
        <w:rPr>
          <w:rStyle w:val="FootnoteReference"/>
        </w:rPr>
        <w:footnoteRef/>
      </w:r>
      <w:r>
        <w:t xml:space="preserve"> </w:t>
      </w:r>
      <w:r w:rsidR="00A32E9A" w:rsidRPr="008643F6">
        <w:t>Reproductive Technology Accreditation Committee</w:t>
      </w:r>
      <w:r w:rsidR="00A32E9A">
        <w:t xml:space="preserve">, </w:t>
      </w:r>
      <w:r w:rsidR="00A32E9A" w:rsidRPr="00B17943">
        <w:rPr>
          <w:i/>
          <w:iCs/>
        </w:rPr>
        <w:t>RTAC Terms of Reference</w:t>
      </w:r>
      <w:r w:rsidR="00A32E9A">
        <w:t xml:space="preserve"> (n</w:t>
      </w:r>
      <w:r w:rsidR="002F6577">
        <w:t xml:space="preserve"> </w:t>
      </w:r>
      <w:r w:rsidR="00954D91">
        <w:fldChar w:fldCharType="begin"/>
      </w:r>
      <w:r w:rsidR="00954D91">
        <w:instrText xml:space="preserve"> NOTEREF _Ref207891366 \h </w:instrText>
      </w:r>
      <w:r w:rsidR="000C3628">
        <w:instrText xml:space="preserve"> \* MERGEFORMAT </w:instrText>
      </w:r>
      <w:r w:rsidR="00954D91">
        <w:fldChar w:fldCharType="separate"/>
      </w:r>
      <w:r w:rsidR="007D732A">
        <w:t>39</w:t>
      </w:r>
      <w:r w:rsidR="00954D91">
        <w:fldChar w:fldCharType="end"/>
      </w:r>
      <w:r w:rsidR="00261573">
        <w:t>)</w:t>
      </w:r>
      <w:r w:rsidR="00A32E9A" w:rsidRPr="008643F6">
        <w:t xml:space="preserve"> </w:t>
      </w:r>
      <w:r w:rsidR="00A32E9A">
        <w:t xml:space="preserve">s </w:t>
      </w:r>
      <w:r w:rsidR="000D5BD0">
        <w:t>1.</w:t>
      </w:r>
      <w:r w:rsidR="00A32E9A" w:rsidRPr="008643F6" w:rsidDel="00A32E9A">
        <w:t xml:space="preserve"> </w:t>
      </w:r>
    </w:p>
  </w:footnote>
  <w:footnote w:id="41">
    <w:p w14:paraId="575376AD" w14:textId="206C851C" w:rsidR="005C554F" w:rsidRDefault="005C554F" w:rsidP="000C3628">
      <w:pPr>
        <w:pStyle w:val="FootnoteText"/>
      </w:pPr>
      <w:r w:rsidRPr="00720F04">
        <w:rPr>
          <w:rStyle w:val="FootnoteReference"/>
        </w:rPr>
        <w:footnoteRef/>
      </w:r>
      <w:r w:rsidRPr="00720F04">
        <w:t xml:space="preserve"> </w:t>
      </w:r>
      <w:r w:rsidR="00CE02EF">
        <w:t>‘</w:t>
      </w:r>
      <w:r w:rsidRPr="00720F04">
        <w:t>FSANZ Board</w:t>
      </w:r>
      <w:r w:rsidR="00CE02EF">
        <w:t>’</w:t>
      </w:r>
      <w:r w:rsidR="00B369BC">
        <w:t>,</w:t>
      </w:r>
      <w:r w:rsidRPr="00720F04">
        <w:t xml:space="preserve"> </w:t>
      </w:r>
      <w:r w:rsidRPr="00CE02EF">
        <w:rPr>
          <w:i/>
        </w:rPr>
        <w:t>Fertility Society of Australia and New Zealand</w:t>
      </w:r>
      <w:r w:rsidRPr="00720F04">
        <w:t xml:space="preserve"> (Web Page, 2025) &lt;https://www.fertilitysociety.com.au/about/about-01/fsanz-board/&gt;. </w:t>
      </w:r>
    </w:p>
  </w:footnote>
  <w:footnote w:id="42">
    <w:p w14:paraId="05346E10" w14:textId="58F68454" w:rsidR="007B7A45" w:rsidRDefault="007B7A45" w:rsidP="000C3628">
      <w:pPr>
        <w:pStyle w:val="FootnoteText"/>
      </w:pPr>
      <w:r w:rsidRPr="00720F04">
        <w:rPr>
          <w:rStyle w:val="FootnoteReference"/>
        </w:rPr>
        <w:footnoteRef/>
      </w:r>
      <w:r>
        <w:t xml:space="preserve"> Fertility Society of Australia and New Zealand, </w:t>
      </w:r>
      <w:r w:rsidRPr="0037019B">
        <w:rPr>
          <w:i/>
          <w:iCs/>
        </w:rPr>
        <w:t>RTAC Scheme – Requirements for bodies providing audit and certification to the Code of Practice for Assisted Reproductive Technology Units</w:t>
      </w:r>
      <w:r>
        <w:t xml:space="preserve"> (20 December 2021) </w:t>
      </w:r>
      <w:r>
        <w:rPr>
          <w:i/>
          <w:iCs/>
        </w:rPr>
        <w:t>(‘RTAC Scheme Rules’)</w:t>
      </w:r>
      <w:r>
        <w:t>.</w:t>
      </w:r>
    </w:p>
  </w:footnote>
  <w:footnote w:id="43">
    <w:p w14:paraId="37FCA80F" w14:textId="55DE0CFE" w:rsidR="005C554F" w:rsidRDefault="005C554F" w:rsidP="000C3628">
      <w:pPr>
        <w:pStyle w:val="FootnoteText"/>
      </w:pPr>
      <w:r>
        <w:rPr>
          <w:rStyle w:val="FootnoteReference"/>
        </w:rPr>
        <w:footnoteRef/>
      </w:r>
      <w:r>
        <w:t xml:space="preserve"> </w:t>
      </w:r>
      <w:r w:rsidR="00CE02EF">
        <w:t>‘</w:t>
      </w:r>
      <w:r>
        <w:t>Codes of Practice history and purpose</w:t>
      </w:r>
      <w:r w:rsidR="00CE02EF">
        <w:t>’,</w:t>
      </w:r>
      <w:r w:rsidRPr="00CE02EF">
        <w:rPr>
          <w:i/>
        </w:rPr>
        <w:t xml:space="preserve"> Fertility Society of Australia and New Zealand</w:t>
      </w:r>
      <w:r>
        <w:t xml:space="preserve"> (Web Page, 2025) &lt;</w:t>
      </w:r>
      <w:r w:rsidRPr="00DC02B0">
        <w:t>https://www.fertilitysociety.com.au/art-regulation/rtac/</w:t>
      </w:r>
      <w:r>
        <w:t>&gt;.</w:t>
      </w:r>
    </w:p>
  </w:footnote>
  <w:footnote w:id="44">
    <w:p w14:paraId="1491CE2A" w14:textId="0B241B12" w:rsidR="00C67BFE" w:rsidRDefault="00C67BFE" w:rsidP="000C3628">
      <w:pPr>
        <w:pStyle w:val="FootnoteText"/>
      </w:pPr>
      <w:r>
        <w:rPr>
          <w:rStyle w:val="FootnoteReference"/>
        </w:rPr>
        <w:footnoteRef/>
      </w:r>
      <w:r>
        <w:t xml:space="preserve"> </w:t>
      </w:r>
      <w:r w:rsidR="00F5534F">
        <w:t>Fertility Society of Australia and New Zealand</w:t>
      </w:r>
      <w:r w:rsidR="006374B7">
        <w:t xml:space="preserve">, </w:t>
      </w:r>
      <w:r w:rsidR="006374B7" w:rsidRPr="006374B7">
        <w:rPr>
          <w:i/>
          <w:iCs/>
        </w:rPr>
        <w:t>RTAC Code of Practice</w:t>
      </w:r>
      <w:r w:rsidR="00B1302F">
        <w:t xml:space="preserve"> (n </w:t>
      </w:r>
      <w:r w:rsidR="00B1302F">
        <w:fldChar w:fldCharType="begin"/>
      </w:r>
      <w:r w:rsidR="00B1302F">
        <w:instrText xml:space="preserve"> NOTEREF _Ref207714715 \h </w:instrText>
      </w:r>
      <w:r w:rsidR="000C3628">
        <w:instrText xml:space="preserve"> \* MERGEFORMAT </w:instrText>
      </w:r>
      <w:r w:rsidR="00B1302F">
        <w:fldChar w:fldCharType="separate"/>
      </w:r>
      <w:r w:rsidR="007D732A">
        <w:t>38</w:t>
      </w:r>
      <w:r w:rsidR="00B1302F">
        <w:fldChar w:fldCharType="end"/>
      </w:r>
      <w:r w:rsidR="00B1302F">
        <w:t xml:space="preserve">) </w:t>
      </w:r>
      <w:r w:rsidR="00F5534F">
        <w:t>s 1.1.</w:t>
      </w:r>
    </w:p>
  </w:footnote>
  <w:footnote w:id="45">
    <w:p w14:paraId="6D458548" w14:textId="42F54470" w:rsidR="00E210E6" w:rsidRDefault="00E210E6" w:rsidP="000C3628">
      <w:pPr>
        <w:pStyle w:val="FootnoteText"/>
      </w:pPr>
      <w:r>
        <w:rPr>
          <w:rStyle w:val="FootnoteReference"/>
        </w:rPr>
        <w:footnoteRef/>
      </w:r>
      <w:r>
        <w:t xml:space="preserve"> </w:t>
      </w:r>
      <w:r w:rsidR="00CC3766">
        <w:t>Fertility Society of Australia and New Zealand</w:t>
      </w:r>
      <w:r w:rsidR="006374B7">
        <w:t xml:space="preserve">, </w:t>
      </w:r>
      <w:r w:rsidR="006374B7" w:rsidRPr="006374B7">
        <w:rPr>
          <w:i/>
          <w:iCs/>
        </w:rPr>
        <w:t>RTAC Code of Practice</w:t>
      </w:r>
      <w:r w:rsidR="00CC3766">
        <w:t xml:space="preserve"> (n </w:t>
      </w:r>
      <w:r w:rsidR="00CC3766">
        <w:fldChar w:fldCharType="begin"/>
      </w:r>
      <w:r w:rsidR="00CC3766">
        <w:instrText xml:space="preserve"> NOTEREF _Ref207714715 \h </w:instrText>
      </w:r>
      <w:r w:rsidR="000C3628">
        <w:instrText xml:space="preserve"> \* MERGEFORMAT </w:instrText>
      </w:r>
      <w:r w:rsidR="00CC3766">
        <w:fldChar w:fldCharType="separate"/>
      </w:r>
      <w:r w:rsidR="007D732A">
        <w:t>38</w:t>
      </w:r>
      <w:r w:rsidR="00CC3766">
        <w:fldChar w:fldCharType="end"/>
      </w:r>
      <w:r w:rsidR="00CC3766">
        <w:t xml:space="preserve">) </w:t>
      </w:r>
      <w:r w:rsidR="00F5534F">
        <w:t>s 1.1.</w:t>
      </w:r>
    </w:p>
  </w:footnote>
  <w:footnote w:id="46">
    <w:p w14:paraId="5AECA7C8" w14:textId="3DC59590" w:rsidR="00CE02EF" w:rsidRDefault="00CE02EF" w:rsidP="000C3628">
      <w:pPr>
        <w:pStyle w:val="FootnoteText"/>
      </w:pPr>
      <w:r>
        <w:rPr>
          <w:rStyle w:val="FootnoteReference"/>
        </w:rPr>
        <w:footnoteRef/>
      </w:r>
      <w:r w:rsidR="00DB4AF5">
        <w:t xml:space="preserve"> </w:t>
      </w:r>
      <w:r w:rsidR="00CC3766">
        <w:t>Fertility Society of Australia and New Zealand</w:t>
      </w:r>
      <w:r w:rsidR="006374B7">
        <w:t xml:space="preserve">, </w:t>
      </w:r>
      <w:r w:rsidR="006374B7" w:rsidRPr="006374B7">
        <w:rPr>
          <w:i/>
          <w:iCs/>
        </w:rPr>
        <w:t>RTAC Code of Practice</w:t>
      </w:r>
      <w:r w:rsidR="00CC3766">
        <w:t xml:space="preserve"> (n </w:t>
      </w:r>
      <w:r w:rsidR="00CC3766">
        <w:fldChar w:fldCharType="begin"/>
      </w:r>
      <w:r w:rsidR="00CC3766">
        <w:instrText xml:space="preserve"> NOTEREF _Ref207714715 \h </w:instrText>
      </w:r>
      <w:r w:rsidR="000C3628">
        <w:instrText xml:space="preserve"> \* MERGEFORMAT </w:instrText>
      </w:r>
      <w:r w:rsidR="00CC3766">
        <w:fldChar w:fldCharType="separate"/>
      </w:r>
      <w:r w:rsidR="007D732A">
        <w:t>38</w:t>
      </w:r>
      <w:r w:rsidR="00CC3766">
        <w:fldChar w:fldCharType="end"/>
      </w:r>
      <w:r w:rsidR="00CC3766">
        <w:t xml:space="preserve">) </w:t>
      </w:r>
      <w:r w:rsidR="00DB4AF5">
        <w:t>s 2.3.</w:t>
      </w:r>
    </w:p>
  </w:footnote>
  <w:footnote w:id="47">
    <w:p w14:paraId="3BC47407" w14:textId="1B0ED3BC" w:rsidR="003324F0" w:rsidRDefault="003324F0" w:rsidP="000C3628">
      <w:pPr>
        <w:pStyle w:val="FootnoteText"/>
      </w:pPr>
      <w:r>
        <w:rPr>
          <w:rStyle w:val="FootnoteReference"/>
        </w:rPr>
        <w:footnoteRef/>
      </w:r>
      <w:r>
        <w:t xml:space="preserve"> </w:t>
      </w:r>
      <w:r w:rsidRPr="008643F6">
        <w:t>Reproductive Technology Accreditation Committee</w:t>
      </w:r>
      <w:r>
        <w:t xml:space="preserve">, </w:t>
      </w:r>
      <w:r w:rsidRPr="00B17943">
        <w:rPr>
          <w:i/>
          <w:iCs/>
        </w:rPr>
        <w:t>RTAC Terms of Reference</w:t>
      </w:r>
      <w:r>
        <w:t xml:space="preserve"> (n </w:t>
      </w:r>
      <w:r>
        <w:fldChar w:fldCharType="begin"/>
      </w:r>
      <w:r>
        <w:instrText xml:space="preserve"> NOTEREF _Ref207891366 \h </w:instrText>
      </w:r>
      <w:r w:rsidR="000C3628">
        <w:instrText xml:space="preserve"> \* MERGEFORMAT </w:instrText>
      </w:r>
      <w:r>
        <w:fldChar w:fldCharType="separate"/>
      </w:r>
      <w:r w:rsidR="007D732A">
        <w:t>39</w:t>
      </w:r>
      <w:r>
        <w:fldChar w:fldCharType="end"/>
      </w:r>
      <w:r>
        <w:t>) s 4(d).</w:t>
      </w:r>
    </w:p>
  </w:footnote>
  <w:footnote w:id="48">
    <w:p w14:paraId="02786825" w14:textId="278B0B79" w:rsidR="005C554F" w:rsidRDefault="005C554F" w:rsidP="000C3628">
      <w:pPr>
        <w:pStyle w:val="FootnoteText"/>
      </w:pPr>
      <w:r w:rsidRPr="008643F6">
        <w:rPr>
          <w:rStyle w:val="FootnoteReference"/>
        </w:rPr>
        <w:footnoteRef/>
      </w:r>
      <w:r w:rsidRPr="008643F6">
        <w:t xml:space="preserve"> Reproductive Technology Accreditation Committee</w:t>
      </w:r>
      <w:r w:rsidR="00B17943">
        <w:t xml:space="preserve">, </w:t>
      </w:r>
      <w:r w:rsidR="00B17943" w:rsidRPr="00B17943">
        <w:rPr>
          <w:i/>
          <w:iCs/>
        </w:rPr>
        <w:t>RTAC Terms of Reference</w:t>
      </w:r>
      <w:r w:rsidR="000B34C1">
        <w:t xml:space="preserve"> (</w:t>
      </w:r>
      <w:r w:rsidR="002460F7">
        <w:t xml:space="preserve">n </w:t>
      </w:r>
      <w:r w:rsidR="002460F7">
        <w:fldChar w:fldCharType="begin"/>
      </w:r>
      <w:r w:rsidR="002460F7">
        <w:instrText xml:space="preserve"> NOTEREF _Ref207891366 \h </w:instrText>
      </w:r>
      <w:r w:rsidR="000C3628">
        <w:instrText xml:space="preserve"> \* MERGEFORMAT </w:instrText>
      </w:r>
      <w:r w:rsidR="002460F7">
        <w:fldChar w:fldCharType="separate"/>
      </w:r>
      <w:r w:rsidR="007D732A">
        <w:t>39</w:t>
      </w:r>
      <w:r w:rsidR="002460F7">
        <w:fldChar w:fldCharType="end"/>
      </w:r>
      <w:r w:rsidR="002460F7">
        <w:t xml:space="preserve">) </w:t>
      </w:r>
      <w:r w:rsidR="00F875F1">
        <w:t>s 4(d)</w:t>
      </w:r>
      <w:r>
        <w:t>.</w:t>
      </w:r>
    </w:p>
  </w:footnote>
  <w:footnote w:id="49">
    <w:p w14:paraId="44A6DE12" w14:textId="7649DDAB" w:rsidR="00A02039" w:rsidRDefault="00A02039" w:rsidP="000C3628">
      <w:pPr>
        <w:pStyle w:val="FootnoteText"/>
      </w:pPr>
      <w:r>
        <w:rPr>
          <w:rStyle w:val="FootnoteReference"/>
        </w:rPr>
        <w:footnoteRef/>
      </w:r>
      <w:r>
        <w:t xml:space="preserve"> </w:t>
      </w:r>
      <w:r w:rsidR="00CC3766">
        <w:t>Fertility Society of Australia and New Zealand</w:t>
      </w:r>
      <w:r w:rsidR="006374B7">
        <w:t xml:space="preserve">, </w:t>
      </w:r>
      <w:r w:rsidR="006374B7" w:rsidRPr="006374B7">
        <w:rPr>
          <w:i/>
          <w:iCs/>
        </w:rPr>
        <w:t>RTAC Code of Practice</w:t>
      </w:r>
      <w:r w:rsidR="00CC3766">
        <w:t xml:space="preserve"> (n </w:t>
      </w:r>
      <w:r w:rsidR="00CC3766">
        <w:fldChar w:fldCharType="begin"/>
      </w:r>
      <w:r w:rsidR="00CC3766">
        <w:instrText xml:space="preserve"> NOTEREF _Ref207714715 \h </w:instrText>
      </w:r>
      <w:r w:rsidR="000C3628">
        <w:instrText xml:space="preserve"> \* MERGEFORMAT </w:instrText>
      </w:r>
      <w:r w:rsidR="00CC3766">
        <w:fldChar w:fldCharType="separate"/>
      </w:r>
      <w:r w:rsidR="007D732A">
        <w:t>38</w:t>
      </w:r>
      <w:r w:rsidR="00CC3766">
        <w:fldChar w:fldCharType="end"/>
      </w:r>
      <w:r w:rsidR="00CC3766">
        <w:t xml:space="preserve">) </w:t>
      </w:r>
      <w:r>
        <w:t>s 2.5.</w:t>
      </w:r>
    </w:p>
  </w:footnote>
  <w:footnote w:id="50">
    <w:p w14:paraId="14252DBD" w14:textId="7C656536" w:rsidR="005C554F" w:rsidRDefault="005C554F" w:rsidP="000C3628">
      <w:pPr>
        <w:pStyle w:val="FootnoteText"/>
      </w:pPr>
      <w:r>
        <w:rPr>
          <w:rStyle w:val="FootnoteReference"/>
        </w:rPr>
        <w:footnoteRef/>
      </w:r>
      <w:r>
        <w:t xml:space="preserve"> </w:t>
      </w:r>
      <w:r w:rsidR="00CC3766">
        <w:t>Fertility Society of Australia and New Zealand</w:t>
      </w:r>
      <w:r w:rsidR="006374B7">
        <w:t xml:space="preserve">, </w:t>
      </w:r>
      <w:r w:rsidR="006374B7" w:rsidRPr="006374B7">
        <w:rPr>
          <w:i/>
          <w:iCs/>
        </w:rPr>
        <w:t>RTAC Code of Practice</w:t>
      </w:r>
      <w:r w:rsidR="00CC3766">
        <w:t xml:space="preserve"> (n </w:t>
      </w:r>
      <w:r w:rsidR="00CC3766">
        <w:fldChar w:fldCharType="begin"/>
      </w:r>
      <w:r w:rsidR="00CC3766">
        <w:instrText xml:space="preserve"> NOTEREF _Ref207714715 \h </w:instrText>
      </w:r>
      <w:r w:rsidR="000C3628">
        <w:instrText xml:space="preserve"> \* MERGEFORMAT </w:instrText>
      </w:r>
      <w:r w:rsidR="00CC3766">
        <w:fldChar w:fldCharType="separate"/>
      </w:r>
      <w:r w:rsidR="007D732A">
        <w:t>38</w:t>
      </w:r>
      <w:r w:rsidR="00CC3766">
        <w:fldChar w:fldCharType="end"/>
      </w:r>
      <w:r w:rsidR="00CC3766">
        <w:t xml:space="preserve">) </w:t>
      </w:r>
      <w:r>
        <w:t>s 2.4.</w:t>
      </w:r>
    </w:p>
  </w:footnote>
  <w:footnote w:id="51">
    <w:p w14:paraId="71585983" w14:textId="76C302B8" w:rsidR="005C554F" w:rsidRDefault="005C554F" w:rsidP="000C3628">
      <w:pPr>
        <w:pStyle w:val="FootnoteText"/>
      </w:pPr>
      <w:r>
        <w:rPr>
          <w:rStyle w:val="FootnoteReference"/>
        </w:rPr>
        <w:footnoteRef/>
      </w:r>
      <w:r>
        <w:t xml:space="preserve"> </w:t>
      </w:r>
      <w:r w:rsidR="00CC3766">
        <w:t>Fertility Society of Australia and New Zealand</w:t>
      </w:r>
      <w:r w:rsidR="006374B7">
        <w:t xml:space="preserve">, </w:t>
      </w:r>
      <w:r w:rsidR="006374B7" w:rsidRPr="006374B7">
        <w:rPr>
          <w:i/>
          <w:iCs/>
        </w:rPr>
        <w:t>RTAC Code of Practice</w:t>
      </w:r>
      <w:r w:rsidR="00CC3766">
        <w:t xml:space="preserve"> (n </w:t>
      </w:r>
      <w:r w:rsidR="00CC3766">
        <w:fldChar w:fldCharType="begin"/>
      </w:r>
      <w:r w:rsidR="00CC3766">
        <w:instrText xml:space="preserve"> NOTEREF _Ref207714715 \h </w:instrText>
      </w:r>
      <w:r w:rsidR="000C3628">
        <w:instrText xml:space="preserve"> \* MERGEFORMAT </w:instrText>
      </w:r>
      <w:r w:rsidR="00CC3766">
        <w:fldChar w:fldCharType="separate"/>
      </w:r>
      <w:r w:rsidR="007D732A">
        <w:t>38</w:t>
      </w:r>
      <w:r w:rsidR="00CC3766">
        <w:fldChar w:fldCharType="end"/>
      </w:r>
      <w:r w:rsidR="00CC3766">
        <w:t xml:space="preserve">) </w:t>
      </w:r>
      <w:r>
        <w:t>s 2.5.2(c).</w:t>
      </w:r>
    </w:p>
  </w:footnote>
  <w:footnote w:id="52">
    <w:p w14:paraId="656EFD16" w14:textId="77777777" w:rsidR="005C554F" w:rsidRDefault="005C554F" w:rsidP="000C3628">
      <w:pPr>
        <w:pStyle w:val="FootnoteText"/>
      </w:pPr>
      <w:r>
        <w:rPr>
          <w:rStyle w:val="FootnoteReference"/>
        </w:rPr>
        <w:footnoteRef/>
      </w:r>
      <w:r>
        <w:t xml:space="preserve"> Reproductive Technology Accreditation Committee, </w:t>
      </w:r>
      <w:r>
        <w:rPr>
          <w:i/>
          <w:iCs/>
        </w:rPr>
        <w:t>RTAC</w:t>
      </w:r>
      <w:r>
        <w:rPr>
          <w:i/>
        </w:rPr>
        <w:t xml:space="preserve"> </w:t>
      </w:r>
      <w:r>
        <w:t>(Web Page, 2025) &lt;</w:t>
      </w:r>
      <w:r w:rsidRPr="00AE31F0">
        <w:t>https://www.fertilitysociety.com.au/art-regulation/rtac/</w:t>
      </w:r>
      <w:r>
        <w:t>&gt;.</w:t>
      </w:r>
    </w:p>
  </w:footnote>
  <w:footnote w:id="53">
    <w:p w14:paraId="545A3A16" w14:textId="31B953C3" w:rsidR="00FE6A5B" w:rsidRPr="005F3432" w:rsidRDefault="00FE6A5B" w:rsidP="000C3628">
      <w:pPr>
        <w:pStyle w:val="FootnoteText"/>
      </w:pPr>
      <w:r>
        <w:rPr>
          <w:rStyle w:val="FootnoteReference"/>
        </w:rPr>
        <w:footnoteRef/>
      </w:r>
      <w:r>
        <w:t xml:space="preserve"> </w:t>
      </w:r>
      <w:r w:rsidR="00A83AD5">
        <w:t xml:space="preserve">Fertility Society of Australia and New Zealand, </w:t>
      </w:r>
      <w:r w:rsidR="00A83AD5">
        <w:rPr>
          <w:i/>
          <w:iCs/>
        </w:rPr>
        <w:t>RTAC Scheme Rules</w:t>
      </w:r>
      <w:r w:rsidR="00A83AD5">
        <w:t xml:space="preserve"> </w:t>
      </w:r>
      <w:r w:rsidR="00A83AD5" w:rsidRPr="00406195">
        <w:t>(</w:t>
      </w:r>
      <w:r w:rsidR="005606D9">
        <w:t xml:space="preserve">n </w:t>
      </w:r>
      <w:r w:rsidR="005D03D6">
        <w:fldChar w:fldCharType="begin"/>
      </w:r>
      <w:r w:rsidR="005D03D6">
        <w:instrText xml:space="preserve"> NOTEREF _Ref207892736 \h </w:instrText>
      </w:r>
      <w:r w:rsidR="000C3628">
        <w:instrText xml:space="preserve"> \* MERGEFORMAT </w:instrText>
      </w:r>
      <w:r w:rsidR="005D03D6">
        <w:fldChar w:fldCharType="separate"/>
      </w:r>
      <w:r w:rsidR="007D732A">
        <w:t>42</w:t>
      </w:r>
      <w:r w:rsidR="005D03D6">
        <w:fldChar w:fldCharType="end"/>
      </w:r>
      <w:r w:rsidR="005606D9">
        <w:t xml:space="preserve">) </w:t>
      </w:r>
      <w:r w:rsidR="00A83AD5">
        <w:rPr>
          <w:iCs/>
        </w:rPr>
        <w:t>s 7.4.15(c)</w:t>
      </w:r>
      <w:r w:rsidR="00A83AD5">
        <w:t>.</w:t>
      </w:r>
    </w:p>
  </w:footnote>
  <w:footnote w:id="54">
    <w:p w14:paraId="11A9EC1A" w14:textId="026BB3CF" w:rsidR="00370E57" w:rsidRDefault="00370E57" w:rsidP="000C3628">
      <w:pPr>
        <w:pStyle w:val="FootnoteText"/>
      </w:pPr>
      <w:r>
        <w:rPr>
          <w:rStyle w:val="FootnoteReference"/>
        </w:rPr>
        <w:footnoteRef/>
      </w:r>
      <w:r>
        <w:t xml:space="preserve"> Fertility Society of Australia and New Zealand, </w:t>
      </w:r>
      <w:r>
        <w:rPr>
          <w:i/>
          <w:iCs/>
        </w:rPr>
        <w:t>RTAC Scheme Rules</w:t>
      </w:r>
      <w:r>
        <w:t xml:space="preserve"> </w:t>
      </w:r>
      <w:r w:rsidRPr="00406195">
        <w:t>(</w:t>
      </w:r>
      <w:r>
        <w:t xml:space="preserve">n </w:t>
      </w:r>
      <w:r>
        <w:fldChar w:fldCharType="begin"/>
      </w:r>
      <w:r>
        <w:instrText xml:space="preserve"> NOTEREF _Ref207892736 \h </w:instrText>
      </w:r>
      <w:r w:rsidR="000C3628">
        <w:instrText xml:space="preserve"> \* MERGEFORMAT </w:instrText>
      </w:r>
      <w:r>
        <w:fldChar w:fldCharType="separate"/>
      </w:r>
      <w:r w:rsidR="007D732A">
        <w:t>42</w:t>
      </w:r>
      <w:r>
        <w:fldChar w:fldCharType="end"/>
      </w:r>
      <w:r>
        <w:t xml:space="preserve">) </w:t>
      </w:r>
      <w:r>
        <w:rPr>
          <w:iCs/>
        </w:rPr>
        <w:t>s 7.4.15(c)</w:t>
      </w:r>
      <w:r>
        <w:t>.</w:t>
      </w:r>
    </w:p>
  </w:footnote>
  <w:footnote w:id="55">
    <w:p w14:paraId="6DF010A1" w14:textId="6D30AF07" w:rsidR="005C554F" w:rsidRDefault="005C554F" w:rsidP="000C3628">
      <w:pPr>
        <w:pStyle w:val="FootnoteText"/>
      </w:pPr>
      <w:r w:rsidRPr="004C7150">
        <w:rPr>
          <w:rStyle w:val="FootnoteReference"/>
        </w:rPr>
        <w:footnoteRef/>
      </w:r>
      <w:r w:rsidRPr="004C7150">
        <w:t xml:space="preserve"> </w:t>
      </w:r>
      <w:r w:rsidR="00280CB9" w:rsidRPr="009F0C11">
        <w:t>The</w:t>
      </w:r>
      <w:r w:rsidR="00AA4CD8" w:rsidRPr="009F0C11">
        <w:t xml:space="preserve"> Northern Territory</w:t>
      </w:r>
      <w:r w:rsidR="00280CB9" w:rsidRPr="009F0C11">
        <w:t xml:space="preserve"> </w:t>
      </w:r>
      <w:r w:rsidR="00AA4CD8" w:rsidRPr="009F0C11">
        <w:t>does not</w:t>
      </w:r>
      <w:r w:rsidR="005C30E3">
        <w:t xml:space="preserve"> currently</w:t>
      </w:r>
      <w:r w:rsidR="00AA4CD8" w:rsidRPr="009F0C11">
        <w:t xml:space="preserve"> </w:t>
      </w:r>
      <w:r w:rsidR="00190997" w:rsidRPr="009F0C11">
        <w:t>have a regulatory authority</w:t>
      </w:r>
      <w:r w:rsidR="00197885">
        <w:t xml:space="preserve"> </w:t>
      </w:r>
      <w:r w:rsidR="002D4BF2">
        <w:t>with</w:t>
      </w:r>
      <w:r w:rsidR="009F0C11" w:rsidRPr="00527ACC">
        <w:t xml:space="preserve"> regulatory powers</w:t>
      </w:r>
      <w:r w:rsidR="002D4BF2">
        <w:t xml:space="preserve"> to oversee the </w:t>
      </w:r>
      <w:r w:rsidR="000C3628">
        <w:t xml:space="preserve">ART </w:t>
      </w:r>
      <w:r w:rsidR="002D4BF2">
        <w:t>provider</w:t>
      </w:r>
      <w:r w:rsidR="000C3628">
        <w:t xml:space="preserve"> in the territory</w:t>
      </w:r>
      <w:r w:rsidR="00D3477A">
        <w:t>.</w:t>
      </w:r>
    </w:p>
  </w:footnote>
  <w:footnote w:id="56">
    <w:p w14:paraId="72C860A3" w14:textId="3363B4F3" w:rsidR="005C554F" w:rsidRDefault="005C554F" w:rsidP="000C3628">
      <w:pPr>
        <w:pStyle w:val="FootnoteText"/>
      </w:pPr>
      <w:r>
        <w:rPr>
          <w:rStyle w:val="FootnoteReference"/>
        </w:rPr>
        <w:footnoteRef/>
      </w:r>
      <w:r>
        <w:t xml:space="preserve"> For example, </w:t>
      </w:r>
      <w:r w:rsidR="00A477BA">
        <w:t>Queensland</w:t>
      </w:r>
      <w:r w:rsidR="0000470F">
        <w:t>,</w:t>
      </w:r>
      <w:r>
        <w:t xml:space="preserve"> </w:t>
      </w:r>
      <w:r w:rsidR="006D4530">
        <w:t xml:space="preserve">South Australia </w:t>
      </w:r>
      <w:r w:rsidR="0000470F">
        <w:t xml:space="preserve">and Victoria </w:t>
      </w:r>
      <w:r>
        <w:t xml:space="preserve">have a limit of 10 donor related families, while </w:t>
      </w:r>
      <w:r w:rsidR="003F3470">
        <w:t>Australian Capital Territory</w:t>
      </w:r>
      <w:r w:rsidR="00CC5B59">
        <w:t xml:space="preserve">, </w:t>
      </w:r>
      <w:r w:rsidR="00A91706">
        <w:t>New South Wales</w:t>
      </w:r>
      <w:r>
        <w:t xml:space="preserve">, </w:t>
      </w:r>
      <w:r w:rsidR="00CC5B59">
        <w:t xml:space="preserve">and </w:t>
      </w:r>
      <w:r w:rsidR="00DE0B13">
        <w:t>Western Australia</w:t>
      </w:r>
      <w:r>
        <w:t xml:space="preserve"> have a five-family limit. There are no limits in </w:t>
      </w:r>
      <w:r w:rsidR="00535928">
        <w:t>the Northern Territory</w:t>
      </w:r>
      <w:r>
        <w:t xml:space="preserve"> or T</w:t>
      </w:r>
      <w:r w:rsidR="00535928">
        <w:t>asmania.</w:t>
      </w:r>
    </w:p>
  </w:footnote>
  <w:footnote w:id="57">
    <w:p w14:paraId="2A96154B" w14:textId="6DB60587" w:rsidR="00B2247E" w:rsidRDefault="00B2247E" w:rsidP="000C3628">
      <w:pPr>
        <w:pStyle w:val="FootnoteText"/>
      </w:pPr>
      <w:r>
        <w:rPr>
          <w:rStyle w:val="FootnoteReference"/>
        </w:rPr>
        <w:footnoteRef/>
      </w:r>
      <w:r>
        <w:t xml:space="preserve"> </w:t>
      </w:r>
      <w:r w:rsidR="00D36C7A">
        <w:t>Fertility Society of Australia and New Zealand</w:t>
      </w:r>
      <w:r w:rsidR="006374B7">
        <w:t xml:space="preserve">, </w:t>
      </w:r>
      <w:r w:rsidR="006374B7" w:rsidRPr="006374B7">
        <w:rPr>
          <w:i/>
          <w:iCs/>
        </w:rPr>
        <w:t>RTAC Code of Practice</w:t>
      </w:r>
      <w:r w:rsidR="00D36C7A">
        <w:t xml:space="preserve"> (n </w:t>
      </w:r>
      <w:r w:rsidR="00D36C7A">
        <w:fldChar w:fldCharType="begin"/>
      </w:r>
      <w:r w:rsidR="00D36C7A">
        <w:instrText xml:space="preserve"> NOTEREF _Ref207714715 \h </w:instrText>
      </w:r>
      <w:r w:rsidR="000C3628">
        <w:instrText xml:space="preserve"> \* MERGEFORMAT </w:instrText>
      </w:r>
      <w:r w:rsidR="00D36C7A">
        <w:fldChar w:fldCharType="separate"/>
      </w:r>
      <w:r w:rsidR="007D732A">
        <w:t>38</w:t>
      </w:r>
      <w:r w:rsidR="00D36C7A">
        <w:fldChar w:fldCharType="end"/>
      </w:r>
      <w:r w:rsidR="00D36C7A">
        <w:t xml:space="preserve">) </w:t>
      </w:r>
      <w:r>
        <w:t>s 2.5.</w:t>
      </w:r>
    </w:p>
  </w:footnote>
  <w:footnote w:id="58">
    <w:p w14:paraId="5ABBB862" w14:textId="250CE411" w:rsidR="00B2247E" w:rsidRDefault="00B2247E" w:rsidP="000C3628">
      <w:pPr>
        <w:pStyle w:val="FootnoteText"/>
      </w:pPr>
      <w:r>
        <w:rPr>
          <w:rStyle w:val="FootnoteReference"/>
        </w:rPr>
        <w:footnoteRef/>
      </w:r>
      <w:r>
        <w:t xml:space="preserve"> </w:t>
      </w:r>
      <w:r w:rsidR="00D36C7A">
        <w:t>Fertility Society of Australia and New Zealand</w:t>
      </w:r>
      <w:r w:rsidR="006374B7">
        <w:t xml:space="preserve">, </w:t>
      </w:r>
      <w:r w:rsidR="006374B7" w:rsidRPr="006374B7">
        <w:rPr>
          <w:i/>
          <w:iCs/>
        </w:rPr>
        <w:t>RTAC Code of Practice</w:t>
      </w:r>
      <w:r w:rsidR="00D36C7A">
        <w:t xml:space="preserve"> (n </w:t>
      </w:r>
      <w:r w:rsidR="00D36C7A">
        <w:fldChar w:fldCharType="begin"/>
      </w:r>
      <w:r w:rsidR="00D36C7A">
        <w:instrText xml:space="preserve"> NOTEREF _Ref207714715 \h </w:instrText>
      </w:r>
      <w:r w:rsidR="000C3628">
        <w:instrText xml:space="preserve"> \* MERGEFORMAT </w:instrText>
      </w:r>
      <w:r w:rsidR="00D36C7A">
        <w:fldChar w:fldCharType="separate"/>
      </w:r>
      <w:r w:rsidR="007D732A">
        <w:t>38</w:t>
      </w:r>
      <w:r w:rsidR="00D36C7A">
        <w:fldChar w:fldCharType="end"/>
      </w:r>
      <w:r w:rsidR="00D36C7A">
        <w:t xml:space="preserve">) </w:t>
      </w:r>
      <w:r>
        <w:t>s 2.4.</w:t>
      </w:r>
    </w:p>
  </w:footnote>
  <w:footnote w:id="59">
    <w:p w14:paraId="6978C218" w14:textId="77777777" w:rsidR="005C554F" w:rsidRDefault="005C554F" w:rsidP="000C3628">
      <w:pPr>
        <w:pStyle w:val="FootnoteText"/>
      </w:pPr>
      <w:r>
        <w:rPr>
          <w:rStyle w:val="FootnoteReference"/>
        </w:rPr>
        <w:footnoteRef/>
      </w:r>
      <w:r>
        <w:t xml:space="preserve"> See </w:t>
      </w:r>
      <w:r w:rsidRPr="00823549">
        <w:t>‘National Registration and Accreditation Scheme’</w:t>
      </w:r>
      <w:r>
        <w:rPr>
          <w:i/>
          <w:iCs/>
        </w:rPr>
        <w:t>,</w:t>
      </w:r>
      <w:r>
        <w:rPr>
          <w:i/>
        </w:rPr>
        <w:t xml:space="preserve"> </w:t>
      </w:r>
      <w:r w:rsidRPr="00823549">
        <w:rPr>
          <w:i/>
        </w:rPr>
        <w:t>Australian Government Department of Health and Aged Care</w:t>
      </w:r>
      <w:r>
        <w:t xml:space="preserve"> (Web Page, </w:t>
      </w:r>
      <w:r w:rsidRPr="00433141">
        <w:t>2024</w:t>
      </w:r>
      <w:r>
        <w:t>) &lt;</w:t>
      </w:r>
      <w:r w:rsidRPr="00C345FF">
        <w:t>https://www.health.gov.au/our-work/national-registration-and-accreditation-scheme</w:t>
      </w:r>
      <w:r>
        <w:t>&gt;.</w:t>
      </w:r>
    </w:p>
  </w:footnote>
  <w:footnote w:id="60">
    <w:p w14:paraId="58BB1145" w14:textId="6E6AD213" w:rsidR="005C554F" w:rsidRDefault="005C554F" w:rsidP="000C3628">
      <w:pPr>
        <w:pStyle w:val="FootnoteText"/>
      </w:pPr>
      <w:r>
        <w:rPr>
          <w:rStyle w:val="FootnoteReference"/>
        </w:rPr>
        <w:footnoteRef/>
      </w:r>
      <w:r>
        <w:t xml:space="preserve"> </w:t>
      </w:r>
      <w:r w:rsidRPr="004B011B">
        <w:t>The RTAC Code of Practice requires ART units to provide evidence of personnel training policies and procedures and competency assessment protocols during the audit process.</w:t>
      </w:r>
      <w:r>
        <w:t xml:space="preserve"> See </w:t>
      </w:r>
      <w:r w:rsidR="003456AF">
        <w:t>Fertility Society of Australia and New Zealand</w:t>
      </w:r>
      <w:r w:rsidR="006374B7">
        <w:t xml:space="preserve">, </w:t>
      </w:r>
      <w:r w:rsidR="006374B7" w:rsidRPr="006374B7">
        <w:rPr>
          <w:i/>
          <w:iCs/>
        </w:rPr>
        <w:t>RTAC Code of Practice</w:t>
      </w:r>
      <w:r w:rsidR="003456AF">
        <w:t xml:space="preserve"> (n </w:t>
      </w:r>
      <w:r w:rsidR="003456AF">
        <w:fldChar w:fldCharType="begin"/>
      </w:r>
      <w:r w:rsidR="003456AF">
        <w:instrText xml:space="preserve"> NOTEREF _Ref207714715 \h </w:instrText>
      </w:r>
      <w:r w:rsidR="000C3628">
        <w:instrText xml:space="preserve"> \* MERGEFORMAT </w:instrText>
      </w:r>
      <w:r w:rsidR="003456AF">
        <w:fldChar w:fldCharType="separate"/>
      </w:r>
      <w:r w:rsidR="007D732A">
        <w:t>38</w:t>
      </w:r>
      <w:r w:rsidR="003456AF">
        <w:fldChar w:fldCharType="end"/>
      </w:r>
      <w:r w:rsidR="003456AF">
        <w:t xml:space="preserve">) </w:t>
      </w:r>
      <w:r w:rsidRPr="003D1385">
        <w:t xml:space="preserve">s </w:t>
      </w:r>
      <w:r>
        <w:t>2</w:t>
      </w:r>
      <w:r w:rsidRPr="003D1385">
        <w:t>.2</w:t>
      </w:r>
      <w:r>
        <w:t>.</w:t>
      </w:r>
    </w:p>
  </w:footnote>
  <w:footnote w:id="61">
    <w:p w14:paraId="4D6EB2E6" w14:textId="0E854ACC" w:rsidR="002434B3" w:rsidRDefault="002434B3" w:rsidP="000C3628">
      <w:pPr>
        <w:pStyle w:val="FootnoteText"/>
      </w:pPr>
      <w:r>
        <w:rPr>
          <w:rStyle w:val="FootnoteReference"/>
        </w:rPr>
        <w:footnoteRef/>
      </w:r>
      <w:r>
        <w:t xml:space="preserve"> </w:t>
      </w:r>
      <w:r w:rsidR="00ED6FE7">
        <w:t xml:space="preserve">‘Australian Health Service Safety and Quality Accreditation Scheme’, </w:t>
      </w:r>
      <w:r w:rsidR="00ED6FE7">
        <w:rPr>
          <w:i/>
          <w:iCs/>
        </w:rPr>
        <w:t>Australian Commission on Safety and Quality in Health Care</w:t>
      </w:r>
      <w:r w:rsidR="00ED6FE7">
        <w:t xml:space="preserve"> (Web Page, 2025) &lt;</w:t>
      </w:r>
      <w:r w:rsidR="00ED6FE7" w:rsidRPr="00ED6FE7">
        <w:t xml:space="preserve"> https://www.safetyandquality.gov.au/our-work/accreditation/australian-health-service-safety-and-quality-accreditation-scheme</w:t>
      </w:r>
      <w:r w:rsidR="00ED6FE7">
        <w:t xml:space="preserve">&gt;. </w:t>
      </w:r>
    </w:p>
  </w:footnote>
  <w:footnote w:id="62">
    <w:p w14:paraId="1B927C41" w14:textId="77777777" w:rsidR="005C554F" w:rsidRDefault="005C554F" w:rsidP="000C3628">
      <w:pPr>
        <w:pStyle w:val="FootnoteText"/>
      </w:pPr>
      <w:r>
        <w:rPr>
          <w:rStyle w:val="FootnoteReference"/>
        </w:rPr>
        <w:footnoteRef/>
      </w:r>
      <w:r>
        <w:t xml:space="preserve"> </w:t>
      </w:r>
      <w:r w:rsidRPr="00F735FC">
        <w:t>‘Committees’,</w:t>
      </w:r>
      <w:r>
        <w:rPr>
          <w:i/>
        </w:rPr>
        <w:t xml:space="preserve"> </w:t>
      </w:r>
      <w:r w:rsidRPr="00F735FC">
        <w:rPr>
          <w:i/>
        </w:rPr>
        <w:t>Australian Commission on Safety and Quality in Health Care</w:t>
      </w:r>
      <w:r>
        <w:t xml:space="preserve"> (Web Page, 2021) &lt;</w:t>
      </w:r>
      <w:r w:rsidRPr="00413677">
        <w:t>https://www.safetyandquality.gov.au/about-us/our-people/committees</w:t>
      </w:r>
      <w:r>
        <w:t>&gt;.</w:t>
      </w:r>
    </w:p>
  </w:footnote>
  <w:footnote w:id="63">
    <w:p w14:paraId="0B625B50" w14:textId="7D8D8F2A" w:rsidR="008C5F26" w:rsidRDefault="008C5F26" w:rsidP="000C3628">
      <w:pPr>
        <w:pStyle w:val="FootnoteText"/>
      </w:pPr>
      <w:r>
        <w:rPr>
          <w:rStyle w:val="FootnoteReference"/>
        </w:rPr>
        <w:footnoteRef/>
      </w:r>
      <w:r>
        <w:t xml:space="preserve"> National Association of Testing Authorities, </w:t>
      </w:r>
      <w:r>
        <w:rPr>
          <w:i/>
          <w:iCs/>
        </w:rPr>
        <w:t>NATA Procedures for accreditation</w:t>
      </w:r>
      <w:r>
        <w:t xml:space="preserve"> (December 2024), 10</w:t>
      </w:r>
      <w:r w:rsidR="00A321F6">
        <w:t>.</w:t>
      </w:r>
    </w:p>
  </w:footnote>
  <w:footnote w:id="64">
    <w:p w14:paraId="3C0699E9" w14:textId="0370BCE9" w:rsidR="000F09A4" w:rsidRPr="003B4B91" w:rsidRDefault="000F09A4" w:rsidP="000C3628">
      <w:pPr>
        <w:pStyle w:val="FootnoteText"/>
      </w:pPr>
      <w:r>
        <w:rPr>
          <w:rStyle w:val="FootnoteReference"/>
        </w:rPr>
        <w:footnoteRef/>
      </w:r>
      <w:r>
        <w:t xml:space="preserve"> </w:t>
      </w:r>
      <w:r w:rsidR="00B36B63">
        <w:t>National Association of Testing Authorities</w:t>
      </w:r>
      <w:r w:rsidR="005E3E02">
        <w:t xml:space="preserve"> (n </w:t>
      </w:r>
      <w:r w:rsidR="005E3E02">
        <w:fldChar w:fldCharType="begin"/>
      </w:r>
      <w:r w:rsidR="005E3E02">
        <w:instrText xml:space="preserve"> NOTEREF _Ref207716551 \h </w:instrText>
      </w:r>
      <w:r w:rsidR="000C3628">
        <w:instrText xml:space="preserve"> \* MERGEFORMAT </w:instrText>
      </w:r>
      <w:r w:rsidR="005E3E02">
        <w:fldChar w:fldCharType="separate"/>
      </w:r>
      <w:r w:rsidR="007D732A">
        <w:t>63</w:t>
      </w:r>
      <w:r w:rsidR="005E3E02">
        <w:fldChar w:fldCharType="end"/>
      </w:r>
      <w:r w:rsidR="005E3E02">
        <w:t xml:space="preserve">) </w:t>
      </w:r>
      <w:r w:rsidR="00214FCE">
        <w:t>20</w:t>
      </w:r>
      <w:r w:rsidR="001864C7">
        <w:t>–</w:t>
      </w:r>
      <w:r w:rsidR="00214FCE">
        <w:t>21.</w:t>
      </w:r>
    </w:p>
  </w:footnote>
  <w:footnote w:id="65">
    <w:p w14:paraId="213E024C" w14:textId="0DAF3765" w:rsidR="00015212" w:rsidRDefault="00015212" w:rsidP="000C3628">
      <w:pPr>
        <w:pStyle w:val="FootnoteText"/>
      </w:pPr>
      <w:r>
        <w:rPr>
          <w:rStyle w:val="FootnoteReference"/>
        </w:rPr>
        <w:footnoteRef/>
      </w:r>
      <w:r>
        <w:t xml:space="preserve"> There is currently an ALRC review underway into surrogacy laws. </w:t>
      </w:r>
      <w:r w:rsidRPr="00C846DA">
        <w:t>'Review of Surrogacy Laws',</w:t>
      </w:r>
      <w:r>
        <w:t xml:space="preserve"> </w:t>
      </w:r>
      <w:r w:rsidRPr="00823549">
        <w:rPr>
          <w:i/>
        </w:rPr>
        <w:t>Australian Law Reform Commission</w:t>
      </w:r>
      <w:r w:rsidRPr="00C846DA">
        <w:t xml:space="preserve"> (Web Page, 6 December 2024) </w:t>
      </w:r>
      <w:r>
        <w:t>&lt;</w:t>
      </w:r>
      <w:r w:rsidRPr="00C846DA">
        <w:t>https://www.alrc.gov.au/publication/review-of-surrogacy-laws-issues-paper-2025/</w:t>
      </w:r>
      <w:r>
        <w:t>&gt;.</w:t>
      </w:r>
    </w:p>
  </w:footnote>
  <w:footnote w:id="66">
    <w:p w14:paraId="2AC6B289" w14:textId="3D52ADC1" w:rsidR="005C554F" w:rsidRPr="00267ADA" w:rsidRDefault="005C554F" w:rsidP="000C3628">
      <w:pPr>
        <w:pStyle w:val="FootnoteText"/>
        <w:rPr>
          <w:i/>
        </w:rPr>
      </w:pPr>
      <w:r>
        <w:rPr>
          <w:rStyle w:val="FootnoteReference"/>
        </w:rPr>
        <w:footnoteRef/>
      </w:r>
      <w:r>
        <w:t xml:space="preserve"> </w:t>
      </w:r>
      <w:r>
        <w:rPr>
          <w:iCs/>
        </w:rPr>
        <w:t>ART units that have been certified by one of the two certifying bodies will be eligible for RTAC consideration for recognition as an RTAC licen</w:t>
      </w:r>
      <w:r w:rsidR="0076785A">
        <w:rPr>
          <w:iCs/>
        </w:rPr>
        <w:t>s</w:t>
      </w:r>
      <w:r>
        <w:rPr>
          <w:iCs/>
        </w:rPr>
        <w:t xml:space="preserve">ed ART unit: </w:t>
      </w:r>
      <w:r w:rsidR="003456AF">
        <w:t>Fertility Society of Australia and New Zealand</w:t>
      </w:r>
      <w:r w:rsidR="006374B7">
        <w:t xml:space="preserve">, </w:t>
      </w:r>
      <w:r w:rsidR="006374B7" w:rsidRPr="006374B7">
        <w:rPr>
          <w:i/>
          <w:iCs/>
        </w:rPr>
        <w:t>RTAC Code of Practice</w:t>
      </w:r>
      <w:r w:rsidR="003456AF">
        <w:t xml:space="preserve"> (n </w:t>
      </w:r>
      <w:r w:rsidR="003456AF">
        <w:fldChar w:fldCharType="begin"/>
      </w:r>
      <w:r w:rsidR="003456AF">
        <w:instrText xml:space="preserve"> NOTEREF _Ref207714715 \h </w:instrText>
      </w:r>
      <w:r w:rsidR="000C3628">
        <w:instrText xml:space="preserve"> \* MERGEFORMAT </w:instrText>
      </w:r>
      <w:r w:rsidR="003456AF">
        <w:fldChar w:fldCharType="separate"/>
      </w:r>
      <w:r w:rsidR="007D732A">
        <w:t>38</w:t>
      </w:r>
      <w:r w:rsidR="003456AF">
        <w:fldChar w:fldCharType="end"/>
      </w:r>
      <w:r w:rsidR="003456AF">
        <w:t xml:space="preserve">) </w:t>
      </w:r>
      <w:r w:rsidRPr="00267ADA">
        <w:rPr>
          <w:iCs/>
        </w:rPr>
        <w:t>s 1.5.</w:t>
      </w:r>
    </w:p>
  </w:footnote>
  <w:footnote w:id="67">
    <w:p w14:paraId="23BBEB2B" w14:textId="70DF958F" w:rsidR="005C554F" w:rsidRPr="001D546F" w:rsidRDefault="005C554F" w:rsidP="000C3628">
      <w:pPr>
        <w:pStyle w:val="FootnoteText"/>
        <w:rPr>
          <w:color w:val="FF0000"/>
        </w:rPr>
      </w:pPr>
      <w:r>
        <w:rPr>
          <w:rStyle w:val="FootnoteReference"/>
        </w:rPr>
        <w:footnoteRef/>
      </w:r>
      <w:r>
        <w:t xml:space="preserve"> </w:t>
      </w:r>
      <w:r w:rsidR="003456AF">
        <w:t>Fertility Society of Australia and New Zealand</w:t>
      </w:r>
      <w:r w:rsidR="006374B7">
        <w:t xml:space="preserve">, </w:t>
      </w:r>
      <w:r w:rsidR="006374B7" w:rsidRPr="006374B7">
        <w:rPr>
          <w:i/>
          <w:iCs/>
        </w:rPr>
        <w:t>RTAC Code of Practice</w:t>
      </w:r>
      <w:r w:rsidR="003456AF">
        <w:t xml:space="preserve"> (n </w:t>
      </w:r>
      <w:r w:rsidR="003456AF">
        <w:fldChar w:fldCharType="begin"/>
      </w:r>
      <w:r w:rsidR="003456AF">
        <w:instrText xml:space="preserve"> NOTEREF _Ref207714715 \h </w:instrText>
      </w:r>
      <w:r w:rsidR="000C3628">
        <w:instrText xml:space="preserve"> \* MERGEFORMAT </w:instrText>
      </w:r>
      <w:r w:rsidR="003456AF">
        <w:fldChar w:fldCharType="separate"/>
      </w:r>
      <w:r w:rsidR="007D732A">
        <w:t>38</w:t>
      </w:r>
      <w:r w:rsidR="003456AF">
        <w:fldChar w:fldCharType="end"/>
      </w:r>
      <w:r w:rsidR="003456AF">
        <w:t xml:space="preserve">) </w:t>
      </w:r>
      <w:r>
        <w:t>s 1.7.</w:t>
      </w:r>
    </w:p>
  </w:footnote>
  <w:footnote w:id="68">
    <w:p w14:paraId="4572F58F" w14:textId="195B0643" w:rsidR="002D2D74" w:rsidRDefault="002D2D74" w:rsidP="000C3628">
      <w:pPr>
        <w:pStyle w:val="FootnoteText"/>
      </w:pPr>
      <w:r>
        <w:rPr>
          <w:rStyle w:val="FootnoteReference"/>
        </w:rPr>
        <w:footnoteRef/>
      </w:r>
      <w:r>
        <w:t xml:space="preserve"> Fertility Society of Australia and New Zealand, </w:t>
      </w:r>
      <w:r w:rsidRPr="006374B7">
        <w:rPr>
          <w:i/>
          <w:iCs/>
        </w:rPr>
        <w:t>RTAC Code of Practice</w:t>
      </w:r>
      <w:r>
        <w:t xml:space="preserve"> (n </w:t>
      </w:r>
      <w:r>
        <w:fldChar w:fldCharType="begin"/>
      </w:r>
      <w:r>
        <w:instrText xml:space="preserve"> NOTEREF _Ref207714715 \h </w:instrText>
      </w:r>
      <w:r w:rsidR="000C3628">
        <w:instrText xml:space="preserve"> \* MERGEFORMAT </w:instrText>
      </w:r>
      <w:r>
        <w:fldChar w:fldCharType="separate"/>
      </w:r>
      <w:r w:rsidR="007D732A">
        <w:t>38</w:t>
      </w:r>
      <w:r>
        <w:fldChar w:fldCharType="end"/>
      </w:r>
      <w:r>
        <w:t xml:space="preserve">) s 1.7; Fertility Society of Australia and New Zealand, </w:t>
      </w:r>
      <w:r>
        <w:rPr>
          <w:i/>
          <w:iCs/>
        </w:rPr>
        <w:t>RTAC Scheme Rules</w:t>
      </w:r>
      <w:r>
        <w:t xml:space="preserve"> </w:t>
      </w:r>
      <w:r w:rsidRPr="00406195">
        <w:t>(</w:t>
      </w:r>
      <w:r w:rsidR="006F5C0D">
        <w:t xml:space="preserve">n </w:t>
      </w:r>
      <w:r w:rsidR="006F5C0D">
        <w:fldChar w:fldCharType="begin"/>
      </w:r>
      <w:r w:rsidR="006F5C0D">
        <w:instrText xml:space="preserve"> NOTEREF _Ref207892736 \h </w:instrText>
      </w:r>
      <w:r w:rsidR="000C3628">
        <w:instrText xml:space="preserve"> \* MERGEFORMAT </w:instrText>
      </w:r>
      <w:r w:rsidR="006F5C0D">
        <w:fldChar w:fldCharType="separate"/>
      </w:r>
      <w:r w:rsidR="007D732A">
        <w:t>42</w:t>
      </w:r>
      <w:r w:rsidR="006F5C0D">
        <w:fldChar w:fldCharType="end"/>
      </w:r>
      <w:r w:rsidR="006F5C0D">
        <w:t>)</w:t>
      </w:r>
      <w:r w:rsidRPr="00406195">
        <w:t xml:space="preserve"> </w:t>
      </w:r>
      <w:r>
        <w:rPr>
          <w:iCs/>
        </w:rPr>
        <w:t>s 7.4.15(c)</w:t>
      </w:r>
      <w:r>
        <w:t>.</w:t>
      </w:r>
    </w:p>
  </w:footnote>
  <w:footnote w:id="69">
    <w:p w14:paraId="6956BBB3" w14:textId="6C19F7CA" w:rsidR="005C554F" w:rsidRDefault="005C554F" w:rsidP="000C3628">
      <w:pPr>
        <w:pStyle w:val="FootnoteText"/>
      </w:pPr>
      <w:r>
        <w:rPr>
          <w:rStyle w:val="FootnoteReference"/>
        </w:rPr>
        <w:footnoteRef/>
      </w:r>
      <w:r>
        <w:t xml:space="preserve"> </w:t>
      </w:r>
      <w:r w:rsidR="003456AF">
        <w:t>Fertility Society of Australia and New Zealand</w:t>
      </w:r>
      <w:r w:rsidR="006374B7">
        <w:t xml:space="preserve">, </w:t>
      </w:r>
      <w:r w:rsidR="006374B7" w:rsidRPr="006374B7">
        <w:rPr>
          <w:i/>
          <w:iCs/>
        </w:rPr>
        <w:t>RTAC Code of Practice</w:t>
      </w:r>
      <w:r w:rsidR="003456AF">
        <w:t xml:space="preserve"> (n </w:t>
      </w:r>
      <w:r w:rsidR="003456AF">
        <w:fldChar w:fldCharType="begin"/>
      </w:r>
      <w:r w:rsidR="003456AF">
        <w:instrText xml:space="preserve"> NOTEREF _Ref207714715 \h </w:instrText>
      </w:r>
      <w:r w:rsidR="000C3628">
        <w:instrText xml:space="preserve"> \* MERGEFORMAT </w:instrText>
      </w:r>
      <w:r w:rsidR="003456AF">
        <w:fldChar w:fldCharType="separate"/>
      </w:r>
      <w:r w:rsidR="007D732A">
        <w:t>38</w:t>
      </w:r>
      <w:r w:rsidR="003456AF">
        <w:fldChar w:fldCharType="end"/>
      </w:r>
      <w:r w:rsidR="003456AF">
        <w:t xml:space="preserve">) </w:t>
      </w:r>
      <w:r>
        <w:t>s 2.1.1.</w:t>
      </w:r>
    </w:p>
  </w:footnote>
  <w:footnote w:id="70">
    <w:p w14:paraId="13749019" w14:textId="77777777" w:rsidR="00EA42B8" w:rsidRDefault="00EA42B8" w:rsidP="000C3628">
      <w:pPr>
        <w:pStyle w:val="FootnoteText"/>
      </w:pPr>
      <w:r>
        <w:rPr>
          <w:rStyle w:val="FootnoteReference"/>
        </w:rPr>
        <w:footnoteRef/>
      </w:r>
      <w:r>
        <w:t xml:space="preserve"> </w:t>
      </w:r>
      <w:r w:rsidRPr="00513920">
        <w:rPr>
          <w:i/>
          <w:iCs/>
        </w:rPr>
        <w:t>Assisted Reproductive Technology Act 2024</w:t>
      </w:r>
      <w:r>
        <w:t xml:space="preserve"> (ACT) s 17.</w:t>
      </w:r>
    </w:p>
  </w:footnote>
  <w:footnote w:id="71">
    <w:p w14:paraId="25A33C36" w14:textId="77777777" w:rsidR="00EA42B8" w:rsidRDefault="00EA42B8" w:rsidP="000C3628">
      <w:pPr>
        <w:pStyle w:val="FootnoteText"/>
      </w:pPr>
      <w:r>
        <w:rPr>
          <w:rStyle w:val="FootnoteReference"/>
        </w:rPr>
        <w:footnoteRef/>
      </w:r>
      <w:r>
        <w:t xml:space="preserve"> </w:t>
      </w:r>
      <w:r>
        <w:rPr>
          <w:i/>
          <w:iCs/>
        </w:rPr>
        <w:t>Assisted Reproductive Technology Act 2007</w:t>
      </w:r>
      <w:r>
        <w:t xml:space="preserve"> (NSW) s 6.</w:t>
      </w:r>
    </w:p>
  </w:footnote>
  <w:footnote w:id="72">
    <w:p w14:paraId="2CDEAED9" w14:textId="77777777" w:rsidR="00EA42B8" w:rsidRDefault="00EA42B8" w:rsidP="000C3628">
      <w:pPr>
        <w:pStyle w:val="FootnoteText"/>
      </w:pPr>
      <w:r>
        <w:rPr>
          <w:rStyle w:val="FootnoteReference"/>
        </w:rPr>
        <w:footnoteRef/>
      </w:r>
      <w:r>
        <w:t xml:space="preserve"> </w:t>
      </w:r>
      <w:r>
        <w:rPr>
          <w:i/>
          <w:iCs/>
        </w:rPr>
        <w:t>Assisted Reproductive Technology Act 2024</w:t>
      </w:r>
      <w:r>
        <w:t xml:space="preserve"> (Qld) s 60.</w:t>
      </w:r>
    </w:p>
  </w:footnote>
  <w:footnote w:id="73">
    <w:p w14:paraId="6BF64411" w14:textId="1B0E0E73" w:rsidR="00EA42B8" w:rsidRDefault="00EA42B8" w:rsidP="000C3628">
      <w:pPr>
        <w:pStyle w:val="FootnoteText"/>
      </w:pPr>
      <w:r>
        <w:rPr>
          <w:rStyle w:val="FootnoteReference"/>
        </w:rPr>
        <w:footnoteRef/>
      </w:r>
      <w:r>
        <w:t xml:space="preserve"> </w:t>
      </w:r>
      <w:r>
        <w:rPr>
          <w:i/>
          <w:iCs/>
        </w:rPr>
        <w:t>Assisted Reproductive Treatment Act 2008</w:t>
      </w:r>
      <w:r>
        <w:t xml:space="preserve"> (Vic) ss 74–81.</w:t>
      </w:r>
    </w:p>
  </w:footnote>
  <w:footnote w:id="74">
    <w:p w14:paraId="52EBD452" w14:textId="2D289892" w:rsidR="005507E2" w:rsidRPr="00A342D2" w:rsidRDefault="005507E2">
      <w:pPr>
        <w:pStyle w:val="FootnoteText"/>
      </w:pPr>
      <w:r>
        <w:rPr>
          <w:rStyle w:val="FootnoteReference"/>
        </w:rPr>
        <w:footnoteRef/>
      </w:r>
      <w:r>
        <w:t xml:space="preserve"> </w:t>
      </w:r>
      <w:r w:rsidR="00A342D2" w:rsidRPr="00A342D2">
        <w:rPr>
          <w:i/>
          <w:iCs/>
        </w:rPr>
        <w:t xml:space="preserve">Human Reproductive Technology Act </w:t>
      </w:r>
      <w:r w:rsidR="00A342D2">
        <w:rPr>
          <w:i/>
          <w:iCs/>
        </w:rPr>
        <w:t>(</w:t>
      </w:r>
      <w:r w:rsidR="00A342D2" w:rsidRPr="00A342D2">
        <w:rPr>
          <w:i/>
          <w:iCs/>
        </w:rPr>
        <w:t>1991</w:t>
      </w:r>
      <w:r w:rsidR="00A342D2">
        <w:rPr>
          <w:i/>
          <w:iCs/>
        </w:rPr>
        <w:t>)</w:t>
      </w:r>
      <w:r w:rsidR="00A342D2">
        <w:t xml:space="preserve"> (WA) s</w:t>
      </w:r>
      <w:r w:rsidR="0084204E">
        <w:t xml:space="preserve"> 27.</w:t>
      </w:r>
    </w:p>
  </w:footnote>
  <w:footnote w:id="75">
    <w:p w14:paraId="73E9F502" w14:textId="68D9AAFF" w:rsidR="006F74CD" w:rsidRDefault="006F74CD">
      <w:pPr>
        <w:pStyle w:val="FootnoteText"/>
      </w:pPr>
      <w:r>
        <w:rPr>
          <w:rStyle w:val="FootnoteReference"/>
        </w:rPr>
        <w:footnoteRef/>
      </w:r>
      <w:r>
        <w:t xml:space="preserve"> </w:t>
      </w:r>
      <w:r w:rsidR="008B368E">
        <w:t xml:space="preserve">This is with exception to South Australia, </w:t>
      </w:r>
      <w:r w:rsidR="00113D27">
        <w:t xml:space="preserve">which do not have a specified registration period in their ART legislation. </w:t>
      </w:r>
      <w:r w:rsidR="00210B4F">
        <w:t>SA’s</w:t>
      </w:r>
      <w:r w:rsidR="00232CA8">
        <w:t xml:space="preserve"> health department advised registration period </w:t>
      </w:r>
      <w:r w:rsidR="003D588B">
        <w:t xml:space="preserve">for ART </w:t>
      </w:r>
      <w:r w:rsidR="00181C2F">
        <w:t>units</w:t>
      </w:r>
      <w:r w:rsidR="003D588B">
        <w:t xml:space="preserve"> </w:t>
      </w:r>
      <w:r w:rsidR="00113D27">
        <w:t xml:space="preserve">in their state can range from one year to ongoing. </w:t>
      </w:r>
      <w:r w:rsidR="003D588B">
        <w:t xml:space="preserve"> </w:t>
      </w:r>
    </w:p>
  </w:footnote>
  <w:footnote w:id="76">
    <w:p w14:paraId="02AD645F" w14:textId="0473DD77" w:rsidR="005C554F" w:rsidRDefault="005C554F" w:rsidP="000C3628">
      <w:pPr>
        <w:pStyle w:val="FootnoteText"/>
      </w:pPr>
      <w:r>
        <w:rPr>
          <w:rStyle w:val="FootnoteReference"/>
        </w:rPr>
        <w:footnoteRef/>
      </w:r>
      <w:r>
        <w:rPr>
          <w:i/>
          <w:iCs/>
        </w:rPr>
        <w:t xml:space="preserve"> </w:t>
      </w:r>
      <w:r w:rsidRPr="00114AF1">
        <w:t>‘Public Reporting on Hospital Performance: NSQHS Standards’,</w:t>
      </w:r>
      <w:r>
        <w:t xml:space="preserve"> </w:t>
      </w:r>
      <w:r w:rsidRPr="00114AF1">
        <w:rPr>
          <w:i/>
        </w:rPr>
        <w:t>Australian Commission on Safety and Quality in Health Care</w:t>
      </w:r>
      <w:r>
        <w:rPr>
          <w:i/>
          <w:iCs/>
        </w:rPr>
        <w:t xml:space="preserve"> </w:t>
      </w:r>
      <w:r>
        <w:t xml:space="preserve">(Web Page, 2021) </w:t>
      </w:r>
      <w:r w:rsidR="007B2919">
        <w:t>&lt;</w:t>
      </w:r>
      <w:r w:rsidR="007B2919" w:rsidRPr="007B2919">
        <w:t>https://www.safetyandquality.gov.au/consumers/public-reporting-hospital-performance-nsqhs-standards</w:t>
      </w:r>
      <w:r w:rsidR="007B2919">
        <w:t>&gt;</w:t>
      </w:r>
      <w:r w:rsidR="007B0CEB">
        <w:t xml:space="preserve"> </w:t>
      </w:r>
      <w:r w:rsidR="007B0CEB">
        <w:rPr>
          <w:i/>
          <w:iCs/>
        </w:rPr>
        <w:t>(‘</w:t>
      </w:r>
      <w:r w:rsidR="00B42845">
        <w:rPr>
          <w:i/>
          <w:iCs/>
        </w:rPr>
        <w:t>ACSQ</w:t>
      </w:r>
      <w:r w:rsidR="003E5ED9">
        <w:rPr>
          <w:i/>
          <w:iCs/>
        </w:rPr>
        <w:t xml:space="preserve">HC website – </w:t>
      </w:r>
      <w:r w:rsidR="00103659">
        <w:rPr>
          <w:i/>
          <w:iCs/>
        </w:rPr>
        <w:t>NSQHS Standards</w:t>
      </w:r>
      <w:r w:rsidR="003E5ED9">
        <w:rPr>
          <w:i/>
          <w:iCs/>
        </w:rPr>
        <w:t>:</w:t>
      </w:r>
      <w:r w:rsidR="00103659">
        <w:rPr>
          <w:i/>
          <w:iCs/>
        </w:rPr>
        <w:t xml:space="preserve"> public reporting’)</w:t>
      </w:r>
      <w:r>
        <w:t>.</w:t>
      </w:r>
    </w:p>
  </w:footnote>
  <w:footnote w:id="77">
    <w:p w14:paraId="010AE9CE" w14:textId="7DB35E25" w:rsidR="00567626" w:rsidRDefault="00567626" w:rsidP="000C3628">
      <w:pPr>
        <w:pStyle w:val="FootnoteText"/>
      </w:pPr>
      <w:r>
        <w:rPr>
          <w:rStyle w:val="FootnoteReference"/>
        </w:rPr>
        <w:footnoteRef/>
      </w:r>
      <w:r w:rsidR="0061258C">
        <w:t xml:space="preserve"> Medical Directors are required to have RACP or RAN</w:t>
      </w:r>
      <w:r w:rsidR="00DA2F01">
        <w:t>Z</w:t>
      </w:r>
      <w:r w:rsidR="0061258C">
        <w:t>COG membership. Counselling managers are required to have ANZICA membership, in addition to APS membership for those that are clinical psychologists</w:t>
      </w:r>
      <w:r w:rsidR="005F3684">
        <w:t>.</w:t>
      </w:r>
    </w:p>
  </w:footnote>
  <w:footnote w:id="78">
    <w:p w14:paraId="74DA2528" w14:textId="3792D1CC" w:rsidR="00567626" w:rsidRDefault="00567626" w:rsidP="000C3628">
      <w:pPr>
        <w:pStyle w:val="FootnoteText"/>
      </w:pPr>
      <w:r>
        <w:rPr>
          <w:rStyle w:val="FootnoteReference"/>
        </w:rPr>
        <w:footnoteRef/>
      </w:r>
      <w:r>
        <w:t xml:space="preserve"> </w:t>
      </w:r>
      <w:r w:rsidR="003456AF">
        <w:t>Fertility Society of Australia and New Zealand</w:t>
      </w:r>
      <w:r w:rsidR="006374B7">
        <w:t xml:space="preserve">, </w:t>
      </w:r>
      <w:r w:rsidR="006374B7" w:rsidRPr="006374B7">
        <w:rPr>
          <w:i/>
          <w:iCs/>
        </w:rPr>
        <w:t>RTAC Code of Practice</w:t>
      </w:r>
      <w:r w:rsidR="003456AF">
        <w:t xml:space="preserve"> (n </w:t>
      </w:r>
      <w:r w:rsidR="003456AF">
        <w:fldChar w:fldCharType="begin"/>
      </w:r>
      <w:r w:rsidR="003456AF">
        <w:instrText xml:space="preserve"> NOTEREF _Ref207714715 \h </w:instrText>
      </w:r>
      <w:r w:rsidR="000C3628">
        <w:instrText xml:space="preserve"> \* MERGEFORMAT </w:instrText>
      </w:r>
      <w:r w:rsidR="003456AF">
        <w:fldChar w:fldCharType="separate"/>
      </w:r>
      <w:r w:rsidR="007D732A">
        <w:t>38</w:t>
      </w:r>
      <w:r w:rsidR="003456AF">
        <w:fldChar w:fldCharType="end"/>
      </w:r>
      <w:r w:rsidR="003456AF">
        <w:t xml:space="preserve">) </w:t>
      </w:r>
      <w:r w:rsidR="00862981">
        <w:t>s 2.4.</w:t>
      </w:r>
    </w:p>
  </w:footnote>
  <w:footnote w:id="79">
    <w:p w14:paraId="372557B2" w14:textId="62D94386" w:rsidR="00EC1CE1" w:rsidRDefault="00EC1CE1" w:rsidP="000C3628">
      <w:pPr>
        <w:pStyle w:val="FootnoteText"/>
      </w:pPr>
      <w:r>
        <w:rPr>
          <w:rStyle w:val="FootnoteReference"/>
        </w:rPr>
        <w:footnoteRef/>
      </w:r>
      <w:r>
        <w:t xml:space="preserve"> </w:t>
      </w:r>
      <w:r w:rsidR="003456AF">
        <w:t>Fertility Society of Australia and New Zealand</w:t>
      </w:r>
      <w:r w:rsidR="006374B7">
        <w:t xml:space="preserve">, </w:t>
      </w:r>
      <w:r w:rsidR="006374B7" w:rsidRPr="006374B7">
        <w:rPr>
          <w:i/>
          <w:iCs/>
        </w:rPr>
        <w:t>RTAC Code of Practice</w:t>
      </w:r>
      <w:r w:rsidR="003456AF">
        <w:t xml:space="preserve"> (n </w:t>
      </w:r>
      <w:r w:rsidR="003456AF">
        <w:fldChar w:fldCharType="begin"/>
      </w:r>
      <w:r w:rsidR="003456AF">
        <w:instrText xml:space="preserve"> NOTEREF _Ref207714715 \h </w:instrText>
      </w:r>
      <w:r w:rsidR="000C3628">
        <w:instrText xml:space="preserve"> \* MERGEFORMAT </w:instrText>
      </w:r>
      <w:r w:rsidR="003456AF">
        <w:fldChar w:fldCharType="separate"/>
      </w:r>
      <w:r w:rsidR="007D732A">
        <w:t>38</w:t>
      </w:r>
      <w:r w:rsidR="003456AF">
        <w:fldChar w:fldCharType="end"/>
      </w:r>
      <w:r w:rsidR="003456AF">
        <w:t xml:space="preserve">) </w:t>
      </w:r>
      <w:r>
        <w:t>s 2.4.2.</w:t>
      </w:r>
    </w:p>
  </w:footnote>
  <w:footnote w:id="80">
    <w:p w14:paraId="12E74A65" w14:textId="5B749A19" w:rsidR="00191A31" w:rsidRDefault="00191A31" w:rsidP="000C3628">
      <w:pPr>
        <w:pStyle w:val="FootnoteText"/>
      </w:pPr>
      <w:r>
        <w:rPr>
          <w:rStyle w:val="FootnoteReference"/>
        </w:rPr>
        <w:footnoteRef/>
      </w:r>
      <w:r>
        <w:t xml:space="preserve"> </w:t>
      </w:r>
      <w:r w:rsidR="003456AF">
        <w:t>Fertility Society of Australia and New Zealand</w:t>
      </w:r>
      <w:r w:rsidR="006374B7">
        <w:t xml:space="preserve">, </w:t>
      </w:r>
      <w:r w:rsidR="006374B7" w:rsidRPr="006374B7">
        <w:rPr>
          <w:i/>
          <w:iCs/>
        </w:rPr>
        <w:t>RTAC Code of Practice</w:t>
      </w:r>
      <w:r w:rsidR="003456AF">
        <w:t xml:space="preserve"> (n </w:t>
      </w:r>
      <w:r w:rsidR="003456AF">
        <w:fldChar w:fldCharType="begin"/>
      </w:r>
      <w:r w:rsidR="003456AF">
        <w:instrText xml:space="preserve"> NOTEREF _Ref207714715 \h </w:instrText>
      </w:r>
      <w:r w:rsidR="000C3628">
        <w:instrText xml:space="preserve"> \* MERGEFORMAT </w:instrText>
      </w:r>
      <w:r w:rsidR="003456AF">
        <w:fldChar w:fldCharType="separate"/>
      </w:r>
      <w:r w:rsidR="007D732A">
        <w:t>38</w:t>
      </w:r>
      <w:r w:rsidR="003456AF">
        <w:fldChar w:fldCharType="end"/>
      </w:r>
      <w:r w:rsidR="003456AF">
        <w:t xml:space="preserve">) </w:t>
      </w:r>
      <w:r>
        <w:t>s 2.4.3(e).</w:t>
      </w:r>
    </w:p>
  </w:footnote>
  <w:footnote w:id="81">
    <w:p w14:paraId="64D7D9EA" w14:textId="30E0F317" w:rsidR="00E27C2B" w:rsidRDefault="00E27C2B">
      <w:pPr>
        <w:pStyle w:val="FootnoteText"/>
      </w:pPr>
      <w:r>
        <w:rPr>
          <w:rStyle w:val="FootnoteReference"/>
        </w:rPr>
        <w:footnoteRef/>
      </w:r>
      <w:r>
        <w:t xml:space="preserve"> </w:t>
      </w:r>
      <w:r w:rsidR="004C76F7">
        <w:t>Satellite units are subject to audit once every three years</w:t>
      </w:r>
      <w:r w:rsidR="00F05954">
        <w:t xml:space="preserve">: see Fertility Society of Australia and New Zealand, </w:t>
      </w:r>
      <w:r w:rsidR="00F05954" w:rsidRPr="006374B7">
        <w:rPr>
          <w:i/>
          <w:iCs/>
        </w:rPr>
        <w:t>RTAC Code of Practice</w:t>
      </w:r>
      <w:r w:rsidR="00F05954">
        <w:t xml:space="preserve"> (n </w:t>
      </w:r>
      <w:r w:rsidR="00F05954">
        <w:fldChar w:fldCharType="begin"/>
      </w:r>
      <w:r w:rsidR="00F05954">
        <w:instrText xml:space="preserve"> NOTEREF _Ref207714715 \h  \* MERGEFORMAT </w:instrText>
      </w:r>
      <w:r w:rsidR="00F05954">
        <w:fldChar w:fldCharType="separate"/>
      </w:r>
      <w:r w:rsidR="007D732A">
        <w:t>38</w:t>
      </w:r>
      <w:r w:rsidR="00F05954">
        <w:fldChar w:fldCharType="end"/>
      </w:r>
      <w:r w:rsidR="00F05954">
        <w:t>) s 1.4.2.</w:t>
      </w:r>
    </w:p>
  </w:footnote>
  <w:footnote w:id="82">
    <w:p w14:paraId="29849415" w14:textId="18C43F94" w:rsidR="005C554F" w:rsidRDefault="005C554F" w:rsidP="000C3628">
      <w:pPr>
        <w:pStyle w:val="FootnoteText"/>
      </w:pPr>
      <w:r>
        <w:rPr>
          <w:rStyle w:val="FootnoteReference"/>
        </w:rPr>
        <w:footnoteRef/>
      </w:r>
      <w:r>
        <w:t xml:space="preserve"> </w:t>
      </w:r>
      <w:r w:rsidR="00480727">
        <w:t>Fertility Society of Australia and New Zealand</w:t>
      </w:r>
      <w:r w:rsidR="00B17943">
        <w:t xml:space="preserve">, </w:t>
      </w:r>
      <w:r w:rsidR="00B17943">
        <w:rPr>
          <w:i/>
          <w:iCs/>
        </w:rPr>
        <w:t>RTAC Scheme Rules</w:t>
      </w:r>
      <w:r w:rsidR="00480727">
        <w:t xml:space="preserve"> </w:t>
      </w:r>
      <w:r w:rsidR="00480727" w:rsidRPr="00406195">
        <w:t>(</w:t>
      </w:r>
      <w:r w:rsidR="006F5C0D">
        <w:t xml:space="preserve">n </w:t>
      </w:r>
      <w:r w:rsidR="006F5C0D">
        <w:fldChar w:fldCharType="begin"/>
      </w:r>
      <w:r w:rsidR="006F5C0D">
        <w:instrText xml:space="preserve"> NOTEREF _Ref207892736 \h </w:instrText>
      </w:r>
      <w:r w:rsidR="000C3628">
        <w:instrText xml:space="preserve"> \* MERGEFORMAT </w:instrText>
      </w:r>
      <w:r w:rsidR="006F5C0D">
        <w:fldChar w:fldCharType="separate"/>
      </w:r>
      <w:r w:rsidR="007D732A">
        <w:t>42</w:t>
      </w:r>
      <w:r w:rsidR="006F5C0D">
        <w:fldChar w:fldCharType="end"/>
      </w:r>
      <w:r w:rsidR="006F5C0D">
        <w:t xml:space="preserve">) </w:t>
      </w:r>
      <w:r>
        <w:t xml:space="preserve">s </w:t>
      </w:r>
      <w:r w:rsidRPr="0040128A">
        <w:t>7.9.7</w:t>
      </w:r>
      <w:r>
        <w:t>.</w:t>
      </w:r>
    </w:p>
  </w:footnote>
  <w:footnote w:id="83">
    <w:p w14:paraId="5E31ACD7" w14:textId="78C07BB4" w:rsidR="005C554F" w:rsidRDefault="005C554F" w:rsidP="000C3628">
      <w:pPr>
        <w:pStyle w:val="FootnoteText"/>
      </w:pPr>
      <w:r>
        <w:rPr>
          <w:rStyle w:val="FootnoteReference"/>
        </w:rPr>
        <w:footnoteRef/>
      </w:r>
      <w:r>
        <w:t xml:space="preserve"> </w:t>
      </w:r>
      <w:r w:rsidR="00480727">
        <w:t>Fertility Society of Australia and New Zealand</w:t>
      </w:r>
      <w:r w:rsidR="00B17943">
        <w:t xml:space="preserve">, </w:t>
      </w:r>
      <w:r w:rsidR="00B17943">
        <w:rPr>
          <w:i/>
          <w:iCs/>
        </w:rPr>
        <w:t>RTAC Scheme Rules</w:t>
      </w:r>
      <w:r w:rsidR="00480727">
        <w:t xml:space="preserve"> </w:t>
      </w:r>
      <w:r w:rsidR="00480727" w:rsidRPr="00406195">
        <w:t>(</w:t>
      </w:r>
      <w:r w:rsidR="00822C0A">
        <w:t xml:space="preserve">n </w:t>
      </w:r>
      <w:r w:rsidR="00822C0A">
        <w:fldChar w:fldCharType="begin"/>
      </w:r>
      <w:r w:rsidR="00822C0A">
        <w:instrText xml:space="preserve"> NOTEREF _Ref207892736 \h </w:instrText>
      </w:r>
      <w:r w:rsidR="000C3628">
        <w:instrText xml:space="preserve"> \* MERGEFORMAT </w:instrText>
      </w:r>
      <w:r w:rsidR="00822C0A">
        <w:fldChar w:fldCharType="separate"/>
      </w:r>
      <w:r w:rsidR="007D732A">
        <w:t>42</w:t>
      </w:r>
      <w:r w:rsidR="00822C0A">
        <w:fldChar w:fldCharType="end"/>
      </w:r>
      <w:r w:rsidR="00822C0A">
        <w:t xml:space="preserve">) </w:t>
      </w:r>
      <w:r>
        <w:t>ss 3,</w:t>
      </w:r>
      <w:r w:rsidRPr="008E5350">
        <w:t xml:space="preserve"> 7.4.13</w:t>
      </w:r>
      <w:r>
        <w:t xml:space="preserve">, </w:t>
      </w:r>
      <w:r w:rsidRPr="008E5350">
        <w:t>7.4.14.</w:t>
      </w:r>
    </w:p>
  </w:footnote>
  <w:footnote w:id="84">
    <w:p w14:paraId="32C08B53" w14:textId="13F69EC5" w:rsidR="005C554F" w:rsidRDefault="005C554F" w:rsidP="000C3628">
      <w:pPr>
        <w:pStyle w:val="FootnoteText"/>
      </w:pPr>
      <w:r>
        <w:rPr>
          <w:rStyle w:val="FootnoteReference"/>
        </w:rPr>
        <w:footnoteRef/>
      </w:r>
      <w:r>
        <w:t xml:space="preserve"> </w:t>
      </w:r>
      <w:r w:rsidR="00D0747A" w:rsidRPr="000A6E22">
        <w:t>Reproductive Technology Accreditation Committee</w:t>
      </w:r>
      <w:r w:rsidR="00EB526F">
        <w:rPr>
          <w:i/>
          <w:iCs/>
        </w:rPr>
        <w:t xml:space="preserve">, </w:t>
      </w:r>
      <w:r w:rsidR="00EB526F" w:rsidRPr="00017FE1">
        <w:rPr>
          <w:i/>
          <w:iCs/>
        </w:rPr>
        <w:t>Annual Report 2023-2024</w:t>
      </w:r>
      <w:r w:rsidR="00D0747A">
        <w:t xml:space="preserve"> (n </w:t>
      </w:r>
      <w:r w:rsidR="00D0747A">
        <w:fldChar w:fldCharType="begin"/>
      </w:r>
      <w:r w:rsidR="00D0747A">
        <w:instrText xml:space="preserve"> NOTEREF _Ref207714269 \h </w:instrText>
      </w:r>
      <w:r w:rsidR="000C3628">
        <w:instrText xml:space="preserve"> \* MERGEFORMAT </w:instrText>
      </w:r>
      <w:r w:rsidR="00D0747A">
        <w:fldChar w:fldCharType="separate"/>
      </w:r>
      <w:r w:rsidR="007D732A">
        <w:t>13</w:t>
      </w:r>
      <w:r w:rsidR="00D0747A">
        <w:fldChar w:fldCharType="end"/>
      </w:r>
      <w:r w:rsidR="00D0747A">
        <w:t xml:space="preserve">) </w:t>
      </w:r>
      <w:r w:rsidRPr="00D92125">
        <w:t>7</w:t>
      </w:r>
      <w:r>
        <w:t>.</w:t>
      </w:r>
    </w:p>
  </w:footnote>
  <w:footnote w:id="85">
    <w:p w14:paraId="1FADB31D" w14:textId="5E00E7BA" w:rsidR="005C554F" w:rsidRDefault="005C554F" w:rsidP="000C3628">
      <w:pPr>
        <w:pStyle w:val="FootnoteText"/>
      </w:pPr>
      <w:r>
        <w:rPr>
          <w:rStyle w:val="FootnoteReference"/>
        </w:rPr>
        <w:footnoteRef/>
      </w:r>
      <w:r>
        <w:t xml:space="preserve"> </w:t>
      </w:r>
      <w:r w:rsidR="00BD1071">
        <w:t>Fertility Society of Australia and New Zealand</w:t>
      </w:r>
      <w:r w:rsidR="00B17943">
        <w:t xml:space="preserve">, </w:t>
      </w:r>
      <w:r w:rsidR="00B17943">
        <w:rPr>
          <w:i/>
          <w:iCs/>
        </w:rPr>
        <w:t>RTAC Scheme Rules</w:t>
      </w:r>
      <w:r w:rsidR="00BD1071">
        <w:t xml:space="preserve"> </w:t>
      </w:r>
      <w:r w:rsidR="00BD1071" w:rsidRPr="00406195">
        <w:t>(</w:t>
      </w:r>
      <w:r w:rsidR="00822C0A">
        <w:t xml:space="preserve">n </w:t>
      </w:r>
      <w:r w:rsidR="00822C0A">
        <w:fldChar w:fldCharType="begin"/>
      </w:r>
      <w:r w:rsidR="00822C0A">
        <w:instrText xml:space="preserve"> NOTEREF _Ref207892736 \h </w:instrText>
      </w:r>
      <w:r w:rsidR="000C3628">
        <w:instrText xml:space="preserve"> \* MERGEFORMAT </w:instrText>
      </w:r>
      <w:r w:rsidR="00822C0A">
        <w:fldChar w:fldCharType="separate"/>
      </w:r>
      <w:r w:rsidR="007D732A">
        <w:t>42</w:t>
      </w:r>
      <w:r w:rsidR="00822C0A">
        <w:fldChar w:fldCharType="end"/>
      </w:r>
      <w:r w:rsidR="00822C0A">
        <w:t>)</w:t>
      </w:r>
      <w:r w:rsidR="00BD1071" w:rsidRPr="00406195">
        <w:t xml:space="preserve"> </w:t>
      </w:r>
      <w:r>
        <w:t xml:space="preserve">s </w:t>
      </w:r>
      <w:r w:rsidRPr="0040128A">
        <w:t>7.</w:t>
      </w:r>
      <w:r>
        <w:t>4</w:t>
      </w:r>
      <w:r w:rsidRPr="0040128A">
        <w:t>.</w:t>
      </w:r>
      <w:r>
        <w:t>4.</w:t>
      </w:r>
    </w:p>
  </w:footnote>
  <w:footnote w:id="86">
    <w:p w14:paraId="65BD2FB5" w14:textId="5B722A34" w:rsidR="005C554F" w:rsidRPr="00B32043" w:rsidRDefault="005C554F" w:rsidP="000C3628">
      <w:pPr>
        <w:pStyle w:val="FootnoteText"/>
      </w:pPr>
      <w:r>
        <w:rPr>
          <w:rStyle w:val="FootnoteReference"/>
        </w:rPr>
        <w:footnoteRef/>
      </w:r>
      <w:r>
        <w:t xml:space="preserve"> </w:t>
      </w:r>
      <w:r w:rsidR="00327BAE">
        <w:t>The Code of Practice defines a</w:t>
      </w:r>
      <w:r w:rsidRPr="000B1620">
        <w:t xml:space="preserve"> serious adverse event as any event which: </w:t>
      </w:r>
      <w:r w:rsidR="000B1620" w:rsidRPr="000B1620">
        <w:t>c</w:t>
      </w:r>
      <w:r w:rsidRPr="000B1620">
        <w:t>auses a significant medical or surgical condition that occurs as a result of the ART treatment</w:t>
      </w:r>
      <w:r w:rsidR="000B1620" w:rsidRPr="000B1620">
        <w:t xml:space="preserve">; result </w:t>
      </w:r>
      <w:r w:rsidRPr="000B1620">
        <w:t>in the hospitalisation of the patient due to a complication of ART treatment</w:t>
      </w:r>
      <w:r w:rsidR="000B1620" w:rsidRPr="000B1620">
        <w:t>; r</w:t>
      </w:r>
      <w:r w:rsidRPr="000B1620">
        <w:t>esults or may result in the transmission of a communicable disease</w:t>
      </w:r>
      <w:r w:rsidR="000B1620" w:rsidRPr="000B1620">
        <w:t>; result</w:t>
      </w:r>
      <w:r w:rsidRPr="000B1620">
        <w:t xml:space="preserve"> in a breach of legislation</w:t>
      </w:r>
      <w:r w:rsidR="000B1620" w:rsidRPr="000B1620">
        <w:t>; a</w:t>
      </w:r>
      <w:r w:rsidRPr="000B1620">
        <w:t>rises from a gamete or embryo identification mix up</w:t>
      </w:r>
      <w:r w:rsidR="000B1620" w:rsidRPr="000B1620">
        <w:t>; c</w:t>
      </w:r>
      <w:r w:rsidRPr="000B1620">
        <w:t>auses a loss of viability of gametes or embryos or suspected deterioration that renders them unsuitable for use</w:t>
      </w:r>
      <w:r w:rsidR="000B1620" w:rsidRPr="000B1620">
        <w:t xml:space="preserve"> or; a</w:t>
      </w:r>
      <w:r w:rsidRPr="000B1620">
        <w:t>rises from a systematic failure in the validation/verification of a diagnostic test and/or technology that has resulted in misdiagnosis and/or significant potential harm or loss to patients, their gametes or embryos</w:t>
      </w:r>
      <w:r w:rsidRPr="00B32043">
        <w:t>.</w:t>
      </w:r>
      <w:r w:rsidR="00965F20">
        <w:t xml:space="preserve"> See </w:t>
      </w:r>
      <w:r w:rsidR="005C1797">
        <w:t>Fertility Society of Australia and New Zealand</w:t>
      </w:r>
      <w:r w:rsidR="006374B7">
        <w:t xml:space="preserve">, </w:t>
      </w:r>
      <w:r w:rsidR="006374B7" w:rsidRPr="006374B7">
        <w:rPr>
          <w:i/>
          <w:iCs/>
        </w:rPr>
        <w:t>RTAC Code of Practice</w:t>
      </w:r>
      <w:r w:rsidR="005C1797">
        <w:t xml:space="preserve"> (n </w:t>
      </w:r>
      <w:r w:rsidR="005C1797">
        <w:fldChar w:fldCharType="begin"/>
      </w:r>
      <w:r w:rsidR="005C1797">
        <w:instrText xml:space="preserve"> NOTEREF _Ref207714715 \h </w:instrText>
      </w:r>
      <w:r w:rsidR="000C3628">
        <w:instrText xml:space="preserve"> \* MERGEFORMAT </w:instrText>
      </w:r>
      <w:r w:rsidR="005C1797">
        <w:fldChar w:fldCharType="separate"/>
      </w:r>
      <w:r w:rsidR="007D732A">
        <w:t>38</w:t>
      </w:r>
      <w:r w:rsidR="005C1797">
        <w:fldChar w:fldCharType="end"/>
      </w:r>
      <w:r w:rsidR="005C1797">
        <w:t>) s 4.2.2.</w:t>
      </w:r>
    </w:p>
  </w:footnote>
  <w:footnote w:id="87">
    <w:p w14:paraId="25DC1A3B" w14:textId="723A30D6" w:rsidR="005C554F" w:rsidRDefault="005C554F" w:rsidP="000C3628">
      <w:pPr>
        <w:pStyle w:val="FootnoteText"/>
      </w:pPr>
      <w:r w:rsidRPr="00B32043">
        <w:rPr>
          <w:rStyle w:val="FootnoteReference"/>
        </w:rPr>
        <w:footnoteRef/>
      </w:r>
      <w:r w:rsidRPr="00B32043">
        <w:t xml:space="preserve"> </w:t>
      </w:r>
      <w:r w:rsidR="00327BAE">
        <w:t>The</w:t>
      </w:r>
      <w:r w:rsidRPr="00B32043">
        <w:t xml:space="preserve"> Code of Practice states that incidents must be reported as soon as practical, but no later than six weeks after the provider becomes aware of the incident. However, a potential or actual breach of legislation must be reported within two weeks, and a sentinel event (e.g. death) must be reported within 48 hours.</w:t>
      </w:r>
      <w:r>
        <w:t xml:space="preserve"> </w:t>
      </w:r>
      <w:r w:rsidR="00D77E52">
        <w:t xml:space="preserve">See </w:t>
      </w:r>
      <w:r w:rsidR="005C1797">
        <w:t>Fertility Society of Australia and New Zealand</w:t>
      </w:r>
      <w:r w:rsidR="006374B7">
        <w:t xml:space="preserve">, </w:t>
      </w:r>
      <w:r w:rsidR="006374B7" w:rsidRPr="006374B7">
        <w:rPr>
          <w:i/>
          <w:iCs/>
        </w:rPr>
        <w:t>RTAC Code of Practice</w:t>
      </w:r>
      <w:r w:rsidR="005C1797">
        <w:t xml:space="preserve"> (n </w:t>
      </w:r>
      <w:r w:rsidR="005C1797">
        <w:fldChar w:fldCharType="begin"/>
      </w:r>
      <w:r w:rsidR="005C1797">
        <w:instrText xml:space="preserve"> NOTEREF _Ref207714715 \h </w:instrText>
      </w:r>
      <w:r w:rsidR="000C3628">
        <w:instrText xml:space="preserve"> \* MERGEFORMAT </w:instrText>
      </w:r>
      <w:r w:rsidR="005C1797">
        <w:fldChar w:fldCharType="separate"/>
      </w:r>
      <w:r w:rsidR="007D732A">
        <w:t>38</w:t>
      </w:r>
      <w:r w:rsidR="005C1797">
        <w:fldChar w:fldCharType="end"/>
      </w:r>
      <w:r w:rsidR="005C1797">
        <w:t xml:space="preserve">) </w:t>
      </w:r>
      <w:r w:rsidR="001A7BFA">
        <w:t>s 4.2.</w:t>
      </w:r>
      <w:r w:rsidR="00327BAE">
        <w:t>1.</w:t>
      </w:r>
    </w:p>
  </w:footnote>
  <w:footnote w:id="88">
    <w:p w14:paraId="07E71D5B" w14:textId="2121A80F" w:rsidR="005C554F" w:rsidRDefault="005C554F" w:rsidP="00D114F3">
      <w:pPr>
        <w:pStyle w:val="FootnoteText"/>
      </w:pPr>
      <w:r>
        <w:rPr>
          <w:rStyle w:val="FootnoteReference"/>
        </w:rPr>
        <w:footnoteRef/>
      </w:r>
      <w:r>
        <w:t xml:space="preserve"> </w:t>
      </w:r>
      <w:r w:rsidR="005C1797">
        <w:t>Fertility Society of Australia and New Zealand</w:t>
      </w:r>
      <w:r w:rsidR="006374B7">
        <w:t xml:space="preserve">, </w:t>
      </w:r>
      <w:r w:rsidR="006374B7" w:rsidRPr="006374B7">
        <w:rPr>
          <w:i/>
          <w:iCs/>
        </w:rPr>
        <w:t>RTAC Code of Practice</w:t>
      </w:r>
      <w:r w:rsidR="005C1797">
        <w:t xml:space="preserve"> (n </w:t>
      </w:r>
      <w:r w:rsidR="005C1797">
        <w:fldChar w:fldCharType="begin"/>
      </w:r>
      <w:r w:rsidR="005C1797">
        <w:instrText xml:space="preserve"> NOTEREF _Ref207714715 \h </w:instrText>
      </w:r>
      <w:r w:rsidR="000C3628">
        <w:instrText xml:space="preserve"> \* MERGEFORMAT </w:instrText>
      </w:r>
      <w:r w:rsidR="005C1797">
        <w:fldChar w:fldCharType="separate"/>
      </w:r>
      <w:r w:rsidR="007D732A">
        <w:t>38</w:t>
      </w:r>
      <w:r w:rsidR="005C1797">
        <w:fldChar w:fldCharType="end"/>
      </w:r>
      <w:r w:rsidR="005C1797">
        <w:t xml:space="preserve">) </w:t>
      </w:r>
      <w:r w:rsidRPr="00C732F4">
        <w:t xml:space="preserve">s </w:t>
      </w:r>
      <w:r>
        <w:t>4.2.5.</w:t>
      </w:r>
    </w:p>
  </w:footnote>
  <w:footnote w:id="89">
    <w:p w14:paraId="71A0F0FF" w14:textId="5E12EFD8" w:rsidR="0015682F" w:rsidRDefault="0015682F" w:rsidP="000C3628">
      <w:pPr>
        <w:pStyle w:val="FootnoteText"/>
      </w:pPr>
      <w:r w:rsidRPr="002B3EC0">
        <w:rPr>
          <w:rStyle w:val="FootnoteReference"/>
        </w:rPr>
        <w:footnoteRef/>
      </w:r>
      <w:r w:rsidRPr="002B3EC0">
        <w:t xml:space="preserve"> </w:t>
      </w:r>
      <w:r w:rsidR="002B3EC0" w:rsidRPr="002B3EC0">
        <w:t>Fertility</w:t>
      </w:r>
      <w:r w:rsidR="002B3EC0">
        <w:t xml:space="preserve"> Society of Australia and New Zealand</w:t>
      </w:r>
      <w:r w:rsidR="006374B7">
        <w:t xml:space="preserve">, </w:t>
      </w:r>
      <w:r w:rsidR="006374B7" w:rsidRPr="006374B7">
        <w:rPr>
          <w:i/>
          <w:iCs/>
        </w:rPr>
        <w:t>RTAC Code of Practice</w:t>
      </w:r>
      <w:r w:rsidR="002B3EC0">
        <w:t xml:space="preserve"> (n </w:t>
      </w:r>
      <w:r w:rsidR="002B3EC0">
        <w:fldChar w:fldCharType="begin"/>
      </w:r>
      <w:r w:rsidR="002B3EC0">
        <w:instrText xml:space="preserve"> NOTEREF _Ref207714715 \h </w:instrText>
      </w:r>
      <w:r w:rsidR="000C3628">
        <w:instrText xml:space="preserve"> \* MERGEFORMAT </w:instrText>
      </w:r>
      <w:r w:rsidR="002B3EC0">
        <w:fldChar w:fldCharType="separate"/>
      </w:r>
      <w:r w:rsidR="007D732A">
        <w:t>38</w:t>
      </w:r>
      <w:r w:rsidR="002B3EC0">
        <w:fldChar w:fldCharType="end"/>
      </w:r>
      <w:r w:rsidR="002B3EC0">
        <w:t>) s 4.5</w:t>
      </w:r>
      <w:r w:rsidR="005C18F9">
        <w:t>.</w:t>
      </w:r>
    </w:p>
  </w:footnote>
  <w:footnote w:id="90">
    <w:p w14:paraId="6998CAF0" w14:textId="2D9F7AA6" w:rsidR="00692C65" w:rsidRDefault="00692C65" w:rsidP="000C3628">
      <w:pPr>
        <w:pStyle w:val="FootnoteText"/>
      </w:pPr>
      <w:r>
        <w:rPr>
          <w:rStyle w:val="FootnoteReference"/>
        </w:rPr>
        <w:footnoteRef/>
      </w:r>
      <w:r>
        <w:t xml:space="preserve"> </w:t>
      </w:r>
      <w:r w:rsidR="00B64AD9" w:rsidRPr="00DD187C">
        <w:rPr>
          <w:iCs/>
        </w:rPr>
        <w:t>National Perinatal Epidemiology and Statistics Unit</w:t>
      </w:r>
      <w:r w:rsidR="00B64AD9">
        <w:t>, ‘</w:t>
      </w:r>
      <w:r w:rsidR="00B64AD9" w:rsidRPr="00B14286">
        <w:t>Australian and New Zealand Assisted Reproduction Database</w:t>
      </w:r>
      <w:r w:rsidR="00B64AD9">
        <w:t xml:space="preserve">’, </w:t>
      </w:r>
      <w:r w:rsidR="00B64AD9" w:rsidRPr="0052392D">
        <w:rPr>
          <w:i/>
        </w:rPr>
        <w:t>University of New South Wales</w:t>
      </w:r>
      <w:r w:rsidR="00B64AD9" w:rsidRPr="00E95795">
        <w:t xml:space="preserve"> (Web Page) </w:t>
      </w:r>
      <w:r w:rsidR="00DF53FA">
        <w:t>&lt;</w:t>
      </w:r>
      <w:r w:rsidR="00DF53FA" w:rsidRPr="00DF53FA">
        <w:t>https://www.unsw.edu.au/research/npesu/clinical-registries/anz-assisted-reproduction-database</w:t>
      </w:r>
      <w:r w:rsidR="00DF53FA">
        <w:t xml:space="preserve">&gt; </w:t>
      </w:r>
      <w:r w:rsidR="00431649">
        <w:t>(‘</w:t>
      </w:r>
      <w:r w:rsidR="00431649" w:rsidRPr="002F634C">
        <w:rPr>
          <w:i/>
        </w:rPr>
        <w:t xml:space="preserve">UNSW website - </w:t>
      </w:r>
      <w:r w:rsidR="0088367F" w:rsidRPr="002F634C">
        <w:rPr>
          <w:i/>
        </w:rPr>
        <w:t>ANZARD</w:t>
      </w:r>
      <w:r w:rsidR="00732B14" w:rsidRPr="002F634C">
        <w:rPr>
          <w:i/>
        </w:rPr>
        <w:t>’</w:t>
      </w:r>
      <w:r w:rsidR="00732B14">
        <w:t>)</w:t>
      </w:r>
      <w:r w:rsidR="00B64AD9" w:rsidRPr="00E95795">
        <w:t>.</w:t>
      </w:r>
    </w:p>
  </w:footnote>
  <w:footnote w:id="91">
    <w:p w14:paraId="485DF051" w14:textId="59D03FBD" w:rsidR="005C554F" w:rsidRDefault="005C554F" w:rsidP="000C3628">
      <w:pPr>
        <w:pStyle w:val="FootnoteText"/>
      </w:pPr>
      <w:r>
        <w:rPr>
          <w:rStyle w:val="FootnoteReference"/>
        </w:rPr>
        <w:footnoteRef/>
      </w:r>
      <w:r>
        <w:t xml:space="preserve"> </w:t>
      </w:r>
      <w:r w:rsidR="00676FE2">
        <w:t>National Perinatal Epidemiology</w:t>
      </w:r>
      <w:r w:rsidR="00431649" w:rsidRPr="00EA17C0">
        <w:t xml:space="preserve"> and </w:t>
      </w:r>
      <w:r w:rsidR="00676FE2">
        <w:t>Statistics Unit</w:t>
      </w:r>
      <w:r w:rsidR="00431649" w:rsidRPr="00EA17C0">
        <w:t xml:space="preserve">, </w:t>
      </w:r>
      <w:r w:rsidR="00431649">
        <w:rPr>
          <w:i/>
          <w:iCs/>
        </w:rPr>
        <w:t xml:space="preserve">UNSW website – </w:t>
      </w:r>
      <w:r w:rsidR="00732B14">
        <w:rPr>
          <w:i/>
          <w:iCs/>
        </w:rPr>
        <w:t>ANZARD</w:t>
      </w:r>
      <w:r w:rsidR="00431649">
        <w:rPr>
          <w:i/>
          <w:iCs/>
        </w:rPr>
        <w:t xml:space="preserve"> </w:t>
      </w:r>
      <w:r w:rsidR="00431649">
        <w:t>(</w:t>
      </w:r>
      <w:r w:rsidR="00732B14">
        <w:t xml:space="preserve">n </w:t>
      </w:r>
      <w:r w:rsidR="00122F36">
        <w:fldChar w:fldCharType="begin"/>
      </w:r>
      <w:r w:rsidR="00122F36">
        <w:instrText xml:space="preserve"> NOTEREF _Ref207965690 \h </w:instrText>
      </w:r>
      <w:r w:rsidR="00122F36">
        <w:fldChar w:fldCharType="separate"/>
      </w:r>
      <w:r w:rsidR="007D732A">
        <w:t>90</w:t>
      </w:r>
      <w:r w:rsidR="00122F36">
        <w:fldChar w:fldCharType="end"/>
      </w:r>
      <w:r w:rsidR="00676FE2">
        <w:t>).</w:t>
      </w:r>
    </w:p>
  </w:footnote>
  <w:footnote w:id="92">
    <w:p w14:paraId="56D93F79" w14:textId="5B898F7C" w:rsidR="005C554F" w:rsidRDefault="005C554F" w:rsidP="000C3628">
      <w:pPr>
        <w:pStyle w:val="FootnoteText"/>
      </w:pPr>
      <w:r>
        <w:rPr>
          <w:rStyle w:val="FootnoteReference"/>
        </w:rPr>
        <w:footnoteRef/>
      </w:r>
      <w:r>
        <w:t xml:space="preserve"> See the ANZARD Data Dictionary for a full list of fields required for reporting: </w:t>
      </w:r>
      <w:r w:rsidR="00737A33">
        <w:t>Australian</w:t>
      </w:r>
      <w:r w:rsidRPr="004D7F7D">
        <w:t xml:space="preserve"> and </w:t>
      </w:r>
      <w:r w:rsidR="00737A33">
        <w:t>New Zealand Reproductive Database,</w:t>
      </w:r>
      <w:r w:rsidRPr="004D7F7D">
        <w:t xml:space="preserve"> </w:t>
      </w:r>
      <w:r w:rsidRPr="004D7F7D">
        <w:rPr>
          <w:i/>
          <w:iCs/>
        </w:rPr>
        <w:t>ANZARD 3.0 Data Dictionary: Version 5.0</w:t>
      </w:r>
      <w:r w:rsidRPr="004D7F7D">
        <w:t xml:space="preserve"> (November 2020</w:t>
      </w:r>
      <w:r w:rsidRPr="00CF1242">
        <w:t>).</w:t>
      </w:r>
    </w:p>
  </w:footnote>
  <w:footnote w:id="93">
    <w:p w14:paraId="6764DBF2" w14:textId="5D5EA81B" w:rsidR="005C554F" w:rsidRDefault="005C554F" w:rsidP="000C3628">
      <w:pPr>
        <w:pStyle w:val="FootnoteText"/>
      </w:pPr>
      <w:r w:rsidRPr="007B57A1">
        <w:rPr>
          <w:rStyle w:val="FootnoteReference"/>
        </w:rPr>
        <w:footnoteRef/>
      </w:r>
      <w:r w:rsidRPr="007B57A1">
        <w:t xml:space="preserve"> </w:t>
      </w:r>
      <w:r w:rsidR="00D76EE5">
        <w:t xml:space="preserve">Kotevski </w:t>
      </w:r>
      <w:r w:rsidR="00717AAA">
        <w:t>et al</w:t>
      </w:r>
      <w:r w:rsidR="00184200">
        <w:t xml:space="preserve">, </w:t>
      </w:r>
      <w:r w:rsidR="00184200" w:rsidRPr="00735F2B">
        <w:rPr>
          <w:i/>
          <w:iCs/>
        </w:rPr>
        <w:t>202</w:t>
      </w:r>
      <w:r w:rsidR="00D76EE5">
        <w:rPr>
          <w:i/>
          <w:iCs/>
        </w:rPr>
        <w:t>3</w:t>
      </w:r>
      <w:r w:rsidR="00184200" w:rsidRPr="00735F2B">
        <w:rPr>
          <w:i/>
          <w:iCs/>
        </w:rPr>
        <w:t xml:space="preserve"> ART report</w:t>
      </w:r>
      <w:r w:rsidR="00717AAA">
        <w:t xml:space="preserve"> (n </w:t>
      </w:r>
      <w:r w:rsidR="00094ACD">
        <w:fldChar w:fldCharType="begin"/>
      </w:r>
      <w:r w:rsidR="00094ACD">
        <w:instrText xml:space="preserve"> NOTEREF _Ref207802069 \h </w:instrText>
      </w:r>
      <w:r w:rsidR="000C3628">
        <w:instrText xml:space="preserve"> \* MERGEFORMAT </w:instrText>
      </w:r>
      <w:r w:rsidR="00094ACD">
        <w:fldChar w:fldCharType="separate"/>
      </w:r>
      <w:r w:rsidR="007D732A">
        <w:t>5</w:t>
      </w:r>
      <w:r w:rsidR="00094ACD">
        <w:fldChar w:fldCharType="end"/>
      </w:r>
      <w:r w:rsidR="00717AAA">
        <w:t>).</w:t>
      </w:r>
    </w:p>
  </w:footnote>
  <w:footnote w:id="94">
    <w:p w14:paraId="2356CEB3" w14:textId="7CDFDC9E" w:rsidR="005C554F" w:rsidRDefault="005C554F" w:rsidP="000C3628">
      <w:pPr>
        <w:pStyle w:val="FootnoteText"/>
      </w:pPr>
      <w:r>
        <w:rPr>
          <w:rStyle w:val="FootnoteReference"/>
        </w:rPr>
        <w:footnoteRef/>
      </w:r>
      <w:r>
        <w:t xml:space="preserve"> </w:t>
      </w:r>
      <w:r w:rsidR="002B3EC0">
        <w:t>Fertility Society of Australia and New Zealand</w:t>
      </w:r>
      <w:r w:rsidR="006374B7">
        <w:t xml:space="preserve">, </w:t>
      </w:r>
      <w:r w:rsidR="006374B7" w:rsidRPr="006374B7">
        <w:rPr>
          <w:i/>
          <w:iCs/>
        </w:rPr>
        <w:t>RTAC Code of Practice</w:t>
      </w:r>
      <w:r w:rsidR="002B3EC0">
        <w:t xml:space="preserve"> (n </w:t>
      </w:r>
      <w:r w:rsidR="002B3EC0">
        <w:fldChar w:fldCharType="begin"/>
      </w:r>
      <w:r w:rsidR="002B3EC0">
        <w:instrText xml:space="preserve"> NOTEREF _Ref207714715 \h </w:instrText>
      </w:r>
      <w:r w:rsidR="000C3628">
        <w:instrText xml:space="preserve"> \* MERGEFORMAT </w:instrText>
      </w:r>
      <w:r w:rsidR="002B3EC0">
        <w:fldChar w:fldCharType="separate"/>
      </w:r>
      <w:r w:rsidR="007D732A">
        <w:t>38</w:t>
      </w:r>
      <w:r w:rsidR="002B3EC0">
        <w:fldChar w:fldCharType="end"/>
      </w:r>
      <w:r w:rsidR="002B3EC0">
        <w:t xml:space="preserve">) </w:t>
      </w:r>
      <w:r w:rsidRPr="00C732F4">
        <w:t xml:space="preserve">s </w:t>
      </w:r>
      <w:r w:rsidRPr="00AA0B53">
        <w:t>4.</w:t>
      </w:r>
      <w:r>
        <w:t>4</w:t>
      </w:r>
      <w:r>
        <w:rPr>
          <w:i/>
          <w:iCs/>
        </w:rPr>
        <w:t xml:space="preserve">. </w:t>
      </w:r>
    </w:p>
  </w:footnote>
  <w:footnote w:id="95">
    <w:p w14:paraId="54445F33" w14:textId="5F5B4E42" w:rsidR="005C554F" w:rsidRDefault="005C554F" w:rsidP="000C3628">
      <w:pPr>
        <w:pStyle w:val="FootnoteText"/>
      </w:pPr>
      <w:r>
        <w:rPr>
          <w:rStyle w:val="FootnoteReference"/>
        </w:rPr>
        <w:footnoteRef/>
      </w:r>
      <w:r>
        <w:t xml:space="preserve"> </w:t>
      </w:r>
      <w:r w:rsidR="00FE3624">
        <w:t xml:space="preserve">Using a funnel plot methodology to account for factors such as clinic size and female patient </w:t>
      </w:r>
      <w:r w:rsidR="00FE3624" w:rsidRPr="004A6D5F">
        <w:t>age</w:t>
      </w:r>
      <w:r w:rsidR="00164B6B">
        <w:t>.</w:t>
      </w:r>
    </w:p>
  </w:footnote>
  <w:footnote w:id="96">
    <w:p w14:paraId="5E050DE1" w14:textId="5EB35659" w:rsidR="005C554F" w:rsidRDefault="005C554F" w:rsidP="000C3628">
      <w:pPr>
        <w:pStyle w:val="FootnoteText"/>
      </w:pPr>
      <w:r>
        <w:rPr>
          <w:rStyle w:val="FootnoteReference"/>
        </w:rPr>
        <w:footnoteRef/>
      </w:r>
      <w:r>
        <w:t xml:space="preserve"> </w:t>
      </w:r>
      <w:r w:rsidR="002B3EC0">
        <w:t>Fertility Society of Australia and New Zealand</w:t>
      </w:r>
      <w:r w:rsidR="006374B7">
        <w:t xml:space="preserve">, </w:t>
      </w:r>
      <w:r w:rsidR="006374B7" w:rsidRPr="006374B7">
        <w:rPr>
          <w:i/>
          <w:iCs/>
        </w:rPr>
        <w:t>RTAC Code of Practice</w:t>
      </w:r>
      <w:r w:rsidR="002B3EC0">
        <w:t xml:space="preserve"> (n </w:t>
      </w:r>
      <w:r w:rsidR="002B3EC0">
        <w:fldChar w:fldCharType="begin"/>
      </w:r>
      <w:r w:rsidR="002B3EC0">
        <w:instrText xml:space="preserve"> NOTEREF _Ref207714715 \h </w:instrText>
      </w:r>
      <w:r w:rsidR="000C3628">
        <w:instrText xml:space="preserve"> \* MERGEFORMAT </w:instrText>
      </w:r>
      <w:r w:rsidR="002B3EC0">
        <w:fldChar w:fldCharType="separate"/>
      </w:r>
      <w:r w:rsidR="007D732A">
        <w:t>38</w:t>
      </w:r>
      <w:r w:rsidR="002B3EC0">
        <w:fldChar w:fldCharType="end"/>
      </w:r>
      <w:r w:rsidR="002B3EC0">
        <w:t xml:space="preserve">) </w:t>
      </w:r>
      <w:r>
        <w:t>s 4.4</w:t>
      </w:r>
      <w:r>
        <w:rPr>
          <w:i/>
        </w:rPr>
        <w:t>.</w:t>
      </w:r>
    </w:p>
  </w:footnote>
  <w:footnote w:id="97">
    <w:p w14:paraId="252F68F0" w14:textId="448FE24D" w:rsidR="00DB303A" w:rsidRDefault="00DB303A" w:rsidP="000C3628">
      <w:pPr>
        <w:pStyle w:val="FootnoteText"/>
      </w:pPr>
      <w:r>
        <w:rPr>
          <w:rStyle w:val="FootnoteReference"/>
        </w:rPr>
        <w:footnoteRef/>
      </w:r>
      <w:r>
        <w:t xml:space="preserve"> </w:t>
      </w:r>
      <w:r w:rsidR="00690EC6">
        <w:t>Fertility Society of Australia and New Zealand</w:t>
      </w:r>
      <w:r w:rsidR="00B17943">
        <w:t xml:space="preserve">, </w:t>
      </w:r>
      <w:r w:rsidR="00B17943">
        <w:rPr>
          <w:i/>
          <w:iCs/>
        </w:rPr>
        <w:t>RTAC Scheme Rules</w:t>
      </w:r>
      <w:r w:rsidR="00690EC6">
        <w:t xml:space="preserve"> </w:t>
      </w:r>
      <w:r w:rsidR="00690EC6" w:rsidRPr="00406195">
        <w:t>(</w:t>
      </w:r>
      <w:r w:rsidR="00822C0A">
        <w:t xml:space="preserve">n </w:t>
      </w:r>
      <w:r w:rsidR="00822C0A">
        <w:fldChar w:fldCharType="begin"/>
      </w:r>
      <w:r w:rsidR="00822C0A">
        <w:instrText xml:space="preserve"> NOTEREF _Ref207892736 \h </w:instrText>
      </w:r>
      <w:r w:rsidR="000C3628">
        <w:instrText xml:space="preserve"> \* MERGEFORMAT </w:instrText>
      </w:r>
      <w:r w:rsidR="00822C0A">
        <w:fldChar w:fldCharType="separate"/>
      </w:r>
      <w:r w:rsidR="007D732A">
        <w:t>42</w:t>
      </w:r>
      <w:r w:rsidR="00822C0A">
        <w:fldChar w:fldCharType="end"/>
      </w:r>
      <w:r w:rsidR="00822C0A">
        <w:t xml:space="preserve">) </w:t>
      </w:r>
      <w:r w:rsidRPr="006C7C97">
        <w:t>s 7.6</w:t>
      </w:r>
      <w:r>
        <w:t>.</w:t>
      </w:r>
    </w:p>
  </w:footnote>
  <w:footnote w:id="98">
    <w:p w14:paraId="02F24F3A" w14:textId="77777777" w:rsidR="005C554F" w:rsidRDefault="005C554F" w:rsidP="000C3628">
      <w:pPr>
        <w:pStyle w:val="FootnoteText"/>
      </w:pPr>
      <w:r>
        <w:rPr>
          <w:rStyle w:val="FootnoteReference"/>
        </w:rPr>
        <w:footnoteRef/>
      </w:r>
      <w:r>
        <w:t xml:space="preserve"> ‘</w:t>
      </w:r>
      <w:proofErr w:type="spellStart"/>
      <w:r w:rsidRPr="00D26552">
        <w:t>YourIVFSuccess</w:t>
      </w:r>
      <w:proofErr w:type="spellEnd"/>
      <w:r>
        <w:t>’</w:t>
      </w:r>
      <w:r w:rsidRPr="00DE2523">
        <w:t xml:space="preserve">, </w:t>
      </w:r>
      <w:proofErr w:type="spellStart"/>
      <w:r>
        <w:rPr>
          <w:i/>
        </w:rPr>
        <w:t>YourIVFSuccess</w:t>
      </w:r>
      <w:proofErr w:type="spellEnd"/>
      <w:r w:rsidRPr="00DE2523">
        <w:t xml:space="preserve"> (Web Page, 2025) </w:t>
      </w:r>
      <w:r>
        <w:t>&lt;</w:t>
      </w:r>
      <w:r w:rsidRPr="00DE2523">
        <w:t>https://yourivfsuccess.com.au</w:t>
      </w:r>
      <w:r>
        <w:t>&gt;</w:t>
      </w:r>
      <w:r w:rsidRPr="00DE2523">
        <w:t>.</w:t>
      </w:r>
    </w:p>
  </w:footnote>
  <w:footnote w:id="99">
    <w:p w14:paraId="24D6196C" w14:textId="3C44E07D" w:rsidR="005C554F" w:rsidRDefault="005C554F" w:rsidP="000C3628">
      <w:pPr>
        <w:pStyle w:val="FootnoteText"/>
      </w:pPr>
      <w:r>
        <w:rPr>
          <w:rStyle w:val="FootnoteReference"/>
        </w:rPr>
        <w:footnoteRef/>
      </w:r>
      <w:r>
        <w:t xml:space="preserve"> </w:t>
      </w:r>
      <w:r w:rsidR="00244BAC">
        <w:t xml:space="preserve">Kotevski </w:t>
      </w:r>
      <w:r w:rsidR="000401F8">
        <w:t>et al</w:t>
      </w:r>
      <w:r w:rsidR="00184200">
        <w:t xml:space="preserve">, </w:t>
      </w:r>
      <w:r w:rsidR="00184200" w:rsidRPr="00735F2B">
        <w:rPr>
          <w:i/>
          <w:iCs/>
        </w:rPr>
        <w:t>202</w:t>
      </w:r>
      <w:r w:rsidR="00244BAC">
        <w:rPr>
          <w:i/>
          <w:iCs/>
        </w:rPr>
        <w:t>3</w:t>
      </w:r>
      <w:r w:rsidR="00184200" w:rsidRPr="00735F2B">
        <w:rPr>
          <w:i/>
          <w:iCs/>
        </w:rPr>
        <w:t xml:space="preserve"> ART report</w:t>
      </w:r>
      <w:r w:rsidR="000401F8">
        <w:t xml:space="preserve"> (n </w:t>
      </w:r>
      <w:r w:rsidR="0052392D">
        <w:fldChar w:fldCharType="begin"/>
      </w:r>
      <w:r w:rsidR="0052392D">
        <w:instrText xml:space="preserve"> NOTEREF _Ref207802069 \h </w:instrText>
      </w:r>
      <w:r w:rsidR="000C3628">
        <w:instrText xml:space="preserve"> \* MERGEFORMAT </w:instrText>
      </w:r>
      <w:r w:rsidR="0052392D">
        <w:fldChar w:fldCharType="separate"/>
      </w:r>
      <w:r w:rsidR="007D732A">
        <w:t>5</w:t>
      </w:r>
      <w:r w:rsidR="0052392D">
        <w:fldChar w:fldCharType="end"/>
      </w:r>
      <w:r w:rsidR="000401F8">
        <w:t xml:space="preserve">) </w:t>
      </w:r>
      <w:r>
        <w:t>14.</w:t>
      </w:r>
    </w:p>
  </w:footnote>
  <w:footnote w:id="100">
    <w:p w14:paraId="449A044D" w14:textId="6FF39780" w:rsidR="005C554F" w:rsidRDefault="005C554F" w:rsidP="000C3628">
      <w:pPr>
        <w:pStyle w:val="FootnoteText"/>
      </w:pPr>
      <w:r>
        <w:rPr>
          <w:rStyle w:val="FootnoteReference"/>
        </w:rPr>
        <w:footnoteRef/>
      </w:r>
      <w:r>
        <w:t xml:space="preserve"> </w:t>
      </w:r>
      <w:r w:rsidR="00B01C68" w:rsidRPr="000A6E22">
        <w:t>Reproductive Technology Accreditation Committee</w:t>
      </w:r>
      <w:r w:rsidR="00EB526F">
        <w:rPr>
          <w:i/>
          <w:iCs/>
        </w:rPr>
        <w:t xml:space="preserve">, </w:t>
      </w:r>
      <w:r w:rsidR="00EB526F" w:rsidRPr="00017FE1">
        <w:rPr>
          <w:i/>
          <w:iCs/>
        </w:rPr>
        <w:t>Annual Report 2023-2024</w:t>
      </w:r>
      <w:r w:rsidR="00B01C68">
        <w:t xml:space="preserve"> (n </w:t>
      </w:r>
      <w:r w:rsidR="00B01C68">
        <w:fldChar w:fldCharType="begin"/>
      </w:r>
      <w:r w:rsidR="00B01C68">
        <w:instrText xml:space="preserve"> NOTEREF _Ref207714269 \h </w:instrText>
      </w:r>
      <w:r w:rsidR="000C3628">
        <w:instrText xml:space="preserve"> \* MERGEFORMAT </w:instrText>
      </w:r>
      <w:r w:rsidR="00B01C68">
        <w:fldChar w:fldCharType="separate"/>
      </w:r>
      <w:r w:rsidR="007D732A">
        <w:t>13</w:t>
      </w:r>
      <w:r w:rsidR="00B01C68">
        <w:fldChar w:fldCharType="end"/>
      </w:r>
      <w:r w:rsidR="00B01C68">
        <w:t>)</w:t>
      </w:r>
      <w:r w:rsidR="001D3CF6">
        <w:t>.</w:t>
      </w:r>
    </w:p>
  </w:footnote>
  <w:footnote w:id="101">
    <w:p w14:paraId="63A3D410" w14:textId="77777777" w:rsidR="005C554F" w:rsidRDefault="005C554F" w:rsidP="000C3628">
      <w:pPr>
        <w:pStyle w:val="FootnoteText"/>
      </w:pPr>
      <w:r>
        <w:rPr>
          <w:rStyle w:val="FootnoteReference"/>
        </w:rPr>
        <w:footnoteRef/>
      </w:r>
      <w:r>
        <w:t xml:space="preserve"> ‘IVF Clinic Success Rates’</w:t>
      </w:r>
      <w:r w:rsidRPr="00DE2523">
        <w:t xml:space="preserve">, </w:t>
      </w:r>
      <w:proofErr w:type="spellStart"/>
      <w:r>
        <w:rPr>
          <w:i/>
        </w:rPr>
        <w:t>YourIVFSuccess</w:t>
      </w:r>
      <w:proofErr w:type="spellEnd"/>
      <w:r>
        <w:rPr>
          <w:i/>
        </w:rPr>
        <w:t xml:space="preserve"> </w:t>
      </w:r>
      <w:r w:rsidRPr="00DE2523">
        <w:t xml:space="preserve">(Web Page, 2025) </w:t>
      </w:r>
      <w:r>
        <w:t>&lt;</w:t>
      </w:r>
      <w:r w:rsidRPr="00B56785">
        <w:t>https://yourivfsuccess.com.au/clinics</w:t>
      </w:r>
      <w:r>
        <w:t>&gt;</w:t>
      </w:r>
      <w:r w:rsidRPr="00DE2523">
        <w:t>.</w:t>
      </w:r>
    </w:p>
  </w:footnote>
  <w:footnote w:id="102">
    <w:p w14:paraId="77A1B8FD" w14:textId="77777777" w:rsidR="00D46FBE" w:rsidRDefault="00D46FBE" w:rsidP="000C3628">
      <w:pPr>
        <w:pStyle w:val="FootnoteText"/>
      </w:pPr>
      <w:r>
        <w:rPr>
          <w:rStyle w:val="FootnoteReference"/>
        </w:rPr>
        <w:footnoteRef/>
      </w:r>
      <w:r>
        <w:t xml:space="preserve"> </w:t>
      </w:r>
      <w:r w:rsidRPr="00C828D1">
        <w:t xml:space="preserve">Additionally, ART providers operating as private or public companies must comply with </w:t>
      </w:r>
      <w:r>
        <w:t>the</w:t>
      </w:r>
      <w:r w:rsidRPr="00C828D1">
        <w:t xml:space="preserve"> </w:t>
      </w:r>
      <w:r w:rsidRPr="00DF14CA">
        <w:rPr>
          <w:i/>
        </w:rPr>
        <w:t>Corporations Act 2001</w:t>
      </w:r>
      <w:r w:rsidRPr="00D7545C">
        <w:t xml:space="preserve"> </w:t>
      </w:r>
      <w:r w:rsidRPr="00B769D2">
        <w:t>(</w:t>
      </w:r>
      <w:proofErr w:type="spellStart"/>
      <w:r w:rsidRPr="00B769D2">
        <w:t>Cth</w:t>
      </w:r>
      <w:proofErr w:type="spellEnd"/>
      <w:r w:rsidRPr="00B769D2">
        <w:t>)</w:t>
      </w:r>
      <w:r w:rsidRPr="00C828D1">
        <w:t xml:space="preserve"> requirements of company registration and reporting, director duties and responsibilities, financial disclosures and audits and recordkeeping and solvency.</w:t>
      </w:r>
    </w:p>
  </w:footnote>
  <w:footnote w:id="103">
    <w:p w14:paraId="123CE0A8" w14:textId="0D86068F" w:rsidR="005C554F" w:rsidRDefault="005C554F" w:rsidP="000C3628">
      <w:pPr>
        <w:pStyle w:val="FootnoteText"/>
      </w:pPr>
      <w:r w:rsidRPr="002B5FCB">
        <w:rPr>
          <w:rStyle w:val="FootnoteReference"/>
        </w:rPr>
        <w:footnoteRef/>
      </w:r>
      <w:r w:rsidRPr="002B5FCB">
        <w:t xml:space="preserve"> </w:t>
      </w:r>
      <w:r w:rsidRPr="002B5FCB">
        <w:rPr>
          <w:i/>
        </w:rPr>
        <w:t>Health Service Establishment</w:t>
      </w:r>
      <w:r w:rsidR="003E3B5B" w:rsidRPr="002B5FCB">
        <w:rPr>
          <w:i/>
        </w:rPr>
        <w:t>s</w:t>
      </w:r>
      <w:r w:rsidRPr="002B5FCB">
        <w:rPr>
          <w:i/>
        </w:rPr>
        <w:t xml:space="preserve"> Regulations </w:t>
      </w:r>
      <w:r w:rsidR="005E2BDC" w:rsidRPr="002B5FCB">
        <w:rPr>
          <w:i/>
        </w:rPr>
        <w:t>2021</w:t>
      </w:r>
      <w:r w:rsidR="00487C3C" w:rsidRPr="002B5FCB">
        <w:t xml:space="preserve"> (Tas</w:t>
      </w:r>
      <w:r w:rsidR="00863D4E" w:rsidRPr="002B5FCB">
        <w:t>)</w:t>
      </w:r>
      <w:r w:rsidRPr="002B5FCB">
        <w:t xml:space="preserve"> </w:t>
      </w:r>
      <w:r w:rsidR="002B5FCB" w:rsidRPr="002B5FCB">
        <w:t>Schedule</w:t>
      </w:r>
      <w:r w:rsidRPr="002B5FCB">
        <w:t xml:space="preserve"> 1</w:t>
      </w:r>
      <w:r w:rsidR="002B5FCB" w:rsidRPr="002B5FCB">
        <w:t>,</w:t>
      </w:r>
      <w:r w:rsidRPr="002B5FCB">
        <w:t xml:space="preserve"> </w:t>
      </w:r>
      <w:r w:rsidR="002B5FCB" w:rsidRPr="002B5FCB">
        <w:t>Part</w:t>
      </w:r>
      <w:r w:rsidRPr="002B5FCB">
        <w:t xml:space="preserve"> 4, </w:t>
      </w:r>
      <w:r w:rsidR="002B5FCB" w:rsidRPr="002B5FCB">
        <w:t>Clause 10</w:t>
      </w:r>
      <w:r w:rsidRPr="002B5FCB">
        <w:t>.</w:t>
      </w:r>
    </w:p>
  </w:footnote>
  <w:footnote w:id="104">
    <w:p w14:paraId="3F055EFA" w14:textId="3434F392" w:rsidR="004100BE" w:rsidRDefault="004100BE">
      <w:pPr>
        <w:pStyle w:val="FootnoteText"/>
      </w:pPr>
      <w:r>
        <w:rPr>
          <w:rStyle w:val="FootnoteReference"/>
        </w:rPr>
        <w:footnoteRef/>
      </w:r>
      <w:r>
        <w:t xml:space="preserve"> </w:t>
      </w:r>
      <w:r w:rsidRPr="00D94FAE">
        <w:rPr>
          <w:i/>
          <w:iCs/>
          <w:szCs w:val="18"/>
        </w:rPr>
        <w:t xml:space="preserve">Assisted Reproductive Technology Act 2007 </w:t>
      </w:r>
      <w:r w:rsidRPr="00D94FAE">
        <w:rPr>
          <w:szCs w:val="18"/>
        </w:rPr>
        <w:t>(NSW) s</w:t>
      </w:r>
      <w:r>
        <w:rPr>
          <w:szCs w:val="18"/>
        </w:rPr>
        <w:t xml:space="preserve"> </w:t>
      </w:r>
      <w:r w:rsidRPr="00D94FAE">
        <w:rPr>
          <w:szCs w:val="18"/>
        </w:rPr>
        <w:t>27</w:t>
      </w:r>
      <w:r>
        <w:rPr>
          <w:szCs w:val="18"/>
        </w:rPr>
        <w:t>(1A).</w:t>
      </w:r>
    </w:p>
  </w:footnote>
  <w:footnote w:id="105">
    <w:p w14:paraId="44834886" w14:textId="77777777" w:rsidR="005C554F" w:rsidRDefault="005C554F" w:rsidP="000C3628">
      <w:pPr>
        <w:pStyle w:val="FootnoteText"/>
      </w:pPr>
      <w:r>
        <w:rPr>
          <w:rStyle w:val="FootnoteReference"/>
        </w:rPr>
        <w:footnoteRef/>
      </w:r>
      <w:r>
        <w:t xml:space="preserve"> Each health profession that is part of the National Registration and Accreditation Scheme is represented by a National Board, which are responsible for registering practitioners and students as well as other functions for their professions. See</w:t>
      </w:r>
      <w:r w:rsidRPr="00812088">
        <w:t xml:space="preserve">, </w:t>
      </w:r>
      <w:r w:rsidRPr="00CD2F81">
        <w:t>‘National Boards’,</w:t>
      </w:r>
      <w:r>
        <w:t xml:space="preserve"> </w:t>
      </w:r>
      <w:r w:rsidRPr="00CD2F81">
        <w:rPr>
          <w:i/>
        </w:rPr>
        <w:t xml:space="preserve">Australian Health Practitioner Regulation Agency </w:t>
      </w:r>
      <w:r w:rsidRPr="00812088">
        <w:t xml:space="preserve">(Web Page, 2024) </w:t>
      </w:r>
      <w:r>
        <w:t>&lt;</w:t>
      </w:r>
      <w:r w:rsidRPr="00812088">
        <w:t>https://www.ahpra.gov.au/National-Boards.aspx</w:t>
      </w:r>
      <w:r>
        <w:t>&gt;</w:t>
      </w:r>
      <w:r w:rsidRPr="00812088">
        <w:t>.</w:t>
      </w:r>
    </w:p>
  </w:footnote>
  <w:footnote w:id="106">
    <w:p w14:paraId="7B821F0F" w14:textId="664A73AD" w:rsidR="005C554F" w:rsidRDefault="005C554F" w:rsidP="000C3628">
      <w:pPr>
        <w:pStyle w:val="FootnoteText"/>
      </w:pPr>
      <w:r>
        <w:rPr>
          <w:rStyle w:val="FootnoteReference"/>
        </w:rPr>
        <w:footnoteRef/>
      </w:r>
      <w:r>
        <w:t xml:space="preserve"> That is, because of a </w:t>
      </w:r>
      <w:r w:rsidRPr="00173CDD">
        <w:t xml:space="preserve">single, serious, </w:t>
      </w:r>
      <w:r w:rsidR="00CE6616" w:rsidRPr="00173CDD">
        <w:t>one-off</w:t>
      </w:r>
      <w:r w:rsidRPr="00173CDD">
        <w:t xml:space="preserve"> concern that has not been appropriately dealt with</w:t>
      </w:r>
      <w:r w:rsidR="000A438E">
        <w:t xml:space="preserve"> or </w:t>
      </w:r>
      <w:r w:rsidRPr="00173CDD">
        <w:t>appropriately managed without regulatory intervention</w:t>
      </w:r>
      <w:r>
        <w:t>;</w:t>
      </w:r>
      <w:r w:rsidRPr="00173CDD">
        <w:t xml:space="preserve"> or</w:t>
      </w:r>
      <w:r>
        <w:t xml:space="preserve"> </w:t>
      </w:r>
      <w:r w:rsidRPr="00173CDD">
        <w:t>series of concerns that represent that might represent a pattern of behaviour that requires our intervention.</w:t>
      </w:r>
      <w:r>
        <w:t xml:space="preserve"> See ‘</w:t>
      </w:r>
      <w:r w:rsidRPr="00CD2F81">
        <w:t>Investigating practitioners</w:t>
      </w:r>
      <w:r>
        <w:t xml:space="preserve">’, </w:t>
      </w:r>
      <w:r w:rsidRPr="00CD2F81">
        <w:rPr>
          <w:i/>
        </w:rPr>
        <w:t>Australian Health Practitioner Regulation Agency</w:t>
      </w:r>
      <w:r w:rsidRPr="00F87AFB">
        <w:t xml:space="preserve"> (Web Page, 202</w:t>
      </w:r>
      <w:r>
        <w:t>3</w:t>
      </w:r>
      <w:r w:rsidRPr="00F87AFB">
        <w:t xml:space="preserve">) </w:t>
      </w:r>
      <w:r w:rsidR="000E6651">
        <w:t>&lt;</w:t>
      </w:r>
      <w:r w:rsidR="000E6651" w:rsidRPr="000E6651">
        <w:t>https://www.ahpra.gov.au/Notifications/How-we-manage-concerns/Investigation.aspx</w:t>
      </w:r>
      <w:r w:rsidR="000E6651">
        <w:t>&gt;</w:t>
      </w:r>
      <w:r w:rsidR="00705C6E">
        <w:t xml:space="preserve"> </w:t>
      </w:r>
      <w:r w:rsidR="00705C6E" w:rsidRPr="00720AFA">
        <w:rPr>
          <w:i/>
          <w:iCs/>
        </w:rPr>
        <w:t>(</w:t>
      </w:r>
      <w:r w:rsidR="00720AFA" w:rsidRPr="00720AFA">
        <w:rPr>
          <w:i/>
          <w:iCs/>
        </w:rPr>
        <w:t>‘</w:t>
      </w:r>
      <w:proofErr w:type="spellStart"/>
      <w:r w:rsidR="00720AFA" w:rsidRPr="00720AFA">
        <w:rPr>
          <w:i/>
          <w:iCs/>
        </w:rPr>
        <w:t>Ahpra</w:t>
      </w:r>
      <w:proofErr w:type="spellEnd"/>
      <w:r w:rsidR="00720AFA" w:rsidRPr="00720AFA">
        <w:rPr>
          <w:i/>
          <w:iCs/>
        </w:rPr>
        <w:t xml:space="preserve"> website</w:t>
      </w:r>
      <w:r w:rsidR="00597916">
        <w:rPr>
          <w:i/>
          <w:iCs/>
        </w:rPr>
        <w:t xml:space="preserve"> – </w:t>
      </w:r>
      <w:r w:rsidR="00720AFA" w:rsidRPr="00720AFA">
        <w:rPr>
          <w:i/>
          <w:iCs/>
        </w:rPr>
        <w:t>Investigating practitioners’)</w:t>
      </w:r>
      <w:r w:rsidRPr="00F87AFB">
        <w:t>.</w:t>
      </w:r>
    </w:p>
  </w:footnote>
  <w:footnote w:id="107">
    <w:p w14:paraId="49EE6F3F" w14:textId="1E332090" w:rsidR="005C554F" w:rsidRPr="005E6098" w:rsidRDefault="005C554F" w:rsidP="000C3628">
      <w:pPr>
        <w:pStyle w:val="FootnoteText"/>
      </w:pPr>
      <w:r>
        <w:rPr>
          <w:rStyle w:val="FootnoteReference"/>
        </w:rPr>
        <w:footnoteRef/>
      </w:r>
      <w:r>
        <w:t xml:space="preserve"> </w:t>
      </w:r>
      <w:r w:rsidR="005E6098" w:rsidRPr="009A2EC3">
        <w:rPr>
          <w:iCs/>
        </w:rPr>
        <w:t>Australian Health Practitioner Regulation Agency,</w:t>
      </w:r>
      <w:r w:rsidR="005E6098">
        <w:rPr>
          <w:i/>
          <w:iCs/>
        </w:rPr>
        <w:t xml:space="preserve"> </w:t>
      </w:r>
      <w:proofErr w:type="spellStart"/>
      <w:r w:rsidR="005E6098" w:rsidRPr="00720AFA">
        <w:rPr>
          <w:i/>
          <w:iCs/>
        </w:rPr>
        <w:t>Ahpra</w:t>
      </w:r>
      <w:proofErr w:type="spellEnd"/>
      <w:r w:rsidR="005E6098" w:rsidRPr="00720AFA">
        <w:rPr>
          <w:i/>
          <w:iCs/>
        </w:rPr>
        <w:t xml:space="preserve"> websit</w:t>
      </w:r>
      <w:r w:rsidR="00597916">
        <w:rPr>
          <w:i/>
          <w:iCs/>
        </w:rPr>
        <w:t xml:space="preserve">e – </w:t>
      </w:r>
      <w:r w:rsidR="005E6098" w:rsidRPr="00720AFA">
        <w:rPr>
          <w:i/>
          <w:iCs/>
        </w:rPr>
        <w:t>Investigating practitioners</w:t>
      </w:r>
      <w:r w:rsidR="005E6098">
        <w:rPr>
          <w:i/>
          <w:iCs/>
        </w:rPr>
        <w:t xml:space="preserve"> </w:t>
      </w:r>
      <w:r w:rsidR="005E6098">
        <w:t xml:space="preserve">(n </w:t>
      </w:r>
      <w:r w:rsidR="005E6098">
        <w:fldChar w:fldCharType="begin"/>
      </w:r>
      <w:r w:rsidR="005E6098">
        <w:instrText xml:space="preserve"> NOTEREF _Ref207718562 \h </w:instrText>
      </w:r>
      <w:r w:rsidR="000C3628">
        <w:instrText xml:space="preserve"> \* MERGEFORMAT </w:instrText>
      </w:r>
      <w:r w:rsidR="005E6098">
        <w:fldChar w:fldCharType="separate"/>
      </w:r>
      <w:r w:rsidR="007D732A">
        <w:t>106</w:t>
      </w:r>
      <w:r w:rsidR="005E6098">
        <w:fldChar w:fldCharType="end"/>
      </w:r>
      <w:r w:rsidR="005E6098">
        <w:t>).</w:t>
      </w:r>
    </w:p>
  </w:footnote>
  <w:footnote w:id="108">
    <w:p w14:paraId="24EA4B51" w14:textId="25579835" w:rsidR="005C554F" w:rsidRDefault="005C554F" w:rsidP="000C3628">
      <w:pPr>
        <w:pStyle w:val="FootnoteText"/>
      </w:pPr>
      <w:r>
        <w:rPr>
          <w:rStyle w:val="FootnoteReference"/>
        </w:rPr>
        <w:footnoteRef/>
      </w:r>
      <w:r>
        <w:t xml:space="preserve"> </w:t>
      </w:r>
      <w:r w:rsidR="008A5B0C">
        <w:rPr>
          <w:i/>
          <w:iCs/>
        </w:rPr>
        <w:t xml:space="preserve">The </w:t>
      </w:r>
      <w:r w:rsidR="008A5B0C" w:rsidRPr="00F96A9F">
        <w:rPr>
          <w:i/>
        </w:rPr>
        <w:t xml:space="preserve">Assisted Reproductive Technology Act 2024 </w:t>
      </w:r>
      <w:r w:rsidR="008A5B0C" w:rsidRPr="00F96A9F">
        <w:t>(ACT)</w:t>
      </w:r>
      <w:r w:rsidR="008A5B0C">
        <w:t xml:space="preserve"> </w:t>
      </w:r>
      <w:r>
        <w:t>includes scalable enforcement options in the event of legislative non-compliance by providers, including: improvement notices, prohibition notices, enforceable undertakings, information or document production notices and infringement notices</w:t>
      </w:r>
      <w:r w:rsidR="008A5B0C">
        <w:t>.</w:t>
      </w:r>
    </w:p>
  </w:footnote>
  <w:footnote w:id="109">
    <w:p w14:paraId="4B581C58" w14:textId="0E426521" w:rsidR="005C554F" w:rsidRDefault="005C554F" w:rsidP="000C3628">
      <w:pPr>
        <w:pStyle w:val="FootnoteText"/>
      </w:pPr>
      <w:r>
        <w:rPr>
          <w:rStyle w:val="FootnoteReference"/>
        </w:rPr>
        <w:footnoteRef/>
      </w:r>
      <w:r>
        <w:t xml:space="preserve"> The</w:t>
      </w:r>
      <w:r w:rsidR="00C835CA">
        <w:t xml:space="preserve"> </w:t>
      </w:r>
      <w:r w:rsidR="00C835CA">
        <w:rPr>
          <w:i/>
          <w:iCs/>
        </w:rPr>
        <w:t>Ass</w:t>
      </w:r>
      <w:r w:rsidR="00500129">
        <w:rPr>
          <w:i/>
          <w:iCs/>
        </w:rPr>
        <w:t xml:space="preserve">isted Reproductive Act 2024 </w:t>
      </w:r>
      <w:r w:rsidR="00500129">
        <w:t>(Qld) provides</w:t>
      </w:r>
      <w:r w:rsidRPr="004E45C6">
        <w:t xml:space="preserve"> scalable enforcement options in the event of </w:t>
      </w:r>
      <w:r>
        <w:t xml:space="preserve">legislative </w:t>
      </w:r>
      <w:r w:rsidRPr="004E45C6">
        <w:t>non-compliance by providers, including:</w:t>
      </w:r>
      <w:r>
        <w:t xml:space="preserve"> </w:t>
      </w:r>
      <w:r w:rsidRPr="004E45C6">
        <w:t>improvement notice</w:t>
      </w:r>
      <w:r w:rsidR="00701391">
        <w:t>,</w:t>
      </w:r>
      <w:r>
        <w:t xml:space="preserve"> </w:t>
      </w:r>
      <w:r w:rsidRPr="004E45C6">
        <w:t>prohibition notices – applying to ART services of a stated kind, or all ART services</w:t>
      </w:r>
      <w:r>
        <w:t xml:space="preserve">, </w:t>
      </w:r>
      <w:r w:rsidRPr="004E45C6">
        <w:t>imposing and varying licence conditions</w:t>
      </w:r>
      <w:r w:rsidR="00701391">
        <w:t>,</w:t>
      </w:r>
      <w:r>
        <w:t xml:space="preserve"> </w:t>
      </w:r>
      <w:r w:rsidRPr="004E45C6">
        <w:t xml:space="preserve">cancelling a licence </w:t>
      </w:r>
      <w:r>
        <w:t xml:space="preserve">and </w:t>
      </w:r>
      <w:r w:rsidRPr="004E45C6">
        <w:t>suspending a licence</w:t>
      </w:r>
      <w:r w:rsidR="00701391">
        <w:t>.</w:t>
      </w:r>
    </w:p>
  </w:footnote>
  <w:footnote w:id="110">
    <w:p w14:paraId="0E444579" w14:textId="2C1E01E3" w:rsidR="005C554F" w:rsidRDefault="005C554F" w:rsidP="000C3628">
      <w:pPr>
        <w:pStyle w:val="FootnoteText"/>
      </w:pPr>
      <w:r>
        <w:rPr>
          <w:rStyle w:val="FootnoteReference"/>
        </w:rPr>
        <w:footnoteRef/>
      </w:r>
      <w:r>
        <w:t xml:space="preserve"> </w:t>
      </w:r>
      <w:r w:rsidR="002D4D3D">
        <w:t xml:space="preserve">The </w:t>
      </w:r>
      <w:hyperlink r:id="rId1" w:history="1">
        <w:r w:rsidR="002D4D3D" w:rsidRPr="00650A4C">
          <w:rPr>
            <w:i/>
            <w:szCs w:val="18"/>
          </w:rPr>
          <w:t>Assisted Reproductive Treatment Act 2008</w:t>
        </w:r>
      </w:hyperlink>
      <w:r w:rsidR="002D4D3D" w:rsidRPr="00650A4C">
        <w:rPr>
          <w:szCs w:val="18"/>
        </w:rPr>
        <w:t xml:space="preserve"> (Vic)</w:t>
      </w:r>
      <w:r w:rsidR="002D4D3D">
        <w:rPr>
          <w:szCs w:val="18"/>
        </w:rPr>
        <w:t xml:space="preserve"> include </w:t>
      </w:r>
      <w:r w:rsidRPr="00650A4C">
        <w:rPr>
          <w:szCs w:val="18"/>
        </w:rPr>
        <w:t>scalable enforcement options in the event of legislative non-compliance by providers, including: require provider to appoint an external auditor, notice to compel production of information or documents, power to enter premises to conduct an inspection of documents and records, improvement notice, suspending registration either in whole or in part, prohibition notice, accept an enforceable undertaking, infringement notice</w:t>
      </w:r>
      <w:r w:rsidR="002D4D3D">
        <w:rPr>
          <w:szCs w:val="18"/>
        </w:rPr>
        <w:t>.</w:t>
      </w:r>
    </w:p>
  </w:footnote>
  <w:footnote w:id="111">
    <w:p w14:paraId="6C29DCD7" w14:textId="637F6FF2" w:rsidR="005C554F" w:rsidRDefault="005C554F" w:rsidP="000C3628">
      <w:pPr>
        <w:pStyle w:val="FootnoteText"/>
      </w:pPr>
      <w:r w:rsidRPr="60B6E968">
        <w:rPr>
          <w:rStyle w:val="FootnoteReference"/>
        </w:rPr>
        <w:footnoteRef/>
      </w:r>
      <w:r>
        <w:t xml:space="preserve"> </w:t>
      </w:r>
      <w:r w:rsidR="00154FFF" w:rsidRPr="009A2EC3">
        <w:rPr>
          <w:iCs/>
        </w:rPr>
        <w:t>Australian Health Practitioner Regulation Agency,</w:t>
      </w:r>
      <w:r w:rsidR="00154FFF">
        <w:rPr>
          <w:i/>
          <w:iCs/>
        </w:rPr>
        <w:t xml:space="preserve"> </w:t>
      </w:r>
      <w:proofErr w:type="spellStart"/>
      <w:r w:rsidR="00154FFF" w:rsidRPr="00720AFA">
        <w:rPr>
          <w:i/>
          <w:iCs/>
        </w:rPr>
        <w:t>Ahpra</w:t>
      </w:r>
      <w:proofErr w:type="spellEnd"/>
      <w:r w:rsidR="00154FFF" w:rsidRPr="00720AFA">
        <w:rPr>
          <w:i/>
          <w:iCs/>
        </w:rPr>
        <w:t xml:space="preserve"> website</w:t>
      </w:r>
      <w:r w:rsidR="00597916">
        <w:rPr>
          <w:i/>
          <w:iCs/>
        </w:rPr>
        <w:t xml:space="preserve"> – </w:t>
      </w:r>
      <w:r w:rsidR="00154FFF" w:rsidRPr="00720AFA">
        <w:rPr>
          <w:i/>
          <w:iCs/>
        </w:rPr>
        <w:t>Investigating practitioners</w:t>
      </w:r>
      <w:r w:rsidR="00154FFF">
        <w:rPr>
          <w:i/>
          <w:iCs/>
        </w:rPr>
        <w:t xml:space="preserve"> </w:t>
      </w:r>
      <w:r w:rsidR="00154FFF">
        <w:t xml:space="preserve">(n </w:t>
      </w:r>
      <w:r w:rsidR="00154FFF">
        <w:fldChar w:fldCharType="begin"/>
      </w:r>
      <w:r w:rsidR="00154FFF">
        <w:instrText xml:space="preserve"> NOTEREF _Ref207718562 \h </w:instrText>
      </w:r>
      <w:r w:rsidR="000C3628">
        <w:instrText xml:space="preserve"> \* MERGEFORMAT </w:instrText>
      </w:r>
      <w:r w:rsidR="00154FFF">
        <w:fldChar w:fldCharType="separate"/>
      </w:r>
      <w:r w:rsidR="007D732A">
        <w:t>106</w:t>
      </w:r>
      <w:r w:rsidR="00154FFF">
        <w:fldChar w:fldCharType="end"/>
      </w:r>
      <w:r w:rsidR="00154FFF">
        <w:t>).</w:t>
      </w:r>
    </w:p>
  </w:footnote>
  <w:footnote w:id="112">
    <w:p w14:paraId="1D0A128D" w14:textId="77777777" w:rsidR="005C554F" w:rsidRDefault="005C554F" w:rsidP="000C3628">
      <w:pPr>
        <w:pStyle w:val="FootnoteText"/>
      </w:pPr>
      <w:r>
        <w:rPr>
          <w:rStyle w:val="FootnoteReference"/>
        </w:rPr>
        <w:footnoteRef/>
      </w:r>
      <w:r>
        <w:t xml:space="preserve"> ‘RTAC’, </w:t>
      </w:r>
      <w:r>
        <w:rPr>
          <w:i/>
          <w:iCs/>
        </w:rPr>
        <w:t xml:space="preserve">Fertility Society of Australia and New Zealand </w:t>
      </w:r>
      <w:r w:rsidRPr="00425F66">
        <w:t>(</w:t>
      </w:r>
      <w:r>
        <w:t>Web Page, 2025) &lt;</w:t>
      </w:r>
      <w:r w:rsidRPr="00F43B04">
        <w:t>https://www.fertilitysociety.com.au/art-regulation/rtac/</w:t>
      </w:r>
      <w:r>
        <w:t>&gt;.</w:t>
      </w:r>
    </w:p>
  </w:footnote>
  <w:footnote w:id="113">
    <w:p w14:paraId="26767B2C" w14:textId="50C56EEF" w:rsidR="005C554F" w:rsidRDefault="005C554F" w:rsidP="000C3628">
      <w:pPr>
        <w:pStyle w:val="FootnoteText"/>
      </w:pPr>
      <w:r>
        <w:rPr>
          <w:rStyle w:val="FootnoteReference"/>
        </w:rPr>
        <w:footnoteRef/>
      </w:r>
      <w:r>
        <w:t xml:space="preserve"> </w:t>
      </w:r>
      <w:r w:rsidR="002B3EC0">
        <w:t>Fertility Society of Australia and New Zealand</w:t>
      </w:r>
      <w:r w:rsidR="006374B7">
        <w:t xml:space="preserve">, </w:t>
      </w:r>
      <w:r w:rsidR="006374B7" w:rsidRPr="006374B7">
        <w:rPr>
          <w:i/>
          <w:iCs/>
        </w:rPr>
        <w:t>RTAC Code of Practice</w:t>
      </w:r>
      <w:r w:rsidR="002B3EC0">
        <w:t xml:space="preserve"> (n </w:t>
      </w:r>
      <w:r w:rsidR="002B3EC0">
        <w:fldChar w:fldCharType="begin"/>
      </w:r>
      <w:r w:rsidR="002B3EC0">
        <w:instrText xml:space="preserve"> NOTEREF _Ref207714715 \h </w:instrText>
      </w:r>
      <w:r w:rsidR="000C3628">
        <w:instrText xml:space="preserve"> \* MERGEFORMAT </w:instrText>
      </w:r>
      <w:r w:rsidR="002B3EC0">
        <w:fldChar w:fldCharType="separate"/>
      </w:r>
      <w:r w:rsidR="007D732A">
        <w:t>38</w:t>
      </w:r>
      <w:r w:rsidR="002B3EC0">
        <w:fldChar w:fldCharType="end"/>
      </w:r>
      <w:r w:rsidR="002B3EC0">
        <w:t xml:space="preserve">) </w:t>
      </w:r>
      <w:r w:rsidRPr="00F62757">
        <w:t>s</w:t>
      </w:r>
      <w:r>
        <w:t xml:space="preserve"> 2.6.</w:t>
      </w:r>
    </w:p>
  </w:footnote>
  <w:footnote w:id="114">
    <w:p w14:paraId="2A60198F" w14:textId="730779E9" w:rsidR="005C554F" w:rsidRDefault="005C554F" w:rsidP="000C3628">
      <w:pPr>
        <w:pStyle w:val="FootnoteText"/>
      </w:pPr>
      <w:r>
        <w:rPr>
          <w:rStyle w:val="FootnoteReference"/>
        </w:rPr>
        <w:footnoteRef/>
      </w:r>
      <w:r>
        <w:t xml:space="preserve"> </w:t>
      </w:r>
      <w:r w:rsidR="002B3EC0">
        <w:t>Fertility Society of Australia and New Zealand</w:t>
      </w:r>
      <w:r w:rsidR="006374B7">
        <w:t xml:space="preserve">, </w:t>
      </w:r>
      <w:r w:rsidR="006374B7" w:rsidRPr="006374B7">
        <w:rPr>
          <w:i/>
          <w:iCs/>
        </w:rPr>
        <w:t>RTAC Code of Practice</w:t>
      </w:r>
      <w:r w:rsidR="002B3EC0">
        <w:t xml:space="preserve"> (n </w:t>
      </w:r>
      <w:r w:rsidR="002B3EC0">
        <w:fldChar w:fldCharType="begin"/>
      </w:r>
      <w:r w:rsidR="002B3EC0">
        <w:instrText xml:space="preserve"> NOTEREF _Ref207714715 \h </w:instrText>
      </w:r>
      <w:r w:rsidR="000C3628">
        <w:instrText xml:space="preserve"> \* MERGEFORMAT </w:instrText>
      </w:r>
      <w:r w:rsidR="002B3EC0">
        <w:fldChar w:fldCharType="separate"/>
      </w:r>
      <w:r w:rsidR="007D732A">
        <w:t>38</w:t>
      </w:r>
      <w:r w:rsidR="002B3EC0">
        <w:fldChar w:fldCharType="end"/>
      </w:r>
      <w:r w:rsidR="002B3EC0">
        <w:t xml:space="preserve">) </w:t>
      </w:r>
      <w:r>
        <w:t>s 2</w:t>
      </w:r>
      <w:r w:rsidRPr="003B1F05">
        <w:t>.6</w:t>
      </w:r>
      <w:r>
        <w:t>.</w:t>
      </w:r>
    </w:p>
  </w:footnote>
  <w:footnote w:id="115">
    <w:p w14:paraId="43C13CDE" w14:textId="34A11849" w:rsidR="005C554F" w:rsidRDefault="005C554F" w:rsidP="000C3628">
      <w:pPr>
        <w:pStyle w:val="FootnoteText"/>
      </w:pPr>
      <w:r>
        <w:rPr>
          <w:rStyle w:val="FootnoteReference"/>
        </w:rPr>
        <w:footnoteRef/>
      </w:r>
      <w:r>
        <w:t xml:space="preserve"> </w:t>
      </w:r>
      <w:r w:rsidR="00DC575B">
        <w:t>Fertility Society of Australia and New Zealand</w:t>
      </w:r>
      <w:r w:rsidR="00B17943">
        <w:t xml:space="preserve">, </w:t>
      </w:r>
      <w:r w:rsidR="00B17943">
        <w:rPr>
          <w:i/>
          <w:iCs/>
        </w:rPr>
        <w:t>RTAC Scheme Rules</w:t>
      </w:r>
      <w:r w:rsidR="00DC575B">
        <w:t xml:space="preserve"> </w:t>
      </w:r>
      <w:r w:rsidR="00DC575B" w:rsidRPr="00406195">
        <w:t>(</w:t>
      </w:r>
      <w:r w:rsidR="003543F0">
        <w:t xml:space="preserve">n </w:t>
      </w:r>
      <w:r w:rsidR="003543F0">
        <w:fldChar w:fldCharType="begin"/>
      </w:r>
      <w:r w:rsidR="003543F0">
        <w:instrText xml:space="preserve"> NOTEREF _Ref207892736 \h </w:instrText>
      </w:r>
      <w:r w:rsidR="000C3628">
        <w:instrText xml:space="preserve"> \* MERGEFORMAT </w:instrText>
      </w:r>
      <w:r w:rsidR="003543F0">
        <w:fldChar w:fldCharType="separate"/>
      </w:r>
      <w:r w:rsidR="007D732A">
        <w:t>42</w:t>
      </w:r>
      <w:r w:rsidR="003543F0">
        <w:fldChar w:fldCharType="end"/>
      </w:r>
      <w:r w:rsidR="003543F0">
        <w:t xml:space="preserve">) </w:t>
      </w:r>
      <w:r>
        <w:rPr>
          <w:iCs/>
        </w:rPr>
        <w:t>s 4.1.2.1b.</w:t>
      </w:r>
    </w:p>
  </w:footnote>
  <w:footnote w:id="116">
    <w:p w14:paraId="6748FA25" w14:textId="77777777" w:rsidR="005C554F" w:rsidRPr="00267ADA" w:rsidRDefault="005C554F" w:rsidP="000C3628">
      <w:pPr>
        <w:spacing w:before="60" w:after="60" w:line="240" w:lineRule="auto"/>
        <w:rPr>
          <w:rFonts w:ascii="Public Sans" w:hAnsi="Public Sans" w:cs="Calibri"/>
          <w:sz w:val="20"/>
        </w:rPr>
      </w:pPr>
      <w:r>
        <w:rPr>
          <w:rStyle w:val="FootnoteReference"/>
        </w:rPr>
        <w:footnoteRef/>
      </w:r>
      <w:r w:rsidRPr="00267ADA">
        <w:rPr>
          <w:sz w:val="18"/>
          <w:szCs w:val="18"/>
        </w:rPr>
        <w:t xml:space="preserve"> </w:t>
      </w:r>
      <w:r w:rsidRPr="00267ADA">
        <w:rPr>
          <w:rFonts w:cs="Arial"/>
          <w:sz w:val="18"/>
          <w:szCs w:val="18"/>
        </w:rPr>
        <w:t xml:space="preserve">If a complaint is in scope of the </w:t>
      </w:r>
      <w:r w:rsidRPr="00267ADA">
        <w:rPr>
          <w:rFonts w:cs="Arial" w:hint="eastAsia"/>
          <w:i/>
          <w:iCs/>
          <w:sz w:val="18"/>
          <w:szCs w:val="18"/>
        </w:rPr>
        <w:t>Assisted Reproductive Technology Act 2007</w:t>
      </w:r>
      <w:r w:rsidRPr="00267ADA">
        <w:rPr>
          <w:rFonts w:cs="Arial" w:hint="eastAsia"/>
          <w:sz w:val="18"/>
          <w:szCs w:val="18"/>
        </w:rPr>
        <w:t xml:space="preserve"> (NSW) or </w:t>
      </w:r>
      <w:r w:rsidRPr="00267ADA">
        <w:rPr>
          <w:rFonts w:cs="Arial"/>
          <w:i/>
          <w:iCs/>
          <w:sz w:val="18"/>
          <w:szCs w:val="18"/>
        </w:rPr>
        <w:t>Assisted Reproductive Technology Regulation 2024</w:t>
      </w:r>
      <w:r w:rsidRPr="00267ADA">
        <w:rPr>
          <w:rFonts w:cs="Arial" w:hint="eastAsia"/>
          <w:sz w:val="18"/>
          <w:szCs w:val="18"/>
        </w:rPr>
        <w:t xml:space="preserve"> (NSW)</w:t>
      </w:r>
      <w:r w:rsidRPr="00267ADA">
        <w:rPr>
          <w:rFonts w:cs="Arial"/>
          <w:sz w:val="18"/>
          <w:szCs w:val="18"/>
        </w:rPr>
        <w:t>, the Ministry for Health will manage it in accordance with its legislative powers. If it is outside the scope of the NSW legislation, it may refer the complainant to the NSW Health Care Complaints Commission.</w:t>
      </w:r>
    </w:p>
  </w:footnote>
  <w:footnote w:id="117">
    <w:p w14:paraId="75B1540D" w14:textId="74C7A05A" w:rsidR="005C554F" w:rsidRDefault="005C554F" w:rsidP="000C3628">
      <w:pPr>
        <w:pStyle w:val="FootnoteText"/>
      </w:pPr>
      <w:r>
        <w:rPr>
          <w:rStyle w:val="FootnoteReference"/>
        </w:rPr>
        <w:footnoteRef/>
      </w:r>
      <w:r w:rsidR="00A14AA9">
        <w:t xml:space="preserve"> </w:t>
      </w:r>
      <w:r w:rsidR="00A14AA9" w:rsidRPr="000C067C">
        <w:t xml:space="preserve">‘Information for people making complaints’, </w:t>
      </w:r>
      <w:r w:rsidR="00A14AA9" w:rsidRPr="000C067C">
        <w:rPr>
          <w:i/>
          <w:iCs/>
        </w:rPr>
        <w:t>ACT Human Rights Commission</w:t>
      </w:r>
      <w:r w:rsidR="00A14AA9" w:rsidRPr="000C067C">
        <w:t xml:space="preserve"> (Web Page) &lt;https://www.hrc.act.gov.au/complaints/information-for-people-making-complaints</w:t>
      </w:r>
      <w:r w:rsidR="00A14AA9" w:rsidRPr="00192D8D">
        <w:t>&gt;</w:t>
      </w:r>
      <w:r w:rsidR="00A14AA9">
        <w:t>;</w:t>
      </w:r>
      <w:r w:rsidR="00661B4B">
        <w:t xml:space="preserve"> </w:t>
      </w:r>
      <w:r w:rsidR="00661B4B" w:rsidRPr="001B7E23">
        <w:t xml:space="preserve">‘Possible Complaint Outcome’ </w:t>
      </w:r>
      <w:r w:rsidR="00661B4B" w:rsidRPr="00192D8D">
        <w:rPr>
          <w:i/>
          <w:iCs/>
        </w:rPr>
        <w:t>Health Care Complaints Commission</w:t>
      </w:r>
      <w:r w:rsidR="00661B4B" w:rsidRPr="001B7E23">
        <w:t xml:space="preserve"> (Web Page, 2 March 2023) &lt;https://www.hccc.nsw.gov.au/understanding-complaints/possible-complaint-outcomes&gt;</w:t>
      </w:r>
      <w:r w:rsidR="00661B4B">
        <w:t xml:space="preserve">; </w:t>
      </w:r>
      <w:r w:rsidR="00DB0025" w:rsidRPr="00F113B4">
        <w:t xml:space="preserve">‘Complaint Process’, </w:t>
      </w:r>
      <w:r w:rsidR="00DB0025" w:rsidRPr="00F113B4">
        <w:rPr>
          <w:i/>
          <w:iCs/>
        </w:rPr>
        <w:t>Health and Community Services Complaints Commission</w:t>
      </w:r>
      <w:r w:rsidR="00DB0025" w:rsidRPr="00F113B4">
        <w:t xml:space="preserve"> (Web Page, 31 October 2023) &lt;https://hcscc.nt.gov.au/complaint-process&gt;</w:t>
      </w:r>
      <w:r w:rsidR="00DB0025">
        <w:t xml:space="preserve">; </w:t>
      </w:r>
      <w:r w:rsidR="008E2622" w:rsidRPr="00C24F93">
        <w:t xml:space="preserve">‘What happens when you make a complaint’, </w:t>
      </w:r>
      <w:r w:rsidR="008E2622" w:rsidRPr="00192D8D">
        <w:rPr>
          <w:i/>
          <w:iCs/>
        </w:rPr>
        <w:t>Office of the Health Ombudsman</w:t>
      </w:r>
      <w:r w:rsidR="008E2622" w:rsidRPr="00C24F93">
        <w:t xml:space="preserve"> (Web Page) &lt;https://www.oho.qld.gov.au/public/what-happens-when-you-make-a-complaint&gt;</w:t>
      </w:r>
      <w:r w:rsidR="008E2622">
        <w:t xml:space="preserve">; </w:t>
      </w:r>
      <w:r w:rsidR="008E2622" w:rsidRPr="00801CAD">
        <w:t xml:space="preserve">‘Consumers’, </w:t>
      </w:r>
      <w:r w:rsidR="008E2622" w:rsidRPr="00192D8D">
        <w:rPr>
          <w:i/>
          <w:iCs/>
        </w:rPr>
        <w:t>Health and Community Services Complaints Commissioner</w:t>
      </w:r>
      <w:r w:rsidR="008E2622" w:rsidRPr="00801CAD">
        <w:t xml:space="preserve"> (Web Page, 2025) &lt;https://www.hcscc.sa.gov.au/making-a-complaint/#are-there-exceptions&gt;</w:t>
      </w:r>
      <w:r w:rsidR="008E2622">
        <w:t xml:space="preserve">; </w:t>
      </w:r>
      <w:r w:rsidR="008E2622" w:rsidRPr="00003369">
        <w:t xml:space="preserve">‘Complaints Process’, </w:t>
      </w:r>
      <w:r w:rsidR="008E2622" w:rsidRPr="00192D8D">
        <w:rPr>
          <w:i/>
          <w:iCs/>
        </w:rPr>
        <w:t>Health Complaints Commissioner Tasmania</w:t>
      </w:r>
      <w:r w:rsidR="008E2622" w:rsidRPr="00003369">
        <w:t xml:space="preserve"> (Web Page, 24 June 2025)</w:t>
      </w:r>
      <w:r w:rsidR="008E2622">
        <w:t>.</w:t>
      </w:r>
      <w:r w:rsidR="008E2622" w:rsidRPr="00003369">
        <w:t xml:space="preserve"> &lt;https://www.healthcomplaints.tas.gov.au/complaints#Complaint-process&gt;</w:t>
      </w:r>
      <w:r w:rsidR="008E2622">
        <w:t xml:space="preserve">; </w:t>
      </w:r>
      <w:r w:rsidRPr="00192D8D">
        <w:t xml:space="preserve">‘Our Process’, </w:t>
      </w:r>
      <w:r w:rsidRPr="00192D8D">
        <w:rPr>
          <w:i/>
          <w:iCs/>
        </w:rPr>
        <w:t xml:space="preserve">Health Complaints Commissioner </w:t>
      </w:r>
      <w:r w:rsidRPr="00192D8D">
        <w:t>(Web Page) &lt;https://hcc.vic.gov.au/public/our-process&gt;</w:t>
      </w:r>
      <w:r>
        <w:t xml:space="preserve">; </w:t>
      </w:r>
      <w:r w:rsidRPr="000C067C">
        <w:t>‘</w:t>
      </w:r>
      <w:r w:rsidR="00A14AA9" w:rsidRPr="00683F3B">
        <w:t xml:space="preserve">Complaints Resolution Process’, </w:t>
      </w:r>
      <w:r w:rsidR="00A14AA9" w:rsidRPr="00192D8D">
        <w:rPr>
          <w:i/>
          <w:iCs/>
        </w:rPr>
        <w:t>Government of Western Australia</w:t>
      </w:r>
      <w:r w:rsidR="00A14AA9" w:rsidRPr="00683F3B">
        <w:t xml:space="preserve"> (Web Page, 25 June 2024) &lt;https://www.hadsco.wa.gov.au/For-Public/Complaint-Resolution-Process&gt;</w:t>
      </w:r>
      <w:r w:rsidR="00D6023E">
        <w:t>.</w:t>
      </w:r>
    </w:p>
  </w:footnote>
  <w:footnote w:id="118">
    <w:p w14:paraId="2EF2652B" w14:textId="247BBA43" w:rsidR="005C554F" w:rsidRDefault="005C554F" w:rsidP="000C3628">
      <w:pPr>
        <w:pStyle w:val="FootnoteText"/>
      </w:pPr>
      <w:r>
        <w:rPr>
          <w:rStyle w:val="FootnoteReference"/>
        </w:rPr>
        <w:footnoteRef/>
      </w:r>
      <w:r>
        <w:t xml:space="preserve"> </w:t>
      </w:r>
      <w:r w:rsidRPr="00D304FC">
        <w:t>The exception</w:t>
      </w:r>
      <w:r w:rsidR="00E37781">
        <w:t>s are</w:t>
      </w:r>
      <w:r w:rsidRPr="00D304FC">
        <w:t xml:space="preserve"> </w:t>
      </w:r>
      <w:r w:rsidR="00636879">
        <w:t>South Australia</w:t>
      </w:r>
      <w:r w:rsidR="000C3054">
        <w:t>,</w:t>
      </w:r>
      <w:r w:rsidR="00636879">
        <w:t xml:space="preserve"> which advised</w:t>
      </w:r>
      <w:r w:rsidRPr="00D304FC">
        <w:t xml:space="preserve"> </w:t>
      </w:r>
      <w:r w:rsidR="000607C2">
        <w:t xml:space="preserve">that </w:t>
      </w:r>
      <w:r w:rsidR="00863977">
        <w:t xml:space="preserve">25 complaints have been made to </w:t>
      </w:r>
      <w:r w:rsidR="00E54A29">
        <w:t>SA’s</w:t>
      </w:r>
      <w:r w:rsidR="00603F26">
        <w:t xml:space="preserve"> Health and Community Services Complaints Commission; </w:t>
      </w:r>
      <w:r w:rsidR="00BC7DE4">
        <w:t xml:space="preserve">Victoria, which advised that </w:t>
      </w:r>
      <w:r w:rsidR="008B10AC">
        <w:t>358 complaints had been made to the Health Complaints Commission between 2015-2025</w:t>
      </w:r>
      <w:r w:rsidR="009E74AF">
        <w:t>,</w:t>
      </w:r>
      <w:r w:rsidR="00016102">
        <w:t xml:space="preserve"> </w:t>
      </w:r>
      <w:r w:rsidR="00603F26">
        <w:t xml:space="preserve">and </w:t>
      </w:r>
      <w:r w:rsidRPr="00D304FC">
        <w:t>Queensland which advised that 304 matters were received by the OHO relating to possible ART treatment between 1 July 2014 and 15 May 2024: Office of the Health Ombudsman (Qld)</w:t>
      </w:r>
      <w:r w:rsidR="0073537A">
        <w:t xml:space="preserve"> (n </w:t>
      </w:r>
      <w:r w:rsidR="0073537A">
        <w:fldChar w:fldCharType="begin"/>
      </w:r>
      <w:r w:rsidR="0073537A">
        <w:instrText xml:space="preserve"> NOTEREF _Ref207713890 \h </w:instrText>
      </w:r>
      <w:r w:rsidR="000C3628">
        <w:instrText xml:space="preserve"> \* MERGEFORMAT </w:instrText>
      </w:r>
      <w:r w:rsidR="0073537A">
        <w:fldChar w:fldCharType="separate"/>
      </w:r>
      <w:r w:rsidR="007D732A">
        <w:t>12</w:t>
      </w:r>
      <w:r w:rsidR="0073537A">
        <w:fldChar w:fldCharType="end"/>
      </w:r>
      <w:r w:rsidR="0073537A">
        <w:t>)</w:t>
      </w:r>
      <w:r w:rsidRPr="00D304FC">
        <w:t xml:space="preserve"> 98.</w:t>
      </w:r>
    </w:p>
  </w:footnote>
  <w:footnote w:id="119">
    <w:p w14:paraId="241FF292" w14:textId="77777777" w:rsidR="005C554F" w:rsidRDefault="005C554F" w:rsidP="000C3628">
      <w:pPr>
        <w:pStyle w:val="FootnoteText"/>
      </w:pPr>
      <w:r>
        <w:rPr>
          <w:rStyle w:val="FootnoteReference"/>
        </w:rPr>
        <w:footnoteRef/>
      </w:r>
      <w:r>
        <w:t xml:space="preserve"> ‘RTAC’, </w:t>
      </w:r>
      <w:r>
        <w:rPr>
          <w:i/>
          <w:iCs/>
        </w:rPr>
        <w:t xml:space="preserve">Fertility Society of Australia and New Zealand </w:t>
      </w:r>
      <w:r w:rsidRPr="00425F66">
        <w:t>(</w:t>
      </w:r>
      <w:r>
        <w:t>Web Page, 2025) &lt;</w:t>
      </w:r>
      <w:r w:rsidRPr="00F43B04">
        <w:t>https://www.fertilitysociety.com.au/art-regulation/rtac/</w:t>
      </w:r>
      <w:r>
        <w:t>&gt;.</w:t>
      </w:r>
    </w:p>
  </w:footnote>
  <w:footnote w:id="120">
    <w:p w14:paraId="78A99D9B" w14:textId="6983DC5C" w:rsidR="005C554F" w:rsidRDefault="005C554F" w:rsidP="000C3628">
      <w:pPr>
        <w:pStyle w:val="FootnoteText"/>
      </w:pPr>
      <w:r>
        <w:rPr>
          <w:rStyle w:val="FootnoteReference"/>
        </w:rPr>
        <w:footnoteRef/>
      </w:r>
      <w:r>
        <w:t xml:space="preserve"> Reproductive Technology Accreditation Committee, </w:t>
      </w:r>
      <w:r>
        <w:rPr>
          <w:i/>
          <w:iCs/>
        </w:rPr>
        <w:t>Annual Report 2022</w:t>
      </w:r>
      <w:r w:rsidR="00B624E3">
        <w:t>–</w:t>
      </w:r>
      <w:r>
        <w:rPr>
          <w:i/>
          <w:iCs/>
        </w:rPr>
        <w:t>23</w:t>
      </w:r>
      <w:r>
        <w:t xml:space="preserve"> (2023) 10.</w:t>
      </w:r>
    </w:p>
  </w:footnote>
  <w:footnote w:id="121">
    <w:p w14:paraId="1E1049F5" w14:textId="4014960D" w:rsidR="005C554F" w:rsidRDefault="005C554F" w:rsidP="000C3628">
      <w:pPr>
        <w:pStyle w:val="FootnoteText"/>
      </w:pPr>
      <w:r>
        <w:rPr>
          <w:rStyle w:val="FootnoteReference"/>
        </w:rPr>
        <w:footnoteRef/>
      </w:r>
      <w:r>
        <w:t xml:space="preserve"> Reproductive Technology Accreditation Committee, </w:t>
      </w:r>
      <w:r>
        <w:rPr>
          <w:i/>
          <w:iCs/>
        </w:rPr>
        <w:t>Annual Report 2023</w:t>
      </w:r>
      <w:r w:rsidR="00B624E3">
        <w:t>–</w:t>
      </w:r>
      <w:r>
        <w:rPr>
          <w:i/>
          <w:iCs/>
        </w:rPr>
        <w:t>24</w:t>
      </w:r>
      <w:r>
        <w:t xml:space="preserve"> (2024) 11.</w:t>
      </w:r>
    </w:p>
  </w:footnote>
  <w:footnote w:id="122">
    <w:p w14:paraId="71F1FF36" w14:textId="749B6B2F" w:rsidR="005C554F" w:rsidRDefault="005C554F" w:rsidP="000C3628">
      <w:pPr>
        <w:pStyle w:val="FootnoteText"/>
      </w:pPr>
      <w:r w:rsidRPr="00DA44CD">
        <w:rPr>
          <w:rStyle w:val="FootnoteReference"/>
        </w:rPr>
        <w:footnoteRef/>
      </w:r>
      <w:r w:rsidRPr="00DA44CD">
        <w:t xml:space="preserve"> </w:t>
      </w:r>
      <w:r w:rsidR="00A91706">
        <w:t>Australian Capital Territory</w:t>
      </w:r>
      <w:r>
        <w:t>,</w:t>
      </w:r>
      <w:r w:rsidRPr="00DA44CD">
        <w:t xml:space="preserve"> </w:t>
      </w:r>
      <w:r w:rsidR="00A91706">
        <w:t>New South Wales</w:t>
      </w:r>
      <w:r w:rsidRPr="00DA44CD">
        <w:t>, Queensland, South Australia</w:t>
      </w:r>
      <w:r w:rsidR="0012370F">
        <w:t>,</w:t>
      </w:r>
      <w:r w:rsidRPr="00DA44CD">
        <w:t xml:space="preserve"> Victoria</w:t>
      </w:r>
      <w:r w:rsidR="0012370F">
        <w:t xml:space="preserve"> and Western Australia</w:t>
      </w:r>
      <w:r w:rsidRPr="00DA44CD">
        <w:t xml:space="preserve"> have powers under their ART </w:t>
      </w:r>
      <w:r>
        <w:t>legislation</w:t>
      </w:r>
      <w:r w:rsidRPr="00DA44CD">
        <w:t xml:space="preserve"> to compel clinics to provide information or clarification around a matter.</w:t>
      </w:r>
    </w:p>
  </w:footnote>
  <w:footnote w:id="123">
    <w:p w14:paraId="741F407C" w14:textId="77777777" w:rsidR="005C554F" w:rsidRPr="00454B7E" w:rsidRDefault="005C554F" w:rsidP="000C3628">
      <w:pPr>
        <w:pStyle w:val="FootnoteText"/>
        <w:rPr>
          <w:highlight w:val="yellow"/>
        </w:rPr>
      </w:pPr>
      <w:r>
        <w:rPr>
          <w:rStyle w:val="FootnoteReference"/>
        </w:rPr>
        <w:footnoteRef/>
      </w:r>
      <w:r>
        <w:t xml:space="preserve"> </w:t>
      </w:r>
      <w:r w:rsidRPr="00583A86">
        <w:rPr>
          <w:i/>
        </w:rPr>
        <w:t>Competition and Consumer Act 2010</w:t>
      </w:r>
      <w:r w:rsidRPr="00047F45">
        <w:t xml:space="preserve"> (</w:t>
      </w:r>
      <w:proofErr w:type="spellStart"/>
      <w:r w:rsidRPr="00047F45">
        <w:t>Cth</w:t>
      </w:r>
      <w:proofErr w:type="spellEnd"/>
      <w:r w:rsidRPr="00047F45">
        <w:t>) sch 2 ss 18, 29, 60–62, 64, 67.</w:t>
      </w:r>
    </w:p>
  </w:footnote>
  <w:footnote w:id="124">
    <w:p w14:paraId="6DF9CBA8" w14:textId="77777777" w:rsidR="005C554F" w:rsidRPr="00454B7E" w:rsidRDefault="005C554F" w:rsidP="000C3628">
      <w:pPr>
        <w:pStyle w:val="FootnoteText"/>
        <w:rPr>
          <w:highlight w:val="yellow"/>
        </w:rPr>
      </w:pPr>
      <w:r w:rsidRPr="001E14FF">
        <w:rPr>
          <w:rStyle w:val="FootnoteReference"/>
        </w:rPr>
        <w:footnoteRef/>
      </w:r>
      <w:r w:rsidRPr="0066680E">
        <w:t xml:space="preserve"> </w:t>
      </w:r>
      <w:r w:rsidRPr="00205640">
        <w:t>‘Consumer Protection Agencies’,</w:t>
      </w:r>
      <w:r w:rsidRPr="0066680E">
        <w:rPr>
          <w:i/>
        </w:rPr>
        <w:t xml:space="preserve"> </w:t>
      </w:r>
      <w:r w:rsidRPr="00205640">
        <w:rPr>
          <w:i/>
        </w:rPr>
        <w:t>Australian Government</w:t>
      </w:r>
      <w:r w:rsidRPr="001E14FF">
        <w:t xml:space="preserve"> (Web Page</w:t>
      </w:r>
      <w:r w:rsidRPr="0066680E">
        <w:t>)</w:t>
      </w:r>
      <w:r>
        <w:t xml:space="preserve"> &lt;</w:t>
      </w:r>
      <w:r w:rsidRPr="001E14FF">
        <w:t>https://consumer.gov.au/consumers/consumer-protection-agencies</w:t>
      </w:r>
      <w:r w:rsidRPr="0066680E">
        <w:t>&gt;.</w:t>
      </w:r>
    </w:p>
  </w:footnote>
  <w:footnote w:id="125">
    <w:p w14:paraId="2306DA8D" w14:textId="77777777" w:rsidR="005C554F" w:rsidRDefault="005C554F" w:rsidP="000C3628">
      <w:pPr>
        <w:pStyle w:val="FootnoteText"/>
      </w:pPr>
      <w:r>
        <w:rPr>
          <w:rStyle w:val="FootnoteReference"/>
        </w:rPr>
        <w:footnoteRef/>
      </w:r>
      <w:r w:rsidRPr="00205640">
        <w:t xml:space="preserve"> </w:t>
      </w:r>
      <w:r w:rsidRPr="00934AC4">
        <w:t>‘Report’,</w:t>
      </w:r>
      <w:r>
        <w:t xml:space="preserve"> </w:t>
      </w:r>
      <w:r>
        <w:rPr>
          <w:i/>
        </w:rPr>
        <w:t>Therapeutic Goods Administration</w:t>
      </w:r>
      <w:r w:rsidRPr="00205640">
        <w:rPr>
          <w:i/>
        </w:rPr>
        <w:t xml:space="preserve"> Care</w:t>
      </w:r>
      <w:r w:rsidRPr="00C91B10">
        <w:t xml:space="preserve"> (Web Page</w:t>
      </w:r>
      <w:r w:rsidRPr="00FF244D">
        <w:t xml:space="preserve">) </w:t>
      </w:r>
      <w:r w:rsidRPr="002E3EBB">
        <w:t>&lt;</w:t>
      </w:r>
      <w:r w:rsidRPr="00C91B10">
        <w:t>https://compliance.health.gov.au/ac-report</w:t>
      </w:r>
      <w:r w:rsidRPr="002E3EBB">
        <w:t>/&gt;.</w:t>
      </w:r>
    </w:p>
  </w:footnote>
  <w:footnote w:id="126">
    <w:p w14:paraId="58FB2A10" w14:textId="77777777" w:rsidR="005C554F" w:rsidRDefault="005C554F" w:rsidP="000C3628">
      <w:pPr>
        <w:pStyle w:val="FootnoteText"/>
      </w:pPr>
      <w:r w:rsidRPr="3E56CB99">
        <w:rPr>
          <w:rStyle w:val="FootnoteReference"/>
        </w:rPr>
        <w:footnoteRef/>
      </w:r>
      <w:r w:rsidRPr="002E3EBB">
        <w:t xml:space="preserve"> ‘False or Misleading Claims’,</w:t>
      </w:r>
      <w:r w:rsidRPr="002E3EBB">
        <w:rPr>
          <w:i/>
        </w:rPr>
        <w:t xml:space="preserve"> Australian Competition and Consumer Commission</w:t>
      </w:r>
      <w:r w:rsidRPr="006248D1">
        <w:t xml:space="preserve"> (Web Page</w:t>
      </w:r>
      <w:r w:rsidRPr="002E3EBB">
        <w:t>) &lt;</w:t>
      </w:r>
      <w:r w:rsidRPr="006248D1">
        <w:t>https://www.accc.gov.au/consumers/advertising-and-promotions/false-or-misleading-claims</w:t>
      </w:r>
      <w:r w:rsidRPr="002E3EBB">
        <w:t>&gt;.</w:t>
      </w:r>
    </w:p>
  </w:footnote>
  <w:footnote w:id="127">
    <w:p w14:paraId="2005DAB6" w14:textId="16907F8D" w:rsidR="00C3124C" w:rsidRDefault="00C3124C" w:rsidP="000C3628">
      <w:pPr>
        <w:pStyle w:val="FootnoteText"/>
      </w:pPr>
      <w:r>
        <w:rPr>
          <w:rStyle w:val="FootnoteReference"/>
        </w:rPr>
        <w:footnoteRef/>
      </w:r>
      <w:r>
        <w:t xml:space="preserve"> Hunt and Swift</w:t>
      </w:r>
      <w:r w:rsidR="00E33399">
        <w:t xml:space="preserve"> (n </w:t>
      </w:r>
      <w:r w:rsidR="00E33399">
        <w:fldChar w:fldCharType="begin"/>
      </w:r>
      <w:r w:rsidR="00E33399">
        <w:instrText xml:space="preserve"> NOTEREF _Ref207713279 \h </w:instrText>
      </w:r>
      <w:r w:rsidR="000C3628">
        <w:instrText xml:space="preserve"> \* MERGEFORMAT </w:instrText>
      </w:r>
      <w:r w:rsidR="00E33399">
        <w:fldChar w:fldCharType="separate"/>
      </w:r>
      <w:r w:rsidR="007D732A">
        <w:t>2</w:t>
      </w:r>
      <w:r w:rsidR="00E33399">
        <w:fldChar w:fldCharType="end"/>
      </w:r>
      <w:r w:rsidR="00E33399">
        <w:t>).</w:t>
      </w:r>
    </w:p>
  </w:footnote>
  <w:footnote w:id="128">
    <w:p w14:paraId="5B747191" w14:textId="25C695AC" w:rsidR="00740909" w:rsidRDefault="00740909" w:rsidP="000C3628">
      <w:pPr>
        <w:pStyle w:val="FootnoteText"/>
      </w:pPr>
      <w:r>
        <w:rPr>
          <w:rStyle w:val="FootnoteReference"/>
        </w:rPr>
        <w:footnoteRef/>
      </w:r>
      <w:r>
        <w:t xml:space="preserve"> </w:t>
      </w:r>
      <w:r w:rsidR="009D1D62">
        <w:t xml:space="preserve">Gorton (n </w:t>
      </w:r>
      <w:r w:rsidR="009D1D62">
        <w:fldChar w:fldCharType="begin"/>
      </w:r>
      <w:r w:rsidR="009D1D62">
        <w:instrText xml:space="preserve"> NOTEREF _Ref207713890 \h </w:instrText>
      </w:r>
      <w:r w:rsidR="000C3628">
        <w:instrText xml:space="preserve"> \* MERGEFORMAT </w:instrText>
      </w:r>
      <w:r w:rsidR="009D1D62">
        <w:fldChar w:fldCharType="separate"/>
      </w:r>
      <w:r w:rsidR="007D732A">
        <w:t>12</w:t>
      </w:r>
      <w:r w:rsidR="009D1D62">
        <w:fldChar w:fldCharType="end"/>
      </w:r>
      <w:r w:rsidR="009D1D62">
        <w:t xml:space="preserve">) </w:t>
      </w:r>
      <w:r w:rsidR="00BF7A4D" w:rsidRPr="00BF7A4D">
        <w:t>22</w:t>
      </w:r>
      <w:r w:rsidR="00862CDA">
        <w:t>–3</w:t>
      </w:r>
      <w:r w:rsidR="00F85352">
        <w:t>.</w:t>
      </w:r>
    </w:p>
  </w:footnote>
  <w:footnote w:id="129">
    <w:p w14:paraId="243B54EC" w14:textId="1E7DBBFF" w:rsidR="009129E1" w:rsidRDefault="009129E1" w:rsidP="000C3628">
      <w:pPr>
        <w:pStyle w:val="FootnoteText"/>
      </w:pPr>
      <w:r>
        <w:rPr>
          <w:rStyle w:val="FootnoteReference"/>
        </w:rPr>
        <w:footnoteRef/>
      </w:r>
      <w:r>
        <w:t xml:space="preserve"> </w:t>
      </w:r>
      <w:r w:rsidR="00F85352">
        <w:t>Office of the Health Ombudsman (Qld)</w:t>
      </w:r>
      <w:r w:rsidR="0073537A">
        <w:t xml:space="preserve"> </w:t>
      </w:r>
      <w:r w:rsidR="00F5013D">
        <w:t>(</w:t>
      </w:r>
      <w:r w:rsidR="0073537A">
        <w:t xml:space="preserve">n </w:t>
      </w:r>
      <w:r w:rsidR="0073537A">
        <w:fldChar w:fldCharType="begin"/>
      </w:r>
      <w:r w:rsidR="0073537A">
        <w:instrText xml:space="preserve"> NOTEREF _Ref207713890 \h </w:instrText>
      </w:r>
      <w:r w:rsidR="000C3628">
        <w:instrText xml:space="preserve"> \* MERGEFORMAT </w:instrText>
      </w:r>
      <w:r w:rsidR="0073537A">
        <w:fldChar w:fldCharType="separate"/>
      </w:r>
      <w:r w:rsidR="007D732A">
        <w:t>12</w:t>
      </w:r>
      <w:r w:rsidR="0073537A">
        <w:fldChar w:fldCharType="end"/>
      </w:r>
      <w:r w:rsidR="0073537A">
        <w:t>)</w:t>
      </w:r>
      <w:r w:rsidR="00F85352">
        <w:t xml:space="preserve"> </w:t>
      </w:r>
      <w:r w:rsidR="000B3CDC">
        <w:t>98–100</w:t>
      </w:r>
      <w:r w:rsidR="00F85352">
        <w:t>.</w:t>
      </w:r>
    </w:p>
  </w:footnote>
  <w:footnote w:id="130">
    <w:p w14:paraId="1BA44E23" w14:textId="16C8441A" w:rsidR="00C3124C" w:rsidRDefault="00C3124C" w:rsidP="000C3628">
      <w:pPr>
        <w:pStyle w:val="FootnoteText"/>
      </w:pPr>
      <w:r>
        <w:rPr>
          <w:rStyle w:val="FootnoteReference"/>
        </w:rPr>
        <w:footnoteRef/>
      </w:r>
      <w:r>
        <w:t xml:space="preserve"> </w:t>
      </w:r>
      <w:r w:rsidR="009D1D62">
        <w:t xml:space="preserve">Gorton (n </w:t>
      </w:r>
      <w:r w:rsidR="009D1D62">
        <w:fldChar w:fldCharType="begin"/>
      </w:r>
      <w:r w:rsidR="009D1D62">
        <w:instrText xml:space="preserve"> NOTEREF _Ref207713890 \h </w:instrText>
      </w:r>
      <w:r w:rsidR="000C3628">
        <w:instrText xml:space="preserve"> \* MERGEFORMAT </w:instrText>
      </w:r>
      <w:r w:rsidR="009D1D62">
        <w:fldChar w:fldCharType="separate"/>
      </w:r>
      <w:r w:rsidR="007D732A">
        <w:t>12</w:t>
      </w:r>
      <w:r w:rsidR="009D1D62">
        <w:fldChar w:fldCharType="end"/>
      </w:r>
      <w:r w:rsidR="009D1D62">
        <w:t xml:space="preserve">) </w:t>
      </w:r>
      <w:r>
        <w:t xml:space="preserve">22; </w:t>
      </w:r>
      <w:r w:rsidR="0073537A">
        <w:t xml:space="preserve">Office of the Health Ombudsman (Qld) </w:t>
      </w:r>
      <w:r w:rsidR="00F5013D">
        <w:t>(</w:t>
      </w:r>
      <w:r w:rsidR="0073537A">
        <w:t xml:space="preserve">n </w:t>
      </w:r>
      <w:r w:rsidR="0073537A">
        <w:fldChar w:fldCharType="begin"/>
      </w:r>
      <w:r w:rsidR="0073537A">
        <w:instrText xml:space="preserve"> NOTEREF _Ref207713890 \h </w:instrText>
      </w:r>
      <w:r w:rsidR="000C3628">
        <w:instrText xml:space="preserve"> \* MERGEFORMAT </w:instrText>
      </w:r>
      <w:r w:rsidR="0073537A">
        <w:fldChar w:fldCharType="separate"/>
      </w:r>
      <w:r w:rsidR="007D732A">
        <w:t>12</w:t>
      </w:r>
      <w:r w:rsidR="0073537A">
        <w:fldChar w:fldCharType="end"/>
      </w:r>
      <w:r w:rsidR="0073537A">
        <w:t xml:space="preserve">) </w:t>
      </w:r>
      <w:r>
        <w:t>99.</w:t>
      </w:r>
    </w:p>
  </w:footnote>
  <w:footnote w:id="131">
    <w:p w14:paraId="09565C46" w14:textId="3CAA485D" w:rsidR="00C3124C" w:rsidRDefault="00C3124C" w:rsidP="000C3628">
      <w:pPr>
        <w:pStyle w:val="FootnoteText"/>
      </w:pPr>
      <w:r>
        <w:rPr>
          <w:rStyle w:val="FootnoteReference"/>
        </w:rPr>
        <w:footnoteRef/>
      </w:r>
      <w:r>
        <w:t xml:space="preserve"> </w:t>
      </w:r>
      <w:r w:rsidR="0073464A" w:rsidRPr="0073464A">
        <w:t>Australian Commission on Safety and Quality in Health Care</w:t>
      </w:r>
      <w:r w:rsidR="0073464A">
        <w:t>,</w:t>
      </w:r>
      <w:r w:rsidR="0073464A" w:rsidRPr="0073464A">
        <w:t xml:space="preserve"> </w:t>
      </w:r>
      <w:r w:rsidR="0027279B" w:rsidRPr="00DD677D">
        <w:rPr>
          <w:i/>
        </w:rPr>
        <w:t>Fact Sheet 8: Accrediting Agency Performance Oversight and Feedback</w:t>
      </w:r>
      <w:r w:rsidR="0027279B">
        <w:t xml:space="preserve"> (</w:t>
      </w:r>
      <w:r w:rsidR="0073464A">
        <w:t xml:space="preserve">Fact Sheet, </w:t>
      </w:r>
      <w:r w:rsidR="0027279B">
        <w:t xml:space="preserve">25 July 2018) 2. </w:t>
      </w:r>
    </w:p>
  </w:footnote>
  <w:footnote w:id="132">
    <w:p w14:paraId="3E76C010" w14:textId="60BA2596" w:rsidR="00EF4E21" w:rsidRDefault="00EF4E21" w:rsidP="000C3628">
      <w:pPr>
        <w:pStyle w:val="FootnoteText"/>
      </w:pPr>
      <w:r>
        <w:rPr>
          <w:rStyle w:val="FootnoteReference"/>
        </w:rPr>
        <w:footnoteRef/>
      </w:r>
      <w:r>
        <w:t xml:space="preserve"> </w:t>
      </w:r>
      <w:r w:rsidR="001D3CF6" w:rsidRPr="000A6E22">
        <w:t>Reproductive Technology Accreditation Committee</w:t>
      </w:r>
      <w:r w:rsidR="00CF19D0">
        <w:rPr>
          <w:i/>
          <w:iCs/>
        </w:rPr>
        <w:t xml:space="preserve">, </w:t>
      </w:r>
      <w:r w:rsidR="00CF19D0" w:rsidRPr="00017FE1">
        <w:rPr>
          <w:i/>
          <w:iCs/>
        </w:rPr>
        <w:t>Annual Report 2023-2024</w:t>
      </w:r>
      <w:r w:rsidR="001D3CF6">
        <w:t xml:space="preserve"> (n </w:t>
      </w:r>
      <w:r w:rsidR="001D3CF6">
        <w:fldChar w:fldCharType="begin"/>
      </w:r>
      <w:r w:rsidR="001D3CF6">
        <w:instrText xml:space="preserve"> NOTEREF _Ref207714269 \h </w:instrText>
      </w:r>
      <w:r w:rsidR="000C3628">
        <w:instrText xml:space="preserve"> \* MERGEFORMAT </w:instrText>
      </w:r>
      <w:r w:rsidR="001D3CF6">
        <w:fldChar w:fldCharType="separate"/>
      </w:r>
      <w:r w:rsidR="007D732A">
        <w:t>13</w:t>
      </w:r>
      <w:r w:rsidR="001D3CF6">
        <w:fldChar w:fldCharType="end"/>
      </w:r>
      <w:r w:rsidR="001D3CF6">
        <w:t xml:space="preserve">) </w:t>
      </w:r>
      <w:r w:rsidR="00942A2C">
        <w:t>12</w:t>
      </w:r>
      <w:r w:rsidR="00F00AC0">
        <w:t>.</w:t>
      </w:r>
    </w:p>
  </w:footnote>
  <w:footnote w:id="133">
    <w:p w14:paraId="15277AD7" w14:textId="30C23556" w:rsidR="00E86A9A" w:rsidRDefault="00E86A9A" w:rsidP="000C3628">
      <w:pPr>
        <w:pStyle w:val="FootnoteText"/>
      </w:pPr>
      <w:r>
        <w:rPr>
          <w:rStyle w:val="FootnoteReference"/>
        </w:rPr>
        <w:footnoteRef/>
      </w:r>
      <w:r>
        <w:t xml:space="preserve"> </w:t>
      </w:r>
      <w:r w:rsidR="00F00AC0" w:rsidRPr="000A6E22">
        <w:t>Reproductive Technology Accreditation Committee</w:t>
      </w:r>
      <w:r w:rsidR="00CF19D0">
        <w:rPr>
          <w:i/>
          <w:iCs/>
        </w:rPr>
        <w:t xml:space="preserve">, </w:t>
      </w:r>
      <w:r w:rsidR="00CF19D0" w:rsidRPr="00017FE1">
        <w:rPr>
          <w:i/>
          <w:iCs/>
        </w:rPr>
        <w:t>Annual Report 2023-2024</w:t>
      </w:r>
      <w:r w:rsidR="001D3CF6">
        <w:t xml:space="preserve"> (n </w:t>
      </w:r>
      <w:r w:rsidR="001D3CF6">
        <w:fldChar w:fldCharType="begin"/>
      </w:r>
      <w:r w:rsidR="001D3CF6">
        <w:instrText xml:space="preserve"> NOTEREF _Ref207714269 \h </w:instrText>
      </w:r>
      <w:r w:rsidR="000C3628">
        <w:instrText xml:space="preserve"> \* MERGEFORMAT </w:instrText>
      </w:r>
      <w:r w:rsidR="001D3CF6">
        <w:fldChar w:fldCharType="separate"/>
      </w:r>
      <w:r w:rsidR="007D732A">
        <w:t>13</w:t>
      </w:r>
      <w:r w:rsidR="001D3CF6">
        <w:fldChar w:fldCharType="end"/>
      </w:r>
      <w:r w:rsidR="001D3CF6">
        <w:t>)</w:t>
      </w:r>
      <w:r w:rsidR="001F37F1">
        <w:t xml:space="preserve"> 7</w:t>
      </w:r>
      <w:r w:rsidR="00F00AC0">
        <w:t>.</w:t>
      </w:r>
    </w:p>
  </w:footnote>
  <w:footnote w:id="134">
    <w:p w14:paraId="6AA363CA" w14:textId="3AADE5B6" w:rsidR="00E86A9A" w:rsidRDefault="00E86A9A" w:rsidP="000C3628">
      <w:pPr>
        <w:pStyle w:val="FootnoteText"/>
      </w:pPr>
      <w:r>
        <w:rPr>
          <w:rStyle w:val="FootnoteReference"/>
        </w:rPr>
        <w:footnoteRef/>
      </w:r>
      <w:r>
        <w:t xml:space="preserve"> </w:t>
      </w:r>
      <w:r w:rsidR="00CF0ADC">
        <w:t xml:space="preserve">‘NSQHS Standards Assessment Outcomes’, </w:t>
      </w:r>
      <w:r w:rsidR="00CF0ADC">
        <w:rPr>
          <w:i/>
          <w:iCs/>
        </w:rPr>
        <w:t xml:space="preserve">Australian Commission on Safety and Quality in Health Care </w:t>
      </w:r>
      <w:r w:rsidR="00CF0ADC">
        <w:t>(Web Page, 2025) &lt;</w:t>
      </w:r>
      <w:r w:rsidR="00CF0ADC" w:rsidRPr="00CF0ADC">
        <w:t xml:space="preserve"> https://www.safetyandquality.gov.au/standards/nsqhs-standards/nsqhs-standards-assessment-outcomes</w:t>
      </w:r>
      <w:r w:rsidR="00CF0ADC">
        <w:t>&gt;.</w:t>
      </w:r>
    </w:p>
  </w:footnote>
  <w:footnote w:id="135">
    <w:p w14:paraId="32AB821F" w14:textId="4D4DF644" w:rsidR="00513482" w:rsidRDefault="00513482" w:rsidP="000C3628">
      <w:pPr>
        <w:pStyle w:val="FootnoteText"/>
      </w:pPr>
      <w:r>
        <w:rPr>
          <w:rStyle w:val="FootnoteReference"/>
        </w:rPr>
        <w:footnoteRef/>
      </w:r>
      <w:r>
        <w:t xml:space="preserve"> </w:t>
      </w:r>
      <w:r w:rsidR="00D73B29" w:rsidRPr="00103659">
        <w:t>Australian Commission on Safety and Quality in Health Care</w:t>
      </w:r>
      <w:r w:rsidR="00103659" w:rsidRPr="00103659">
        <w:t>,</w:t>
      </w:r>
      <w:r w:rsidR="00103659">
        <w:rPr>
          <w:i/>
          <w:iCs/>
        </w:rPr>
        <w:t xml:space="preserve"> NSQHS Standards – public reporting </w:t>
      </w:r>
      <w:r w:rsidR="00103659">
        <w:t>(n</w:t>
      </w:r>
    </w:p>
  </w:footnote>
  <w:footnote w:id="136">
    <w:p w14:paraId="6AFF0E56" w14:textId="77373E47" w:rsidR="00513482" w:rsidRDefault="00513482" w:rsidP="000C3628">
      <w:pPr>
        <w:pStyle w:val="FootnoteText"/>
      </w:pPr>
      <w:r>
        <w:rPr>
          <w:rStyle w:val="FootnoteReference"/>
        </w:rPr>
        <w:footnoteRef/>
      </w:r>
      <w:r>
        <w:t xml:space="preserve"> </w:t>
      </w:r>
      <w:r w:rsidR="001D3CF6" w:rsidRPr="000A6E22">
        <w:t>Reproductive Technology Accreditation Committee</w:t>
      </w:r>
      <w:r w:rsidR="00CF19D0">
        <w:rPr>
          <w:i/>
          <w:iCs/>
        </w:rPr>
        <w:t xml:space="preserve">, </w:t>
      </w:r>
      <w:r w:rsidR="00CF19D0" w:rsidRPr="00017FE1">
        <w:rPr>
          <w:i/>
          <w:iCs/>
        </w:rPr>
        <w:t>Annual Report 2023-2024</w:t>
      </w:r>
      <w:r w:rsidR="001D3CF6">
        <w:t xml:space="preserve"> (n </w:t>
      </w:r>
      <w:r w:rsidR="001D3CF6">
        <w:fldChar w:fldCharType="begin"/>
      </w:r>
      <w:r w:rsidR="001D3CF6">
        <w:instrText xml:space="preserve"> NOTEREF _Ref207714269 \h </w:instrText>
      </w:r>
      <w:r w:rsidR="000C3628">
        <w:instrText xml:space="preserve"> \* MERGEFORMAT </w:instrText>
      </w:r>
      <w:r w:rsidR="001D3CF6">
        <w:fldChar w:fldCharType="separate"/>
      </w:r>
      <w:r w:rsidR="007D732A">
        <w:t>13</w:t>
      </w:r>
      <w:r w:rsidR="001D3CF6">
        <w:fldChar w:fldCharType="end"/>
      </w:r>
      <w:r w:rsidR="001D3CF6">
        <w:t xml:space="preserve">) </w:t>
      </w:r>
      <w:r w:rsidR="00F00AC0">
        <w:t>7.</w:t>
      </w:r>
    </w:p>
  </w:footnote>
  <w:footnote w:id="137">
    <w:p w14:paraId="511EAED0" w14:textId="77777777" w:rsidR="00C3124C" w:rsidRDefault="00C3124C" w:rsidP="000C3628">
      <w:pPr>
        <w:pStyle w:val="FootnoteText"/>
      </w:pPr>
      <w:r>
        <w:rPr>
          <w:rStyle w:val="FootnoteReference"/>
        </w:rPr>
        <w:footnoteRef/>
      </w:r>
      <w:r>
        <w:t xml:space="preserve"> Australian Commission on Safety and Quality in Health Care, </w:t>
      </w:r>
      <w:r w:rsidRPr="00780950">
        <w:rPr>
          <w:i/>
          <w:iCs/>
        </w:rPr>
        <w:t>Entity resources and planned performance</w:t>
      </w:r>
      <w:r>
        <w:t xml:space="preserve"> (Report, 2025).</w:t>
      </w:r>
    </w:p>
  </w:footnote>
  <w:footnote w:id="138">
    <w:p w14:paraId="2125430C" w14:textId="1691B675" w:rsidR="00C3124C" w:rsidRDefault="00C3124C" w:rsidP="000C3628">
      <w:pPr>
        <w:pStyle w:val="FootnoteText"/>
      </w:pPr>
      <w:r>
        <w:rPr>
          <w:rStyle w:val="FootnoteReference"/>
        </w:rPr>
        <w:footnoteRef/>
      </w:r>
      <w:r>
        <w:t xml:space="preserve"> </w:t>
      </w:r>
      <w:r w:rsidR="00E33399">
        <w:t xml:space="preserve">Hunt and Swift (n </w:t>
      </w:r>
      <w:r w:rsidR="00E33399">
        <w:fldChar w:fldCharType="begin"/>
      </w:r>
      <w:r w:rsidR="00E33399">
        <w:instrText xml:space="preserve"> NOTEREF _Ref207713279 \h </w:instrText>
      </w:r>
      <w:r w:rsidR="000C3628">
        <w:instrText xml:space="preserve"> \* MERGEFORMAT </w:instrText>
      </w:r>
      <w:r w:rsidR="00E33399">
        <w:fldChar w:fldCharType="separate"/>
      </w:r>
      <w:r w:rsidR="007D732A">
        <w:t>2</w:t>
      </w:r>
      <w:r w:rsidR="00E33399">
        <w:fldChar w:fldCharType="end"/>
      </w:r>
      <w:r w:rsidR="00E33399">
        <w:t>)</w:t>
      </w:r>
      <w:r>
        <w:t xml:space="preserve"> rec</w:t>
      </w:r>
      <w:r w:rsidR="00E33399">
        <w:t>ommendation</w:t>
      </w:r>
      <w:r>
        <w:t xml:space="preserve"> 10.</w:t>
      </w:r>
    </w:p>
  </w:footnote>
  <w:footnote w:id="139">
    <w:p w14:paraId="2D89E2E6" w14:textId="0A08C917" w:rsidR="00C3124C" w:rsidRDefault="00C3124C" w:rsidP="000C3628">
      <w:pPr>
        <w:pStyle w:val="FootnoteText"/>
      </w:pPr>
      <w:r>
        <w:rPr>
          <w:rStyle w:val="FootnoteReference"/>
        </w:rPr>
        <w:footnoteRef/>
      </w:r>
      <w:r>
        <w:t xml:space="preserve"> </w:t>
      </w:r>
      <w:r w:rsidR="003F2269">
        <w:t xml:space="preserve">Office of the Health Ombudsman (Qld) </w:t>
      </w:r>
      <w:r w:rsidR="00265065">
        <w:t>(</w:t>
      </w:r>
      <w:r w:rsidR="003F2269">
        <w:t xml:space="preserve">n </w:t>
      </w:r>
      <w:r w:rsidR="003F2269">
        <w:fldChar w:fldCharType="begin"/>
      </w:r>
      <w:r w:rsidR="003F2269">
        <w:instrText xml:space="preserve"> NOTEREF _Ref207713890 \h </w:instrText>
      </w:r>
      <w:r w:rsidR="000C3628">
        <w:instrText xml:space="preserve"> \* MERGEFORMAT </w:instrText>
      </w:r>
      <w:r w:rsidR="003F2269">
        <w:fldChar w:fldCharType="separate"/>
      </w:r>
      <w:r w:rsidR="007D732A">
        <w:t>12</w:t>
      </w:r>
      <w:r w:rsidR="003F2269">
        <w:fldChar w:fldCharType="end"/>
      </w:r>
      <w:r w:rsidR="003F2269">
        <w:t xml:space="preserve">) </w:t>
      </w:r>
      <w:r>
        <w:t>98.</w:t>
      </w:r>
    </w:p>
  </w:footnote>
  <w:footnote w:id="140">
    <w:p w14:paraId="1DD26C98" w14:textId="2868CF59" w:rsidR="00C3124C" w:rsidRDefault="00C3124C" w:rsidP="000C3628">
      <w:pPr>
        <w:pStyle w:val="FootnoteText"/>
      </w:pPr>
      <w:r>
        <w:rPr>
          <w:rStyle w:val="FootnoteReference"/>
        </w:rPr>
        <w:footnoteRef/>
      </w:r>
      <w:r>
        <w:t xml:space="preserve"> </w:t>
      </w:r>
      <w:r>
        <w:rPr>
          <w:iCs/>
        </w:rPr>
        <w:t>ART units that have been certified by one of the two certifying bodies will be eligible for RTAC consideration for recognition as an RTAC licen</w:t>
      </w:r>
      <w:r w:rsidR="00587565">
        <w:rPr>
          <w:iCs/>
        </w:rPr>
        <w:t>s</w:t>
      </w:r>
      <w:r>
        <w:rPr>
          <w:iCs/>
        </w:rPr>
        <w:t>ed ART unit. See</w:t>
      </w:r>
      <w:r>
        <w:t xml:space="preserve"> </w:t>
      </w:r>
      <w:r w:rsidR="002B3EC0">
        <w:t>Fertility Society of Australia and New Zealand</w:t>
      </w:r>
      <w:r w:rsidR="006374B7">
        <w:t xml:space="preserve">, </w:t>
      </w:r>
      <w:r w:rsidR="006374B7" w:rsidRPr="006374B7">
        <w:rPr>
          <w:i/>
          <w:iCs/>
        </w:rPr>
        <w:t>RTAC Code of Practice</w:t>
      </w:r>
      <w:r w:rsidR="002B3EC0">
        <w:t xml:space="preserve"> (n </w:t>
      </w:r>
      <w:r w:rsidR="002B3EC0">
        <w:fldChar w:fldCharType="begin"/>
      </w:r>
      <w:r w:rsidR="002B3EC0">
        <w:instrText xml:space="preserve"> NOTEREF _Ref207714715 \h </w:instrText>
      </w:r>
      <w:r w:rsidR="000C3628">
        <w:instrText xml:space="preserve"> \* MERGEFORMAT </w:instrText>
      </w:r>
      <w:r w:rsidR="002B3EC0">
        <w:fldChar w:fldCharType="separate"/>
      </w:r>
      <w:r w:rsidR="007D732A">
        <w:t>38</w:t>
      </w:r>
      <w:r w:rsidR="002B3EC0">
        <w:fldChar w:fldCharType="end"/>
      </w:r>
      <w:r w:rsidR="002B3EC0">
        <w:t xml:space="preserve">) </w:t>
      </w:r>
      <w:r>
        <w:t>s 1.5.</w:t>
      </w:r>
    </w:p>
  </w:footnote>
  <w:footnote w:id="141">
    <w:p w14:paraId="2C9CD14C" w14:textId="60170036" w:rsidR="00C3124C" w:rsidRDefault="00C3124C" w:rsidP="000C3628">
      <w:pPr>
        <w:pStyle w:val="FootnoteText"/>
      </w:pPr>
      <w:r>
        <w:rPr>
          <w:rStyle w:val="FootnoteReference"/>
        </w:rPr>
        <w:footnoteRef/>
      </w:r>
      <w:r>
        <w:t xml:space="preserve"> </w:t>
      </w:r>
      <w:r w:rsidR="002B3EC0">
        <w:t>Fertility Society of Australia and New Zealand</w:t>
      </w:r>
      <w:r w:rsidR="006374B7">
        <w:t xml:space="preserve">, </w:t>
      </w:r>
      <w:r w:rsidR="006374B7" w:rsidRPr="006374B7">
        <w:rPr>
          <w:i/>
          <w:iCs/>
        </w:rPr>
        <w:t>RTAC Code of Practice</w:t>
      </w:r>
      <w:r w:rsidR="002B3EC0">
        <w:t xml:space="preserve"> (n </w:t>
      </w:r>
      <w:r w:rsidR="002B3EC0">
        <w:fldChar w:fldCharType="begin"/>
      </w:r>
      <w:r w:rsidR="002B3EC0">
        <w:instrText xml:space="preserve"> NOTEREF _Ref207714715 \h </w:instrText>
      </w:r>
      <w:r w:rsidR="000C3628">
        <w:instrText xml:space="preserve"> \* MERGEFORMAT </w:instrText>
      </w:r>
      <w:r w:rsidR="002B3EC0">
        <w:fldChar w:fldCharType="separate"/>
      </w:r>
      <w:r w:rsidR="007D732A">
        <w:t>38</w:t>
      </w:r>
      <w:r w:rsidR="002B3EC0">
        <w:fldChar w:fldCharType="end"/>
      </w:r>
      <w:r w:rsidR="002B3EC0">
        <w:t xml:space="preserve">) </w:t>
      </w:r>
      <w:r>
        <w:t>s 2.6</w:t>
      </w:r>
      <w:r>
        <w:rPr>
          <w:rFonts w:ascii="Segoe UI" w:eastAsia="Times New Roman" w:hAnsi="Segoe UI" w:cs="Segoe UI"/>
          <w:color w:val="424242"/>
          <w:sz w:val="21"/>
          <w:szCs w:val="20"/>
          <w:shd w:val="clear" w:color="auto" w:fill="FAFAFA"/>
        </w:rPr>
        <w:t>.</w:t>
      </w:r>
    </w:p>
  </w:footnote>
  <w:footnote w:id="142">
    <w:p w14:paraId="7CC26832" w14:textId="77777777" w:rsidR="00EA3E55" w:rsidRDefault="00EA3E55" w:rsidP="000C3628">
      <w:pPr>
        <w:pStyle w:val="FootnoteText"/>
      </w:pPr>
      <w:r>
        <w:rPr>
          <w:rStyle w:val="FootnoteReference"/>
        </w:rPr>
        <w:footnoteRef/>
      </w:r>
      <w:r>
        <w:t xml:space="preserve"> See ‘Standards’, </w:t>
      </w:r>
      <w:r>
        <w:rPr>
          <w:i/>
          <w:iCs/>
        </w:rPr>
        <w:t>Australian Commission on Safety and Quality in Health Care</w:t>
      </w:r>
      <w:r>
        <w:t xml:space="preserve"> (Web Page, 2025) &lt;</w:t>
      </w:r>
      <w:r w:rsidRPr="003A0931">
        <w:t>https://www.safetyandquality.gov.au/standards</w:t>
      </w:r>
      <w:r>
        <w:t>&gt;.</w:t>
      </w:r>
    </w:p>
  </w:footnote>
  <w:footnote w:id="143">
    <w:p w14:paraId="17160E6E" w14:textId="51AAE535" w:rsidR="00C3124C" w:rsidRDefault="00C3124C" w:rsidP="000C3628">
      <w:pPr>
        <w:pStyle w:val="FootnoteText"/>
      </w:pPr>
      <w:r>
        <w:rPr>
          <w:rStyle w:val="FootnoteReference"/>
        </w:rPr>
        <w:footnoteRef/>
      </w:r>
      <w:r>
        <w:t xml:space="preserve"> </w:t>
      </w:r>
      <w:r w:rsidRPr="00F14DC5">
        <w:t>For example, UK’s Human Fertilisation and Embryology Authority Code of Practice outlines the specific information that is needed to be given to patients, specifically requiring details on the centre, treatment, risks, data and success rates, costs and contracts be given prior to consent.</w:t>
      </w:r>
    </w:p>
  </w:footnote>
  <w:footnote w:id="144">
    <w:p w14:paraId="44343FD1" w14:textId="77777777" w:rsidR="00C3124C" w:rsidRDefault="00C3124C" w:rsidP="000C3628">
      <w:pPr>
        <w:pStyle w:val="FootnoteText"/>
      </w:pPr>
      <w:r>
        <w:rPr>
          <w:rStyle w:val="FootnoteReference"/>
        </w:rPr>
        <w:footnoteRef/>
      </w:r>
      <w:r>
        <w:t xml:space="preserve"> For example, the NSQHS standards require providers to have a healthcare record system in line with relevant regulations and steps out key elements that are required, such as using national patient and provider identifiers. In contrast, the RTAC Code of Practice takes a more general approach, requiring a records system that aligns with applicable regulations and guidelines without detailing specific elements. </w:t>
      </w:r>
    </w:p>
  </w:footnote>
  <w:footnote w:id="145">
    <w:p w14:paraId="23811510" w14:textId="7BB419FB" w:rsidR="00C3124C" w:rsidRDefault="00C3124C" w:rsidP="000C3628">
      <w:pPr>
        <w:pStyle w:val="FootnoteText"/>
      </w:pPr>
      <w:r>
        <w:rPr>
          <w:rStyle w:val="FootnoteReference"/>
        </w:rPr>
        <w:footnoteRef/>
      </w:r>
      <w:r>
        <w:t xml:space="preserve"> </w:t>
      </w:r>
      <w:r w:rsidR="002B3EC0">
        <w:t>Fertility Society of Australia and New Zealand</w:t>
      </w:r>
      <w:r w:rsidR="006374B7">
        <w:t xml:space="preserve">, </w:t>
      </w:r>
      <w:r w:rsidR="006374B7" w:rsidRPr="006374B7">
        <w:rPr>
          <w:i/>
          <w:iCs/>
        </w:rPr>
        <w:t>RTAC Code of Practice</w:t>
      </w:r>
      <w:r w:rsidR="002B3EC0">
        <w:t xml:space="preserve"> (n </w:t>
      </w:r>
      <w:r w:rsidR="002B3EC0">
        <w:fldChar w:fldCharType="begin"/>
      </w:r>
      <w:r w:rsidR="002B3EC0">
        <w:instrText xml:space="preserve"> NOTEREF _Ref207714715 \h </w:instrText>
      </w:r>
      <w:r w:rsidR="000C3628">
        <w:instrText xml:space="preserve"> \* MERGEFORMAT </w:instrText>
      </w:r>
      <w:r w:rsidR="002B3EC0">
        <w:fldChar w:fldCharType="separate"/>
      </w:r>
      <w:r w:rsidR="007D732A">
        <w:t>38</w:t>
      </w:r>
      <w:r w:rsidR="002B3EC0">
        <w:fldChar w:fldCharType="end"/>
      </w:r>
      <w:r w:rsidR="002B3EC0">
        <w:t xml:space="preserve">) </w:t>
      </w:r>
      <w:r>
        <w:t>s 1.8</w:t>
      </w:r>
      <w:r>
        <w:rPr>
          <w:rFonts w:ascii="Segoe UI" w:eastAsia="Times New Roman" w:hAnsi="Segoe UI" w:cs="Segoe UI"/>
          <w:color w:val="424242"/>
          <w:sz w:val="21"/>
          <w:szCs w:val="20"/>
          <w:shd w:val="clear" w:color="auto" w:fill="FAFAFA"/>
        </w:rPr>
        <w:t>.</w:t>
      </w:r>
    </w:p>
  </w:footnote>
  <w:footnote w:id="146">
    <w:p w14:paraId="2A11BC03" w14:textId="3CBE3F3F" w:rsidR="00C3124C" w:rsidRDefault="00C3124C" w:rsidP="000C3628">
      <w:pPr>
        <w:pStyle w:val="FootnoteText"/>
      </w:pPr>
      <w:r w:rsidRPr="001E6C5A">
        <w:rPr>
          <w:rStyle w:val="FootnoteReference"/>
        </w:rPr>
        <w:footnoteRef/>
      </w:r>
      <w:r w:rsidRPr="001E6C5A">
        <w:t xml:space="preserve"> </w:t>
      </w:r>
      <w:r w:rsidR="00610DAC" w:rsidRPr="009F0C11">
        <w:t>The Northern Territory does not</w:t>
      </w:r>
      <w:r w:rsidR="00610DAC">
        <w:t xml:space="preserve"> currently</w:t>
      </w:r>
      <w:r w:rsidR="00610DAC" w:rsidRPr="009F0C11">
        <w:t xml:space="preserve"> have a regulatory authority</w:t>
      </w:r>
      <w:r w:rsidR="00610DAC">
        <w:t xml:space="preserve"> with</w:t>
      </w:r>
      <w:r w:rsidR="00610DAC" w:rsidRPr="00F56EB4">
        <w:t xml:space="preserve"> </w:t>
      </w:r>
      <w:r w:rsidR="00610DAC" w:rsidRPr="00C842B9">
        <w:t>or regulatory powers</w:t>
      </w:r>
      <w:r w:rsidR="00610DAC">
        <w:t xml:space="preserve"> to oversee the ART provider in the territory</w:t>
      </w:r>
      <w:r w:rsidR="00C70AB5">
        <w:t>.</w:t>
      </w:r>
    </w:p>
  </w:footnote>
  <w:footnote w:id="147">
    <w:p w14:paraId="4BD1F676" w14:textId="12136F67" w:rsidR="00C3124C" w:rsidRDefault="00C3124C" w:rsidP="000C3628">
      <w:pPr>
        <w:pStyle w:val="FootnoteText"/>
      </w:pPr>
      <w:r>
        <w:rPr>
          <w:rStyle w:val="FootnoteReference"/>
        </w:rPr>
        <w:footnoteRef/>
      </w:r>
      <w:r>
        <w:t xml:space="preserve"> In Tasmania and </w:t>
      </w:r>
      <w:r w:rsidR="001E710B">
        <w:t>Western Australia</w:t>
      </w:r>
      <w:r>
        <w:t xml:space="preserve">, clinics undergo audits as part of their </w:t>
      </w:r>
      <w:r w:rsidR="004562A9">
        <w:t>re-registration</w:t>
      </w:r>
      <w:r>
        <w:t xml:space="preserve"> process and are required to submit documentation, including annual RTAC audit reports, to their jurisdiction’s regulatory </w:t>
      </w:r>
      <w:r w:rsidR="001368B0">
        <w:t>authority</w:t>
      </w:r>
      <w:r>
        <w:t xml:space="preserve"> for review. </w:t>
      </w:r>
    </w:p>
  </w:footnote>
  <w:footnote w:id="148">
    <w:p w14:paraId="50E8E3B5" w14:textId="3DD74FA5" w:rsidR="00C3124C" w:rsidRDefault="00C3124C" w:rsidP="000C3628">
      <w:pPr>
        <w:pStyle w:val="FootnoteText"/>
      </w:pPr>
      <w:r>
        <w:rPr>
          <w:rStyle w:val="FootnoteReference"/>
        </w:rPr>
        <w:footnoteRef/>
      </w:r>
      <w:r>
        <w:t xml:space="preserve"> </w:t>
      </w:r>
      <w:r w:rsidR="002B3EC0">
        <w:t>Fertility Society of Australia and New Zealand</w:t>
      </w:r>
      <w:r w:rsidR="006374B7">
        <w:t xml:space="preserve">, </w:t>
      </w:r>
      <w:r w:rsidR="006374B7" w:rsidRPr="006374B7">
        <w:rPr>
          <w:i/>
          <w:iCs/>
        </w:rPr>
        <w:t>RTAC Code of Practice</w:t>
      </w:r>
      <w:r w:rsidR="002B3EC0">
        <w:t xml:space="preserve"> (n </w:t>
      </w:r>
      <w:r w:rsidR="002B3EC0">
        <w:fldChar w:fldCharType="begin"/>
      </w:r>
      <w:r w:rsidR="002B3EC0">
        <w:instrText xml:space="preserve"> NOTEREF _Ref207714715 \h </w:instrText>
      </w:r>
      <w:r w:rsidR="000C3628">
        <w:instrText xml:space="preserve"> \* MERGEFORMAT </w:instrText>
      </w:r>
      <w:r w:rsidR="002B3EC0">
        <w:fldChar w:fldCharType="separate"/>
      </w:r>
      <w:r w:rsidR="007D732A">
        <w:t>38</w:t>
      </w:r>
      <w:r w:rsidR="002B3EC0">
        <w:fldChar w:fldCharType="end"/>
      </w:r>
      <w:r w:rsidR="002B3EC0">
        <w:t xml:space="preserve">) </w:t>
      </w:r>
      <w:r>
        <w:t>s 2.5.2</w:t>
      </w:r>
      <w:r w:rsidR="00AF37ED">
        <w:t>.</w:t>
      </w:r>
    </w:p>
  </w:footnote>
  <w:footnote w:id="149">
    <w:p w14:paraId="1174849A" w14:textId="5455127D" w:rsidR="00C3124C" w:rsidRDefault="00C3124C" w:rsidP="000C3628">
      <w:pPr>
        <w:pStyle w:val="FootnoteText"/>
      </w:pPr>
      <w:r w:rsidRPr="008B02DC">
        <w:rPr>
          <w:rStyle w:val="FootnoteReference"/>
        </w:rPr>
        <w:footnoteRef/>
      </w:r>
      <w:r w:rsidRPr="008B02DC">
        <w:t xml:space="preserve"> Human Fertilisation </w:t>
      </w:r>
      <w:r w:rsidR="008B02DC" w:rsidRPr="008B02DC">
        <w:t>and</w:t>
      </w:r>
      <w:r w:rsidRPr="008B02DC">
        <w:t xml:space="preserve"> Embryology Authority, </w:t>
      </w:r>
      <w:r w:rsidRPr="008B02DC">
        <w:rPr>
          <w:i/>
        </w:rPr>
        <w:t xml:space="preserve">Code of Practice </w:t>
      </w:r>
      <w:r w:rsidR="008B02DC" w:rsidRPr="008B02DC">
        <w:t xml:space="preserve">(October </w:t>
      </w:r>
      <w:r w:rsidRPr="008B02DC">
        <w:t>2023</w:t>
      </w:r>
      <w:r w:rsidR="008B02DC" w:rsidRPr="008B02DC">
        <w:t>)</w:t>
      </w:r>
      <w:r w:rsidRPr="008B02DC">
        <w:rPr>
          <w:i/>
        </w:rPr>
        <w:t xml:space="preserve"> </w:t>
      </w:r>
      <w:r w:rsidRPr="008B02DC">
        <w:t>s 2.19.</w:t>
      </w:r>
    </w:p>
  </w:footnote>
  <w:footnote w:id="150">
    <w:p w14:paraId="67A02422" w14:textId="7CDB7CAA" w:rsidR="004D1601" w:rsidRDefault="004D1601">
      <w:pPr>
        <w:pStyle w:val="FootnoteText"/>
      </w:pPr>
      <w:r>
        <w:rPr>
          <w:rStyle w:val="FootnoteReference"/>
        </w:rPr>
        <w:footnoteRef/>
      </w:r>
      <w:r>
        <w:t xml:space="preserve"> </w:t>
      </w:r>
      <w:r w:rsidR="00A60EC1">
        <w:t>S</w:t>
      </w:r>
      <w:r w:rsidR="001E29B2">
        <w:t>atellite units</w:t>
      </w:r>
      <w:r w:rsidR="00A60EC1">
        <w:t xml:space="preserve"> </w:t>
      </w:r>
      <w:r w:rsidR="00061750">
        <w:t>are subject to audit once every three years</w:t>
      </w:r>
      <w:r w:rsidR="0028141A">
        <w:t xml:space="preserve">: see Fertility Society of Australia and New Zealand, </w:t>
      </w:r>
      <w:r w:rsidR="0028141A" w:rsidRPr="006374B7">
        <w:rPr>
          <w:i/>
          <w:iCs/>
        </w:rPr>
        <w:t>RTAC Code of Practice</w:t>
      </w:r>
      <w:r w:rsidR="0028141A">
        <w:t xml:space="preserve"> (n </w:t>
      </w:r>
      <w:r w:rsidR="0028141A">
        <w:fldChar w:fldCharType="begin"/>
      </w:r>
      <w:r w:rsidR="0028141A">
        <w:instrText xml:space="preserve"> NOTEREF _Ref207714715 \h  \* MERGEFORMAT </w:instrText>
      </w:r>
      <w:r w:rsidR="0028141A">
        <w:fldChar w:fldCharType="separate"/>
      </w:r>
      <w:r w:rsidR="007D732A">
        <w:t>38</w:t>
      </w:r>
      <w:r w:rsidR="0028141A">
        <w:fldChar w:fldCharType="end"/>
      </w:r>
      <w:r w:rsidR="0028141A">
        <w:t xml:space="preserve">) s </w:t>
      </w:r>
      <w:r w:rsidR="00F05954">
        <w:t>1.4</w:t>
      </w:r>
      <w:r w:rsidR="0028141A">
        <w:t>.2.</w:t>
      </w:r>
    </w:p>
  </w:footnote>
  <w:footnote w:id="151">
    <w:p w14:paraId="3E0FC65C" w14:textId="4601D487" w:rsidR="00C3124C" w:rsidRDefault="00C3124C" w:rsidP="000C3628">
      <w:pPr>
        <w:pStyle w:val="FootnoteText"/>
      </w:pPr>
      <w:r>
        <w:rPr>
          <w:rStyle w:val="FootnoteReference"/>
        </w:rPr>
        <w:footnoteRef/>
      </w:r>
      <w:r>
        <w:t xml:space="preserve"> </w:t>
      </w:r>
      <w:r w:rsidR="003F2269">
        <w:t xml:space="preserve">Office of the Health Ombudsman (Qld) </w:t>
      </w:r>
      <w:r w:rsidR="00954863">
        <w:t>(</w:t>
      </w:r>
      <w:r w:rsidR="003F2269">
        <w:t xml:space="preserve">n </w:t>
      </w:r>
      <w:r w:rsidR="003F2269">
        <w:fldChar w:fldCharType="begin"/>
      </w:r>
      <w:r w:rsidR="003F2269">
        <w:instrText xml:space="preserve"> NOTEREF _Ref207713890 \h </w:instrText>
      </w:r>
      <w:r w:rsidR="000C3628">
        <w:instrText xml:space="preserve"> \* MERGEFORMAT </w:instrText>
      </w:r>
      <w:r w:rsidR="003F2269">
        <w:fldChar w:fldCharType="separate"/>
      </w:r>
      <w:r w:rsidR="007D732A">
        <w:t>12</w:t>
      </w:r>
      <w:r w:rsidR="003F2269">
        <w:fldChar w:fldCharType="end"/>
      </w:r>
      <w:r w:rsidR="003F2269">
        <w:t xml:space="preserve">) </w:t>
      </w:r>
      <w:r w:rsidRPr="00573391">
        <w:t>100</w:t>
      </w:r>
      <w:r w:rsidR="00A841E8" w:rsidRPr="00573391">
        <w:t>–</w:t>
      </w:r>
      <w:r w:rsidRPr="00573391">
        <w:t>2.</w:t>
      </w:r>
    </w:p>
  </w:footnote>
  <w:footnote w:id="152">
    <w:p w14:paraId="7E399D05" w14:textId="5E93EB73" w:rsidR="00C3124C" w:rsidRDefault="00C3124C" w:rsidP="000C3628">
      <w:pPr>
        <w:pStyle w:val="FootnoteText"/>
      </w:pPr>
      <w:r>
        <w:rPr>
          <w:rStyle w:val="FootnoteReference"/>
        </w:rPr>
        <w:footnoteRef/>
      </w:r>
      <w:r>
        <w:t xml:space="preserve"> </w:t>
      </w:r>
      <w:r w:rsidR="00286794">
        <w:t xml:space="preserve">Gorton (n </w:t>
      </w:r>
      <w:r w:rsidR="00286794">
        <w:fldChar w:fldCharType="begin"/>
      </w:r>
      <w:r w:rsidR="00286794">
        <w:instrText xml:space="preserve"> NOTEREF _Ref207713890 \h </w:instrText>
      </w:r>
      <w:r w:rsidR="000C3628">
        <w:instrText xml:space="preserve"> \* MERGEFORMAT </w:instrText>
      </w:r>
      <w:r w:rsidR="00286794">
        <w:fldChar w:fldCharType="separate"/>
      </w:r>
      <w:r w:rsidR="007D732A">
        <w:t>12</w:t>
      </w:r>
      <w:r w:rsidR="00286794">
        <w:fldChar w:fldCharType="end"/>
      </w:r>
      <w:r w:rsidR="00286794">
        <w:t xml:space="preserve">) </w:t>
      </w:r>
      <w:r w:rsidRPr="00573391">
        <w:t>21</w:t>
      </w:r>
      <w:r w:rsidR="00A841E8" w:rsidRPr="00573391">
        <w:t>–</w:t>
      </w:r>
      <w:r w:rsidRPr="00573391">
        <w:t>2.</w:t>
      </w:r>
    </w:p>
  </w:footnote>
  <w:footnote w:id="153">
    <w:p w14:paraId="0349D4B6" w14:textId="77777777" w:rsidR="00C3124C" w:rsidRDefault="00C3124C" w:rsidP="000C3628">
      <w:pPr>
        <w:pStyle w:val="FootnoteText"/>
      </w:pPr>
      <w:r>
        <w:rPr>
          <w:rStyle w:val="FootnoteReference"/>
        </w:rPr>
        <w:footnoteRef/>
      </w:r>
      <w:r>
        <w:t xml:space="preserve"> See the ANZARD Data Dictionary for a full list of fields required for reporting: </w:t>
      </w:r>
      <w:r w:rsidRPr="004D7F7D">
        <w:t>National Perinatal Epidemiology and Statistics Unit</w:t>
      </w:r>
      <w:r>
        <w:t xml:space="preserve"> (UNSW)</w:t>
      </w:r>
      <w:r w:rsidRPr="00E114E5">
        <w:t>,</w:t>
      </w:r>
      <w:r w:rsidRPr="004D7F7D">
        <w:t xml:space="preserve"> </w:t>
      </w:r>
      <w:r w:rsidRPr="004D7F7D">
        <w:rPr>
          <w:i/>
          <w:iCs/>
        </w:rPr>
        <w:t>ANZARD 3.0 Data Dictionary</w:t>
      </w:r>
      <w:r w:rsidRPr="00E26011">
        <w:rPr>
          <w:i/>
          <w:iCs/>
        </w:rPr>
        <w:t xml:space="preserve">: </w:t>
      </w:r>
      <w:r w:rsidRPr="00E26011">
        <w:rPr>
          <w:i/>
        </w:rPr>
        <w:t>Version 5.0</w:t>
      </w:r>
      <w:r w:rsidRPr="00E26011">
        <w:t xml:space="preserve"> (</w:t>
      </w:r>
      <w:r w:rsidRPr="00E114E5">
        <w:t>Report,</w:t>
      </w:r>
      <w:r w:rsidRPr="004D7F7D">
        <w:t xml:space="preserve"> November 2020</w:t>
      </w:r>
      <w:r w:rsidRPr="003F13EC">
        <w:t>)</w:t>
      </w:r>
      <w:r>
        <w:t>.</w:t>
      </w:r>
    </w:p>
  </w:footnote>
  <w:footnote w:id="154">
    <w:p w14:paraId="44785311" w14:textId="19BDF4A0" w:rsidR="008864AE" w:rsidRDefault="008864AE" w:rsidP="000C3628">
      <w:pPr>
        <w:pStyle w:val="FootnoteText"/>
      </w:pPr>
      <w:r>
        <w:rPr>
          <w:rStyle w:val="FootnoteReference"/>
        </w:rPr>
        <w:footnoteRef/>
      </w:r>
      <w:r>
        <w:t xml:space="preserve"> </w:t>
      </w:r>
      <w:r w:rsidR="00367A49" w:rsidRPr="00F56EB4">
        <w:rPr>
          <w:i/>
        </w:rPr>
        <w:t>Prost</w:t>
      </w:r>
      <w:r w:rsidR="00EE39FE" w:rsidRPr="00F56EB4">
        <w:rPr>
          <w:i/>
        </w:rPr>
        <w:t xml:space="preserve">ate Cancer Outcomes Registry </w:t>
      </w:r>
      <w:r w:rsidR="007A304B" w:rsidRPr="00F56EB4">
        <w:rPr>
          <w:i/>
        </w:rPr>
        <w:t>Australia and New Zealand</w:t>
      </w:r>
      <w:r w:rsidR="00EA2FEB">
        <w:rPr>
          <w:i/>
          <w:iCs/>
        </w:rPr>
        <w:t xml:space="preserve"> Website </w:t>
      </w:r>
      <w:r w:rsidR="00943623">
        <w:t>(Web Page, 202</w:t>
      </w:r>
      <w:r w:rsidR="00BF650D">
        <w:t>3</w:t>
      </w:r>
      <w:r w:rsidR="00943623">
        <w:t>)</w:t>
      </w:r>
      <w:r w:rsidR="00BF650D">
        <w:t xml:space="preserve"> &lt;http</w:t>
      </w:r>
      <w:r w:rsidR="0060270F">
        <w:t>s://prostatecancerregistry.org&gt;.</w:t>
      </w:r>
    </w:p>
  </w:footnote>
  <w:footnote w:id="155">
    <w:p w14:paraId="55AB6E55" w14:textId="3BBC4C91" w:rsidR="00332434" w:rsidRDefault="00332434" w:rsidP="000C3628">
      <w:pPr>
        <w:pStyle w:val="FootnoteText"/>
      </w:pPr>
      <w:r>
        <w:rPr>
          <w:rStyle w:val="FootnoteReference"/>
        </w:rPr>
        <w:footnoteRef/>
      </w:r>
      <w:r>
        <w:t xml:space="preserve"> </w:t>
      </w:r>
      <w:r w:rsidRPr="00C70AB5">
        <w:rPr>
          <w:i/>
        </w:rPr>
        <w:t>Australian Orthopaedic Association National Joint Replacement Registry</w:t>
      </w:r>
      <w:r w:rsidR="00EA2FEB">
        <w:rPr>
          <w:i/>
          <w:iCs/>
        </w:rPr>
        <w:t xml:space="preserve"> Website</w:t>
      </w:r>
      <w:r>
        <w:t xml:space="preserve"> (Web Page</w:t>
      </w:r>
      <w:r w:rsidR="004A45A4">
        <w:t>) &lt;http://</w:t>
      </w:r>
      <w:r w:rsidR="00883787" w:rsidRPr="00883787">
        <w:t xml:space="preserve"> aoanjrr.sahmri.com</w:t>
      </w:r>
      <w:r w:rsidR="00883787">
        <w:t>&gt;.</w:t>
      </w:r>
      <w:r>
        <w:t xml:space="preserve"> </w:t>
      </w:r>
    </w:p>
  </w:footnote>
  <w:footnote w:id="156">
    <w:p w14:paraId="42720263" w14:textId="77777777" w:rsidR="00C3124C" w:rsidRDefault="00C3124C" w:rsidP="000C3628">
      <w:pPr>
        <w:pStyle w:val="FootnoteText"/>
      </w:pPr>
      <w:r>
        <w:rPr>
          <w:rStyle w:val="FootnoteReference"/>
        </w:rPr>
        <w:footnoteRef/>
      </w:r>
      <w:r>
        <w:t xml:space="preserve"> </w:t>
      </w:r>
      <w:r w:rsidRPr="00873FDC">
        <w:t xml:space="preserve">Australian Commission on Safety and Quality in Health Care, </w:t>
      </w:r>
      <w:r w:rsidRPr="007D59E3">
        <w:rPr>
          <w:i/>
        </w:rPr>
        <w:t>Fact Sheet 2: Accreditation of Health Service Organisations in Australia</w:t>
      </w:r>
      <w:r w:rsidRPr="00873FDC">
        <w:t xml:space="preserve"> (Fact Sheet, November 2021)</w:t>
      </w:r>
      <w:r>
        <w:t>.</w:t>
      </w:r>
      <w:r w:rsidRPr="00873FDC">
        <w:t xml:space="preserve"> </w:t>
      </w:r>
    </w:p>
  </w:footnote>
  <w:footnote w:id="157">
    <w:p w14:paraId="2AD2799E" w14:textId="77777777" w:rsidR="00C3124C" w:rsidRDefault="00C3124C" w:rsidP="000C3628">
      <w:pPr>
        <w:pStyle w:val="FootnoteText"/>
      </w:pPr>
      <w:r>
        <w:rPr>
          <w:rStyle w:val="FootnoteReference"/>
        </w:rPr>
        <w:footnoteRef/>
      </w:r>
      <w:r>
        <w:t xml:space="preserve"> </w:t>
      </w:r>
      <w:r w:rsidRPr="00EA206D">
        <w:t>Australian Government</w:t>
      </w:r>
      <w:r>
        <w:t xml:space="preserve"> Department of Health and Aged Care</w:t>
      </w:r>
      <w:r w:rsidRPr="00EA206D">
        <w:t>,</w:t>
      </w:r>
      <w:r>
        <w:t xml:space="preserve"> </w:t>
      </w:r>
      <w:r>
        <w:rPr>
          <w:i/>
          <w:iCs/>
        </w:rPr>
        <w:t xml:space="preserve">How the New </w:t>
      </w:r>
      <w:r w:rsidRPr="00E623FB">
        <w:rPr>
          <w:i/>
        </w:rPr>
        <w:t xml:space="preserve">Model for Regulating </w:t>
      </w:r>
      <w:r>
        <w:rPr>
          <w:i/>
          <w:iCs/>
        </w:rPr>
        <w:t xml:space="preserve">Aged Care </w:t>
      </w:r>
      <w:r w:rsidRPr="00E623FB">
        <w:rPr>
          <w:i/>
        </w:rPr>
        <w:t>Works</w:t>
      </w:r>
      <w:r w:rsidRPr="00EA206D">
        <w:t xml:space="preserve"> </w:t>
      </w:r>
      <w:r>
        <w:t>(Web Page, 2025</w:t>
      </w:r>
      <w:r w:rsidRPr="00EA206D">
        <w:t xml:space="preserve">) </w:t>
      </w:r>
      <w:r>
        <w:t>&lt;</w:t>
      </w:r>
      <w:r w:rsidRPr="00B63684">
        <w:t>https://www.health.gov.au/our-work/new-model-for-regulating-aged-care/how-it-works</w:t>
      </w:r>
      <w:r>
        <w:t>&gt;</w:t>
      </w:r>
      <w:r w:rsidRPr="00EA206D">
        <w:t>.</w:t>
      </w:r>
    </w:p>
  </w:footnote>
  <w:footnote w:id="158">
    <w:p w14:paraId="1A8442FD" w14:textId="3A7BE46C" w:rsidR="00C3124C" w:rsidRDefault="00C3124C" w:rsidP="000C3628">
      <w:pPr>
        <w:pStyle w:val="FootnoteText"/>
        <w:spacing w:after="0" w:line="240" w:lineRule="auto"/>
      </w:pPr>
      <w:r>
        <w:rPr>
          <w:rStyle w:val="FootnoteReference"/>
        </w:rPr>
        <w:footnoteRef/>
      </w:r>
      <w:r>
        <w:t xml:space="preserve"> </w:t>
      </w:r>
      <w:r w:rsidR="00586A3C">
        <w:t>ART units</w:t>
      </w:r>
      <w:r w:rsidRPr="005B1973">
        <w:t xml:space="preserve"> </w:t>
      </w:r>
      <w:r w:rsidR="00220056">
        <w:t>must</w:t>
      </w:r>
      <w:r w:rsidRPr="005B1973">
        <w:t xml:space="preserve"> report instances of serious adverse events</w:t>
      </w:r>
      <w:r w:rsidR="001B1EFF">
        <w:t xml:space="preserve"> to RTAC</w:t>
      </w:r>
      <w:r w:rsidRPr="005B1973">
        <w:t xml:space="preserve"> </w:t>
      </w:r>
      <w:r w:rsidR="007D013B" w:rsidRPr="005B1973">
        <w:t>a</w:t>
      </w:r>
      <w:r w:rsidRPr="005B1973">
        <w:t>s soon as practical, but no later than six weeks after the provider becomes aware of the incident</w:t>
      </w:r>
      <w:r w:rsidR="003E12DE">
        <w:t xml:space="preserve">. Thes timeframes are compressed to </w:t>
      </w:r>
      <w:r w:rsidRPr="005B1973">
        <w:t>within two weeks for a potential or actual breach of legislation</w:t>
      </w:r>
      <w:r w:rsidR="003E12DE">
        <w:t xml:space="preserve">, and </w:t>
      </w:r>
      <w:r w:rsidR="00D512A7" w:rsidRPr="005B1973">
        <w:t>w</w:t>
      </w:r>
      <w:r w:rsidRPr="005B1973">
        <w:t>ithin 48 hours for a sentinel event (e.g. death)</w:t>
      </w:r>
      <w:r w:rsidR="00220056">
        <w:t xml:space="preserve">: </w:t>
      </w:r>
      <w:r w:rsidR="002B3EC0">
        <w:t>Fertility Society of Australia and New Zealand</w:t>
      </w:r>
      <w:r w:rsidR="006374B7">
        <w:t xml:space="preserve">, </w:t>
      </w:r>
      <w:r w:rsidR="006374B7" w:rsidRPr="006374B7">
        <w:rPr>
          <w:i/>
          <w:iCs/>
        </w:rPr>
        <w:t>RTAC Code of Practice</w:t>
      </w:r>
      <w:r w:rsidR="002B3EC0">
        <w:t xml:space="preserve"> (n </w:t>
      </w:r>
      <w:r w:rsidR="002B3EC0">
        <w:fldChar w:fldCharType="begin"/>
      </w:r>
      <w:r w:rsidR="002B3EC0">
        <w:instrText xml:space="preserve"> NOTEREF _Ref207714715 \h </w:instrText>
      </w:r>
      <w:r w:rsidR="000C3628">
        <w:instrText xml:space="preserve"> \* MERGEFORMAT </w:instrText>
      </w:r>
      <w:r w:rsidR="002B3EC0">
        <w:fldChar w:fldCharType="separate"/>
      </w:r>
      <w:r w:rsidR="007D732A">
        <w:t>38</w:t>
      </w:r>
      <w:r w:rsidR="002B3EC0">
        <w:fldChar w:fldCharType="end"/>
      </w:r>
      <w:r w:rsidR="002B3EC0">
        <w:t xml:space="preserve">) </w:t>
      </w:r>
      <w:r w:rsidR="00220056">
        <w:t>s 4.2.1</w:t>
      </w:r>
      <w:r w:rsidR="00900524">
        <w:t xml:space="preserve">. </w:t>
      </w:r>
    </w:p>
  </w:footnote>
  <w:footnote w:id="159">
    <w:p w14:paraId="5F0A9C41" w14:textId="3FDA129D" w:rsidR="00C3124C" w:rsidRDefault="00C3124C" w:rsidP="000C3628">
      <w:pPr>
        <w:pStyle w:val="FootnoteText"/>
      </w:pPr>
      <w:r>
        <w:rPr>
          <w:rStyle w:val="FootnoteReference"/>
        </w:rPr>
        <w:footnoteRef/>
      </w:r>
      <w:r>
        <w:t xml:space="preserve"> </w:t>
      </w:r>
      <w:r w:rsidR="003F2269">
        <w:t>Office of the Health Ombudsman (Qld) n (</w:t>
      </w:r>
      <w:r w:rsidR="003F2269">
        <w:fldChar w:fldCharType="begin"/>
      </w:r>
      <w:r w:rsidR="003F2269">
        <w:instrText xml:space="preserve"> NOTEREF _Ref207713890 \h </w:instrText>
      </w:r>
      <w:r w:rsidR="000C3628">
        <w:instrText xml:space="preserve"> \* MERGEFORMAT </w:instrText>
      </w:r>
      <w:r w:rsidR="003F2269">
        <w:fldChar w:fldCharType="separate"/>
      </w:r>
      <w:r w:rsidR="007D732A">
        <w:t>12</w:t>
      </w:r>
      <w:r w:rsidR="003F2269">
        <w:fldChar w:fldCharType="end"/>
      </w:r>
      <w:r w:rsidR="003F2269">
        <w:t xml:space="preserve">) </w:t>
      </w:r>
      <w:r>
        <w:t>93</w:t>
      </w:r>
      <w:r w:rsidR="009D1727">
        <w:t>–</w:t>
      </w:r>
      <w:r>
        <w:t>4.</w:t>
      </w:r>
    </w:p>
  </w:footnote>
  <w:footnote w:id="160">
    <w:p w14:paraId="35195A3B" w14:textId="0F288948" w:rsidR="00C3124C" w:rsidRDefault="00C3124C" w:rsidP="000C3628">
      <w:pPr>
        <w:pStyle w:val="FootnoteText"/>
      </w:pPr>
      <w:r>
        <w:rPr>
          <w:rStyle w:val="FootnoteReference"/>
        </w:rPr>
        <w:footnoteRef/>
      </w:r>
      <w:r>
        <w:t xml:space="preserve"> </w:t>
      </w:r>
      <w:r w:rsidRPr="00A66EA7">
        <w:t>Health Complaints Commissioner</w:t>
      </w:r>
      <w:r w:rsidRPr="006B36A2">
        <w:t xml:space="preserve"> (Vic),</w:t>
      </w:r>
      <w:r w:rsidRPr="00A66EA7">
        <w:t xml:space="preserve"> </w:t>
      </w:r>
      <w:r w:rsidRPr="00A66EA7">
        <w:rPr>
          <w:i/>
          <w:iCs/>
        </w:rPr>
        <w:t>Inquiry into Assisted Reproductive Treatment Practices in Victoria: Final Report</w:t>
      </w:r>
      <w:r w:rsidRPr="006B36A2">
        <w:rPr>
          <w:i/>
        </w:rPr>
        <w:t xml:space="preserve"> </w:t>
      </w:r>
      <w:r w:rsidRPr="00A66EA7">
        <w:t>(Report, 3 March 2020) 62</w:t>
      </w:r>
      <w:r w:rsidR="009D1727">
        <w:t>–</w:t>
      </w:r>
      <w:r w:rsidRPr="00A66EA7">
        <w:t>70</w:t>
      </w:r>
      <w:r w:rsidR="0004222C">
        <w:t xml:space="preserve"> </w:t>
      </w:r>
      <w:r w:rsidR="0004222C" w:rsidRPr="00252344">
        <w:rPr>
          <w:i/>
          <w:iCs/>
        </w:rPr>
        <w:t>(</w:t>
      </w:r>
      <w:r w:rsidR="00252344" w:rsidRPr="00252344">
        <w:rPr>
          <w:i/>
          <w:iCs/>
        </w:rPr>
        <w:t>‘Inquiry into Victorian ART sector’)</w:t>
      </w:r>
      <w:r w:rsidRPr="00A66EA7">
        <w:t>.</w:t>
      </w:r>
    </w:p>
  </w:footnote>
  <w:footnote w:id="161">
    <w:p w14:paraId="28A76380" w14:textId="6BD4344E" w:rsidR="00C3124C" w:rsidRDefault="00C3124C" w:rsidP="000C3628">
      <w:pPr>
        <w:pStyle w:val="FootnoteText"/>
      </w:pPr>
      <w:r>
        <w:rPr>
          <w:rStyle w:val="FootnoteReference"/>
        </w:rPr>
        <w:footnoteRef/>
      </w:r>
      <w:r>
        <w:t xml:space="preserve"> </w:t>
      </w:r>
      <w:r w:rsidR="002B3EC0">
        <w:t>Fertility Society of Australia and New Zealand</w:t>
      </w:r>
      <w:r w:rsidR="006374B7">
        <w:t xml:space="preserve">, </w:t>
      </w:r>
      <w:r w:rsidR="006374B7" w:rsidRPr="006374B7">
        <w:rPr>
          <w:i/>
          <w:iCs/>
        </w:rPr>
        <w:t>RTAC Code of Practice</w:t>
      </w:r>
      <w:r w:rsidR="002B3EC0">
        <w:t xml:space="preserve"> (n </w:t>
      </w:r>
      <w:r w:rsidR="002B3EC0">
        <w:fldChar w:fldCharType="begin"/>
      </w:r>
      <w:r w:rsidR="002B3EC0">
        <w:instrText xml:space="preserve"> NOTEREF _Ref207714715 \h </w:instrText>
      </w:r>
      <w:r w:rsidR="000C3628">
        <w:instrText xml:space="preserve"> \* MERGEFORMAT </w:instrText>
      </w:r>
      <w:r w:rsidR="002B3EC0">
        <w:fldChar w:fldCharType="separate"/>
      </w:r>
      <w:r w:rsidR="007D732A">
        <w:t>38</w:t>
      </w:r>
      <w:r w:rsidR="002B3EC0">
        <w:fldChar w:fldCharType="end"/>
      </w:r>
      <w:r w:rsidR="002B3EC0">
        <w:t xml:space="preserve">) </w:t>
      </w:r>
      <w:r>
        <w:t>s 4.2.</w:t>
      </w:r>
    </w:p>
  </w:footnote>
  <w:footnote w:id="162">
    <w:p w14:paraId="38A0E5B7" w14:textId="3B4BDA20" w:rsidR="00C3124C" w:rsidRDefault="00C3124C" w:rsidP="000C3628">
      <w:pPr>
        <w:pStyle w:val="FootnoteText"/>
      </w:pPr>
      <w:r>
        <w:rPr>
          <w:rStyle w:val="FootnoteReference"/>
        </w:rPr>
        <w:footnoteRef/>
      </w:r>
      <w:r>
        <w:t xml:space="preserve"> </w:t>
      </w:r>
      <w:r w:rsidR="003F2269">
        <w:t>Office of the Health Ombudsman (Qld) n (</w:t>
      </w:r>
      <w:r w:rsidR="003F2269">
        <w:fldChar w:fldCharType="begin"/>
      </w:r>
      <w:r w:rsidR="003F2269">
        <w:instrText xml:space="preserve"> NOTEREF _Ref207713890 \h </w:instrText>
      </w:r>
      <w:r w:rsidR="000C3628">
        <w:instrText xml:space="preserve"> \* MERGEFORMAT </w:instrText>
      </w:r>
      <w:r w:rsidR="003F2269">
        <w:fldChar w:fldCharType="separate"/>
      </w:r>
      <w:r w:rsidR="007D732A">
        <w:t>12</w:t>
      </w:r>
      <w:r w:rsidR="003F2269">
        <w:fldChar w:fldCharType="end"/>
      </w:r>
      <w:r w:rsidR="003F2269">
        <w:t xml:space="preserve">) </w:t>
      </w:r>
      <w:r w:rsidRPr="007B0B15">
        <w:t>94</w:t>
      </w:r>
      <w:r w:rsidR="009376C6">
        <w:t>–</w:t>
      </w:r>
      <w:r w:rsidRPr="007B0B15">
        <w:t>7.</w:t>
      </w:r>
    </w:p>
  </w:footnote>
  <w:footnote w:id="163">
    <w:p w14:paraId="0F996A83" w14:textId="417D794F" w:rsidR="00C3124C" w:rsidRDefault="00C3124C" w:rsidP="000C3628">
      <w:pPr>
        <w:pStyle w:val="FootnoteText"/>
      </w:pPr>
      <w:r>
        <w:rPr>
          <w:rStyle w:val="FootnoteReference"/>
        </w:rPr>
        <w:footnoteRef/>
      </w:r>
      <w:r>
        <w:t xml:space="preserve"> </w:t>
      </w:r>
      <w:r w:rsidR="00F9271B">
        <w:t xml:space="preserve">ANZARD provides </w:t>
      </w:r>
      <w:r>
        <w:t xml:space="preserve">ART units </w:t>
      </w:r>
      <w:r w:rsidR="00F9271B">
        <w:t>with</w:t>
      </w:r>
      <w:r>
        <w:t xml:space="preserve"> a Feedback Report describing their clinical outcomes. ART units are required to identify opportunities for improvements based on this report. Where clinical outcomes fall below the 25th percentile, the unit must undertake a root cause analysis as to why its results fall in this range and either provide a corrective action plan or provide a rationale for not doing so during the audit proces</w:t>
      </w:r>
      <w:r w:rsidRPr="00DF6904">
        <w:t>s</w:t>
      </w:r>
      <w:r w:rsidR="0068578B" w:rsidRPr="005B1973">
        <w:t xml:space="preserve">: </w:t>
      </w:r>
      <w:r w:rsidR="002B3EC0">
        <w:t>Fertility Society of Australia and New Zealand</w:t>
      </w:r>
      <w:r w:rsidR="006374B7">
        <w:t xml:space="preserve">, </w:t>
      </w:r>
      <w:r w:rsidR="006374B7" w:rsidRPr="006374B7">
        <w:rPr>
          <w:i/>
          <w:iCs/>
        </w:rPr>
        <w:t>RTAC Code of Practice</w:t>
      </w:r>
      <w:r w:rsidR="002B3EC0">
        <w:t xml:space="preserve"> (n </w:t>
      </w:r>
      <w:r w:rsidR="002B3EC0">
        <w:fldChar w:fldCharType="begin"/>
      </w:r>
      <w:r w:rsidR="002B3EC0">
        <w:instrText xml:space="preserve"> NOTEREF _Ref207714715 \h </w:instrText>
      </w:r>
      <w:r w:rsidR="000C3628">
        <w:instrText xml:space="preserve"> \* MERGEFORMAT </w:instrText>
      </w:r>
      <w:r w:rsidR="002B3EC0">
        <w:fldChar w:fldCharType="separate"/>
      </w:r>
      <w:r w:rsidR="007D732A">
        <w:t>38</w:t>
      </w:r>
      <w:r w:rsidR="002B3EC0">
        <w:fldChar w:fldCharType="end"/>
      </w:r>
      <w:r w:rsidR="002B3EC0">
        <w:t xml:space="preserve">) </w:t>
      </w:r>
      <w:r w:rsidR="00DF6904">
        <w:t>s 4.4.</w:t>
      </w:r>
    </w:p>
  </w:footnote>
  <w:footnote w:id="164">
    <w:p w14:paraId="0B97CC94" w14:textId="77777777" w:rsidR="00C3124C" w:rsidRDefault="00C3124C" w:rsidP="000C3628">
      <w:pPr>
        <w:pStyle w:val="FootnoteText"/>
      </w:pPr>
      <w:r>
        <w:rPr>
          <w:rStyle w:val="FootnoteReference"/>
        </w:rPr>
        <w:footnoteRef/>
      </w:r>
      <w:r>
        <w:t xml:space="preserve"> </w:t>
      </w:r>
      <w:proofErr w:type="spellStart"/>
      <w:r w:rsidRPr="00360DC5">
        <w:rPr>
          <w:i/>
        </w:rPr>
        <w:t>YourIVFSuccess</w:t>
      </w:r>
      <w:proofErr w:type="spellEnd"/>
      <w:r>
        <w:t xml:space="preserve"> is an Australian Government funded website developed by the University of New South Wales (UNSW) to provide transparent, independent information about ART and IVF. It contains information on clinic-specific success rates using data from the </w:t>
      </w:r>
      <w:r w:rsidRPr="00D33373">
        <w:t>Australian and New Zealand Assisted Reproduction Database</w:t>
      </w:r>
      <w:r>
        <w:t xml:space="preserve"> (</w:t>
      </w:r>
      <w:r w:rsidRPr="00D33373">
        <w:t>ANZARD</w:t>
      </w:r>
      <w:r>
        <w:t xml:space="preserve">). See: </w:t>
      </w:r>
      <w:r w:rsidRPr="006D1915">
        <w:t xml:space="preserve">Your IVF Success, </w:t>
      </w:r>
      <w:r w:rsidRPr="00A30012">
        <w:rPr>
          <w:i/>
        </w:rPr>
        <w:t>Homepage</w:t>
      </w:r>
      <w:r w:rsidRPr="006D1915">
        <w:t xml:space="preserve"> (Web Page, 2025) </w:t>
      </w:r>
      <w:r>
        <w:t>&lt;</w:t>
      </w:r>
      <w:r w:rsidRPr="006D1915">
        <w:t>https://yourivfsuccess.com.au/</w:t>
      </w:r>
      <w:r>
        <w:t>&gt;</w:t>
      </w:r>
      <w:r w:rsidRPr="006D1915">
        <w:t>.</w:t>
      </w:r>
    </w:p>
  </w:footnote>
  <w:footnote w:id="165">
    <w:p w14:paraId="2294743D" w14:textId="748DB439" w:rsidR="002170E1" w:rsidRDefault="002170E1">
      <w:pPr>
        <w:pStyle w:val="FootnoteText"/>
      </w:pPr>
      <w:r>
        <w:rPr>
          <w:rStyle w:val="FootnoteReference"/>
        </w:rPr>
        <w:footnoteRef/>
      </w:r>
      <w:r>
        <w:t xml:space="preserve"> Fertility Society of Australia and New Zealand, </w:t>
      </w:r>
      <w:r w:rsidRPr="006374B7">
        <w:rPr>
          <w:i/>
          <w:iCs/>
        </w:rPr>
        <w:t>RTAC Code of Practice</w:t>
      </w:r>
      <w:r>
        <w:t xml:space="preserve"> (n </w:t>
      </w:r>
      <w:r>
        <w:fldChar w:fldCharType="begin"/>
      </w:r>
      <w:r>
        <w:instrText xml:space="preserve"> NOTEREF _Ref207714715 \h  \* MERGEFORMAT </w:instrText>
      </w:r>
      <w:r>
        <w:fldChar w:fldCharType="separate"/>
      </w:r>
      <w:r w:rsidR="007D732A">
        <w:t>38</w:t>
      </w:r>
      <w:r>
        <w:fldChar w:fldCharType="end"/>
      </w:r>
      <w:r>
        <w:t>).</w:t>
      </w:r>
    </w:p>
  </w:footnote>
  <w:footnote w:id="166">
    <w:p w14:paraId="5C78751E" w14:textId="0D528443" w:rsidR="00A27C9A" w:rsidRDefault="00A27C9A">
      <w:pPr>
        <w:pStyle w:val="FootnoteText"/>
      </w:pPr>
      <w:r>
        <w:rPr>
          <w:rStyle w:val="FootnoteReference"/>
        </w:rPr>
        <w:footnoteRef/>
      </w:r>
      <w:r>
        <w:t xml:space="preserve"> Fertility Society of Australia and New Zealand, </w:t>
      </w:r>
      <w:r>
        <w:rPr>
          <w:i/>
          <w:iCs/>
        </w:rPr>
        <w:t>RTAC Scheme Rules</w:t>
      </w:r>
      <w:r>
        <w:t xml:space="preserve"> </w:t>
      </w:r>
      <w:r w:rsidRPr="00406195">
        <w:t>(</w:t>
      </w:r>
      <w:r>
        <w:t xml:space="preserve">n </w:t>
      </w:r>
      <w:r>
        <w:fldChar w:fldCharType="begin"/>
      </w:r>
      <w:r>
        <w:instrText xml:space="preserve"> NOTEREF _Ref207892736 \h  \* MERGEFORMAT </w:instrText>
      </w:r>
      <w:r>
        <w:fldChar w:fldCharType="separate"/>
      </w:r>
      <w:r w:rsidR="007D732A">
        <w:t>42</w:t>
      </w:r>
      <w:r>
        <w:fldChar w:fldCharType="end"/>
      </w:r>
      <w:r>
        <w:t>).</w:t>
      </w:r>
    </w:p>
  </w:footnote>
  <w:footnote w:id="167">
    <w:p w14:paraId="17762F09" w14:textId="2E1103BD" w:rsidR="001A712D" w:rsidRDefault="001A712D" w:rsidP="000C3628">
      <w:pPr>
        <w:pStyle w:val="FootnoteText"/>
      </w:pPr>
      <w:r>
        <w:rPr>
          <w:rStyle w:val="FootnoteReference"/>
        </w:rPr>
        <w:footnoteRef/>
      </w:r>
      <w:r>
        <w:t xml:space="preserve"> </w:t>
      </w:r>
      <w:r w:rsidR="00E33399">
        <w:t xml:space="preserve">Hunt and Swift (n </w:t>
      </w:r>
      <w:r w:rsidR="00E33399">
        <w:fldChar w:fldCharType="begin"/>
      </w:r>
      <w:r w:rsidR="00E33399">
        <w:instrText xml:space="preserve"> NOTEREF _Ref207713279 \h </w:instrText>
      </w:r>
      <w:r w:rsidR="000C3628">
        <w:instrText xml:space="preserve"> \* MERGEFORMAT </w:instrText>
      </w:r>
      <w:r w:rsidR="00E33399">
        <w:fldChar w:fldCharType="separate"/>
      </w:r>
      <w:r w:rsidR="007D732A">
        <w:t>2</w:t>
      </w:r>
      <w:r w:rsidR="00E33399">
        <w:fldChar w:fldCharType="end"/>
      </w:r>
      <w:r w:rsidR="00E33399">
        <w:t>)</w:t>
      </w:r>
      <w:r>
        <w:t xml:space="preserve"> rec</w:t>
      </w:r>
      <w:r w:rsidR="00E33399">
        <w:t>ommendation</w:t>
      </w:r>
      <w:r>
        <w:t xml:space="preserve"> 15.</w:t>
      </w:r>
    </w:p>
  </w:footnote>
  <w:footnote w:id="168">
    <w:p w14:paraId="2BF7212C" w14:textId="77777777" w:rsidR="001A712D" w:rsidRDefault="001A712D" w:rsidP="000C3628">
      <w:pPr>
        <w:pStyle w:val="FootnoteText"/>
      </w:pPr>
      <w:r>
        <w:rPr>
          <w:rStyle w:val="FootnoteReference"/>
        </w:rPr>
        <w:footnoteRef/>
      </w:r>
      <w:r>
        <w:t xml:space="preserve"> Fertility Society of Australia and New Zealand, ‘Media Statement’ (Media Release, 2 May 2025) 1. </w:t>
      </w:r>
    </w:p>
  </w:footnote>
  <w:footnote w:id="169">
    <w:p w14:paraId="670758C2" w14:textId="0C889EAD" w:rsidR="001A712D" w:rsidRDefault="001A712D" w:rsidP="000C3628">
      <w:pPr>
        <w:pStyle w:val="FootnoteText"/>
      </w:pPr>
      <w:r>
        <w:rPr>
          <w:rStyle w:val="FootnoteReference"/>
        </w:rPr>
        <w:footnoteRef/>
      </w:r>
      <w:r>
        <w:t xml:space="preserve"> </w:t>
      </w:r>
      <w:r w:rsidR="001D3CF6" w:rsidRPr="000A6E22">
        <w:t>Reproductive Technology Accreditation Committee</w:t>
      </w:r>
      <w:r w:rsidR="00CF19D0">
        <w:rPr>
          <w:i/>
          <w:iCs/>
        </w:rPr>
        <w:t xml:space="preserve">, </w:t>
      </w:r>
      <w:r w:rsidR="00CF19D0" w:rsidRPr="00017FE1">
        <w:rPr>
          <w:i/>
          <w:iCs/>
        </w:rPr>
        <w:t>Annual Report 2023-2024</w:t>
      </w:r>
      <w:r w:rsidR="001D3CF6">
        <w:t xml:space="preserve"> (n </w:t>
      </w:r>
      <w:r w:rsidR="001D3CF6">
        <w:fldChar w:fldCharType="begin"/>
      </w:r>
      <w:r w:rsidR="001D3CF6">
        <w:instrText xml:space="preserve"> NOTEREF _Ref207714269 \h </w:instrText>
      </w:r>
      <w:r w:rsidR="000C3628">
        <w:instrText xml:space="preserve"> \* MERGEFORMAT </w:instrText>
      </w:r>
      <w:r w:rsidR="001D3CF6">
        <w:fldChar w:fldCharType="separate"/>
      </w:r>
      <w:r w:rsidR="007D732A">
        <w:t>13</w:t>
      </w:r>
      <w:r w:rsidR="001D3CF6">
        <w:fldChar w:fldCharType="end"/>
      </w:r>
      <w:r w:rsidR="001D3CF6">
        <w:t xml:space="preserve">) </w:t>
      </w:r>
      <w:r>
        <w:t>7.</w:t>
      </w:r>
    </w:p>
  </w:footnote>
  <w:footnote w:id="170">
    <w:p w14:paraId="59900AF4" w14:textId="09DC4086" w:rsidR="00C3124C" w:rsidRDefault="00C3124C" w:rsidP="000C3628">
      <w:pPr>
        <w:pStyle w:val="FootnoteText"/>
      </w:pPr>
      <w:r w:rsidRPr="00B26CC2">
        <w:rPr>
          <w:rStyle w:val="FootnoteReference"/>
        </w:rPr>
        <w:footnoteRef/>
      </w:r>
      <w:r w:rsidRPr="00B26CC2">
        <w:t xml:space="preserve"> </w:t>
      </w:r>
      <w:r w:rsidR="00CD60A4">
        <w:t>Victoria</w:t>
      </w:r>
      <w:r w:rsidR="006E22EF">
        <w:t>n</w:t>
      </w:r>
      <w:r w:rsidR="00CD60A4">
        <w:t xml:space="preserve"> </w:t>
      </w:r>
      <w:r w:rsidRPr="00B26CC2">
        <w:t xml:space="preserve">Department of Health, </w:t>
      </w:r>
      <w:r w:rsidRPr="00B26CC2">
        <w:rPr>
          <w:i/>
        </w:rPr>
        <w:t>Assisted Reproductive Treatment Reforms – Amendments to the Act and Regulations</w:t>
      </w:r>
      <w:r w:rsidR="00B26CC2" w:rsidRPr="00B26CC2">
        <w:rPr>
          <w:i/>
          <w:iCs/>
        </w:rPr>
        <w:t xml:space="preserve"> </w:t>
      </w:r>
      <w:r w:rsidRPr="00B26CC2">
        <w:t>(</w:t>
      </w:r>
      <w:r w:rsidR="007B56A6">
        <w:t xml:space="preserve">Guide, </w:t>
      </w:r>
      <w:r w:rsidRPr="00B26CC2">
        <w:t>December 2024).</w:t>
      </w:r>
    </w:p>
  </w:footnote>
  <w:footnote w:id="171">
    <w:p w14:paraId="06010D88" w14:textId="06EC23B1" w:rsidR="00C3124C" w:rsidRDefault="00C3124C" w:rsidP="000C3628">
      <w:pPr>
        <w:pStyle w:val="FootnoteText"/>
      </w:pPr>
      <w:r>
        <w:rPr>
          <w:rStyle w:val="FootnoteReference"/>
        </w:rPr>
        <w:footnoteRef/>
      </w:r>
      <w:r>
        <w:t xml:space="preserve"> Regulatory arbitrage refers to a legal planning technique used to avoid regulatory costs.</w:t>
      </w:r>
    </w:p>
  </w:footnote>
  <w:footnote w:id="172">
    <w:p w14:paraId="7170DA8B" w14:textId="4A262319" w:rsidR="00C3124C" w:rsidRPr="00A77D76" w:rsidRDefault="00C3124C" w:rsidP="000C3628">
      <w:pPr>
        <w:pStyle w:val="FootnoteText"/>
        <w:rPr>
          <w:szCs w:val="18"/>
          <w:lang w:val="en-US"/>
        </w:rPr>
      </w:pPr>
      <w:r>
        <w:rPr>
          <w:rStyle w:val="FootnoteReference"/>
        </w:rPr>
        <w:footnoteRef/>
      </w:r>
      <w:r>
        <w:t xml:space="preserve"> </w:t>
      </w:r>
      <w:r w:rsidRPr="00EB7437">
        <w:rPr>
          <w:szCs w:val="18"/>
        </w:rPr>
        <w:t xml:space="preserve">For example, the risk of consanguineous relationships is higher in smaller jurisdictions: Sonia Allan, </w:t>
      </w:r>
      <w:r w:rsidRPr="00EB7437">
        <w:rPr>
          <w:i/>
          <w:iCs/>
          <w:szCs w:val="18"/>
        </w:rPr>
        <w:t>The Review of the Western Australian Human Reproductive Technology Act 1991 and the Surrogacy Act 2008: Report Part 1</w:t>
      </w:r>
      <w:r w:rsidRPr="00EB7437">
        <w:rPr>
          <w:szCs w:val="18"/>
        </w:rPr>
        <w:t xml:space="preserve"> (Report, January 2019) 119–28</w:t>
      </w:r>
      <w:r w:rsidR="00145F50">
        <w:rPr>
          <w:szCs w:val="18"/>
        </w:rPr>
        <w:t>.</w:t>
      </w:r>
    </w:p>
  </w:footnote>
  <w:footnote w:id="173">
    <w:p w14:paraId="117CF2EC" w14:textId="4B0D6157" w:rsidR="00C3124C" w:rsidRPr="00A77D76" w:rsidRDefault="00C3124C" w:rsidP="000C3628">
      <w:pPr>
        <w:pStyle w:val="FootnoteText"/>
        <w:rPr>
          <w:lang w:val="en-US"/>
        </w:rPr>
      </w:pPr>
      <w:r>
        <w:rPr>
          <w:rStyle w:val="FootnoteReference"/>
        </w:rPr>
        <w:footnoteRef/>
      </w:r>
      <w:r>
        <w:t xml:space="preserve"> </w:t>
      </w:r>
      <w:r w:rsidR="00286794">
        <w:t xml:space="preserve">Gorton (n </w:t>
      </w:r>
      <w:r w:rsidR="00286794">
        <w:fldChar w:fldCharType="begin"/>
      </w:r>
      <w:r w:rsidR="00286794">
        <w:instrText xml:space="preserve"> NOTEREF _Ref207713890 \h </w:instrText>
      </w:r>
      <w:r w:rsidR="000C3628">
        <w:instrText xml:space="preserve"> \* MERGEFORMAT </w:instrText>
      </w:r>
      <w:r w:rsidR="00286794">
        <w:fldChar w:fldCharType="separate"/>
      </w:r>
      <w:r w:rsidR="007D732A">
        <w:t>12</w:t>
      </w:r>
      <w:r w:rsidR="00286794">
        <w:fldChar w:fldCharType="end"/>
      </w:r>
      <w:r w:rsidR="00286794">
        <w:t xml:space="preserve">) </w:t>
      </w:r>
      <w:r w:rsidRPr="00EB7437">
        <w:rPr>
          <w:szCs w:val="18"/>
        </w:rPr>
        <w:t>118</w:t>
      </w:r>
      <w:r>
        <w:rPr>
          <w:szCs w:val="18"/>
        </w:rPr>
        <w:t>.</w:t>
      </w:r>
    </w:p>
  </w:footnote>
  <w:footnote w:id="174">
    <w:p w14:paraId="46FDD6B1" w14:textId="4B8472BB" w:rsidR="00B92DBF" w:rsidRDefault="00B92DBF">
      <w:pPr>
        <w:pStyle w:val="FootnoteText"/>
      </w:pPr>
      <w:r>
        <w:rPr>
          <w:rStyle w:val="FootnoteReference"/>
        </w:rPr>
        <w:footnoteRef/>
      </w:r>
      <w:r>
        <w:t xml:space="preserve"> </w:t>
      </w:r>
      <w:r w:rsidR="00EE6F8E">
        <w:t xml:space="preserve">Grace Tobin and Kirsten Robb, ‘IVF </w:t>
      </w:r>
      <w:r w:rsidR="000312EC">
        <w:t>C</w:t>
      </w:r>
      <w:r w:rsidR="00EE6F8E">
        <w:t xml:space="preserve">linic Queensland Fertility Group </w:t>
      </w:r>
      <w:r w:rsidR="000312EC">
        <w:t>S</w:t>
      </w:r>
      <w:r w:rsidR="00EE6F8E">
        <w:t xml:space="preserve">ilenced </w:t>
      </w:r>
      <w:r w:rsidR="000312EC">
        <w:t>W</w:t>
      </w:r>
      <w:r w:rsidR="00EE6F8E">
        <w:t xml:space="preserve">hite </w:t>
      </w:r>
      <w:r w:rsidR="000312EC">
        <w:t>C</w:t>
      </w:r>
      <w:r w:rsidR="00EE6F8E">
        <w:t>ouple</w:t>
      </w:r>
      <w:r w:rsidR="000312EC">
        <w:t xml:space="preserve"> W</w:t>
      </w:r>
      <w:r w:rsidR="00EE6F8E">
        <w:t xml:space="preserve">ho </w:t>
      </w:r>
      <w:r w:rsidR="000312EC">
        <w:t>G</w:t>
      </w:r>
      <w:r w:rsidR="00EE6F8E">
        <w:t xml:space="preserve">ave </w:t>
      </w:r>
      <w:r w:rsidR="000312EC">
        <w:t>B</w:t>
      </w:r>
      <w:r w:rsidR="00EE6F8E">
        <w:t xml:space="preserve">irth </w:t>
      </w:r>
      <w:proofErr w:type="gramStart"/>
      <w:r w:rsidR="000312EC">
        <w:t>T</w:t>
      </w:r>
      <w:r w:rsidR="00EE6F8E">
        <w:t>o</w:t>
      </w:r>
      <w:proofErr w:type="gramEnd"/>
      <w:r w:rsidR="00EE6F8E">
        <w:t xml:space="preserve"> </w:t>
      </w:r>
      <w:r w:rsidR="000312EC">
        <w:t>B</w:t>
      </w:r>
      <w:r w:rsidR="00EE6F8E">
        <w:t xml:space="preserve">iracial </w:t>
      </w:r>
      <w:r w:rsidR="000312EC">
        <w:t>B</w:t>
      </w:r>
      <w:r w:rsidR="00EE6F8E">
        <w:t xml:space="preserve">aby </w:t>
      </w:r>
      <w:proofErr w:type="gramStart"/>
      <w:r w:rsidR="004F17FE">
        <w:t>I</w:t>
      </w:r>
      <w:r w:rsidR="00EE6F8E">
        <w:t>n</w:t>
      </w:r>
      <w:proofErr w:type="gramEnd"/>
      <w:r w:rsidR="00EE6F8E">
        <w:t xml:space="preserve"> </w:t>
      </w:r>
      <w:r w:rsidR="004F17FE">
        <w:t>S</w:t>
      </w:r>
      <w:r w:rsidR="00EE6F8E">
        <w:t xml:space="preserve">perm </w:t>
      </w:r>
      <w:r w:rsidR="004F17FE">
        <w:t>M</w:t>
      </w:r>
      <w:r w:rsidR="00EE6F8E">
        <w:t>ix-up’</w:t>
      </w:r>
      <w:r w:rsidR="00433D85">
        <w:t xml:space="preserve">, </w:t>
      </w:r>
      <w:r w:rsidR="00433D85">
        <w:rPr>
          <w:i/>
          <w:iCs/>
        </w:rPr>
        <w:t>ABC</w:t>
      </w:r>
      <w:r w:rsidR="004C226E">
        <w:rPr>
          <w:i/>
        </w:rPr>
        <w:t xml:space="preserve"> </w:t>
      </w:r>
      <w:r w:rsidR="004F17FE">
        <w:rPr>
          <w:i/>
          <w:iCs/>
        </w:rPr>
        <w:t>News</w:t>
      </w:r>
      <w:r w:rsidR="004C226E">
        <w:t xml:space="preserve"> (</w:t>
      </w:r>
      <w:r w:rsidR="00433D85">
        <w:t xml:space="preserve">online, </w:t>
      </w:r>
      <w:r w:rsidR="004F17FE">
        <w:t>1</w:t>
      </w:r>
      <w:r w:rsidR="00433D85">
        <w:t xml:space="preserve"> September 2025) &lt;</w:t>
      </w:r>
      <w:r w:rsidR="00E8386F" w:rsidRPr="00E8386F">
        <w:t>https://www.abc.net.au/news/2025-09-01/white-couple-birthed-biracial-baby-in-ivf-clinic-sperm-mix-up/105716654</w:t>
      </w:r>
      <w:r w:rsidR="00E8386F">
        <w:t>&gt;.</w:t>
      </w:r>
    </w:p>
  </w:footnote>
  <w:footnote w:id="175">
    <w:p w14:paraId="4BF6E975" w14:textId="77777777" w:rsidR="00C3124C" w:rsidRDefault="00C3124C" w:rsidP="000C3628">
      <w:pPr>
        <w:pStyle w:val="FootnoteText"/>
      </w:pPr>
      <w:r>
        <w:rPr>
          <w:rStyle w:val="FootnoteReference"/>
        </w:rPr>
        <w:footnoteRef/>
      </w:r>
      <w:r>
        <w:t xml:space="preserve"> </w:t>
      </w:r>
      <w:r w:rsidRPr="00245A8B">
        <w:t>Fertility Society of Australia and New Zealand,</w:t>
      </w:r>
      <w:r>
        <w:rPr>
          <w:i/>
          <w:iCs/>
        </w:rPr>
        <w:t xml:space="preserve"> RTAC </w:t>
      </w:r>
      <w:r w:rsidRPr="00425F66">
        <w:t>(</w:t>
      </w:r>
      <w:r>
        <w:t>Web Page, 2025) &lt;</w:t>
      </w:r>
      <w:r w:rsidRPr="00F43B04">
        <w:t>https://www.fertilitysociety.com.au/art-regulation/rtac/</w:t>
      </w:r>
      <w:r>
        <w:t>&gt;.</w:t>
      </w:r>
    </w:p>
  </w:footnote>
  <w:footnote w:id="176">
    <w:p w14:paraId="5A670E1F" w14:textId="781C09AB" w:rsidR="00C3124C" w:rsidRDefault="00C3124C" w:rsidP="000C3628">
      <w:pPr>
        <w:pStyle w:val="FootnoteText"/>
      </w:pPr>
      <w:r>
        <w:rPr>
          <w:rStyle w:val="FootnoteReference"/>
        </w:rPr>
        <w:footnoteRef/>
      </w:r>
      <w:r>
        <w:t xml:space="preserve"> </w:t>
      </w:r>
      <w:r w:rsidR="00224F09">
        <w:t>Fertility Society of Australia and New Zealand</w:t>
      </w:r>
      <w:r w:rsidR="006374B7">
        <w:t xml:space="preserve">, </w:t>
      </w:r>
      <w:r w:rsidR="006374B7" w:rsidRPr="006374B7">
        <w:rPr>
          <w:i/>
          <w:iCs/>
        </w:rPr>
        <w:t>RTAC Code of Practice</w:t>
      </w:r>
      <w:r w:rsidR="00224F09">
        <w:t xml:space="preserve"> (n </w:t>
      </w:r>
      <w:r w:rsidR="00224F09">
        <w:fldChar w:fldCharType="begin"/>
      </w:r>
      <w:r w:rsidR="00224F09">
        <w:instrText xml:space="preserve"> NOTEREF _Ref207714715 \h </w:instrText>
      </w:r>
      <w:r w:rsidR="000C3628">
        <w:instrText xml:space="preserve"> \* MERGEFORMAT </w:instrText>
      </w:r>
      <w:r w:rsidR="00224F09">
        <w:fldChar w:fldCharType="separate"/>
      </w:r>
      <w:r w:rsidR="007D732A">
        <w:t>38</w:t>
      </w:r>
      <w:r w:rsidR="00224F09">
        <w:fldChar w:fldCharType="end"/>
      </w:r>
      <w:r w:rsidR="00224F09">
        <w:t xml:space="preserve">) </w:t>
      </w:r>
      <w:r w:rsidRPr="00F62757">
        <w:t>s</w:t>
      </w:r>
      <w:r>
        <w:t xml:space="preserve"> 2.6.</w:t>
      </w:r>
    </w:p>
  </w:footnote>
  <w:footnote w:id="177">
    <w:p w14:paraId="3E95B0E6" w14:textId="6C52A9D8" w:rsidR="00C3124C" w:rsidRDefault="00C3124C" w:rsidP="000C3628">
      <w:pPr>
        <w:pStyle w:val="FootnoteText"/>
      </w:pPr>
      <w:r>
        <w:rPr>
          <w:rStyle w:val="FootnoteReference"/>
        </w:rPr>
        <w:footnoteRef/>
      </w:r>
      <w:r>
        <w:t xml:space="preserve"> </w:t>
      </w:r>
      <w:r w:rsidR="00224F09">
        <w:t>Fertility Society of Australia and New Zealand</w:t>
      </w:r>
      <w:r w:rsidR="006374B7">
        <w:t xml:space="preserve">, </w:t>
      </w:r>
      <w:r w:rsidR="006374B7" w:rsidRPr="006374B7">
        <w:rPr>
          <w:i/>
          <w:iCs/>
        </w:rPr>
        <w:t>RTAC Code of Practice</w:t>
      </w:r>
      <w:r w:rsidR="00224F09">
        <w:t xml:space="preserve"> (n </w:t>
      </w:r>
      <w:r w:rsidR="00224F09">
        <w:fldChar w:fldCharType="begin"/>
      </w:r>
      <w:r w:rsidR="00224F09">
        <w:instrText xml:space="preserve"> NOTEREF _Ref207714715 \h </w:instrText>
      </w:r>
      <w:r w:rsidR="000C3628">
        <w:instrText xml:space="preserve"> \* MERGEFORMAT </w:instrText>
      </w:r>
      <w:r w:rsidR="00224F09">
        <w:fldChar w:fldCharType="separate"/>
      </w:r>
      <w:r w:rsidR="007D732A">
        <w:t>38</w:t>
      </w:r>
      <w:r w:rsidR="00224F09">
        <w:fldChar w:fldCharType="end"/>
      </w:r>
      <w:r w:rsidR="00224F09">
        <w:t xml:space="preserve">) </w:t>
      </w:r>
      <w:r w:rsidRPr="00F62757">
        <w:t>s</w:t>
      </w:r>
      <w:r>
        <w:t xml:space="preserve"> 3.2.1.</w:t>
      </w:r>
    </w:p>
  </w:footnote>
  <w:footnote w:id="178">
    <w:p w14:paraId="0FB04824" w14:textId="5F3EE64E" w:rsidR="00C3124C" w:rsidRDefault="00C3124C" w:rsidP="000C3628">
      <w:pPr>
        <w:pStyle w:val="FootnoteText"/>
      </w:pPr>
      <w:r>
        <w:rPr>
          <w:rStyle w:val="FootnoteReference"/>
        </w:rPr>
        <w:footnoteRef/>
      </w:r>
      <w:r>
        <w:t xml:space="preserve"> </w:t>
      </w:r>
      <w:r w:rsidR="00224F09">
        <w:t>Fertility Society of Australia and New Zealand</w:t>
      </w:r>
      <w:r w:rsidR="006374B7">
        <w:t xml:space="preserve">, </w:t>
      </w:r>
      <w:r w:rsidR="006374B7" w:rsidRPr="006374B7">
        <w:rPr>
          <w:i/>
          <w:iCs/>
        </w:rPr>
        <w:t>RTAC Code of Practice</w:t>
      </w:r>
      <w:r w:rsidR="00224F09">
        <w:t xml:space="preserve"> (n </w:t>
      </w:r>
      <w:r w:rsidR="00224F09">
        <w:fldChar w:fldCharType="begin"/>
      </w:r>
      <w:r w:rsidR="00224F09">
        <w:instrText xml:space="preserve"> NOTEREF _Ref207714715 \h </w:instrText>
      </w:r>
      <w:r w:rsidR="000C3628">
        <w:instrText xml:space="preserve"> \* MERGEFORMAT </w:instrText>
      </w:r>
      <w:r w:rsidR="00224F09">
        <w:fldChar w:fldCharType="separate"/>
      </w:r>
      <w:r w:rsidR="007D732A">
        <w:t>38</w:t>
      </w:r>
      <w:r w:rsidR="00224F09">
        <w:fldChar w:fldCharType="end"/>
      </w:r>
      <w:r w:rsidR="00224F09">
        <w:t xml:space="preserve">) </w:t>
      </w:r>
      <w:r>
        <w:t>s 2.6.</w:t>
      </w:r>
    </w:p>
  </w:footnote>
  <w:footnote w:id="179">
    <w:p w14:paraId="78CC45B9" w14:textId="6AE959A9" w:rsidR="00C3124C" w:rsidRPr="00EB7437" w:rsidRDefault="00C3124C" w:rsidP="000C3628">
      <w:pPr>
        <w:pStyle w:val="FootnoteText"/>
        <w:rPr>
          <w:szCs w:val="18"/>
        </w:rPr>
      </w:pPr>
      <w:r w:rsidRPr="00EB7437">
        <w:rPr>
          <w:rStyle w:val="FootnoteReference"/>
          <w:szCs w:val="18"/>
        </w:rPr>
        <w:footnoteRef/>
      </w:r>
      <w:r w:rsidRPr="00EB7437">
        <w:rPr>
          <w:szCs w:val="18"/>
        </w:rPr>
        <w:t xml:space="preserve"> </w:t>
      </w:r>
      <w:r w:rsidR="003F2269">
        <w:t>Office of the Health Ombudsman (Qld) n (</w:t>
      </w:r>
      <w:r w:rsidR="003F2269">
        <w:fldChar w:fldCharType="begin"/>
      </w:r>
      <w:r w:rsidR="003F2269">
        <w:instrText xml:space="preserve"> NOTEREF _Ref207713890 \h </w:instrText>
      </w:r>
      <w:r w:rsidR="000C3628">
        <w:instrText xml:space="preserve"> \* MERGEFORMAT </w:instrText>
      </w:r>
      <w:r w:rsidR="003F2269">
        <w:fldChar w:fldCharType="separate"/>
      </w:r>
      <w:r w:rsidR="007D732A">
        <w:t>12</w:t>
      </w:r>
      <w:r w:rsidR="003F2269">
        <w:fldChar w:fldCharType="end"/>
      </w:r>
      <w:r w:rsidR="003F2269">
        <w:t xml:space="preserve">) </w:t>
      </w:r>
      <w:r w:rsidRPr="00C653B1">
        <w:rPr>
          <w:szCs w:val="18"/>
        </w:rPr>
        <w:t>98</w:t>
      </w:r>
      <w:r>
        <w:rPr>
          <w:szCs w:val="18"/>
        </w:rPr>
        <w:t>.</w:t>
      </w:r>
    </w:p>
  </w:footnote>
  <w:footnote w:id="180">
    <w:p w14:paraId="4F9BB055" w14:textId="47ACA2FC" w:rsidR="00C3124C" w:rsidRPr="00EB7437" w:rsidRDefault="00C3124C" w:rsidP="000C3628">
      <w:pPr>
        <w:pStyle w:val="FootnoteText"/>
        <w:rPr>
          <w:szCs w:val="18"/>
        </w:rPr>
      </w:pPr>
      <w:r w:rsidRPr="00EB7437">
        <w:rPr>
          <w:rStyle w:val="FootnoteReference"/>
          <w:szCs w:val="18"/>
        </w:rPr>
        <w:footnoteRef/>
      </w:r>
      <w:r w:rsidRPr="00EB7437">
        <w:rPr>
          <w:szCs w:val="18"/>
        </w:rPr>
        <w:t xml:space="preserve"> </w:t>
      </w:r>
      <w:r w:rsidR="00286794">
        <w:t xml:space="preserve">Gorton (n </w:t>
      </w:r>
      <w:r w:rsidR="00286794">
        <w:fldChar w:fldCharType="begin"/>
      </w:r>
      <w:r w:rsidR="00286794">
        <w:instrText xml:space="preserve"> NOTEREF _Ref207713890 \h </w:instrText>
      </w:r>
      <w:r w:rsidR="000C3628">
        <w:instrText xml:space="preserve"> \* MERGEFORMAT </w:instrText>
      </w:r>
      <w:r w:rsidR="00286794">
        <w:fldChar w:fldCharType="separate"/>
      </w:r>
      <w:r w:rsidR="007D732A">
        <w:t>12</w:t>
      </w:r>
      <w:r w:rsidR="00286794">
        <w:fldChar w:fldCharType="end"/>
      </w:r>
      <w:r w:rsidR="00286794">
        <w:t xml:space="preserve">) </w:t>
      </w:r>
      <w:r w:rsidRPr="0006654B">
        <w:rPr>
          <w:szCs w:val="18"/>
        </w:rPr>
        <w:t>xi</w:t>
      </w:r>
      <w:r>
        <w:rPr>
          <w:szCs w:val="18"/>
        </w:rPr>
        <w:t xml:space="preserve">. </w:t>
      </w:r>
    </w:p>
  </w:footnote>
  <w:footnote w:id="181">
    <w:p w14:paraId="22C89CE6" w14:textId="1A7E6548" w:rsidR="00C3124C" w:rsidRPr="00EB7437" w:rsidRDefault="00C3124C" w:rsidP="000C3628">
      <w:pPr>
        <w:pStyle w:val="FootnoteText"/>
        <w:rPr>
          <w:szCs w:val="18"/>
        </w:rPr>
      </w:pPr>
      <w:r w:rsidRPr="00EB7437">
        <w:rPr>
          <w:rStyle w:val="FootnoteReference"/>
          <w:szCs w:val="18"/>
        </w:rPr>
        <w:footnoteRef/>
      </w:r>
      <w:r w:rsidRPr="00EB7437">
        <w:rPr>
          <w:szCs w:val="18"/>
        </w:rPr>
        <w:t xml:space="preserve"> </w:t>
      </w:r>
      <w:r>
        <w:rPr>
          <w:szCs w:val="18"/>
        </w:rPr>
        <w:t xml:space="preserve">Health Complaints Commissioner (Vic), </w:t>
      </w:r>
      <w:r w:rsidR="00DF7095" w:rsidRPr="00252344">
        <w:rPr>
          <w:i/>
          <w:iCs/>
        </w:rPr>
        <w:t>Inquiry into Victorian ART sector</w:t>
      </w:r>
      <w:r w:rsidR="00DF7095" w:rsidRPr="0006654B">
        <w:rPr>
          <w:szCs w:val="18"/>
        </w:rPr>
        <w:t xml:space="preserve"> </w:t>
      </w:r>
      <w:r w:rsidR="00E906E5">
        <w:rPr>
          <w:szCs w:val="18"/>
        </w:rPr>
        <w:t xml:space="preserve">(n </w:t>
      </w:r>
      <w:r w:rsidR="001E398C">
        <w:rPr>
          <w:szCs w:val="18"/>
        </w:rPr>
        <w:fldChar w:fldCharType="begin"/>
      </w:r>
      <w:r w:rsidR="001E398C">
        <w:rPr>
          <w:szCs w:val="18"/>
        </w:rPr>
        <w:instrText xml:space="preserve"> NOTEREF _Ref207720512 \h </w:instrText>
      </w:r>
      <w:r w:rsidR="000C3628">
        <w:rPr>
          <w:szCs w:val="18"/>
        </w:rPr>
        <w:instrText xml:space="preserve"> \* MERGEFORMAT </w:instrText>
      </w:r>
      <w:r w:rsidR="001E398C">
        <w:rPr>
          <w:szCs w:val="18"/>
        </w:rPr>
      </w:r>
      <w:r w:rsidR="001E398C">
        <w:rPr>
          <w:szCs w:val="18"/>
        </w:rPr>
        <w:fldChar w:fldCharType="separate"/>
      </w:r>
      <w:r w:rsidR="007D732A">
        <w:rPr>
          <w:szCs w:val="18"/>
        </w:rPr>
        <w:t>160</w:t>
      </w:r>
      <w:r w:rsidR="001E398C">
        <w:rPr>
          <w:szCs w:val="18"/>
        </w:rPr>
        <w:fldChar w:fldCharType="end"/>
      </w:r>
      <w:r w:rsidR="001E398C">
        <w:rPr>
          <w:szCs w:val="18"/>
        </w:rPr>
        <w:t xml:space="preserve">) </w:t>
      </w:r>
      <w:r w:rsidRPr="0006654B">
        <w:rPr>
          <w:szCs w:val="18"/>
        </w:rPr>
        <w:t>71.</w:t>
      </w:r>
      <w:r>
        <w:rPr>
          <w:szCs w:val="18"/>
        </w:rPr>
        <w:t xml:space="preserve"> </w:t>
      </w:r>
    </w:p>
  </w:footnote>
  <w:footnote w:id="182">
    <w:p w14:paraId="0537EC3D" w14:textId="6B82068F" w:rsidR="00C3124C" w:rsidRDefault="00C3124C" w:rsidP="000C3628">
      <w:pPr>
        <w:pStyle w:val="FootnoteText"/>
      </w:pPr>
      <w:r>
        <w:rPr>
          <w:rStyle w:val="FootnoteReference"/>
        </w:rPr>
        <w:footnoteRef/>
      </w:r>
      <w:r>
        <w:t xml:space="preserve"> </w:t>
      </w:r>
      <w:r w:rsidR="00286794">
        <w:t xml:space="preserve">Gorton (n </w:t>
      </w:r>
      <w:r w:rsidR="00286794">
        <w:fldChar w:fldCharType="begin"/>
      </w:r>
      <w:r w:rsidR="00286794">
        <w:instrText xml:space="preserve"> NOTEREF _Ref207713890 \h </w:instrText>
      </w:r>
      <w:r w:rsidR="000C3628">
        <w:instrText xml:space="preserve"> \* MERGEFORMAT </w:instrText>
      </w:r>
      <w:r w:rsidR="00286794">
        <w:fldChar w:fldCharType="separate"/>
      </w:r>
      <w:r w:rsidR="007D732A">
        <w:t>12</w:t>
      </w:r>
      <w:r w:rsidR="00286794">
        <w:fldChar w:fldCharType="end"/>
      </w:r>
      <w:r w:rsidR="00286794">
        <w:t xml:space="preserve">) </w:t>
      </w:r>
      <w:r>
        <w:t>22.</w:t>
      </w:r>
    </w:p>
  </w:footnote>
  <w:footnote w:id="183">
    <w:p w14:paraId="4D6E9AFA" w14:textId="7342635D" w:rsidR="00C3124C" w:rsidRDefault="00C3124C" w:rsidP="000C3628">
      <w:pPr>
        <w:pStyle w:val="FootnoteText"/>
      </w:pPr>
      <w:r>
        <w:rPr>
          <w:rStyle w:val="FootnoteReference"/>
        </w:rPr>
        <w:footnoteRef/>
      </w:r>
      <w:r>
        <w:t xml:space="preserve"> </w:t>
      </w:r>
      <w:r w:rsidR="00286794">
        <w:t xml:space="preserve">Gorton (n </w:t>
      </w:r>
      <w:r w:rsidR="00286794">
        <w:fldChar w:fldCharType="begin"/>
      </w:r>
      <w:r w:rsidR="00286794">
        <w:instrText xml:space="preserve"> NOTEREF _Ref207713890 \h </w:instrText>
      </w:r>
      <w:r w:rsidR="000C3628">
        <w:instrText xml:space="preserve"> \* MERGEFORMAT </w:instrText>
      </w:r>
      <w:r w:rsidR="00286794">
        <w:fldChar w:fldCharType="separate"/>
      </w:r>
      <w:r w:rsidR="007D732A">
        <w:t>12</w:t>
      </w:r>
      <w:r w:rsidR="00286794">
        <w:fldChar w:fldCharType="end"/>
      </w:r>
      <w:r w:rsidR="00286794">
        <w:t xml:space="preserve">) </w:t>
      </w:r>
      <w:r>
        <w:t>33.</w:t>
      </w:r>
    </w:p>
  </w:footnote>
  <w:footnote w:id="184">
    <w:p w14:paraId="750B5CE6" w14:textId="4EE6751C" w:rsidR="00B919CD" w:rsidRPr="00EB7437" w:rsidRDefault="00B919CD" w:rsidP="000C3628">
      <w:pPr>
        <w:pStyle w:val="FootnoteText"/>
        <w:rPr>
          <w:szCs w:val="18"/>
        </w:rPr>
      </w:pPr>
      <w:r w:rsidRPr="003C491D">
        <w:rPr>
          <w:rStyle w:val="FootnoteReference"/>
          <w:szCs w:val="18"/>
        </w:rPr>
        <w:footnoteRef/>
      </w:r>
      <w:r w:rsidRPr="003C491D">
        <w:rPr>
          <w:szCs w:val="18"/>
        </w:rPr>
        <w:t xml:space="preserve"> </w:t>
      </w:r>
      <w:r w:rsidR="006F687F">
        <w:t>Office of the Health Ombudsman (Qld) n (</w:t>
      </w:r>
      <w:r w:rsidR="006F687F">
        <w:fldChar w:fldCharType="begin"/>
      </w:r>
      <w:r w:rsidR="006F687F">
        <w:instrText xml:space="preserve"> NOTEREF _Ref207713890 \h </w:instrText>
      </w:r>
      <w:r w:rsidR="000C3628">
        <w:instrText xml:space="preserve"> \* MERGEFORMAT </w:instrText>
      </w:r>
      <w:r w:rsidR="006F687F">
        <w:fldChar w:fldCharType="separate"/>
      </w:r>
      <w:r w:rsidR="007D732A">
        <w:t>12</w:t>
      </w:r>
      <w:r w:rsidR="006F687F">
        <w:fldChar w:fldCharType="end"/>
      </w:r>
      <w:r w:rsidR="006F687F">
        <w:t xml:space="preserve">) </w:t>
      </w:r>
      <w:r w:rsidRPr="003C491D">
        <w:rPr>
          <w:szCs w:val="18"/>
        </w:rPr>
        <w:t>10.</w:t>
      </w:r>
    </w:p>
  </w:footnote>
  <w:footnote w:id="185">
    <w:p w14:paraId="4FF7CDE1" w14:textId="5BDD8C4D" w:rsidR="00B919CD" w:rsidRPr="00EB7437" w:rsidRDefault="00B919CD" w:rsidP="000C3628">
      <w:pPr>
        <w:pStyle w:val="FootnoteText"/>
        <w:rPr>
          <w:szCs w:val="18"/>
        </w:rPr>
      </w:pPr>
      <w:r w:rsidRPr="00EB7437">
        <w:rPr>
          <w:rStyle w:val="FootnoteReference"/>
          <w:szCs w:val="18"/>
        </w:rPr>
        <w:footnoteRef/>
      </w:r>
      <w:r w:rsidRPr="00EB7437">
        <w:rPr>
          <w:szCs w:val="18"/>
        </w:rPr>
        <w:t xml:space="preserve"> </w:t>
      </w:r>
      <w:r w:rsidR="00F0381F">
        <w:rPr>
          <w:szCs w:val="18"/>
        </w:rPr>
        <w:t xml:space="preserve">Health Complaints Commissioner (Vic), </w:t>
      </w:r>
      <w:r w:rsidR="00F0381F" w:rsidRPr="00252344">
        <w:rPr>
          <w:i/>
          <w:iCs/>
        </w:rPr>
        <w:t>Inquiry into Victorian ART sector</w:t>
      </w:r>
      <w:r w:rsidR="00F0381F" w:rsidRPr="0006654B">
        <w:rPr>
          <w:szCs w:val="18"/>
        </w:rPr>
        <w:t xml:space="preserve"> </w:t>
      </w:r>
      <w:r w:rsidR="00F0381F">
        <w:rPr>
          <w:szCs w:val="18"/>
        </w:rPr>
        <w:t xml:space="preserve">(n </w:t>
      </w:r>
      <w:r w:rsidR="00F0381F">
        <w:rPr>
          <w:szCs w:val="18"/>
        </w:rPr>
        <w:fldChar w:fldCharType="begin"/>
      </w:r>
      <w:r w:rsidR="00F0381F">
        <w:rPr>
          <w:szCs w:val="18"/>
        </w:rPr>
        <w:instrText xml:space="preserve"> NOTEREF _Ref207720512 \h </w:instrText>
      </w:r>
      <w:r w:rsidR="000C3628">
        <w:rPr>
          <w:szCs w:val="18"/>
        </w:rPr>
        <w:instrText xml:space="preserve"> \* MERGEFORMAT </w:instrText>
      </w:r>
      <w:r w:rsidR="00F0381F">
        <w:rPr>
          <w:szCs w:val="18"/>
        </w:rPr>
      </w:r>
      <w:r w:rsidR="00F0381F">
        <w:rPr>
          <w:szCs w:val="18"/>
        </w:rPr>
        <w:fldChar w:fldCharType="separate"/>
      </w:r>
      <w:r w:rsidR="007D732A">
        <w:rPr>
          <w:szCs w:val="18"/>
        </w:rPr>
        <w:t>160</w:t>
      </w:r>
      <w:r w:rsidR="00F0381F">
        <w:rPr>
          <w:szCs w:val="18"/>
        </w:rPr>
        <w:fldChar w:fldCharType="end"/>
      </w:r>
      <w:r w:rsidR="00F0381F">
        <w:rPr>
          <w:szCs w:val="18"/>
        </w:rPr>
        <w:t xml:space="preserve">) </w:t>
      </w:r>
      <w:r w:rsidRPr="00493D4C">
        <w:rPr>
          <w:szCs w:val="18"/>
        </w:rPr>
        <w:t>10.</w:t>
      </w:r>
    </w:p>
  </w:footnote>
  <w:footnote w:id="186">
    <w:p w14:paraId="70A200FC" w14:textId="4BCB4D5B" w:rsidR="00B919CD" w:rsidRPr="00EB7437" w:rsidRDefault="00B919CD" w:rsidP="000C3628">
      <w:pPr>
        <w:pStyle w:val="FootnoteText"/>
        <w:rPr>
          <w:szCs w:val="18"/>
        </w:rPr>
      </w:pPr>
      <w:r w:rsidRPr="00EB7437">
        <w:rPr>
          <w:rStyle w:val="FootnoteReference"/>
          <w:szCs w:val="18"/>
        </w:rPr>
        <w:footnoteRef/>
      </w:r>
      <w:r w:rsidRPr="00EB7437">
        <w:rPr>
          <w:szCs w:val="18"/>
        </w:rPr>
        <w:t xml:space="preserve"> </w:t>
      </w:r>
      <w:r w:rsidR="00F0381F">
        <w:rPr>
          <w:szCs w:val="18"/>
        </w:rPr>
        <w:t xml:space="preserve">Health Complaints Commissioner (Vic), </w:t>
      </w:r>
      <w:r w:rsidR="00F0381F" w:rsidRPr="00493D4C">
        <w:rPr>
          <w:i/>
          <w:szCs w:val="18"/>
        </w:rPr>
        <w:t xml:space="preserve">Inquiry into </w:t>
      </w:r>
      <w:r w:rsidR="00F0381F" w:rsidRPr="00252344">
        <w:rPr>
          <w:i/>
          <w:iCs/>
        </w:rPr>
        <w:t>Victorian ART sector</w:t>
      </w:r>
      <w:r w:rsidR="00F0381F" w:rsidRPr="0006654B">
        <w:rPr>
          <w:szCs w:val="18"/>
        </w:rPr>
        <w:t xml:space="preserve"> </w:t>
      </w:r>
      <w:r w:rsidR="00F0381F">
        <w:rPr>
          <w:szCs w:val="18"/>
        </w:rPr>
        <w:t xml:space="preserve">(n </w:t>
      </w:r>
      <w:r w:rsidR="00F0381F">
        <w:rPr>
          <w:szCs w:val="18"/>
        </w:rPr>
        <w:fldChar w:fldCharType="begin"/>
      </w:r>
      <w:r w:rsidR="00F0381F">
        <w:rPr>
          <w:szCs w:val="18"/>
        </w:rPr>
        <w:instrText xml:space="preserve"> NOTEREF _Ref207720512 \h </w:instrText>
      </w:r>
      <w:r w:rsidR="000C3628">
        <w:rPr>
          <w:szCs w:val="18"/>
        </w:rPr>
        <w:instrText xml:space="preserve"> \* MERGEFORMAT </w:instrText>
      </w:r>
      <w:r w:rsidR="00F0381F">
        <w:rPr>
          <w:szCs w:val="18"/>
        </w:rPr>
      </w:r>
      <w:r w:rsidR="00F0381F">
        <w:rPr>
          <w:szCs w:val="18"/>
        </w:rPr>
        <w:fldChar w:fldCharType="separate"/>
      </w:r>
      <w:r w:rsidR="007D732A">
        <w:rPr>
          <w:szCs w:val="18"/>
        </w:rPr>
        <w:t>160</w:t>
      </w:r>
      <w:r w:rsidR="00F0381F">
        <w:rPr>
          <w:szCs w:val="18"/>
        </w:rPr>
        <w:fldChar w:fldCharType="end"/>
      </w:r>
      <w:r w:rsidR="00F0381F">
        <w:rPr>
          <w:szCs w:val="18"/>
        </w:rPr>
        <w:t xml:space="preserve">) </w:t>
      </w:r>
      <w:r w:rsidR="002E566C" w:rsidRPr="00493D4C">
        <w:rPr>
          <w:szCs w:val="18"/>
        </w:rPr>
        <w:t>45</w:t>
      </w:r>
      <w:r w:rsidR="002E566C">
        <w:rPr>
          <w:szCs w:val="18"/>
        </w:rPr>
        <w:t>;</w:t>
      </w:r>
      <w:r w:rsidRPr="00EB7437">
        <w:rPr>
          <w:szCs w:val="18"/>
        </w:rPr>
        <w:t xml:space="preserve"> </w:t>
      </w:r>
      <w:r w:rsidR="00286794">
        <w:t xml:space="preserve">Gorton (n </w:t>
      </w:r>
      <w:r w:rsidR="00286794">
        <w:fldChar w:fldCharType="begin"/>
      </w:r>
      <w:r w:rsidR="00286794">
        <w:instrText xml:space="preserve"> NOTEREF _Ref207713890 \h </w:instrText>
      </w:r>
      <w:r w:rsidR="000C3628">
        <w:instrText xml:space="preserve"> \* MERGEFORMAT </w:instrText>
      </w:r>
      <w:r w:rsidR="00286794">
        <w:fldChar w:fldCharType="separate"/>
      </w:r>
      <w:r w:rsidR="007D732A">
        <w:t>12</w:t>
      </w:r>
      <w:r w:rsidR="00286794">
        <w:fldChar w:fldCharType="end"/>
      </w:r>
      <w:r w:rsidR="00286794">
        <w:t>)</w:t>
      </w:r>
      <w:r w:rsidR="00286794" w:rsidRPr="00EB7437">
        <w:rPr>
          <w:szCs w:val="18"/>
        </w:rPr>
        <w:t xml:space="preserve"> </w:t>
      </w:r>
      <w:r w:rsidRPr="00EB7437">
        <w:rPr>
          <w:szCs w:val="18"/>
        </w:rPr>
        <w:t>39</w:t>
      </w:r>
      <w:r>
        <w:rPr>
          <w:szCs w:val="18"/>
        </w:rPr>
        <w:t>.</w:t>
      </w:r>
    </w:p>
  </w:footnote>
  <w:footnote w:id="187">
    <w:p w14:paraId="0C152D3A" w14:textId="7F817851" w:rsidR="00B919CD" w:rsidRPr="003373F2" w:rsidRDefault="00B919CD" w:rsidP="000C3628">
      <w:pPr>
        <w:pStyle w:val="FootnoteText"/>
        <w:rPr>
          <w:szCs w:val="18"/>
        </w:rPr>
      </w:pPr>
      <w:r w:rsidRPr="00CB0A9D">
        <w:rPr>
          <w:rStyle w:val="FootnoteReference"/>
          <w:szCs w:val="18"/>
        </w:rPr>
        <w:footnoteRef/>
      </w:r>
      <w:r w:rsidRPr="00CB0A9D">
        <w:rPr>
          <w:szCs w:val="18"/>
        </w:rPr>
        <w:t xml:space="preserve"> </w:t>
      </w:r>
      <w:r w:rsidR="006F687F" w:rsidRPr="00CB0A9D">
        <w:rPr>
          <w:szCs w:val="18"/>
        </w:rPr>
        <w:t>Office of the Health Ombudsman (Qld</w:t>
      </w:r>
      <w:r w:rsidR="006F687F">
        <w:t>) n (</w:t>
      </w:r>
      <w:r w:rsidR="006F687F">
        <w:fldChar w:fldCharType="begin"/>
      </w:r>
      <w:r w:rsidR="006F687F">
        <w:instrText xml:space="preserve"> NOTEREF _Ref207713890 \h </w:instrText>
      </w:r>
      <w:r w:rsidR="000C3628">
        <w:instrText xml:space="preserve"> \* MERGEFORMAT </w:instrText>
      </w:r>
      <w:r w:rsidR="006F687F">
        <w:fldChar w:fldCharType="separate"/>
      </w:r>
      <w:r w:rsidR="007D732A">
        <w:t>12</w:t>
      </w:r>
      <w:r w:rsidR="006F687F">
        <w:fldChar w:fldCharType="end"/>
      </w:r>
      <w:r w:rsidR="006F687F">
        <w:t>)</w:t>
      </w:r>
      <w:r w:rsidR="006F687F" w:rsidRPr="00CB0A9D">
        <w:rPr>
          <w:szCs w:val="18"/>
        </w:rPr>
        <w:t xml:space="preserve"> </w:t>
      </w:r>
      <w:r w:rsidRPr="00CB0A9D">
        <w:rPr>
          <w:szCs w:val="18"/>
        </w:rPr>
        <w:t>65</w:t>
      </w:r>
      <w:r w:rsidR="00624E19" w:rsidRPr="00CB0A9D">
        <w:rPr>
          <w:szCs w:val="18"/>
        </w:rPr>
        <w:t xml:space="preserve">; </w:t>
      </w:r>
      <w:r w:rsidR="00286794">
        <w:t xml:space="preserve">Gorton (n </w:t>
      </w:r>
      <w:r w:rsidR="00286794">
        <w:fldChar w:fldCharType="begin"/>
      </w:r>
      <w:r w:rsidR="00286794">
        <w:instrText xml:space="preserve"> NOTEREF _Ref207713890 \h </w:instrText>
      </w:r>
      <w:r w:rsidR="000C3628">
        <w:instrText xml:space="preserve"> \* MERGEFORMAT </w:instrText>
      </w:r>
      <w:r w:rsidR="00286794">
        <w:fldChar w:fldCharType="separate"/>
      </w:r>
      <w:r w:rsidR="007D732A">
        <w:t>12</w:t>
      </w:r>
      <w:r w:rsidR="00286794">
        <w:fldChar w:fldCharType="end"/>
      </w:r>
      <w:r w:rsidR="00286794">
        <w:t>)</w:t>
      </w:r>
      <w:r w:rsidR="00286794" w:rsidRPr="00CB0A9D">
        <w:rPr>
          <w:szCs w:val="18"/>
        </w:rPr>
        <w:t xml:space="preserve"> </w:t>
      </w:r>
      <w:r w:rsidR="00624E19" w:rsidRPr="00CB0A9D">
        <w:rPr>
          <w:szCs w:val="18"/>
        </w:rPr>
        <w:t>169</w:t>
      </w:r>
      <w:r w:rsidRPr="00CB0A9D">
        <w:rPr>
          <w:szCs w:val="18"/>
        </w:rPr>
        <w:t>.</w:t>
      </w:r>
    </w:p>
  </w:footnote>
  <w:footnote w:id="188">
    <w:p w14:paraId="4F81A213" w14:textId="66E91621" w:rsidR="00B919CD" w:rsidRPr="003373F2" w:rsidRDefault="00B919CD" w:rsidP="000C3628">
      <w:pPr>
        <w:pStyle w:val="FootnoteText"/>
        <w:rPr>
          <w:szCs w:val="18"/>
        </w:rPr>
      </w:pPr>
      <w:r w:rsidRPr="003373F2">
        <w:rPr>
          <w:rStyle w:val="FootnoteReference"/>
          <w:szCs w:val="18"/>
        </w:rPr>
        <w:footnoteRef/>
      </w:r>
      <w:r w:rsidRPr="003373F2">
        <w:rPr>
          <w:szCs w:val="18"/>
        </w:rPr>
        <w:t xml:space="preserve"> </w:t>
      </w:r>
      <w:r w:rsidR="006F687F">
        <w:t>Office of the Health Ombudsman (Qld) n (</w:t>
      </w:r>
      <w:r w:rsidR="006F687F">
        <w:fldChar w:fldCharType="begin"/>
      </w:r>
      <w:r w:rsidR="006F687F">
        <w:instrText xml:space="preserve"> NOTEREF _Ref207713890 \h </w:instrText>
      </w:r>
      <w:r w:rsidR="000C3628">
        <w:instrText xml:space="preserve"> \* MERGEFORMAT </w:instrText>
      </w:r>
      <w:r w:rsidR="006F687F">
        <w:fldChar w:fldCharType="separate"/>
      </w:r>
      <w:r w:rsidR="007D732A">
        <w:t>12</w:t>
      </w:r>
      <w:r w:rsidR="006F687F">
        <w:fldChar w:fldCharType="end"/>
      </w:r>
      <w:r w:rsidR="006F687F">
        <w:t xml:space="preserve">) </w:t>
      </w:r>
      <w:r w:rsidRPr="003373F2">
        <w:rPr>
          <w:szCs w:val="18"/>
        </w:rPr>
        <w:t>12–13.</w:t>
      </w:r>
    </w:p>
  </w:footnote>
  <w:footnote w:id="189">
    <w:p w14:paraId="3B339C67" w14:textId="64BD10E1" w:rsidR="00B919CD" w:rsidRPr="00493D4C" w:rsidRDefault="00B919CD" w:rsidP="000C3628">
      <w:pPr>
        <w:pStyle w:val="FootnoteText"/>
        <w:rPr>
          <w:szCs w:val="18"/>
        </w:rPr>
      </w:pPr>
      <w:r w:rsidRPr="00493D4C">
        <w:rPr>
          <w:rStyle w:val="FootnoteReference"/>
          <w:szCs w:val="18"/>
        </w:rPr>
        <w:footnoteRef/>
      </w:r>
      <w:r w:rsidRPr="00493D4C">
        <w:rPr>
          <w:szCs w:val="18"/>
        </w:rPr>
        <w:t xml:space="preserve"> </w:t>
      </w:r>
      <w:r w:rsidR="00224F09" w:rsidRPr="00493D4C">
        <w:rPr>
          <w:szCs w:val="18"/>
        </w:rPr>
        <w:t>Fertility Society of Australia and New Zealand</w:t>
      </w:r>
      <w:r w:rsidR="006374B7">
        <w:t xml:space="preserve">, </w:t>
      </w:r>
      <w:r w:rsidR="006374B7" w:rsidRPr="006374B7">
        <w:rPr>
          <w:i/>
          <w:iCs/>
        </w:rPr>
        <w:t>RTAC Code of Practice</w:t>
      </w:r>
      <w:r w:rsidR="00224F09">
        <w:t xml:space="preserve"> (n </w:t>
      </w:r>
      <w:r w:rsidR="00224F09">
        <w:fldChar w:fldCharType="begin"/>
      </w:r>
      <w:r w:rsidR="00224F09">
        <w:instrText xml:space="preserve"> NOTEREF _Ref207714715 \h </w:instrText>
      </w:r>
      <w:r w:rsidR="000C3628">
        <w:instrText xml:space="preserve"> \* MERGEFORMAT </w:instrText>
      </w:r>
      <w:r w:rsidR="00224F09">
        <w:fldChar w:fldCharType="separate"/>
      </w:r>
      <w:r w:rsidR="007D732A">
        <w:t>38</w:t>
      </w:r>
      <w:r w:rsidR="00224F09">
        <w:fldChar w:fldCharType="end"/>
      </w:r>
      <w:r w:rsidR="00224F09">
        <w:t>)</w:t>
      </w:r>
      <w:r w:rsidR="00224F09" w:rsidRPr="00493D4C">
        <w:rPr>
          <w:szCs w:val="18"/>
        </w:rPr>
        <w:t xml:space="preserve"> </w:t>
      </w:r>
      <w:r w:rsidRPr="00493D4C">
        <w:rPr>
          <w:szCs w:val="18"/>
        </w:rPr>
        <w:t>s 2.6.</w:t>
      </w:r>
    </w:p>
  </w:footnote>
  <w:footnote w:id="190">
    <w:p w14:paraId="4603EBAB" w14:textId="04B7BD59" w:rsidR="00B919CD" w:rsidRPr="00493D4C" w:rsidRDefault="00B919CD" w:rsidP="000C3628">
      <w:pPr>
        <w:pStyle w:val="FootnoteText"/>
        <w:rPr>
          <w:szCs w:val="18"/>
        </w:rPr>
      </w:pPr>
      <w:r w:rsidRPr="002E566C">
        <w:rPr>
          <w:rStyle w:val="FootnoteReference"/>
          <w:szCs w:val="18"/>
        </w:rPr>
        <w:footnoteRef/>
      </w:r>
      <w:r w:rsidRPr="002E566C">
        <w:rPr>
          <w:szCs w:val="18"/>
        </w:rPr>
        <w:t xml:space="preserve"> </w:t>
      </w:r>
      <w:r w:rsidR="008B25EA">
        <w:rPr>
          <w:szCs w:val="18"/>
        </w:rPr>
        <w:t xml:space="preserve">Health Complaints Commissioner (Vic), </w:t>
      </w:r>
      <w:r w:rsidR="008B25EA" w:rsidRPr="00493D4C">
        <w:rPr>
          <w:i/>
          <w:szCs w:val="18"/>
        </w:rPr>
        <w:t xml:space="preserve">Inquiry into </w:t>
      </w:r>
      <w:r w:rsidR="008B25EA" w:rsidRPr="00252344">
        <w:rPr>
          <w:i/>
          <w:iCs/>
        </w:rPr>
        <w:t>Victorian ART sector</w:t>
      </w:r>
      <w:r w:rsidR="008B25EA" w:rsidRPr="0006654B">
        <w:rPr>
          <w:szCs w:val="18"/>
        </w:rPr>
        <w:t xml:space="preserve"> </w:t>
      </w:r>
      <w:r w:rsidR="008B25EA">
        <w:rPr>
          <w:szCs w:val="18"/>
        </w:rPr>
        <w:t xml:space="preserve">(n </w:t>
      </w:r>
      <w:r w:rsidR="008B25EA">
        <w:rPr>
          <w:szCs w:val="18"/>
        </w:rPr>
        <w:fldChar w:fldCharType="begin"/>
      </w:r>
      <w:r w:rsidR="008B25EA">
        <w:rPr>
          <w:szCs w:val="18"/>
        </w:rPr>
        <w:instrText xml:space="preserve"> NOTEREF _Ref207720512 \h </w:instrText>
      </w:r>
      <w:r w:rsidR="000C3628">
        <w:rPr>
          <w:szCs w:val="18"/>
        </w:rPr>
        <w:instrText xml:space="preserve"> \* MERGEFORMAT </w:instrText>
      </w:r>
      <w:r w:rsidR="008B25EA">
        <w:rPr>
          <w:szCs w:val="18"/>
        </w:rPr>
      </w:r>
      <w:r w:rsidR="008B25EA">
        <w:rPr>
          <w:szCs w:val="18"/>
        </w:rPr>
        <w:fldChar w:fldCharType="separate"/>
      </w:r>
      <w:r w:rsidR="007D732A">
        <w:rPr>
          <w:szCs w:val="18"/>
        </w:rPr>
        <w:t>160</w:t>
      </w:r>
      <w:r w:rsidR="008B25EA">
        <w:rPr>
          <w:szCs w:val="18"/>
        </w:rPr>
        <w:fldChar w:fldCharType="end"/>
      </w:r>
      <w:r w:rsidR="008B25EA">
        <w:rPr>
          <w:szCs w:val="18"/>
        </w:rPr>
        <w:t xml:space="preserve">) </w:t>
      </w:r>
      <w:r w:rsidR="00226789" w:rsidRPr="00493D4C">
        <w:rPr>
          <w:szCs w:val="18"/>
        </w:rPr>
        <w:t>71</w:t>
      </w:r>
      <w:r w:rsidR="00226789">
        <w:rPr>
          <w:szCs w:val="18"/>
        </w:rPr>
        <w:t>;</w:t>
      </w:r>
      <w:r>
        <w:rPr>
          <w:szCs w:val="18"/>
        </w:rPr>
        <w:t xml:space="preserve"> </w:t>
      </w:r>
      <w:r w:rsidR="006F687F" w:rsidRPr="00CB0A9D">
        <w:rPr>
          <w:szCs w:val="18"/>
        </w:rPr>
        <w:t>Office of the Health Ombudsman (Qld</w:t>
      </w:r>
      <w:r w:rsidR="006F687F">
        <w:t>) n (</w:t>
      </w:r>
      <w:r w:rsidR="006F687F">
        <w:fldChar w:fldCharType="begin"/>
      </w:r>
      <w:r w:rsidR="006F687F">
        <w:instrText xml:space="preserve"> NOTEREF _Ref207713890 \h </w:instrText>
      </w:r>
      <w:r w:rsidR="000C3628">
        <w:instrText xml:space="preserve"> \* MERGEFORMAT </w:instrText>
      </w:r>
      <w:r w:rsidR="006F687F">
        <w:fldChar w:fldCharType="separate"/>
      </w:r>
      <w:r w:rsidR="007D732A">
        <w:t>12</w:t>
      </w:r>
      <w:r w:rsidR="006F687F">
        <w:fldChar w:fldCharType="end"/>
      </w:r>
      <w:r w:rsidR="006F687F">
        <w:t>)</w:t>
      </w:r>
      <w:r w:rsidR="006F687F" w:rsidRPr="0029369D">
        <w:rPr>
          <w:szCs w:val="18"/>
        </w:rPr>
        <w:t xml:space="preserve"> </w:t>
      </w:r>
      <w:r w:rsidR="00BC7136" w:rsidRPr="0029369D">
        <w:rPr>
          <w:szCs w:val="18"/>
        </w:rPr>
        <w:t>98</w:t>
      </w:r>
      <w:r w:rsidR="0029369D">
        <w:rPr>
          <w:szCs w:val="18"/>
        </w:rPr>
        <w:t>;</w:t>
      </w:r>
      <w:r w:rsidR="00BC7136" w:rsidRPr="0029369D">
        <w:rPr>
          <w:szCs w:val="18"/>
        </w:rPr>
        <w:t xml:space="preserve"> </w:t>
      </w:r>
      <w:r w:rsidR="00286794">
        <w:t xml:space="preserve">Gorton (n </w:t>
      </w:r>
      <w:r w:rsidR="00286794">
        <w:fldChar w:fldCharType="begin"/>
      </w:r>
      <w:r w:rsidR="00286794">
        <w:instrText xml:space="preserve"> NOTEREF _Ref207713890 \h </w:instrText>
      </w:r>
      <w:r w:rsidR="000C3628">
        <w:instrText xml:space="preserve"> \* MERGEFORMAT </w:instrText>
      </w:r>
      <w:r w:rsidR="00286794">
        <w:fldChar w:fldCharType="separate"/>
      </w:r>
      <w:r w:rsidR="007D732A">
        <w:t>12</w:t>
      </w:r>
      <w:r w:rsidR="00286794">
        <w:fldChar w:fldCharType="end"/>
      </w:r>
      <w:r w:rsidR="00286794">
        <w:t>)</w:t>
      </w:r>
      <w:r w:rsidR="00286794" w:rsidRPr="00493D4C">
        <w:rPr>
          <w:szCs w:val="18"/>
        </w:rPr>
        <w:t xml:space="preserve"> </w:t>
      </w:r>
      <w:r w:rsidR="0029369D" w:rsidRPr="00493D4C">
        <w:rPr>
          <w:szCs w:val="18"/>
        </w:rPr>
        <w:t>xi</w:t>
      </w:r>
      <w:r w:rsidR="002A39C2">
        <w:rPr>
          <w:szCs w:val="18"/>
        </w:rPr>
        <w:t>.</w:t>
      </w:r>
    </w:p>
  </w:footnote>
  <w:footnote w:id="191">
    <w:p w14:paraId="0A11685A" w14:textId="2E9E228E" w:rsidR="00B919CD" w:rsidRPr="00EB7437" w:rsidRDefault="00B919CD" w:rsidP="000C3628">
      <w:pPr>
        <w:pStyle w:val="FootnoteText"/>
        <w:rPr>
          <w:szCs w:val="18"/>
        </w:rPr>
      </w:pPr>
      <w:r w:rsidRPr="00EB7437">
        <w:rPr>
          <w:rStyle w:val="FootnoteReference"/>
          <w:szCs w:val="18"/>
        </w:rPr>
        <w:footnoteRef/>
      </w:r>
      <w:r w:rsidRPr="00EB7437">
        <w:rPr>
          <w:szCs w:val="18"/>
        </w:rPr>
        <w:t xml:space="preserve"> </w:t>
      </w:r>
      <w:r w:rsidR="006F687F">
        <w:t>Office of the Health Ombudsman (Qld) n (</w:t>
      </w:r>
      <w:r w:rsidR="006F687F">
        <w:fldChar w:fldCharType="begin"/>
      </w:r>
      <w:r w:rsidR="006F687F">
        <w:instrText xml:space="preserve"> NOTEREF _Ref207713890 \h </w:instrText>
      </w:r>
      <w:r w:rsidR="000C3628">
        <w:instrText xml:space="preserve"> \* MERGEFORMAT </w:instrText>
      </w:r>
      <w:r w:rsidR="006F687F">
        <w:fldChar w:fldCharType="separate"/>
      </w:r>
      <w:r w:rsidR="007D732A">
        <w:t>12</w:t>
      </w:r>
      <w:r w:rsidR="006F687F">
        <w:fldChar w:fldCharType="end"/>
      </w:r>
      <w:r w:rsidR="006F687F">
        <w:t xml:space="preserve">) </w:t>
      </w:r>
      <w:r w:rsidRPr="00556D49">
        <w:rPr>
          <w:szCs w:val="18"/>
        </w:rPr>
        <w:t>111</w:t>
      </w:r>
      <w:r w:rsidR="00373040">
        <w:rPr>
          <w:szCs w:val="18"/>
        </w:rPr>
        <w:t>–</w:t>
      </w:r>
      <w:r w:rsidRPr="00556D49">
        <w:rPr>
          <w:szCs w:val="18"/>
        </w:rPr>
        <w:t>12</w:t>
      </w:r>
      <w:r w:rsidR="005546B0">
        <w:rPr>
          <w:szCs w:val="18"/>
        </w:rPr>
        <w:t>.</w:t>
      </w:r>
    </w:p>
  </w:footnote>
  <w:footnote w:id="192">
    <w:p w14:paraId="58DD0715" w14:textId="79948F6E" w:rsidR="00B919CD" w:rsidRPr="00AA78C4" w:rsidRDefault="00B919CD" w:rsidP="000C3628">
      <w:pPr>
        <w:pStyle w:val="FootnoteText"/>
        <w:rPr>
          <w:szCs w:val="18"/>
        </w:rPr>
      </w:pPr>
      <w:r w:rsidRPr="00EB7437">
        <w:rPr>
          <w:rStyle w:val="FootnoteReference"/>
          <w:szCs w:val="18"/>
        </w:rPr>
        <w:footnoteRef/>
      </w:r>
      <w:r w:rsidRPr="00EB7437">
        <w:rPr>
          <w:szCs w:val="18"/>
        </w:rPr>
        <w:t xml:space="preserve"> Family limits and definitions vary significantly across jurisdictions. For example, in </w:t>
      </w:r>
      <w:r>
        <w:rPr>
          <w:szCs w:val="18"/>
        </w:rPr>
        <w:t>the Australian Capital Territory</w:t>
      </w:r>
      <w:r w:rsidRPr="00EB7437">
        <w:rPr>
          <w:szCs w:val="18"/>
        </w:rPr>
        <w:t xml:space="preserve"> clinics must ensure the number of “families” born from a single donor is limited to </w:t>
      </w:r>
      <w:r>
        <w:rPr>
          <w:szCs w:val="18"/>
        </w:rPr>
        <w:t>five</w:t>
      </w:r>
      <w:r w:rsidRPr="00EB7437">
        <w:rPr>
          <w:szCs w:val="18"/>
        </w:rPr>
        <w:t xml:space="preserve">. Whereas in New South Wales, a donated gamete cannot be used for ART treatment in more than five families, with reference to the number of “women” rather </w:t>
      </w:r>
      <w:r w:rsidRPr="00AA78C4">
        <w:rPr>
          <w:szCs w:val="18"/>
        </w:rPr>
        <w:t xml:space="preserve">than families: </w:t>
      </w:r>
      <w:r w:rsidRPr="00D94FAE">
        <w:rPr>
          <w:i/>
          <w:szCs w:val="18"/>
        </w:rPr>
        <w:t xml:space="preserve">Assisted Reproductive Technology Act 2024 </w:t>
      </w:r>
      <w:r w:rsidRPr="00D94FAE">
        <w:rPr>
          <w:szCs w:val="18"/>
        </w:rPr>
        <w:t xml:space="preserve">(ACT) s 40; </w:t>
      </w:r>
      <w:r w:rsidRPr="00D94FAE">
        <w:rPr>
          <w:i/>
          <w:iCs/>
          <w:szCs w:val="18"/>
        </w:rPr>
        <w:t xml:space="preserve">Assisted Reproductive Technology Act 2007 </w:t>
      </w:r>
      <w:r w:rsidRPr="00D94FAE">
        <w:rPr>
          <w:szCs w:val="18"/>
        </w:rPr>
        <w:t>(NSW) s</w:t>
      </w:r>
      <w:r>
        <w:rPr>
          <w:szCs w:val="18"/>
        </w:rPr>
        <w:t xml:space="preserve"> </w:t>
      </w:r>
      <w:r w:rsidRPr="00D94FAE">
        <w:rPr>
          <w:szCs w:val="18"/>
        </w:rPr>
        <w:t>27</w:t>
      </w:r>
      <w:r w:rsidR="005546B0">
        <w:rPr>
          <w:szCs w:val="18"/>
        </w:rPr>
        <w:t>.</w:t>
      </w:r>
    </w:p>
  </w:footnote>
  <w:footnote w:id="193">
    <w:p w14:paraId="38E034F4" w14:textId="77777777" w:rsidR="00027849" w:rsidRDefault="00027849" w:rsidP="000C3628">
      <w:pPr>
        <w:pStyle w:val="FootnoteText"/>
      </w:pPr>
      <w:r>
        <w:rPr>
          <w:rStyle w:val="FootnoteReference"/>
        </w:rPr>
        <w:footnoteRef/>
      </w:r>
      <w:r>
        <w:t xml:space="preserve"> ‘Accreditation’, </w:t>
      </w:r>
      <w:r>
        <w:rPr>
          <w:i/>
          <w:iCs/>
        </w:rPr>
        <w:t>Australian Commission on Safety and Quality in Health Care</w:t>
      </w:r>
      <w:r>
        <w:t xml:space="preserve"> (Web Page, 2025) &lt;</w:t>
      </w:r>
      <w:r w:rsidRPr="004E2F34">
        <w:t>https://www.safetyandquality.gov.au/our-work/accreditation</w:t>
      </w:r>
      <w:r>
        <w:t xml:space="preserve">&gt;. </w:t>
      </w:r>
    </w:p>
  </w:footnote>
  <w:footnote w:id="194">
    <w:p w14:paraId="0C5C4844" w14:textId="77777777" w:rsidR="00027849" w:rsidRDefault="00027849" w:rsidP="000C3628">
      <w:pPr>
        <w:pStyle w:val="FootnoteText"/>
      </w:pPr>
      <w:r>
        <w:rPr>
          <w:rStyle w:val="FootnoteReference"/>
        </w:rPr>
        <w:footnoteRef/>
      </w:r>
      <w:r>
        <w:t xml:space="preserve"> </w:t>
      </w:r>
      <w:r w:rsidRPr="00477E56">
        <w:t xml:space="preserve">Australian Commission on Safety and Quality in Health Care, </w:t>
      </w:r>
      <w:r w:rsidRPr="00477E56">
        <w:rPr>
          <w:i/>
          <w:iCs/>
        </w:rPr>
        <w:t>National Safety and Quality Health Service Standards</w:t>
      </w:r>
      <w:r w:rsidRPr="00477E56">
        <w:t xml:space="preserve"> (2021) 1</w:t>
      </w:r>
      <w:r>
        <w:t>–</w:t>
      </w:r>
      <w:r w:rsidRPr="00477E56">
        <w:t>2</w:t>
      </w:r>
      <w:r>
        <w:t>.</w:t>
      </w:r>
    </w:p>
  </w:footnote>
  <w:footnote w:id="195">
    <w:p w14:paraId="4B4D0117" w14:textId="3B225F02" w:rsidR="00027849" w:rsidRDefault="00027849" w:rsidP="000C3628">
      <w:pPr>
        <w:pStyle w:val="FootnoteText"/>
      </w:pPr>
      <w:r>
        <w:rPr>
          <w:rStyle w:val="FootnoteReference"/>
        </w:rPr>
        <w:footnoteRef/>
      </w:r>
      <w:r>
        <w:t xml:space="preserve"> </w:t>
      </w:r>
      <w:r w:rsidRPr="00EA17C0">
        <w:t xml:space="preserve">Australian Commission on Safety and Quality in Health Care, </w:t>
      </w:r>
      <w:r>
        <w:rPr>
          <w:i/>
          <w:iCs/>
        </w:rPr>
        <w:t xml:space="preserve">ACSQHC website – NSQHS Standards: public reporting </w:t>
      </w:r>
      <w:r>
        <w:t xml:space="preserve">(n </w:t>
      </w:r>
      <w:r>
        <w:fldChar w:fldCharType="begin"/>
      </w:r>
      <w:r>
        <w:instrText xml:space="preserve"> NOTEREF _Ref207721064 \h </w:instrText>
      </w:r>
      <w:r w:rsidR="000C3628">
        <w:instrText xml:space="preserve"> \* MERGEFORMAT </w:instrText>
      </w:r>
      <w:r>
        <w:fldChar w:fldCharType="separate"/>
      </w:r>
      <w:r w:rsidR="007D732A">
        <w:t>76</w:t>
      </w:r>
      <w:r>
        <w:fldChar w:fldCharType="end"/>
      </w:r>
      <w:r>
        <w:t>).</w:t>
      </w:r>
    </w:p>
  </w:footnote>
  <w:footnote w:id="196">
    <w:p w14:paraId="642FA585" w14:textId="77777777" w:rsidR="00027849" w:rsidRDefault="00027849" w:rsidP="000C3628">
      <w:pPr>
        <w:pStyle w:val="FootnoteText"/>
      </w:pPr>
      <w:r>
        <w:rPr>
          <w:rStyle w:val="FootnoteReference"/>
        </w:rPr>
        <w:footnoteRef/>
      </w:r>
      <w:r>
        <w:t xml:space="preserve"> ‘Professions and Protected Titles’, </w:t>
      </w:r>
      <w:r w:rsidRPr="00D43D9B">
        <w:rPr>
          <w:i/>
        </w:rPr>
        <w:t xml:space="preserve">Health </w:t>
      </w:r>
      <w:r w:rsidRPr="00D43D9B">
        <w:rPr>
          <w:i/>
          <w:iCs/>
        </w:rPr>
        <w:t>and</w:t>
      </w:r>
      <w:r w:rsidRPr="00D43D9B">
        <w:rPr>
          <w:i/>
        </w:rPr>
        <w:t xml:space="preserve"> Care Professions Council</w:t>
      </w:r>
      <w:r>
        <w:t xml:space="preserve"> (Web Page, 2025) &lt;</w:t>
      </w:r>
      <w:r w:rsidRPr="001641FD">
        <w:t>https://www.hcpc-uk.org/about-us/who-we-regulate/the-professions/</w:t>
      </w:r>
      <w:r>
        <w:t>&gt;.</w:t>
      </w:r>
    </w:p>
  </w:footnote>
  <w:footnote w:id="197">
    <w:p w14:paraId="12EDDB2D" w14:textId="77777777" w:rsidR="00027849" w:rsidRDefault="00027849" w:rsidP="000C3628">
      <w:pPr>
        <w:pStyle w:val="FootnoteText"/>
      </w:pPr>
      <w:r>
        <w:rPr>
          <w:rStyle w:val="FootnoteReference"/>
        </w:rPr>
        <w:footnoteRef/>
      </w:r>
      <w:r>
        <w:t xml:space="preserve"> ‘How to become clinical scientist in embryology’, </w:t>
      </w:r>
      <w:r w:rsidRPr="00D43D9B">
        <w:rPr>
          <w:i/>
          <w:iCs/>
        </w:rPr>
        <w:t>NHS Scotland Careers</w:t>
      </w:r>
      <w:r>
        <w:t xml:space="preserve"> (Web Page, 2023) &lt;</w:t>
      </w:r>
      <w:r w:rsidRPr="001E33E7">
        <w:t>https://www.careers.nhs.scot/explore-careers/healthcare-science/clinical-scientist-in-embryology/</w:t>
      </w:r>
      <w:r>
        <w:t>&gt;.</w:t>
      </w:r>
    </w:p>
  </w:footnote>
  <w:footnote w:id="198">
    <w:p w14:paraId="49FE0A7D" w14:textId="77777777" w:rsidR="00027849" w:rsidRDefault="00027849" w:rsidP="000C3628">
      <w:pPr>
        <w:pStyle w:val="FootnoteText"/>
      </w:pPr>
      <w:r>
        <w:rPr>
          <w:rStyle w:val="FootnoteReference"/>
        </w:rPr>
        <w:footnoteRef/>
      </w:r>
      <w:r>
        <w:t xml:space="preserve"> </w:t>
      </w:r>
      <w:r w:rsidRPr="00E05D3B">
        <w:rPr>
          <w:i/>
        </w:rPr>
        <w:t>Health Practitioners Competence Assurance Act 2003</w:t>
      </w:r>
      <w:r>
        <w:t xml:space="preserve"> (NZ) sch 2; </w:t>
      </w:r>
      <w:r w:rsidRPr="00164CA2">
        <w:t xml:space="preserve">New Zealand, </w:t>
      </w:r>
      <w:r w:rsidRPr="00164CA2">
        <w:rPr>
          <w:i/>
        </w:rPr>
        <w:t xml:space="preserve">Notice of Scopes of Practice and Prescribed Qualifications for the Practice of Medical Laboratory </w:t>
      </w:r>
      <w:r w:rsidRPr="00164CA2">
        <w:rPr>
          <w:i/>
          <w:iCs/>
        </w:rPr>
        <w:t>Science</w:t>
      </w:r>
      <w:r w:rsidRPr="00164CA2">
        <w:rPr>
          <w:i/>
        </w:rPr>
        <w:t xml:space="preserve">, </w:t>
      </w:r>
      <w:r w:rsidRPr="00164CA2">
        <w:t xml:space="preserve">No </w:t>
      </w:r>
      <w:r>
        <w:t>2021-gs2023, 1 June 2021.</w:t>
      </w:r>
    </w:p>
  </w:footnote>
  <w:footnote w:id="199">
    <w:p w14:paraId="31E53FA4" w14:textId="77777777" w:rsidR="00027849" w:rsidRDefault="00027849" w:rsidP="000C3628">
      <w:pPr>
        <w:pStyle w:val="FootnoteText"/>
      </w:pPr>
      <w:r>
        <w:rPr>
          <w:rStyle w:val="FootnoteReference"/>
        </w:rPr>
        <w:footnoteRef/>
      </w:r>
      <w:r>
        <w:t xml:space="preserve"> Each</w:t>
      </w:r>
      <w:r w:rsidRPr="007832A6">
        <w:t xml:space="preserve"> jurisdiction </w:t>
      </w:r>
      <w:r>
        <w:t>would be required</w:t>
      </w:r>
      <w:r w:rsidRPr="007832A6">
        <w:t xml:space="preserve"> </w:t>
      </w:r>
      <w:r>
        <w:t xml:space="preserve">to </w:t>
      </w:r>
      <w:r w:rsidRPr="007832A6">
        <w:t>pass sequenced bills, and chang</w:t>
      </w:r>
      <w:r w:rsidRPr="009A6617">
        <w:t>eovers would need to be carefully staged across nine parliament</w:t>
      </w:r>
      <w:r>
        <w:t xml:space="preserve">s. This would be time-intensive and complex. </w:t>
      </w:r>
    </w:p>
  </w:footnote>
  <w:footnote w:id="200">
    <w:p w14:paraId="42C75570" w14:textId="10AD1CDC" w:rsidR="00027849" w:rsidRDefault="00027849" w:rsidP="000C3628">
      <w:pPr>
        <w:pStyle w:val="FootnoteText"/>
      </w:pPr>
      <w:r>
        <w:rPr>
          <w:rStyle w:val="FootnoteReference"/>
        </w:rPr>
        <w:footnoteRef/>
      </w:r>
      <w:r>
        <w:t xml:space="preserve"> ‘GEN fact sheet 2023–24: Spending on aged care’, </w:t>
      </w:r>
      <w:r>
        <w:rPr>
          <w:i/>
          <w:iCs/>
        </w:rPr>
        <w:t>Australian Institute of Health and Welfare</w:t>
      </w:r>
      <w:r>
        <w:t xml:space="preserve"> (Fact Sheet, 2025) 1; Richardson (n </w:t>
      </w:r>
      <w:r>
        <w:fldChar w:fldCharType="begin"/>
      </w:r>
      <w:r>
        <w:instrText xml:space="preserve"> NOTEREF _Ref207713403 \h </w:instrText>
      </w:r>
      <w:r w:rsidR="000C3628">
        <w:instrText xml:space="preserve"> \* MERGEFORMAT </w:instrText>
      </w:r>
      <w:r>
        <w:fldChar w:fldCharType="separate"/>
      </w:r>
      <w:r w:rsidR="007D732A">
        <w:t>1</w:t>
      </w:r>
      <w:r>
        <w:fldChar w:fldCharType="end"/>
      </w:r>
      <w:r>
        <w:t>).</w:t>
      </w:r>
    </w:p>
  </w:footnote>
  <w:footnote w:id="201">
    <w:p w14:paraId="742581E0" w14:textId="079FDDF0" w:rsidR="00027849" w:rsidRDefault="00027849" w:rsidP="000C3628">
      <w:pPr>
        <w:pStyle w:val="FootnoteText"/>
      </w:pPr>
      <w:r>
        <w:rPr>
          <w:rStyle w:val="FootnoteReference"/>
        </w:rPr>
        <w:footnoteRef/>
      </w:r>
      <w:r>
        <w:t xml:space="preserve"> This includes strengthening through introducing increased penalty units, modern regulatory tools such as improvement notices, enforceable conditions and suspension powers</w:t>
      </w:r>
      <w:r w:rsidR="006039FE">
        <w:t>.</w:t>
      </w:r>
    </w:p>
  </w:footnote>
  <w:footnote w:id="202">
    <w:p w14:paraId="5DF4668F" w14:textId="77777777" w:rsidR="00027849" w:rsidRDefault="00027849" w:rsidP="000C3628">
      <w:pPr>
        <w:pStyle w:val="FootnoteText"/>
      </w:pPr>
      <w:r>
        <w:rPr>
          <w:rStyle w:val="FootnoteReference"/>
        </w:rPr>
        <w:footnoteRef/>
      </w:r>
      <w:r>
        <w:t xml:space="preserve"> Each</w:t>
      </w:r>
      <w:r w:rsidRPr="007832A6">
        <w:t xml:space="preserve"> jurisdiction </w:t>
      </w:r>
      <w:r>
        <w:t>would be required</w:t>
      </w:r>
      <w:r w:rsidRPr="007832A6">
        <w:t xml:space="preserve"> </w:t>
      </w:r>
      <w:r>
        <w:t xml:space="preserve">to </w:t>
      </w:r>
      <w:r w:rsidRPr="007832A6">
        <w:t>pass sequenced bills, and chang</w:t>
      </w:r>
      <w:r w:rsidRPr="009A6617">
        <w:t>eovers would need to be carefully staged across nine parliament</w:t>
      </w:r>
      <w:r>
        <w:t xml:space="preserve">s. This would be time-intensive and complex. </w:t>
      </w:r>
    </w:p>
  </w:footnote>
  <w:footnote w:id="203">
    <w:p w14:paraId="040F6348" w14:textId="0ED3F164" w:rsidR="00027849" w:rsidRDefault="00027849" w:rsidP="000C3628">
      <w:pPr>
        <w:pStyle w:val="FootnoteText"/>
      </w:pPr>
      <w:r>
        <w:rPr>
          <w:rStyle w:val="FootnoteReference"/>
        </w:rPr>
        <w:footnoteRef/>
      </w:r>
      <w:r>
        <w:t xml:space="preserve"> </w:t>
      </w:r>
      <w:r w:rsidRPr="00130AF9">
        <w:t>Australian Commission on Safety and Quality in Health Care,</w:t>
      </w:r>
      <w:r>
        <w:t xml:space="preserve"> </w:t>
      </w:r>
      <w:r>
        <w:rPr>
          <w:i/>
          <w:iCs/>
        </w:rPr>
        <w:t>ACSQHC website –</w:t>
      </w:r>
      <w:r w:rsidRPr="00130AF9">
        <w:rPr>
          <w:i/>
          <w:iCs/>
        </w:rPr>
        <w:t xml:space="preserve"> NSQHS Standards</w:t>
      </w:r>
      <w:r>
        <w:rPr>
          <w:i/>
          <w:iCs/>
        </w:rPr>
        <w:t xml:space="preserve">: public reporting </w:t>
      </w:r>
      <w:r>
        <w:t xml:space="preserve">(n </w:t>
      </w:r>
      <w:r>
        <w:fldChar w:fldCharType="begin"/>
      </w:r>
      <w:r>
        <w:instrText xml:space="preserve"> NOTEREF _Ref207721064 \h </w:instrText>
      </w:r>
      <w:r w:rsidR="000C3628">
        <w:instrText xml:space="preserve"> \* MERGEFORMAT </w:instrText>
      </w:r>
      <w:r>
        <w:fldChar w:fldCharType="separate"/>
      </w:r>
      <w:r w:rsidR="007D732A">
        <w:t>76</w:t>
      </w:r>
      <w:r>
        <w:fldChar w:fldCharType="end"/>
      </w:r>
      <w:r>
        <w:t>).</w:t>
      </w:r>
    </w:p>
  </w:footnote>
  <w:footnote w:id="204">
    <w:p w14:paraId="5D6060C6" w14:textId="77777777" w:rsidR="00027849" w:rsidRDefault="00027849" w:rsidP="000C3628">
      <w:pPr>
        <w:pStyle w:val="FootnoteText"/>
      </w:pPr>
      <w:r>
        <w:rPr>
          <w:rStyle w:val="FootnoteReference"/>
        </w:rPr>
        <w:footnoteRef/>
      </w:r>
      <w:r>
        <w:t xml:space="preserve"> Human Fertilisation and Embryology Authority, </w:t>
      </w:r>
      <w:r w:rsidRPr="00513032">
        <w:rPr>
          <w:i/>
          <w:iCs/>
        </w:rPr>
        <w:t>Clinical Governance Quarterly</w:t>
      </w:r>
      <w:r>
        <w:t xml:space="preserve"> Update, (Report, June 2025).  </w:t>
      </w:r>
    </w:p>
  </w:footnote>
  <w:footnote w:id="205">
    <w:p w14:paraId="556D7ECB" w14:textId="77777777" w:rsidR="00027849" w:rsidRDefault="00027849" w:rsidP="000C3628">
      <w:pPr>
        <w:pStyle w:val="FootnoteText"/>
      </w:pPr>
      <w:r>
        <w:rPr>
          <w:rStyle w:val="FootnoteReference"/>
        </w:rPr>
        <w:footnoteRef/>
      </w:r>
      <w:r>
        <w:t xml:space="preserve"> Human Fertilisation and Embryology Authority, </w:t>
      </w:r>
      <w:r>
        <w:rPr>
          <w:i/>
          <w:iCs/>
        </w:rPr>
        <w:t xml:space="preserve">State of the fertility sector 2023/24 </w:t>
      </w:r>
      <w:r w:rsidRPr="0085224B">
        <w:t>(</w:t>
      </w:r>
      <w:r>
        <w:t xml:space="preserve">Report, 1 October 2024). </w:t>
      </w:r>
    </w:p>
  </w:footnote>
  <w:footnote w:id="206">
    <w:p w14:paraId="64A61D0B" w14:textId="7B672991" w:rsidR="00027849" w:rsidRDefault="00027849" w:rsidP="000C3628">
      <w:pPr>
        <w:pStyle w:val="FootnoteText"/>
      </w:pPr>
      <w:r>
        <w:rPr>
          <w:rStyle w:val="FootnoteReference"/>
        </w:rPr>
        <w:footnoteRef/>
      </w:r>
      <w:r>
        <w:t xml:space="preserve"> </w:t>
      </w:r>
      <w:r w:rsidRPr="00130AF9">
        <w:t>Australian Commission on Safety and Quality in Health Care,</w:t>
      </w:r>
      <w:r>
        <w:t xml:space="preserve"> </w:t>
      </w:r>
      <w:r>
        <w:rPr>
          <w:i/>
          <w:iCs/>
        </w:rPr>
        <w:t>ACSQHC website –</w:t>
      </w:r>
      <w:r w:rsidRPr="00130AF9">
        <w:rPr>
          <w:i/>
          <w:iCs/>
        </w:rPr>
        <w:t xml:space="preserve"> NSQHS Standards</w:t>
      </w:r>
      <w:r>
        <w:rPr>
          <w:i/>
          <w:iCs/>
        </w:rPr>
        <w:t xml:space="preserve">: public reporting </w:t>
      </w:r>
      <w:r>
        <w:t xml:space="preserve">(n </w:t>
      </w:r>
      <w:r>
        <w:fldChar w:fldCharType="begin"/>
      </w:r>
      <w:r>
        <w:instrText xml:space="preserve"> NOTEREF _Ref207721064 \h </w:instrText>
      </w:r>
      <w:r w:rsidR="000C3628">
        <w:instrText xml:space="preserve"> \* MERGEFORMAT </w:instrText>
      </w:r>
      <w:r>
        <w:fldChar w:fldCharType="separate"/>
      </w:r>
      <w:r w:rsidR="007D732A">
        <w:t>76</w:t>
      </w:r>
      <w:r>
        <w:fldChar w:fldCharType="end"/>
      </w:r>
      <w:r>
        <w:t>).</w:t>
      </w:r>
    </w:p>
  </w:footnote>
  <w:footnote w:id="207">
    <w:p w14:paraId="53B50D08" w14:textId="77777777" w:rsidR="00027849" w:rsidRDefault="00027849" w:rsidP="000C3628">
      <w:pPr>
        <w:pStyle w:val="FootnoteText"/>
      </w:pPr>
      <w:r>
        <w:rPr>
          <w:rStyle w:val="FootnoteReference"/>
        </w:rPr>
        <w:footnoteRef/>
      </w:r>
      <w:r>
        <w:t xml:space="preserve"> ‘How Star Ratings works’, </w:t>
      </w:r>
      <w:r>
        <w:rPr>
          <w:i/>
          <w:iCs/>
        </w:rPr>
        <w:t>Australian Government</w:t>
      </w:r>
      <w:r>
        <w:t xml:space="preserve"> (Web Page, 6 June 2025) &lt;</w:t>
      </w:r>
      <w:r w:rsidRPr="00E846D9">
        <w:t>https://www.health.gov.au/our-work/star-ratings-for-residential-aged-care/how-star-ratings-works#star-ratings-updates</w:t>
      </w:r>
      <w:r>
        <w:t xml:space="preserve">&gt;. </w:t>
      </w:r>
    </w:p>
  </w:footnote>
  <w:footnote w:id="208">
    <w:p w14:paraId="63C1C42B" w14:textId="77777777" w:rsidR="00027849" w:rsidRDefault="00027849" w:rsidP="000C3628">
      <w:pPr>
        <w:pStyle w:val="FootnoteText"/>
      </w:pPr>
      <w:r w:rsidRPr="008F5570">
        <w:rPr>
          <w:rStyle w:val="FootnoteReference"/>
        </w:rPr>
        <w:footnoteRef/>
      </w:r>
      <w:r w:rsidRPr="008F5570">
        <w:t xml:space="preserve"> Australian Government, </w:t>
      </w:r>
      <w:r w:rsidRPr="008F5570">
        <w:rPr>
          <w:i/>
        </w:rPr>
        <w:t>Consultation Paper 2: Consultation Outcomes and Reform Directions</w:t>
      </w:r>
      <w:r w:rsidRPr="008F5570">
        <w:t xml:space="preserve"> (</w:t>
      </w:r>
      <w:r>
        <w:t xml:space="preserve">Report, </w:t>
      </w:r>
      <w:r w:rsidRPr="008F5570">
        <w:t>May 2025) 95–9.</w:t>
      </w:r>
    </w:p>
  </w:footnote>
  <w:footnote w:id="209">
    <w:p w14:paraId="1B8FA4C7" w14:textId="31490427" w:rsidR="00027849" w:rsidRDefault="00027849" w:rsidP="000C3628">
      <w:pPr>
        <w:pStyle w:val="FootnoteText"/>
      </w:pPr>
      <w:r>
        <w:rPr>
          <w:rStyle w:val="FootnoteReference"/>
        </w:rPr>
        <w:footnoteRef/>
      </w:r>
      <w:r>
        <w:t xml:space="preserve"> ‘Internal dispute resolution data reporting’, </w:t>
      </w:r>
      <w:r>
        <w:rPr>
          <w:i/>
          <w:iCs/>
        </w:rPr>
        <w:t>Australian Securities and Investment Commission</w:t>
      </w:r>
      <w:r>
        <w:t xml:space="preserve"> (Web Page, 2025) &lt;</w:t>
      </w:r>
      <w:r w:rsidRPr="00CF462A">
        <w:t>https://www.asic.gov.au/regulatory-resources/financial-services/dispute-resolution/internal-dispute-resolution-data-reporting/#handbook</w:t>
      </w:r>
      <w:r>
        <w:t xml:space="preserve">&gt; </w:t>
      </w:r>
      <w:r w:rsidRPr="002A16A9">
        <w:rPr>
          <w:i/>
          <w:iCs/>
        </w:rPr>
        <w:t>(‘</w:t>
      </w:r>
      <w:r>
        <w:rPr>
          <w:i/>
          <w:iCs/>
        </w:rPr>
        <w:t xml:space="preserve">ASIC website – </w:t>
      </w:r>
      <w:r w:rsidRPr="002A16A9">
        <w:rPr>
          <w:i/>
          <w:iCs/>
        </w:rPr>
        <w:t>Internal dispute resolution data reporting’).</w:t>
      </w:r>
      <w:r>
        <w:t xml:space="preserve"> </w:t>
      </w:r>
    </w:p>
  </w:footnote>
  <w:footnote w:id="210">
    <w:p w14:paraId="70B12322" w14:textId="41C09717" w:rsidR="00027849" w:rsidRDefault="00027849" w:rsidP="000C3628">
      <w:pPr>
        <w:pStyle w:val="FootnoteText"/>
      </w:pPr>
      <w:r>
        <w:rPr>
          <w:rStyle w:val="FootnoteReference"/>
        </w:rPr>
        <w:footnoteRef/>
      </w:r>
      <w:r>
        <w:t xml:space="preserve"> </w:t>
      </w:r>
      <w:r w:rsidRPr="002A16A9">
        <w:t>Australian Securities and Investment Commission</w:t>
      </w:r>
      <w:r>
        <w:t xml:space="preserve">, </w:t>
      </w:r>
      <w:r w:rsidRPr="006737BE">
        <w:rPr>
          <w:i/>
          <w:iCs/>
        </w:rPr>
        <w:t xml:space="preserve">ASIC website – </w:t>
      </w:r>
      <w:r w:rsidRPr="002A16A9">
        <w:rPr>
          <w:i/>
          <w:iCs/>
        </w:rPr>
        <w:t>Internal dispute resolution data reporting</w:t>
      </w:r>
      <w:r>
        <w:rPr>
          <w:i/>
          <w:iCs/>
        </w:rPr>
        <w:t xml:space="preserve"> </w:t>
      </w:r>
      <w:r>
        <w:t xml:space="preserve">(n </w:t>
      </w:r>
      <w:r>
        <w:fldChar w:fldCharType="begin"/>
      </w:r>
      <w:r>
        <w:instrText xml:space="preserve"> NOTEREF _Ref207719866 \h </w:instrText>
      </w:r>
      <w:r w:rsidR="000C3628">
        <w:instrText xml:space="preserve"> \* MERGEFORMAT </w:instrText>
      </w:r>
      <w:r>
        <w:fldChar w:fldCharType="separate"/>
      </w:r>
      <w:r w:rsidR="007D732A">
        <w:t>209</w:t>
      </w:r>
      <w:r>
        <w:fldChar w:fldCharType="end"/>
      </w:r>
      <w:r>
        <w:t>)</w:t>
      </w:r>
      <w:r w:rsidRPr="002A16A9">
        <w:rPr>
          <w:i/>
          <w:iCs/>
        </w:rPr>
        <w:t>.</w:t>
      </w:r>
      <w:r>
        <w:t xml:space="preserve"> </w:t>
      </w:r>
    </w:p>
  </w:footnote>
  <w:footnote w:id="211">
    <w:p w14:paraId="569DBC12" w14:textId="5A8C9C8F" w:rsidR="00027849" w:rsidRPr="0052485E" w:rsidRDefault="00027849" w:rsidP="000C3628">
      <w:pPr>
        <w:pStyle w:val="FootnoteText"/>
        <w:rPr>
          <w:szCs w:val="18"/>
        </w:rPr>
      </w:pPr>
      <w:r w:rsidRPr="0052485E">
        <w:rPr>
          <w:rStyle w:val="FootnoteReference"/>
          <w:szCs w:val="18"/>
        </w:rPr>
        <w:footnoteRef/>
      </w:r>
      <w:r w:rsidRPr="0052485E">
        <w:rPr>
          <w:szCs w:val="18"/>
        </w:rPr>
        <w:t xml:space="preserve"> </w:t>
      </w:r>
      <w:r w:rsidR="00B13CE9">
        <w:rPr>
          <w:szCs w:val="18"/>
        </w:rPr>
        <w:t xml:space="preserve">Including </w:t>
      </w:r>
      <w:r w:rsidRPr="0052485E">
        <w:rPr>
          <w:szCs w:val="18"/>
        </w:rPr>
        <w:t>family limits and regulations for movement and control of donor material nationally.</w:t>
      </w:r>
    </w:p>
  </w:footnote>
  <w:footnote w:id="212">
    <w:p w14:paraId="7C44EDF4" w14:textId="77777777" w:rsidR="00027849" w:rsidRPr="0052485E" w:rsidRDefault="00027849" w:rsidP="000C3628">
      <w:pPr>
        <w:pStyle w:val="FootnoteText"/>
        <w:rPr>
          <w:szCs w:val="18"/>
        </w:rPr>
      </w:pPr>
      <w:r w:rsidRPr="0052485E">
        <w:rPr>
          <w:rStyle w:val="FootnoteReference"/>
          <w:szCs w:val="18"/>
        </w:rPr>
        <w:footnoteRef/>
      </w:r>
      <w:r w:rsidRPr="0052485E">
        <w:rPr>
          <w:szCs w:val="18"/>
        </w:rPr>
        <w:t xml:space="preserve"> </w:t>
      </w:r>
      <w:r>
        <w:rPr>
          <w:szCs w:val="18"/>
        </w:rPr>
        <w:t>C</w:t>
      </w:r>
      <w:r w:rsidRPr="0052485E">
        <w:rPr>
          <w:szCs w:val="18"/>
        </w:rPr>
        <w:t>ommenced on 6</w:t>
      </w:r>
      <w:r>
        <w:rPr>
          <w:szCs w:val="18"/>
        </w:rPr>
        <w:t xml:space="preserve"> February </w:t>
      </w:r>
      <w:r w:rsidRPr="0052485E">
        <w:rPr>
          <w:szCs w:val="18"/>
        </w:rPr>
        <w:t>2025 with the report to the Attorney-General by 16 August 2026</w:t>
      </w:r>
      <w:r>
        <w:rPr>
          <w:szCs w:val="18"/>
        </w:rPr>
        <w:t xml:space="preserve">: ‘Review of Human Tissue Laws: Issue Paper Released’, </w:t>
      </w:r>
      <w:r w:rsidRPr="00F250E8">
        <w:rPr>
          <w:i/>
          <w:iCs/>
          <w:szCs w:val="18"/>
        </w:rPr>
        <w:t>Australian Law Reform Commission</w:t>
      </w:r>
      <w:r>
        <w:rPr>
          <w:i/>
          <w:iCs/>
          <w:szCs w:val="18"/>
        </w:rPr>
        <w:t xml:space="preserve"> </w:t>
      </w:r>
      <w:r>
        <w:rPr>
          <w:szCs w:val="18"/>
        </w:rPr>
        <w:t>(Web Page, 2025) &lt;</w:t>
      </w:r>
      <w:r w:rsidRPr="00775302">
        <w:rPr>
          <w:szCs w:val="18"/>
        </w:rPr>
        <w:t>https://www.alrc.gov.au/news/review-of-human-tissue-laws-issues-paper-released/</w:t>
      </w:r>
      <w:r>
        <w:rPr>
          <w:szCs w:val="18"/>
        </w:rPr>
        <w:t>&gt;.</w:t>
      </w:r>
    </w:p>
  </w:footnote>
  <w:footnote w:id="213">
    <w:p w14:paraId="7B69ADA9" w14:textId="77777777" w:rsidR="00027849" w:rsidRDefault="00027849" w:rsidP="000C3628">
      <w:pPr>
        <w:pStyle w:val="FootnoteText"/>
      </w:pPr>
      <w:r w:rsidRPr="0052485E">
        <w:rPr>
          <w:rStyle w:val="FootnoteReference"/>
          <w:szCs w:val="18"/>
        </w:rPr>
        <w:footnoteRef/>
      </w:r>
      <w:r w:rsidRPr="0052485E">
        <w:rPr>
          <w:szCs w:val="18"/>
        </w:rPr>
        <w:t xml:space="preserve"> </w:t>
      </w:r>
      <w:r>
        <w:rPr>
          <w:szCs w:val="18"/>
        </w:rPr>
        <w:t>C</w:t>
      </w:r>
      <w:r w:rsidRPr="0052485E">
        <w:rPr>
          <w:szCs w:val="18"/>
        </w:rPr>
        <w:t>ommenced on 6</w:t>
      </w:r>
      <w:r>
        <w:rPr>
          <w:szCs w:val="18"/>
        </w:rPr>
        <w:t xml:space="preserve"> December 2024</w:t>
      </w:r>
      <w:r w:rsidRPr="0052485E">
        <w:rPr>
          <w:szCs w:val="18"/>
        </w:rPr>
        <w:t>. The ALRC providing its final report to the Attorney-General by 29 July 2026.</w:t>
      </w:r>
      <w:r>
        <w:rPr>
          <w:szCs w:val="18"/>
        </w:rPr>
        <w:t xml:space="preserve"> ‘Review of Surrogacy Laws: Issues Paper Released’, </w:t>
      </w:r>
      <w:r w:rsidRPr="00775302">
        <w:rPr>
          <w:i/>
          <w:iCs/>
          <w:szCs w:val="18"/>
        </w:rPr>
        <w:t>Australian Law Reform Commission</w:t>
      </w:r>
      <w:r>
        <w:rPr>
          <w:szCs w:val="18"/>
        </w:rPr>
        <w:t xml:space="preserve"> (Web Page, 2025) &lt;</w:t>
      </w:r>
      <w:r w:rsidRPr="00581364">
        <w:rPr>
          <w:szCs w:val="18"/>
        </w:rPr>
        <w:t>https://www.alrc.gov.au/news/review-of-surrogacy-laws-issues-paper-released/</w:t>
      </w:r>
      <w:r>
        <w:rPr>
          <w:szCs w:val="18"/>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CA466" w14:textId="08A6E7F9" w:rsidR="005F424B" w:rsidRDefault="008B6573">
    <w:pPr>
      <w:pStyle w:val="Header"/>
    </w:pPr>
    <w:r>
      <w:rPr>
        <w:noProof/>
      </w:rPr>
      <mc:AlternateContent>
        <mc:Choice Requires="wps">
          <w:drawing>
            <wp:anchor distT="0" distB="0" distL="0" distR="0" simplePos="0" relativeHeight="251660293" behindDoc="0" locked="0" layoutInCell="1" allowOverlap="1" wp14:anchorId="061E0005" wp14:editId="695A6D43">
              <wp:simplePos x="635" y="635"/>
              <wp:positionH relativeFrom="page">
                <wp:align>center</wp:align>
              </wp:positionH>
              <wp:positionV relativeFrom="page">
                <wp:align>top</wp:align>
              </wp:positionV>
              <wp:extent cx="551815" cy="376555"/>
              <wp:effectExtent l="0" t="0" r="635" b="4445"/>
              <wp:wrapNone/>
              <wp:docPr id="38546101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A620C7F" w14:textId="4E8658F3"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1E0005"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60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6A620C7F" w14:textId="4E8658F3"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v:textbox>
              <w10:wrap anchorx="page" anchory="page"/>
            </v:shape>
          </w:pict>
        </mc:Fallback>
      </mc:AlternateContent>
    </w:r>
  </w:p>
  <w:p w14:paraId="6725382C" w14:textId="77777777" w:rsidR="005F424B" w:rsidRDefault="005F42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452E3" w14:textId="294FD5DF" w:rsidR="005F424B" w:rsidRDefault="008B6573">
    <w:pPr>
      <w:pStyle w:val="Header"/>
    </w:pPr>
    <w:r>
      <w:rPr>
        <w:noProof/>
      </w:rPr>
      <mc:AlternateContent>
        <mc:Choice Requires="wps">
          <w:drawing>
            <wp:anchor distT="0" distB="0" distL="0" distR="0" simplePos="0" relativeHeight="251661317" behindDoc="0" locked="0" layoutInCell="1" allowOverlap="1" wp14:anchorId="76CC92E4" wp14:editId="0F50DD3C">
              <wp:simplePos x="828675" y="428625"/>
              <wp:positionH relativeFrom="page">
                <wp:align>center</wp:align>
              </wp:positionH>
              <wp:positionV relativeFrom="page">
                <wp:align>top</wp:align>
              </wp:positionV>
              <wp:extent cx="551815" cy="376555"/>
              <wp:effectExtent l="0" t="0" r="635" b="4445"/>
              <wp:wrapNone/>
              <wp:docPr id="59725785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204656E" w14:textId="6DB3FD35"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CC92E4"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613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3204656E" w14:textId="6DB3FD35"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v:textbox>
              <w10:wrap anchorx="page" anchory="page"/>
            </v:shape>
          </w:pict>
        </mc:Fallback>
      </mc:AlternateContent>
    </w:r>
  </w:p>
  <w:p w14:paraId="10D5B37A" w14:textId="77777777" w:rsidR="005F424B" w:rsidRDefault="005F42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33D08" w14:textId="0D24F575" w:rsidR="00395F7F" w:rsidRDefault="008B6573">
    <w:pPr>
      <w:pStyle w:val="Header"/>
    </w:pPr>
    <w:r>
      <w:rPr>
        <w:noProof/>
      </w:rPr>
      <mc:AlternateContent>
        <mc:Choice Requires="wps">
          <w:drawing>
            <wp:anchor distT="0" distB="0" distL="0" distR="0" simplePos="0" relativeHeight="251659269" behindDoc="0" locked="0" layoutInCell="1" allowOverlap="1" wp14:anchorId="5DE945AB" wp14:editId="2B7BE3A6">
              <wp:simplePos x="635" y="635"/>
              <wp:positionH relativeFrom="page">
                <wp:align>center</wp:align>
              </wp:positionH>
              <wp:positionV relativeFrom="page">
                <wp:align>top</wp:align>
              </wp:positionV>
              <wp:extent cx="551815" cy="376555"/>
              <wp:effectExtent l="0" t="0" r="635" b="4445"/>
              <wp:wrapNone/>
              <wp:docPr id="54520395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8D4DC05" w14:textId="4909AB6B"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E945AB" id="_x0000_t202" coordsize="21600,21600" o:spt="202" path="m,l,21600r21600,l21600,xe">
              <v:stroke joinstyle="miter"/>
              <v:path gradientshapeok="t" o:connecttype="rect"/>
            </v:shapetype>
            <v:shape id="Text Box 1" o:spid="_x0000_s1029" type="#_x0000_t202" alt="OFFICIAL" style="position:absolute;margin-left:0;margin-top:0;width:43.45pt;height:29.65pt;z-index:251659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7A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NT9FpojDuVg3Le3fNVh6TXz4Yk5XDDOgaIN&#10;j3hIBX1N4WRR0oL79Z4/5iPvGKWkR8HU1KCiKVE/DO4jaisZxde8zPHmJvd2Msxe3wHKsMAXYXky&#10;Y15Qkykd6BeU8zIWwhAzHMvVNEzmXRiVi8+Bi+UyJaGMLAtrs7E8Qke6IpfPwwtz9kR4wE09wKQm&#10;Vr3ifcyNf3q73AdkPy0lUjsSeWIcJZjWenouUeN/3lPW5VEvfg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JVJnsANAgAAHAQA&#10;AA4AAAAAAAAAAAAAAAAALgIAAGRycy9lMm9Eb2MueG1sUEsBAi0AFAAGAAgAAAAhAMOJHXfaAAAA&#10;AwEAAA8AAAAAAAAAAAAAAAAAZwQAAGRycy9kb3ducmV2LnhtbFBLBQYAAAAABAAEAPMAAABuBQAA&#10;AAA=&#10;" filled="f" stroked="f">
              <v:textbox style="mso-fit-shape-to-text:t" inset="0,15pt,0,0">
                <w:txbxContent>
                  <w:p w14:paraId="68D4DC05" w14:textId="4909AB6B"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v:textbox>
              <w10:wrap anchorx="page" anchory="page"/>
            </v:shape>
          </w:pict>
        </mc:Fallback>
      </mc:AlternateContent>
    </w:r>
  </w:p>
  <w:p w14:paraId="1A91E548" w14:textId="5522B4B3" w:rsidR="00395F7F" w:rsidRDefault="00395F7F">
    <w:pPr>
      <w:pStyle w:val="Header"/>
    </w:pPr>
  </w:p>
  <w:p w14:paraId="524A38FD" w14:textId="69909D91" w:rsidR="005F424B" w:rsidRDefault="005F424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F32CF" w14:textId="464945F0" w:rsidR="005C554F" w:rsidRDefault="008B6573">
    <w:pPr>
      <w:pStyle w:val="Header"/>
    </w:pPr>
    <w:r>
      <w:rPr>
        <w:noProof/>
      </w:rPr>
      <mc:AlternateContent>
        <mc:Choice Requires="wps">
          <w:drawing>
            <wp:anchor distT="0" distB="0" distL="0" distR="0" simplePos="0" relativeHeight="251663365" behindDoc="0" locked="0" layoutInCell="1" allowOverlap="1" wp14:anchorId="040CE6FA" wp14:editId="6CB9C9D9">
              <wp:simplePos x="635" y="635"/>
              <wp:positionH relativeFrom="page">
                <wp:align>center</wp:align>
              </wp:positionH>
              <wp:positionV relativeFrom="page">
                <wp:align>top</wp:align>
              </wp:positionV>
              <wp:extent cx="551815" cy="376555"/>
              <wp:effectExtent l="0" t="0" r="635" b="4445"/>
              <wp:wrapNone/>
              <wp:docPr id="967339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474CB31" w14:textId="3FA40DA3"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0CE6FA" id="_x0000_t202" coordsize="21600,21600" o:spt="202" path="m,l,21600r21600,l21600,xe">
              <v:stroke joinstyle="miter"/>
              <v:path gradientshapeok="t" o:connecttype="rect"/>
            </v:shapetype>
            <v:shape id="Text Box 5" o:spid="_x0000_s1031" type="#_x0000_t202" alt="OFFICIAL" style="position:absolute;margin-left:0;margin-top:0;width:43.45pt;height:29.65pt;z-index:2516633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FN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kan7LTRHHMrBuG9v+arD0mvmwxNzuGCcA0Ub&#10;HvGQCvqawsmipAX36z1/zEfeMUpJj4KpqUFFU6J+GNxH1FYyiq95mePNTe7tZJi9vgOUYYEvwvJk&#10;xrygJlM60C8o52UshCFmOJaraZjMuzAqF58DF8tlSkIZWRbWZmN5hI50RS6fhxfm7InwgJt6gElN&#10;rHrF+5gb//R2uQ/IflpKpHYk8sQ4SjCt9fRcosb/vKesy6Ne/AY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vKMU0NAgAAHAQA&#10;AA4AAAAAAAAAAAAAAAAALgIAAGRycy9lMm9Eb2MueG1sUEsBAi0AFAAGAAgAAAAhAMOJHXfaAAAA&#10;AwEAAA8AAAAAAAAAAAAAAAAAZwQAAGRycy9kb3ducmV2LnhtbFBLBQYAAAAABAAEAPMAAABuBQAA&#10;AAA=&#10;" filled="f" stroked="f">
              <v:textbox style="mso-fit-shape-to-text:t" inset="0,15pt,0,0">
                <w:txbxContent>
                  <w:p w14:paraId="7474CB31" w14:textId="3FA40DA3"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5C554F" w14:paraId="7AA0875A" w14:textId="77777777">
      <w:trPr>
        <w:trHeight w:val="300"/>
      </w:trPr>
      <w:tc>
        <w:tcPr>
          <w:tcW w:w="3120" w:type="dxa"/>
        </w:tcPr>
        <w:p w14:paraId="13E1F890" w14:textId="52692C77" w:rsidR="005C554F" w:rsidRDefault="005C554F">
          <w:pPr>
            <w:pStyle w:val="Header"/>
            <w:ind w:left="-115"/>
          </w:pPr>
        </w:p>
      </w:tc>
      <w:tc>
        <w:tcPr>
          <w:tcW w:w="3120" w:type="dxa"/>
        </w:tcPr>
        <w:p w14:paraId="5F0968C7" w14:textId="77777777" w:rsidR="005C554F" w:rsidRDefault="005C554F">
          <w:pPr>
            <w:pStyle w:val="Header"/>
            <w:jc w:val="center"/>
          </w:pPr>
        </w:p>
      </w:tc>
      <w:tc>
        <w:tcPr>
          <w:tcW w:w="3120" w:type="dxa"/>
        </w:tcPr>
        <w:p w14:paraId="07058A8A" w14:textId="77777777" w:rsidR="005C554F" w:rsidRDefault="005C554F">
          <w:pPr>
            <w:pStyle w:val="Header"/>
            <w:ind w:right="-115"/>
            <w:jc w:val="right"/>
          </w:pPr>
        </w:p>
      </w:tc>
    </w:tr>
  </w:tbl>
  <w:p w14:paraId="7B7582E0" w14:textId="03903465" w:rsidR="005C554F" w:rsidRDefault="005C55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B9A98" w14:textId="49FB9D89" w:rsidR="005C554F" w:rsidRDefault="008B6573">
    <w:pPr>
      <w:pStyle w:val="Header"/>
    </w:pPr>
    <w:r>
      <w:rPr>
        <w:noProof/>
      </w:rPr>
      <mc:AlternateContent>
        <mc:Choice Requires="wps">
          <w:drawing>
            <wp:anchor distT="0" distB="0" distL="0" distR="0" simplePos="0" relativeHeight="251662341" behindDoc="0" locked="0" layoutInCell="1" allowOverlap="1" wp14:anchorId="54D77BC4" wp14:editId="0B5757A3">
              <wp:simplePos x="635" y="635"/>
              <wp:positionH relativeFrom="page">
                <wp:align>center</wp:align>
              </wp:positionH>
              <wp:positionV relativeFrom="page">
                <wp:align>top</wp:align>
              </wp:positionV>
              <wp:extent cx="551815" cy="376555"/>
              <wp:effectExtent l="0" t="0" r="635" b="4445"/>
              <wp:wrapNone/>
              <wp:docPr id="67949920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B83EF14" w14:textId="3F77C38F"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D77BC4" id="_x0000_t202" coordsize="21600,21600" o:spt="202" path="m,l,21600r21600,l21600,xe">
              <v:stroke joinstyle="miter"/>
              <v:path gradientshapeok="t" o:connecttype="rect"/>
            </v:shapetype>
            <v:shape id="Text Box 4" o:spid="_x0000_s1032" type="#_x0000_t202" alt="OFFICIAL" style="position:absolute;margin-left:0;margin-top:0;width:43.45pt;height:29.65pt;z-index:2516623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6B83EF14" w14:textId="3F77C38F"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93E0B" w14:textId="31014AB6" w:rsidR="00431A70" w:rsidRPr="00454A7D" w:rsidRDefault="008B6573" w:rsidP="00454A7D">
    <w:pPr>
      <w:pStyle w:val="Header"/>
    </w:pPr>
    <w:r>
      <w:rPr>
        <w:noProof/>
      </w:rPr>
      <mc:AlternateContent>
        <mc:Choice Requires="wps">
          <w:drawing>
            <wp:anchor distT="0" distB="0" distL="0" distR="0" simplePos="0" relativeHeight="251665413" behindDoc="0" locked="0" layoutInCell="1" allowOverlap="1" wp14:anchorId="199BF1ED" wp14:editId="7B074002">
              <wp:simplePos x="635" y="635"/>
              <wp:positionH relativeFrom="page">
                <wp:align>center</wp:align>
              </wp:positionH>
              <wp:positionV relativeFrom="page">
                <wp:align>top</wp:align>
              </wp:positionV>
              <wp:extent cx="551815" cy="376555"/>
              <wp:effectExtent l="0" t="0" r="635" b="4445"/>
              <wp:wrapNone/>
              <wp:docPr id="39648574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EE4A1FF" w14:textId="742771C0"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9BF1ED" id="_x0000_t202" coordsize="21600,21600" o:spt="202" path="m,l,21600r21600,l21600,xe">
              <v:stroke joinstyle="miter"/>
              <v:path gradientshapeok="t" o:connecttype="rect"/>
            </v:shapetype>
            <v:shape id="Text Box 7" o:spid="_x0000_s1033" type="#_x0000_t202" alt="OFFICIAL" style="position:absolute;margin-left:0;margin-top:0;width:43.45pt;height:29.65pt;z-index:2516654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textbox style="mso-fit-shape-to-text:t" inset="0,15pt,0,0">
                <w:txbxContent>
                  <w:p w14:paraId="0EE4A1FF" w14:textId="742771C0" w:rsidR="008B6573" w:rsidRPr="008B6573" w:rsidRDefault="008B6573" w:rsidP="008B6573">
                    <w:pPr>
                      <w:spacing w:after="0"/>
                      <w:rPr>
                        <w:rFonts w:ascii="Calibri" w:eastAsia="Calibri" w:hAnsi="Calibri" w:cs="Calibri"/>
                        <w:noProof/>
                        <w:color w:val="FF0000"/>
                        <w:sz w:val="24"/>
                        <w:szCs w:val="24"/>
                      </w:rPr>
                    </w:pPr>
                    <w:r w:rsidRPr="008B6573">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7AB50" w14:textId="128A1C37" w:rsidR="00562811" w:rsidRPr="0051568D" w:rsidRDefault="00562811" w:rsidP="001767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D43DB"/>
    <w:multiLevelType w:val="multilevel"/>
    <w:tmpl w:val="B33A2DBC"/>
    <w:styleLink w:val="ZZBullets"/>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 w15:restartNumberingAfterBreak="0">
    <w:nsid w:val="0BAD2E30"/>
    <w:multiLevelType w:val="multilevel"/>
    <w:tmpl w:val="B33A2DBC"/>
    <w:lvl w:ilvl="0">
      <w:start w:val="1"/>
      <w:numFmt w:val="decimal"/>
      <w:pStyle w:val="Numberloweralpha"/>
      <w:lvlText w:val="%1."/>
      <w:lvlJc w:val="left"/>
      <w:pPr>
        <w:tabs>
          <w:tab w:val="num" w:pos="397"/>
        </w:tabs>
        <w:ind w:left="397" w:hanging="397"/>
      </w:pPr>
      <w:rPr>
        <w:rFonts w:hint="default"/>
      </w:rPr>
    </w:lvl>
    <w:lvl w:ilvl="1">
      <w:start w:val="1"/>
      <w:numFmt w:val="decimal"/>
      <w:pStyle w:val="Numberloweralphaindent"/>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2DCD48D5"/>
    <w:multiLevelType w:val="hybridMultilevel"/>
    <w:tmpl w:val="08A02CD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0FF584D"/>
    <w:multiLevelType w:val="hybridMultilevel"/>
    <w:tmpl w:val="A5AE92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35637E7"/>
    <w:multiLevelType w:val="hybridMultilevel"/>
    <w:tmpl w:val="A7B8CEAC"/>
    <w:styleLink w:val="ZZNumbersdigit"/>
    <w:lvl w:ilvl="0" w:tplc="2C6EC988">
      <w:start w:val="1"/>
      <w:numFmt w:val="decimal"/>
      <w:lvlText w:val="%1."/>
      <w:lvlJc w:val="left"/>
      <w:pPr>
        <w:ind w:left="1020" w:hanging="360"/>
      </w:pPr>
    </w:lvl>
    <w:lvl w:ilvl="1" w:tplc="09BCABB4">
      <w:start w:val="1"/>
      <w:numFmt w:val="decimal"/>
      <w:lvlText w:val="%2."/>
      <w:lvlJc w:val="left"/>
      <w:pPr>
        <w:ind w:left="1020" w:hanging="360"/>
      </w:pPr>
    </w:lvl>
    <w:lvl w:ilvl="2" w:tplc="C1987A38">
      <w:start w:val="1"/>
      <w:numFmt w:val="decimal"/>
      <w:lvlText w:val="%3."/>
      <w:lvlJc w:val="left"/>
      <w:pPr>
        <w:ind w:left="1020" w:hanging="360"/>
      </w:pPr>
    </w:lvl>
    <w:lvl w:ilvl="3" w:tplc="4BB01862">
      <w:start w:val="1"/>
      <w:numFmt w:val="decimal"/>
      <w:lvlText w:val="%4."/>
      <w:lvlJc w:val="left"/>
      <w:pPr>
        <w:ind w:left="1020" w:hanging="360"/>
      </w:pPr>
    </w:lvl>
    <w:lvl w:ilvl="4" w:tplc="A672ECDC">
      <w:start w:val="1"/>
      <w:numFmt w:val="decimal"/>
      <w:lvlText w:val="%5."/>
      <w:lvlJc w:val="left"/>
      <w:pPr>
        <w:ind w:left="1020" w:hanging="360"/>
      </w:pPr>
    </w:lvl>
    <w:lvl w:ilvl="5" w:tplc="6E4AA086">
      <w:start w:val="1"/>
      <w:numFmt w:val="decimal"/>
      <w:lvlText w:val="%6."/>
      <w:lvlJc w:val="left"/>
      <w:pPr>
        <w:ind w:left="1020" w:hanging="360"/>
      </w:pPr>
    </w:lvl>
    <w:lvl w:ilvl="6" w:tplc="E06AF53E">
      <w:start w:val="1"/>
      <w:numFmt w:val="decimal"/>
      <w:lvlText w:val="%7."/>
      <w:lvlJc w:val="left"/>
      <w:pPr>
        <w:ind w:left="1020" w:hanging="360"/>
      </w:pPr>
    </w:lvl>
    <w:lvl w:ilvl="7" w:tplc="D7BE469A">
      <w:start w:val="1"/>
      <w:numFmt w:val="decimal"/>
      <w:lvlText w:val="%8."/>
      <w:lvlJc w:val="left"/>
      <w:pPr>
        <w:ind w:left="1020" w:hanging="360"/>
      </w:pPr>
    </w:lvl>
    <w:lvl w:ilvl="8" w:tplc="D8001682">
      <w:start w:val="1"/>
      <w:numFmt w:val="decimal"/>
      <w:lvlText w:val="%9."/>
      <w:lvlJc w:val="left"/>
      <w:pPr>
        <w:ind w:left="1020" w:hanging="360"/>
      </w:pPr>
    </w:lvl>
  </w:abstractNum>
  <w:abstractNum w:abstractNumId="5" w15:restartNumberingAfterBreak="0">
    <w:nsid w:val="34BF3690"/>
    <w:multiLevelType w:val="multilevel"/>
    <w:tmpl w:val="A68829A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EB6CE4"/>
    <w:multiLevelType w:val="hybridMultilevel"/>
    <w:tmpl w:val="81AC2C94"/>
    <w:styleLink w:val="ZZTablebullets"/>
    <w:lvl w:ilvl="0" w:tplc="A2EE2122">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4BA1E5A"/>
    <w:multiLevelType w:val="multilevel"/>
    <w:tmpl w:val="F05C78C0"/>
    <w:styleLink w:val="ZZNumbersloweralpha"/>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9CD6817"/>
    <w:multiLevelType w:val="multilevel"/>
    <w:tmpl w:val="22F0951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bCs/>
      </w:rPr>
    </w:lvl>
    <w:lvl w:ilvl="2">
      <w:start w:val="1"/>
      <w:numFmt w:val="decimal"/>
      <w:suff w:val="space"/>
      <w:lvlText w:val="%1.%2.%3"/>
      <w:lvlJc w:val="left"/>
      <w:pPr>
        <w:ind w:left="1997" w:hanging="720"/>
      </w:pPr>
      <w:rPr>
        <w:rFonts w:hint="default"/>
        <w:strike/>
        <w:sz w:val="32"/>
        <w:szCs w:val="32"/>
      </w:rPr>
    </w:lvl>
    <w:lvl w:ilvl="3">
      <w:start w:val="1"/>
      <w:numFmt w:val="decimal"/>
      <w:lvlText w:val="%1.%2.%3.%4"/>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pStyle w:val="Heading7"/>
      <w:lvlText w:val=""/>
      <w:lvlJc w:val="left"/>
      <w:pPr>
        <w:ind w:left="1296" w:hanging="1296"/>
      </w:pPr>
      <w:rPr>
        <w:rFonts w:hint="default"/>
      </w:rPr>
    </w:lvl>
    <w:lvl w:ilvl="7">
      <w:start w:val="1"/>
      <w:numFmt w:val="none"/>
      <w:pStyle w:val="Heading8"/>
      <w:lvlText w:val=""/>
      <w:lvlJc w:val="left"/>
      <w:pPr>
        <w:ind w:left="1440" w:hanging="1440"/>
      </w:pPr>
      <w:rPr>
        <w:rFonts w:hint="default"/>
      </w:rPr>
    </w:lvl>
    <w:lvl w:ilvl="8">
      <w:start w:val="1"/>
      <w:numFmt w:val="none"/>
      <w:pStyle w:val="Heading9"/>
      <w:lvlText w:val=""/>
      <w:lvlJc w:val="left"/>
      <w:pPr>
        <w:ind w:left="1584" w:hanging="1584"/>
      </w:pPr>
      <w:rPr>
        <w:rFonts w:hint="default"/>
      </w:rPr>
    </w:lvl>
  </w:abstractNum>
  <w:abstractNum w:abstractNumId="9" w15:restartNumberingAfterBreak="0">
    <w:nsid w:val="5BF92034"/>
    <w:multiLevelType w:val="hybridMultilevel"/>
    <w:tmpl w:val="26B8D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D5C6153"/>
    <w:multiLevelType w:val="hybridMultilevel"/>
    <w:tmpl w:val="524C7CB6"/>
    <w:lvl w:ilvl="0" w:tplc="F6D63BD4">
      <w:start w:val="1"/>
      <w:numFmt w:val="decimal"/>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309259F"/>
    <w:multiLevelType w:val="multilevel"/>
    <w:tmpl w:val="B33A2DBC"/>
    <w:styleLink w:val="ZZNumberslowerroman"/>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6371404A"/>
    <w:multiLevelType w:val="multilevel"/>
    <w:tmpl w:val="93C67D50"/>
    <w:lvl w:ilvl="0">
      <w:start w:val="1"/>
      <w:numFmt w:val="bullet"/>
      <w:pStyle w:val="Bullet1"/>
      <w:lvlText w:val=""/>
      <w:lvlJc w:val="left"/>
      <w:pPr>
        <w:ind w:left="480" w:hanging="480"/>
      </w:pPr>
      <w:rPr>
        <w:rFonts w:ascii="Symbol" w:hAnsi="Symbol"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9505DAF"/>
    <w:multiLevelType w:val="hybridMultilevel"/>
    <w:tmpl w:val="2F9CEFE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1F93C6F"/>
    <w:multiLevelType w:val="hybridMultilevel"/>
    <w:tmpl w:val="15221008"/>
    <w:styleLink w:val="ZZQuotebullet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36648970">
    <w:abstractNumId w:val="7"/>
  </w:num>
  <w:num w:numId="2" w16cid:durableId="1009873939">
    <w:abstractNumId w:val="1"/>
  </w:num>
  <w:num w:numId="3" w16cid:durableId="1595163101">
    <w:abstractNumId w:val="4"/>
  </w:num>
  <w:num w:numId="4" w16cid:durableId="307906135">
    <w:abstractNumId w:val="12"/>
  </w:num>
  <w:num w:numId="5" w16cid:durableId="1133599399">
    <w:abstractNumId w:val="0"/>
  </w:num>
  <w:num w:numId="6" w16cid:durableId="849490513">
    <w:abstractNumId w:val="11"/>
  </w:num>
  <w:num w:numId="7" w16cid:durableId="1388534769">
    <w:abstractNumId w:val="14"/>
  </w:num>
  <w:num w:numId="8" w16cid:durableId="483131599">
    <w:abstractNumId w:val="6"/>
  </w:num>
  <w:num w:numId="9" w16cid:durableId="936522042">
    <w:abstractNumId w:val="2"/>
  </w:num>
  <w:num w:numId="10" w16cid:durableId="1761560506">
    <w:abstractNumId w:val="8"/>
    <w:lvlOverride w:ilvl="0">
      <w:startOverride w:val="1"/>
    </w:lvlOverride>
  </w:num>
  <w:num w:numId="11" w16cid:durableId="1585648051">
    <w:abstractNumId w:val="8"/>
    <w:lvlOverride w:ilvl="0">
      <w:startOverride w:val="1"/>
    </w:lvlOverride>
  </w:num>
  <w:num w:numId="12" w16cid:durableId="2108427122">
    <w:abstractNumId w:val="5"/>
  </w:num>
  <w:num w:numId="13" w16cid:durableId="733745187">
    <w:abstractNumId w:val="3"/>
  </w:num>
  <w:num w:numId="14" w16cid:durableId="1034424484">
    <w:abstractNumId w:val="13"/>
  </w:num>
  <w:num w:numId="15" w16cid:durableId="1850951092">
    <w:abstractNumId w:val="10"/>
  </w:num>
  <w:num w:numId="16" w16cid:durableId="1293748923">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trackedChanges" w:enforcement="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F0E"/>
    <w:rsid w:val="000000CE"/>
    <w:rsid w:val="000004A9"/>
    <w:rsid w:val="00000643"/>
    <w:rsid w:val="00000719"/>
    <w:rsid w:val="00000A88"/>
    <w:rsid w:val="00000BB2"/>
    <w:rsid w:val="00000D42"/>
    <w:rsid w:val="00000D70"/>
    <w:rsid w:val="00001113"/>
    <w:rsid w:val="00001265"/>
    <w:rsid w:val="000015BB"/>
    <w:rsid w:val="00001793"/>
    <w:rsid w:val="00001C18"/>
    <w:rsid w:val="00001CD8"/>
    <w:rsid w:val="0000212C"/>
    <w:rsid w:val="0000232E"/>
    <w:rsid w:val="00002480"/>
    <w:rsid w:val="000025AA"/>
    <w:rsid w:val="00002B98"/>
    <w:rsid w:val="00002D68"/>
    <w:rsid w:val="00002E18"/>
    <w:rsid w:val="0000321B"/>
    <w:rsid w:val="000033F7"/>
    <w:rsid w:val="00003403"/>
    <w:rsid w:val="000035FD"/>
    <w:rsid w:val="00003917"/>
    <w:rsid w:val="00003993"/>
    <w:rsid w:val="000039E6"/>
    <w:rsid w:val="00003CBD"/>
    <w:rsid w:val="000040E8"/>
    <w:rsid w:val="0000417C"/>
    <w:rsid w:val="00004397"/>
    <w:rsid w:val="000045D7"/>
    <w:rsid w:val="0000470F"/>
    <w:rsid w:val="00004F63"/>
    <w:rsid w:val="000051B7"/>
    <w:rsid w:val="000052F7"/>
    <w:rsid w:val="00005347"/>
    <w:rsid w:val="00005563"/>
    <w:rsid w:val="0000574A"/>
    <w:rsid w:val="000058AE"/>
    <w:rsid w:val="000058DC"/>
    <w:rsid w:val="00005A26"/>
    <w:rsid w:val="00005D22"/>
    <w:rsid w:val="00005F48"/>
    <w:rsid w:val="00005F91"/>
    <w:rsid w:val="0000633C"/>
    <w:rsid w:val="00006943"/>
    <w:rsid w:val="00006BB3"/>
    <w:rsid w:val="00006BCB"/>
    <w:rsid w:val="00007034"/>
    <w:rsid w:val="0000704D"/>
    <w:rsid w:val="000072B6"/>
    <w:rsid w:val="00007359"/>
    <w:rsid w:val="00007447"/>
    <w:rsid w:val="00007780"/>
    <w:rsid w:val="00007864"/>
    <w:rsid w:val="00007A08"/>
    <w:rsid w:val="00007BF9"/>
    <w:rsid w:val="0001004F"/>
    <w:rsid w:val="00010143"/>
    <w:rsid w:val="0001021B"/>
    <w:rsid w:val="000104C1"/>
    <w:rsid w:val="000108C0"/>
    <w:rsid w:val="000108F7"/>
    <w:rsid w:val="00010B7B"/>
    <w:rsid w:val="00010E8D"/>
    <w:rsid w:val="0001105C"/>
    <w:rsid w:val="000112DB"/>
    <w:rsid w:val="000116AC"/>
    <w:rsid w:val="000116BD"/>
    <w:rsid w:val="000116E8"/>
    <w:rsid w:val="00011B50"/>
    <w:rsid w:val="00011B60"/>
    <w:rsid w:val="00011D89"/>
    <w:rsid w:val="00011D9B"/>
    <w:rsid w:val="00011DFB"/>
    <w:rsid w:val="00011EC9"/>
    <w:rsid w:val="00012121"/>
    <w:rsid w:val="0001220D"/>
    <w:rsid w:val="0001253B"/>
    <w:rsid w:val="000128D6"/>
    <w:rsid w:val="00012A89"/>
    <w:rsid w:val="00012C93"/>
    <w:rsid w:val="00012CDA"/>
    <w:rsid w:val="00012F46"/>
    <w:rsid w:val="00013177"/>
    <w:rsid w:val="000138B0"/>
    <w:rsid w:val="00013A07"/>
    <w:rsid w:val="00013B47"/>
    <w:rsid w:val="00013C9C"/>
    <w:rsid w:val="00014256"/>
    <w:rsid w:val="00014844"/>
    <w:rsid w:val="000148ED"/>
    <w:rsid w:val="00014A11"/>
    <w:rsid w:val="00014E78"/>
    <w:rsid w:val="00014F26"/>
    <w:rsid w:val="00014FA8"/>
    <w:rsid w:val="00015212"/>
    <w:rsid w:val="00015431"/>
    <w:rsid w:val="000154FD"/>
    <w:rsid w:val="00015598"/>
    <w:rsid w:val="0001571F"/>
    <w:rsid w:val="0001589F"/>
    <w:rsid w:val="00015EC7"/>
    <w:rsid w:val="00015F3A"/>
    <w:rsid w:val="00016102"/>
    <w:rsid w:val="00016372"/>
    <w:rsid w:val="00016A55"/>
    <w:rsid w:val="00016D18"/>
    <w:rsid w:val="000172B7"/>
    <w:rsid w:val="00017557"/>
    <w:rsid w:val="0001764E"/>
    <w:rsid w:val="00017849"/>
    <w:rsid w:val="00017A01"/>
    <w:rsid w:val="00017FC0"/>
    <w:rsid w:val="00017FE1"/>
    <w:rsid w:val="000200D4"/>
    <w:rsid w:val="000205BE"/>
    <w:rsid w:val="00020610"/>
    <w:rsid w:val="000217BF"/>
    <w:rsid w:val="000218E1"/>
    <w:rsid w:val="00021A94"/>
    <w:rsid w:val="00022271"/>
    <w:rsid w:val="00022686"/>
    <w:rsid w:val="00022772"/>
    <w:rsid w:val="00022935"/>
    <w:rsid w:val="00022A74"/>
    <w:rsid w:val="00022BF9"/>
    <w:rsid w:val="00022CB1"/>
    <w:rsid w:val="00022CBF"/>
    <w:rsid w:val="00023329"/>
    <w:rsid w:val="000235E8"/>
    <w:rsid w:val="00023831"/>
    <w:rsid w:val="000239A8"/>
    <w:rsid w:val="000239EA"/>
    <w:rsid w:val="00023D9E"/>
    <w:rsid w:val="000240C2"/>
    <w:rsid w:val="0002411C"/>
    <w:rsid w:val="00024485"/>
    <w:rsid w:val="000245F7"/>
    <w:rsid w:val="00024707"/>
    <w:rsid w:val="00024BF0"/>
    <w:rsid w:val="00024D89"/>
    <w:rsid w:val="00025011"/>
    <w:rsid w:val="000250B6"/>
    <w:rsid w:val="000252A5"/>
    <w:rsid w:val="0002540F"/>
    <w:rsid w:val="000258D4"/>
    <w:rsid w:val="000259BA"/>
    <w:rsid w:val="00025C59"/>
    <w:rsid w:val="00025C84"/>
    <w:rsid w:val="00026140"/>
    <w:rsid w:val="000261F1"/>
    <w:rsid w:val="00026471"/>
    <w:rsid w:val="000264A8"/>
    <w:rsid w:val="00026540"/>
    <w:rsid w:val="00026631"/>
    <w:rsid w:val="000266F1"/>
    <w:rsid w:val="00026AB0"/>
    <w:rsid w:val="00026D2F"/>
    <w:rsid w:val="000276C6"/>
    <w:rsid w:val="00027740"/>
    <w:rsid w:val="00027849"/>
    <w:rsid w:val="00027A56"/>
    <w:rsid w:val="00027C69"/>
    <w:rsid w:val="00027D06"/>
    <w:rsid w:val="00027E83"/>
    <w:rsid w:val="00030029"/>
    <w:rsid w:val="0003015E"/>
    <w:rsid w:val="00030160"/>
    <w:rsid w:val="000302B5"/>
    <w:rsid w:val="00030442"/>
    <w:rsid w:val="000305D8"/>
    <w:rsid w:val="0003067F"/>
    <w:rsid w:val="000308AF"/>
    <w:rsid w:val="00030A1C"/>
    <w:rsid w:val="00030C5F"/>
    <w:rsid w:val="00030CCC"/>
    <w:rsid w:val="00030CDD"/>
    <w:rsid w:val="00030DCD"/>
    <w:rsid w:val="00030FDB"/>
    <w:rsid w:val="000312EC"/>
    <w:rsid w:val="000315EA"/>
    <w:rsid w:val="00031BCB"/>
    <w:rsid w:val="000320B0"/>
    <w:rsid w:val="00032457"/>
    <w:rsid w:val="000325FE"/>
    <w:rsid w:val="00032A46"/>
    <w:rsid w:val="00032A94"/>
    <w:rsid w:val="000331B9"/>
    <w:rsid w:val="000333CC"/>
    <w:rsid w:val="000333EA"/>
    <w:rsid w:val="000336F6"/>
    <w:rsid w:val="000336FC"/>
    <w:rsid w:val="00033929"/>
    <w:rsid w:val="00033D4F"/>
    <w:rsid w:val="00033D81"/>
    <w:rsid w:val="00033DC9"/>
    <w:rsid w:val="00034032"/>
    <w:rsid w:val="0003433B"/>
    <w:rsid w:val="00034362"/>
    <w:rsid w:val="000344A3"/>
    <w:rsid w:val="00034A0D"/>
    <w:rsid w:val="00034F87"/>
    <w:rsid w:val="00035087"/>
    <w:rsid w:val="000351D2"/>
    <w:rsid w:val="0003536D"/>
    <w:rsid w:val="000355C9"/>
    <w:rsid w:val="000356BA"/>
    <w:rsid w:val="00035741"/>
    <w:rsid w:val="0003587B"/>
    <w:rsid w:val="00035D08"/>
    <w:rsid w:val="000361A0"/>
    <w:rsid w:val="0003630B"/>
    <w:rsid w:val="000366FE"/>
    <w:rsid w:val="000367B2"/>
    <w:rsid w:val="00036C44"/>
    <w:rsid w:val="00036F66"/>
    <w:rsid w:val="0003711E"/>
    <w:rsid w:val="00037280"/>
    <w:rsid w:val="00037353"/>
    <w:rsid w:val="00037366"/>
    <w:rsid w:val="0003749D"/>
    <w:rsid w:val="000374D3"/>
    <w:rsid w:val="000375CE"/>
    <w:rsid w:val="000379A0"/>
    <w:rsid w:val="00037A0D"/>
    <w:rsid w:val="00037B85"/>
    <w:rsid w:val="000400E4"/>
    <w:rsid w:val="000401F8"/>
    <w:rsid w:val="000403E0"/>
    <w:rsid w:val="00040644"/>
    <w:rsid w:val="000409D1"/>
    <w:rsid w:val="00040B9B"/>
    <w:rsid w:val="0004119A"/>
    <w:rsid w:val="000413C8"/>
    <w:rsid w:val="000418D9"/>
    <w:rsid w:val="00041A02"/>
    <w:rsid w:val="00041A1A"/>
    <w:rsid w:val="00041A5B"/>
    <w:rsid w:val="00041BF0"/>
    <w:rsid w:val="00041BFD"/>
    <w:rsid w:val="00041C1D"/>
    <w:rsid w:val="00041C1E"/>
    <w:rsid w:val="00041C45"/>
    <w:rsid w:val="00041C7B"/>
    <w:rsid w:val="000421EB"/>
    <w:rsid w:val="0004222C"/>
    <w:rsid w:val="0004252D"/>
    <w:rsid w:val="000427C8"/>
    <w:rsid w:val="00042954"/>
    <w:rsid w:val="0004297F"/>
    <w:rsid w:val="000429B7"/>
    <w:rsid w:val="00042ADE"/>
    <w:rsid w:val="00042C8A"/>
    <w:rsid w:val="00042D65"/>
    <w:rsid w:val="00042DD0"/>
    <w:rsid w:val="000430BC"/>
    <w:rsid w:val="0004340E"/>
    <w:rsid w:val="00043588"/>
    <w:rsid w:val="000439D0"/>
    <w:rsid w:val="000441A5"/>
    <w:rsid w:val="00044247"/>
    <w:rsid w:val="000446D3"/>
    <w:rsid w:val="00044752"/>
    <w:rsid w:val="0004479D"/>
    <w:rsid w:val="0004489E"/>
    <w:rsid w:val="000449E9"/>
    <w:rsid w:val="00044A66"/>
    <w:rsid w:val="00044CA6"/>
    <w:rsid w:val="00044DAA"/>
    <w:rsid w:val="00044E09"/>
    <w:rsid w:val="00044EFD"/>
    <w:rsid w:val="00044F3D"/>
    <w:rsid w:val="0004504D"/>
    <w:rsid w:val="000450F6"/>
    <w:rsid w:val="0004536B"/>
    <w:rsid w:val="000454DB"/>
    <w:rsid w:val="00045540"/>
    <w:rsid w:val="00045A4A"/>
    <w:rsid w:val="00045A5E"/>
    <w:rsid w:val="00045DD3"/>
    <w:rsid w:val="000460D0"/>
    <w:rsid w:val="000462D2"/>
    <w:rsid w:val="0004655F"/>
    <w:rsid w:val="000465F6"/>
    <w:rsid w:val="000468C7"/>
    <w:rsid w:val="000469A5"/>
    <w:rsid w:val="00046B01"/>
    <w:rsid w:val="00046B58"/>
    <w:rsid w:val="00046B68"/>
    <w:rsid w:val="00046BB6"/>
    <w:rsid w:val="00046E1B"/>
    <w:rsid w:val="00046E64"/>
    <w:rsid w:val="00046EE0"/>
    <w:rsid w:val="000470E9"/>
    <w:rsid w:val="00047178"/>
    <w:rsid w:val="00047255"/>
    <w:rsid w:val="00047298"/>
    <w:rsid w:val="000476D7"/>
    <w:rsid w:val="00047752"/>
    <w:rsid w:val="00047C99"/>
    <w:rsid w:val="000501BD"/>
    <w:rsid w:val="00050429"/>
    <w:rsid w:val="00050706"/>
    <w:rsid w:val="00050832"/>
    <w:rsid w:val="0005109C"/>
    <w:rsid w:val="00051254"/>
    <w:rsid w:val="0005168B"/>
    <w:rsid w:val="00051B87"/>
    <w:rsid w:val="00051CA2"/>
    <w:rsid w:val="00051EBA"/>
    <w:rsid w:val="0005209E"/>
    <w:rsid w:val="0005245B"/>
    <w:rsid w:val="00052493"/>
    <w:rsid w:val="000525F4"/>
    <w:rsid w:val="000527DD"/>
    <w:rsid w:val="0005311D"/>
    <w:rsid w:val="000534F3"/>
    <w:rsid w:val="000539E1"/>
    <w:rsid w:val="00053A24"/>
    <w:rsid w:val="00053FFA"/>
    <w:rsid w:val="000541DA"/>
    <w:rsid w:val="00054600"/>
    <w:rsid w:val="00054800"/>
    <w:rsid w:val="000548EA"/>
    <w:rsid w:val="00054939"/>
    <w:rsid w:val="00054A1D"/>
    <w:rsid w:val="000552D3"/>
    <w:rsid w:val="000555B6"/>
    <w:rsid w:val="00055B36"/>
    <w:rsid w:val="00055CE3"/>
    <w:rsid w:val="00055DAA"/>
    <w:rsid w:val="00055E6A"/>
    <w:rsid w:val="000562FA"/>
    <w:rsid w:val="0005636C"/>
    <w:rsid w:val="00056535"/>
    <w:rsid w:val="00056643"/>
    <w:rsid w:val="00056B3C"/>
    <w:rsid w:val="00056EC4"/>
    <w:rsid w:val="00056EF7"/>
    <w:rsid w:val="00057005"/>
    <w:rsid w:val="000578B2"/>
    <w:rsid w:val="0006017D"/>
    <w:rsid w:val="00060301"/>
    <w:rsid w:val="00060522"/>
    <w:rsid w:val="000605A0"/>
    <w:rsid w:val="000607C2"/>
    <w:rsid w:val="00060959"/>
    <w:rsid w:val="000609F4"/>
    <w:rsid w:val="00060B28"/>
    <w:rsid w:val="00060B78"/>
    <w:rsid w:val="00060C8F"/>
    <w:rsid w:val="00060CF0"/>
    <w:rsid w:val="00060E00"/>
    <w:rsid w:val="000611E0"/>
    <w:rsid w:val="0006120B"/>
    <w:rsid w:val="00061609"/>
    <w:rsid w:val="000616C6"/>
    <w:rsid w:val="00061750"/>
    <w:rsid w:val="0006184A"/>
    <w:rsid w:val="00061D19"/>
    <w:rsid w:val="00061F5A"/>
    <w:rsid w:val="000621B4"/>
    <w:rsid w:val="00062293"/>
    <w:rsid w:val="0006239E"/>
    <w:rsid w:val="000628F6"/>
    <w:rsid w:val="0006298A"/>
    <w:rsid w:val="00062B3E"/>
    <w:rsid w:val="00062D45"/>
    <w:rsid w:val="00062D4A"/>
    <w:rsid w:val="00062FA7"/>
    <w:rsid w:val="000633C1"/>
    <w:rsid w:val="000633E6"/>
    <w:rsid w:val="00063430"/>
    <w:rsid w:val="00063534"/>
    <w:rsid w:val="0006367E"/>
    <w:rsid w:val="0006399F"/>
    <w:rsid w:val="00063B96"/>
    <w:rsid w:val="00063CC9"/>
    <w:rsid w:val="00063E0D"/>
    <w:rsid w:val="000642BF"/>
    <w:rsid w:val="0006454A"/>
    <w:rsid w:val="00064A2D"/>
    <w:rsid w:val="00064A61"/>
    <w:rsid w:val="00064BC3"/>
    <w:rsid w:val="00064E34"/>
    <w:rsid w:val="00064EBA"/>
    <w:rsid w:val="00064F61"/>
    <w:rsid w:val="0006520C"/>
    <w:rsid w:val="000652FC"/>
    <w:rsid w:val="0006531A"/>
    <w:rsid w:val="000655B5"/>
    <w:rsid w:val="000655F9"/>
    <w:rsid w:val="0006561C"/>
    <w:rsid w:val="0006564C"/>
    <w:rsid w:val="00065997"/>
    <w:rsid w:val="00065F14"/>
    <w:rsid w:val="000663CD"/>
    <w:rsid w:val="00066DA1"/>
    <w:rsid w:val="00066E91"/>
    <w:rsid w:val="0006716B"/>
    <w:rsid w:val="00067258"/>
    <w:rsid w:val="000672AE"/>
    <w:rsid w:val="000675F4"/>
    <w:rsid w:val="00067946"/>
    <w:rsid w:val="00067968"/>
    <w:rsid w:val="00067BD7"/>
    <w:rsid w:val="00067C30"/>
    <w:rsid w:val="00067DE3"/>
    <w:rsid w:val="000702DC"/>
    <w:rsid w:val="000703BD"/>
    <w:rsid w:val="00070691"/>
    <w:rsid w:val="00070A64"/>
    <w:rsid w:val="00070DB9"/>
    <w:rsid w:val="000713C4"/>
    <w:rsid w:val="00071466"/>
    <w:rsid w:val="00071857"/>
    <w:rsid w:val="00071DCF"/>
    <w:rsid w:val="00072025"/>
    <w:rsid w:val="00072168"/>
    <w:rsid w:val="000722AB"/>
    <w:rsid w:val="0007252B"/>
    <w:rsid w:val="0007278B"/>
    <w:rsid w:val="00072C95"/>
    <w:rsid w:val="00072CF0"/>
    <w:rsid w:val="000730C7"/>
    <w:rsid w:val="00073346"/>
    <w:rsid w:val="000733FE"/>
    <w:rsid w:val="00073464"/>
    <w:rsid w:val="000734C4"/>
    <w:rsid w:val="000734EE"/>
    <w:rsid w:val="0007384A"/>
    <w:rsid w:val="00073921"/>
    <w:rsid w:val="00073E5F"/>
    <w:rsid w:val="00074199"/>
    <w:rsid w:val="00074219"/>
    <w:rsid w:val="000745BF"/>
    <w:rsid w:val="00074789"/>
    <w:rsid w:val="00074861"/>
    <w:rsid w:val="00074BBA"/>
    <w:rsid w:val="00074BE2"/>
    <w:rsid w:val="00074EA6"/>
    <w:rsid w:val="00074ED5"/>
    <w:rsid w:val="000750C2"/>
    <w:rsid w:val="000751D3"/>
    <w:rsid w:val="000755C1"/>
    <w:rsid w:val="00075AB2"/>
    <w:rsid w:val="00075BA7"/>
    <w:rsid w:val="00075BB6"/>
    <w:rsid w:val="00075F86"/>
    <w:rsid w:val="0007634C"/>
    <w:rsid w:val="00076C64"/>
    <w:rsid w:val="00076EA0"/>
    <w:rsid w:val="000770C6"/>
    <w:rsid w:val="000772E8"/>
    <w:rsid w:val="0007731B"/>
    <w:rsid w:val="000773E5"/>
    <w:rsid w:val="00077411"/>
    <w:rsid w:val="0007750A"/>
    <w:rsid w:val="000776AE"/>
    <w:rsid w:val="00077880"/>
    <w:rsid w:val="00077978"/>
    <w:rsid w:val="000779A8"/>
    <w:rsid w:val="000779FD"/>
    <w:rsid w:val="00077F66"/>
    <w:rsid w:val="00080604"/>
    <w:rsid w:val="00080D90"/>
    <w:rsid w:val="00080DCD"/>
    <w:rsid w:val="00080E2E"/>
    <w:rsid w:val="00080ECC"/>
    <w:rsid w:val="00081598"/>
    <w:rsid w:val="00081605"/>
    <w:rsid w:val="000817A9"/>
    <w:rsid w:val="00081D0E"/>
    <w:rsid w:val="00081D10"/>
    <w:rsid w:val="00081D1F"/>
    <w:rsid w:val="00082043"/>
    <w:rsid w:val="0008204A"/>
    <w:rsid w:val="000820BF"/>
    <w:rsid w:val="000820CF"/>
    <w:rsid w:val="0008217F"/>
    <w:rsid w:val="00082226"/>
    <w:rsid w:val="000824B1"/>
    <w:rsid w:val="00082723"/>
    <w:rsid w:val="00082EDE"/>
    <w:rsid w:val="00082F71"/>
    <w:rsid w:val="000833F7"/>
    <w:rsid w:val="0008350A"/>
    <w:rsid w:val="00083A07"/>
    <w:rsid w:val="00083AFD"/>
    <w:rsid w:val="00083B95"/>
    <w:rsid w:val="00083E21"/>
    <w:rsid w:val="00083E32"/>
    <w:rsid w:val="00083E9D"/>
    <w:rsid w:val="00084421"/>
    <w:rsid w:val="0008508E"/>
    <w:rsid w:val="00085489"/>
    <w:rsid w:val="00085573"/>
    <w:rsid w:val="00085774"/>
    <w:rsid w:val="000859C5"/>
    <w:rsid w:val="00085A9E"/>
    <w:rsid w:val="00085DAA"/>
    <w:rsid w:val="0008664F"/>
    <w:rsid w:val="000866E0"/>
    <w:rsid w:val="000868C5"/>
    <w:rsid w:val="00087951"/>
    <w:rsid w:val="00087A40"/>
    <w:rsid w:val="00087F2A"/>
    <w:rsid w:val="0009007D"/>
    <w:rsid w:val="0009048F"/>
    <w:rsid w:val="000905CE"/>
    <w:rsid w:val="00090717"/>
    <w:rsid w:val="00090C74"/>
    <w:rsid w:val="00090D96"/>
    <w:rsid w:val="00090F7D"/>
    <w:rsid w:val="0009113B"/>
    <w:rsid w:val="00091380"/>
    <w:rsid w:val="0009157B"/>
    <w:rsid w:val="0009172D"/>
    <w:rsid w:val="00091C9B"/>
    <w:rsid w:val="00091D2C"/>
    <w:rsid w:val="000924FC"/>
    <w:rsid w:val="000925A1"/>
    <w:rsid w:val="000925F8"/>
    <w:rsid w:val="00092609"/>
    <w:rsid w:val="00092D83"/>
    <w:rsid w:val="00092E5A"/>
    <w:rsid w:val="00093178"/>
    <w:rsid w:val="000932D6"/>
    <w:rsid w:val="00093402"/>
    <w:rsid w:val="00093813"/>
    <w:rsid w:val="00093848"/>
    <w:rsid w:val="0009397F"/>
    <w:rsid w:val="00093A81"/>
    <w:rsid w:val="00093A82"/>
    <w:rsid w:val="00093ABB"/>
    <w:rsid w:val="00093D95"/>
    <w:rsid w:val="00093E1A"/>
    <w:rsid w:val="000941BF"/>
    <w:rsid w:val="00094510"/>
    <w:rsid w:val="000945C0"/>
    <w:rsid w:val="00094ACD"/>
    <w:rsid w:val="00094DA3"/>
    <w:rsid w:val="00094FE9"/>
    <w:rsid w:val="000951D2"/>
    <w:rsid w:val="0009561D"/>
    <w:rsid w:val="00095627"/>
    <w:rsid w:val="0009563E"/>
    <w:rsid w:val="00095B27"/>
    <w:rsid w:val="00095E77"/>
    <w:rsid w:val="00096257"/>
    <w:rsid w:val="00096412"/>
    <w:rsid w:val="000966C7"/>
    <w:rsid w:val="00096730"/>
    <w:rsid w:val="00096754"/>
    <w:rsid w:val="00096C07"/>
    <w:rsid w:val="00096CD1"/>
    <w:rsid w:val="00096F7D"/>
    <w:rsid w:val="000970DA"/>
    <w:rsid w:val="0009716F"/>
    <w:rsid w:val="000975C9"/>
    <w:rsid w:val="00097995"/>
    <w:rsid w:val="00097B25"/>
    <w:rsid w:val="00097B4C"/>
    <w:rsid w:val="00097EDF"/>
    <w:rsid w:val="000A012C"/>
    <w:rsid w:val="000A0785"/>
    <w:rsid w:val="000A0EB9"/>
    <w:rsid w:val="000A186C"/>
    <w:rsid w:val="000A194E"/>
    <w:rsid w:val="000A1B84"/>
    <w:rsid w:val="000A1D78"/>
    <w:rsid w:val="000A1EA4"/>
    <w:rsid w:val="000A23DD"/>
    <w:rsid w:val="000A2476"/>
    <w:rsid w:val="000A2BF2"/>
    <w:rsid w:val="000A2DCE"/>
    <w:rsid w:val="000A3070"/>
    <w:rsid w:val="000A3343"/>
    <w:rsid w:val="000A3435"/>
    <w:rsid w:val="000A38A1"/>
    <w:rsid w:val="000A395C"/>
    <w:rsid w:val="000A3EA2"/>
    <w:rsid w:val="000A4093"/>
    <w:rsid w:val="000A41AB"/>
    <w:rsid w:val="000A4202"/>
    <w:rsid w:val="000A438E"/>
    <w:rsid w:val="000A4408"/>
    <w:rsid w:val="000A4610"/>
    <w:rsid w:val="000A486E"/>
    <w:rsid w:val="000A4B46"/>
    <w:rsid w:val="000A4D21"/>
    <w:rsid w:val="000A4FEC"/>
    <w:rsid w:val="000A50B1"/>
    <w:rsid w:val="000A511D"/>
    <w:rsid w:val="000A56E6"/>
    <w:rsid w:val="000A5810"/>
    <w:rsid w:val="000A5D05"/>
    <w:rsid w:val="000A5F3F"/>
    <w:rsid w:val="000A61C1"/>
    <w:rsid w:val="000A6376"/>
    <w:rsid w:val="000A63A8"/>
    <w:rsid w:val="000A63D4"/>
    <w:rsid w:val="000A641A"/>
    <w:rsid w:val="000A6504"/>
    <w:rsid w:val="000A67EB"/>
    <w:rsid w:val="000A6B4D"/>
    <w:rsid w:val="000A73BB"/>
    <w:rsid w:val="000A756C"/>
    <w:rsid w:val="000A79C3"/>
    <w:rsid w:val="000A7A83"/>
    <w:rsid w:val="000A7BAC"/>
    <w:rsid w:val="000A7D11"/>
    <w:rsid w:val="000A7D51"/>
    <w:rsid w:val="000B011F"/>
    <w:rsid w:val="000B016C"/>
    <w:rsid w:val="000B0390"/>
    <w:rsid w:val="000B03CA"/>
    <w:rsid w:val="000B05BC"/>
    <w:rsid w:val="000B0658"/>
    <w:rsid w:val="000B115A"/>
    <w:rsid w:val="000B1173"/>
    <w:rsid w:val="000B117B"/>
    <w:rsid w:val="000B150A"/>
    <w:rsid w:val="000B1586"/>
    <w:rsid w:val="000B1620"/>
    <w:rsid w:val="000B1891"/>
    <w:rsid w:val="000B198D"/>
    <w:rsid w:val="000B19E2"/>
    <w:rsid w:val="000B1F33"/>
    <w:rsid w:val="000B20B4"/>
    <w:rsid w:val="000B227C"/>
    <w:rsid w:val="000B277D"/>
    <w:rsid w:val="000B2A5B"/>
    <w:rsid w:val="000B2AE6"/>
    <w:rsid w:val="000B2B95"/>
    <w:rsid w:val="000B2DC8"/>
    <w:rsid w:val="000B2EFF"/>
    <w:rsid w:val="000B330D"/>
    <w:rsid w:val="000B34C1"/>
    <w:rsid w:val="000B34C7"/>
    <w:rsid w:val="000B384A"/>
    <w:rsid w:val="000B3B44"/>
    <w:rsid w:val="000B3C12"/>
    <w:rsid w:val="000B3C34"/>
    <w:rsid w:val="000B3CDC"/>
    <w:rsid w:val="000B3D96"/>
    <w:rsid w:val="000B3ECE"/>
    <w:rsid w:val="000B3EDB"/>
    <w:rsid w:val="000B3FA4"/>
    <w:rsid w:val="000B44EB"/>
    <w:rsid w:val="000B44F1"/>
    <w:rsid w:val="000B453D"/>
    <w:rsid w:val="000B45E2"/>
    <w:rsid w:val="000B46C0"/>
    <w:rsid w:val="000B4AEA"/>
    <w:rsid w:val="000B4FD6"/>
    <w:rsid w:val="000B502B"/>
    <w:rsid w:val="000B506E"/>
    <w:rsid w:val="000B543D"/>
    <w:rsid w:val="000B55F9"/>
    <w:rsid w:val="000B5B5A"/>
    <w:rsid w:val="000B5B63"/>
    <w:rsid w:val="000B5BF7"/>
    <w:rsid w:val="000B5E52"/>
    <w:rsid w:val="000B5F3F"/>
    <w:rsid w:val="000B6085"/>
    <w:rsid w:val="000B6189"/>
    <w:rsid w:val="000B6226"/>
    <w:rsid w:val="000B622D"/>
    <w:rsid w:val="000B64F5"/>
    <w:rsid w:val="000B653D"/>
    <w:rsid w:val="000B665C"/>
    <w:rsid w:val="000B6BC8"/>
    <w:rsid w:val="000B6FB9"/>
    <w:rsid w:val="000B70BB"/>
    <w:rsid w:val="000B76A6"/>
    <w:rsid w:val="000B78E3"/>
    <w:rsid w:val="000B7BF3"/>
    <w:rsid w:val="000B7D02"/>
    <w:rsid w:val="000B7EE1"/>
    <w:rsid w:val="000B7FAA"/>
    <w:rsid w:val="000B7FC0"/>
    <w:rsid w:val="000C0303"/>
    <w:rsid w:val="000C0422"/>
    <w:rsid w:val="000C0495"/>
    <w:rsid w:val="000C0512"/>
    <w:rsid w:val="000C0609"/>
    <w:rsid w:val="000C07D9"/>
    <w:rsid w:val="000C091A"/>
    <w:rsid w:val="000C093C"/>
    <w:rsid w:val="000C0B99"/>
    <w:rsid w:val="000C0DD4"/>
    <w:rsid w:val="000C0ED8"/>
    <w:rsid w:val="000C0EF5"/>
    <w:rsid w:val="000C14CB"/>
    <w:rsid w:val="000C1606"/>
    <w:rsid w:val="000C19E2"/>
    <w:rsid w:val="000C1A1A"/>
    <w:rsid w:val="000C1AE1"/>
    <w:rsid w:val="000C20E6"/>
    <w:rsid w:val="000C218F"/>
    <w:rsid w:val="000C2632"/>
    <w:rsid w:val="000C27C7"/>
    <w:rsid w:val="000C27E8"/>
    <w:rsid w:val="000C2A3B"/>
    <w:rsid w:val="000C2AB9"/>
    <w:rsid w:val="000C2B82"/>
    <w:rsid w:val="000C2C6D"/>
    <w:rsid w:val="000C2D31"/>
    <w:rsid w:val="000C3054"/>
    <w:rsid w:val="000C3175"/>
    <w:rsid w:val="000C331D"/>
    <w:rsid w:val="000C3423"/>
    <w:rsid w:val="000C34A3"/>
    <w:rsid w:val="000C3628"/>
    <w:rsid w:val="000C388A"/>
    <w:rsid w:val="000C3AF8"/>
    <w:rsid w:val="000C3C80"/>
    <w:rsid w:val="000C3CA6"/>
    <w:rsid w:val="000C42EA"/>
    <w:rsid w:val="000C4546"/>
    <w:rsid w:val="000C4B18"/>
    <w:rsid w:val="000C4D80"/>
    <w:rsid w:val="000C4DA3"/>
    <w:rsid w:val="000C4FEF"/>
    <w:rsid w:val="000C54E5"/>
    <w:rsid w:val="000C550E"/>
    <w:rsid w:val="000C5880"/>
    <w:rsid w:val="000C5976"/>
    <w:rsid w:val="000C59E0"/>
    <w:rsid w:val="000C5AFB"/>
    <w:rsid w:val="000C5C58"/>
    <w:rsid w:val="000C5E7F"/>
    <w:rsid w:val="000C6373"/>
    <w:rsid w:val="000C66C5"/>
    <w:rsid w:val="000C6895"/>
    <w:rsid w:val="000C6A9A"/>
    <w:rsid w:val="000C6C40"/>
    <w:rsid w:val="000C6C59"/>
    <w:rsid w:val="000C6D03"/>
    <w:rsid w:val="000C72B7"/>
    <w:rsid w:val="000C7374"/>
    <w:rsid w:val="000C75EA"/>
    <w:rsid w:val="000C770B"/>
    <w:rsid w:val="000C7C0F"/>
    <w:rsid w:val="000C7C45"/>
    <w:rsid w:val="000C7F4F"/>
    <w:rsid w:val="000D0055"/>
    <w:rsid w:val="000D009F"/>
    <w:rsid w:val="000D0313"/>
    <w:rsid w:val="000D0604"/>
    <w:rsid w:val="000D09DD"/>
    <w:rsid w:val="000D0B65"/>
    <w:rsid w:val="000D0FF0"/>
    <w:rsid w:val="000D1242"/>
    <w:rsid w:val="000D12E3"/>
    <w:rsid w:val="000D1A41"/>
    <w:rsid w:val="000D1EF7"/>
    <w:rsid w:val="000D23FB"/>
    <w:rsid w:val="000D2776"/>
    <w:rsid w:val="000D2ABA"/>
    <w:rsid w:val="000D2BF3"/>
    <w:rsid w:val="000D2F36"/>
    <w:rsid w:val="000D3323"/>
    <w:rsid w:val="000D3B33"/>
    <w:rsid w:val="000D3BB1"/>
    <w:rsid w:val="000D3F1D"/>
    <w:rsid w:val="000D401D"/>
    <w:rsid w:val="000D41B5"/>
    <w:rsid w:val="000D4291"/>
    <w:rsid w:val="000D4442"/>
    <w:rsid w:val="000D4448"/>
    <w:rsid w:val="000D44ED"/>
    <w:rsid w:val="000D4C3B"/>
    <w:rsid w:val="000D4CB7"/>
    <w:rsid w:val="000D4ED0"/>
    <w:rsid w:val="000D4FCE"/>
    <w:rsid w:val="000D5603"/>
    <w:rsid w:val="000D5661"/>
    <w:rsid w:val="000D5BD0"/>
    <w:rsid w:val="000D6037"/>
    <w:rsid w:val="000D63A6"/>
    <w:rsid w:val="000D63CE"/>
    <w:rsid w:val="000D69DB"/>
    <w:rsid w:val="000D74F6"/>
    <w:rsid w:val="000D783F"/>
    <w:rsid w:val="000D7A5A"/>
    <w:rsid w:val="000D7E33"/>
    <w:rsid w:val="000D7E63"/>
    <w:rsid w:val="000E0159"/>
    <w:rsid w:val="000E0294"/>
    <w:rsid w:val="000E0723"/>
    <w:rsid w:val="000E076E"/>
    <w:rsid w:val="000E07A2"/>
    <w:rsid w:val="000E0811"/>
    <w:rsid w:val="000E0814"/>
    <w:rsid w:val="000E0851"/>
    <w:rsid w:val="000E0893"/>
    <w:rsid w:val="000E0970"/>
    <w:rsid w:val="000E09C5"/>
    <w:rsid w:val="000E0D20"/>
    <w:rsid w:val="000E0EB9"/>
    <w:rsid w:val="000E0EE2"/>
    <w:rsid w:val="000E1C70"/>
    <w:rsid w:val="000E1C91"/>
    <w:rsid w:val="000E1E9B"/>
    <w:rsid w:val="000E212B"/>
    <w:rsid w:val="000E234D"/>
    <w:rsid w:val="000E2610"/>
    <w:rsid w:val="000E26A4"/>
    <w:rsid w:val="000E2B74"/>
    <w:rsid w:val="000E2BF7"/>
    <w:rsid w:val="000E2E6D"/>
    <w:rsid w:val="000E37C9"/>
    <w:rsid w:val="000E3A6E"/>
    <w:rsid w:val="000E3CC7"/>
    <w:rsid w:val="000E3D13"/>
    <w:rsid w:val="000E3E8A"/>
    <w:rsid w:val="000E3EE3"/>
    <w:rsid w:val="000E400C"/>
    <w:rsid w:val="000E41E0"/>
    <w:rsid w:val="000E474B"/>
    <w:rsid w:val="000E47D0"/>
    <w:rsid w:val="000E4BF1"/>
    <w:rsid w:val="000E4FE7"/>
    <w:rsid w:val="000E4FF9"/>
    <w:rsid w:val="000E4FFD"/>
    <w:rsid w:val="000E590E"/>
    <w:rsid w:val="000E591C"/>
    <w:rsid w:val="000E596A"/>
    <w:rsid w:val="000E5AD1"/>
    <w:rsid w:val="000E5E91"/>
    <w:rsid w:val="000E619D"/>
    <w:rsid w:val="000E6306"/>
    <w:rsid w:val="000E6387"/>
    <w:rsid w:val="000E639D"/>
    <w:rsid w:val="000E63D7"/>
    <w:rsid w:val="000E6651"/>
    <w:rsid w:val="000E67D2"/>
    <w:rsid w:val="000E6826"/>
    <w:rsid w:val="000E68E4"/>
    <w:rsid w:val="000E693E"/>
    <w:rsid w:val="000E6979"/>
    <w:rsid w:val="000E6BD4"/>
    <w:rsid w:val="000E6D6D"/>
    <w:rsid w:val="000E6DF3"/>
    <w:rsid w:val="000E742A"/>
    <w:rsid w:val="000E77B1"/>
    <w:rsid w:val="000E7A66"/>
    <w:rsid w:val="000E7E3C"/>
    <w:rsid w:val="000E7E40"/>
    <w:rsid w:val="000E7EFE"/>
    <w:rsid w:val="000F006F"/>
    <w:rsid w:val="000F01FA"/>
    <w:rsid w:val="000F0415"/>
    <w:rsid w:val="000F048B"/>
    <w:rsid w:val="000F08B9"/>
    <w:rsid w:val="000F08F2"/>
    <w:rsid w:val="000F09A4"/>
    <w:rsid w:val="000F0B3B"/>
    <w:rsid w:val="000F0B82"/>
    <w:rsid w:val="000F0E8B"/>
    <w:rsid w:val="000F10B0"/>
    <w:rsid w:val="000F123D"/>
    <w:rsid w:val="000F1250"/>
    <w:rsid w:val="000F1F1E"/>
    <w:rsid w:val="000F1F81"/>
    <w:rsid w:val="000F20E0"/>
    <w:rsid w:val="000F2259"/>
    <w:rsid w:val="000F2470"/>
    <w:rsid w:val="000F258C"/>
    <w:rsid w:val="000F29C0"/>
    <w:rsid w:val="000F2C6B"/>
    <w:rsid w:val="000F2DDA"/>
    <w:rsid w:val="000F2EA0"/>
    <w:rsid w:val="000F2F50"/>
    <w:rsid w:val="000F3036"/>
    <w:rsid w:val="000F305B"/>
    <w:rsid w:val="000F30AF"/>
    <w:rsid w:val="000F331F"/>
    <w:rsid w:val="000F377A"/>
    <w:rsid w:val="000F3AE1"/>
    <w:rsid w:val="000F3B3E"/>
    <w:rsid w:val="000F3C71"/>
    <w:rsid w:val="000F3DB7"/>
    <w:rsid w:val="000F3FF7"/>
    <w:rsid w:val="000F4059"/>
    <w:rsid w:val="000F4144"/>
    <w:rsid w:val="000F42A9"/>
    <w:rsid w:val="000F4554"/>
    <w:rsid w:val="000F486C"/>
    <w:rsid w:val="000F4949"/>
    <w:rsid w:val="000F4BE5"/>
    <w:rsid w:val="000F4C62"/>
    <w:rsid w:val="000F4CFB"/>
    <w:rsid w:val="000F4FCE"/>
    <w:rsid w:val="000F5078"/>
    <w:rsid w:val="000F5213"/>
    <w:rsid w:val="000F5304"/>
    <w:rsid w:val="000F5338"/>
    <w:rsid w:val="000F541F"/>
    <w:rsid w:val="000F54C1"/>
    <w:rsid w:val="000F59B1"/>
    <w:rsid w:val="000F608A"/>
    <w:rsid w:val="000F61B5"/>
    <w:rsid w:val="000F6224"/>
    <w:rsid w:val="000F624A"/>
    <w:rsid w:val="000F6294"/>
    <w:rsid w:val="000F6518"/>
    <w:rsid w:val="000F65CF"/>
    <w:rsid w:val="000F670C"/>
    <w:rsid w:val="000F6714"/>
    <w:rsid w:val="000F6A0A"/>
    <w:rsid w:val="000F6D28"/>
    <w:rsid w:val="000F6EBB"/>
    <w:rsid w:val="000F714E"/>
    <w:rsid w:val="000F719C"/>
    <w:rsid w:val="000F7349"/>
    <w:rsid w:val="000F7374"/>
    <w:rsid w:val="000F74E5"/>
    <w:rsid w:val="000F76CA"/>
    <w:rsid w:val="000F76E6"/>
    <w:rsid w:val="000F7745"/>
    <w:rsid w:val="000F77A5"/>
    <w:rsid w:val="000F7844"/>
    <w:rsid w:val="000F789D"/>
    <w:rsid w:val="000F7A89"/>
    <w:rsid w:val="000F7C62"/>
    <w:rsid w:val="0010004E"/>
    <w:rsid w:val="001002B7"/>
    <w:rsid w:val="00100307"/>
    <w:rsid w:val="001004BC"/>
    <w:rsid w:val="0010075E"/>
    <w:rsid w:val="0010084D"/>
    <w:rsid w:val="00100B28"/>
    <w:rsid w:val="00100BAB"/>
    <w:rsid w:val="00101001"/>
    <w:rsid w:val="001010F2"/>
    <w:rsid w:val="001011D4"/>
    <w:rsid w:val="001011D9"/>
    <w:rsid w:val="00101212"/>
    <w:rsid w:val="00101229"/>
    <w:rsid w:val="0010169D"/>
    <w:rsid w:val="001017E8"/>
    <w:rsid w:val="00101861"/>
    <w:rsid w:val="00101D78"/>
    <w:rsid w:val="00101E17"/>
    <w:rsid w:val="00101E77"/>
    <w:rsid w:val="001020AA"/>
    <w:rsid w:val="0010211E"/>
    <w:rsid w:val="001022D2"/>
    <w:rsid w:val="001025A1"/>
    <w:rsid w:val="00102A63"/>
    <w:rsid w:val="00102BAB"/>
    <w:rsid w:val="00102D3B"/>
    <w:rsid w:val="0010307B"/>
    <w:rsid w:val="0010319A"/>
    <w:rsid w:val="00103276"/>
    <w:rsid w:val="00103530"/>
    <w:rsid w:val="00103659"/>
    <w:rsid w:val="001036A1"/>
    <w:rsid w:val="00103817"/>
    <w:rsid w:val="0010392D"/>
    <w:rsid w:val="00103BEF"/>
    <w:rsid w:val="0010419B"/>
    <w:rsid w:val="0010447F"/>
    <w:rsid w:val="001044AB"/>
    <w:rsid w:val="001045EE"/>
    <w:rsid w:val="0010465A"/>
    <w:rsid w:val="001048BA"/>
    <w:rsid w:val="001048FC"/>
    <w:rsid w:val="00104F61"/>
    <w:rsid w:val="00104FE3"/>
    <w:rsid w:val="001052CF"/>
    <w:rsid w:val="001052E2"/>
    <w:rsid w:val="0010558B"/>
    <w:rsid w:val="001056AD"/>
    <w:rsid w:val="00105F29"/>
    <w:rsid w:val="00106469"/>
    <w:rsid w:val="0010647F"/>
    <w:rsid w:val="001064C9"/>
    <w:rsid w:val="001068CD"/>
    <w:rsid w:val="001068E8"/>
    <w:rsid w:val="001068EB"/>
    <w:rsid w:val="00106907"/>
    <w:rsid w:val="001069BD"/>
    <w:rsid w:val="00106B6E"/>
    <w:rsid w:val="00106C29"/>
    <w:rsid w:val="00106F5F"/>
    <w:rsid w:val="00107007"/>
    <w:rsid w:val="001070ED"/>
    <w:rsid w:val="0010714F"/>
    <w:rsid w:val="00107279"/>
    <w:rsid w:val="00107829"/>
    <w:rsid w:val="001079E9"/>
    <w:rsid w:val="00107BFF"/>
    <w:rsid w:val="00107C7E"/>
    <w:rsid w:val="00107D14"/>
    <w:rsid w:val="00107D6D"/>
    <w:rsid w:val="00107EB2"/>
    <w:rsid w:val="00107F72"/>
    <w:rsid w:val="00110001"/>
    <w:rsid w:val="00110095"/>
    <w:rsid w:val="0011010E"/>
    <w:rsid w:val="001102DE"/>
    <w:rsid w:val="00110567"/>
    <w:rsid w:val="00110A7D"/>
    <w:rsid w:val="00110CF1"/>
    <w:rsid w:val="00110E1D"/>
    <w:rsid w:val="0011104A"/>
    <w:rsid w:val="001111F9"/>
    <w:rsid w:val="00111300"/>
    <w:rsid w:val="001113C5"/>
    <w:rsid w:val="0011188E"/>
    <w:rsid w:val="00111C16"/>
    <w:rsid w:val="00111CED"/>
    <w:rsid w:val="00111F1B"/>
    <w:rsid w:val="001120C5"/>
    <w:rsid w:val="00112471"/>
    <w:rsid w:val="001126AD"/>
    <w:rsid w:val="0011298B"/>
    <w:rsid w:val="00112C08"/>
    <w:rsid w:val="00112EFC"/>
    <w:rsid w:val="00113095"/>
    <w:rsid w:val="00113223"/>
    <w:rsid w:val="001136E8"/>
    <w:rsid w:val="00113B31"/>
    <w:rsid w:val="00113D27"/>
    <w:rsid w:val="00114394"/>
    <w:rsid w:val="001144E3"/>
    <w:rsid w:val="00114642"/>
    <w:rsid w:val="0011467C"/>
    <w:rsid w:val="00114A38"/>
    <w:rsid w:val="00114C9F"/>
    <w:rsid w:val="00114CD0"/>
    <w:rsid w:val="00114E78"/>
    <w:rsid w:val="00114F25"/>
    <w:rsid w:val="00114F41"/>
    <w:rsid w:val="001155AA"/>
    <w:rsid w:val="00115769"/>
    <w:rsid w:val="001157C9"/>
    <w:rsid w:val="001157F0"/>
    <w:rsid w:val="001159B0"/>
    <w:rsid w:val="00115B5F"/>
    <w:rsid w:val="0011607F"/>
    <w:rsid w:val="00116299"/>
    <w:rsid w:val="001165A6"/>
    <w:rsid w:val="001169C9"/>
    <w:rsid w:val="00116FCD"/>
    <w:rsid w:val="0011752A"/>
    <w:rsid w:val="00117A8A"/>
    <w:rsid w:val="00117B27"/>
    <w:rsid w:val="00117FA7"/>
    <w:rsid w:val="00120036"/>
    <w:rsid w:val="001204AC"/>
    <w:rsid w:val="001204E8"/>
    <w:rsid w:val="00120807"/>
    <w:rsid w:val="00120BD3"/>
    <w:rsid w:val="00120EEE"/>
    <w:rsid w:val="001219B2"/>
    <w:rsid w:val="00121AA7"/>
    <w:rsid w:val="00121B83"/>
    <w:rsid w:val="001222CA"/>
    <w:rsid w:val="0012261A"/>
    <w:rsid w:val="001226D3"/>
    <w:rsid w:val="00122AB6"/>
    <w:rsid w:val="00122D53"/>
    <w:rsid w:val="00122F36"/>
    <w:rsid w:val="00122FEA"/>
    <w:rsid w:val="00123150"/>
    <w:rsid w:val="0012316B"/>
    <w:rsid w:val="00123283"/>
    <w:rsid w:val="0012328F"/>
    <w:rsid w:val="001232BD"/>
    <w:rsid w:val="00123629"/>
    <w:rsid w:val="001236DC"/>
    <w:rsid w:val="0012370F"/>
    <w:rsid w:val="00123728"/>
    <w:rsid w:val="00123BCE"/>
    <w:rsid w:val="00123CEA"/>
    <w:rsid w:val="00123E4E"/>
    <w:rsid w:val="00124734"/>
    <w:rsid w:val="00124808"/>
    <w:rsid w:val="00124A51"/>
    <w:rsid w:val="00124CB2"/>
    <w:rsid w:val="00124ED5"/>
    <w:rsid w:val="00124F8A"/>
    <w:rsid w:val="00124F9B"/>
    <w:rsid w:val="001250BB"/>
    <w:rsid w:val="001251CF"/>
    <w:rsid w:val="001256DD"/>
    <w:rsid w:val="00125844"/>
    <w:rsid w:val="00125BA3"/>
    <w:rsid w:val="00126215"/>
    <w:rsid w:val="00126305"/>
    <w:rsid w:val="00126325"/>
    <w:rsid w:val="0012649A"/>
    <w:rsid w:val="0012660E"/>
    <w:rsid w:val="00126725"/>
    <w:rsid w:val="00126EE4"/>
    <w:rsid w:val="00126EEA"/>
    <w:rsid w:val="00126EEB"/>
    <w:rsid w:val="00127052"/>
    <w:rsid w:val="001274AF"/>
    <w:rsid w:val="001276D4"/>
    <w:rsid w:val="001276FA"/>
    <w:rsid w:val="00130001"/>
    <w:rsid w:val="00130052"/>
    <w:rsid w:val="001302F2"/>
    <w:rsid w:val="00130AF9"/>
    <w:rsid w:val="00130F1D"/>
    <w:rsid w:val="0013104F"/>
    <w:rsid w:val="00131136"/>
    <w:rsid w:val="001311B5"/>
    <w:rsid w:val="00131274"/>
    <w:rsid w:val="00131349"/>
    <w:rsid w:val="00131601"/>
    <w:rsid w:val="00131743"/>
    <w:rsid w:val="001317B1"/>
    <w:rsid w:val="00131AC8"/>
    <w:rsid w:val="00131DA2"/>
    <w:rsid w:val="001322F9"/>
    <w:rsid w:val="00132533"/>
    <w:rsid w:val="001328AB"/>
    <w:rsid w:val="001329CB"/>
    <w:rsid w:val="00132AA1"/>
    <w:rsid w:val="00132EF9"/>
    <w:rsid w:val="001332EB"/>
    <w:rsid w:val="0013335D"/>
    <w:rsid w:val="001334A8"/>
    <w:rsid w:val="0013388C"/>
    <w:rsid w:val="001338EC"/>
    <w:rsid w:val="00133B89"/>
    <w:rsid w:val="00133E4A"/>
    <w:rsid w:val="00133FA4"/>
    <w:rsid w:val="00134157"/>
    <w:rsid w:val="00134181"/>
    <w:rsid w:val="0013421A"/>
    <w:rsid w:val="001344AE"/>
    <w:rsid w:val="00134555"/>
    <w:rsid w:val="00134670"/>
    <w:rsid w:val="001346D5"/>
    <w:rsid w:val="00134708"/>
    <w:rsid w:val="001349A2"/>
    <w:rsid w:val="00134A18"/>
    <w:rsid w:val="00134CE7"/>
    <w:rsid w:val="00135052"/>
    <w:rsid w:val="00135112"/>
    <w:rsid w:val="0013560F"/>
    <w:rsid w:val="0013572E"/>
    <w:rsid w:val="001357EA"/>
    <w:rsid w:val="0013597B"/>
    <w:rsid w:val="0013617F"/>
    <w:rsid w:val="00136371"/>
    <w:rsid w:val="00136786"/>
    <w:rsid w:val="0013683E"/>
    <w:rsid w:val="001368B0"/>
    <w:rsid w:val="0013699B"/>
    <w:rsid w:val="00136B1B"/>
    <w:rsid w:val="00136CED"/>
    <w:rsid w:val="00137164"/>
    <w:rsid w:val="001371AE"/>
    <w:rsid w:val="001373CD"/>
    <w:rsid w:val="0013758D"/>
    <w:rsid w:val="00137FB8"/>
    <w:rsid w:val="00140024"/>
    <w:rsid w:val="00140413"/>
    <w:rsid w:val="001404BF"/>
    <w:rsid w:val="001409BC"/>
    <w:rsid w:val="00140FD4"/>
    <w:rsid w:val="00141025"/>
    <w:rsid w:val="00141102"/>
    <w:rsid w:val="001414D0"/>
    <w:rsid w:val="00141BCB"/>
    <w:rsid w:val="00141C3F"/>
    <w:rsid w:val="00142354"/>
    <w:rsid w:val="0014261B"/>
    <w:rsid w:val="00142ACB"/>
    <w:rsid w:val="0014306C"/>
    <w:rsid w:val="001432A0"/>
    <w:rsid w:val="001432A8"/>
    <w:rsid w:val="001434AA"/>
    <w:rsid w:val="001436C8"/>
    <w:rsid w:val="00143857"/>
    <w:rsid w:val="00143DB6"/>
    <w:rsid w:val="001440AF"/>
    <w:rsid w:val="0014411C"/>
    <w:rsid w:val="001447B3"/>
    <w:rsid w:val="0014488E"/>
    <w:rsid w:val="001449F1"/>
    <w:rsid w:val="00144A4E"/>
    <w:rsid w:val="00144B9E"/>
    <w:rsid w:val="00144BC8"/>
    <w:rsid w:val="00144CD3"/>
    <w:rsid w:val="001454EC"/>
    <w:rsid w:val="001455EE"/>
    <w:rsid w:val="00145853"/>
    <w:rsid w:val="001458BB"/>
    <w:rsid w:val="001459E5"/>
    <w:rsid w:val="00145CEC"/>
    <w:rsid w:val="00145F50"/>
    <w:rsid w:val="00146094"/>
    <w:rsid w:val="001460CD"/>
    <w:rsid w:val="001465F1"/>
    <w:rsid w:val="00146F11"/>
    <w:rsid w:val="0014717C"/>
    <w:rsid w:val="001471E0"/>
    <w:rsid w:val="001474E0"/>
    <w:rsid w:val="00147586"/>
    <w:rsid w:val="00147794"/>
    <w:rsid w:val="00147AD9"/>
    <w:rsid w:val="00147F93"/>
    <w:rsid w:val="001500D0"/>
    <w:rsid w:val="0015039E"/>
    <w:rsid w:val="00150429"/>
    <w:rsid w:val="00150F81"/>
    <w:rsid w:val="00150FF7"/>
    <w:rsid w:val="00151084"/>
    <w:rsid w:val="0015169E"/>
    <w:rsid w:val="00151B87"/>
    <w:rsid w:val="00152073"/>
    <w:rsid w:val="00152329"/>
    <w:rsid w:val="00152425"/>
    <w:rsid w:val="0015292E"/>
    <w:rsid w:val="00152CFB"/>
    <w:rsid w:val="00152D66"/>
    <w:rsid w:val="00153158"/>
    <w:rsid w:val="00153A5D"/>
    <w:rsid w:val="00153AD9"/>
    <w:rsid w:val="00153AFF"/>
    <w:rsid w:val="00153BA2"/>
    <w:rsid w:val="00153C99"/>
    <w:rsid w:val="00153D67"/>
    <w:rsid w:val="00153FFC"/>
    <w:rsid w:val="00154110"/>
    <w:rsid w:val="00154315"/>
    <w:rsid w:val="00154A9C"/>
    <w:rsid w:val="00154BEE"/>
    <w:rsid w:val="00154C42"/>
    <w:rsid w:val="00154CFC"/>
    <w:rsid w:val="00154FFF"/>
    <w:rsid w:val="00155142"/>
    <w:rsid w:val="0015528B"/>
    <w:rsid w:val="00155454"/>
    <w:rsid w:val="00155579"/>
    <w:rsid w:val="00155646"/>
    <w:rsid w:val="0015595F"/>
    <w:rsid w:val="001562AE"/>
    <w:rsid w:val="0015651F"/>
    <w:rsid w:val="00156598"/>
    <w:rsid w:val="001565BA"/>
    <w:rsid w:val="001565DA"/>
    <w:rsid w:val="0015664C"/>
    <w:rsid w:val="00156681"/>
    <w:rsid w:val="00156749"/>
    <w:rsid w:val="0015682F"/>
    <w:rsid w:val="00157156"/>
    <w:rsid w:val="0015731C"/>
    <w:rsid w:val="001574D8"/>
    <w:rsid w:val="00157920"/>
    <w:rsid w:val="00157A44"/>
    <w:rsid w:val="00157A47"/>
    <w:rsid w:val="00157EB2"/>
    <w:rsid w:val="00160452"/>
    <w:rsid w:val="001606A9"/>
    <w:rsid w:val="001606B3"/>
    <w:rsid w:val="001608D3"/>
    <w:rsid w:val="00160B6F"/>
    <w:rsid w:val="00160CB7"/>
    <w:rsid w:val="001610DC"/>
    <w:rsid w:val="0016121E"/>
    <w:rsid w:val="00161379"/>
    <w:rsid w:val="001613A7"/>
    <w:rsid w:val="001613AB"/>
    <w:rsid w:val="0016173D"/>
    <w:rsid w:val="0016181C"/>
    <w:rsid w:val="00161939"/>
    <w:rsid w:val="00161942"/>
    <w:rsid w:val="00161948"/>
    <w:rsid w:val="00161AA0"/>
    <w:rsid w:val="00161C86"/>
    <w:rsid w:val="00161D2E"/>
    <w:rsid w:val="00161E96"/>
    <w:rsid w:val="00161F3E"/>
    <w:rsid w:val="00162093"/>
    <w:rsid w:val="001620DF"/>
    <w:rsid w:val="0016218A"/>
    <w:rsid w:val="001624F5"/>
    <w:rsid w:val="0016266E"/>
    <w:rsid w:val="00162CA9"/>
    <w:rsid w:val="00162E68"/>
    <w:rsid w:val="00162EAF"/>
    <w:rsid w:val="00162F82"/>
    <w:rsid w:val="001630B7"/>
    <w:rsid w:val="0016386E"/>
    <w:rsid w:val="00163ECF"/>
    <w:rsid w:val="0016440E"/>
    <w:rsid w:val="00164560"/>
    <w:rsid w:val="0016458C"/>
    <w:rsid w:val="001647F9"/>
    <w:rsid w:val="00164932"/>
    <w:rsid w:val="00164AF5"/>
    <w:rsid w:val="00164B6B"/>
    <w:rsid w:val="00164B87"/>
    <w:rsid w:val="00164CA2"/>
    <w:rsid w:val="00164D0C"/>
    <w:rsid w:val="00164F53"/>
    <w:rsid w:val="00165284"/>
    <w:rsid w:val="0016532A"/>
    <w:rsid w:val="00165342"/>
    <w:rsid w:val="00165459"/>
    <w:rsid w:val="00165599"/>
    <w:rsid w:val="00165A57"/>
    <w:rsid w:val="00165A89"/>
    <w:rsid w:val="00165C76"/>
    <w:rsid w:val="00165C7B"/>
    <w:rsid w:val="001660C9"/>
    <w:rsid w:val="00166122"/>
    <w:rsid w:val="0016619D"/>
    <w:rsid w:val="001662CC"/>
    <w:rsid w:val="001662EF"/>
    <w:rsid w:val="00166400"/>
    <w:rsid w:val="00166471"/>
    <w:rsid w:val="00166699"/>
    <w:rsid w:val="0016676C"/>
    <w:rsid w:val="001669E8"/>
    <w:rsid w:val="00166ADC"/>
    <w:rsid w:val="00166B54"/>
    <w:rsid w:val="00166B66"/>
    <w:rsid w:val="00166CB1"/>
    <w:rsid w:val="00166DAE"/>
    <w:rsid w:val="00167383"/>
    <w:rsid w:val="0016748D"/>
    <w:rsid w:val="0016776E"/>
    <w:rsid w:val="00167B13"/>
    <w:rsid w:val="00167D47"/>
    <w:rsid w:val="0017001B"/>
    <w:rsid w:val="00170228"/>
    <w:rsid w:val="00170760"/>
    <w:rsid w:val="001707D2"/>
    <w:rsid w:val="001708BC"/>
    <w:rsid w:val="00170A6C"/>
    <w:rsid w:val="00170B2C"/>
    <w:rsid w:val="001712C2"/>
    <w:rsid w:val="001714A2"/>
    <w:rsid w:val="0017152A"/>
    <w:rsid w:val="0017180A"/>
    <w:rsid w:val="001718F3"/>
    <w:rsid w:val="00171A4D"/>
    <w:rsid w:val="00171D1D"/>
    <w:rsid w:val="00171DC9"/>
    <w:rsid w:val="00171F52"/>
    <w:rsid w:val="001720DB"/>
    <w:rsid w:val="001724C2"/>
    <w:rsid w:val="001725EE"/>
    <w:rsid w:val="00172BAF"/>
    <w:rsid w:val="00172D13"/>
    <w:rsid w:val="0017320F"/>
    <w:rsid w:val="00173335"/>
    <w:rsid w:val="00173969"/>
    <w:rsid w:val="00173D35"/>
    <w:rsid w:val="00173F33"/>
    <w:rsid w:val="00173F43"/>
    <w:rsid w:val="00173F66"/>
    <w:rsid w:val="00174047"/>
    <w:rsid w:val="00174073"/>
    <w:rsid w:val="0017455D"/>
    <w:rsid w:val="00174930"/>
    <w:rsid w:val="001751FE"/>
    <w:rsid w:val="001754CE"/>
    <w:rsid w:val="0017560B"/>
    <w:rsid w:val="00175928"/>
    <w:rsid w:val="00175934"/>
    <w:rsid w:val="00175F66"/>
    <w:rsid w:val="001760DA"/>
    <w:rsid w:val="00176107"/>
    <w:rsid w:val="00176131"/>
    <w:rsid w:val="00176153"/>
    <w:rsid w:val="0017639A"/>
    <w:rsid w:val="00176516"/>
    <w:rsid w:val="0017674D"/>
    <w:rsid w:val="0017687C"/>
    <w:rsid w:val="00176983"/>
    <w:rsid w:val="00176B27"/>
    <w:rsid w:val="00176D5D"/>
    <w:rsid w:val="00176DDF"/>
    <w:rsid w:val="001771AD"/>
    <w:rsid w:val="001771DD"/>
    <w:rsid w:val="00177906"/>
    <w:rsid w:val="00177995"/>
    <w:rsid w:val="00177A8C"/>
    <w:rsid w:val="00177CDC"/>
    <w:rsid w:val="001801F5"/>
    <w:rsid w:val="00180254"/>
    <w:rsid w:val="00180372"/>
    <w:rsid w:val="00180391"/>
    <w:rsid w:val="001805F4"/>
    <w:rsid w:val="001809EF"/>
    <w:rsid w:val="00180A47"/>
    <w:rsid w:val="00180A74"/>
    <w:rsid w:val="00180A88"/>
    <w:rsid w:val="00180AA1"/>
    <w:rsid w:val="00180C8D"/>
    <w:rsid w:val="00180D2E"/>
    <w:rsid w:val="00180D69"/>
    <w:rsid w:val="0018108E"/>
    <w:rsid w:val="001814A6"/>
    <w:rsid w:val="00181C2F"/>
    <w:rsid w:val="0018218A"/>
    <w:rsid w:val="001821A1"/>
    <w:rsid w:val="00182310"/>
    <w:rsid w:val="0018244E"/>
    <w:rsid w:val="00182684"/>
    <w:rsid w:val="0018288C"/>
    <w:rsid w:val="00182947"/>
    <w:rsid w:val="00182B09"/>
    <w:rsid w:val="00182D16"/>
    <w:rsid w:val="00182E20"/>
    <w:rsid w:val="00183132"/>
    <w:rsid w:val="00183136"/>
    <w:rsid w:val="001831B7"/>
    <w:rsid w:val="0018349F"/>
    <w:rsid w:val="001838B5"/>
    <w:rsid w:val="00183F4D"/>
    <w:rsid w:val="00184177"/>
    <w:rsid w:val="00184200"/>
    <w:rsid w:val="0018426B"/>
    <w:rsid w:val="001842C1"/>
    <w:rsid w:val="0018434B"/>
    <w:rsid w:val="001845CD"/>
    <w:rsid w:val="001849B9"/>
    <w:rsid w:val="001849FF"/>
    <w:rsid w:val="00184B08"/>
    <w:rsid w:val="00184BAE"/>
    <w:rsid w:val="001850C3"/>
    <w:rsid w:val="001855DB"/>
    <w:rsid w:val="001857C9"/>
    <w:rsid w:val="00185B41"/>
    <w:rsid w:val="00185D50"/>
    <w:rsid w:val="00185F30"/>
    <w:rsid w:val="001860F7"/>
    <w:rsid w:val="00186294"/>
    <w:rsid w:val="001864C7"/>
    <w:rsid w:val="00186B33"/>
    <w:rsid w:val="00186D61"/>
    <w:rsid w:val="00186DB3"/>
    <w:rsid w:val="00186EE0"/>
    <w:rsid w:val="00186FAE"/>
    <w:rsid w:val="00186FFD"/>
    <w:rsid w:val="0018710E"/>
    <w:rsid w:val="0018714D"/>
    <w:rsid w:val="00187563"/>
    <w:rsid w:val="001876DC"/>
    <w:rsid w:val="0018796B"/>
    <w:rsid w:val="00187A8A"/>
    <w:rsid w:val="00190027"/>
    <w:rsid w:val="0019064E"/>
    <w:rsid w:val="001907FD"/>
    <w:rsid w:val="00190875"/>
    <w:rsid w:val="00190904"/>
    <w:rsid w:val="00190997"/>
    <w:rsid w:val="001909C3"/>
    <w:rsid w:val="00190DD4"/>
    <w:rsid w:val="00190EBE"/>
    <w:rsid w:val="001919F1"/>
    <w:rsid w:val="00191A31"/>
    <w:rsid w:val="00191CE9"/>
    <w:rsid w:val="00191D40"/>
    <w:rsid w:val="001926BB"/>
    <w:rsid w:val="0019294A"/>
    <w:rsid w:val="00192BA0"/>
    <w:rsid w:val="00192C9D"/>
    <w:rsid w:val="00192F9D"/>
    <w:rsid w:val="00193043"/>
    <w:rsid w:val="00193231"/>
    <w:rsid w:val="001932CF"/>
    <w:rsid w:val="00193319"/>
    <w:rsid w:val="00193349"/>
    <w:rsid w:val="001935ED"/>
    <w:rsid w:val="0019360F"/>
    <w:rsid w:val="00193652"/>
    <w:rsid w:val="001937EC"/>
    <w:rsid w:val="00193CC1"/>
    <w:rsid w:val="00193E01"/>
    <w:rsid w:val="00193FA7"/>
    <w:rsid w:val="001941CE"/>
    <w:rsid w:val="001947D2"/>
    <w:rsid w:val="001950A6"/>
    <w:rsid w:val="00195266"/>
    <w:rsid w:val="00195497"/>
    <w:rsid w:val="001955E9"/>
    <w:rsid w:val="00196679"/>
    <w:rsid w:val="00196CF9"/>
    <w:rsid w:val="00196D2C"/>
    <w:rsid w:val="00196EB8"/>
    <w:rsid w:val="00196EFB"/>
    <w:rsid w:val="00196FE4"/>
    <w:rsid w:val="00197199"/>
    <w:rsid w:val="001972AD"/>
    <w:rsid w:val="001972CA"/>
    <w:rsid w:val="001972FA"/>
    <w:rsid w:val="00197885"/>
    <w:rsid w:val="001979CB"/>
    <w:rsid w:val="001979FF"/>
    <w:rsid w:val="00197B17"/>
    <w:rsid w:val="00197CA5"/>
    <w:rsid w:val="00197D0F"/>
    <w:rsid w:val="001A0364"/>
    <w:rsid w:val="001A0D33"/>
    <w:rsid w:val="001A0D6E"/>
    <w:rsid w:val="001A10B0"/>
    <w:rsid w:val="001A10E9"/>
    <w:rsid w:val="001A11A6"/>
    <w:rsid w:val="001A1402"/>
    <w:rsid w:val="001A1515"/>
    <w:rsid w:val="001A184F"/>
    <w:rsid w:val="001A1950"/>
    <w:rsid w:val="001A1C54"/>
    <w:rsid w:val="001A1E79"/>
    <w:rsid w:val="001A201F"/>
    <w:rsid w:val="001A20D0"/>
    <w:rsid w:val="001A25BA"/>
    <w:rsid w:val="001A2DAB"/>
    <w:rsid w:val="001A2F75"/>
    <w:rsid w:val="001A33DF"/>
    <w:rsid w:val="001A3ACE"/>
    <w:rsid w:val="001A3B28"/>
    <w:rsid w:val="001A3C23"/>
    <w:rsid w:val="001A3F61"/>
    <w:rsid w:val="001A400C"/>
    <w:rsid w:val="001A408A"/>
    <w:rsid w:val="001A411A"/>
    <w:rsid w:val="001A4141"/>
    <w:rsid w:val="001A4225"/>
    <w:rsid w:val="001A4231"/>
    <w:rsid w:val="001A48B7"/>
    <w:rsid w:val="001A4B55"/>
    <w:rsid w:val="001A4D0C"/>
    <w:rsid w:val="001A4D2B"/>
    <w:rsid w:val="001A569B"/>
    <w:rsid w:val="001A570B"/>
    <w:rsid w:val="001A58AC"/>
    <w:rsid w:val="001A58FE"/>
    <w:rsid w:val="001A5992"/>
    <w:rsid w:val="001A5CA0"/>
    <w:rsid w:val="001A5F67"/>
    <w:rsid w:val="001A6272"/>
    <w:rsid w:val="001A62AE"/>
    <w:rsid w:val="001A672C"/>
    <w:rsid w:val="001A6802"/>
    <w:rsid w:val="001A68C9"/>
    <w:rsid w:val="001A6A19"/>
    <w:rsid w:val="001A712D"/>
    <w:rsid w:val="001A736F"/>
    <w:rsid w:val="001A776E"/>
    <w:rsid w:val="001A79CA"/>
    <w:rsid w:val="001A7BC4"/>
    <w:rsid w:val="001A7BFA"/>
    <w:rsid w:val="001A7CBA"/>
    <w:rsid w:val="001B042B"/>
    <w:rsid w:val="001B058F"/>
    <w:rsid w:val="001B05FA"/>
    <w:rsid w:val="001B05FD"/>
    <w:rsid w:val="001B07C0"/>
    <w:rsid w:val="001B0B0E"/>
    <w:rsid w:val="001B0D4D"/>
    <w:rsid w:val="001B0E4D"/>
    <w:rsid w:val="001B0E85"/>
    <w:rsid w:val="001B0E87"/>
    <w:rsid w:val="001B0EC5"/>
    <w:rsid w:val="001B104D"/>
    <w:rsid w:val="001B10EA"/>
    <w:rsid w:val="001B111B"/>
    <w:rsid w:val="001B1456"/>
    <w:rsid w:val="001B15BD"/>
    <w:rsid w:val="001B1635"/>
    <w:rsid w:val="001B18C3"/>
    <w:rsid w:val="001B1B3F"/>
    <w:rsid w:val="001B1E00"/>
    <w:rsid w:val="001B1EA9"/>
    <w:rsid w:val="001B1EFF"/>
    <w:rsid w:val="001B1F43"/>
    <w:rsid w:val="001B22D5"/>
    <w:rsid w:val="001B23C8"/>
    <w:rsid w:val="001B2ABE"/>
    <w:rsid w:val="001B3456"/>
    <w:rsid w:val="001B345B"/>
    <w:rsid w:val="001B34B4"/>
    <w:rsid w:val="001B3893"/>
    <w:rsid w:val="001B3895"/>
    <w:rsid w:val="001B3B03"/>
    <w:rsid w:val="001B3C23"/>
    <w:rsid w:val="001B41B0"/>
    <w:rsid w:val="001B4462"/>
    <w:rsid w:val="001B4696"/>
    <w:rsid w:val="001B47AF"/>
    <w:rsid w:val="001B4C65"/>
    <w:rsid w:val="001B54B0"/>
    <w:rsid w:val="001B577E"/>
    <w:rsid w:val="001B5A79"/>
    <w:rsid w:val="001B5EAA"/>
    <w:rsid w:val="001B5F17"/>
    <w:rsid w:val="001B5FC4"/>
    <w:rsid w:val="001B6984"/>
    <w:rsid w:val="001B6B96"/>
    <w:rsid w:val="001B6E79"/>
    <w:rsid w:val="001B6F38"/>
    <w:rsid w:val="001B7208"/>
    <w:rsid w:val="001B738B"/>
    <w:rsid w:val="001B73C7"/>
    <w:rsid w:val="001B76DA"/>
    <w:rsid w:val="001B7A77"/>
    <w:rsid w:val="001B7ADC"/>
    <w:rsid w:val="001B7E8A"/>
    <w:rsid w:val="001C039F"/>
    <w:rsid w:val="001C0724"/>
    <w:rsid w:val="001C080E"/>
    <w:rsid w:val="001C095A"/>
    <w:rsid w:val="001C0998"/>
    <w:rsid w:val="001C09DB"/>
    <w:rsid w:val="001C0A9D"/>
    <w:rsid w:val="001C0E01"/>
    <w:rsid w:val="001C1095"/>
    <w:rsid w:val="001C1140"/>
    <w:rsid w:val="001C1425"/>
    <w:rsid w:val="001C14D4"/>
    <w:rsid w:val="001C14F3"/>
    <w:rsid w:val="001C159B"/>
    <w:rsid w:val="001C1647"/>
    <w:rsid w:val="001C1845"/>
    <w:rsid w:val="001C1B64"/>
    <w:rsid w:val="001C1DEF"/>
    <w:rsid w:val="001C1E73"/>
    <w:rsid w:val="001C242D"/>
    <w:rsid w:val="001C25E5"/>
    <w:rsid w:val="001C277E"/>
    <w:rsid w:val="001C2A72"/>
    <w:rsid w:val="001C2DDB"/>
    <w:rsid w:val="001C3004"/>
    <w:rsid w:val="001C31B7"/>
    <w:rsid w:val="001C3298"/>
    <w:rsid w:val="001C32D4"/>
    <w:rsid w:val="001C3443"/>
    <w:rsid w:val="001C3536"/>
    <w:rsid w:val="001C38E8"/>
    <w:rsid w:val="001C3CE7"/>
    <w:rsid w:val="001C408F"/>
    <w:rsid w:val="001C4329"/>
    <w:rsid w:val="001C440C"/>
    <w:rsid w:val="001C441B"/>
    <w:rsid w:val="001C4DDE"/>
    <w:rsid w:val="001C546A"/>
    <w:rsid w:val="001C5B85"/>
    <w:rsid w:val="001C6048"/>
    <w:rsid w:val="001C6168"/>
    <w:rsid w:val="001C6367"/>
    <w:rsid w:val="001C688A"/>
    <w:rsid w:val="001C692F"/>
    <w:rsid w:val="001C6BA4"/>
    <w:rsid w:val="001C6D84"/>
    <w:rsid w:val="001C73AF"/>
    <w:rsid w:val="001C79BF"/>
    <w:rsid w:val="001C7A13"/>
    <w:rsid w:val="001C7A1E"/>
    <w:rsid w:val="001C7AEB"/>
    <w:rsid w:val="001C7DAC"/>
    <w:rsid w:val="001C7F71"/>
    <w:rsid w:val="001D0230"/>
    <w:rsid w:val="001D02F2"/>
    <w:rsid w:val="001D034F"/>
    <w:rsid w:val="001D03B1"/>
    <w:rsid w:val="001D0630"/>
    <w:rsid w:val="001D0B75"/>
    <w:rsid w:val="001D0C6A"/>
    <w:rsid w:val="001D0E03"/>
    <w:rsid w:val="001D1012"/>
    <w:rsid w:val="001D109D"/>
    <w:rsid w:val="001D1117"/>
    <w:rsid w:val="001D12A0"/>
    <w:rsid w:val="001D14EA"/>
    <w:rsid w:val="001D1569"/>
    <w:rsid w:val="001D15B6"/>
    <w:rsid w:val="001D19EC"/>
    <w:rsid w:val="001D1C87"/>
    <w:rsid w:val="001D1EA3"/>
    <w:rsid w:val="001D2BD5"/>
    <w:rsid w:val="001D2C15"/>
    <w:rsid w:val="001D2C92"/>
    <w:rsid w:val="001D2ED7"/>
    <w:rsid w:val="001D39A5"/>
    <w:rsid w:val="001D3C09"/>
    <w:rsid w:val="001D3CF6"/>
    <w:rsid w:val="001D3E62"/>
    <w:rsid w:val="001D416A"/>
    <w:rsid w:val="001D44E8"/>
    <w:rsid w:val="001D49D3"/>
    <w:rsid w:val="001D4ACC"/>
    <w:rsid w:val="001D4B6E"/>
    <w:rsid w:val="001D4D8A"/>
    <w:rsid w:val="001D4E79"/>
    <w:rsid w:val="001D4F1D"/>
    <w:rsid w:val="001D5308"/>
    <w:rsid w:val="001D53A4"/>
    <w:rsid w:val="001D56CE"/>
    <w:rsid w:val="001D576B"/>
    <w:rsid w:val="001D57A8"/>
    <w:rsid w:val="001D5A02"/>
    <w:rsid w:val="001D60EC"/>
    <w:rsid w:val="001D6356"/>
    <w:rsid w:val="001D6357"/>
    <w:rsid w:val="001D6414"/>
    <w:rsid w:val="001D6512"/>
    <w:rsid w:val="001D67EC"/>
    <w:rsid w:val="001D6881"/>
    <w:rsid w:val="001D68FA"/>
    <w:rsid w:val="001D6998"/>
    <w:rsid w:val="001D6BA0"/>
    <w:rsid w:val="001D6F59"/>
    <w:rsid w:val="001D70F5"/>
    <w:rsid w:val="001D7241"/>
    <w:rsid w:val="001D72B1"/>
    <w:rsid w:val="001D73A5"/>
    <w:rsid w:val="001D73E0"/>
    <w:rsid w:val="001D74DA"/>
    <w:rsid w:val="001D7853"/>
    <w:rsid w:val="001D792E"/>
    <w:rsid w:val="001D7ADA"/>
    <w:rsid w:val="001D7AE4"/>
    <w:rsid w:val="001E01AE"/>
    <w:rsid w:val="001E0768"/>
    <w:rsid w:val="001E0C6F"/>
    <w:rsid w:val="001E1141"/>
    <w:rsid w:val="001E132F"/>
    <w:rsid w:val="001E14F9"/>
    <w:rsid w:val="001E15A3"/>
    <w:rsid w:val="001E165C"/>
    <w:rsid w:val="001E1750"/>
    <w:rsid w:val="001E1B7F"/>
    <w:rsid w:val="001E1C9E"/>
    <w:rsid w:val="001E1F46"/>
    <w:rsid w:val="001E1F84"/>
    <w:rsid w:val="001E2092"/>
    <w:rsid w:val="001E210C"/>
    <w:rsid w:val="001E21C3"/>
    <w:rsid w:val="001E245C"/>
    <w:rsid w:val="001E25E0"/>
    <w:rsid w:val="001E2800"/>
    <w:rsid w:val="001E29B2"/>
    <w:rsid w:val="001E2AD3"/>
    <w:rsid w:val="001E2B4E"/>
    <w:rsid w:val="001E2CAA"/>
    <w:rsid w:val="001E2E27"/>
    <w:rsid w:val="001E37BB"/>
    <w:rsid w:val="001E398C"/>
    <w:rsid w:val="001E43A8"/>
    <w:rsid w:val="001E44DF"/>
    <w:rsid w:val="001E4516"/>
    <w:rsid w:val="001E46EC"/>
    <w:rsid w:val="001E4E72"/>
    <w:rsid w:val="001E4EAF"/>
    <w:rsid w:val="001E4F32"/>
    <w:rsid w:val="001E4FE2"/>
    <w:rsid w:val="001E596E"/>
    <w:rsid w:val="001E64A7"/>
    <w:rsid w:val="001E66EF"/>
    <w:rsid w:val="001E68A5"/>
    <w:rsid w:val="001E6A18"/>
    <w:rsid w:val="001E6AEF"/>
    <w:rsid w:val="001E6BB0"/>
    <w:rsid w:val="001E6C5A"/>
    <w:rsid w:val="001E6C70"/>
    <w:rsid w:val="001E710B"/>
    <w:rsid w:val="001E7124"/>
    <w:rsid w:val="001E713B"/>
    <w:rsid w:val="001E71FC"/>
    <w:rsid w:val="001E7282"/>
    <w:rsid w:val="001E7641"/>
    <w:rsid w:val="001E7824"/>
    <w:rsid w:val="001E79B1"/>
    <w:rsid w:val="001E7AB3"/>
    <w:rsid w:val="001E7C63"/>
    <w:rsid w:val="001E7D14"/>
    <w:rsid w:val="001E7E27"/>
    <w:rsid w:val="001E7E37"/>
    <w:rsid w:val="001E7F35"/>
    <w:rsid w:val="001F0021"/>
    <w:rsid w:val="001F0BAA"/>
    <w:rsid w:val="001F0EBB"/>
    <w:rsid w:val="001F12E4"/>
    <w:rsid w:val="001F1605"/>
    <w:rsid w:val="001F18CE"/>
    <w:rsid w:val="001F1942"/>
    <w:rsid w:val="001F19D9"/>
    <w:rsid w:val="001F1CCD"/>
    <w:rsid w:val="001F1D4B"/>
    <w:rsid w:val="001F1EFD"/>
    <w:rsid w:val="001F2009"/>
    <w:rsid w:val="001F2012"/>
    <w:rsid w:val="001F21C8"/>
    <w:rsid w:val="001F21F3"/>
    <w:rsid w:val="001F22BF"/>
    <w:rsid w:val="001F25F0"/>
    <w:rsid w:val="001F287F"/>
    <w:rsid w:val="001F28E6"/>
    <w:rsid w:val="001F29BF"/>
    <w:rsid w:val="001F2A2F"/>
    <w:rsid w:val="001F2D8E"/>
    <w:rsid w:val="001F2E4C"/>
    <w:rsid w:val="001F305A"/>
    <w:rsid w:val="001F37F1"/>
    <w:rsid w:val="001F3826"/>
    <w:rsid w:val="001F39E9"/>
    <w:rsid w:val="001F3AD1"/>
    <w:rsid w:val="001F3C0A"/>
    <w:rsid w:val="001F3CE5"/>
    <w:rsid w:val="001F3D14"/>
    <w:rsid w:val="001F4070"/>
    <w:rsid w:val="001F40E4"/>
    <w:rsid w:val="001F43C9"/>
    <w:rsid w:val="001F4890"/>
    <w:rsid w:val="001F48B2"/>
    <w:rsid w:val="001F4A94"/>
    <w:rsid w:val="001F4FC9"/>
    <w:rsid w:val="001F4FD7"/>
    <w:rsid w:val="001F55B0"/>
    <w:rsid w:val="001F560C"/>
    <w:rsid w:val="001F6180"/>
    <w:rsid w:val="001F6421"/>
    <w:rsid w:val="001F65DF"/>
    <w:rsid w:val="001F6946"/>
    <w:rsid w:val="001F6BBC"/>
    <w:rsid w:val="001F6BC1"/>
    <w:rsid w:val="001F6E46"/>
    <w:rsid w:val="001F7AC9"/>
    <w:rsid w:val="001F7C27"/>
    <w:rsid w:val="001F7C74"/>
    <w:rsid w:val="001F7C91"/>
    <w:rsid w:val="001F7CC2"/>
    <w:rsid w:val="001F7E5C"/>
    <w:rsid w:val="001F7F48"/>
    <w:rsid w:val="002000E0"/>
    <w:rsid w:val="00200467"/>
    <w:rsid w:val="00200529"/>
    <w:rsid w:val="00200533"/>
    <w:rsid w:val="002006E8"/>
    <w:rsid w:val="0020076E"/>
    <w:rsid w:val="00200AA6"/>
    <w:rsid w:val="00200BF2"/>
    <w:rsid w:val="00200DF0"/>
    <w:rsid w:val="00201335"/>
    <w:rsid w:val="0020136E"/>
    <w:rsid w:val="00201A95"/>
    <w:rsid w:val="00201B06"/>
    <w:rsid w:val="00202375"/>
    <w:rsid w:val="0020249B"/>
    <w:rsid w:val="00202835"/>
    <w:rsid w:val="00202840"/>
    <w:rsid w:val="00202872"/>
    <w:rsid w:val="00202920"/>
    <w:rsid w:val="00202AD3"/>
    <w:rsid w:val="00202DB3"/>
    <w:rsid w:val="00202E45"/>
    <w:rsid w:val="00202FA6"/>
    <w:rsid w:val="002033B7"/>
    <w:rsid w:val="00203414"/>
    <w:rsid w:val="002035BD"/>
    <w:rsid w:val="0020387B"/>
    <w:rsid w:val="002038FD"/>
    <w:rsid w:val="00203A77"/>
    <w:rsid w:val="00203B3D"/>
    <w:rsid w:val="00203B55"/>
    <w:rsid w:val="00203DCA"/>
    <w:rsid w:val="002042BD"/>
    <w:rsid w:val="002045D9"/>
    <w:rsid w:val="002046D7"/>
    <w:rsid w:val="00204B97"/>
    <w:rsid w:val="00204D9E"/>
    <w:rsid w:val="00204E1B"/>
    <w:rsid w:val="00204FB4"/>
    <w:rsid w:val="002053F3"/>
    <w:rsid w:val="00205415"/>
    <w:rsid w:val="002054B3"/>
    <w:rsid w:val="002055D2"/>
    <w:rsid w:val="00205A2D"/>
    <w:rsid w:val="00205A75"/>
    <w:rsid w:val="00205FA2"/>
    <w:rsid w:val="002060F4"/>
    <w:rsid w:val="00206253"/>
    <w:rsid w:val="00206463"/>
    <w:rsid w:val="002067B0"/>
    <w:rsid w:val="002067D2"/>
    <w:rsid w:val="002067F9"/>
    <w:rsid w:val="002069FE"/>
    <w:rsid w:val="00206CAA"/>
    <w:rsid w:val="00206D03"/>
    <w:rsid w:val="00206F2F"/>
    <w:rsid w:val="00206FC9"/>
    <w:rsid w:val="0020741E"/>
    <w:rsid w:val="00207474"/>
    <w:rsid w:val="002075AB"/>
    <w:rsid w:val="00207717"/>
    <w:rsid w:val="00207937"/>
    <w:rsid w:val="002079C1"/>
    <w:rsid w:val="002079E5"/>
    <w:rsid w:val="00207A00"/>
    <w:rsid w:val="00210446"/>
    <w:rsid w:val="0021053D"/>
    <w:rsid w:val="002108B5"/>
    <w:rsid w:val="00210A92"/>
    <w:rsid w:val="00210AA5"/>
    <w:rsid w:val="00210B4F"/>
    <w:rsid w:val="00210D6B"/>
    <w:rsid w:val="00210DD2"/>
    <w:rsid w:val="00210E8A"/>
    <w:rsid w:val="00211E4B"/>
    <w:rsid w:val="00211F47"/>
    <w:rsid w:val="00212085"/>
    <w:rsid w:val="0021298E"/>
    <w:rsid w:val="00212A8B"/>
    <w:rsid w:val="00212B95"/>
    <w:rsid w:val="00212D76"/>
    <w:rsid w:val="00212D9F"/>
    <w:rsid w:val="00212EF5"/>
    <w:rsid w:val="00213007"/>
    <w:rsid w:val="0021300C"/>
    <w:rsid w:val="00213BE9"/>
    <w:rsid w:val="00213CBB"/>
    <w:rsid w:val="00213E2E"/>
    <w:rsid w:val="00213EBF"/>
    <w:rsid w:val="00214013"/>
    <w:rsid w:val="002140D4"/>
    <w:rsid w:val="0021423A"/>
    <w:rsid w:val="002142D4"/>
    <w:rsid w:val="00214356"/>
    <w:rsid w:val="002145D8"/>
    <w:rsid w:val="002146F9"/>
    <w:rsid w:val="00214877"/>
    <w:rsid w:val="00214974"/>
    <w:rsid w:val="00214B6A"/>
    <w:rsid w:val="00214FCE"/>
    <w:rsid w:val="0021556A"/>
    <w:rsid w:val="00215910"/>
    <w:rsid w:val="00215BDD"/>
    <w:rsid w:val="00215C29"/>
    <w:rsid w:val="00215CC8"/>
    <w:rsid w:val="00215F84"/>
    <w:rsid w:val="00216107"/>
    <w:rsid w:val="00216290"/>
    <w:rsid w:val="00216542"/>
    <w:rsid w:val="00216C03"/>
    <w:rsid w:val="00216CDA"/>
    <w:rsid w:val="002170E1"/>
    <w:rsid w:val="00217353"/>
    <w:rsid w:val="002177DC"/>
    <w:rsid w:val="002177F7"/>
    <w:rsid w:val="00217C09"/>
    <w:rsid w:val="00217C85"/>
    <w:rsid w:val="00217D5D"/>
    <w:rsid w:val="00217EBB"/>
    <w:rsid w:val="00220056"/>
    <w:rsid w:val="002200E6"/>
    <w:rsid w:val="00220281"/>
    <w:rsid w:val="002204CD"/>
    <w:rsid w:val="002204D2"/>
    <w:rsid w:val="00220755"/>
    <w:rsid w:val="002207D4"/>
    <w:rsid w:val="00220A1A"/>
    <w:rsid w:val="00220C04"/>
    <w:rsid w:val="00221271"/>
    <w:rsid w:val="0022132C"/>
    <w:rsid w:val="002216D5"/>
    <w:rsid w:val="002217F3"/>
    <w:rsid w:val="00221E9B"/>
    <w:rsid w:val="002224AA"/>
    <w:rsid w:val="00222558"/>
    <w:rsid w:val="002225D0"/>
    <w:rsid w:val="0022264A"/>
    <w:rsid w:val="00222690"/>
    <w:rsid w:val="0022278D"/>
    <w:rsid w:val="002228B0"/>
    <w:rsid w:val="00222ACE"/>
    <w:rsid w:val="00222B8F"/>
    <w:rsid w:val="00222D48"/>
    <w:rsid w:val="002232BE"/>
    <w:rsid w:val="002234DA"/>
    <w:rsid w:val="002239DC"/>
    <w:rsid w:val="00223B60"/>
    <w:rsid w:val="00223DB1"/>
    <w:rsid w:val="00223F8C"/>
    <w:rsid w:val="00224026"/>
    <w:rsid w:val="0022407E"/>
    <w:rsid w:val="002240EA"/>
    <w:rsid w:val="0022433D"/>
    <w:rsid w:val="00224622"/>
    <w:rsid w:val="00224D77"/>
    <w:rsid w:val="00224DD6"/>
    <w:rsid w:val="00224F09"/>
    <w:rsid w:val="0022556D"/>
    <w:rsid w:val="002259D3"/>
    <w:rsid w:val="00225DF7"/>
    <w:rsid w:val="00225FD1"/>
    <w:rsid w:val="0022600C"/>
    <w:rsid w:val="0022613B"/>
    <w:rsid w:val="00226217"/>
    <w:rsid w:val="0022673B"/>
    <w:rsid w:val="00226789"/>
    <w:rsid w:val="0022690B"/>
    <w:rsid w:val="0022695E"/>
    <w:rsid w:val="00226B01"/>
    <w:rsid w:val="00226F8E"/>
    <w:rsid w:val="00226FBD"/>
    <w:rsid w:val="0022701F"/>
    <w:rsid w:val="0022729D"/>
    <w:rsid w:val="002275D2"/>
    <w:rsid w:val="00227B25"/>
    <w:rsid w:val="00227C68"/>
    <w:rsid w:val="00227E21"/>
    <w:rsid w:val="00227EE3"/>
    <w:rsid w:val="0023033C"/>
    <w:rsid w:val="00230456"/>
    <w:rsid w:val="00230618"/>
    <w:rsid w:val="002308E9"/>
    <w:rsid w:val="00230949"/>
    <w:rsid w:val="00230B91"/>
    <w:rsid w:val="00230E54"/>
    <w:rsid w:val="00230EA7"/>
    <w:rsid w:val="00231112"/>
    <w:rsid w:val="00231315"/>
    <w:rsid w:val="00231749"/>
    <w:rsid w:val="00231E6B"/>
    <w:rsid w:val="00231F5C"/>
    <w:rsid w:val="00231FE7"/>
    <w:rsid w:val="00232379"/>
    <w:rsid w:val="0023280D"/>
    <w:rsid w:val="00232CA8"/>
    <w:rsid w:val="00232D69"/>
    <w:rsid w:val="0023336E"/>
    <w:rsid w:val="002333F5"/>
    <w:rsid w:val="00233724"/>
    <w:rsid w:val="002337FF"/>
    <w:rsid w:val="00233B0B"/>
    <w:rsid w:val="002340C9"/>
    <w:rsid w:val="00234460"/>
    <w:rsid w:val="00234D01"/>
    <w:rsid w:val="00235268"/>
    <w:rsid w:val="002353AF"/>
    <w:rsid w:val="002354A5"/>
    <w:rsid w:val="00235547"/>
    <w:rsid w:val="002355E6"/>
    <w:rsid w:val="002357AD"/>
    <w:rsid w:val="0023596D"/>
    <w:rsid w:val="00235A54"/>
    <w:rsid w:val="00235E18"/>
    <w:rsid w:val="0023610A"/>
    <w:rsid w:val="0023614F"/>
    <w:rsid w:val="002365B4"/>
    <w:rsid w:val="002367CD"/>
    <w:rsid w:val="00236848"/>
    <w:rsid w:val="00236900"/>
    <w:rsid w:val="002369C1"/>
    <w:rsid w:val="00236F97"/>
    <w:rsid w:val="00237421"/>
    <w:rsid w:val="00237BD8"/>
    <w:rsid w:val="00237CB4"/>
    <w:rsid w:val="00240063"/>
    <w:rsid w:val="002407F6"/>
    <w:rsid w:val="00240837"/>
    <w:rsid w:val="00240A32"/>
    <w:rsid w:val="00240E77"/>
    <w:rsid w:val="00240ECA"/>
    <w:rsid w:val="0024178B"/>
    <w:rsid w:val="0024199F"/>
    <w:rsid w:val="002419B5"/>
    <w:rsid w:val="00241B9A"/>
    <w:rsid w:val="0024201D"/>
    <w:rsid w:val="00242222"/>
    <w:rsid w:val="00242270"/>
    <w:rsid w:val="00242381"/>
    <w:rsid w:val="00242B32"/>
    <w:rsid w:val="00242C0C"/>
    <w:rsid w:val="00242FC8"/>
    <w:rsid w:val="002430E9"/>
    <w:rsid w:val="0024325A"/>
    <w:rsid w:val="002432E1"/>
    <w:rsid w:val="002434B3"/>
    <w:rsid w:val="002437E9"/>
    <w:rsid w:val="00243EFD"/>
    <w:rsid w:val="00243F94"/>
    <w:rsid w:val="0024406F"/>
    <w:rsid w:val="0024407D"/>
    <w:rsid w:val="0024419B"/>
    <w:rsid w:val="0024436A"/>
    <w:rsid w:val="00244846"/>
    <w:rsid w:val="002449D7"/>
    <w:rsid w:val="00244BA9"/>
    <w:rsid w:val="00244BAC"/>
    <w:rsid w:val="00244DB7"/>
    <w:rsid w:val="00244F20"/>
    <w:rsid w:val="00245046"/>
    <w:rsid w:val="00245583"/>
    <w:rsid w:val="0024566C"/>
    <w:rsid w:val="00245702"/>
    <w:rsid w:val="00245C4C"/>
    <w:rsid w:val="002460F7"/>
    <w:rsid w:val="00246207"/>
    <w:rsid w:val="002464E7"/>
    <w:rsid w:val="002468F3"/>
    <w:rsid w:val="00246C5E"/>
    <w:rsid w:val="00246D15"/>
    <w:rsid w:val="00246ED7"/>
    <w:rsid w:val="002470DF"/>
    <w:rsid w:val="002470FE"/>
    <w:rsid w:val="0024744E"/>
    <w:rsid w:val="002477B0"/>
    <w:rsid w:val="002477C0"/>
    <w:rsid w:val="00247968"/>
    <w:rsid w:val="00247B5B"/>
    <w:rsid w:val="00250086"/>
    <w:rsid w:val="002501CC"/>
    <w:rsid w:val="002504E9"/>
    <w:rsid w:val="00250661"/>
    <w:rsid w:val="002506DB"/>
    <w:rsid w:val="00250960"/>
    <w:rsid w:val="0025120F"/>
    <w:rsid w:val="002512FC"/>
    <w:rsid w:val="00251343"/>
    <w:rsid w:val="00251397"/>
    <w:rsid w:val="002513EA"/>
    <w:rsid w:val="002517D0"/>
    <w:rsid w:val="00251AA8"/>
    <w:rsid w:val="00251B4A"/>
    <w:rsid w:val="00251E50"/>
    <w:rsid w:val="002520C8"/>
    <w:rsid w:val="00252344"/>
    <w:rsid w:val="00252603"/>
    <w:rsid w:val="002527B9"/>
    <w:rsid w:val="00252957"/>
    <w:rsid w:val="00252979"/>
    <w:rsid w:val="002529E9"/>
    <w:rsid w:val="00252A04"/>
    <w:rsid w:val="00252ACD"/>
    <w:rsid w:val="00252BF8"/>
    <w:rsid w:val="00252E0F"/>
    <w:rsid w:val="00252F3C"/>
    <w:rsid w:val="00253049"/>
    <w:rsid w:val="00253149"/>
    <w:rsid w:val="002531A2"/>
    <w:rsid w:val="0025351F"/>
    <w:rsid w:val="002535B6"/>
    <w:rsid w:val="00253675"/>
    <w:rsid w:val="00253688"/>
    <w:rsid w:val="002536A4"/>
    <w:rsid w:val="002539F4"/>
    <w:rsid w:val="00253E32"/>
    <w:rsid w:val="0025408C"/>
    <w:rsid w:val="0025444C"/>
    <w:rsid w:val="00254608"/>
    <w:rsid w:val="00254F58"/>
    <w:rsid w:val="00255090"/>
    <w:rsid w:val="002550CD"/>
    <w:rsid w:val="0025511D"/>
    <w:rsid w:val="002559B3"/>
    <w:rsid w:val="00255AEA"/>
    <w:rsid w:val="00255DEF"/>
    <w:rsid w:val="0025689B"/>
    <w:rsid w:val="00256C37"/>
    <w:rsid w:val="00256E01"/>
    <w:rsid w:val="00256E19"/>
    <w:rsid w:val="00256E5E"/>
    <w:rsid w:val="00256FC9"/>
    <w:rsid w:val="0025736B"/>
    <w:rsid w:val="002573E4"/>
    <w:rsid w:val="0025760C"/>
    <w:rsid w:val="00257691"/>
    <w:rsid w:val="00257A57"/>
    <w:rsid w:val="00257AED"/>
    <w:rsid w:val="00257C5C"/>
    <w:rsid w:val="00257E2F"/>
    <w:rsid w:val="00257ECD"/>
    <w:rsid w:val="00257EEA"/>
    <w:rsid w:val="00257EF8"/>
    <w:rsid w:val="00260148"/>
    <w:rsid w:val="00260212"/>
    <w:rsid w:val="0026044D"/>
    <w:rsid w:val="002604B6"/>
    <w:rsid w:val="0026066C"/>
    <w:rsid w:val="00260B18"/>
    <w:rsid w:val="00260CB6"/>
    <w:rsid w:val="00260F21"/>
    <w:rsid w:val="002612C4"/>
    <w:rsid w:val="002614EF"/>
    <w:rsid w:val="00261573"/>
    <w:rsid w:val="00261710"/>
    <w:rsid w:val="0026197F"/>
    <w:rsid w:val="00261AE3"/>
    <w:rsid w:val="002620BC"/>
    <w:rsid w:val="002620DD"/>
    <w:rsid w:val="0026214A"/>
    <w:rsid w:val="0026216D"/>
    <w:rsid w:val="002622FA"/>
    <w:rsid w:val="00262348"/>
    <w:rsid w:val="002623FB"/>
    <w:rsid w:val="00262802"/>
    <w:rsid w:val="0026282C"/>
    <w:rsid w:val="002628D3"/>
    <w:rsid w:val="00262907"/>
    <w:rsid w:val="0026290B"/>
    <w:rsid w:val="00262C06"/>
    <w:rsid w:val="0026301D"/>
    <w:rsid w:val="00263771"/>
    <w:rsid w:val="002638ED"/>
    <w:rsid w:val="00263A30"/>
    <w:rsid w:val="00263A90"/>
    <w:rsid w:val="00263CE7"/>
    <w:rsid w:val="0026408B"/>
    <w:rsid w:val="002642BF"/>
    <w:rsid w:val="002642C8"/>
    <w:rsid w:val="002644AE"/>
    <w:rsid w:val="00264631"/>
    <w:rsid w:val="00264787"/>
    <w:rsid w:val="002647EC"/>
    <w:rsid w:val="00264934"/>
    <w:rsid w:val="00264A6C"/>
    <w:rsid w:val="00264CFB"/>
    <w:rsid w:val="00264D56"/>
    <w:rsid w:val="00264DDA"/>
    <w:rsid w:val="00264E93"/>
    <w:rsid w:val="00264F84"/>
    <w:rsid w:val="00265065"/>
    <w:rsid w:val="00265091"/>
    <w:rsid w:val="0026520C"/>
    <w:rsid w:val="002654A4"/>
    <w:rsid w:val="002655E7"/>
    <w:rsid w:val="002657B2"/>
    <w:rsid w:val="00265D49"/>
    <w:rsid w:val="00265E16"/>
    <w:rsid w:val="00265E2C"/>
    <w:rsid w:val="00266282"/>
    <w:rsid w:val="002663AA"/>
    <w:rsid w:val="00266509"/>
    <w:rsid w:val="002667EB"/>
    <w:rsid w:val="00267720"/>
    <w:rsid w:val="0026796A"/>
    <w:rsid w:val="00267C3E"/>
    <w:rsid w:val="00267CE7"/>
    <w:rsid w:val="00267F3A"/>
    <w:rsid w:val="0027014D"/>
    <w:rsid w:val="00270365"/>
    <w:rsid w:val="002709BB"/>
    <w:rsid w:val="002709F3"/>
    <w:rsid w:val="00270EB6"/>
    <w:rsid w:val="00271107"/>
    <w:rsid w:val="0027131C"/>
    <w:rsid w:val="00271561"/>
    <w:rsid w:val="0027171F"/>
    <w:rsid w:val="00271756"/>
    <w:rsid w:val="00271765"/>
    <w:rsid w:val="00271E7F"/>
    <w:rsid w:val="002720E8"/>
    <w:rsid w:val="002723C4"/>
    <w:rsid w:val="002725EF"/>
    <w:rsid w:val="0027270F"/>
    <w:rsid w:val="0027279B"/>
    <w:rsid w:val="00272995"/>
    <w:rsid w:val="00272AEB"/>
    <w:rsid w:val="00272C50"/>
    <w:rsid w:val="00272FEB"/>
    <w:rsid w:val="00273014"/>
    <w:rsid w:val="00273028"/>
    <w:rsid w:val="00273A6E"/>
    <w:rsid w:val="00273BAC"/>
    <w:rsid w:val="00273CDA"/>
    <w:rsid w:val="002748A6"/>
    <w:rsid w:val="00274ACC"/>
    <w:rsid w:val="00274B51"/>
    <w:rsid w:val="00274BE0"/>
    <w:rsid w:val="0027504C"/>
    <w:rsid w:val="0027510E"/>
    <w:rsid w:val="002751AF"/>
    <w:rsid w:val="0027526C"/>
    <w:rsid w:val="00275358"/>
    <w:rsid w:val="002759BC"/>
    <w:rsid w:val="00275A10"/>
    <w:rsid w:val="00275BA7"/>
    <w:rsid w:val="00275DC6"/>
    <w:rsid w:val="00275EE1"/>
    <w:rsid w:val="00275FF5"/>
    <w:rsid w:val="002760D3"/>
    <w:rsid w:val="00276134"/>
    <w:rsid w:val="002762CF"/>
    <w:rsid w:val="002763B3"/>
    <w:rsid w:val="002764A7"/>
    <w:rsid w:val="00276573"/>
    <w:rsid w:val="002767D3"/>
    <w:rsid w:val="00276B25"/>
    <w:rsid w:val="00276BB6"/>
    <w:rsid w:val="00276DBB"/>
    <w:rsid w:val="002774BD"/>
    <w:rsid w:val="00277A4D"/>
    <w:rsid w:val="00277A63"/>
    <w:rsid w:val="00277A6C"/>
    <w:rsid w:val="00277E95"/>
    <w:rsid w:val="00277F88"/>
    <w:rsid w:val="002800D5"/>
    <w:rsid w:val="002801DD"/>
    <w:rsid w:val="0028023A"/>
    <w:rsid w:val="002802E3"/>
    <w:rsid w:val="002803F5"/>
    <w:rsid w:val="002804D2"/>
    <w:rsid w:val="002807BB"/>
    <w:rsid w:val="002807DE"/>
    <w:rsid w:val="00280CB9"/>
    <w:rsid w:val="00281311"/>
    <w:rsid w:val="0028141A"/>
    <w:rsid w:val="00281622"/>
    <w:rsid w:val="0028171D"/>
    <w:rsid w:val="0028179C"/>
    <w:rsid w:val="00281AE4"/>
    <w:rsid w:val="0028213D"/>
    <w:rsid w:val="00282883"/>
    <w:rsid w:val="00282CC7"/>
    <w:rsid w:val="00282D2F"/>
    <w:rsid w:val="00283129"/>
    <w:rsid w:val="002831AA"/>
    <w:rsid w:val="002836AE"/>
    <w:rsid w:val="00283960"/>
    <w:rsid w:val="002839DE"/>
    <w:rsid w:val="00284155"/>
    <w:rsid w:val="00284197"/>
    <w:rsid w:val="00284238"/>
    <w:rsid w:val="0028441D"/>
    <w:rsid w:val="00284788"/>
    <w:rsid w:val="002848C5"/>
    <w:rsid w:val="00284B75"/>
    <w:rsid w:val="00284F49"/>
    <w:rsid w:val="00285126"/>
    <w:rsid w:val="00285169"/>
    <w:rsid w:val="0028516E"/>
    <w:rsid w:val="00285D0F"/>
    <w:rsid w:val="00285D95"/>
    <w:rsid w:val="0028625F"/>
    <w:rsid w:val="002862F1"/>
    <w:rsid w:val="002863C0"/>
    <w:rsid w:val="002864DE"/>
    <w:rsid w:val="00286794"/>
    <w:rsid w:val="00286C30"/>
    <w:rsid w:val="002870B9"/>
    <w:rsid w:val="002878CD"/>
    <w:rsid w:val="00287953"/>
    <w:rsid w:val="00287A26"/>
    <w:rsid w:val="002902AD"/>
    <w:rsid w:val="002903BA"/>
    <w:rsid w:val="0029065A"/>
    <w:rsid w:val="00290693"/>
    <w:rsid w:val="00290742"/>
    <w:rsid w:val="00290771"/>
    <w:rsid w:val="00290A2F"/>
    <w:rsid w:val="00290C6D"/>
    <w:rsid w:val="00290DA5"/>
    <w:rsid w:val="00290ECC"/>
    <w:rsid w:val="002910F2"/>
    <w:rsid w:val="00291298"/>
    <w:rsid w:val="00291373"/>
    <w:rsid w:val="00291389"/>
    <w:rsid w:val="0029145E"/>
    <w:rsid w:val="002918A0"/>
    <w:rsid w:val="00291A2B"/>
    <w:rsid w:val="00291AEE"/>
    <w:rsid w:val="00291D66"/>
    <w:rsid w:val="00291D8B"/>
    <w:rsid w:val="00292041"/>
    <w:rsid w:val="002920BA"/>
    <w:rsid w:val="0029227E"/>
    <w:rsid w:val="00292312"/>
    <w:rsid w:val="00292322"/>
    <w:rsid w:val="00292414"/>
    <w:rsid w:val="00292519"/>
    <w:rsid w:val="00292528"/>
    <w:rsid w:val="002925EC"/>
    <w:rsid w:val="0029267B"/>
    <w:rsid w:val="0029279B"/>
    <w:rsid w:val="00292A5A"/>
    <w:rsid w:val="00292F29"/>
    <w:rsid w:val="00292FA7"/>
    <w:rsid w:val="002935AA"/>
    <w:rsid w:val="0029369D"/>
    <w:rsid w:val="00293957"/>
    <w:rsid w:val="002939E0"/>
    <w:rsid w:val="00293C26"/>
    <w:rsid w:val="00293D22"/>
    <w:rsid w:val="00293F1B"/>
    <w:rsid w:val="00294021"/>
    <w:rsid w:val="0029412B"/>
    <w:rsid w:val="0029417F"/>
    <w:rsid w:val="002941E7"/>
    <w:rsid w:val="002943BE"/>
    <w:rsid w:val="00294448"/>
    <w:rsid w:val="0029446D"/>
    <w:rsid w:val="00294477"/>
    <w:rsid w:val="002948A6"/>
    <w:rsid w:val="00294B3A"/>
    <w:rsid w:val="00294E6A"/>
    <w:rsid w:val="00294FCE"/>
    <w:rsid w:val="00295392"/>
    <w:rsid w:val="002954E8"/>
    <w:rsid w:val="0029597D"/>
    <w:rsid w:val="00295BD5"/>
    <w:rsid w:val="00295C25"/>
    <w:rsid w:val="00295EA2"/>
    <w:rsid w:val="002962C3"/>
    <w:rsid w:val="0029639F"/>
    <w:rsid w:val="00296503"/>
    <w:rsid w:val="00296529"/>
    <w:rsid w:val="00296684"/>
    <w:rsid w:val="002969EC"/>
    <w:rsid w:val="00296A03"/>
    <w:rsid w:val="00296D45"/>
    <w:rsid w:val="00296E6E"/>
    <w:rsid w:val="00296F58"/>
    <w:rsid w:val="0029750C"/>
    <w:rsid w:val="0029752B"/>
    <w:rsid w:val="00297622"/>
    <w:rsid w:val="0029785B"/>
    <w:rsid w:val="00297A2E"/>
    <w:rsid w:val="00297AA1"/>
    <w:rsid w:val="00297AB3"/>
    <w:rsid w:val="002A016D"/>
    <w:rsid w:val="002A02C9"/>
    <w:rsid w:val="002A0389"/>
    <w:rsid w:val="002A03E7"/>
    <w:rsid w:val="002A07E7"/>
    <w:rsid w:val="002A091C"/>
    <w:rsid w:val="002A0A9C"/>
    <w:rsid w:val="002A0DEC"/>
    <w:rsid w:val="002A118F"/>
    <w:rsid w:val="002A12EA"/>
    <w:rsid w:val="002A16A9"/>
    <w:rsid w:val="002A16D8"/>
    <w:rsid w:val="002A222F"/>
    <w:rsid w:val="002A2683"/>
    <w:rsid w:val="002A27EB"/>
    <w:rsid w:val="002A2A6E"/>
    <w:rsid w:val="002A2D64"/>
    <w:rsid w:val="002A2DD6"/>
    <w:rsid w:val="002A32BA"/>
    <w:rsid w:val="002A33C5"/>
    <w:rsid w:val="002A3757"/>
    <w:rsid w:val="002A38B9"/>
    <w:rsid w:val="002A39C2"/>
    <w:rsid w:val="002A3AD6"/>
    <w:rsid w:val="002A3B3B"/>
    <w:rsid w:val="002A3D56"/>
    <w:rsid w:val="002A3E2D"/>
    <w:rsid w:val="002A3E50"/>
    <w:rsid w:val="002A3ECF"/>
    <w:rsid w:val="002A461B"/>
    <w:rsid w:val="002A4701"/>
    <w:rsid w:val="002A483C"/>
    <w:rsid w:val="002A4C56"/>
    <w:rsid w:val="002A4FBF"/>
    <w:rsid w:val="002A51A1"/>
    <w:rsid w:val="002A51A7"/>
    <w:rsid w:val="002A51D4"/>
    <w:rsid w:val="002A59E2"/>
    <w:rsid w:val="002A5B3D"/>
    <w:rsid w:val="002A5D1D"/>
    <w:rsid w:val="002A5D22"/>
    <w:rsid w:val="002A6761"/>
    <w:rsid w:val="002A6B59"/>
    <w:rsid w:val="002A70A8"/>
    <w:rsid w:val="002A71DF"/>
    <w:rsid w:val="002A72E2"/>
    <w:rsid w:val="002A73F6"/>
    <w:rsid w:val="002A77E0"/>
    <w:rsid w:val="002A7AFE"/>
    <w:rsid w:val="002A7FE5"/>
    <w:rsid w:val="002B0199"/>
    <w:rsid w:val="002B0A57"/>
    <w:rsid w:val="002B0C74"/>
    <w:rsid w:val="002B0C7C"/>
    <w:rsid w:val="002B1077"/>
    <w:rsid w:val="002B11F5"/>
    <w:rsid w:val="002B1236"/>
    <w:rsid w:val="002B12C9"/>
    <w:rsid w:val="002B12FB"/>
    <w:rsid w:val="002B131F"/>
    <w:rsid w:val="002B16EC"/>
    <w:rsid w:val="002B1729"/>
    <w:rsid w:val="002B179A"/>
    <w:rsid w:val="002B18D6"/>
    <w:rsid w:val="002B1937"/>
    <w:rsid w:val="002B1CD3"/>
    <w:rsid w:val="002B1EDE"/>
    <w:rsid w:val="002B1FC6"/>
    <w:rsid w:val="002B23A8"/>
    <w:rsid w:val="002B2490"/>
    <w:rsid w:val="002B2983"/>
    <w:rsid w:val="002B29FB"/>
    <w:rsid w:val="002B2E03"/>
    <w:rsid w:val="002B2E37"/>
    <w:rsid w:val="002B2E57"/>
    <w:rsid w:val="002B2F60"/>
    <w:rsid w:val="002B30B7"/>
    <w:rsid w:val="002B36C7"/>
    <w:rsid w:val="002B36F8"/>
    <w:rsid w:val="002B3884"/>
    <w:rsid w:val="002B391C"/>
    <w:rsid w:val="002B3A6A"/>
    <w:rsid w:val="002B3EC0"/>
    <w:rsid w:val="002B444B"/>
    <w:rsid w:val="002B4780"/>
    <w:rsid w:val="002B4BBF"/>
    <w:rsid w:val="002B4DD4"/>
    <w:rsid w:val="002B5277"/>
    <w:rsid w:val="002B5375"/>
    <w:rsid w:val="002B54A7"/>
    <w:rsid w:val="002B5805"/>
    <w:rsid w:val="002B5E7E"/>
    <w:rsid w:val="002B5FCB"/>
    <w:rsid w:val="002B7194"/>
    <w:rsid w:val="002B728F"/>
    <w:rsid w:val="002B73F1"/>
    <w:rsid w:val="002B76AB"/>
    <w:rsid w:val="002B76AF"/>
    <w:rsid w:val="002B77C1"/>
    <w:rsid w:val="002B78A4"/>
    <w:rsid w:val="002B7A3D"/>
    <w:rsid w:val="002B7B06"/>
    <w:rsid w:val="002B7B7F"/>
    <w:rsid w:val="002B7FD9"/>
    <w:rsid w:val="002B7FDE"/>
    <w:rsid w:val="002C0125"/>
    <w:rsid w:val="002C047D"/>
    <w:rsid w:val="002C06D8"/>
    <w:rsid w:val="002C06FF"/>
    <w:rsid w:val="002C0733"/>
    <w:rsid w:val="002C0ED7"/>
    <w:rsid w:val="002C103C"/>
    <w:rsid w:val="002C10E6"/>
    <w:rsid w:val="002C18CD"/>
    <w:rsid w:val="002C19DC"/>
    <w:rsid w:val="002C1ABE"/>
    <w:rsid w:val="002C1AD4"/>
    <w:rsid w:val="002C1EDE"/>
    <w:rsid w:val="002C21DF"/>
    <w:rsid w:val="002C231B"/>
    <w:rsid w:val="002C2728"/>
    <w:rsid w:val="002C28F1"/>
    <w:rsid w:val="002C2C53"/>
    <w:rsid w:val="002C2DA9"/>
    <w:rsid w:val="002C2E16"/>
    <w:rsid w:val="002C2F41"/>
    <w:rsid w:val="002C302E"/>
    <w:rsid w:val="002C3197"/>
    <w:rsid w:val="002C33C8"/>
    <w:rsid w:val="002C3453"/>
    <w:rsid w:val="002C36FF"/>
    <w:rsid w:val="002C373B"/>
    <w:rsid w:val="002C39FA"/>
    <w:rsid w:val="002C40DD"/>
    <w:rsid w:val="002C41DB"/>
    <w:rsid w:val="002C4366"/>
    <w:rsid w:val="002C477D"/>
    <w:rsid w:val="002C4844"/>
    <w:rsid w:val="002C48B6"/>
    <w:rsid w:val="002C4B37"/>
    <w:rsid w:val="002C4C70"/>
    <w:rsid w:val="002C5449"/>
    <w:rsid w:val="002C54B8"/>
    <w:rsid w:val="002C5650"/>
    <w:rsid w:val="002C569A"/>
    <w:rsid w:val="002C58D3"/>
    <w:rsid w:val="002C5A1C"/>
    <w:rsid w:val="002C5A77"/>
    <w:rsid w:val="002C5B19"/>
    <w:rsid w:val="002C5B7C"/>
    <w:rsid w:val="002C5DED"/>
    <w:rsid w:val="002C61EF"/>
    <w:rsid w:val="002C62D8"/>
    <w:rsid w:val="002C6395"/>
    <w:rsid w:val="002C64CD"/>
    <w:rsid w:val="002C64F0"/>
    <w:rsid w:val="002C6509"/>
    <w:rsid w:val="002C6911"/>
    <w:rsid w:val="002C6A15"/>
    <w:rsid w:val="002C6ABA"/>
    <w:rsid w:val="002C6C02"/>
    <w:rsid w:val="002C6D88"/>
    <w:rsid w:val="002C6F4F"/>
    <w:rsid w:val="002C6FA2"/>
    <w:rsid w:val="002C7169"/>
    <w:rsid w:val="002C71CA"/>
    <w:rsid w:val="002C72D9"/>
    <w:rsid w:val="002C74D8"/>
    <w:rsid w:val="002C7659"/>
    <w:rsid w:val="002C77BE"/>
    <w:rsid w:val="002C780F"/>
    <w:rsid w:val="002C78F4"/>
    <w:rsid w:val="002C7B9E"/>
    <w:rsid w:val="002C7D37"/>
    <w:rsid w:val="002C7FCA"/>
    <w:rsid w:val="002D03BC"/>
    <w:rsid w:val="002D0624"/>
    <w:rsid w:val="002D078B"/>
    <w:rsid w:val="002D0E82"/>
    <w:rsid w:val="002D1895"/>
    <w:rsid w:val="002D1A73"/>
    <w:rsid w:val="002D1B59"/>
    <w:rsid w:val="002D1E0D"/>
    <w:rsid w:val="002D23C8"/>
    <w:rsid w:val="002D2784"/>
    <w:rsid w:val="002D281E"/>
    <w:rsid w:val="002D2D74"/>
    <w:rsid w:val="002D2DBA"/>
    <w:rsid w:val="002D2F1A"/>
    <w:rsid w:val="002D30DC"/>
    <w:rsid w:val="002D31B3"/>
    <w:rsid w:val="002D3357"/>
    <w:rsid w:val="002D347A"/>
    <w:rsid w:val="002D39AC"/>
    <w:rsid w:val="002D39F6"/>
    <w:rsid w:val="002D3DD1"/>
    <w:rsid w:val="002D3E22"/>
    <w:rsid w:val="002D3E7F"/>
    <w:rsid w:val="002D402D"/>
    <w:rsid w:val="002D4151"/>
    <w:rsid w:val="002D42EF"/>
    <w:rsid w:val="002D4416"/>
    <w:rsid w:val="002D46F4"/>
    <w:rsid w:val="002D4915"/>
    <w:rsid w:val="002D4984"/>
    <w:rsid w:val="002D4BF2"/>
    <w:rsid w:val="002D4D3D"/>
    <w:rsid w:val="002D4FA8"/>
    <w:rsid w:val="002D5006"/>
    <w:rsid w:val="002D50DB"/>
    <w:rsid w:val="002D5242"/>
    <w:rsid w:val="002D5424"/>
    <w:rsid w:val="002D5455"/>
    <w:rsid w:val="002D597D"/>
    <w:rsid w:val="002D5A56"/>
    <w:rsid w:val="002D5E28"/>
    <w:rsid w:val="002D5F74"/>
    <w:rsid w:val="002D66BA"/>
    <w:rsid w:val="002D6C78"/>
    <w:rsid w:val="002D6D0A"/>
    <w:rsid w:val="002D6F3E"/>
    <w:rsid w:val="002D6F71"/>
    <w:rsid w:val="002D704F"/>
    <w:rsid w:val="002D7254"/>
    <w:rsid w:val="002D7332"/>
    <w:rsid w:val="002D7602"/>
    <w:rsid w:val="002D7A08"/>
    <w:rsid w:val="002D7C61"/>
    <w:rsid w:val="002D7E26"/>
    <w:rsid w:val="002D7FAA"/>
    <w:rsid w:val="002E01D0"/>
    <w:rsid w:val="002E08C8"/>
    <w:rsid w:val="002E0A19"/>
    <w:rsid w:val="002E0CB8"/>
    <w:rsid w:val="002E0D53"/>
    <w:rsid w:val="002E12E1"/>
    <w:rsid w:val="002E161D"/>
    <w:rsid w:val="002E17B5"/>
    <w:rsid w:val="002E1DE2"/>
    <w:rsid w:val="002E2063"/>
    <w:rsid w:val="002E222C"/>
    <w:rsid w:val="002E244F"/>
    <w:rsid w:val="002E28A2"/>
    <w:rsid w:val="002E2B3F"/>
    <w:rsid w:val="002E2EB5"/>
    <w:rsid w:val="002E3100"/>
    <w:rsid w:val="002E34E0"/>
    <w:rsid w:val="002E3A5E"/>
    <w:rsid w:val="002E3CA8"/>
    <w:rsid w:val="002E3DC9"/>
    <w:rsid w:val="002E3FBB"/>
    <w:rsid w:val="002E4068"/>
    <w:rsid w:val="002E42F3"/>
    <w:rsid w:val="002E43EE"/>
    <w:rsid w:val="002E4935"/>
    <w:rsid w:val="002E4A30"/>
    <w:rsid w:val="002E506B"/>
    <w:rsid w:val="002E5217"/>
    <w:rsid w:val="002E54D0"/>
    <w:rsid w:val="002E54F6"/>
    <w:rsid w:val="002E566C"/>
    <w:rsid w:val="002E571F"/>
    <w:rsid w:val="002E5800"/>
    <w:rsid w:val="002E6025"/>
    <w:rsid w:val="002E6134"/>
    <w:rsid w:val="002E6450"/>
    <w:rsid w:val="002E65B5"/>
    <w:rsid w:val="002E661B"/>
    <w:rsid w:val="002E676F"/>
    <w:rsid w:val="002E6842"/>
    <w:rsid w:val="002E6C95"/>
    <w:rsid w:val="002E6FB6"/>
    <w:rsid w:val="002E71E7"/>
    <w:rsid w:val="002E74F0"/>
    <w:rsid w:val="002E77B8"/>
    <w:rsid w:val="002E77BE"/>
    <w:rsid w:val="002E7A8C"/>
    <w:rsid w:val="002E7B23"/>
    <w:rsid w:val="002E7C36"/>
    <w:rsid w:val="002E7CFC"/>
    <w:rsid w:val="002E7D46"/>
    <w:rsid w:val="002E7EDD"/>
    <w:rsid w:val="002F0036"/>
    <w:rsid w:val="002F019B"/>
    <w:rsid w:val="002F01EF"/>
    <w:rsid w:val="002F04F8"/>
    <w:rsid w:val="002F0612"/>
    <w:rsid w:val="002F062A"/>
    <w:rsid w:val="002F067E"/>
    <w:rsid w:val="002F0B3D"/>
    <w:rsid w:val="002F0BC4"/>
    <w:rsid w:val="002F0C06"/>
    <w:rsid w:val="002F0FA5"/>
    <w:rsid w:val="002F11E0"/>
    <w:rsid w:val="002F12A7"/>
    <w:rsid w:val="002F16C9"/>
    <w:rsid w:val="002F178A"/>
    <w:rsid w:val="002F1842"/>
    <w:rsid w:val="002F1D3C"/>
    <w:rsid w:val="002F2155"/>
    <w:rsid w:val="002F2419"/>
    <w:rsid w:val="002F2451"/>
    <w:rsid w:val="002F250D"/>
    <w:rsid w:val="002F2561"/>
    <w:rsid w:val="002F2602"/>
    <w:rsid w:val="002F291F"/>
    <w:rsid w:val="002F2935"/>
    <w:rsid w:val="002F3282"/>
    <w:rsid w:val="002F33F1"/>
    <w:rsid w:val="002F3738"/>
    <w:rsid w:val="002F3D32"/>
    <w:rsid w:val="002F3DBF"/>
    <w:rsid w:val="002F3EE0"/>
    <w:rsid w:val="002F4273"/>
    <w:rsid w:val="002F4528"/>
    <w:rsid w:val="002F475E"/>
    <w:rsid w:val="002F4C05"/>
    <w:rsid w:val="002F4DBF"/>
    <w:rsid w:val="002F4E3E"/>
    <w:rsid w:val="002F4E4B"/>
    <w:rsid w:val="002F5278"/>
    <w:rsid w:val="002F534D"/>
    <w:rsid w:val="002F53B0"/>
    <w:rsid w:val="002F5453"/>
    <w:rsid w:val="002F55A7"/>
    <w:rsid w:val="002F57D2"/>
    <w:rsid w:val="002F5BCD"/>
    <w:rsid w:val="002F5CDC"/>
    <w:rsid w:val="002F5D3E"/>
    <w:rsid w:val="002F5F02"/>
    <w:rsid w:val="002F5F31"/>
    <w:rsid w:val="002F5F46"/>
    <w:rsid w:val="002F610D"/>
    <w:rsid w:val="002F634C"/>
    <w:rsid w:val="002F63C0"/>
    <w:rsid w:val="002F63C2"/>
    <w:rsid w:val="002F6577"/>
    <w:rsid w:val="002F69D7"/>
    <w:rsid w:val="002F6C98"/>
    <w:rsid w:val="002F6E2C"/>
    <w:rsid w:val="002F6FC2"/>
    <w:rsid w:val="002F70D9"/>
    <w:rsid w:val="002F72D3"/>
    <w:rsid w:val="002F750A"/>
    <w:rsid w:val="002F78EA"/>
    <w:rsid w:val="002F7AA9"/>
    <w:rsid w:val="002F7BAC"/>
    <w:rsid w:val="002F7CFD"/>
    <w:rsid w:val="002F7DB6"/>
    <w:rsid w:val="002F7F40"/>
    <w:rsid w:val="002F7F5E"/>
    <w:rsid w:val="003003A2"/>
    <w:rsid w:val="003004BF"/>
    <w:rsid w:val="003005C6"/>
    <w:rsid w:val="003007A9"/>
    <w:rsid w:val="003007ED"/>
    <w:rsid w:val="0030084B"/>
    <w:rsid w:val="00300FB3"/>
    <w:rsid w:val="0030119E"/>
    <w:rsid w:val="00301309"/>
    <w:rsid w:val="003013FD"/>
    <w:rsid w:val="00301657"/>
    <w:rsid w:val="003016F0"/>
    <w:rsid w:val="00301895"/>
    <w:rsid w:val="003018B7"/>
    <w:rsid w:val="00301A51"/>
    <w:rsid w:val="00301AE5"/>
    <w:rsid w:val="00301B44"/>
    <w:rsid w:val="00301C3F"/>
    <w:rsid w:val="00301DF6"/>
    <w:rsid w:val="003020CF"/>
    <w:rsid w:val="00302216"/>
    <w:rsid w:val="003022A7"/>
    <w:rsid w:val="0030235F"/>
    <w:rsid w:val="003023C3"/>
    <w:rsid w:val="00302581"/>
    <w:rsid w:val="00302880"/>
    <w:rsid w:val="00302992"/>
    <w:rsid w:val="00302B07"/>
    <w:rsid w:val="00302B51"/>
    <w:rsid w:val="00302BD4"/>
    <w:rsid w:val="00302E4D"/>
    <w:rsid w:val="00303045"/>
    <w:rsid w:val="003030E4"/>
    <w:rsid w:val="00303177"/>
    <w:rsid w:val="003032A9"/>
    <w:rsid w:val="003032BB"/>
    <w:rsid w:val="0030357A"/>
    <w:rsid w:val="00303604"/>
    <w:rsid w:val="0030360F"/>
    <w:rsid w:val="0030361F"/>
    <w:rsid w:val="003036C6"/>
    <w:rsid w:val="0030384B"/>
    <w:rsid w:val="00303991"/>
    <w:rsid w:val="00303AA3"/>
    <w:rsid w:val="00303B75"/>
    <w:rsid w:val="00303E53"/>
    <w:rsid w:val="0030432D"/>
    <w:rsid w:val="00304366"/>
    <w:rsid w:val="003045B0"/>
    <w:rsid w:val="003049C2"/>
    <w:rsid w:val="00304BC1"/>
    <w:rsid w:val="00304E7A"/>
    <w:rsid w:val="00304EE5"/>
    <w:rsid w:val="00304EF6"/>
    <w:rsid w:val="003052BB"/>
    <w:rsid w:val="00305CC1"/>
    <w:rsid w:val="00305F48"/>
    <w:rsid w:val="00306455"/>
    <w:rsid w:val="0030692D"/>
    <w:rsid w:val="00306C1C"/>
    <w:rsid w:val="00306E5F"/>
    <w:rsid w:val="003072A8"/>
    <w:rsid w:val="00307753"/>
    <w:rsid w:val="003078F3"/>
    <w:rsid w:val="003079D9"/>
    <w:rsid w:val="00307E14"/>
    <w:rsid w:val="00307EDF"/>
    <w:rsid w:val="00310104"/>
    <w:rsid w:val="0031013D"/>
    <w:rsid w:val="00310241"/>
    <w:rsid w:val="00310253"/>
    <w:rsid w:val="003103E6"/>
    <w:rsid w:val="0031042A"/>
    <w:rsid w:val="00310747"/>
    <w:rsid w:val="0031083F"/>
    <w:rsid w:val="00310F3E"/>
    <w:rsid w:val="0031100C"/>
    <w:rsid w:val="00311127"/>
    <w:rsid w:val="00311467"/>
    <w:rsid w:val="0031184D"/>
    <w:rsid w:val="003119A0"/>
    <w:rsid w:val="00311D41"/>
    <w:rsid w:val="00311F30"/>
    <w:rsid w:val="003123A0"/>
    <w:rsid w:val="00312692"/>
    <w:rsid w:val="00312A3C"/>
    <w:rsid w:val="00312BE9"/>
    <w:rsid w:val="00312C2F"/>
    <w:rsid w:val="00312C5A"/>
    <w:rsid w:val="00312E5E"/>
    <w:rsid w:val="00312EEB"/>
    <w:rsid w:val="003133E7"/>
    <w:rsid w:val="00313781"/>
    <w:rsid w:val="0031380D"/>
    <w:rsid w:val="0031398A"/>
    <w:rsid w:val="00313D2C"/>
    <w:rsid w:val="00313D48"/>
    <w:rsid w:val="00313DB8"/>
    <w:rsid w:val="00314054"/>
    <w:rsid w:val="0031408D"/>
    <w:rsid w:val="00314321"/>
    <w:rsid w:val="0031456C"/>
    <w:rsid w:val="00314570"/>
    <w:rsid w:val="0031485F"/>
    <w:rsid w:val="003148E3"/>
    <w:rsid w:val="00314B34"/>
    <w:rsid w:val="00314EFE"/>
    <w:rsid w:val="00315134"/>
    <w:rsid w:val="00315352"/>
    <w:rsid w:val="00315609"/>
    <w:rsid w:val="003156A6"/>
    <w:rsid w:val="003164D5"/>
    <w:rsid w:val="003164E5"/>
    <w:rsid w:val="003164F1"/>
    <w:rsid w:val="00316510"/>
    <w:rsid w:val="0031661E"/>
    <w:rsid w:val="0031674E"/>
    <w:rsid w:val="00316753"/>
    <w:rsid w:val="003168ED"/>
    <w:rsid w:val="00316924"/>
    <w:rsid w:val="00316B02"/>
    <w:rsid w:val="00316B77"/>
    <w:rsid w:val="00316BBE"/>
    <w:rsid w:val="00316D0E"/>
    <w:rsid w:val="00316E11"/>
    <w:rsid w:val="00316E41"/>
    <w:rsid w:val="00316F27"/>
    <w:rsid w:val="003170A0"/>
    <w:rsid w:val="003170D0"/>
    <w:rsid w:val="00317249"/>
    <w:rsid w:val="003174B0"/>
    <w:rsid w:val="003175E9"/>
    <w:rsid w:val="0031782A"/>
    <w:rsid w:val="0031782B"/>
    <w:rsid w:val="00317836"/>
    <w:rsid w:val="00317B8D"/>
    <w:rsid w:val="00317F18"/>
    <w:rsid w:val="0032018F"/>
    <w:rsid w:val="0032043F"/>
    <w:rsid w:val="00320542"/>
    <w:rsid w:val="00320579"/>
    <w:rsid w:val="00320741"/>
    <w:rsid w:val="00320C80"/>
    <w:rsid w:val="0032113E"/>
    <w:rsid w:val="003214F1"/>
    <w:rsid w:val="0032157A"/>
    <w:rsid w:val="003216B6"/>
    <w:rsid w:val="0032181C"/>
    <w:rsid w:val="00321C11"/>
    <w:rsid w:val="00322354"/>
    <w:rsid w:val="003224AE"/>
    <w:rsid w:val="003224B6"/>
    <w:rsid w:val="003225EE"/>
    <w:rsid w:val="0032268E"/>
    <w:rsid w:val="003228B9"/>
    <w:rsid w:val="00322CC1"/>
    <w:rsid w:val="00322E4B"/>
    <w:rsid w:val="0032336E"/>
    <w:rsid w:val="003235D0"/>
    <w:rsid w:val="00323703"/>
    <w:rsid w:val="00323766"/>
    <w:rsid w:val="003237BB"/>
    <w:rsid w:val="0032434D"/>
    <w:rsid w:val="003245C6"/>
    <w:rsid w:val="00324907"/>
    <w:rsid w:val="00325224"/>
    <w:rsid w:val="0032562A"/>
    <w:rsid w:val="003256E6"/>
    <w:rsid w:val="003256EA"/>
    <w:rsid w:val="003256FB"/>
    <w:rsid w:val="00325A1D"/>
    <w:rsid w:val="00325D5B"/>
    <w:rsid w:val="00325DC5"/>
    <w:rsid w:val="003260B8"/>
    <w:rsid w:val="00326251"/>
    <w:rsid w:val="00326A3C"/>
    <w:rsid w:val="00326E9A"/>
    <w:rsid w:val="00326ED2"/>
    <w:rsid w:val="00327096"/>
    <w:rsid w:val="003270E1"/>
    <w:rsid w:val="00327754"/>
    <w:rsid w:val="00327870"/>
    <w:rsid w:val="00327888"/>
    <w:rsid w:val="00327BAE"/>
    <w:rsid w:val="003301B3"/>
    <w:rsid w:val="00330821"/>
    <w:rsid w:val="00330DAA"/>
    <w:rsid w:val="0033105D"/>
    <w:rsid w:val="003313DC"/>
    <w:rsid w:val="00331847"/>
    <w:rsid w:val="00331906"/>
    <w:rsid w:val="003319E7"/>
    <w:rsid w:val="00331BA4"/>
    <w:rsid w:val="00331D21"/>
    <w:rsid w:val="00331D87"/>
    <w:rsid w:val="0033204C"/>
    <w:rsid w:val="003320E9"/>
    <w:rsid w:val="00332434"/>
    <w:rsid w:val="003324F0"/>
    <w:rsid w:val="0033259D"/>
    <w:rsid w:val="003326D0"/>
    <w:rsid w:val="00332908"/>
    <w:rsid w:val="00332935"/>
    <w:rsid w:val="00332945"/>
    <w:rsid w:val="00332B3D"/>
    <w:rsid w:val="00332C79"/>
    <w:rsid w:val="00332CBD"/>
    <w:rsid w:val="003332C1"/>
    <w:rsid w:val="003333D2"/>
    <w:rsid w:val="0033376C"/>
    <w:rsid w:val="003337A3"/>
    <w:rsid w:val="003338A0"/>
    <w:rsid w:val="00333E92"/>
    <w:rsid w:val="00333F5E"/>
    <w:rsid w:val="00334002"/>
    <w:rsid w:val="00334168"/>
    <w:rsid w:val="00334406"/>
    <w:rsid w:val="00334416"/>
    <w:rsid w:val="00334686"/>
    <w:rsid w:val="003348DD"/>
    <w:rsid w:val="00334BEB"/>
    <w:rsid w:val="00334EA6"/>
    <w:rsid w:val="0033528B"/>
    <w:rsid w:val="0033557B"/>
    <w:rsid w:val="0033564E"/>
    <w:rsid w:val="00335747"/>
    <w:rsid w:val="003358F3"/>
    <w:rsid w:val="00335B75"/>
    <w:rsid w:val="00335DB3"/>
    <w:rsid w:val="00335F82"/>
    <w:rsid w:val="00336229"/>
    <w:rsid w:val="00336461"/>
    <w:rsid w:val="00336649"/>
    <w:rsid w:val="003368F6"/>
    <w:rsid w:val="003369E5"/>
    <w:rsid w:val="0033710F"/>
    <w:rsid w:val="003371E8"/>
    <w:rsid w:val="00337300"/>
    <w:rsid w:val="00337339"/>
    <w:rsid w:val="003373A6"/>
    <w:rsid w:val="003376F6"/>
    <w:rsid w:val="00337D2E"/>
    <w:rsid w:val="00337F76"/>
    <w:rsid w:val="00337FE1"/>
    <w:rsid w:val="0034014C"/>
    <w:rsid w:val="00340345"/>
    <w:rsid w:val="00340542"/>
    <w:rsid w:val="003406C6"/>
    <w:rsid w:val="00340C1A"/>
    <w:rsid w:val="00340C8D"/>
    <w:rsid w:val="00340F1F"/>
    <w:rsid w:val="00340F45"/>
    <w:rsid w:val="00341219"/>
    <w:rsid w:val="00341232"/>
    <w:rsid w:val="00341669"/>
    <w:rsid w:val="00341682"/>
    <w:rsid w:val="0034173A"/>
    <w:rsid w:val="003418CC"/>
    <w:rsid w:val="00341D63"/>
    <w:rsid w:val="00342421"/>
    <w:rsid w:val="00342530"/>
    <w:rsid w:val="00342B66"/>
    <w:rsid w:val="00342D74"/>
    <w:rsid w:val="003434EE"/>
    <w:rsid w:val="0034356A"/>
    <w:rsid w:val="003435A4"/>
    <w:rsid w:val="003435D5"/>
    <w:rsid w:val="0034373A"/>
    <w:rsid w:val="003437FC"/>
    <w:rsid w:val="0034391B"/>
    <w:rsid w:val="00343A31"/>
    <w:rsid w:val="00343CDC"/>
    <w:rsid w:val="00343F14"/>
    <w:rsid w:val="00343FDC"/>
    <w:rsid w:val="00344090"/>
    <w:rsid w:val="003440A8"/>
    <w:rsid w:val="00344390"/>
    <w:rsid w:val="00344601"/>
    <w:rsid w:val="00344625"/>
    <w:rsid w:val="0034497F"/>
    <w:rsid w:val="00344C52"/>
    <w:rsid w:val="00344E3D"/>
    <w:rsid w:val="00344EB0"/>
    <w:rsid w:val="003453B2"/>
    <w:rsid w:val="003456AF"/>
    <w:rsid w:val="003459BD"/>
    <w:rsid w:val="00345EBA"/>
    <w:rsid w:val="003460DE"/>
    <w:rsid w:val="0034643F"/>
    <w:rsid w:val="00346C7E"/>
    <w:rsid w:val="00346ED4"/>
    <w:rsid w:val="00346F84"/>
    <w:rsid w:val="003477C9"/>
    <w:rsid w:val="00347968"/>
    <w:rsid w:val="00347A7C"/>
    <w:rsid w:val="00347C44"/>
    <w:rsid w:val="00347CC8"/>
    <w:rsid w:val="00347D7E"/>
    <w:rsid w:val="00347DF8"/>
    <w:rsid w:val="00347EF8"/>
    <w:rsid w:val="00347F57"/>
    <w:rsid w:val="003502AD"/>
    <w:rsid w:val="00350435"/>
    <w:rsid w:val="00350710"/>
    <w:rsid w:val="0035073D"/>
    <w:rsid w:val="003509C8"/>
    <w:rsid w:val="00350BF7"/>
    <w:rsid w:val="00350D38"/>
    <w:rsid w:val="00350E93"/>
    <w:rsid w:val="00350EBE"/>
    <w:rsid w:val="00351261"/>
    <w:rsid w:val="003518D7"/>
    <w:rsid w:val="0035190D"/>
    <w:rsid w:val="00351917"/>
    <w:rsid w:val="00351B36"/>
    <w:rsid w:val="00352154"/>
    <w:rsid w:val="003524DD"/>
    <w:rsid w:val="003528DF"/>
    <w:rsid w:val="00352CC5"/>
    <w:rsid w:val="00353608"/>
    <w:rsid w:val="00353AE7"/>
    <w:rsid w:val="00353E4F"/>
    <w:rsid w:val="00353F19"/>
    <w:rsid w:val="003540AC"/>
    <w:rsid w:val="0035413A"/>
    <w:rsid w:val="003543F0"/>
    <w:rsid w:val="00354EE5"/>
    <w:rsid w:val="00354FD5"/>
    <w:rsid w:val="00355124"/>
    <w:rsid w:val="00355388"/>
    <w:rsid w:val="003555FD"/>
    <w:rsid w:val="00355688"/>
    <w:rsid w:val="00355719"/>
    <w:rsid w:val="003558ED"/>
    <w:rsid w:val="00355BDB"/>
    <w:rsid w:val="0035602D"/>
    <w:rsid w:val="003562BB"/>
    <w:rsid w:val="0035688E"/>
    <w:rsid w:val="003568AC"/>
    <w:rsid w:val="003573C1"/>
    <w:rsid w:val="003573D2"/>
    <w:rsid w:val="003573DD"/>
    <w:rsid w:val="0035773D"/>
    <w:rsid w:val="0035794A"/>
    <w:rsid w:val="00357B4E"/>
    <w:rsid w:val="00357C9C"/>
    <w:rsid w:val="00357D2B"/>
    <w:rsid w:val="00357D2E"/>
    <w:rsid w:val="00357D96"/>
    <w:rsid w:val="00357E7F"/>
    <w:rsid w:val="003607B5"/>
    <w:rsid w:val="00360A06"/>
    <w:rsid w:val="00360DC5"/>
    <w:rsid w:val="00360F6D"/>
    <w:rsid w:val="003614CF"/>
    <w:rsid w:val="003616BD"/>
    <w:rsid w:val="00361C0D"/>
    <w:rsid w:val="00361C3B"/>
    <w:rsid w:val="00361DCB"/>
    <w:rsid w:val="00362007"/>
    <w:rsid w:val="00362075"/>
    <w:rsid w:val="003622C4"/>
    <w:rsid w:val="00362343"/>
    <w:rsid w:val="0036282A"/>
    <w:rsid w:val="00362A1F"/>
    <w:rsid w:val="00362A2A"/>
    <w:rsid w:val="00362DA2"/>
    <w:rsid w:val="00362FB5"/>
    <w:rsid w:val="0036309A"/>
    <w:rsid w:val="00363181"/>
    <w:rsid w:val="003633E8"/>
    <w:rsid w:val="00363D10"/>
    <w:rsid w:val="00363D9A"/>
    <w:rsid w:val="00363DA0"/>
    <w:rsid w:val="00363DE0"/>
    <w:rsid w:val="003642C8"/>
    <w:rsid w:val="003642FD"/>
    <w:rsid w:val="00364607"/>
    <w:rsid w:val="003649F1"/>
    <w:rsid w:val="00364AA1"/>
    <w:rsid w:val="00364DDA"/>
    <w:rsid w:val="00364E3D"/>
    <w:rsid w:val="00364E46"/>
    <w:rsid w:val="00364F1B"/>
    <w:rsid w:val="00364FDD"/>
    <w:rsid w:val="0036532E"/>
    <w:rsid w:val="00365B21"/>
    <w:rsid w:val="00365B30"/>
    <w:rsid w:val="00365F53"/>
    <w:rsid w:val="0036605C"/>
    <w:rsid w:val="00366B9C"/>
    <w:rsid w:val="00366BF2"/>
    <w:rsid w:val="00367213"/>
    <w:rsid w:val="00367276"/>
    <w:rsid w:val="003675EF"/>
    <w:rsid w:val="0036770F"/>
    <w:rsid w:val="00367A49"/>
    <w:rsid w:val="00367A82"/>
    <w:rsid w:val="00367B5D"/>
    <w:rsid w:val="00367C45"/>
    <w:rsid w:val="0037008E"/>
    <w:rsid w:val="0037019B"/>
    <w:rsid w:val="003702B8"/>
    <w:rsid w:val="00370A0E"/>
    <w:rsid w:val="00370E57"/>
    <w:rsid w:val="0037100E"/>
    <w:rsid w:val="00371452"/>
    <w:rsid w:val="0037145A"/>
    <w:rsid w:val="0037159A"/>
    <w:rsid w:val="003716AC"/>
    <w:rsid w:val="003716FD"/>
    <w:rsid w:val="00371782"/>
    <w:rsid w:val="003717F5"/>
    <w:rsid w:val="00371858"/>
    <w:rsid w:val="00371A45"/>
    <w:rsid w:val="00371C75"/>
    <w:rsid w:val="00371CD1"/>
    <w:rsid w:val="0037204B"/>
    <w:rsid w:val="00372357"/>
    <w:rsid w:val="003725A8"/>
    <w:rsid w:val="00372857"/>
    <w:rsid w:val="00372999"/>
    <w:rsid w:val="00372AB6"/>
    <w:rsid w:val="00373040"/>
    <w:rsid w:val="003731A5"/>
    <w:rsid w:val="00373322"/>
    <w:rsid w:val="0037344D"/>
    <w:rsid w:val="003734EB"/>
    <w:rsid w:val="00373539"/>
    <w:rsid w:val="0037362D"/>
    <w:rsid w:val="003736AB"/>
    <w:rsid w:val="003736E6"/>
    <w:rsid w:val="003738D4"/>
    <w:rsid w:val="00373923"/>
    <w:rsid w:val="00373E57"/>
    <w:rsid w:val="00374428"/>
    <w:rsid w:val="003744CF"/>
    <w:rsid w:val="00374717"/>
    <w:rsid w:val="003747E5"/>
    <w:rsid w:val="00374A29"/>
    <w:rsid w:val="00374A6E"/>
    <w:rsid w:val="00374ACB"/>
    <w:rsid w:val="00374D90"/>
    <w:rsid w:val="00374DF6"/>
    <w:rsid w:val="00374F7C"/>
    <w:rsid w:val="00374FA2"/>
    <w:rsid w:val="003751FB"/>
    <w:rsid w:val="003752B7"/>
    <w:rsid w:val="00375437"/>
    <w:rsid w:val="0037572F"/>
    <w:rsid w:val="003758E9"/>
    <w:rsid w:val="00375954"/>
    <w:rsid w:val="00375A56"/>
    <w:rsid w:val="00375D39"/>
    <w:rsid w:val="00375E14"/>
    <w:rsid w:val="00375E30"/>
    <w:rsid w:val="00375E62"/>
    <w:rsid w:val="00375E6A"/>
    <w:rsid w:val="003761E7"/>
    <w:rsid w:val="003762AA"/>
    <w:rsid w:val="0037667F"/>
    <w:rsid w:val="0037676C"/>
    <w:rsid w:val="00376964"/>
    <w:rsid w:val="003770FB"/>
    <w:rsid w:val="00377299"/>
    <w:rsid w:val="00377346"/>
    <w:rsid w:val="00377A39"/>
    <w:rsid w:val="00380072"/>
    <w:rsid w:val="0038007D"/>
    <w:rsid w:val="00380181"/>
    <w:rsid w:val="0038041E"/>
    <w:rsid w:val="0038046C"/>
    <w:rsid w:val="003807A5"/>
    <w:rsid w:val="003807B9"/>
    <w:rsid w:val="00380BFA"/>
    <w:rsid w:val="00381043"/>
    <w:rsid w:val="00381115"/>
    <w:rsid w:val="00381295"/>
    <w:rsid w:val="003818C8"/>
    <w:rsid w:val="00381A07"/>
    <w:rsid w:val="00381B8B"/>
    <w:rsid w:val="00381CA1"/>
    <w:rsid w:val="00381DD2"/>
    <w:rsid w:val="00381E85"/>
    <w:rsid w:val="00381FC7"/>
    <w:rsid w:val="00381FD4"/>
    <w:rsid w:val="0038221A"/>
    <w:rsid w:val="003822DA"/>
    <w:rsid w:val="00382657"/>
    <w:rsid w:val="00382799"/>
    <w:rsid w:val="003829E5"/>
    <w:rsid w:val="00382A8D"/>
    <w:rsid w:val="00382AE9"/>
    <w:rsid w:val="00382B74"/>
    <w:rsid w:val="00382B92"/>
    <w:rsid w:val="00382BCE"/>
    <w:rsid w:val="00382CC8"/>
    <w:rsid w:val="00382E06"/>
    <w:rsid w:val="00383335"/>
    <w:rsid w:val="003836A2"/>
    <w:rsid w:val="003837B4"/>
    <w:rsid w:val="00383988"/>
    <w:rsid w:val="00383A70"/>
    <w:rsid w:val="00383A79"/>
    <w:rsid w:val="00383DEA"/>
    <w:rsid w:val="00384186"/>
    <w:rsid w:val="00384219"/>
    <w:rsid w:val="003843A2"/>
    <w:rsid w:val="00384507"/>
    <w:rsid w:val="003845D6"/>
    <w:rsid w:val="003847F1"/>
    <w:rsid w:val="00384984"/>
    <w:rsid w:val="00384A4B"/>
    <w:rsid w:val="00384ADF"/>
    <w:rsid w:val="00384C52"/>
    <w:rsid w:val="00384C90"/>
    <w:rsid w:val="00384D17"/>
    <w:rsid w:val="0038527C"/>
    <w:rsid w:val="003852DC"/>
    <w:rsid w:val="0038535E"/>
    <w:rsid w:val="00385416"/>
    <w:rsid w:val="00385433"/>
    <w:rsid w:val="0038578D"/>
    <w:rsid w:val="00385877"/>
    <w:rsid w:val="003859E4"/>
    <w:rsid w:val="003859FA"/>
    <w:rsid w:val="00385A56"/>
    <w:rsid w:val="00385B07"/>
    <w:rsid w:val="00386109"/>
    <w:rsid w:val="00386181"/>
    <w:rsid w:val="0038636F"/>
    <w:rsid w:val="00386665"/>
    <w:rsid w:val="00386752"/>
    <w:rsid w:val="0038678F"/>
    <w:rsid w:val="00386944"/>
    <w:rsid w:val="00386A05"/>
    <w:rsid w:val="00386CAD"/>
    <w:rsid w:val="00386F39"/>
    <w:rsid w:val="003870B5"/>
    <w:rsid w:val="00387238"/>
    <w:rsid w:val="003872FF"/>
    <w:rsid w:val="0038735E"/>
    <w:rsid w:val="00387376"/>
    <w:rsid w:val="003873FF"/>
    <w:rsid w:val="003874EF"/>
    <w:rsid w:val="0039051F"/>
    <w:rsid w:val="003905E2"/>
    <w:rsid w:val="003907E1"/>
    <w:rsid w:val="00390C9B"/>
    <w:rsid w:val="00390CA3"/>
    <w:rsid w:val="00390ED8"/>
    <w:rsid w:val="00390F2C"/>
    <w:rsid w:val="00391583"/>
    <w:rsid w:val="0039161E"/>
    <w:rsid w:val="003918F1"/>
    <w:rsid w:val="00391BA8"/>
    <w:rsid w:val="00391FF9"/>
    <w:rsid w:val="00392466"/>
    <w:rsid w:val="003924D9"/>
    <w:rsid w:val="003925AF"/>
    <w:rsid w:val="00392656"/>
    <w:rsid w:val="003926EE"/>
    <w:rsid w:val="00392848"/>
    <w:rsid w:val="00392D4C"/>
    <w:rsid w:val="0039309F"/>
    <w:rsid w:val="00393438"/>
    <w:rsid w:val="00393678"/>
    <w:rsid w:val="003938C4"/>
    <w:rsid w:val="00393995"/>
    <w:rsid w:val="00393D38"/>
    <w:rsid w:val="00394047"/>
    <w:rsid w:val="00394201"/>
    <w:rsid w:val="003943B4"/>
    <w:rsid w:val="00394650"/>
    <w:rsid w:val="003949D5"/>
    <w:rsid w:val="0039535A"/>
    <w:rsid w:val="00395597"/>
    <w:rsid w:val="003956CC"/>
    <w:rsid w:val="00395751"/>
    <w:rsid w:val="003957DB"/>
    <w:rsid w:val="00395B64"/>
    <w:rsid w:val="00395BD8"/>
    <w:rsid w:val="00395BE7"/>
    <w:rsid w:val="00395C9A"/>
    <w:rsid w:val="00395CF2"/>
    <w:rsid w:val="00395F7F"/>
    <w:rsid w:val="00396178"/>
    <w:rsid w:val="00396658"/>
    <w:rsid w:val="003969B2"/>
    <w:rsid w:val="00396AC0"/>
    <w:rsid w:val="003970B1"/>
    <w:rsid w:val="003972F5"/>
    <w:rsid w:val="00397618"/>
    <w:rsid w:val="00397812"/>
    <w:rsid w:val="003979B4"/>
    <w:rsid w:val="00397C08"/>
    <w:rsid w:val="00397FB5"/>
    <w:rsid w:val="003A006F"/>
    <w:rsid w:val="003A00BD"/>
    <w:rsid w:val="003A0361"/>
    <w:rsid w:val="003A041B"/>
    <w:rsid w:val="003A059D"/>
    <w:rsid w:val="003A05F1"/>
    <w:rsid w:val="003A0682"/>
    <w:rsid w:val="003A06BE"/>
    <w:rsid w:val="003A06C2"/>
    <w:rsid w:val="003A083C"/>
    <w:rsid w:val="003A0853"/>
    <w:rsid w:val="003A08CF"/>
    <w:rsid w:val="003A0931"/>
    <w:rsid w:val="003A0FBE"/>
    <w:rsid w:val="003A10CB"/>
    <w:rsid w:val="003A1292"/>
    <w:rsid w:val="003A1440"/>
    <w:rsid w:val="003A17B9"/>
    <w:rsid w:val="003A17C0"/>
    <w:rsid w:val="003A1B0C"/>
    <w:rsid w:val="003A1DE3"/>
    <w:rsid w:val="003A2078"/>
    <w:rsid w:val="003A2079"/>
    <w:rsid w:val="003A20B8"/>
    <w:rsid w:val="003A2322"/>
    <w:rsid w:val="003A256D"/>
    <w:rsid w:val="003A25FC"/>
    <w:rsid w:val="003A285C"/>
    <w:rsid w:val="003A2ED7"/>
    <w:rsid w:val="003A2F5C"/>
    <w:rsid w:val="003A3002"/>
    <w:rsid w:val="003A33B5"/>
    <w:rsid w:val="003A37CD"/>
    <w:rsid w:val="003A396E"/>
    <w:rsid w:val="003A3A53"/>
    <w:rsid w:val="003A41CD"/>
    <w:rsid w:val="003A42A5"/>
    <w:rsid w:val="003A4556"/>
    <w:rsid w:val="003A4CB2"/>
    <w:rsid w:val="003A4E11"/>
    <w:rsid w:val="003A502D"/>
    <w:rsid w:val="003A50F8"/>
    <w:rsid w:val="003A5111"/>
    <w:rsid w:val="003A5195"/>
    <w:rsid w:val="003A5670"/>
    <w:rsid w:val="003A5A17"/>
    <w:rsid w:val="003A5D9F"/>
    <w:rsid w:val="003A6042"/>
    <w:rsid w:val="003A684D"/>
    <w:rsid w:val="003A6916"/>
    <w:rsid w:val="003A69C7"/>
    <w:rsid w:val="003A6B67"/>
    <w:rsid w:val="003A6C07"/>
    <w:rsid w:val="003A6FE2"/>
    <w:rsid w:val="003A71B4"/>
    <w:rsid w:val="003A73C9"/>
    <w:rsid w:val="003A7525"/>
    <w:rsid w:val="003A756B"/>
    <w:rsid w:val="003A7776"/>
    <w:rsid w:val="003A797B"/>
    <w:rsid w:val="003A7B5B"/>
    <w:rsid w:val="003A7D13"/>
    <w:rsid w:val="003A7D8A"/>
    <w:rsid w:val="003A7E4B"/>
    <w:rsid w:val="003B000B"/>
    <w:rsid w:val="003B00E6"/>
    <w:rsid w:val="003B01BA"/>
    <w:rsid w:val="003B084C"/>
    <w:rsid w:val="003B0BBB"/>
    <w:rsid w:val="003B10CC"/>
    <w:rsid w:val="003B111F"/>
    <w:rsid w:val="003B13B6"/>
    <w:rsid w:val="003B14C3"/>
    <w:rsid w:val="003B15E6"/>
    <w:rsid w:val="003B1B96"/>
    <w:rsid w:val="003B1C07"/>
    <w:rsid w:val="003B22EF"/>
    <w:rsid w:val="003B2568"/>
    <w:rsid w:val="003B2B03"/>
    <w:rsid w:val="003B2BE2"/>
    <w:rsid w:val="003B2DB7"/>
    <w:rsid w:val="003B2DD2"/>
    <w:rsid w:val="003B2E0A"/>
    <w:rsid w:val="003B3012"/>
    <w:rsid w:val="003B344C"/>
    <w:rsid w:val="003B3560"/>
    <w:rsid w:val="003B38F3"/>
    <w:rsid w:val="003B408A"/>
    <w:rsid w:val="003B40C3"/>
    <w:rsid w:val="003B43C4"/>
    <w:rsid w:val="003B4923"/>
    <w:rsid w:val="003B4B91"/>
    <w:rsid w:val="003B4BF4"/>
    <w:rsid w:val="003B4C75"/>
    <w:rsid w:val="003B4E7E"/>
    <w:rsid w:val="003B5222"/>
    <w:rsid w:val="003B545D"/>
    <w:rsid w:val="003B5853"/>
    <w:rsid w:val="003B59CE"/>
    <w:rsid w:val="003B5A25"/>
    <w:rsid w:val="003B5DE4"/>
    <w:rsid w:val="003B5FE2"/>
    <w:rsid w:val="003B6014"/>
    <w:rsid w:val="003B6137"/>
    <w:rsid w:val="003B632F"/>
    <w:rsid w:val="003B6417"/>
    <w:rsid w:val="003B6649"/>
    <w:rsid w:val="003B6747"/>
    <w:rsid w:val="003B6BD9"/>
    <w:rsid w:val="003B6C76"/>
    <w:rsid w:val="003B6C9B"/>
    <w:rsid w:val="003B73DB"/>
    <w:rsid w:val="003B74B8"/>
    <w:rsid w:val="003B79B3"/>
    <w:rsid w:val="003B7BA7"/>
    <w:rsid w:val="003B7CA2"/>
    <w:rsid w:val="003B7F97"/>
    <w:rsid w:val="003C0017"/>
    <w:rsid w:val="003C00F3"/>
    <w:rsid w:val="003C0289"/>
    <w:rsid w:val="003C03F0"/>
    <w:rsid w:val="003C05D4"/>
    <w:rsid w:val="003C08A2"/>
    <w:rsid w:val="003C0B89"/>
    <w:rsid w:val="003C132E"/>
    <w:rsid w:val="003C1399"/>
    <w:rsid w:val="003C1461"/>
    <w:rsid w:val="003C1972"/>
    <w:rsid w:val="003C2045"/>
    <w:rsid w:val="003C24FF"/>
    <w:rsid w:val="003C266A"/>
    <w:rsid w:val="003C27B1"/>
    <w:rsid w:val="003C2E1A"/>
    <w:rsid w:val="003C2ECC"/>
    <w:rsid w:val="003C3083"/>
    <w:rsid w:val="003C30F0"/>
    <w:rsid w:val="003C31EE"/>
    <w:rsid w:val="003C33B4"/>
    <w:rsid w:val="003C3421"/>
    <w:rsid w:val="003C3663"/>
    <w:rsid w:val="003C3757"/>
    <w:rsid w:val="003C3815"/>
    <w:rsid w:val="003C3B3F"/>
    <w:rsid w:val="003C3C2F"/>
    <w:rsid w:val="003C3ED5"/>
    <w:rsid w:val="003C429D"/>
    <w:rsid w:val="003C43A1"/>
    <w:rsid w:val="003C44E9"/>
    <w:rsid w:val="003C4669"/>
    <w:rsid w:val="003C4716"/>
    <w:rsid w:val="003C491D"/>
    <w:rsid w:val="003C4B07"/>
    <w:rsid w:val="003C4C18"/>
    <w:rsid w:val="003C4FC0"/>
    <w:rsid w:val="003C5073"/>
    <w:rsid w:val="003C51DB"/>
    <w:rsid w:val="003C55F4"/>
    <w:rsid w:val="003C5897"/>
    <w:rsid w:val="003C5B81"/>
    <w:rsid w:val="003C5BF9"/>
    <w:rsid w:val="003C5D63"/>
    <w:rsid w:val="003C5EDD"/>
    <w:rsid w:val="003C5EE9"/>
    <w:rsid w:val="003C61F6"/>
    <w:rsid w:val="003C6246"/>
    <w:rsid w:val="003C656B"/>
    <w:rsid w:val="003C673B"/>
    <w:rsid w:val="003C69DE"/>
    <w:rsid w:val="003C6BC0"/>
    <w:rsid w:val="003C6BC4"/>
    <w:rsid w:val="003C6C09"/>
    <w:rsid w:val="003C6CC9"/>
    <w:rsid w:val="003C6DEE"/>
    <w:rsid w:val="003C71C0"/>
    <w:rsid w:val="003C75E8"/>
    <w:rsid w:val="003C77C6"/>
    <w:rsid w:val="003C7897"/>
    <w:rsid w:val="003C7A3F"/>
    <w:rsid w:val="003C7C1B"/>
    <w:rsid w:val="003C7DDB"/>
    <w:rsid w:val="003D064B"/>
    <w:rsid w:val="003D0682"/>
    <w:rsid w:val="003D06F3"/>
    <w:rsid w:val="003D084E"/>
    <w:rsid w:val="003D093D"/>
    <w:rsid w:val="003D0D16"/>
    <w:rsid w:val="003D0E00"/>
    <w:rsid w:val="003D0EB3"/>
    <w:rsid w:val="003D1112"/>
    <w:rsid w:val="003D11BD"/>
    <w:rsid w:val="003D15C0"/>
    <w:rsid w:val="003D1960"/>
    <w:rsid w:val="003D1D07"/>
    <w:rsid w:val="003D1E53"/>
    <w:rsid w:val="003D2136"/>
    <w:rsid w:val="003D21BD"/>
    <w:rsid w:val="003D227C"/>
    <w:rsid w:val="003D22CE"/>
    <w:rsid w:val="003D2346"/>
    <w:rsid w:val="003D23CF"/>
    <w:rsid w:val="003D23E5"/>
    <w:rsid w:val="003D272F"/>
    <w:rsid w:val="003D2766"/>
    <w:rsid w:val="003D2A74"/>
    <w:rsid w:val="003D2B2E"/>
    <w:rsid w:val="003D2BCC"/>
    <w:rsid w:val="003D2C0C"/>
    <w:rsid w:val="003D2C16"/>
    <w:rsid w:val="003D2D76"/>
    <w:rsid w:val="003D2FCE"/>
    <w:rsid w:val="003D321C"/>
    <w:rsid w:val="003D3280"/>
    <w:rsid w:val="003D332C"/>
    <w:rsid w:val="003D35A8"/>
    <w:rsid w:val="003D39C1"/>
    <w:rsid w:val="003D3D88"/>
    <w:rsid w:val="003D3E8F"/>
    <w:rsid w:val="003D3F41"/>
    <w:rsid w:val="003D40BF"/>
    <w:rsid w:val="003D43B3"/>
    <w:rsid w:val="003D450E"/>
    <w:rsid w:val="003D4AAB"/>
    <w:rsid w:val="003D4BAF"/>
    <w:rsid w:val="003D4F77"/>
    <w:rsid w:val="003D5070"/>
    <w:rsid w:val="003D515A"/>
    <w:rsid w:val="003D51E8"/>
    <w:rsid w:val="003D529D"/>
    <w:rsid w:val="003D52F5"/>
    <w:rsid w:val="003D5387"/>
    <w:rsid w:val="003D5605"/>
    <w:rsid w:val="003D5746"/>
    <w:rsid w:val="003D588B"/>
    <w:rsid w:val="003D5AFE"/>
    <w:rsid w:val="003D5D9F"/>
    <w:rsid w:val="003D5DA4"/>
    <w:rsid w:val="003D5F09"/>
    <w:rsid w:val="003D5FC8"/>
    <w:rsid w:val="003D61EB"/>
    <w:rsid w:val="003D63C4"/>
    <w:rsid w:val="003D6475"/>
    <w:rsid w:val="003D64D0"/>
    <w:rsid w:val="003D6BE4"/>
    <w:rsid w:val="003D6E42"/>
    <w:rsid w:val="003D6E89"/>
    <w:rsid w:val="003D6EE6"/>
    <w:rsid w:val="003D710D"/>
    <w:rsid w:val="003D72C5"/>
    <w:rsid w:val="003D7C93"/>
    <w:rsid w:val="003D7DC0"/>
    <w:rsid w:val="003D7EDE"/>
    <w:rsid w:val="003E033C"/>
    <w:rsid w:val="003E034D"/>
    <w:rsid w:val="003E03A4"/>
    <w:rsid w:val="003E0812"/>
    <w:rsid w:val="003E0980"/>
    <w:rsid w:val="003E09B2"/>
    <w:rsid w:val="003E0A99"/>
    <w:rsid w:val="003E0AD6"/>
    <w:rsid w:val="003E0EB3"/>
    <w:rsid w:val="003E12DE"/>
    <w:rsid w:val="003E15DD"/>
    <w:rsid w:val="003E1683"/>
    <w:rsid w:val="003E1CDA"/>
    <w:rsid w:val="003E1E00"/>
    <w:rsid w:val="003E1FB8"/>
    <w:rsid w:val="003E205D"/>
    <w:rsid w:val="003E2078"/>
    <w:rsid w:val="003E23A7"/>
    <w:rsid w:val="003E2F26"/>
    <w:rsid w:val="003E2F27"/>
    <w:rsid w:val="003E317A"/>
    <w:rsid w:val="003E3183"/>
    <w:rsid w:val="003E3699"/>
    <w:rsid w:val="003E375C"/>
    <w:rsid w:val="003E3878"/>
    <w:rsid w:val="003E38CA"/>
    <w:rsid w:val="003E395C"/>
    <w:rsid w:val="003E39F6"/>
    <w:rsid w:val="003E3A36"/>
    <w:rsid w:val="003E3A70"/>
    <w:rsid w:val="003E3B5B"/>
    <w:rsid w:val="003E3B92"/>
    <w:rsid w:val="003E3CBB"/>
    <w:rsid w:val="003E3D81"/>
    <w:rsid w:val="003E3D98"/>
    <w:rsid w:val="003E4086"/>
    <w:rsid w:val="003E41DF"/>
    <w:rsid w:val="003E41E4"/>
    <w:rsid w:val="003E4519"/>
    <w:rsid w:val="003E4580"/>
    <w:rsid w:val="003E4B9D"/>
    <w:rsid w:val="003E5342"/>
    <w:rsid w:val="003E5475"/>
    <w:rsid w:val="003E5817"/>
    <w:rsid w:val="003E5998"/>
    <w:rsid w:val="003E5A83"/>
    <w:rsid w:val="003E5D9D"/>
    <w:rsid w:val="003E5ED9"/>
    <w:rsid w:val="003E6323"/>
    <w:rsid w:val="003E639E"/>
    <w:rsid w:val="003E6713"/>
    <w:rsid w:val="003E684B"/>
    <w:rsid w:val="003E6B58"/>
    <w:rsid w:val="003E6BF7"/>
    <w:rsid w:val="003E6F81"/>
    <w:rsid w:val="003E70E4"/>
    <w:rsid w:val="003E71E5"/>
    <w:rsid w:val="003E71E6"/>
    <w:rsid w:val="003E7228"/>
    <w:rsid w:val="003E7345"/>
    <w:rsid w:val="003E737B"/>
    <w:rsid w:val="003E73DE"/>
    <w:rsid w:val="003E7AC4"/>
    <w:rsid w:val="003E7C2C"/>
    <w:rsid w:val="003E7E71"/>
    <w:rsid w:val="003F0052"/>
    <w:rsid w:val="003F0204"/>
    <w:rsid w:val="003F0241"/>
    <w:rsid w:val="003F035E"/>
    <w:rsid w:val="003F0445"/>
    <w:rsid w:val="003F0454"/>
    <w:rsid w:val="003F05B0"/>
    <w:rsid w:val="003F069C"/>
    <w:rsid w:val="003F09F2"/>
    <w:rsid w:val="003F0A11"/>
    <w:rsid w:val="003F0CF0"/>
    <w:rsid w:val="003F0D26"/>
    <w:rsid w:val="003F0F4F"/>
    <w:rsid w:val="003F1042"/>
    <w:rsid w:val="003F12C6"/>
    <w:rsid w:val="003F14B1"/>
    <w:rsid w:val="003F1956"/>
    <w:rsid w:val="003F1A40"/>
    <w:rsid w:val="003F1BBB"/>
    <w:rsid w:val="003F1CC7"/>
    <w:rsid w:val="003F1E54"/>
    <w:rsid w:val="003F2254"/>
    <w:rsid w:val="003F2269"/>
    <w:rsid w:val="003F2605"/>
    <w:rsid w:val="003F27DB"/>
    <w:rsid w:val="003F2B17"/>
    <w:rsid w:val="003F2B20"/>
    <w:rsid w:val="003F2B65"/>
    <w:rsid w:val="003F2C4C"/>
    <w:rsid w:val="003F2F01"/>
    <w:rsid w:val="003F318A"/>
    <w:rsid w:val="003F3289"/>
    <w:rsid w:val="003F32B3"/>
    <w:rsid w:val="003F33EE"/>
    <w:rsid w:val="003F3470"/>
    <w:rsid w:val="003F3804"/>
    <w:rsid w:val="003F389B"/>
    <w:rsid w:val="003F394D"/>
    <w:rsid w:val="003F3C62"/>
    <w:rsid w:val="003F45C2"/>
    <w:rsid w:val="003F46D2"/>
    <w:rsid w:val="003F49E1"/>
    <w:rsid w:val="003F4D44"/>
    <w:rsid w:val="003F5193"/>
    <w:rsid w:val="003F5908"/>
    <w:rsid w:val="003F5B0D"/>
    <w:rsid w:val="003F5BB2"/>
    <w:rsid w:val="003F5CB9"/>
    <w:rsid w:val="003F614D"/>
    <w:rsid w:val="003F6241"/>
    <w:rsid w:val="003F624C"/>
    <w:rsid w:val="003F63D4"/>
    <w:rsid w:val="003F6663"/>
    <w:rsid w:val="003F68C1"/>
    <w:rsid w:val="003F6B22"/>
    <w:rsid w:val="003F7186"/>
    <w:rsid w:val="003F732D"/>
    <w:rsid w:val="003F735C"/>
    <w:rsid w:val="003F7571"/>
    <w:rsid w:val="003F7833"/>
    <w:rsid w:val="003F7C81"/>
    <w:rsid w:val="003F7D75"/>
    <w:rsid w:val="004000E4"/>
    <w:rsid w:val="00400398"/>
    <w:rsid w:val="004004F9"/>
    <w:rsid w:val="0040097D"/>
    <w:rsid w:val="00400D0F"/>
    <w:rsid w:val="0040100B"/>
    <w:rsid w:val="00401234"/>
    <w:rsid w:val="0040128F"/>
    <w:rsid w:val="004013C7"/>
    <w:rsid w:val="00401648"/>
    <w:rsid w:val="00401EB9"/>
    <w:rsid w:val="00401F2F"/>
    <w:rsid w:val="00401FCF"/>
    <w:rsid w:val="00401FFA"/>
    <w:rsid w:val="00402877"/>
    <w:rsid w:val="00402C1F"/>
    <w:rsid w:val="0040319B"/>
    <w:rsid w:val="004031DE"/>
    <w:rsid w:val="00403316"/>
    <w:rsid w:val="0040347E"/>
    <w:rsid w:val="00403628"/>
    <w:rsid w:val="00403646"/>
    <w:rsid w:val="0040371A"/>
    <w:rsid w:val="00403A6F"/>
    <w:rsid w:val="00403AB2"/>
    <w:rsid w:val="00403B6B"/>
    <w:rsid w:val="00403C78"/>
    <w:rsid w:val="00403DD1"/>
    <w:rsid w:val="00403F80"/>
    <w:rsid w:val="00403FBD"/>
    <w:rsid w:val="00404291"/>
    <w:rsid w:val="004043AA"/>
    <w:rsid w:val="00404675"/>
    <w:rsid w:val="0040476C"/>
    <w:rsid w:val="00404959"/>
    <w:rsid w:val="00404AD4"/>
    <w:rsid w:val="00404FF8"/>
    <w:rsid w:val="00405359"/>
    <w:rsid w:val="00405BF4"/>
    <w:rsid w:val="00405C44"/>
    <w:rsid w:val="00405CB5"/>
    <w:rsid w:val="00405F48"/>
    <w:rsid w:val="0040601E"/>
    <w:rsid w:val="00406195"/>
    <w:rsid w:val="0040625B"/>
    <w:rsid w:val="00406285"/>
    <w:rsid w:val="004062A7"/>
    <w:rsid w:val="004067D0"/>
    <w:rsid w:val="00406AD6"/>
    <w:rsid w:val="00406DAC"/>
    <w:rsid w:val="00407127"/>
    <w:rsid w:val="00407515"/>
    <w:rsid w:val="0040755B"/>
    <w:rsid w:val="00407E3C"/>
    <w:rsid w:val="004100BE"/>
    <w:rsid w:val="00410330"/>
    <w:rsid w:val="00410394"/>
    <w:rsid w:val="00410BE3"/>
    <w:rsid w:val="00410C71"/>
    <w:rsid w:val="00411599"/>
    <w:rsid w:val="004115A2"/>
    <w:rsid w:val="0041176B"/>
    <w:rsid w:val="0041189A"/>
    <w:rsid w:val="004119F4"/>
    <w:rsid w:val="00411D75"/>
    <w:rsid w:val="00411E65"/>
    <w:rsid w:val="0041218C"/>
    <w:rsid w:val="00412346"/>
    <w:rsid w:val="0041236F"/>
    <w:rsid w:val="00412443"/>
    <w:rsid w:val="00412455"/>
    <w:rsid w:val="004128EB"/>
    <w:rsid w:val="00412A7F"/>
    <w:rsid w:val="00412BCD"/>
    <w:rsid w:val="00412FDD"/>
    <w:rsid w:val="00413075"/>
    <w:rsid w:val="004132BB"/>
    <w:rsid w:val="004134D5"/>
    <w:rsid w:val="004135F5"/>
    <w:rsid w:val="00413726"/>
    <w:rsid w:val="00413F33"/>
    <w:rsid w:val="00413FC5"/>
    <w:rsid w:val="0041403E"/>
    <w:rsid w:val="00414581"/>
    <w:rsid w:val="0041465F"/>
    <w:rsid w:val="004148F9"/>
    <w:rsid w:val="00414DB0"/>
    <w:rsid w:val="00415179"/>
    <w:rsid w:val="00415439"/>
    <w:rsid w:val="004155A2"/>
    <w:rsid w:val="0041586E"/>
    <w:rsid w:val="0041597B"/>
    <w:rsid w:val="00415B12"/>
    <w:rsid w:val="00415D7D"/>
    <w:rsid w:val="00415E36"/>
    <w:rsid w:val="00415EA7"/>
    <w:rsid w:val="00416233"/>
    <w:rsid w:val="00416646"/>
    <w:rsid w:val="00416A05"/>
    <w:rsid w:val="00416E8A"/>
    <w:rsid w:val="00416F11"/>
    <w:rsid w:val="0041709F"/>
    <w:rsid w:val="00417192"/>
    <w:rsid w:val="0041724A"/>
    <w:rsid w:val="004179EE"/>
    <w:rsid w:val="00417BF9"/>
    <w:rsid w:val="00417DF7"/>
    <w:rsid w:val="00417FE0"/>
    <w:rsid w:val="00420125"/>
    <w:rsid w:val="00420379"/>
    <w:rsid w:val="0042057F"/>
    <w:rsid w:val="00420618"/>
    <w:rsid w:val="004206BF"/>
    <w:rsid w:val="0042074E"/>
    <w:rsid w:val="004207BE"/>
    <w:rsid w:val="00420842"/>
    <w:rsid w:val="0042084E"/>
    <w:rsid w:val="00420A89"/>
    <w:rsid w:val="00420B96"/>
    <w:rsid w:val="004211E1"/>
    <w:rsid w:val="00421282"/>
    <w:rsid w:val="00421839"/>
    <w:rsid w:val="00421EEF"/>
    <w:rsid w:val="004220A4"/>
    <w:rsid w:val="004222D3"/>
    <w:rsid w:val="004225FD"/>
    <w:rsid w:val="00422693"/>
    <w:rsid w:val="004227FD"/>
    <w:rsid w:val="00422A50"/>
    <w:rsid w:val="00422D4A"/>
    <w:rsid w:val="00422DD3"/>
    <w:rsid w:val="004232BC"/>
    <w:rsid w:val="004234AA"/>
    <w:rsid w:val="0042359A"/>
    <w:rsid w:val="00423714"/>
    <w:rsid w:val="0042373C"/>
    <w:rsid w:val="00423C61"/>
    <w:rsid w:val="00423D2D"/>
    <w:rsid w:val="00423F37"/>
    <w:rsid w:val="00424533"/>
    <w:rsid w:val="004246C9"/>
    <w:rsid w:val="00424AE1"/>
    <w:rsid w:val="00424C40"/>
    <w:rsid w:val="00424D65"/>
    <w:rsid w:val="00424DB8"/>
    <w:rsid w:val="00424F55"/>
    <w:rsid w:val="00424FB7"/>
    <w:rsid w:val="004252F6"/>
    <w:rsid w:val="0042548C"/>
    <w:rsid w:val="00425C77"/>
    <w:rsid w:val="00425C94"/>
    <w:rsid w:val="004260D9"/>
    <w:rsid w:val="00426362"/>
    <w:rsid w:val="0042672D"/>
    <w:rsid w:val="00426AE7"/>
    <w:rsid w:val="00426C7A"/>
    <w:rsid w:val="00426CF2"/>
    <w:rsid w:val="00426E01"/>
    <w:rsid w:val="00426E26"/>
    <w:rsid w:val="00426EC6"/>
    <w:rsid w:val="0042705D"/>
    <w:rsid w:val="00427233"/>
    <w:rsid w:val="0042735D"/>
    <w:rsid w:val="0042735E"/>
    <w:rsid w:val="004279C0"/>
    <w:rsid w:val="004300EE"/>
    <w:rsid w:val="004301C1"/>
    <w:rsid w:val="00430393"/>
    <w:rsid w:val="004303E0"/>
    <w:rsid w:val="00430835"/>
    <w:rsid w:val="0043093B"/>
    <w:rsid w:val="00430FD7"/>
    <w:rsid w:val="00431175"/>
    <w:rsid w:val="00431446"/>
    <w:rsid w:val="0043144A"/>
    <w:rsid w:val="00431649"/>
    <w:rsid w:val="004316D3"/>
    <w:rsid w:val="00431806"/>
    <w:rsid w:val="0043195E"/>
    <w:rsid w:val="00431969"/>
    <w:rsid w:val="00431A70"/>
    <w:rsid w:val="00431BA0"/>
    <w:rsid w:val="00431F42"/>
    <w:rsid w:val="00432310"/>
    <w:rsid w:val="00432351"/>
    <w:rsid w:val="004328BB"/>
    <w:rsid w:val="00432964"/>
    <w:rsid w:val="00432CC0"/>
    <w:rsid w:val="0043327E"/>
    <w:rsid w:val="004332BB"/>
    <w:rsid w:val="00433341"/>
    <w:rsid w:val="00433748"/>
    <w:rsid w:val="00433849"/>
    <w:rsid w:val="00433963"/>
    <w:rsid w:val="00433A21"/>
    <w:rsid w:val="00433D63"/>
    <w:rsid w:val="00433D85"/>
    <w:rsid w:val="00434257"/>
    <w:rsid w:val="00434269"/>
    <w:rsid w:val="00434371"/>
    <w:rsid w:val="00434E3F"/>
    <w:rsid w:val="00434FB4"/>
    <w:rsid w:val="004350EA"/>
    <w:rsid w:val="0043517A"/>
    <w:rsid w:val="00435497"/>
    <w:rsid w:val="004354C3"/>
    <w:rsid w:val="004356BC"/>
    <w:rsid w:val="00435879"/>
    <w:rsid w:val="004359E3"/>
    <w:rsid w:val="00435B42"/>
    <w:rsid w:val="00435C4B"/>
    <w:rsid w:val="004360F3"/>
    <w:rsid w:val="0043622D"/>
    <w:rsid w:val="004366A8"/>
    <w:rsid w:val="004368A6"/>
    <w:rsid w:val="00436ABA"/>
    <w:rsid w:val="00436ED0"/>
    <w:rsid w:val="00436ED1"/>
    <w:rsid w:val="00437301"/>
    <w:rsid w:val="004375A4"/>
    <w:rsid w:val="00437708"/>
    <w:rsid w:val="00437B7E"/>
    <w:rsid w:val="0044015D"/>
    <w:rsid w:val="00440291"/>
    <w:rsid w:val="004402E5"/>
    <w:rsid w:val="00440457"/>
    <w:rsid w:val="004404B2"/>
    <w:rsid w:val="00440965"/>
    <w:rsid w:val="00441852"/>
    <w:rsid w:val="00441868"/>
    <w:rsid w:val="004419D7"/>
    <w:rsid w:val="004419DF"/>
    <w:rsid w:val="00441E1E"/>
    <w:rsid w:val="00441F1E"/>
    <w:rsid w:val="00442074"/>
    <w:rsid w:val="0044210D"/>
    <w:rsid w:val="0044225B"/>
    <w:rsid w:val="0044258A"/>
    <w:rsid w:val="00442810"/>
    <w:rsid w:val="00442934"/>
    <w:rsid w:val="00442C6C"/>
    <w:rsid w:val="00442D66"/>
    <w:rsid w:val="00442F48"/>
    <w:rsid w:val="00443023"/>
    <w:rsid w:val="0044353E"/>
    <w:rsid w:val="00443AA0"/>
    <w:rsid w:val="00443CBE"/>
    <w:rsid w:val="00443E8A"/>
    <w:rsid w:val="00443F11"/>
    <w:rsid w:val="004440F4"/>
    <w:rsid w:val="004441BC"/>
    <w:rsid w:val="00444212"/>
    <w:rsid w:val="004444BC"/>
    <w:rsid w:val="004445A6"/>
    <w:rsid w:val="00444B88"/>
    <w:rsid w:val="00444D41"/>
    <w:rsid w:val="00444FFC"/>
    <w:rsid w:val="004450E0"/>
    <w:rsid w:val="00445249"/>
    <w:rsid w:val="00445570"/>
    <w:rsid w:val="0044572E"/>
    <w:rsid w:val="00445B90"/>
    <w:rsid w:val="00446298"/>
    <w:rsid w:val="00446359"/>
    <w:rsid w:val="004465D8"/>
    <w:rsid w:val="00446679"/>
    <w:rsid w:val="00446868"/>
    <w:rsid w:val="004468B4"/>
    <w:rsid w:val="00446BB2"/>
    <w:rsid w:val="00446D86"/>
    <w:rsid w:val="00446EA1"/>
    <w:rsid w:val="00446F10"/>
    <w:rsid w:val="00447193"/>
    <w:rsid w:val="004471AA"/>
    <w:rsid w:val="0044765D"/>
    <w:rsid w:val="00447755"/>
    <w:rsid w:val="00447936"/>
    <w:rsid w:val="00447ACA"/>
    <w:rsid w:val="00447AD2"/>
    <w:rsid w:val="00447B83"/>
    <w:rsid w:val="00447CED"/>
    <w:rsid w:val="0045000B"/>
    <w:rsid w:val="00450132"/>
    <w:rsid w:val="00450CB9"/>
    <w:rsid w:val="00450D9C"/>
    <w:rsid w:val="00450EA3"/>
    <w:rsid w:val="004510A3"/>
    <w:rsid w:val="0045118D"/>
    <w:rsid w:val="0045122A"/>
    <w:rsid w:val="00451524"/>
    <w:rsid w:val="00451B09"/>
    <w:rsid w:val="00451B96"/>
    <w:rsid w:val="00451D31"/>
    <w:rsid w:val="004520B2"/>
    <w:rsid w:val="0045230A"/>
    <w:rsid w:val="004525A8"/>
    <w:rsid w:val="00452936"/>
    <w:rsid w:val="004529D8"/>
    <w:rsid w:val="00452B14"/>
    <w:rsid w:val="00452DA4"/>
    <w:rsid w:val="00452E29"/>
    <w:rsid w:val="00453395"/>
    <w:rsid w:val="00453B7C"/>
    <w:rsid w:val="00453F7A"/>
    <w:rsid w:val="004545AC"/>
    <w:rsid w:val="00454754"/>
    <w:rsid w:val="0045485E"/>
    <w:rsid w:val="00454A7D"/>
    <w:rsid w:val="00454AD0"/>
    <w:rsid w:val="00454E5C"/>
    <w:rsid w:val="00454E6A"/>
    <w:rsid w:val="00454E7D"/>
    <w:rsid w:val="004551BF"/>
    <w:rsid w:val="00455394"/>
    <w:rsid w:val="004553D3"/>
    <w:rsid w:val="00455435"/>
    <w:rsid w:val="0045555F"/>
    <w:rsid w:val="0045572B"/>
    <w:rsid w:val="004558C0"/>
    <w:rsid w:val="00455C6A"/>
    <w:rsid w:val="00455C6B"/>
    <w:rsid w:val="00455EBD"/>
    <w:rsid w:val="004562A9"/>
    <w:rsid w:val="004562B0"/>
    <w:rsid w:val="00456301"/>
    <w:rsid w:val="0045635E"/>
    <w:rsid w:val="0045641A"/>
    <w:rsid w:val="004564FD"/>
    <w:rsid w:val="0045655D"/>
    <w:rsid w:val="00456576"/>
    <w:rsid w:val="0045659C"/>
    <w:rsid w:val="004566C8"/>
    <w:rsid w:val="004566F4"/>
    <w:rsid w:val="0045690C"/>
    <w:rsid w:val="00456974"/>
    <w:rsid w:val="00456BBB"/>
    <w:rsid w:val="00456EE3"/>
    <w:rsid w:val="00457169"/>
    <w:rsid w:val="004572A1"/>
    <w:rsid w:val="00457337"/>
    <w:rsid w:val="00457440"/>
    <w:rsid w:val="00457494"/>
    <w:rsid w:val="004574D9"/>
    <w:rsid w:val="004576BB"/>
    <w:rsid w:val="00457948"/>
    <w:rsid w:val="004579C3"/>
    <w:rsid w:val="00460069"/>
    <w:rsid w:val="004600B7"/>
    <w:rsid w:val="00460803"/>
    <w:rsid w:val="00460A87"/>
    <w:rsid w:val="00460F34"/>
    <w:rsid w:val="00461153"/>
    <w:rsid w:val="0046144A"/>
    <w:rsid w:val="004615BA"/>
    <w:rsid w:val="00461A1F"/>
    <w:rsid w:val="00461C57"/>
    <w:rsid w:val="00462112"/>
    <w:rsid w:val="00462436"/>
    <w:rsid w:val="00462496"/>
    <w:rsid w:val="004625FC"/>
    <w:rsid w:val="004626D8"/>
    <w:rsid w:val="004628B9"/>
    <w:rsid w:val="0046292F"/>
    <w:rsid w:val="00462958"/>
    <w:rsid w:val="00462D7C"/>
    <w:rsid w:val="00462E3D"/>
    <w:rsid w:val="0046324A"/>
    <w:rsid w:val="004634CE"/>
    <w:rsid w:val="00463B18"/>
    <w:rsid w:val="00463F09"/>
    <w:rsid w:val="00463FE4"/>
    <w:rsid w:val="00464161"/>
    <w:rsid w:val="00464797"/>
    <w:rsid w:val="0046497E"/>
    <w:rsid w:val="00464D10"/>
    <w:rsid w:val="00464D7E"/>
    <w:rsid w:val="00464EB3"/>
    <w:rsid w:val="00465267"/>
    <w:rsid w:val="00465951"/>
    <w:rsid w:val="00465C77"/>
    <w:rsid w:val="004663B1"/>
    <w:rsid w:val="004663D5"/>
    <w:rsid w:val="00466624"/>
    <w:rsid w:val="0046681B"/>
    <w:rsid w:val="0046684F"/>
    <w:rsid w:val="0046687C"/>
    <w:rsid w:val="00466BDE"/>
    <w:rsid w:val="00466E79"/>
    <w:rsid w:val="004671AC"/>
    <w:rsid w:val="0046763A"/>
    <w:rsid w:val="004676DC"/>
    <w:rsid w:val="0046771E"/>
    <w:rsid w:val="004677C8"/>
    <w:rsid w:val="0046782A"/>
    <w:rsid w:val="00467848"/>
    <w:rsid w:val="0046790A"/>
    <w:rsid w:val="004704FF"/>
    <w:rsid w:val="004706E9"/>
    <w:rsid w:val="004708B0"/>
    <w:rsid w:val="00470B62"/>
    <w:rsid w:val="00470D7D"/>
    <w:rsid w:val="00470DBA"/>
    <w:rsid w:val="00470E54"/>
    <w:rsid w:val="00470E73"/>
    <w:rsid w:val="00470EAD"/>
    <w:rsid w:val="00470ED2"/>
    <w:rsid w:val="0047110E"/>
    <w:rsid w:val="004711D7"/>
    <w:rsid w:val="004711FA"/>
    <w:rsid w:val="00471351"/>
    <w:rsid w:val="00471680"/>
    <w:rsid w:val="00471887"/>
    <w:rsid w:val="004719B4"/>
    <w:rsid w:val="00471AAD"/>
    <w:rsid w:val="004722B3"/>
    <w:rsid w:val="00472524"/>
    <w:rsid w:val="00472BB6"/>
    <w:rsid w:val="00472D42"/>
    <w:rsid w:val="0047348B"/>
    <w:rsid w:val="0047372D"/>
    <w:rsid w:val="004738F9"/>
    <w:rsid w:val="00473B6C"/>
    <w:rsid w:val="00473BA3"/>
    <w:rsid w:val="00473BFC"/>
    <w:rsid w:val="00473F3A"/>
    <w:rsid w:val="00473FE4"/>
    <w:rsid w:val="004742E1"/>
    <w:rsid w:val="004743DD"/>
    <w:rsid w:val="004744F8"/>
    <w:rsid w:val="0047466B"/>
    <w:rsid w:val="00474B44"/>
    <w:rsid w:val="00474C73"/>
    <w:rsid w:val="00474CEA"/>
    <w:rsid w:val="00474E7E"/>
    <w:rsid w:val="004750B9"/>
    <w:rsid w:val="0047528D"/>
    <w:rsid w:val="0047532A"/>
    <w:rsid w:val="00475435"/>
    <w:rsid w:val="004754A1"/>
    <w:rsid w:val="0047563C"/>
    <w:rsid w:val="00475887"/>
    <w:rsid w:val="00475908"/>
    <w:rsid w:val="0047595F"/>
    <w:rsid w:val="00475AF7"/>
    <w:rsid w:val="00475D4D"/>
    <w:rsid w:val="00475F48"/>
    <w:rsid w:val="004768EA"/>
    <w:rsid w:val="00476C04"/>
    <w:rsid w:val="00476CFC"/>
    <w:rsid w:val="00477156"/>
    <w:rsid w:val="00477385"/>
    <w:rsid w:val="004773BE"/>
    <w:rsid w:val="00477F0E"/>
    <w:rsid w:val="00480727"/>
    <w:rsid w:val="00480743"/>
    <w:rsid w:val="00480ADB"/>
    <w:rsid w:val="00480FCC"/>
    <w:rsid w:val="004810BE"/>
    <w:rsid w:val="00481236"/>
    <w:rsid w:val="00481283"/>
    <w:rsid w:val="00481451"/>
    <w:rsid w:val="0048145D"/>
    <w:rsid w:val="004818F5"/>
    <w:rsid w:val="004818F7"/>
    <w:rsid w:val="00481D2D"/>
    <w:rsid w:val="00481D46"/>
    <w:rsid w:val="00481FAA"/>
    <w:rsid w:val="0048234C"/>
    <w:rsid w:val="0048238A"/>
    <w:rsid w:val="004823FC"/>
    <w:rsid w:val="0048261C"/>
    <w:rsid w:val="00482806"/>
    <w:rsid w:val="00482BDE"/>
    <w:rsid w:val="00482CB8"/>
    <w:rsid w:val="00482E81"/>
    <w:rsid w:val="00482EC2"/>
    <w:rsid w:val="00482EE8"/>
    <w:rsid w:val="00482F8B"/>
    <w:rsid w:val="00483170"/>
    <w:rsid w:val="004832AF"/>
    <w:rsid w:val="00483359"/>
    <w:rsid w:val="004834C2"/>
    <w:rsid w:val="004835BD"/>
    <w:rsid w:val="00483968"/>
    <w:rsid w:val="00483A28"/>
    <w:rsid w:val="00483A50"/>
    <w:rsid w:val="00483C54"/>
    <w:rsid w:val="00483DFA"/>
    <w:rsid w:val="00483FF8"/>
    <w:rsid w:val="004840DB"/>
    <w:rsid w:val="004841BE"/>
    <w:rsid w:val="00484DDE"/>
    <w:rsid w:val="00484E3C"/>
    <w:rsid w:val="00484F86"/>
    <w:rsid w:val="0048502E"/>
    <w:rsid w:val="00485730"/>
    <w:rsid w:val="00485E92"/>
    <w:rsid w:val="004863DD"/>
    <w:rsid w:val="00486716"/>
    <w:rsid w:val="00486775"/>
    <w:rsid w:val="0048688F"/>
    <w:rsid w:val="00486DFC"/>
    <w:rsid w:val="00486E14"/>
    <w:rsid w:val="004870F3"/>
    <w:rsid w:val="00487262"/>
    <w:rsid w:val="0048730E"/>
    <w:rsid w:val="0048730F"/>
    <w:rsid w:val="004873D1"/>
    <w:rsid w:val="004873EA"/>
    <w:rsid w:val="004878E8"/>
    <w:rsid w:val="0048793A"/>
    <w:rsid w:val="00487AB9"/>
    <w:rsid w:val="00487B0B"/>
    <w:rsid w:val="00487B36"/>
    <w:rsid w:val="00487C3C"/>
    <w:rsid w:val="00487C76"/>
    <w:rsid w:val="00487D7B"/>
    <w:rsid w:val="00487E47"/>
    <w:rsid w:val="00487ED5"/>
    <w:rsid w:val="00487F77"/>
    <w:rsid w:val="004901D9"/>
    <w:rsid w:val="004902DD"/>
    <w:rsid w:val="00490382"/>
    <w:rsid w:val="0049040E"/>
    <w:rsid w:val="00490746"/>
    <w:rsid w:val="00490852"/>
    <w:rsid w:val="00490E4B"/>
    <w:rsid w:val="004915C5"/>
    <w:rsid w:val="004919F6"/>
    <w:rsid w:val="00491B20"/>
    <w:rsid w:val="00491C9C"/>
    <w:rsid w:val="00491C9F"/>
    <w:rsid w:val="00491D92"/>
    <w:rsid w:val="0049286E"/>
    <w:rsid w:val="00492A7F"/>
    <w:rsid w:val="00492A94"/>
    <w:rsid w:val="00492B61"/>
    <w:rsid w:val="00492E6A"/>
    <w:rsid w:val="00492F30"/>
    <w:rsid w:val="00492F9D"/>
    <w:rsid w:val="00492FA2"/>
    <w:rsid w:val="004931C8"/>
    <w:rsid w:val="004937C8"/>
    <w:rsid w:val="00493E01"/>
    <w:rsid w:val="0049416D"/>
    <w:rsid w:val="00494547"/>
    <w:rsid w:val="0049462C"/>
    <w:rsid w:val="0049463C"/>
    <w:rsid w:val="004946F4"/>
    <w:rsid w:val="004947CC"/>
    <w:rsid w:val="004947F4"/>
    <w:rsid w:val="0049481B"/>
    <w:rsid w:val="0049487E"/>
    <w:rsid w:val="0049499D"/>
    <w:rsid w:val="00495760"/>
    <w:rsid w:val="0049589A"/>
    <w:rsid w:val="00495A7E"/>
    <w:rsid w:val="00496110"/>
    <w:rsid w:val="00496257"/>
    <w:rsid w:val="004962A0"/>
    <w:rsid w:val="00496662"/>
    <w:rsid w:val="004966CF"/>
    <w:rsid w:val="004967E1"/>
    <w:rsid w:val="00496844"/>
    <w:rsid w:val="00496C81"/>
    <w:rsid w:val="00497234"/>
    <w:rsid w:val="0049732F"/>
    <w:rsid w:val="004976A3"/>
    <w:rsid w:val="00497966"/>
    <w:rsid w:val="00497A90"/>
    <w:rsid w:val="00497D46"/>
    <w:rsid w:val="00497D88"/>
    <w:rsid w:val="00497F20"/>
    <w:rsid w:val="004A02BD"/>
    <w:rsid w:val="004A0325"/>
    <w:rsid w:val="004A0B1E"/>
    <w:rsid w:val="004A1074"/>
    <w:rsid w:val="004A160D"/>
    <w:rsid w:val="004A1B8A"/>
    <w:rsid w:val="004A1C2F"/>
    <w:rsid w:val="004A215F"/>
    <w:rsid w:val="004A2445"/>
    <w:rsid w:val="004A29DD"/>
    <w:rsid w:val="004A29E2"/>
    <w:rsid w:val="004A2BD6"/>
    <w:rsid w:val="004A2D4E"/>
    <w:rsid w:val="004A2DFB"/>
    <w:rsid w:val="004A3111"/>
    <w:rsid w:val="004A315F"/>
    <w:rsid w:val="004A349E"/>
    <w:rsid w:val="004A3870"/>
    <w:rsid w:val="004A3B34"/>
    <w:rsid w:val="004A3D8F"/>
    <w:rsid w:val="004A3E81"/>
    <w:rsid w:val="004A3EA7"/>
    <w:rsid w:val="004A4195"/>
    <w:rsid w:val="004A4318"/>
    <w:rsid w:val="004A4345"/>
    <w:rsid w:val="004A45A4"/>
    <w:rsid w:val="004A49A7"/>
    <w:rsid w:val="004A4A90"/>
    <w:rsid w:val="004A4ADF"/>
    <w:rsid w:val="004A4F52"/>
    <w:rsid w:val="004A5338"/>
    <w:rsid w:val="004A5B53"/>
    <w:rsid w:val="004A5C1E"/>
    <w:rsid w:val="004A5C62"/>
    <w:rsid w:val="004A5CE5"/>
    <w:rsid w:val="004A60A6"/>
    <w:rsid w:val="004A6160"/>
    <w:rsid w:val="004A6207"/>
    <w:rsid w:val="004A650A"/>
    <w:rsid w:val="004A6C29"/>
    <w:rsid w:val="004A6D5F"/>
    <w:rsid w:val="004A6D94"/>
    <w:rsid w:val="004A6E02"/>
    <w:rsid w:val="004A6F01"/>
    <w:rsid w:val="004A707D"/>
    <w:rsid w:val="004A737A"/>
    <w:rsid w:val="004A7403"/>
    <w:rsid w:val="004A7714"/>
    <w:rsid w:val="004A78C2"/>
    <w:rsid w:val="004A7987"/>
    <w:rsid w:val="004A7B51"/>
    <w:rsid w:val="004A7FAE"/>
    <w:rsid w:val="004B015F"/>
    <w:rsid w:val="004B040F"/>
    <w:rsid w:val="004B075D"/>
    <w:rsid w:val="004B0974"/>
    <w:rsid w:val="004B0AE3"/>
    <w:rsid w:val="004B0CDE"/>
    <w:rsid w:val="004B0F14"/>
    <w:rsid w:val="004B1022"/>
    <w:rsid w:val="004B13C4"/>
    <w:rsid w:val="004B17C1"/>
    <w:rsid w:val="004B18C4"/>
    <w:rsid w:val="004B1B23"/>
    <w:rsid w:val="004B1B95"/>
    <w:rsid w:val="004B1C32"/>
    <w:rsid w:val="004B1F59"/>
    <w:rsid w:val="004B2022"/>
    <w:rsid w:val="004B227F"/>
    <w:rsid w:val="004B243E"/>
    <w:rsid w:val="004B24CE"/>
    <w:rsid w:val="004B24FD"/>
    <w:rsid w:val="004B2BCF"/>
    <w:rsid w:val="004B2F58"/>
    <w:rsid w:val="004B2FBC"/>
    <w:rsid w:val="004B2FFE"/>
    <w:rsid w:val="004B3048"/>
    <w:rsid w:val="004B3262"/>
    <w:rsid w:val="004B34EA"/>
    <w:rsid w:val="004B36D7"/>
    <w:rsid w:val="004B3C99"/>
    <w:rsid w:val="004B3CFF"/>
    <w:rsid w:val="004B3E5B"/>
    <w:rsid w:val="004B3F82"/>
    <w:rsid w:val="004B3F88"/>
    <w:rsid w:val="004B3F9C"/>
    <w:rsid w:val="004B3FA4"/>
    <w:rsid w:val="004B4185"/>
    <w:rsid w:val="004B4470"/>
    <w:rsid w:val="004B486D"/>
    <w:rsid w:val="004B4A2F"/>
    <w:rsid w:val="004B53D5"/>
    <w:rsid w:val="004B54AE"/>
    <w:rsid w:val="004B5690"/>
    <w:rsid w:val="004B5795"/>
    <w:rsid w:val="004B57C7"/>
    <w:rsid w:val="004B57FF"/>
    <w:rsid w:val="004B5D85"/>
    <w:rsid w:val="004B5E41"/>
    <w:rsid w:val="004B609B"/>
    <w:rsid w:val="004B6229"/>
    <w:rsid w:val="004B6311"/>
    <w:rsid w:val="004B644B"/>
    <w:rsid w:val="004B663C"/>
    <w:rsid w:val="004B6654"/>
    <w:rsid w:val="004B6755"/>
    <w:rsid w:val="004B695E"/>
    <w:rsid w:val="004B6A60"/>
    <w:rsid w:val="004B6ED5"/>
    <w:rsid w:val="004B708D"/>
    <w:rsid w:val="004B71CB"/>
    <w:rsid w:val="004B758D"/>
    <w:rsid w:val="004B7860"/>
    <w:rsid w:val="004B7A6C"/>
    <w:rsid w:val="004B7BCD"/>
    <w:rsid w:val="004B7EA8"/>
    <w:rsid w:val="004B7F53"/>
    <w:rsid w:val="004C0895"/>
    <w:rsid w:val="004C09F8"/>
    <w:rsid w:val="004C0C7F"/>
    <w:rsid w:val="004C0CAA"/>
    <w:rsid w:val="004C0E34"/>
    <w:rsid w:val="004C1472"/>
    <w:rsid w:val="004C1630"/>
    <w:rsid w:val="004C196C"/>
    <w:rsid w:val="004C1970"/>
    <w:rsid w:val="004C1BDE"/>
    <w:rsid w:val="004C1C46"/>
    <w:rsid w:val="004C1D0D"/>
    <w:rsid w:val="004C1F12"/>
    <w:rsid w:val="004C1F76"/>
    <w:rsid w:val="004C1FA2"/>
    <w:rsid w:val="004C1FBD"/>
    <w:rsid w:val="004C20CA"/>
    <w:rsid w:val="004C20DC"/>
    <w:rsid w:val="004C21D8"/>
    <w:rsid w:val="004C21DF"/>
    <w:rsid w:val="004C226E"/>
    <w:rsid w:val="004C22F6"/>
    <w:rsid w:val="004C2402"/>
    <w:rsid w:val="004C2598"/>
    <w:rsid w:val="004C2646"/>
    <w:rsid w:val="004C2C0D"/>
    <w:rsid w:val="004C2D31"/>
    <w:rsid w:val="004C2D9E"/>
    <w:rsid w:val="004C31AB"/>
    <w:rsid w:val="004C33F9"/>
    <w:rsid w:val="004C34A0"/>
    <w:rsid w:val="004C3686"/>
    <w:rsid w:val="004C444B"/>
    <w:rsid w:val="004C45DD"/>
    <w:rsid w:val="004C4790"/>
    <w:rsid w:val="004C4D19"/>
    <w:rsid w:val="004C5541"/>
    <w:rsid w:val="004C5AE6"/>
    <w:rsid w:val="004C6142"/>
    <w:rsid w:val="004C62B6"/>
    <w:rsid w:val="004C63B6"/>
    <w:rsid w:val="004C63CD"/>
    <w:rsid w:val="004C6408"/>
    <w:rsid w:val="004C647B"/>
    <w:rsid w:val="004C652E"/>
    <w:rsid w:val="004C66EB"/>
    <w:rsid w:val="004C6951"/>
    <w:rsid w:val="004C6A01"/>
    <w:rsid w:val="004C6AB8"/>
    <w:rsid w:val="004C6C8A"/>
    <w:rsid w:val="004C6EEB"/>
    <w:rsid w:val="004C6EEE"/>
    <w:rsid w:val="004C7025"/>
    <w:rsid w:val="004C702B"/>
    <w:rsid w:val="004C7045"/>
    <w:rsid w:val="004C7150"/>
    <w:rsid w:val="004C7286"/>
    <w:rsid w:val="004C737B"/>
    <w:rsid w:val="004C75F0"/>
    <w:rsid w:val="004C76F7"/>
    <w:rsid w:val="004C7AA7"/>
    <w:rsid w:val="004C7BFA"/>
    <w:rsid w:val="004C7BFC"/>
    <w:rsid w:val="004C7C1A"/>
    <w:rsid w:val="004C7D6B"/>
    <w:rsid w:val="004C7F22"/>
    <w:rsid w:val="004D0033"/>
    <w:rsid w:val="004D016B"/>
    <w:rsid w:val="004D038A"/>
    <w:rsid w:val="004D0A65"/>
    <w:rsid w:val="004D1053"/>
    <w:rsid w:val="004D128B"/>
    <w:rsid w:val="004D12BD"/>
    <w:rsid w:val="004D139C"/>
    <w:rsid w:val="004D1601"/>
    <w:rsid w:val="004D1A5E"/>
    <w:rsid w:val="004D1B22"/>
    <w:rsid w:val="004D1D51"/>
    <w:rsid w:val="004D1D8D"/>
    <w:rsid w:val="004D2129"/>
    <w:rsid w:val="004D228A"/>
    <w:rsid w:val="004D23CC"/>
    <w:rsid w:val="004D2473"/>
    <w:rsid w:val="004D2571"/>
    <w:rsid w:val="004D2581"/>
    <w:rsid w:val="004D25EF"/>
    <w:rsid w:val="004D2674"/>
    <w:rsid w:val="004D2820"/>
    <w:rsid w:val="004D284E"/>
    <w:rsid w:val="004D2893"/>
    <w:rsid w:val="004D2B0F"/>
    <w:rsid w:val="004D32DE"/>
    <w:rsid w:val="004D3513"/>
    <w:rsid w:val="004D367E"/>
    <w:rsid w:val="004D36F2"/>
    <w:rsid w:val="004D3765"/>
    <w:rsid w:val="004D3868"/>
    <w:rsid w:val="004D3D40"/>
    <w:rsid w:val="004D3FD0"/>
    <w:rsid w:val="004D41CC"/>
    <w:rsid w:val="004D424E"/>
    <w:rsid w:val="004D4279"/>
    <w:rsid w:val="004D44BA"/>
    <w:rsid w:val="004D4633"/>
    <w:rsid w:val="004D4A76"/>
    <w:rsid w:val="004D5121"/>
    <w:rsid w:val="004D52BD"/>
    <w:rsid w:val="004D52E6"/>
    <w:rsid w:val="004D53B2"/>
    <w:rsid w:val="004D5806"/>
    <w:rsid w:val="004D58F2"/>
    <w:rsid w:val="004D594C"/>
    <w:rsid w:val="004D59BE"/>
    <w:rsid w:val="004D5DA3"/>
    <w:rsid w:val="004D6418"/>
    <w:rsid w:val="004D6458"/>
    <w:rsid w:val="004D678A"/>
    <w:rsid w:val="004D6D4A"/>
    <w:rsid w:val="004D710E"/>
    <w:rsid w:val="004D766A"/>
    <w:rsid w:val="004D76CC"/>
    <w:rsid w:val="004D7852"/>
    <w:rsid w:val="004D79B5"/>
    <w:rsid w:val="004D7A9B"/>
    <w:rsid w:val="004D7AFA"/>
    <w:rsid w:val="004D7D6F"/>
    <w:rsid w:val="004D7FE9"/>
    <w:rsid w:val="004E01BE"/>
    <w:rsid w:val="004E01D4"/>
    <w:rsid w:val="004E06D1"/>
    <w:rsid w:val="004E08D5"/>
    <w:rsid w:val="004E0982"/>
    <w:rsid w:val="004E0A46"/>
    <w:rsid w:val="004E10E6"/>
    <w:rsid w:val="004E1106"/>
    <w:rsid w:val="004E1352"/>
    <w:rsid w:val="004E138F"/>
    <w:rsid w:val="004E1A8B"/>
    <w:rsid w:val="004E2154"/>
    <w:rsid w:val="004E22FD"/>
    <w:rsid w:val="004E294A"/>
    <w:rsid w:val="004E2ACD"/>
    <w:rsid w:val="004E2CE9"/>
    <w:rsid w:val="004E2D8D"/>
    <w:rsid w:val="004E2E27"/>
    <w:rsid w:val="004E2F68"/>
    <w:rsid w:val="004E3143"/>
    <w:rsid w:val="004E321E"/>
    <w:rsid w:val="004E3C6C"/>
    <w:rsid w:val="004E3CCA"/>
    <w:rsid w:val="004E3E55"/>
    <w:rsid w:val="004E4476"/>
    <w:rsid w:val="004E4649"/>
    <w:rsid w:val="004E48B8"/>
    <w:rsid w:val="004E4FE5"/>
    <w:rsid w:val="004E519F"/>
    <w:rsid w:val="004E52E2"/>
    <w:rsid w:val="004E5439"/>
    <w:rsid w:val="004E56E7"/>
    <w:rsid w:val="004E59B3"/>
    <w:rsid w:val="004E5A12"/>
    <w:rsid w:val="004E5A1F"/>
    <w:rsid w:val="004E5C2B"/>
    <w:rsid w:val="004E5DD7"/>
    <w:rsid w:val="004E6341"/>
    <w:rsid w:val="004E6623"/>
    <w:rsid w:val="004E66B9"/>
    <w:rsid w:val="004E66F4"/>
    <w:rsid w:val="004E6A95"/>
    <w:rsid w:val="004E6B1D"/>
    <w:rsid w:val="004E6B42"/>
    <w:rsid w:val="004E70C6"/>
    <w:rsid w:val="004E72A1"/>
    <w:rsid w:val="004E72BF"/>
    <w:rsid w:val="004E7495"/>
    <w:rsid w:val="004E79F1"/>
    <w:rsid w:val="004E7BA7"/>
    <w:rsid w:val="004F0079"/>
    <w:rsid w:val="004F00DD"/>
    <w:rsid w:val="004F03D0"/>
    <w:rsid w:val="004F0569"/>
    <w:rsid w:val="004F0923"/>
    <w:rsid w:val="004F0D0F"/>
    <w:rsid w:val="004F0F4B"/>
    <w:rsid w:val="004F1124"/>
    <w:rsid w:val="004F113E"/>
    <w:rsid w:val="004F11FE"/>
    <w:rsid w:val="004F17FE"/>
    <w:rsid w:val="004F1A77"/>
    <w:rsid w:val="004F1B5A"/>
    <w:rsid w:val="004F1BDE"/>
    <w:rsid w:val="004F1E2C"/>
    <w:rsid w:val="004F1E3C"/>
    <w:rsid w:val="004F202B"/>
    <w:rsid w:val="004F20FE"/>
    <w:rsid w:val="004F211C"/>
    <w:rsid w:val="004F2133"/>
    <w:rsid w:val="004F21BB"/>
    <w:rsid w:val="004F236E"/>
    <w:rsid w:val="004F2431"/>
    <w:rsid w:val="004F24C9"/>
    <w:rsid w:val="004F297C"/>
    <w:rsid w:val="004F3919"/>
    <w:rsid w:val="004F3952"/>
    <w:rsid w:val="004F39B4"/>
    <w:rsid w:val="004F39F8"/>
    <w:rsid w:val="004F3A80"/>
    <w:rsid w:val="004F3C02"/>
    <w:rsid w:val="004F3FA8"/>
    <w:rsid w:val="004F467E"/>
    <w:rsid w:val="004F4B01"/>
    <w:rsid w:val="004F4B02"/>
    <w:rsid w:val="004F4F57"/>
    <w:rsid w:val="004F5021"/>
    <w:rsid w:val="004F5398"/>
    <w:rsid w:val="004F55F1"/>
    <w:rsid w:val="004F5666"/>
    <w:rsid w:val="004F5685"/>
    <w:rsid w:val="004F58AC"/>
    <w:rsid w:val="004F5DD3"/>
    <w:rsid w:val="004F611A"/>
    <w:rsid w:val="004F6294"/>
    <w:rsid w:val="004F63B8"/>
    <w:rsid w:val="004F6627"/>
    <w:rsid w:val="004F670B"/>
    <w:rsid w:val="004F6824"/>
    <w:rsid w:val="004F6886"/>
    <w:rsid w:val="004F6936"/>
    <w:rsid w:val="004F6B22"/>
    <w:rsid w:val="004F6E0A"/>
    <w:rsid w:val="004F73A0"/>
    <w:rsid w:val="004F77F0"/>
    <w:rsid w:val="004F7B98"/>
    <w:rsid w:val="004F7C17"/>
    <w:rsid w:val="00500004"/>
    <w:rsid w:val="00500129"/>
    <w:rsid w:val="005003F2"/>
    <w:rsid w:val="0050092B"/>
    <w:rsid w:val="005009B1"/>
    <w:rsid w:val="00500A36"/>
    <w:rsid w:val="00500E07"/>
    <w:rsid w:val="00500F71"/>
    <w:rsid w:val="00501ACD"/>
    <w:rsid w:val="00501BBE"/>
    <w:rsid w:val="00501EA7"/>
    <w:rsid w:val="00502073"/>
    <w:rsid w:val="005027CA"/>
    <w:rsid w:val="005029BF"/>
    <w:rsid w:val="00502DB7"/>
    <w:rsid w:val="00502DCB"/>
    <w:rsid w:val="00502FD1"/>
    <w:rsid w:val="00503480"/>
    <w:rsid w:val="0050364F"/>
    <w:rsid w:val="0050380F"/>
    <w:rsid w:val="0050396A"/>
    <w:rsid w:val="00503AEB"/>
    <w:rsid w:val="00503C5E"/>
    <w:rsid w:val="00503CC3"/>
    <w:rsid w:val="00503D60"/>
    <w:rsid w:val="00503DC6"/>
    <w:rsid w:val="00503DE1"/>
    <w:rsid w:val="00503E80"/>
    <w:rsid w:val="005043BA"/>
    <w:rsid w:val="00504467"/>
    <w:rsid w:val="005046AE"/>
    <w:rsid w:val="005046E8"/>
    <w:rsid w:val="0050476F"/>
    <w:rsid w:val="00505095"/>
    <w:rsid w:val="00505407"/>
    <w:rsid w:val="005056C4"/>
    <w:rsid w:val="00505803"/>
    <w:rsid w:val="00505E22"/>
    <w:rsid w:val="00505F23"/>
    <w:rsid w:val="00505F8C"/>
    <w:rsid w:val="005060E5"/>
    <w:rsid w:val="00506152"/>
    <w:rsid w:val="005062DB"/>
    <w:rsid w:val="00506385"/>
    <w:rsid w:val="00506410"/>
    <w:rsid w:val="00506604"/>
    <w:rsid w:val="0050681F"/>
    <w:rsid w:val="00506BCC"/>
    <w:rsid w:val="00506DEE"/>
    <w:rsid w:val="00506E1F"/>
    <w:rsid w:val="00506ECD"/>
    <w:rsid w:val="00506EF7"/>
    <w:rsid w:val="00506F5D"/>
    <w:rsid w:val="00506F8C"/>
    <w:rsid w:val="00507195"/>
    <w:rsid w:val="00507280"/>
    <w:rsid w:val="0050733B"/>
    <w:rsid w:val="00507365"/>
    <w:rsid w:val="005076FA"/>
    <w:rsid w:val="00507D48"/>
    <w:rsid w:val="00507FD8"/>
    <w:rsid w:val="00507FFE"/>
    <w:rsid w:val="00510011"/>
    <w:rsid w:val="005103A5"/>
    <w:rsid w:val="005104DF"/>
    <w:rsid w:val="00510B75"/>
    <w:rsid w:val="00510C37"/>
    <w:rsid w:val="00510D67"/>
    <w:rsid w:val="00511467"/>
    <w:rsid w:val="005114FB"/>
    <w:rsid w:val="00511698"/>
    <w:rsid w:val="00511AC2"/>
    <w:rsid w:val="00511F0A"/>
    <w:rsid w:val="0051224B"/>
    <w:rsid w:val="005126D0"/>
    <w:rsid w:val="00512BAF"/>
    <w:rsid w:val="00512C00"/>
    <w:rsid w:val="00512CAC"/>
    <w:rsid w:val="00512E4B"/>
    <w:rsid w:val="0051338F"/>
    <w:rsid w:val="00513482"/>
    <w:rsid w:val="005135B4"/>
    <w:rsid w:val="005138BD"/>
    <w:rsid w:val="00513935"/>
    <w:rsid w:val="0051428A"/>
    <w:rsid w:val="005142AF"/>
    <w:rsid w:val="00514613"/>
    <w:rsid w:val="00514667"/>
    <w:rsid w:val="00514A51"/>
    <w:rsid w:val="00514BCC"/>
    <w:rsid w:val="00514BDE"/>
    <w:rsid w:val="00514BFA"/>
    <w:rsid w:val="00514D37"/>
    <w:rsid w:val="00514D90"/>
    <w:rsid w:val="00515260"/>
    <w:rsid w:val="00515420"/>
    <w:rsid w:val="00515499"/>
    <w:rsid w:val="0051568D"/>
    <w:rsid w:val="00515AEC"/>
    <w:rsid w:val="00515B37"/>
    <w:rsid w:val="00515CA9"/>
    <w:rsid w:val="00515E44"/>
    <w:rsid w:val="005161C0"/>
    <w:rsid w:val="005161F8"/>
    <w:rsid w:val="005169B6"/>
    <w:rsid w:val="00516B50"/>
    <w:rsid w:val="00516BF2"/>
    <w:rsid w:val="00516C84"/>
    <w:rsid w:val="00516C91"/>
    <w:rsid w:val="00516E2D"/>
    <w:rsid w:val="00516E88"/>
    <w:rsid w:val="0051700D"/>
    <w:rsid w:val="005172ED"/>
    <w:rsid w:val="00517572"/>
    <w:rsid w:val="00517881"/>
    <w:rsid w:val="00517C90"/>
    <w:rsid w:val="00517D68"/>
    <w:rsid w:val="00517FD9"/>
    <w:rsid w:val="0052017C"/>
    <w:rsid w:val="00520332"/>
    <w:rsid w:val="00520BB8"/>
    <w:rsid w:val="00520D11"/>
    <w:rsid w:val="00520D92"/>
    <w:rsid w:val="00520DB9"/>
    <w:rsid w:val="00520EA5"/>
    <w:rsid w:val="005212B5"/>
    <w:rsid w:val="00521331"/>
    <w:rsid w:val="0052159F"/>
    <w:rsid w:val="00521771"/>
    <w:rsid w:val="00521A6F"/>
    <w:rsid w:val="00521DD7"/>
    <w:rsid w:val="00521F29"/>
    <w:rsid w:val="005221D6"/>
    <w:rsid w:val="00522303"/>
    <w:rsid w:val="005228F4"/>
    <w:rsid w:val="00522B14"/>
    <w:rsid w:val="00522B87"/>
    <w:rsid w:val="00522BF5"/>
    <w:rsid w:val="00523039"/>
    <w:rsid w:val="00523197"/>
    <w:rsid w:val="00523306"/>
    <w:rsid w:val="00523313"/>
    <w:rsid w:val="005233F3"/>
    <w:rsid w:val="005237DF"/>
    <w:rsid w:val="0052392D"/>
    <w:rsid w:val="00523EEA"/>
    <w:rsid w:val="00523F90"/>
    <w:rsid w:val="005240DF"/>
    <w:rsid w:val="00524588"/>
    <w:rsid w:val="00524671"/>
    <w:rsid w:val="00524892"/>
    <w:rsid w:val="00524FE4"/>
    <w:rsid w:val="005252E9"/>
    <w:rsid w:val="005252FA"/>
    <w:rsid w:val="00525386"/>
    <w:rsid w:val="005254F0"/>
    <w:rsid w:val="005255E1"/>
    <w:rsid w:val="00525973"/>
    <w:rsid w:val="00525CAC"/>
    <w:rsid w:val="00526043"/>
    <w:rsid w:val="005267F5"/>
    <w:rsid w:val="005268C4"/>
    <w:rsid w:val="0052699E"/>
    <w:rsid w:val="00526AC7"/>
    <w:rsid w:val="00526AF8"/>
    <w:rsid w:val="00526B62"/>
    <w:rsid w:val="00526BB2"/>
    <w:rsid w:val="00526C15"/>
    <w:rsid w:val="00526E03"/>
    <w:rsid w:val="00526F06"/>
    <w:rsid w:val="00527185"/>
    <w:rsid w:val="00527305"/>
    <w:rsid w:val="00527378"/>
    <w:rsid w:val="0052750D"/>
    <w:rsid w:val="00527ACC"/>
    <w:rsid w:val="00527D65"/>
    <w:rsid w:val="00527E6E"/>
    <w:rsid w:val="00527F59"/>
    <w:rsid w:val="00527FA4"/>
    <w:rsid w:val="00530170"/>
    <w:rsid w:val="0053018F"/>
    <w:rsid w:val="0053038A"/>
    <w:rsid w:val="0053078D"/>
    <w:rsid w:val="005307BB"/>
    <w:rsid w:val="00530FAA"/>
    <w:rsid w:val="0053106E"/>
    <w:rsid w:val="0053129D"/>
    <w:rsid w:val="005314E3"/>
    <w:rsid w:val="0053155E"/>
    <w:rsid w:val="005316C1"/>
    <w:rsid w:val="005318C9"/>
    <w:rsid w:val="00531ADF"/>
    <w:rsid w:val="00531B8D"/>
    <w:rsid w:val="00531CE2"/>
    <w:rsid w:val="00531EB6"/>
    <w:rsid w:val="00531FD3"/>
    <w:rsid w:val="00532226"/>
    <w:rsid w:val="0053223F"/>
    <w:rsid w:val="00532521"/>
    <w:rsid w:val="00532567"/>
    <w:rsid w:val="00532773"/>
    <w:rsid w:val="00532A8C"/>
    <w:rsid w:val="00532B92"/>
    <w:rsid w:val="00532BB3"/>
    <w:rsid w:val="00532CD3"/>
    <w:rsid w:val="00532DA4"/>
    <w:rsid w:val="00533247"/>
    <w:rsid w:val="005332CB"/>
    <w:rsid w:val="0053332A"/>
    <w:rsid w:val="005333D2"/>
    <w:rsid w:val="00533511"/>
    <w:rsid w:val="00533837"/>
    <w:rsid w:val="00533841"/>
    <w:rsid w:val="00533CD4"/>
    <w:rsid w:val="00533E01"/>
    <w:rsid w:val="00534085"/>
    <w:rsid w:val="005341B7"/>
    <w:rsid w:val="005344B5"/>
    <w:rsid w:val="0053477B"/>
    <w:rsid w:val="00534B15"/>
    <w:rsid w:val="00534DAC"/>
    <w:rsid w:val="0053506E"/>
    <w:rsid w:val="00535079"/>
    <w:rsid w:val="00535306"/>
    <w:rsid w:val="005353C8"/>
    <w:rsid w:val="00535426"/>
    <w:rsid w:val="00535799"/>
    <w:rsid w:val="005358A7"/>
    <w:rsid w:val="005358BD"/>
    <w:rsid w:val="00535928"/>
    <w:rsid w:val="005359D4"/>
    <w:rsid w:val="00535BA2"/>
    <w:rsid w:val="00535E0C"/>
    <w:rsid w:val="005360FD"/>
    <w:rsid w:val="005363C2"/>
    <w:rsid w:val="00536499"/>
    <w:rsid w:val="00536613"/>
    <w:rsid w:val="00536650"/>
    <w:rsid w:val="0053674C"/>
    <w:rsid w:val="00536B6D"/>
    <w:rsid w:val="00536C20"/>
    <w:rsid w:val="00536EAC"/>
    <w:rsid w:val="00536EC2"/>
    <w:rsid w:val="00537148"/>
    <w:rsid w:val="0053718C"/>
    <w:rsid w:val="00537305"/>
    <w:rsid w:val="0053735D"/>
    <w:rsid w:val="005373E9"/>
    <w:rsid w:val="005375AB"/>
    <w:rsid w:val="00537765"/>
    <w:rsid w:val="00537912"/>
    <w:rsid w:val="00537F28"/>
    <w:rsid w:val="00537F71"/>
    <w:rsid w:val="005406AF"/>
    <w:rsid w:val="005408C6"/>
    <w:rsid w:val="00540917"/>
    <w:rsid w:val="00540BEA"/>
    <w:rsid w:val="00540BF4"/>
    <w:rsid w:val="00540CB9"/>
    <w:rsid w:val="00540E1A"/>
    <w:rsid w:val="00540EC1"/>
    <w:rsid w:val="00540EC9"/>
    <w:rsid w:val="005415C1"/>
    <w:rsid w:val="005416AA"/>
    <w:rsid w:val="005416F0"/>
    <w:rsid w:val="005418D9"/>
    <w:rsid w:val="005419A0"/>
    <w:rsid w:val="005419BE"/>
    <w:rsid w:val="00541A8C"/>
    <w:rsid w:val="00541BAC"/>
    <w:rsid w:val="00541F55"/>
    <w:rsid w:val="00541FBD"/>
    <w:rsid w:val="00542A03"/>
    <w:rsid w:val="00542C47"/>
    <w:rsid w:val="00542F3C"/>
    <w:rsid w:val="00543272"/>
    <w:rsid w:val="00543903"/>
    <w:rsid w:val="00543AAA"/>
    <w:rsid w:val="00543BCC"/>
    <w:rsid w:val="00543DDC"/>
    <w:rsid w:val="00543F11"/>
    <w:rsid w:val="00543F33"/>
    <w:rsid w:val="00544040"/>
    <w:rsid w:val="00544135"/>
    <w:rsid w:val="0054439C"/>
    <w:rsid w:val="005443BB"/>
    <w:rsid w:val="00544444"/>
    <w:rsid w:val="005444D0"/>
    <w:rsid w:val="005449E4"/>
    <w:rsid w:val="00544AAE"/>
    <w:rsid w:val="00544AE4"/>
    <w:rsid w:val="00544FE7"/>
    <w:rsid w:val="00545024"/>
    <w:rsid w:val="0054508E"/>
    <w:rsid w:val="005458B9"/>
    <w:rsid w:val="00545B3D"/>
    <w:rsid w:val="00546014"/>
    <w:rsid w:val="005460BA"/>
    <w:rsid w:val="00546305"/>
    <w:rsid w:val="00546493"/>
    <w:rsid w:val="005466F0"/>
    <w:rsid w:val="0054692E"/>
    <w:rsid w:val="00546A95"/>
    <w:rsid w:val="00546AE5"/>
    <w:rsid w:val="00546BAC"/>
    <w:rsid w:val="00546C75"/>
    <w:rsid w:val="00546D2F"/>
    <w:rsid w:val="0054707F"/>
    <w:rsid w:val="0054740A"/>
    <w:rsid w:val="005475F5"/>
    <w:rsid w:val="00547620"/>
    <w:rsid w:val="005477FF"/>
    <w:rsid w:val="005478E8"/>
    <w:rsid w:val="00547A95"/>
    <w:rsid w:val="00547DB1"/>
    <w:rsid w:val="00547EDF"/>
    <w:rsid w:val="0055001D"/>
    <w:rsid w:val="00550308"/>
    <w:rsid w:val="00550351"/>
    <w:rsid w:val="00550501"/>
    <w:rsid w:val="005507E2"/>
    <w:rsid w:val="00550AFF"/>
    <w:rsid w:val="00550EAC"/>
    <w:rsid w:val="00550F0A"/>
    <w:rsid w:val="00550F7F"/>
    <w:rsid w:val="005510B4"/>
    <w:rsid w:val="0055119B"/>
    <w:rsid w:val="005513F1"/>
    <w:rsid w:val="005517A7"/>
    <w:rsid w:val="00551888"/>
    <w:rsid w:val="00551BDF"/>
    <w:rsid w:val="00551CAA"/>
    <w:rsid w:val="00551DEF"/>
    <w:rsid w:val="00551E09"/>
    <w:rsid w:val="005526EB"/>
    <w:rsid w:val="0055312B"/>
    <w:rsid w:val="00553166"/>
    <w:rsid w:val="005532FF"/>
    <w:rsid w:val="00553516"/>
    <w:rsid w:val="00553519"/>
    <w:rsid w:val="0055352D"/>
    <w:rsid w:val="00553530"/>
    <w:rsid w:val="00553566"/>
    <w:rsid w:val="005537E4"/>
    <w:rsid w:val="00553910"/>
    <w:rsid w:val="00553A20"/>
    <w:rsid w:val="00553B2B"/>
    <w:rsid w:val="00553B95"/>
    <w:rsid w:val="00553BD7"/>
    <w:rsid w:val="00553E11"/>
    <w:rsid w:val="0055416F"/>
    <w:rsid w:val="00554234"/>
    <w:rsid w:val="005543A0"/>
    <w:rsid w:val="00554480"/>
    <w:rsid w:val="00554523"/>
    <w:rsid w:val="005545BA"/>
    <w:rsid w:val="005546B0"/>
    <w:rsid w:val="00554736"/>
    <w:rsid w:val="00554821"/>
    <w:rsid w:val="00555100"/>
    <w:rsid w:val="00555133"/>
    <w:rsid w:val="0055516C"/>
    <w:rsid w:val="00555172"/>
    <w:rsid w:val="00555472"/>
    <w:rsid w:val="005558C4"/>
    <w:rsid w:val="00555940"/>
    <w:rsid w:val="00555A89"/>
    <w:rsid w:val="00555D32"/>
    <w:rsid w:val="00555E7C"/>
    <w:rsid w:val="00556535"/>
    <w:rsid w:val="00556684"/>
    <w:rsid w:val="00556CDB"/>
    <w:rsid w:val="005575A0"/>
    <w:rsid w:val="00557882"/>
    <w:rsid w:val="005578CD"/>
    <w:rsid w:val="005579A1"/>
    <w:rsid w:val="00557BB4"/>
    <w:rsid w:val="00557D66"/>
    <w:rsid w:val="0056035B"/>
    <w:rsid w:val="005606BA"/>
    <w:rsid w:val="005606D9"/>
    <w:rsid w:val="005609DE"/>
    <w:rsid w:val="00560A95"/>
    <w:rsid w:val="0056101C"/>
    <w:rsid w:val="0056111F"/>
    <w:rsid w:val="00561202"/>
    <w:rsid w:val="005612C9"/>
    <w:rsid w:val="0056136B"/>
    <w:rsid w:val="00561576"/>
    <w:rsid w:val="00561660"/>
    <w:rsid w:val="00561E41"/>
    <w:rsid w:val="00561E48"/>
    <w:rsid w:val="00561E85"/>
    <w:rsid w:val="0056214B"/>
    <w:rsid w:val="00562296"/>
    <w:rsid w:val="005624F5"/>
    <w:rsid w:val="00562507"/>
    <w:rsid w:val="005625AE"/>
    <w:rsid w:val="00562649"/>
    <w:rsid w:val="00562811"/>
    <w:rsid w:val="00562ABC"/>
    <w:rsid w:val="00562CA7"/>
    <w:rsid w:val="00562D45"/>
    <w:rsid w:val="00563443"/>
    <w:rsid w:val="0056372C"/>
    <w:rsid w:val="00563A89"/>
    <w:rsid w:val="00563AFC"/>
    <w:rsid w:val="00563CCE"/>
    <w:rsid w:val="00563D5B"/>
    <w:rsid w:val="00563DAB"/>
    <w:rsid w:val="00563DDB"/>
    <w:rsid w:val="005642C0"/>
    <w:rsid w:val="005644B5"/>
    <w:rsid w:val="005645BC"/>
    <w:rsid w:val="00564DDB"/>
    <w:rsid w:val="00565355"/>
    <w:rsid w:val="0056570A"/>
    <w:rsid w:val="00565909"/>
    <w:rsid w:val="00565AE5"/>
    <w:rsid w:val="00565BF9"/>
    <w:rsid w:val="00565C73"/>
    <w:rsid w:val="00566365"/>
    <w:rsid w:val="005663BC"/>
    <w:rsid w:val="005664E2"/>
    <w:rsid w:val="005665C4"/>
    <w:rsid w:val="005665E1"/>
    <w:rsid w:val="005666FE"/>
    <w:rsid w:val="0056692B"/>
    <w:rsid w:val="00566A80"/>
    <w:rsid w:val="00566AFD"/>
    <w:rsid w:val="00567318"/>
    <w:rsid w:val="00567415"/>
    <w:rsid w:val="00567578"/>
    <w:rsid w:val="00567626"/>
    <w:rsid w:val="00567A47"/>
    <w:rsid w:val="00567F99"/>
    <w:rsid w:val="0057014C"/>
    <w:rsid w:val="0057018C"/>
    <w:rsid w:val="0057019D"/>
    <w:rsid w:val="00570292"/>
    <w:rsid w:val="005702C0"/>
    <w:rsid w:val="0057039C"/>
    <w:rsid w:val="005704D2"/>
    <w:rsid w:val="00570673"/>
    <w:rsid w:val="005706D3"/>
    <w:rsid w:val="0057082C"/>
    <w:rsid w:val="005709BE"/>
    <w:rsid w:val="00570A1F"/>
    <w:rsid w:val="00570B88"/>
    <w:rsid w:val="00570D83"/>
    <w:rsid w:val="00571172"/>
    <w:rsid w:val="005717FB"/>
    <w:rsid w:val="00571991"/>
    <w:rsid w:val="00571D6A"/>
    <w:rsid w:val="00571DD1"/>
    <w:rsid w:val="00571DE0"/>
    <w:rsid w:val="00571E90"/>
    <w:rsid w:val="00572028"/>
    <w:rsid w:val="00572031"/>
    <w:rsid w:val="00572282"/>
    <w:rsid w:val="00572432"/>
    <w:rsid w:val="00572581"/>
    <w:rsid w:val="00572723"/>
    <w:rsid w:val="005728E5"/>
    <w:rsid w:val="005730FA"/>
    <w:rsid w:val="00573391"/>
    <w:rsid w:val="00573495"/>
    <w:rsid w:val="005739AB"/>
    <w:rsid w:val="00573C80"/>
    <w:rsid w:val="00573CE3"/>
    <w:rsid w:val="00573CED"/>
    <w:rsid w:val="00573DE5"/>
    <w:rsid w:val="00573FA7"/>
    <w:rsid w:val="0057404B"/>
    <w:rsid w:val="00574066"/>
    <w:rsid w:val="00574233"/>
    <w:rsid w:val="0057423A"/>
    <w:rsid w:val="00574294"/>
    <w:rsid w:val="00574597"/>
    <w:rsid w:val="00574627"/>
    <w:rsid w:val="00574A35"/>
    <w:rsid w:val="00574B4C"/>
    <w:rsid w:val="00574CBE"/>
    <w:rsid w:val="00574EC8"/>
    <w:rsid w:val="005753B1"/>
    <w:rsid w:val="00575633"/>
    <w:rsid w:val="0057565F"/>
    <w:rsid w:val="00575719"/>
    <w:rsid w:val="005758AB"/>
    <w:rsid w:val="00575969"/>
    <w:rsid w:val="00575A6C"/>
    <w:rsid w:val="00575AC3"/>
    <w:rsid w:val="00575C1C"/>
    <w:rsid w:val="00575C4E"/>
    <w:rsid w:val="005762F7"/>
    <w:rsid w:val="005768DF"/>
    <w:rsid w:val="00576B76"/>
    <w:rsid w:val="00576D8A"/>
    <w:rsid w:val="00576E84"/>
    <w:rsid w:val="00576EAB"/>
    <w:rsid w:val="005771FC"/>
    <w:rsid w:val="00577510"/>
    <w:rsid w:val="00577579"/>
    <w:rsid w:val="00577BAE"/>
    <w:rsid w:val="00580251"/>
    <w:rsid w:val="00580394"/>
    <w:rsid w:val="00580612"/>
    <w:rsid w:val="005807FF"/>
    <w:rsid w:val="005809CD"/>
    <w:rsid w:val="00580A86"/>
    <w:rsid w:val="00580C05"/>
    <w:rsid w:val="005812A1"/>
    <w:rsid w:val="0058158A"/>
    <w:rsid w:val="00581729"/>
    <w:rsid w:val="00581A62"/>
    <w:rsid w:val="00581CF1"/>
    <w:rsid w:val="005820C7"/>
    <w:rsid w:val="0058212A"/>
    <w:rsid w:val="00582B37"/>
    <w:rsid w:val="00582B8C"/>
    <w:rsid w:val="005831C5"/>
    <w:rsid w:val="0058339D"/>
    <w:rsid w:val="0058341E"/>
    <w:rsid w:val="005834F5"/>
    <w:rsid w:val="00583817"/>
    <w:rsid w:val="00583C03"/>
    <w:rsid w:val="00583C54"/>
    <w:rsid w:val="00583DA4"/>
    <w:rsid w:val="00583DD4"/>
    <w:rsid w:val="00584014"/>
    <w:rsid w:val="00584692"/>
    <w:rsid w:val="00584818"/>
    <w:rsid w:val="00584853"/>
    <w:rsid w:val="00584AC2"/>
    <w:rsid w:val="00584EF4"/>
    <w:rsid w:val="00584F57"/>
    <w:rsid w:val="005850E1"/>
    <w:rsid w:val="00585562"/>
    <w:rsid w:val="00585962"/>
    <w:rsid w:val="00586A3C"/>
    <w:rsid w:val="00586DF8"/>
    <w:rsid w:val="0058727D"/>
    <w:rsid w:val="005872CD"/>
    <w:rsid w:val="005874E1"/>
    <w:rsid w:val="00587565"/>
    <w:rsid w:val="0058757E"/>
    <w:rsid w:val="0058777F"/>
    <w:rsid w:val="00587947"/>
    <w:rsid w:val="00587DCA"/>
    <w:rsid w:val="00587E0A"/>
    <w:rsid w:val="005909A2"/>
    <w:rsid w:val="00590E21"/>
    <w:rsid w:val="00590E72"/>
    <w:rsid w:val="00590FA9"/>
    <w:rsid w:val="00591170"/>
    <w:rsid w:val="005911F5"/>
    <w:rsid w:val="005915D4"/>
    <w:rsid w:val="00591791"/>
    <w:rsid w:val="00591926"/>
    <w:rsid w:val="00591A23"/>
    <w:rsid w:val="00591ABE"/>
    <w:rsid w:val="00591C5A"/>
    <w:rsid w:val="00591F2D"/>
    <w:rsid w:val="00591FBA"/>
    <w:rsid w:val="00592648"/>
    <w:rsid w:val="00592B16"/>
    <w:rsid w:val="00592DC9"/>
    <w:rsid w:val="005930D8"/>
    <w:rsid w:val="00593314"/>
    <w:rsid w:val="00593669"/>
    <w:rsid w:val="00593827"/>
    <w:rsid w:val="00593CB5"/>
    <w:rsid w:val="00594087"/>
    <w:rsid w:val="005946F9"/>
    <w:rsid w:val="00594737"/>
    <w:rsid w:val="005948DE"/>
    <w:rsid w:val="00594C06"/>
    <w:rsid w:val="00594EC2"/>
    <w:rsid w:val="00595125"/>
    <w:rsid w:val="00595129"/>
    <w:rsid w:val="0059544A"/>
    <w:rsid w:val="00595519"/>
    <w:rsid w:val="00595641"/>
    <w:rsid w:val="00595670"/>
    <w:rsid w:val="005956B1"/>
    <w:rsid w:val="00595804"/>
    <w:rsid w:val="00595A5C"/>
    <w:rsid w:val="00595A7C"/>
    <w:rsid w:val="00595B31"/>
    <w:rsid w:val="00595BE8"/>
    <w:rsid w:val="00595CF4"/>
    <w:rsid w:val="00595D21"/>
    <w:rsid w:val="00595DAA"/>
    <w:rsid w:val="005960FB"/>
    <w:rsid w:val="0059658F"/>
    <w:rsid w:val="0059694E"/>
    <w:rsid w:val="00596A4B"/>
    <w:rsid w:val="00596A6D"/>
    <w:rsid w:val="00596CA1"/>
    <w:rsid w:val="00596DE1"/>
    <w:rsid w:val="00596F7A"/>
    <w:rsid w:val="00597056"/>
    <w:rsid w:val="005971E6"/>
    <w:rsid w:val="005973A8"/>
    <w:rsid w:val="005974AD"/>
    <w:rsid w:val="00597507"/>
    <w:rsid w:val="005975D3"/>
    <w:rsid w:val="005975F2"/>
    <w:rsid w:val="005975F3"/>
    <w:rsid w:val="00597604"/>
    <w:rsid w:val="005976E7"/>
    <w:rsid w:val="005977CC"/>
    <w:rsid w:val="00597916"/>
    <w:rsid w:val="00597C18"/>
    <w:rsid w:val="00597CC6"/>
    <w:rsid w:val="00597DE0"/>
    <w:rsid w:val="005A018A"/>
    <w:rsid w:val="005A023A"/>
    <w:rsid w:val="005A0564"/>
    <w:rsid w:val="005A0666"/>
    <w:rsid w:val="005A06BD"/>
    <w:rsid w:val="005A0784"/>
    <w:rsid w:val="005A0984"/>
    <w:rsid w:val="005A0B4E"/>
    <w:rsid w:val="005A0C2E"/>
    <w:rsid w:val="005A1C39"/>
    <w:rsid w:val="005A1C56"/>
    <w:rsid w:val="005A20A1"/>
    <w:rsid w:val="005A2391"/>
    <w:rsid w:val="005A2570"/>
    <w:rsid w:val="005A25C5"/>
    <w:rsid w:val="005A2A1B"/>
    <w:rsid w:val="005A2A5D"/>
    <w:rsid w:val="005A2C02"/>
    <w:rsid w:val="005A2C18"/>
    <w:rsid w:val="005A31DE"/>
    <w:rsid w:val="005A32DA"/>
    <w:rsid w:val="005A3536"/>
    <w:rsid w:val="005A3845"/>
    <w:rsid w:val="005A39D0"/>
    <w:rsid w:val="005A3B75"/>
    <w:rsid w:val="005A3C44"/>
    <w:rsid w:val="005A4277"/>
    <w:rsid w:val="005A45D3"/>
    <w:rsid w:val="005A4606"/>
    <w:rsid w:val="005A465F"/>
    <w:rsid w:val="005A479D"/>
    <w:rsid w:val="005A48BE"/>
    <w:rsid w:val="005A49F6"/>
    <w:rsid w:val="005A5014"/>
    <w:rsid w:val="005A50F1"/>
    <w:rsid w:val="005A5413"/>
    <w:rsid w:val="005A550E"/>
    <w:rsid w:val="005A554C"/>
    <w:rsid w:val="005A581F"/>
    <w:rsid w:val="005A593C"/>
    <w:rsid w:val="005A5A03"/>
    <w:rsid w:val="005A5DE3"/>
    <w:rsid w:val="005A60D0"/>
    <w:rsid w:val="005A6AD9"/>
    <w:rsid w:val="005A6D51"/>
    <w:rsid w:val="005A70DF"/>
    <w:rsid w:val="005A72EC"/>
    <w:rsid w:val="005A7437"/>
    <w:rsid w:val="005A7475"/>
    <w:rsid w:val="005A76CE"/>
    <w:rsid w:val="005A785F"/>
    <w:rsid w:val="005A7B39"/>
    <w:rsid w:val="005A7E01"/>
    <w:rsid w:val="005A7E24"/>
    <w:rsid w:val="005B0022"/>
    <w:rsid w:val="005B0368"/>
    <w:rsid w:val="005B0590"/>
    <w:rsid w:val="005B05AD"/>
    <w:rsid w:val="005B07F3"/>
    <w:rsid w:val="005B080E"/>
    <w:rsid w:val="005B0A58"/>
    <w:rsid w:val="005B0BE6"/>
    <w:rsid w:val="005B0F62"/>
    <w:rsid w:val="005B11E4"/>
    <w:rsid w:val="005B14CC"/>
    <w:rsid w:val="005B1782"/>
    <w:rsid w:val="005B1950"/>
    <w:rsid w:val="005B1952"/>
    <w:rsid w:val="005B1973"/>
    <w:rsid w:val="005B1BDC"/>
    <w:rsid w:val="005B1C68"/>
    <w:rsid w:val="005B1C6D"/>
    <w:rsid w:val="005B1DAC"/>
    <w:rsid w:val="005B20C7"/>
    <w:rsid w:val="005B213C"/>
    <w:rsid w:val="005B21B6"/>
    <w:rsid w:val="005B23CD"/>
    <w:rsid w:val="005B26EC"/>
    <w:rsid w:val="005B2B31"/>
    <w:rsid w:val="005B2DD3"/>
    <w:rsid w:val="005B30EA"/>
    <w:rsid w:val="005B3297"/>
    <w:rsid w:val="005B332F"/>
    <w:rsid w:val="005B3432"/>
    <w:rsid w:val="005B3450"/>
    <w:rsid w:val="005B39B8"/>
    <w:rsid w:val="005B3A08"/>
    <w:rsid w:val="005B3B52"/>
    <w:rsid w:val="005B3DE2"/>
    <w:rsid w:val="005B3FD4"/>
    <w:rsid w:val="005B43D0"/>
    <w:rsid w:val="005B4B52"/>
    <w:rsid w:val="005B4BCE"/>
    <w:rsid w:val="005B5058"/>
    <w:rsid w:val="005B5329"/>
    <w:rsid w:val="005B5352"/>
    <w:rsid w:val="005B53D7"/>
    <w:rsid w:val="005B5611"/>
    <w:rsid w:val="005B5684"/>
    <w:rsid w:val="005B5B55"/>
    <w:rsid w:val="005B5E52"/>
    <w:rsid w:val="005B652F"/>
    <w:rsid w:val="005B6BFD"/>
    <w:rsid w:val="005B6E41"/>
    <w:rsid w:val="005B7068"/>
    <w:rsid w:val="005B70BB"/>
    <w:rsid w:val="005B7696"/>
    <w:rsid w:val="005B77B8"/>
    <w:rsid w:val="005B7A63"/>
    <w:rsid w:val="005B7BA7"/>
    <w:rsid w:val="005B7FC4"/>
    <w:rsid w:val="005C0329"/>
    <w:rsid w:val="005C05FF"/>
    <w:rsid w:val="005C090A"/>
    <w:rsid w:val="005C0955"/>
    <w:rsid w:val="005C095A"/>
    <w:rsid w:val="005C0B9F"/>
    <w:rsid w:val="005C11D3"/>
    <w:rsid w:val="005C14CE"/>
    <w:rsid w:val="005C1527"/>
    <w:rsid w:val="005C1797"/>
    <w:rsid w:val="005C179B"/>
    <w:rsid w:val="005C1882"/>
    <w:rsid w:val="005C18F9"/>
    <w:rsid w:val="005C1BE7"/>
    <w:rsid w:val="005C1CF0"/>
    <w:rsid w:val="005C1E54"/>
    <w:rsid w:val="005C203D"/>
    <w:rsid w:val="005C20C6"/>
    <w:rsid w:val="005C234C"/>
    <w:rsid w:val="005C2A9C"/>
    <w:rsid w:val="005C2D21"/>
    <w:rsid w:val="005C2DF6"/>
    <w:rsid w:val="005C30E3"/>
    <w:rsid w:val="005C3393"/>
    <w:rsid w:val="005C343F"/>
    <w:rsid w:val="005C3500"/>
    <w:rsid w:val="005C3672"/>
    <w:rsid w:val="005C3746"/>
    <w:rsid w:val="005C3824"/>
    <w:rsid w:val="005C38A7"/>
    <w:rsid w:val="005C3CC6"/>
    <w:rsid w:val="005C3D2D"/>
    <w:rsid w:val="005C3DB6"/>
    <w:rsid w:val="005C3E17"/>
    <w:rsid w:val="005C3F41"/>
    <w:rsid w:val="005C40C2"/>
    <w:rsid w:val="005C414D"/>
    <w:rsid w:val="005C4411"/>
    <w:rsid w:val="005C49DA"/>
    <w:rsid w:val="005C4AE8"/>
    <w:rsid w:val="005C4B21"/>
    <w:rsid w:val="005C4EFE"/>
    <w:rsid w:val="005C4F10"/>
    <w:rsid w:val="005C4FBC"/>
    <w:rsid w:val="005C50F3"/>
    <w:rsid w:val="005C51B7"/>
    <w:rsid w:val="005C51ED"/>
    <w:rsid w:val="005C54B5"/>
    <w:rsid w:val="005C554F"/>
    <w:rsid w:val="005C55C9"/>
    <w:rsid w:val="005C560B"/>
    <w:rsid w:val="005C56A0"/>
    <w:rsid w:val="005C5C34"/>
    <w:rsid w:val="005C5CC6"/>
    <w:rsid w:val="005C5D80"/>
    <w:rsid w:val="005C5D91"/>
    <w:rsid w:val="005C5E36"/>
    <w:rsid w:val="005C60A4"/>
    <w:rsid w:val="005C61ED"/>
    <w:rsid w:val="005C69C5"/>
    <w:rsid w:val="005C7127"/>
    <w:rsid w:val="005C7237"/>
    <w:rsid w:val="005C7619"/>
    <w:rsid w:val="005C7805"/>
    <w:rsid w:val="005C7848"/>
    <w:rsid w:val="005C7967"/>
    <w:rsid w:val="005C7B28"/>
    <w:rsid w:val="005C7B5A"/>
    <w:rsid w:val="005C7D31"/>
    <w:rsid w:val="005C7DCD"/>
    <w:rsid w:val="005D03D6"/>
    <w:rsid w:val="005D03F6"/>
    <w:rsid w:val="005D07B8"/>
    <w:rsid w:val="005D0ADA"/>
    <w:rsid w:val="005D0DFD"/>
    <w:rsid w:val="005D1209"/>
    <w:rsid w:val="005D17D3"/>
    <w:rsid w:val="005D189A"/>
    <w:rsid w:val="005D18ED"/>
    <w:rsid w:val="005D19AC"/>
    <w:rsid w:val="005D1C6C"/>
    <w:rsid w:val="005D1D92"/>
    <w:rsid w:val="005D1DF5"/>
    <w:rsid w:val="005D20E4"/>
    <w:rsid w:val="005D2385"/>
    <w:rsid w:val="005D24B8"/>
    <w:rsid w:val="005D2691"/>
    <w:rsid w:val="005D2AF2"/>
    <w:rsid w:val="005D2C6B"/>
    <w:rsid w:val="005D2FB4"/>
    <w:rsid w:val="005D3412"/>
    <w:rsid w:val="005D343D"/>
    <w:rsid w:val="005D34AF"/>
    <w:rsid w:val="005D34BF"/>
    <w:rsid w:val="005D35C5"/>
    <w:rsid w:val="005D3704"/>
    <w:rsid w:val="005D3AA6"/>
    <w:rsid w:val="005D3BE8"/>
    <w:rsid w:val="005D3F98"/>
    <w:rsid w:val="005D4622"/>
    <w:rsid w:val="005D48C4"/>
    <w:rsid w:val="005D4A06"/>
    <w:rsid w:val="005D4AEE"/>
    <w:rsid w:val="005D4C96"/>
    <w:rsid w:val="005D4CC1"/>
    <w:rsid w:val="005D4D91"/>
    <w:rsid w:val="005D541C"/>
    <w:rsid w:val="005D5587"/>
    <w:rsid w:val="005D58C9"/>
    <w:rsid w:val="005D5C0B"/>
    <w:rsid w:val="005D5D33"/>
    <w:rsid w:val="005D5F03"/>
    <w:rsid w:val="005D645E"/>
    <w:rsid w:val="005D6597"/>
    <w:rsid w:val="005D6BB4"/>
    <w:rsid w:val="005D6D95"/>
    <w:rsid w:val="005D6E4A"/>
    <w:rsid w:val="005D6F47"/>
    <w:rsid w:val="005D70F0"/>
    <w:rsid w:val="005D718B"/>
    <w:rsid w:val="005D7486"/>
    <w:rsid w:val="005D768F"/>
    <w:rsid w:val="005D77E3"/>
    <w:rsid w:val="005D7F94"/>
    <w:rsid w:val="005E011B"/>
    <w:rsid w:val="005E0122"/>
    <w:rsid w:val="005E05BD"/>
    <w:rsid w:val="005E05C0"/>
    <w:rsid w:val="005E08D5"/>
    <w:rsid w:val="005E0964"/>
    <w:rsid w:val="005E0A07"/>
    <w:rsid w:val="005E0A16"/>
    <w:rsid w:val="005E0BBE"/>
    <w:rsid w:val="005E0EB0"/>
    <w:rsid w:val="005E10AF"/>
    <w:rsid w:val="005E1104"/>
    <w:rsid w:val="005E1111"/>
    <w:rsid w:val="005E14E7"/>
    <w:rsid w:val="005E1512"/>
    <w:rsid w:val="005E163A"/>
    <w:rsid w:val="005E171E"/>
    <w:rsid w:val="005E17E6"/>
    <w:rsid w:val="005E1A80"/>
    <w:rsid w:val="005E1DF8"/>
    <w:rsid w:val="005E20ED"/>
    <w:rsid w:val="005E2550"/>
    <w:rsid w:val="005E26A3"/>
    <w:rsid w:val="005E2BDC"/>
    <w:rsid w:val="005E2BDD"/>
    <w:rsid w:val="005E2CFF"/>
    <w:rsid w:val="005E2E61"/>
    <w:rsid w:val="005E2ECB"/>
    <w:rsid w:val="005E2F82"/>
    <w:rsid w:val="005E3267"/>
    <w:rsid w:val="005E359A"/>
    <w:rsid w:val="005E37A5"/>
    <w:rsid w:val="005E3A0A"/>
    <w:rsid w:val="005E3E02"/>
    <w:rsid w:val="005E3F0B"/>
    <w:rsid w:val="005E41A2"/>
    <w:rsid w:val="005E4371"/>
    <w:rsid w:val="005E4396"/>
    <w:rsid w:val="005E43B9"/>
    <w:rsid w:val="005E447E"/>
    <w:rsid w:val="005E4688"/>
    <w:rsid w:val="005E4C90"/>
    <w:rsid w:val="005E4FD1"/>
    <w:rsid w:val="005E511F"/>
    <w:rsid w:val="005E541D"/>
    <w:rsid w:val="005E581B"/>
    <w:rsid w:val="005E59D3"/>
    <w:rsid w:val="005E5AA6"/>
    <w:rsid w:val="005E5AC2"/>
    <w:rsid w:val="005E5CD5"/>
    <w:rsid w:val="005E6098"/>
    <w:rsid w:val="005E622F"/>
    <w:rsid w:val="005E6514"/>
    <w:rsid w:val="005E65A0"/>
    <w:rsid w:val="005E670F"/>
    <w:rsid w:val="005E6AA6"/>
    <w:rsid w:val="005E6B73"/>
    <w:rsid w:val="005E6DE5"/>
    <w:rsid w:val="005E73E9"/>
    <w:rsid w:val="005E79BD"/>
    <w:rsid w:val="005E7D41"/>
    <w:rsid w:val="005E7F43"/>
    <w:rsid w:val="005F010B"/>
    <w:rsid w:val="005F01D6"/>
    <w:rsid w:val="005F0775"/>
    <w:rsid w:val="005F0B0E"/>
    <w:rsid w:val="005F0CF5"/>
    <w:rsid w:val="005F126E"/>
    <w:rsid w:val="005F1758"/>
    <w:rsid w:val="005F17F7"/>
    <w:rsid w:val="005F188D"/>
    <w:rsid w:val="005F18E4"/>
    <w:rsid w:val="005F1AA6"/>
    <w:rsid w:val="005F21EB"/>
    <w:rsid w:val="005F243A"/>
    <w:rsid w:val="005F2642"/>
    <w:rsid w:val="005F2728"/>
    <w:rsid w:val="005F2795"/>
    <w:rsid w:val="005F294C"/>
    <w:rsid w:val="005F2B45"/>
    <w:rsid w:val="005F2C33"/>
    <w:rsid w:val="005F2C58"/>
    <w:rsid w:val="005F2CD9"/>
    <w:rsid w:val="005F2DCE"/>
    <w:rsid w:val="005F2DF6"/>
    <w:rsid w:val="005F2E3F"/>
    <w:rsid w:val="005F2E41"/>
    <w:rsid w:val="005F2EC0"/>
    <w:rsid w:val="005F321F"/>
    <w:rsid w:val="005F3432"/>
    <w:rsid w:val="005F3684"/>
    <w:rsid w:val="005F3E9C"/>
    <w:rsid w:val="005F4002"/>
    <w:rsid w:val="005F400E"/>
    <w:rsid w:val="005F4126"/>
    <w:rsid w:val="005F4133"/>
    <w:rsid w:val="005F4233"/>
    <w:rsid w:val="005F424B"/>
    <w:rsid w:val="005F4397"/>
    <w:rsid w:val="005F44C0"/>
    <w:rsid w:val="005F45F3"/>
    <w:rsid w:val="005F46E0"/>
    <w:rsid w:val="005F4744"/>
    <w:rsid w:val="005F4792"/>
    <w:rsid w:val="005F4B7C"/>
    <w:rsid w:val="005F4B7E"/>
    <w:rsid w:val="005F4FE1"/>
    <w:rsid w:val="005F5154"/>
    <w:rsid w:val="005F5270"/>
    <w:rsid w:val="005F534F"/>
    <w:rsid w:val="005F5376"/>
    <w:rsid w:val="005F5535"/>
    <w:rsid w:val="005F5579"/>
    <w:rsid w:val="005F5AAA"/>
    <w:rsid w:val="005F5C7C"/>
    <w:rsid w:val="005F5CF2"/>
    <w:rsid w:val="005F5E0D"/>
    <w:rsid w:val="005F5FC4"/>
    <w:rsid w:val="005F6138"/>
    <w:rsid w:val="005F61F8"/>
    <w:rsid w:val="005F63AF"/>
    <w:rsid w:val="005F63C1"/>
    <w:rsid w:val="005F64CF"/>
    <w:rsid w:val="005F65DF"/>
    <w:rsid w:val="005F6651"/>
    <w:rsid w:val="005F680E"/>
    <w:rsid w:val="005F6888"/>
    <w:rsid w:val="005F6D63"/>
    <w:rsid w:val="005F6F1C"/>
    <w:rsid w:val="005F7051"/>
    <w:rsid w:val="005F740F"/>
    <w:rsid w:val="005F7746"/>
    <w:rsid w:val="005F78CE"/>
    <w:rsid w:val="005F79E5"/>
    <w:rsid w:val="005F7B07"/>
    <w:rsid w:val="005F7BF4"/>
    <w:rsid w:val="005F7D76"/>
    <w:rsid w:val="005F7DAF"/>
    <w:rsid w:val="00600051"/>
    <w:rsid w:val="006000FD"/>
    <w:rsid w:val="00600DB5"/>
    <w:rsid w:val="00600E6D"/>
    <w:rsid w:val="00600E70"/>
    <w:rsid w:val="00600F3F"/>
    <w:rsid w:val="00600F4D"/>
    <w:rsid w:val="00601381"/>
    <w:rsid w:val="006018A8"/>
    <w:rsid w:val="006018F6"/>
    <w:rsid w:val="00601C80"/>
    <w:rsid w:val="00601DAD"/>
    <w:rsid w:val="0060207C"/>
    <w:rsid w:val="006021D7"/>
    <w:rsid w:val="0060225E"/>
    <w:rsid w:val="006022B2"/>
    <w:rsid w:val="006026B4"/>
    <w:rsid w:val="0060270F"/>
    <w:rsid w:val="0060279D"/>
    <w:rsid w:val="00602E8A"/>
    <w:rsid w:val="00602E91"/>
    <w:rsid w:val="00602F00"/>
    <w:rsid w:val="00602F1C"/>
    <w:rsid w:val="006036E4"/>
    <w:rsid w:val="006039FE"/>
    <w:rsid w:val="00603F26"/>
    <w:rsid w:val="00603F27"/>
    <w:rsid w:val="006041AD"/>
    <w:rsid w:val="006045B2"/>
    <w:rsid w:val="006045C9"/>
    <w:rsid w:val="00604D94"/>
    <w:rsid w:val="0060523B"/>
    <w:rsid w:val="00605244"/>
    <w:rsid w:val="006052DA"/>
    <w:rsid w:val="00605908"/>
    <w:rsid w:val="0060592D"/>
    <w:rsid w:val="00605A50"/>
    <w:rsid w:val="00605B9C"/>
    <w:rsid w:val="006060BF"/>
    <w:rsid w:val="006065E5"/>
    <w:rsid w:val="006069BA"/>
    <w:rsid w:val="00606B2C"/>
    <w:rsid w:val="00606FAA"/>
    <w:rsid w:val="0060718E"/>
    <w:rsid w:val="006071C7"/>
    <w:rsid w:val="0060750B"/>
    <w:rsid w:val="0060764D"/>
    <w:rsid w:val="00607850"/>
    <w:rsid w:val="006079A8"/>
    <w:rsid w:val="00607A20"/>
    <w:rsid w:val="00607EF7"/>
    <w:rsid w:val="006101ED"/>
    <w:rsid w:val="006103B5"/>
    <w:rsid w:val="00610627"/>
    <w:rsid w:val="00610935"/>
    <w:rsid w:val="00610B9B"/>
    <w:rsid w:val="00610D7C"/>
    <w:rsid w:val="00610DAC"/>
    <w:rsid w:val="006111D1"/>
    <w:rsid w:val="0061164E"/>
    <w:rsid w:val="00611872"/>
    <w:rsid w:val="00611A19"/>
    <w:rsid w:val="00611C49"/>
    <w:rsid w:val="00611E53"/>
    <w:rsid w:val="00612026"/>
    <w:rsid w:val="00612204"/>
    <w:rsid w:val="006123D6"/>
    <w:rsid w:val="0061258C"/>
    <w:rsid w:val="006127BD"/>
    <w:rsid w:val="0061285C"/>
    <w:rsid w:val="006128E2"/>
    <w:rsid w:val="00612957"/>
    <w:rsid w:val="00612BBB"/>
    <w:rsid w:val="00613105"/>
    <w:rsid w:val="00613414"/>
    <w:rsid w:val="0061346A"/>
    <w:rsid w:val="0061350E"/>
    <w:rsid w:val="006138EE"/>
    <w:rsid w:val="00613A5A"/>
    <w:rsid w:val="00613CF0"/>
    <w:rsid w:val="00613F32"/>
    <w:rsid w:val="0061423A"/>
    <w:rsid w:val="006143CE"/>
    <w:rsid w:val="00614A5C"/>
    <w:rsid w:val="00614D4C"/>
    <w:rsid w:val="00614D9B"/>
    <w:rsid w:val="00614EF4"/>
    <w:rsid w:val="00614F78"/>
    <w:rsid w:val="00615612"/>
    <w:rsid w:val="00615E0A"/>
    <w:rsid w:val="006160D1"/>
    <w:rsid w:val="006165BA"/>
    <w:rsid w:val="006166E8"/>
    <w:rsid w:val="00616734"/>
    <w:rsid w:val="00616810"/>
    <w:rsid w:val="00616974"/>
    <w:rsid w:val="00616C4C"/>
    <w:rsid w:val="00616D94"/>
    <w:rsid w:val="00616E86"/>
    <w:rsid w:val="00617097"/>
    <w:rsid w:val="0061711C"/>
    <w:rsid w:val="00617188"/>
    <w:rsid w:val="00617337"/>
    <w:rsid w:val="00617430"/>
    <w:rsid w:val="006177FD"/>
    <w:rsid w:val="0062000D"/>
    <w:rsid w:val="00620018"/>
    <w:rsid w:val="00620025"/>
    <w:rsid w:val="00620058"/>
    <w:rsid w:val="00620154"/>
    <w:rsid w:val="00620281"/>
    <w:rsid w:val="006202DD"/>
    <w:rsid w:val="00620669"/>
    <w:rsid w:val="0062067B"/>
    <w:rsid w:val="0062093F"/>
    <w:rsid w:val="00620997"/>
    <w:rsid w:val="00620E73"/>
    <w:rsid w:val="00620F33"/>
    <w:rsid w:val="00620FDD"/>
    <w:rsid w:val="0062143C"/>
    <w:rsid w:val="006219F2"/>
    <w:rsid w:val="00621A98"/>
    <w:rsid w:val="00621C2E"/>
    <w:rsid w:val="00621C58"/>
    <w:rsid w:val="00621E68"/>
    <w:rsid w:val="00621F71"/>
    <w:rsid w:val="00622230"/>
    <w:rsid w:val="00622456"/>
    <w:rsid w:val="006224CF"/>
    <w:rsid w:val="006227F7"/>
    <w:rsid w:val="00622959"/>
    <w:rsid w:val="00622B0A"/>
    <w:rsid w:val="00622D10"/>
    <w:rsid w:val="00622D93"/>
    <w:rsid w:val="00622F2B"/>
    <w:rsid w:val="00622FC8"/>
    <w:rsid w:val="006232C1"/>
    <w:rsid w:val="0062345C"/>
    <w:rsid w:val="00623520"/>
    <w:rsid w:val="00623B69"/>
    <w:rsid w:val="00623EBE"/>
    <w:rsid w:val="0062408D"/>
    <w:rsid w:val="006240CC"/>
    <w:rsid w:val="006240D1"/>
    <w:rsid w:val="0062424C"/>
    <w:rsid w:val="0062453F"/>
    <w:rsid w:val="006245C2"/>
    <w:rsid w:val="00624940"/>
    <w:rsid w:val="00624D54"/>
    <w:rsid w:val="00624E19"/>
    <w:rsid w:val="006252B2"/>
    <w:rsid w:val="0062538F"/>
    <w:rsid w:val="006254F8"/>
    <w:rsid w:val="00625623"/>
    <w:rsid w:val="006258B4"/>
    <w:rsid w:val="006258CA"/>
    <w:rsid w:val="006258E0"/>
    <w:rsid w:val="006259E0"/>
    <w:rsid w:val="00625A55"/>
    <w:rsid w:val="00626124"/>
    <w:rsid w:val="00626A6E"/>
    <w:rsid w:val="00626BE3"/>
    <w:rsid w:val="00626F7C"/>
    <w:rsid w:val="00627597"/>
    <w:rsid w:val="00627698"/>
    <w:rsid w:val="006279B8"/>
    <w:rsid w:val="00627D01"/>
    <w:rsid w:val="00627DA7"/>
    <w:rsid w:val="006304CD"/>
    <w:rsid w:val="0063060C"/>
    <w:rsid w:val="0063063A"/>
    <w:rsid w:val="00630847"/>
    <w:rsid w:val="00630919"/>
    <w:rsid w:val="0063094A"/>
    <w:rsid w:val="00630A83"/>
    <w:rsid w:val="00630A8E"/>
    <w:rsid w:val="00630AE0"/>
    <w:rsid w:val="00630C85"/>
    <w:rsid w:val="00630DA4"/>
    <w:rsid w:val="00630DA5"/>
    <w:rsid w:val="00630F26"/>
    <w:rsid w:val="00631130"/>
    <w:rsid w:val="006312B9"/>
    <w:rsid w:val="006312F7"/>
    <w:rsid w:val="00631649"/>
    <w:rsid w:val="00631865"/>
    <w:rsid w:val="006319C7"/>
    <w:rsid w:val="00631A16"/>
    <w:rsid w:val="00631CD4"/>
    <w:rsid w:val="0063209F"/>
    <w:rsid w:val="006320A6"/>
    <w:rsid w:val="006321DF"/>
    <w:rsid w:val="00632597"/>
    <w:rsid w:val="00632773"/>
    <w:rsid w:val="00632861"/>
    <w:rsid w:val="0063295D"/>
    <w:rsid w:val="00632B72"/>
    <w:rsid w:val="00632C6A"/>
    <w:rsid w:val="00632DDD"/>
    <w:rsid w:val="0063311D"/>
    <w:rsid w:val="0063320C"/>
    <w:rsid w:val="006335B6"/>
    <w:rsid w:val="00633630"/>
    <w:rsid w:val="0063396C"/>
    <w:rsid w:val="006340F9"/>
    <w:rsid w:val="00634746"/>
    <w:rsid w:val="00634BBC"/>
    <w:rsid w:val="00634D13"/>
    <w:rsid w:val="00634FA6"/>
    <w:rsid w:val="00635178"/>
    <w:rsid w:val="006351EE"/>
    <w:rsid w:val="0063540F"/>
    <w:rsid w:val="006357D2"/>
    <w:rsid w:val="006358B4"/>
    <w:rsid w:val="00635C92"/>
    <w:rsid w:val="00635DBC"/>
    <w:rsid w:val="0063620F"/>
    <w:rsid w:val="0063632B"/>
    <w:rsid w:val="00636361"/>
    <w:rsid w:val="00636879"/>
    <w:rsid w:val="00636DFA"/>
    <w:rsid w:val="00637033"/>
    <w:rsid w:val="006370E3"/>
    <w:rsid w:val="0063713F"/>
    <w:rsid w:val="006374B7"/>
    <w:rsid w:val="0063795E"/>
    <w:rsid w:val="00637D86"/>
    <w:rsid w:val="00640086"/>
    <w:rsid w:val="00640267"/>
    <w:rsid w:val="0064032E"/>
    <w:rsid w:val="00640571"/>
    <w:rsid w:val="00640572"/>
    <w:rsid w:val="006407D8"/>
    <w:rsid w:val="00640B19"/>
    <w:rsid w:val="00640B61"/>
    <w:rsid w:val="00640CBF"/>
    <w:rsid w:val="00640CEE"/>
    <w:rsid w:val="0064132F"/>
    <w:rsid w:val="006413E8"/>
    <w:rsid w:val="00641491"/>
    <w:rsid w:val="006415C0"/>
    <w:rsid w:val="00641724"/>
    <w:rsid w:val="006419AA"/>
    <w:rsid w:val="00641BE7"/>
    <w:rsid w:val="00641FAF"/>
    <w:rsid w:val="00641FC9"/>
    <w:rsid w:val="006420F9"/>
    <w:rsid w:val="006421E5"/>
    <w:rsid w:val="0064251C"/>
    <w:rsid w:val="006425D1"/>
    <w:rsid w:val="006427E9"/>
    <w:rsid w:val="006427FC"/>
    <w:rsid w:val="00642B91"/>
    <w:rsid w:val="00642FB1"/>
    <w:rsid w:val="006430FF"/>
    <w:rsid w:val="00643160"/>
    <w:rsid w:val="00643615"/>
    <w:rsid w:val="00643729"/>
    <w:rsid w:val="00643BFC"/>
    <w:rsid w:val="00643D35"/>
    <w:rsid w:val="00643E63"/>
    <w:rsid w:val="00643EFA"/>
    <w:rsid w:val="006440E7"/>
    <w:rsid w:val="0064424D"/>
    <w:rsid w:val="006443C3"/>
    <w:rsid w:val="006443EA"/>
    <w:rsid w:val="00644780"/>
    <w:rsid w:val="00644B1F"/>
    <w:rsid w:val="00644B7E"/>
    <w:rsid w:val="00644C2B"/>
    <w:rsid w:val="006450F9"/>
    <w:rsid w:val="0064529E"/>
    <w:rsid w:val="006453CC"/>
    <w:rsid w:val="006454E6"/>
    <w:rsid w:val="006456B5"/>
    <w:rsid w:val="00645A8B"/>
    <w:rsid w:val="00645F1B"/>
    <w:rsid w:val="00645F69"/>
    <w:rsid w:val="00646235"/>
    <w:rsid w:val="00646A68"/>
    <w:rsid w:val="00647347"/>
    <w:rsid w:val="0064747A"/>
    <w:rsid w:val="00647485"/>
    <w:rsid w:val="006477C8"/>
    <w:rsid w:val="006477F8"/>
    <w:rsid w:val="0064787F"/>
    <w:rsid w:val="00647A82"/>
    <w:rsid w:val="0065015A"/>
    <w:rsid w:val="006505BD"/>
    <w:rsid w:val="006505CA"/>
    <w:rsid w:val="006508EA"/>
    <w:rsid w:val="00650923"/>
    <w:rsid w:val="0065092E"/>
    <w:rsid w:val="00650988"/>
    <w:rsid w:val="00650AD7"/>
    <w:rsid w:val="00650BD2"/>
    <w:rsid w:val="00650C3E"/>
    <w:rsid w:val="00650EB3"/>
    <w:rsid w:val="00650F62"/>
    <w:rsid w:val="00650FAD"/>
    <w:rsid w:val="006511DD"/>
    <w:rsid w:val="00651221"/>
    <w:rsid w:val="00651597"/>
    <w:rsid w:val="00651897"/>
    <w:rsid w:val="00651B28"/>
    <w:rsid w:val="0065201E"/>
    <w:rsid w:val="00652709"/>
    <w:rsid w:val="00652B8A"/>
    <w:rsid w:val="006530DF"/>
    <w:rsid w:val="0065353B"/>
    <w:rsid w:val="0065360B"/>
    <w:rsid w:val="006537B9"/>
    <w:rsid w:val="00653AC4"/>
    <w:rsid w:val="00653DC3"/>
    <w:rsid w:val="00653F84"/>
    <w:rsid w:val="00654086"/>
    <w:rsid w:val="006546D4"/>
    <w:rsid w:val="00654977"/>
    <w:rsid w:val="00654998"/>
    <w:rsid w:val="00654B88"/>
    <w:rsid w:val="00654C66"/>
    <w:rsid w:val="00654C70"/>
    <w:rsid w:val="00654DD5"/>
    <w:rsid w:val="0065508F"/>
    <w:rsid w:val="006553F5"/>
    <w:rsid w:val="006555CE"/>
    <w:rsid w:val="0065568C"/>
    <w:rsid w:val="006556BA"/>
    <w:rsid w:val="006557A7"/>
    <w:rsid w:val="00655AE1"/>
    <w:rsid w:val="00655E36"/>
    <w:rsid w:val="00655F12"/>
    <w:rsid w:val="00656290"/>
    <w:rsid w:val="0065629D"/>
    <w:rsid w:val="006565C1"/>
    <w:rsid w:val="0065684C"/>
    <w:rsid w:val="00656905"/>
    <w:rsid w:val="00656D91"/>
    <w:rsid w:val="00657489"/>
    <w:rsid w:val="00657508"/>
    <w:rsid w:val="00657801"/>
    <w:rsid w:val="0065781D"/>
    <w:rsid w:val="00657A44"/>
    <w:rsid w:val="00657CC1"/>
    <w:rsid w:val="00657DC6"/>
    <w:rsid w:val="00657DE7"/>
    <w:rsid w:val="00657E2D"/>
    <w:rsid w:val="00660101"/>
    <w:rsid w:val="006601C9"/>
    <w:rsid w:val="0066027E"/>
    <w:rsid w:val="0066049F"/>
    <w:rsid w:val="006604F4"/>
    <w:rsid w:val="00660764"/>
    <w:rsid w:val="006607E2"/>
    <w:rsid w:val="00660836"/>
    <w:rsid w:val="00660890"/>
    <w:rsid w:val="006608D8"/>
    <w:rsid w:val="00660992"/>
    <w:rsid w:val="00660C07"/>
    <w:rsid w:val="00660E13"/>
    <w:rsid w:val="00660F43"/>
    <w:rsid w:val="00660FE3"/>
    <w:rsid w:val="006614B2"/>
    <w:rsid w:val="00661B4B"/>
    <w:rsid w:val="00661D55"/>
    <w:rsid w:val="00661DA9"/>
    <w:rsid w:val="00661DB6"/>
    <w:rsid w:val="006620E7"/>
    <w:rsid w:val="006621D7"/>
    <w:rsid w:val="00662440"/>
    <w:rsid w:val="0066290A"/>
    <w:rsid w:val="0066299C"/>
    <w:rsid w:val="00662E1A"/>
    <w:rsid w:val="00662FE7"/>
    <w:rsid w:val="0066302A"/>
    <w:rsid w:val="0066353F"/>
    <w:rsid w:val="0066388E"/>
    <w:rsid w:val="006639C0"/>
    <w:rsid w:val="00663C0D"/>
    <w:rsid w:val="00663E50"/>
    <w:rsid w:val="00663EA8"/>
    <w:rsid w:val="006642EE"/>
    <w:rsid w:val="00664458"/>
    <w:rsid w:val="0066445E"/>
    <w:rsid w:val="00664479"/>
    <w:rsid w:val="006644CF"/>
    <w:rsid w:val="006646F6"/>
    <w:rsid w:val="006647AA"/>
    <w:rsid w:val="00664DA9"/>
    <w:rsid w:val="00664E4D"/>
    <w:rsid w:val="00665D9B"/>
    <w:rsid w:val="0066630F"/>
    <w:rsid w:val="00666700"/>
    <w:rsid w:val="00666A06"/>
    <w:rsid w:val="00666AB9"/>
    <w:rsid w:val="00666CAF"/>
    <w:rsid w:val="00666D63"/>
    <w:rsid w:val="00666E9D"/>
    <w:rsid w:val="00666ECE"/>
    <w:rsid w:val="00666F68"/>
    <w:rsid w:val="0066702E"/>
    <w:rsid w:val="006671E6"/>
    <w:rsid w:val="0066731C"/>
    <w:rsid w:val="006674BE"/>
    <w:rsid w:val="00667770"/>
    <w:rsid w:val="006677EB"/>
    <w:rsid w:val="00667D86"/>
    <w:rsid w:val="00667FAB"/>
    <w:rsid w:val="00670135"/>
    <w:rsid w:val="0067044D"/>
    <w:rsid w:val="00670597"/>
    <w:rsid w:val="006706D0"/>
    <w:rsid w:val="00670868"/>
    <w:rsid w:val="00670BB6"/>
    <w:rsid w:val="00670BBA"/>
    <w:rsid w:val="00671021"/>
    <w:rsid w:val="006710ED"/>
    <w:rsid w:val="00671840"/>
    <w:rsid w:val="00671842"/>
    <w:rsid w:val="006718B9"/>
    <w:rsid w:val="00671DCC"/>
    <w:rsid w:val="00671E43"/>
    <w:rsid w:val="006721B1"/>
    <w:rsid w:val="0067224E"/>
    <w:rsid w:val="006722A7"/>
    <w:rsid w:val="00672822"/>
    <w:rsid w:val="0067297F"/>
    <w:rsid w:val="00672A05"/>
    <w:rsid w:val="00672ACC"/>
    <w:rsid w:val="00672B1D"/>
    <w:rsid w:val="00672DFE"/>
    <w:rsid w:val="00673094"/>
    <w:rsid w:val="0067356F"/>
    <w:rsid w:val="006737BE"/>
    <w:rsid w:val="00673A5D"/>
    <w:rsid w:val="00673B73"/>
    <w:rsid w:val="00673C72"/>
    <w:rsid w:val="00673DCF"/>
    <w:rsid w:val="00674B1C"/>
    <w:rsid w:val="00674C80"/>
    <w:rsid w:val="00674D7A"/>
    <w:rsid w:val="00674D9D"/>
    <w:rsid w:val="00675102"/>
    <w:rsid w:val="0067549A"/>
    <w:rsid w:val="0067565D"/>
    <w:rsid w:val="00675BFF"/>
    <w:rsid w:val="00675CA0"/>
    <w:rsid w:val="00675DA9"/>
    <w:rsid w:val="00675E40"/>
    <w:rsid w:val="00675EBA"/>
    <w:rsid w:val="00675FAA"/>
    <w:rsid w:val="0067618B"/>
    <w:rsid w:val="006761C6"/>
    <w:rsid w:val="00676733"/>
    <w:rsid w:val="00676A85"/>
    <w:rsid w:val="00676AA7"/>
    <w:rsid w:val="00676B56"/>
    <w:rsid w:val="00676B60"/>
    <w:rsid w:val="00676C3F"/>
    <w:rsid w:val="00676FE2"/>
    <w:rsid w:val="00677444"/>
    <w:rsid w:val="006774B3"/>
    <w:rsid w:val="00677574"/>
    <w:rsid w:val="006779CD"/>
    <w:rsid w:val="00677A27"/>
    <w:rsid w:val="00677A81"/>
    <w:rsid w:val="00677B37"/>
    <w:rsid w:val="00677BC2"/>
    <w:rsid w:val="00677E24"/>
    <w:rsid w:val="00677F88"/>
    <w:rsid w:val="00680014"/>
    <w:rsid w:val="00680082"/>
    <w:rsid w:val="00680103"/>
    <w:rsid w:val="0068039D"/>
    <w:rsid w:val="00680525"/>
    <w:rsid w:val="00680A18"/>
    <w:rsid w:val="00680DD4"/>
    <w:rsid w:val="00680E8E"/>
    <w:rsid w:val="0068123C"/>
    <w:rsid w:val="006812D4"/>
    <w:rsid w:val="006812ED"/>
    <w:rsid w:val="00681324"/>
    <w:rsid w:val="0068133D"/>
    <w:rsid w:val="006816B6"/>
    <w:rsid w:val="00681811"/>
    <w:rsid w:val="006818E9"/>
    <w:rsid w:val="00681A3F"/>
    <w:rsid w:val="006823BA"/>
    <w:rsid w:val="0068264E"/>
    <w:rsid w:val="00682757"/>
    <w:rsid w:val="00682CD7"/>
    <w:rsid w:val="00682DB6"/>
    <w:rsid w:val="00683090"/>
    <w:rsid w:val="00683278"/>
    <w:rsid w:val="006833C8"/>
    <w:rsid w:val="00683414"/>
    <w:rsid w:val="00683878"/>
    <w:rsid w:val="00683BE8"/>
    <w:rsid w:val="00684148"/>
    <w:rsid w:val="006841CB"/>
    <w:rsid w:val="00684380"/>
    <w:rsid w:val="006843AB"/>
    <w:rsid w:val="0068454C"/>
    <w:rsid w:val="0068497B"/>
    <w:rsid w:val="00684F6B"/>
    <w:rsid w:val="0068509B"/>
    <w:rsid w:val="006853D4"/>
    <w:rsid w:val="00685405"/>
    <w:rsid w:val="00685560"/>
    <w:rsid w:val="0068578B"/>
    <w:rsid w:val="00685C84"/>
    <w:rsid w:val="00685D37"/>
    <w:rsid w:val="00685DC7"/>
    <w:rsid w:val="00686211"/>
    <w:rsid w:val="006865C6"/>
    <w:rsid w:val="006866C7"/>
    <w:rsid w:val="0068677F"/>
    <w:rsid w:val="006867A7"/>
    <w:rsid w:val="006868FA"/>
    <w:rsid w:val="00686D27"/>
    <w:rsid w:val="00686EB2"/>
    <w:rsid w:val="00687280"/>
    <w:rsid w:val="00687498"/>
    <w:rsid w:val="006875B7"/>
    <w:rsid w:val="006876B6"/>
    <w:rsid w:val="0068778E"/>
    <w:rsid w:val="00687796"/>
    <w:rsid w:val="00687C2C"/>
    <w:rsid w:val="00687DB5"/>
    <w:rsid w:val="00687E50"/>
    <w:rsid w:val="00687E9E"/>
    <w:rsid w:val="00690707"/>
    <w:rsid w:val="0069070C"/>
    <w:rsid w:val="006908F8"/>
    <w:rsid w:val="00690A13"/>
    <w:rsid w:val="00690A58"/>
    <w:rsid w:val="00690A5D"/>
    <w:rsid w:val="00690C9C"/>
    <w:rsid w:val="00690EC6"/>
    <w:rsid w:val="00690F6E"/>
    <w:rsid w:val="0069108F"/>
    <w:rsid w:val="0069145B"/>
    <w:rsid w:val="00691B62"/>
    <w:rsid w:val="00691CB4"/>
    <w:rsid w:val="00691DBD"/>
    <w:rsid w:val="00691E09"/>
    <w:rsid w:val="00691E56"/>
    <w:rsid w:val="00691FB6"/>
    <w:rsid w:val="00692214"/>
    <w:rsid w:val="006929A5"/>
    <w:rsid w:val="00692C65"/>
    <w:rsid w:val="00692DDD"/>
    <w:rsid w:val="00693239"/>
    <w:rsid w:val="006933B5"/>
    <w:rsid w:val="00693824"/>
    <w:rsid w:val="00693840"/>
    <w:rsid w:val="00693888"/>
    <w:rsid w:val="00693D14"/>
    <w:rsid w:val="00693FE3"/>
    <w:rsid w:val="00694052"/>
    <w:rsid w:val="00694221"/>
    <w:rsid w:val="00694254"/>
    <w:rsid w:val="0069445C"/>
    <w:rsid w:val="006944DE"/>
    <w:rsid w:val="00694613"/>
    <w:rsid w:val="006946E9"/>
    <w:rsid w:val="00694723"/>
    <w:rsid w:val="00694915"/>
    <w:rsid w:val="006949D2"/>
    <w:rsid w:val="00694A88"/>
    <w:rsid w:val="00694D9B"/>
    <w:rsid w:val="00694DAE"/>
    <w:rsid w:val="00694E1C"/>
    <w:rsid w:val="006953EB"/>
    <w:rsid w:val="00695BB1"/>
    <w:rsid w:val="00696050"/>
    <w:rsid w:val="00696125"/>
    <w:rsid w:val="0069631D"/>
    <w:rsid w:val="0069678C"/>
    <w:rsid w:val="00696AA7"/>
    <w:rsid w:val="00696B15"/>
    <w:rsid w:val="00696D0C"/>
    <w:rsid w:val="00696F27"/>
    <w:rsid w:val="006971A3"/>
    <w:rsid w:val="0069743C"/>
    <w:rsid w:val="00697469"/>
    <w:rsid w:val="0069749A"/>
    <w:rsid w:val="0069767E"/>
    <w:rsid w:val="006976AA"/>
    <w:rsid w:val="006976AF"/>
    <w:rsid w:val="006977D1"/>
    <w:rsid w:val="006979D5"/>
    <w:rsid w:val="00697BFD"/>
    <w:rsid w:val="00697DCC"/>
    <w:rsid w:val="00697F6E"/>
    <w:rsid w:val="006A0121"/>
    <w:rsid w:val="006A02CD"/>
    <w:rsid w:val="006A05BF"/>
    <w:rsid w:val="006A0AFF"/>
    <w:rsid w:val="006A0C2C"/>
    <w:rsid w:val="006A0E37"/>
    <w:rsid w:val="006A0FFD"/>
    <w:rsid w:val="006A1068"/>
    <w:rsid w:val="006A1486"/>
    <w:rsid w:val="006A14F1"/>
    <w:rsid w:val="006A1548"/>
    <w:rsid w:val="006A1712"/>
    <w:rsid w:val="006A1806"/>
    <w:rsid w:val="006A18C2"/>
    <w:rsid w:val="006A1AEA"/>
    <w:rsid w:val="006A1EA8"/>
    <w:rsid w:val="006A1FFC"/>
    <w:rsid w:val="006A2153"/>
    <w:rsid w:val="006A2519"/>
    <w:rsid w:val="006A2558"/>
    <w:rsid w:val="006A2604"/>
    <w:rsid w:val="006A2687"/>
    <w:rsid w:val="006A2B04"/>
    <w:rsid w:val="006A2B64"/>
    <w:rsid w:val="006A2BAC"/>
    <w:rsid w:val="006A2FE7"/>
    <w:rsid w:val="006A3383"/>
    <w:rsid w:val="006A3479"/>
    <w:rsid w:val="006A34CD"/>
    <w:rsid w:val="006A36D4"/>
    <w:rsid w:val="006A3741"/>
    <w:rsid w:val="006A3AA2"/>
    <w:rsid w:val="006A4161"/>
    <w:rsid w:val="006A41CE"/>
    <w:rsid w:val="006A42C4"/>
    <w:rsid w:val="006A45B0"/>
    <w:rsid w:val="006A46B4"/>
    <w:rsid w:val="006A4810"/>
    <w:rsid w:val="006A49E8"/>
    <w:rsid w:val="006A4B16"/>
    <w:rsid w:val="006A4C14"/>
    <w:rsid w:val="006A4D7D"/>
    <w:rsid w:val="006A501F"/>
    <w:rsid w:val="006A50C7"/>
    <w:rsid w:val="006A5320"/>
    <w:rsid w:val="006A53CC"/>
    <w:rsid w:val="006A5429"/>
    <w:rsid w:val="006A560E"/>
    <w:rsid w:val="006A57CF"/>
    <w:rsid w:val="006A5900"/>
    <w:rsid w:val="006A5C8B"/>
    <w:rsid w:val="006A5CFB"/>
    <w:rsid w:val="006A6045"/>
    <w:rsid w:val="006A62DC"/>
    <w:rsid w:val="006A63AF"/>
    <w:rsid w:val="006A658E"/>
    <w:rsid w:val="006A72E4"/>
    <w:rsid w:val="006A7BC3"/>
    <w:rsid w:val="006A7C28"/>
    <w:rsid w:val="006B00F5"/>
    <w:rsid w:val="006B0585"/>
    <w:rsid w:val="006B077C"/>
    <w:rsid w:val="006B0819"/>
    <w:rsid w:val="006B0F5C"/>
    <w:rsid w:val="006B1258"/>
    <w:rsid w:val="006B13B9"/>
    <w:rsid w:val="006B15E1"/>
    <w:rsid w:val="006B1A55"/>
    <w:rsid w:val="006B1ADD"/>
    <w:rsid w:val="006B1E01"/>
    <w:rsid w:val="006B2097"/>
    <w:rsid w:val="006B2191"/>
    <w:rsid w:val="006B21B9"/>
    <w:rsid w:val="006B22E2"/>
    <w:rsid w:val="006B2699"/>
    <w:rsid w:val="006B2CEE"/>
    <w:rsid w:val="006B30C3"/>
    <w:rsid w:val="006B3144"/>
    <w:rsid w:val="006B342D"/>
    <w:rsid w:val="006B35D1"/>
    <w:rsid w:val="006B375F"/>
    <w:rsid w:val="006B3D6A"/>
    <w:rsid w:val="006B3E83"/>
    <w:rsid w:val="006B4115"/>
    <w:rsid w:val="006B4617"/>
    <w:rsid w:val="006B4683"/>
    <w:rsid w:val="006B472E"/>
    <w:rsid w:val="006B48A2"/>
    <w:rsid w:val="006B4921"/>
    <w:rsid w:val="006B4B18"/>
    <w:rsid w:val="006B4DA1"/>
    <w:rsid w:val="006B520F"/>
    <w:rsid w:val="006B5559"/>
    <w:rsid w:val="006B5596"/>
    <w:rsid w:val="006B56F4"/>
    <w:rsid w:val="006B5DC8"/>
    <w:rsid w:val="006B5F54"/>
    <w:rsid w:val="006B6056"/>
    <w:rsid w:val="006B60A4"/>
    <w:rsid w:val="006B6803"/>
    <w:rsid w:val="006B6BA2"/>
    <w:rsid w:val="006B71F6"/>
    <w:rsid w:val="006B7785"/>
    <w:rsid w:val="006B7A17"/>
    <w:rsid w:val="006B7B68"/>
    <w:rsid w:val="006B7F81"/>
    <w:rsid w:val="006C0114"/>
    <w:rsid w:val="006C013D"/>
    <w:rsid w:val="006C02A4"/>
    <w:rsid w:val="006C0619"/>
    <w:rsid w:val="006C0646"/>
    <w:rsid w:val="006C06B4"/>
    <w:rsid w:val="006C078A"/>
    <w:rsid w:val="006C09BD"/>
    <w:rsid w:val="006C0FA6"/>
    <w:rsid w:val="006C118A"/>
    <w:rsid w:val="006C125E"/>
    <w:rsid w:val="006C1301"/>
    <w:rsid w:val="006C1411"/>
    <w:rsid w:val="006C1535"/>
    <w:rsid w:val="006C17C3"/>
    <w:rsid w:val="006C187C"/>
    <w:rsid w:val="006C1DAB"/>
    <w:rsid w:val="006C1F6A"/>
    <w:rsid w:val="006C2020"/>
    <w:rsid w:val="006C209D"/>
    <w:rsid w:val="006C2293"/>
    <w:rsid w:val="006C235E"/>
    <w:rsid w:val="006C2571"/>
    <w:rsid w:val="006C27A2"/>
    <w:rsid w:val="006C281B"/>
    <w:rsid w:val="006C29DA"/>
    <w:rsid w:val="006C2D83"/>
    <w:rsid w:val="006C2E51"/>
    <w:rsid w:val="006C3237"/>
    <w:rsid w:val="006C3268"/>
    <w:rsid w:val="006C32CD"/>
    <w:rsid w:val="006C3417"/>
    <w:rsid w:val="006C359B"/>
    <w:rsid w:val="006C361B"/>
    <w:rsid w:val="006C3A6D"/>
    <w:rsid w:val="006C3AE3"/>
    <w:rsid w:val="006C3B67"/>
    <w:rsid w:val="006C3FB1"/>
    <w:rsid w:val="006C4098"/>
    <w:rsid w:val="006C416C"/>
    <w:rsid w:val="006C4487"/>
    <w:rsid w:val="006C46E9"/>
    <w:rsid w:val="006C4C2D"/>
    <w:rsid w:val="006C4C6D"/>
    <w:rsid w:val="006C4DCF"/>
    <w:rsid w:val="006C5140"/>
    <w:rsid w:val="006C518E"/>
    <w:rsid w:val="006C51EC"/>
    <w:rsid w:val="006C54D1"/>
    <w:rsid w:val="006C5894"/>
    <w:rsid w:val="006C58F7"/>
    <w:rsid w:val="006C5925"/>
    <w:rsid w:val="006C5A63"/>
    <w:rsid w:val="006C5AF1"/>
    <w:rsid w:val="006C6930"/>
    <w:rsid w:val="006C6CF1"/>
    <w:rsid w:val="006C6E4C"/>
    <w:rsid w:val="006C6FBF"/>
    <w:rsid w:val="006C70D3"/>
    <w:rsid w:val="006C7202"/>
    <w:rsid w:val="006C7613"/>
    <w:rsid w:val="006C782D"/>
    <w:rsid w:val="006C7B7B"/>
    <w:rsid w:val="006C7C98"/>
    <w:rsid w:val="006C7DA1"/>
    <w:rsid w:val="006D02DB"/>
    <w:rsid w:val="006D0471"/>
    <w:rsid w:val="006D0837"/>
    <w:rsid w:val="006D0968"/>
    <w:rsid w:val="006D09E2"/>
    <w:rsid w:val="006D0B37"/>
    <w:rsid w:val="006D0F16"/>
    <w:rsid w:val="006D1B8E"/>
    <w:rsid w:val="006D1C3E"/>
    <w:rsid w:val="006D209C"/>
    <w:rsid w:val="006D2251"/>
    <w:rsid w:val="006D225A"/>
    <w:rsid w:val="006D23EF"/>
    <w:rsid w:val="006D267D"/>
    <w:rsid w:val="006D29C5"/>
    <w:rsid w:val="006D2A3F"/>
    <w:rsid w:val="006D2D8F"/>
    <w:rsid w:val="006D2E31"/>
    <w:rsid w:val="006D2EAF"/>
    <w:rsid w:val="006D2EF3"/>
    <w:rsid w:val="006D2FBC"/>
    <w:rsid w:val="006D326E"/>
    <w:rsid w:val="006D33B1"/>
    <w:rsid w:val="006D3609"/>
    <w:rsid w:val="006D367F"/>
    <w:rsid w:val="006D39F1"/>
    <w:rsid w:val="006D3A49"/>
    <w:rsid w:val="006D3A6F"/>
    <w:rsid w:val="006D3A7E"/>
    <w:rsid w:val="006D3C32"/>
    <w:rsid w:val="006D4025"/>
    <w:rsid w:val="006D410F"/>
    <w:rsid w:val="006D4530"/>
    <w:rsid w:val="006D4607"/>
    <w:rsid w:val="006D4641"/>
    <w:rsid w:val="006D4B7F"/>
    <w:rsid w:val="006D4CA1"/>
    <w:rsid w:val="006D4D4F"/>
    <w:rsid w:val="006D4D7D"/>
    <w:rsid w:val="006D4F05"/>
    <w:rsid w:val="006D51FF"/>
    <w:rsid w:val="006D597E"/>
    <w:rsid w:val="006D6009"/>
    <w:rsid w:val="006D62AD"/>
    <w:rsid w:val="006D6725"/>
    <w:rsid w:val="006D673A"/>
    <w:rsid w:val="006D6767"/>
    <w:rsid w:val="006D6773"/>
    <w:rsid w:val="006D6D7D"/>
    <w:rsid w:val="006D6E34"/>
    <w:rsid w:val="006D71C9"/>
    <w:rsid w:val="006D74E3"/>
    <w:rsid w:val="006D78F1"/>
    <w:rsid w:val="006D7925"/>
    <w:rsid w:val="006D79B0"/>
    <w:rsid w:val="006D7AB7"/>
    <w:rsid w:val="006D7ABB"/>
    <w:rsid w:val="006D7D9C"/>
    <w:rsid w:val="006D7E3B"/>
    <w:rsid w:val="006D7EEF"/>
    <w:rsid w:val="006D7FE8"/>
    <w:rsid w:val="006E0A62"/>
    <w:rsid w:val="006E0A7A"/>
    <w:rsid w:val="006E0B9F"/>
    <w:rsid w:val="006E0BF5"/>
    <w:rsid w:val="006E0EEF"/>
    <w:rsid w:val="006E10A1"/>
    <w:rsid w:val="006E12FA"/>
    <w:rsid w:val="006E1373"/>
    <w:rsid w:val="006E138B"/>
    <w:rsid w:val="006E1721"/>
    <w:rsid w:val="006E1867"/>
    <w:rsid w:val="006E1A9F"/>
    <w:rsid w:val="006E1ABB"/>
    <w:rsid w:val="006E1B0F"/>
    <w:rsid w:val="006E1D97"/>
    <w:rsid w:val="006E1FCF"/>
    <w:rsid w:val="006E205D"/>
    <w:rsid w:val="006E20A3"/>
    <w:rsid w:val="006E22EF"/>
    <w:rsid w:val="006E23D8"/>
    <w:rsid w:val="006E284F"/>
    <w:rsid w:val="006E2B4D"/>
    <w:rsid w:val="006E2EA2"/>
    <w:rsid w:val="006E319C"/>
    <w:rsid w:val="006E34E5"/>
    <w:rsid w:val="006E35D7"/>
    <w:rsid w:val="006E36DC"/>
    <w:rsid w:val="006E3885"/>
    <w:rsid w:val="006E395E"/>
    <w:rsid w:val="006E3BAE"/>
    <w:rsid w:val="006E3BB7"/>
    <w:rsid w:val="006E48BA"/>
    <w:rsid w:val="006E4B00"/>
    <w:rsid w:val="006E4B6D"/>
    <w:rsid w:val="006E4EE5"/>
    <w:rsid w:val="006E5372"/>
    <w:rsid w:val="006E5518"/>
    <w:rsid w:val="006E5A3C"/>
    <w:rsid w:val="006E5BA2"/>
    <w:rsid w:val="006E6418"/>
    <w:rsid w:val="006E70A8"/>
    <w:rsid w:val="006E7809"/>
    <w:rsid w:val="006E786C"/>
    <w:rsid w:val="006E78A3"/>
    <w:rsid w:val="006E7D14"/>
    <w:rsid w:val="006E7E7D"/>
    <w:rsid w:val="006E7F5C"/>
    <w:rsid w:val="006F0158"/>
    <w:rsid w:val="006F0330"/>
    <w:rsid w:val="006F043B"/>
    <w:rsid w:val="006F0552"/>
    <w:rsid w:val="006F0745"/>
    <w:rsid w:val="006F0E70"/>
    <w:rsid w:val="006F1395"/>
    <w:rsid w:val="006F1AA6"/>
    <w:rsid w:val="006F1BA1"/>
    <w:rsid w:val="006F1CB9"/>
    <w:rsid w:val="006F1DD2"/>
    <w:rsid w:val="006F1FDC"/>
    <w:rsid w:val="006F235A"/>
    <w:rsid w:val="006F236A"/>
    <w:rsid w:val="006F247E"/>
    <w:rsid w:val="006F2617"/>
    <w:rsid w:val="006F28D7"/>
    <w:rsid w:val="006F2C3F"/>
    <w:rsid w:val="006F2DFA"/>
    <w:rsid w:val="006F2F4C"/>
    <w:rsid w:val="006F3097"/>
    <w:rsid w:val="006F3168"/>
    <w:rsid w:val="006F32EE"/>
    <w:rsid w:val="006F3621"/>
    <w:rsid w:val="006F377F"/>
    <w:rsid w:val="006F38B8"/>
    <w:rsid w:val="006F3C2E"/>
    <w:rsid w:val="006F41D5"/>
    <w:rsid w:val="006F41D9"/>
    <w:rsid w:val="006F4B7A"/>
    <w:rsid w:val="006F4D94"/>
    <w:rsid w:val="006F4EEB"/>
    <w:rsid w:val="006F5545"/>
    <w:rsid w:val="006F556F"/>
    <w:rsid w:val="006F5575"/>
    <w:rsid w:val="006F5638"/>
    <w:rsid w:val="006F5691"/>
    <w:rsid w:val="006F56EA"/>
    <w:rsid w:val="006F571C"/>
    <w:rsid w:val="006F5740"/>
    <w:rsid w:val="006F5B8A"/>
    <w:rsid w:val="006F5C0D"/>
    <w:rsid w:val="006F5CD5"/>
    <w:rsid w:val="006F5CD7"/>
    <w:rsid w:val="006F615D"/>
    <w:rsid w:val="006F660C"/>
    <w:rsid w:val="006F66E6"/>
    <w:rsid w:val="006F687F"/>
    <w:rsid w:val="006F6990"/>
    <w:rsid w:val="006F6B8C"/>
    <w:rsid w:val="006F706E"/>
    <w:rsid w:val="006F730F"/>
    <w:rsid w:val="006F73D2"/>
    <w:rsid w:val="006F74CD"/>
    <w:rsid w:val="006F74FE"/>
    <w:rsid w:val="006F75D3"/>
    <w:rsid w:val="006F785F"/>
    <w:rsid w:val="006F78D7"/>
    <w:rsid w:val="006F7C1A"/>
    <w:rsid w:val="007001BB"/>
    <w:rsid w:val="00700687"/>
    <w:rsid w:val="00700A9C"/>
    <w:rsid w:val="00700D79"/>
    <w:rsid w:val="00701018"/>
    <w:rsid w:val="00701085"/>
    <w:rsid w:val="0070113E"/>
    <w:rsid w:val="00701231"/>
    <w:rsid w:val="00701391"/>
    <w:rsid w:val="007013D0"/>
    <w:rsid w:val="007013EF"/>
    <w:rsid w:val="007016B3"/>
    <w:rsid w:val="007016BC"/>
    <w:rsid w:val="00701A64"/>
    <w:rsid w:val="00701CA6"/>
    <w:rsid w:val="00701CB8"/>
    <w:rsid w:val="00701CC3"/>
    <w:rsid w:val="00701E5D"/>
    <w:rsid w:val="00702036"/>
    <w:rsid w:val="0070226B"/>
    <w:rsid w:val="007024EC"/>
    <w:rsid w:val="00702676"/>
    <w:rsid w:val="00702799"/>
    <w:rsid w:val="00702CA3"/>
    <w:rsid w:val="00702D2C"/>
    <w:rsid w:val="00702D66"/>
    <w:rsid w:val="00702EC1"/>
    <w:rsid w:val="00702FB2"/>
    <w:rsid w:val="007030CA"/>
    <w:rsid w:val="007037D8"/>
    <w:rsid w:val="00703B4D"/>
    <w:rsid w:val="00703FE5"/>
    <w:rsid w:val="0070412B"/>
    <w:rsid w:val="007041EC"/>
    <w:rsid w:val="007044B9"/>
    <w:rsid w:val="00704D7F"/>
    <w:rsid w:val="00704DDC"/>
    <w:rsid w:val="00704F96"/>
    <w:rsid w:val="00705285"/>
    <w:rsid w:val="00705299"/>
    <w:rsid w:val="007055BD"/>
    <w:rsid w:val="007055C6"/>
    <w:rsid w:val="00705A60"/>
    <w:rsid w:val="00705C6E"/>
    <w:rsid w:val="00705DC3"/>
    <w:rsid w:val="00705E36"/>
    <w:rsid w:val="007062C3"/>
    <w:rsid w:val="007064B0"/>
    <w:rsid w:val="007065BE"/>
    <w:rsid w:val="0070687C"/>
    <w:rsid w:val="007069A6"/>
    <w:rsid w:val="00706D6A"/>
    <w:rsid w:val="00706E29"/>
    <w:rsid w:val="00707150"/>
    <w:rsid w:val="007071E9"/>
    <w:rsid w:val="007073F1"/>
    <w:rsid w:val="007074FC"/>
    <w:rsid w:val="007076D7"/>
    <w:rsid w:val="00707A53"/>
    <w:rsid w:val="00707C56"/>
    <w:rsid w:val="00707D68"/>
    <w:rsid w:val="00707E42"/>
    <w:rsid w:val="00707E8A"/>
    <w:rsid w:val="00710434"/>
    <w:rsid w:val="0071050D"/>
    <w:rsid w:val="007105CD"/>
    <w:rsid w:val="00710869"/>
    <w:rsid w:val="0071093B"/>
    <w:rsid w:val="00710A38"/>
    <w:rsid w:val="00710CD4"/>
    <w:rsid w:val="00710FA3"/>
    <w:rsid w:val="007119DE"/>
    <w:rsid w:val="00711E95"/>
    <w:rsid w:val="007120D6"/>
    <w:rsid w:val="007126B4"/>
    <w:rsid w:val="00712E22"/>
    <w:rsid w:val="00712EB7"/>
    <w:rsid w:val="00713029"/>
    <w:rsid w:val="00713B45"/>
    <w:rsid w:val="00713C14"/>
    <w:rsid w:val="00713F6C"/>
    <w:rsid w:val="00714131"/>
    <w:rsid w:val="00714671"/>
    <w:rsid w:val="00715375"/>
    <w:rsid w:val="007153A8"/>
    <w:rsid w:val="0071561F"/>
    <w:rsid w:val="0071567B"/>
    <w:rsid w:val="0071579E"/>
    <w:rsid w:val="00715B9D"/>
    <w:rsid w:val="00715C16"/>
    <w:rsid w:val="00715CCE"/>
    <w:rsid w:val="00716056"/>
    <w:rsid w:val="0071608F"/>
    <w:rsid w:val="007161BE"/>
    <w:rsid w:val="0071657A"/>
    <w:rsid w:val="00716765"/>
    <w:rsid w:val="00716797"/>
    <w:rsid w:val="00716D02"/>
    <w:rsid w:val="0071724B"/>
    <w:rsid w:val="007172FE"/>
    <w:rsid w:val="00717395"/>
    <w:rsid w:val="007173CA"/>
    <w:rsid w:val="007173E7"/>
    <w:rsid w:val="0071749C"/>
    <w:rsid w:val="00717AAA"/>
    <w:rsid w:val="00717E92"/>
    <w:rsid w:val="00717ED3"/>
    <w:rsid w:val="00717FD2"/>
    <w:rsid w:val="0072002C"/>
    <w:rsid w:val="0072018E"/>
    <w:rsid w:val="00720213"/>
    <w:rsid w:val="00720246"/>
    <w:rsid w:val="007203DA"/>
    <w:rsid w:val="00720624"/>
    <w:rsid w:val="00720AFA"/>
    <w:rsid w:val="00720B35"/>
    <w:rsid w:val="00720D1F"/>
    <w:rsid w:val="00720DEF"/>
    <w:rsid w:val="007211A9"/>
    <w:rsid w:val="0072136B"/>
    <w:rsid w:val="007215CD"/>
    <w:rsid w:val="007216AA"/>
    <w:rsid w:val="007219B3"/>
    <w:rsid w:val="00721AB5"/>
    <w:rsid w:val="00721C21"/>
    <w:rsid w:val="00721CF4"/>
    <w:rsid w:val="00721CFB"/>
    <w:rsid w:val="00721DEF"/>
    <w:rsid w:val="00722215"/>
    <w:rsid w:val="007224BC"/>
    <w:rsid w:val="00722527"/>
    <w:rsid w:val="00722C6C"/>
    <w:rsid w:val="00722DB8"/>
    <w:rsid w:val="0072360B"/>
    <w:rsid w:val="007236D2"/>
    <w:rsid w:val="00723B8A"/>
    <w:rsid w:val="00723BF1"/>
    <w:rsid w:val="00723E7A"/>
    <w:rsid w:val="00724376"/>
    <w:rsid w:val="00724645"/>
    <w:rsid w:val="007248BF"/>
    <w:rsid w:val="00724A43"/>
    <w:rsid w:val="00724A93"/>
    <w:rsid w:val="00725005"/>
    <w:rsid w:val="0072539E"/>
    <w:rsid w:val="00725E2B"/>
    <w:rsid w:val="00725F14"/>
    <w:rsid w:val="00726155"/>
    <w:rsid w:val="007263F9"/>
    <w:rsid w:val="007264C0"/>
    <w:rsid w:val="007267AF"/>
    <w:rsid w:val="00726812"/>
    <w:rsid w:val="0072699E"/>
    <w:rsid w:val="00726C63"/>
    <w:rsid w:val="00726C69"/>
    <w:rsid w:val="00726EB3"/>
    <w:rsid w:val="00727297"/>
    <w:rsid w:val="007273AC"/>
    <w:rsid w:val="007273DC"/>
    <w:rsid w:val="0072796B"/>
    <w:rsid w:val="00727A02"/>
    <w:rsid w:val="00727AA7"/>
    <w:rsid w:val="00727FC6"/>
    <w:rsid w:val="00730406"/>
    <w:rsid w:val="00730884"/>
    <w:rsid w:val="00730983"/>
    <w:rsid w:val="00730A97"/>
    <w:rsid w:val="00730E5D"/>
    <w:rsid w:val="00730F6C"/>
    <w:rsid w:val="00730FBB"/>
    <w:rsid w:val="00731AD4"/>
    <w:rsid w:val="00731E4B"/>
    <w:rsid w:val="00732103"/>
    <w:rsid w:val="0073216B"/>
    <w:rsid w:val="0073240E"/>
    <w:rsid w:val="00732498"/>
    <w:rsid w:val="0073284B"/>
    <w:rsid w:val="0073298A"/>
    <w:rsid w:val="00732B14"/>
    <w:rsid w:val="00732F48"/>
    <w:rsid w:val="00732F9C"/>
    <w:rsid w:val="007330A5"/>
    <w:rsid w:val="00733347"/>
    <w:rsid w:val="00733869"/>
    <w:rsid w:val="0073389E"/>
    <w:rsid w:val="00733A62"/>
    <w:rsid w:val="00733A74"/>
    <w:rsid w:val="00733ABA"/>
    <w:rsid w:val="0073423A"/>
    <w:rsid w:val="007345FA"/>
    <w:rsid w:val="0073464A"/>
    <w:rsid w:val="007346B7"/>
    <w:rsid w:val="007346E4"/>
    <w:rsid w:val="00734AA0"/>
    <w:rsid w:val="00734B68"/>
    <w:rsid w:val="00734C0A"/>
    <w:rsid w:val="00734C98"/>
    <w:rsid w:val="00734EF0"/>
    <w:rsid w:val="0073510B"/>
    <w:rsid w:val="00735287"/>
    <w:rsid w:val="00735377"/>
    <w:rsid w:val="0073537A"/>
    <w:rsid w:val="00735564"/>
    <w:rsid w:val="007356F8"/>
    <w:rsid w:val="007358B3"/>
    <w:rsid w:val="00735AA4"/>
    <w:rsid w:val="00735F2B"/>
    <w:rsid w:val="0073613E"/>
    <w:rsid w:val="0073637C"/>
    <w:rsid w:val="007365F9"/>
    <w:rsid w:val="007365FC"/>
    <w:rsid w:val="007368F7"/>
    <w:rsid w:val="00736CD5"/>
    <w:rsid w:val="007370B8"/>
    <w:rsid w:val="007371FE"/>
    <w:rsid w:val="00737787"/>
    <w:rsid w:val="007377C9"/>
    <w:rsid w:val="00737A33"/>
    <w:rsid w:val="00737A75"/>
    <w:rsid w:val="00737AAB"/>
    <w:rsid w:val="00740080"/>
    <w:rsid w:val="00740139"/>
    <w:rsid w:val="007402F3"/>
    <w:rsid w:val="0074087E"/>
    <w:rsid w:val="00740909"/>
    <w:rsid w:val="00740A9F"/>
    <w:rsid w:val="00740B45"/>
    <w:rsid w:val="00740C4F"/>
    <w:rsid w:val="00740F22"/>
    <w:rsid w:val="00741011"/>
    <w:rsid w:val="0074137C"/>
    <w:rsid w:val="0074152B"/>
    <w:rsid w:val="0074196F"/>
    <w:rsid w:val="00741AEA"/>
    <w:rsid w:val="00741B48"/>
    <w:rsid w:val="00741BB4"/>
    <w:rsid w:val="00741C27"/>
    <w:rsid w:val="00741C71"/>
    <w:rsid w:val="00741CA6"/>
    <w:rsid w:val="00741CF0"/>
    <w:rsid w:val="00741F1A"/>
    <w:rsid w:val="00741F9E"/>
    <w:rsid w:val="00742311"/>
    <w:rsid w:val="0074231A"/>
    <w:rsid w:val="007426DB"/>
    <w:rsid w:val="0074279C"/>
    <w:rsid w:val="00742814"/>
    <w:rsid w:val="00742B32"/>
    <w:rsid w:val="00742D06"/>
    <w:rsid w:val="00742ED7"/>
    <w:rsid w:val="007430A6"/>
    <w:rsid w:val="0074326F"/>
    <w:rsid w:val="007435FF"/>
    <w:rsid w:val="00744323"/>
    <w:rsid w:val="0074472F"/>
    <w:rsid w:val="007447DA"/>
    <w:rsid w:val="00744B81"/>
    <w:rsid w:val="007450F8"/>
    <w:rsid w:val="007454BE"/>
    <w:rsid w:val="00745606"/>
    <w:rsid w:val="00745790"/>
    <w:rsid w:val="007457F3"/>
    <w:rsid w:val="00746004"/>
    <w:rsid w:val="0074610B"/>
    <w:rsid w:val="007462A1"/>
    <w:rsid w:val="00746303"/>
    <w:rsid w:val="007464BA"/>
    <w:rsid w:val="007464EE"/>
    <w:rsid w:val="0074650E"/>
    <w:rsid w:val="0074669E"/>
    <w:rsid w:val="0074696E"/>
    <w:rsid w:val="00746AEA"/>
    <w:rsid w:val="00746B60"/>
    <w:rsid w:val="00746BA7"/>
    <w:rsid w:val="00746D35"/>
    <w:rsid w:val="007473C2"/>
    <w:rsid w:val="007473EE"/>
    <w:rsid w:val="00747B6A"/>
    <w:rsid w:val="00747B91"/>
    <w:rsid w:val="00747BD8"/>
    <w:rsid w:val="00747CFE"/>
    <w:rsid w:val="00747F02"/>
    <w:rsid w:val="00747F13"/>
    <w:rsid w:val="00750135"/>
    <w:rsid w:val="00750416"/>
    <w:rsid w:val="00750B9F"/>
    <w:rsid w:val="00750D5D"/>
    <w:rsid w:val="00750D6E"/>
    <w:rsid w:val="00750EC2"/>
    <w:rsid w:val="00750F38"/>
    <w:rsid w:val="00750F7C"/>
    <w:rsid w:val="00750FB6"/>
    <w:rsid w:val="007511A3"/>
    <w:rsid w:val="00751278"/>
    <w:rsid w:val="007517D0"/>
    <w:rsid w:val="00751831"/>
    <w:rsid w:val="0075184E"/>
    <w:rsid w:val="00751915"/>
    <w:rsid w:val="007519CA"/>
    <w:rsid w:val="00751D33"/>
    <w:rsid w:val="00752156"/>
    <w:rsid w:val="007521B5"/>
    <w:rsid w:val="00752263"/>
    <w:rsid w:val="00752572"/>
    <w:rsid w:val="00752B28"/>
    <w:rsid w:val="007531FC"/>
    <w:rsid w:val="00753388"/>
    <w:rsid w:val="0075340F"/>
    <w:rsid w:val="00753415"/>
    <w:rsid w:val="00753687"/>
    <w:rsid w:val="007536B5"/>
    <w:rsid w:val="007536BC"/>
    <w:rsid w:val="00753753"/>
    <w:rsid w:val="00753C17"/>
    <w:rsid w:val="00753C75"/>
    <w:rsid w:val="00753D6C"/>
    <w:rsid w:val="00753E9D"/>
    <w:rsid w:val="007540B6"/>
    <w:rsid w:val="007541A9"/>
    <w:rsid w:val="007541D1"/>
    <w:rsid w:val="0075469B"/>
    <w:rsid w:val="00754AD9"/>
    <w:rsid w:val="00754E36"/>
    <w:rsid w:val="00755091"/>
    <w:rsid w:val="007551FA"/>
    <w:rsid w:val="00755284"/>
    <w:rsid w:val="007552D4"/>
    <w:rsid w:val="007558B3"/>
    <w:rsid w:val="007558E8"/>
    <w:rsid w:val="00755CAF"/>
    <w:rsid w:val="00755FF8"/>
    <w:rsid w:val="0075612F"/>
    <w:rsid w:val="0075641E"/>
    <w:rsid w:val="00756529"/>
    <w:rsid w:val="0075660A"/>
    <w:rsid w:val="00756749"/>
    <w:rsid w:val="007567ED"/>
    <w:rsid w:val="0075693C"/>
    <w:rsid w:val="00756B23"/>
    <w:rsid w:val="007571EB"/>
    <w:rsid w:val="0075743C"/>
    <w:rsid w:val="00757448"/>
    <w:rsid w:val="0075763E"/>
    <w:rsid w:val="00757686"/>
    <w:rsid w:val="00757AAF"/>
    <w:rsid w:val="00757B28"/>
    <w:rsid w:val="00757BAA"/>
    <w:rsid w:val="00757CD5"/>
    <w:rsid w:val="00760470"/>
    <w:rsid w:val="00760662"/>
    <w:rsid w:val="00760689"/>
    <w:rsid w:val="00760D13"/>
    <w:rsid w:val="00760FEA"/>
    <w:rsid w:val="00761100"/>
    <w:rsid w:val="0076117A"/>
    <w:rsid w:val="0076117D"/>
    <w:rsid w:val="00761291"/>
    <w:rsid w:val="007613E5"/>
    <w:rsid w:val="007619C1"/>
    <w:rsid w:val="00761E00"/>
    <w:rsid w:val="00761E89"/>
    <w:rsid w:val="00761EE8"/>
    <w:rsid w:val="00761FAC"/>
    <w:rsid w:val="007620F2"/>
    <w:rsid w:val="007621EA"/>
    <w:rsid w:val="0076243F"/>
    <w:rsid w:val="00762489"/>
    <w:rsid w:val="00762D8A"/>
    <w:rsid w:val="00763139"/>
    <w:rsid w:val="0076340F"/>
    <w:rsid w:val="00763771"/>
    <w:rsid w:val="0076393E"/>
    <w:rsid w:val="00763B49"/>
    <w:rsid w:val="00763D46"/>
    <w:rsid w:val="00763D73"/>
    <w:rsid w:val="007641C9"/>
    <w:rsid w:val="00764266"/>
    <w:rsid w:val="007644D5"/>
    <w:rsid w:val="00764A70"/>
    <w:rsid w:val="00764B31"/>
    <w:rsid w:val="00764DF5"/>
    <w:rsid w:val="00765259"/>
    <w:rsid w:val="007653A5"/>
    <w:rsid w:val="007654AF"/>
    <w:rsid w:val="0076569E"/>
    <w:rsid w:val="007656BA"/>
    <w:rsid w:val="0076573A"/>
    <w:rsid w:val="00765926"/>
    <w:rsid w:val="00765F3A"/>
    <w:rsid w:val="00766078"/>
    <w:rsid w:val="007662E9"/>
    <w:rsid w:val="0076654B"/>
    <w:rsid w:val="00766796"/>
    <w:rsid w:val="007669FF"/>
    <w:rsid w:val="00766A88"/>
    <w:rsid w:val="00766F3B"/>
    <w:rsid w:val="007670BF"/>
    <w:rsid w:val="00767283"/>
    <w:rsid w:val="0076766B"/>
    <w:rsid w:val="0076785A"/>
    <w:rsid w:val="00767EB2"/>
    <w:rsid w:val="00767FB6"/>
    <w:rsid w:val="007703C3"/>
    <w:rsid w:val="00770521"/>
    <w:rsid w:val="0077062F"/>
    <w:rsid w:val="00770F37"/>
    <w:rsid w:val="00770F8D"/>
    <w:rsid w:val="00770FA0"/>
    <w:rsid w:val="0077106E"/>
    <w:rsid w:val="007711A0"/>
    <w:rsid w:val="00771219"/>
    <w:rsid w:val="00771282"/>
    <w:rsid w:val="007712B1"/>
    <w:rsid w:val="00771703"/>
    <w:rsid w:val="00771B0A"/>
    <w:rsid w:val="00771E76"/>
    <w:rsid w:val="00771E8F"/>
    <w:rsid w:val="00771F89"/>
    <w:rsid w:val="007721A0"/>
    <w:rsid w:val="007726AC"/>
    <w:rsid w:val="00772906"/>
    <w:rsid w:val="00772939"/>
    <w:rsid w:val="007729EB"/>
    <w:rsid w:val="00772B36"/>
    <w:rsid w:val="00772C76"/>
    <w:rsid w:val="00772C86"/>
    <w:rsid w:val="00772D5E"/>
    <w:rsid w:val="00772FE6"/>
    <w:rsid w:val="0077313B"/>
    <w:rsid w:val="007731A9"/>
    <w:rsid w:val="007733A4"/>
    <w:rsid w:val="0077361E"/>
    <w:rsid w:val="007736B3"/>
    <w:rsid w:val="00773932"/>
    <w:rsid w:val="00773BD3"/>
    <w:rsid w:val="00773DD7"/>
    <w:rsid w:val="00773E4B"/>
    <w:rsid w:val="00773F19"/>
    <w:rsid w:val="0077423A"/>
    <w:rsid w:val="0077463E"/>
    <w:rsid w:val="007749B2"/>
    <w:rsid w:val="00774BC7"/>
    <w:rsid w:val="00774ECE"/>
    <w:rsid w:val="00775183"/>
    <w:rsid w:val="00775280"/>
    <w:rsid w:val="007752A2"/>
    <w:rsid w:val="007755CE"/>
    <w:rsid w:val="00775A5D"/>
    <w:rsid w:val="00775D4A"/>
    <w:rsid w:val="00775DD8"/>
    <w:rsid w:val="00775F0E"/>
    <w:rsid w:val="00775F71"/>
    <w:rsid w:val="0077610F"/>
    <w:rsid w:val="007762E4"/>
    <w:rsid w:val="007767E9"/>
    <w:rsid w:val="00776928"/>
    <w:rsid w:val="00776B17"/>
    <w:rsid w:val="00776D56"/>
    <w:rsid w:val="00776E0F"/>
    <w:rsid w:val="00776F79"/>
    <w:rsid w:val="00777058"/>
    <w:rsid w:val="00777183"/>
    <w:rsid w:val="007774B1"/>
    <w:rsid w:val="007774C8"/>
    <w:rsid w:val="00777837"/>
    <w:rsid w:val="00777BE1"/>
    <w:rsid w:val="00777D69"/>
    <w:rsid w:val="00777F6B"/>
    <w:rsid w:val="00777F79"/>
    <w:rsid w:val="0078038B"/>
    <w:rsid w:val="007806B5"/>
    <w:rsid w:val="00780BC7"/>
    <w:rsid w:val="00780D85"/>
    <w:rsid w:val="00780F0E"/>
    <w:rsid w:val="00780F3D"/>
    <w:rsid w:val="00781997"/>
    <w:rsid w:val="007819FC"/>
    <w:rsid w:val="00781CC4"/>
    <w:rsid w:val="007820FE"/>
    <w:rsid w:val="00782222"/>
    <w:rsid w:val="0078232F"/>
    <w:rsid w:val="00782402"/>
    <w:rsid w:val="0078240F"/>
    <w:rsid w:val="007825E0"/>
    <w:rsid w:val="0078265D"/>
    <w:rsid w:val="007827EF"/>
    <w:rsid w:val="007828EB"/>
    <w:rsid w:val="00782C30"/>
    <w:rsid w:val="00782E95"/>
    <w:rsid w:val="00782E97"/>
    <w:rsid w:val="00782F26"/>
    <w:rsid w:val="00783140"/>
    <w:rsid w:val="00783216"/>
    <w:rsid w:val="007833D8"/>
    <w:rsid w:val="007837A1"/>
    <w:rsid w:val="00783829"/>
    <w:rsid w:val="00783BE7"/>
    <w:rsid w:val="00783D3F"/>
    <w:rsid w:val="00783D7D"/>
    <w:rsid w:val="00783F95"/>
    <w:rsid w:val="007843A9"/>
    <w:rsid w:val="00784432"/>
    <w:rsid w:val="00784749"/>
    <w:rsid w:val="007848BE"/>
    <w:rsid w:val="007848E6"/>
    <w:rsid w:val="00784A1A"/>
    <w:rsid w:val="00784F87"/>
    <w:rsid w:val="00785164"/>
    <w:rsid w:val="007851B7"/>
    <w:rsid w:val="007853AF"/>
    <w:rsid w:val="00785677"/>
    <w:rsid w:val="007858F5"/>
    <w:rsid w:val="00785CF2"/>
    <w:rsid w:val="00785DCB"/>
    <w:rsid w:val="00785FC2"/>
    <w:rsid w:val="00785FFB"/>
    <w:rsid w:val="007861B6"/>
    <w:rsid w:val="00786283"/>
    <w:rsid w:val="00786381"/>
    <w:rsid w:val="0078678E"/>
    <w:rsid w:val="007868C2"/>
    <w:rsid w:val="007869A4"/>
    <w:rsid w:val="00786A26"/>
    <w:rsid w:val="00786B1E"/>
    <w:rsid w:val="00786C69"/>
    <w:rsid w:val="00786F16"/>
    <w:rsid w:val="00787046"/>
    <w:rsid w:val="007871F7"/>
    <w:rsid w:val="007873E3"/>
    <w:rsid w:val="0079011E"/>
    <w:rsid w:val="0079034D"/>
    <w:rsid w:val="007903DF"/>
    <w:rsid w:val="00790B83"/>
    <w:rsid w:val="0079103B"/>
    <w:rsid w:val="007913B4"/>
    <w:rsid w:val="00791512"/>
    <w:rsid w:val="007915BF"/>
    <w:rsid w:val="00791BD7"/>
    <w:rsid w:val="00791D70"/>
    <w:rsid w:val="00791D97"/>
    <w:rsid w:val="00791E6A"/>
    <w:rsid w:val="00791E71"/>
    <w:rsid w:val="00791F31"/>
    <w:rsid w:val="00792556"/>
    <w:rsid w:val="00792592"/>
    <w:rsid w:val="0079263F"/>
    <w:rsid w:val="00792663"/>
    <w:rsid w:val="00792980"/>
    <w:rsid w:val="00792AB0"/>
    <w:rsid w:val="007933F7"/>
    <w:rsid w:val="00793AE4"/>
    <w:rsid w:val="00793B32"/>
    <w:rsid w:val="00794238"/>
    <w:rsid w:val="007942C6"/>
    <w:rsid w:val="00794516"/>
    <w:rsid w:val="00794636"/>
    <w:rsid w:val="007947CF"/>
    <w:rsid w:val="0079517A"/>
    <w:rsid w:val="007956A8"/>
    <w:rsid w:val="00795822"/>
    <w:rsid w:val="00795B9B"/>
    <w:rsid w:val="00795C72"/>
    <w:rsid w:val="00795ECA"/>
    <w:rsid w:val="00796454"/>
    <w:rsid w:val="0079648D"/>
    <w:rsid w:val="007969FD"/>
    <w:rsid w:val="00796C5A"/>
    <w:rsid w:val="00796C72"/>
    <w:rsid w:val="00796E20"/>
    <w:rsid w:val="007970C7"/>
    <w:rsid w:val="007972B2"/>
    <w:rsid w:val="007973C6"/>
    <w:rsid w:val="0079746F"/>
    <w:rsid w:val="007976CE"/>
    <w:rsid w:val="00797A83"/>
    <w:rsid w:val="00797B97"/>
    <w:rsid w:val="00797C32"/>
    <w:rsid w:val="007A001E"/>
    <w:rsid w:val="007A027E"/>
    <w:rsid w:val="007A0DA1"/>
    <w:rsid w:val="007A0ED3"/>
    <w:rsid w:val="007A0F2F"/>
    <w:rsid w:val="007A114A"/>
    <w:rsid w:val="007A11E8"/>
    <w:rsid w:val="007A133D"/>
    <w:rsid w:val="007A1403"/>
    <w:rsid w:val="007A1439"/>
    <w:rsid w:val="007A16FF"/>
    <w:rsid w:val="007A17BF"/>
    <w:rsid w:val="007A1A27"/>
    <w:rsid w:val="007A1B72"/>
    <w:rsid w:val="007A1DD2"/>
    <w:rsid w:val="007A25F6"/>
    <w:rsid w:val="007A2610"/>
    <w:rsid w:val="007A26AE"/>
    <w:rsid w:val="007A2A69"/>
    <w:rsid w:val="007A2B82"/>
    <w:rsid w:val="007A2CF1"/>
    <w:rsid w:val="007A2D36"/>
    <w:rsid w:val="007A2E62"/>
    <w:rsid w:val="007A304B"/>
    <w:rsid w:val="007A32E2"/>
    <w:rsid w:val="007A386E"/>
    <w:rsid w:val="007A3885"/>
    <w:rsid w:val="007A399B"/>
    <w:rsid w:val="007A3AE0"/>
    <w:rsid w:val="007A3E7D"/>
    <w:rsid w:val="007A3EDD"/>
    <w:rsid w:val="007A44BF"/>
    <w:rsid w:val="007A475A"/>
    <w:rsid w:val="007A482B"/>
    <w:rsid w:val="007A486D"/>
    <w:rsid w:val="007A490F"/>
    <w:rsid w:val="007A4C4F"/>
    <w:rsid w:val="007A4E97"/>
    <w:rsid w:val="007A520C"/>
    <w:rsid w:val="007A53B3"/>
    <w:rsid w:val="007A54A6"/>
    <w:rsid w:val="007A5584"/>
    <w:rsid w:val="007A56AD"/>
    <w:rsid w:val="007A5B4A"/>
    <w:rsid w:val="007A5B90"/>
    <w:rsid w:val="007A5D82"/>
    <w:rsid w:val="007A6174"/>
    <w:rsid w:val="007A61B9"/>
    <w:rsid w:val="007A62AE"/>
    <w:rsid w:val="007A6600"/>
    <w:rsid w:val="007A672B"/>
    <w:rsid w:val="007A705E"/>
    <w:rsid w:val="007A7366"/>
    <w:rsid w:val="007A7426"/>
    <w:rsid w:val="007A7627"/>
    <w:rsid w:val="007A7650"/>
    <w:rsid w:val="007A784A"/>
    <w:rsid w:val="007A7889"/>
    <w:rsid w:val="007A788F"/>
    <w:rsid w:val="007A7B76"/>
    <w:rsid w:val="007A7EB1"/>
    <w:rsid w:val="007A7FE9"/>
    <w:rsid w:val="007B0185"/>
    <w:rsid w:val="007B018F"/>
    <w:rsid w:val="007B02A9"/>
    <w:rsid w:val="007B0628"/>
    <w:rsid w:val="007B0914"/>
    <w:rsid w:val="007B0CEB"/>
    <w:rsid w:val="007B1112"/>
    <w:rsid w:val="007B1125"/>
    <w:rsid w:val="007B1374"/>
    <w:rsid w:val="007B13D3"/>
    <w:rsid w:val="007B17E0"/>
    <w:rsid w:val="007B1874"/>
    <w:rsid w:val="007B18C8"/>
    <w:rsid w:val="007B18DD"/>
    <w:rsid w:val="007B1901"/>
    <w:rsid w:val="007B1904"/>
    <w:rsid w:val="007B1F20"/>
    <w:rsid w:val="007B2152"/>
    <w:rsid w:val="007B255D"/>
    <w:rsid w:val="007B2887"/>
    <w:rsid w:val="007B2919"/>
    <w:rsid w:val="007B2BDD"/>
    <w:rsid w:val="007B2FEB"/>
    <w:rsid w:val="007B300B"/>
    <w:rsid w:val="007B30E1"/>
    <w:rsid w:val="007B3151"/>
    <w:rsid w:val="007B316D"/>
    <w:rsid w:val="007B32E5"/>
    <w:rsid w:val="007B353C"/>
    <w:rsid w:val="007B3602"/>
    <w:rsid w:val="007B37A0"/>
    <w:rsid w:val="007B3B55"/>
    <w:rsid w:val="007B3BC3"/>
    <w:rsid w:val="007B3DB9"/>
    <w:rsid w:val="007B4256"/>
    <w:rsid w:val="007B4989"/>
    <w:rsid w:val="007B4A17"/>
    <w:rsid w:val="007B4C01"/>
    <w:rsid w:val="007B4CB0"/>
    <w:rsid w:val="007B53CC"/>
    <w:rsid w:val="007B54B4"/>
    <w:rsid w:val="007B5518"/>
    <w:rsid w:val="007B56A6"/>
    <w:rsid w:val="007B57A1"/>
    <w:rsid w:val="007B57BD"/>
    <w:rsid w:val="007B589F"/>
    <w:rsid w:val="007B5AB0"/>
    <w:rsid w:val="007B5D97"/>
    <w:rsid w:val="007B6087"/>
    <w:rsid w:val="007B6186"/>
    <w:rsid w:val="007B61CF"/>
    <w:rsid w:val="007B6315"/>
    <w:rsid w:val="007B64CD"/>
    <w:rsid w:val="007B6557"/>
    <w:rsid w:val="007B67BE"/>
    <w:rsid w:val="007B6BD3"/>
    <w:rsid w:val="007B6DE3"/>
    <w:rsid w:val="007B6F04"/>
    <w:rsid w:val="007B719A"/>
    <w:rsid w:val="007B720F"/>
    <w:rsid w:val="007B73BC"/>
    <w:rsid w:val="007B747E"/>
    <w:rsid w:val="007B7A45"/>
    <w:rsid w:val="007B7AFB"/>
    <w:rsid w:val="007B7C26"/>
    <w:rsid w:val="007B7C89"/>
    <w:rsid w:val="007B7DFB"/>
    <w:rsid w:val="007B7E19"/>
    <w:rsid w:val="007C01D8"/>
    <w:rsid w:val="007C0379"/>
    <w:rsid w:val="007C04A2"/>
    <w:rsid w:val="007C0677"/>
    <w:rsid w:val="007C0755"/>
    <w:rsid w:val="007C075B"/>
    <w:rsid w:val="007C0BA4"/>
    <w:rsid w:val="007C0CEE"/>
    <w:rsid w:val="007C0EAE"/>
    <w:rsid w:val="007C1373"/>
    <w:rsid w:val="007C175D"/>
    <w:rsid w:val="007C181F"/>
    <w:rsid w:val="007C1838"/>
    <w:rsid w:val="007C1952"/>
    <w:rsid w:val="007C1A00"/>
    <w:rsid w:val="007C1CB3"/>
    <w:rsid w:val="007C1F0E"/>
    <w:rsid w:val="007C20B9"/>
    <w:rsid w:val="007C21D7"/>
    <w:rsid w:val="007C2633"/>
    <w:rsid w:val="007C2C61"/>
    <w:rsid w:val="007C2D70"/>
    <w:rsid w:val="007C2EB0"/>
    <w:rsid w:val="007C2F89"/>
    <w:rsid w:val="007C320E"/>
    <w:rsid w:val="007C32A6"/>
    <w:rsid w:val="007C362C"/>
    <w:rsid w:val="007C3CD8"/>
    <w:rsid w:val="007C3F09"/>
    <w:rsid w:val="007C409A"/>
    <w:rsid w:val="007C40C2"/>
    <w:rsid w:val="007C4134"/>
    <w:rsid w:val="007C49B3"/>
    <w:rsid w:val="007C4A65"/>
    <w:rsid w:val="007C4DBA"/>
    <w:rsid w:val="007C4DD7"/>
    <w:rsid w:val="007C519D"/>
    <w:rsid w:val="007C5554"/>
    <w:rsid w:val="007C5912"/>
    <w:rsid w:val="007C59FD"/>
    <w:rsid w:val="007C5AD7"/>
    <w:rsid w:val="007C5CDF"/>
    <w:rsid w:val="007C5D9A"/>
    <w:rsid w:val="007C5EA6"/>
    <w:rsid w:val="007C611A"/>
    <w:rsid w:val="007C624A"/>
    <w:rsid w:val="007C68D3"/>
    <w:rsid w:val="007C6A5B"/>
    <w:rsid w:val="007C6CA2"/>
    <w:rsid w:val="007C6E8D"/>
    <w:rsid w:val="007C70D2"/>
    <w:rsid w:val="007C7301"/>
    <w:rsid w:val="007C7422"/>
    <w:rsid w:val="007C76C2"/>
    <w:rsid w:val="007C7766"/>
    <w:rsid w:val="007C776C"/>
    <w:rsid w:val="007C7834"/>
    <w:rsid w:val="007C7859"/>
    <w:rsid w:val="007C78D8"/>
    <w:rsid w:val="007C7991"/>
    <w:rsid w:val="007C7B52"/>
    <w:rsid w:val="007C7D34"/>
    <w:rsid w:val="007C7ED4"/>
    <w:rsid w:val="007C7F28"/>
    <w:rsid w:val="007D001E"/>
    <w:rsid w:val="007D013B"/>
    <w:rsid w:val="007D0749"/>
    <w:rsid w:val="007D0894"/>
    <w:rsid w:val="007D0F01"/>
    <w:rsid w:val="007D0FAD"/>
    <w:rsid w:val="007D1005"/>
    <w:rsid w:val="007D1044"/>
    <w:rsid w:val="007D12ED"/>
    <w:rsid w:val="007D144A"/>
    <w:rsid w:val="007D1466"/>
    <w:rsid w:val="007D18B6"/>
    <w:rsid w:val="007D18F0"/>
    <w:rsid w:val="007D197C"/>
    <w:rsid w:val="007D198F"/>
    <w:rsid w:val="007D1A7B"/>
    <w:rsid w:val="007D1CD0"/>
    <w:rsid w:val="007D1F3E"/>
    <w:rsid w:val="007D1F62"/>
    <w:rsid w:val="007D1F80"/>
    <w:rsid w:val="007D2135"/>
    <w:rsid w:val="007D25FC"/>
    <w:rsid w:val="007D27D5"/>
    <w:rsid w:val="007D2BDB"/>
    <w:rsid w:val="007D2BDE"/>
    <w:rsid w:val="007D2C59"/>
    <w:rsid w:val="007D2FB6"/>
    <w:rsid w:val="007D3283"/>
    <w:rsid w:val="007D3325"/>
    <w:rsid w:val="007D33F6"/>
    <w:rsid w:val="007D3536"/>
    <w:rsid w:val="007D394B"/>
    <w:rsid w:val="007D3DF1"/>
    <w:rsid w:val="007D3E4D"/>
    <w:rsid w:val="007D4107"/>
    <w:rsid w:val="007D43C2"/>
    <w:rsid w:val="007D45C1"/>
    <w:rsid w:val="007D4915"/>
    <w:rsid w:val="007D4953"/>
    <w:rsid w:val="007D49EB"/>
    <w:rsid w:val="007D4B13"/>
    <w:rsid w:val="007D4F08"/>
    <w:rsid w:val="007D4FC8"/>
    <w:rsid w:val="007D50A3"/>
    <w:rsid w:val="007D536F"/>
    <w:rsid w:val="007D5404"/>
    <w:rsid w:val="007D5439"/>
    <w:rsid w:val="007D549A"/>
    <w:rsid w:val="007D55DA"/>
    <w:rsid w:val="007D5738"/>
    <w:rsid w:val="007D58B4"/>
    <w:rsid w:val="007D590A"/>
    <w:rsid w:val="007D5A73"/>
    <w:rsid w:val="007D5D8C"/>
    <w:rsid w:val="007D5E1C"/>
    <w:rsid w:val="007D5EB6"/>
    <w:rsid w:val="007D618F"/>
    <w:rsid w:val="007D6A3C"/>
    <w:rsid w:val="007D6C88"/>
    <w:rsid w:val="007D7128"/>
    <w:rsid w:val="007D732A"/>
    <w:rsid w:val="007E00A3"/>
    <w:rsid w:val="007E0141"/>
    <w:rsid w:val="007E028A"/>
    <w:rsid w:val="007E0395"/>
    <w:rsid w:val="007E076B"/>
    <w:rsid w:val="007E086C"/>
    <w:rsid w:val="007E095F"/>
    <w:rsid w:val="007E0C74"/>
    <w:rsid w:val="007E0CCB"/>
    <w:rsid w:val="007E0DE2"/>
    <w:rsid w:val="007E0F27"/>
    <w:rsid w:val="007E1312"/>
    <w:rsid w:val="007E141C"/>
    <w:rsid w:val="007E1562"/>
    <w:rsid w:val="007E156C"/>
    <w:rsid w:val="007E15C0"/>
    <w:rsid w:val="007E161A"/>
    <w:rsid w:val="007E1B5B"/>
    <w:rsid w:val="007E1C1F"/>
    <w:rsid w:val="007E1E4F"/>
    <w:rsid w:val="007E2362"/>
    <w:rsid w:val="007E243F"/>
    <w:rsid w:val="007E2453"/>
    <w:rsid w:val="007E266E"/>
    <w:rsid w:val="007E2981"/>
    <w:rsid w:val="007E2E69"/>
    <w:rsid w:val="007E3021"/>
    <w:rsid w:val="007E32A6"/>
    <w:rsid w:val="007E33D5"/>
    <w:rsid w:val="007E3667"/>
    <w:rsid w:val="007E376C"/>
    <w:rsid w:val="007E393A"/>
    <w:rsid w:val="007E3A08"/>
    <w:rsid w:val="007E3A7B"/>
    <w:rsid w:val="007E3B98"/>
    <w:rsid w:val="007E417A"/>
    <w:rsid w:val="007E43EB"/>
    <w:rsid w:val="007E4594"/>
    <w:rsid w:val="007E46CC"/>
    <w:rsid w:val="007E4994"/>
    <w:rsid w:val="007E5462"/>
    <w:rsid w:val="007E548D"/>
    <w:rsid w:val="007E557D"/>
    <w:rsid w:val="007E56FD"/>
    <w:rsid w:val="007E5712"/>
    <w:rsid w:val="007E57CE"/>
    <w:rsid w:val="007E5C6E"/>
    <w:rsid w:val="007E5ED9"/>
    <w:rsid w:val="007E5FA1"/>
    <w:rsid w:val="007E6071"/>
    <w:rsid w:val="007E68E3"/>
    <w:rsid w:val="007E6A2D"/>
    <w:rsid w:val="007E6A37"/>
    <w:rsid w:val="007E6B8C"/>
    <w:rsid w:val="007E6D7B"/>
    <w:rsid w:val="007E6E37"/>
    <w:rsid w:val="007E6E67"/>
    <w:rsid w:val="007E7F89"/>
    <w:rsid w:val="007F01FE"/>
    <w:rsid w:val="007F0230"/>
    <w:rsid w:val="007F026D"/>
    <w:rsid w:val="007F033A"/>
    <w:rsid w:val="007F038E"/>
    <w:rsid w:val="007F03F0"/>
    <w:rsid w:val="007F04F7"/>
    <w:rsid w:val="007F0574"/>
    <w:rsid w:val="007F066F"/>
    <w:rsid w:val="007F06A1"/>
    <w:rsid w:val="007F0A86"/>
    <w:rsid w:val="007F0CA8"/>
    <w:rsid w:val="007F0EE7"/>
    <w:rsid w:val="007F14DE"/>
    <w:rsid w:val="007F1D5B"/>
    <w:rsid w:val="007F1DC5"/>
    <w:rsid w:val="007F1FCF"/>
    <w:rsid w:val="007F23F0"/>
    <w:rsid w:val="007F2405"/>
    <w:rsid w:val="007F2526"/>
    <w:rsid w:val="007F2904"/>
    <w:rsid w:val="007F2B1B"/>
    <w:rsid w:val="007F2BBC"/>
    <w:rsid w:val="007F2BF5"/>
    <w:rsid w:val="007F2C92"/>
    <w:rsid w:val="007F2DEC"/>
    <w:rsid w:val="007F2E40"/>
    <w:rsid w:val="007F31B6"/>
    <w:rsid w:val="007F3496"/>
    <w:rsid w:val="007F362F"/>
    <w:rsid w:val="007F3B7D"/>
    <w:rsid w:val="007F3BA0"/>
    <w:rsid w:val="007F3C56"/>
    <w:rsid w:val="007F3FE6"/>
    <w:rsid w:val="007F424F"/>
    <w:rsid w:val="007F46ED"/>
    <w:rsid w:val="007F4C80"/>
    <w:rsid w:val="007F4CF4"/>
    <w:rsid w:val="007F52E9"/>
    <w:rsid w:val="007F52F8"/>
    <w:rsid w:val="007F5356"/>
    <w:rsid w:val="007F538B"/>
    <w:rsid w:val="007F53AA"/>
    <w:rsid w:val="007F546C"/>
    <w:rsid w:val="007F5860"/>
    <w:rsid w:val="007F5BC5"/>
    <w:rsid w:val="007F5C37"/>
    <w:rsid w:val="007F5D3C"/>
    <w:rsid w:val="007F5D46"/>
    <w:rsid w:val="007F60BC"/>
    <w:rsid w:val="007F60FB"/>
    <w:rsid w:val="007F61BF"/>
    <w:rsid w:val="007F625F"/>
    <w:rsid w:val="007F64B2"/>
    <w:rsid w:val="007F665E"/>
    <w:rsid w:val="007F682D"/>
    <w:rsid w:val="007F6ABE"/>
    <w:rsid w:val="007F6DEA"/>
    <w:rsid w:val="007F74A9"/>
    <w:rsid w:val="007F7803"/>
    <w:rsid w:val="007F7AA3"/>
    <w:rsid w:val="007F7B2D"/>
    <w:rsid w:val="007F7DBF"/>
    <w:rsid w:val="00800281"/>
    <w:rsid w:val="00800399"/>
    <w:rsid w:val="00800412"/>
    <w:rsid w:val="008006EF"/>
    <w:rsid w:val="00800B1E"/>
    <w:rsid w:val="00800B6C"/>
    <w:rsid w:val="00800BF6"/>
    <w:rsid w:val="00800DFE"/>
    <w:rsid w:val="00800FB7"/>
    <w:rsid w:val="00801196"/>
    <w:rsid w:val="008013D6"/>
    <w:rsid w:val="0080166D"/>
    <w:rsid w:val="008017F9"/>
    <w:rsid w:val="0080182C"/>
    <w:rsid w:val="008019E6"/>
    <w:rsid w:val="0080213D"/>
    <w:rsid w:val="00802A96"/>
    <w:rsid w:val="00802B1C"/>
    <w:rsid w:val="00802C74"/>
    <w:rsid w:val="00802D59"/>
    <w:rsid w:val="00802E8C"/>
    <w:rsid w:val="00802ED6"/>
    <w:rsid w:val="00803160"/>
    <w:rsid w:val="0080330E"/>
    <w:rsid w:val="0080335B"/>
    <w:rsid w:val="00803485"/>
    <w:rsid w:val="008036A1"/>
    <w:rsid w:val="00803878"/>
    <w:rsid w:val="0080391E"/>
    <w:rsid w:val="00803D96"/>
    <w:rsid w:val="00803DB2"/>
    <w:rsid w:val="00803FB8"/>
    <w:rsid w:val="00804198"/>
    <w:rsid w:val="0080437C"/>
    <w:rsid w:val="0080440D"/>
    <w:rsid w:val="00804733"/>
    <w:rsid w:val="008048E6"/>
    <w:rsid w:val="00804C4F"/>
    <w:rsid w:val="00804F11"/>
    <w:rsid w:val="00804F87"/>
    <w:rsid w:val="0080507A"/>
    <w:rsid w:val="008050D2"/>
    <w:rsid w:val="008051CB"/>
    <w:rsid w:val="008054C3"/>
    <w:rsid w:val="00805752"/>
    <w:rsid w:val="0080587B"/>
    <w:rsid w:val="0080589F"/>
    <w:rsid w:val="008059D8"/>
    <w:rsid w:val="00805A34"/>
    <w:rsid w:val="00805F1D"/>
    <w:rsid w:val="008063ED"/>
    <w:rsid w:val="00806468"/>
    <w:rsid w:val="008066F3"/>
    <w:rsid w:val="008068C8"/>
    <w:rsid w:val="00806E9E"/>
    <w:rsid w:val="008070C0"/>
    <w:rsid w:val="00807277"/>
    <w:rsid w:val="00807289"/>
    <w:rsid w:val="008072A2"/>
    <w:rsid w:val="00807307"/>
    <w:rsid w:val="0080762F"/>
    <w:rsid w:val="00807AF1"/>
    <w:rsid w:val="00810024"/>
    <w:rsid w:val="008103C8"/>
    <w:rsid w:val="00810451"/>
    <w:rsid w:val="0081054F"/>
    <w:rsid w:val="008107E5"/>
    <w:rsid w:val="00810A9B"/>
    <w:rsid w:val="00810AF8"/>
    <w:rsid w:val="00810D9A"/>
    <w:rsid w:val="008112CB"/>
    <w:rsid w:val="00811417"/>
    <w:rsid w:val="0081168D"/>
    <w:rsid w:val="00811742"/>
    <w:rsid w:val="00811987"/>
    <w:rsid w:val="008119CA"/>
    <w:rsid w:val="008119D4"/>
    <w:rsid w:val="00811C55"/>
    <w:rsid w:val="00811F93"/>
    <w:rsid w:val="008121F4"/>
    <w:rsid w:val="008127B2"/>
    <w:rsid w:val="008127C8"/>
    <w:rsid w:val="00812DFC"/>
    <w:rsid w:val="00812E0E"/>
    <w:rsid w:val="00812E4B"/>
    <w:rsid w:val="008130C4"/>
    <w:rsid w:val="00813185"/>
    <w:rsid w:val="0081393C"/>
    <w:rsid w:val="00813962"/>
    <w:rsid w:val="00813AFC"/>
    <w:rsid w:val="00813EF8"/>
    <w:rsid w:val="00814087"/>
    <w:rsid w:val="008141B6"/>
    <w:rsid w:val="008142AE"/>
    <w:rsid w:val="008144B5"/>
    <w:rsid w:val="008146D5"/>
    <w:rsid w:val="008147A3"/>
    <w:rsid w:val="00814B07"/>
    <w:rsid w:val="00814B4F"/>
    <w:rsid w:val="00814D24"/>
    <w:rsid w:val="00814F55"/>
    <w:rsid w:val="008150DF"/>
    <w:rsid w:val="008150EB"/>
    <w:rsid w:val="00815468"/>
    <w:rsid w:val="008154BE"/>
    <w:rsid w:val="00815511"/>
    <w:rsid w:val="008155F0"/>
    <w:rsid w:val="008156CB"/>
    <w:rsid w:val="008156D6"/>
    <w:rsid w:val="00816070"/>
    <w:rsid w:val="00816735"/>
    <w:rsid w:val="00816744"/>
    <w:rsid w:val="0081675C"/>
    <w:rsid w:val="0081720B"/>
    <w:rsid w:val="0081721D"/>
    <w:rsid w:val="00817231"/>
    <w:rsid w:val="00817CEC"/>
    <w:rsid w:val="00817F80"/>
    <w:rsid w:val="0082004D"/>
    <w:rsid w:val="00820141"/>
    <w:rsid w:val="008203FF"/>
    <w:rsid w:val="00820850"/>
    <w:rsid w:val="008209B0"/>
    <w:rsid w:val="00820A1E"/>
    <w:rsid w:val="00820E0C"/>
    <w:rsid w:val="00820F86"/>
    <w:rsid w:val="00821287"/>
    <w:rsid w:val="00821303"/>
    <w:rsid w:val="0082147D"/>
    <w:rsid w:val="00821484"/>
    <w:rsid w:val="0082151C"/>
    <w:rsid w:val="008216D0"/>
    <w:rsid w:val="00821D76"/>
    <w:rsid w:val="00821F9F"/>
    <w:rsid w:val="008221A9"/>
    <w:rsid w:val="008221E9"/>
    <w:rsid w:val="008228C7"/>
    <w:rsid w:val="00822911"/>
    <w:rsid w:val="00822B58"/>
    <w:rsid w:val="00822C0A"/>
    <w:rsid w:val="00822CAB"/>
    <w:rsid w:val="00822F75"/>
    <w:rsid w:val="00823063"/>
    <w:rsid w:val="00823275"/>
    <w:rsid w:val="0082334E"/>
    <w:rsid w:val="00823398"/>
    <w:rsid w:val="008233DF"/>
    <w:rsid w:val="00823508"/>
    <w:rsid w:val="0082366F"/>
    <w:rsid w:val="008238B8"/>
    <w:rsid w:val="00823D65"/>
    <w:rsid w:val="00824049"/>
    <w:rsid w:val="0082424A"/>
    <w:rsid w:val="0082470C"/>
    <w:rsid w:val="008247C8"/>
    <w:rsid w:val="0082485B"/>
    <w:rsid w:val="008248CF"/>
    <w:rsid w:val="00824958"/>
    <w:rsid w:val="00824AC5"/>
    <w:rsid w:val="00824E9E"/>
    <w:rsid w:val="00824FC4"/>
    <w:rsid w:val="00825028"/>
    <w:rsid w:val="00825092"/>
    <w:rsid w:val="00825771"/>
    <w:rsid w:val="00825B8E"/>
    <w:rsid w:val="00825D83"/>
    <w:rsid w:val="0082661E"/>
    <w:rsid w:val="00826765"/>
    <w:rsid w:val="008267BD"/>
    <w:rsid w:val="00826CCD"/>
    <w:rsid w:val="00826CDF"/>
    <w:rsid w:val="0082705B"/>
    <w:rsid w:val="00827298"/>
    <w:rsid w:val="0082737B"/>
    <w:rsid w:val="00827425"/>
    <w:rsid w:val="00827628"/>
    <w:rsid w:val="00827C23"/>
    <w:rsid w:val="00827EB3"/>
    <w:rsid w:val="00830302"/>
    <w:rsid w:val="0083054E"/>
    <w:rsid w:val="00830D8B"/>
    <w:rsid w:val="0083107E"/>
    <w:rsid w:val="00831149"/>
    <w:rsid w:val="00831291"/>
    <w:rsid w:val="008312AD"/>
    <w:rsid w:val="00831487"/>
    <w:rsid w:val="00831A6C"/>
    <w:rsid w:val="00831AA5"/>
    <w:rsid w:val="00831D10"/>
    <w:rsid w:val="00831D7E"/>
    <w:rsid w:val="00831FD7"/>
    <w:rsid w:val="0083231C"/>
    <w:rsid w:val="0083234C"/>
    <w:rsid w:val="00832381"/>
    <w:rsid w:val="0083243C"/>
    <w:rsid w:val="008324EC"/>
    <w:rsid w:val="00832E92"/>
    <w:rsid w:val="0083332D"/>
    <w:rsid w:val="00833773"/>
    <w:rsid w:val="0083377C"/>
    <w:rsid w:val="008337E2"/>
    <w:rsid w:val="00833895"/>
    <w:rsid w:val="008338A2"/>
    <w:rsid w:val="00833DB7"/>
    <w:rsid w:val="00833EB1"/>
    <w:rsid w:val="00833F46"/>
    <w:rsid w:val="0083481A"/>
    <w:rsid w:val="008350E4"/>
    <w:rsid w:val="00835269"/>
    <w:rsid w:val="008356CC"/>
    <w:rsid w:val="008356CD"/>
    <w:rsid w:val="00835858"/>
    <w:rsid w:val="008359F4"/>
    <w:rsid w:val="00835A9D"/>
    <w:rsid w:val="00835F27"/>
    <w:rsid w:val="00835FBE"/>
    <w:rsid w:val="008361B1"/>
    <w:rsid w:val="0083620A"/>
    <w:rsid w:val="008364BE"/>
    <w:rsid w:val="00836511"/>
    <w:rsid w:val="0083661C"/>
    <w:rsid w:val="0083679A"/>
    <w:rsid w:val="008371AB"/>
    <w:rsid w:val="00837621"/>
    <w:rsid w:val="0084007D"/>
    <w:rsid w:val="00840234"/>
    <w:rsid w:val="0084028A"/>
    <w:rsid w:val="0084064E"/>
    <w:rsid w:val="00840BFF"/>
    <w:rsid w:val="00841381"/>
    <w:rsid w:val="008414A7"/>
    <w:rsid w:val="008416A3"/>
    <w:rsid w:val="00841AA9"/>
    <w:rsid w:val="00841CA9"/>
    <w:rsid w:val="00841CEB"/>
    <w:rsid w:val="00841FAF"/>
    <w:rsid w:val="0084202D"/>
    <w:rsid w:val="0084204E"/>
    <w:rsid w:val="008420FD"/>
    <w:rsid w:val="008422D0"/>
    <w:rsid w:val="00842319"/>
    <w:rsid w:val="008423AA"/>
    <w:rsid w:val="00842776"/>
    <w:rsid w:val="0084293E"/>
    <w:rsid w:val="00842A59"/>
    <w:rsid w:val="00842C77"/>
    <w:rsid w:val="008432F0"/>
    <w:rsid w:val="00843449"/>
    <w:rsid w:val="00843631"/>
    <w:rsid w:val="0084369D"/>
    <w:rsid w:val="008436B7"/>
    <w:rsid w:val="00843700"/>
    <w:rsid w:val="00843779"/>
    <w:rsid w:val="00843959"/>
    <w:rsid w:val="00843BB8"/>
    <w:rsid w:val="00843FA2"/>
    <w:rsid w:val="00844014"/>
    <w:rsid w:val="008440F5"/>
    <w:rsid w:val="0084410D"/>
    <w:rsid w:val="008443EB"/>
    <w:rsid w:val="00844636"/>
    <w:rsid w:val="008447F0"/>
    <w:rsid w:val="0084490E"/>
    <w:rsid w:val="00844AA1"/>
    <w:rsid w:val="00844BC9"/>
    <w:rsid w:val="00844BE9"/>
    <w:rsid w:val="00844C8C"/>
    <w:rsid w:val="00844DF7"/>
    <w:rsid w:val="00845152"/>
    <w:rsid w:val="00845462"/>
    <w:rsid w:val="0084592B"/>
    <w:rsid w:val="00845D8F"/>
    <w:rsid w:val="00845D9C"/>
    <w:rsid w:val="00845F27"/>
    <w:rsid w:val="00846035"/>
    <w:rsid w:val="008460CE"/>
    <w:rsid w:val="0084676C"/>
    <w:rsid w:val="00846A81"/>
    <w:rsid w:val="00846B0B"/>
    <w:rsid w:val="008474FE"/>
    <w:rsid w:val="008475E1"/>
    <w:rsid w:val="00847A12"/>
    <w:rsid w:val="00847AE4"/>
    <w:rsid w:val="00847AFE"/>
    <w:rsid w:val="00847F9D"/>
    <w:rsid w:val="0085009A"/>
    <w:rsid w:val="008506CB"/>
    <w:rsid w:val="008507CA"/>
    <w:rsid w:val="008507E5"/>
    <w:rsid w:val="008507ED"/>
    <w:rsid w:val="00850F03"/>
    <w:rsid w:val="00851171"/>
    <w:rsid w:val="008515D0"/>
    <w:rsid w:val="0085169F"/>
    <w:rsid w:val="00851878"/>
    <w:rsid w:val="008518BE"/>
    <w:rsid w:val="00851C80"/>
    <w:rsid w:val="00851D0D"/>
    <w:rsid w:val="00851E99"/>
    <w:rsid w:val="00852033"/>
    <w:rsid w:val="008525F7"/>
    <w:rsid w:val="00852621"/>
    <w:rsid w:val="0085276E"/>
    <w:rsid w:val="008529C7"/>
    <w:rsid w:val="00852F00"/>
    <w:rsid w:val="0085331F"/>
    <w:rsid w:val="008534AD"/>
    <w:rsid w:val="008534FF"/>
    <w:rsid w:val="008535C4"/>
    <w:rsid w:val="008537BD"/>
    <w:rsid w:val="00853B5B"/>
    <w:rsid w:val="00853C40"/>
    <w:rsid w:val="00853EE4"/>
    <w:rsid w:val="0085487B"/>
    <w:rsid w:val="00854C67"/>
    <w:rsid w:val="008552B4"/>
    <w:rsid w:val="00855535"/>
    <w:rsid w:val="00855568"/>
    <w:rsid w:val="0085560E"/>
    <w:rsid w:val="00855619"/>
    <w:rsid w:val="00855671"/>
    <w:rsid w:val="00855AA0"/>
    <w:rsid w:val="00855AF6"/>
    <w:rsid w:val="00855E9C"/>
    <w:rsid w:val="00855EAC"/>
    <w:rsid w:val="00855EDE"/>
    <w:rsid w:val="00856211"/>
    <w:rsid w:val="008563D6"/>
    <w:rsid w:val="008564F4"/>
    <w:rsid w:val="0085673F"/>
    <w:rsid w:val="00856BA2"/>
    <w:rsid w:val="00856D7C"/>
    <w:rsid w:val="0085711C"/>
    <w:rsid w:val="00857640"/>
    <w:rsid w:val="00857C5A"/>
    <w:rsid w:val="0086040F"/>
    <w:rsid w:val="0086047A"/>
    <w:rsid w:val="008606A7"/>
    <w:rsid w:val="00860800"/>
    <w:rsid w:val="00860C1F"/>
    <w:rsid w:val="00861207"/>
    <w:rsid w:val="0086178D"/>
    <w:rsid w:val="008617A8"/>
    <w:rsid w:val="008617D5"/>
    <w:rsid w:val="00861866"/>
    <w:rsid w:val="00861A26"/>
    <w:rsid w:val="00861C39"/>
    <w:rsid w:val="00861CC0"/>
    <w:rsid w:val="00862042"/>
    <w:rsid w:val="0086215B"/>
    <w:rsid w:val="0086255E"/>
    <w:rsid w:val="008626A7"/>
    <w:rsid w:val="0086274C"/>
    <w:rsid w:val="00862805"/>
    <w:rsid w:val="00862981"/>
    <w:rsid w:val="0086298B"/>
    <w:rsid w:val="00862CD5"/>
    <w:rsid w:val="00862CDA"/>
    <w:rsid w:val="00863011"/>
    <w:rsid w:val="008630DB"/>
    <w:rsid w:val="008630E3"/>
    <w:rsid w:val="00863156"/>
    <w:rsid w:val="008633B8"/>
    <w:rsid w:val="008633F0"/>
    <w:rsid w:val="00863482"/>
    <w:rsid w:val="008637A4"/>
    <w:rsid w:val="00863825"/>
    <w:rsid w:val="00863977"/>
    <w:rsid w:val="00863A5A"/>
    <w:rsid w:val="00863D4E"/>
    <w:rsid w:val="00863F49"/>
    <w:rsid w:val="008642D4"/>
    <w:rsid w:val="008645B6"/>
    <w:rsid w:val="0086474B"/>
    <w:rsid w:val="008647C6"/>
    <w:rsid w:val="008648FA"/>
    <w:rsid w:val="00864A82"/>
    <w:rsid w:val="00864B09"/>
    <w:rsid w:val="00864B46"/>
    <w:rsid w:val="00864EEF"/>
    <w:rsid w:val="00864F42"/>
    <w:rsid w:val="00864F6D"/>
    <w:rsid w:val="00864FD8"/>
    <w:rsid w:val="008650D3"/>
    <w:rsid w:val="00865110"/>
    <w:rsid w:val="00865305"/>
    <w:rsid w:val="0086531E"/>
    <w:rsid w:val="008653DF"/>
    <w:rsid w:val="00865436"/>
    <w:rsid w:val="008654BA"/>
    <w:rsid w:val="00865643"/>
    <w:rsid w:val="00865680"/>
    <w:rsid w:val="008658E1"/>
    <w:rsid w:val="00865C27"/>
    <w:rsid w:val="00865C7A"/>
    <w:rsid w:val="00865DD9"/>
    <w:rsid w:val="00865F11"/>
    <w:rsid w:val="00866189"/>
    <w:rsid w:val="00866211"/>
    <w:rsid w:val="008669CB"/>
    <w:rsid w:val="00866B72"/>
    <w:rsid w:val="00866BE4"/>
    <w:rsid w:val="00866F9A"/>
    <w:rsid w:val="0086701D"/>
    <w:rsid w:val="008670F5"/>
    <w:rsid w:val="008674C0"/>
    <w:rsid w:val="00867B5D"/>
    <w:rsid w:val="00867BE1"/>
    <w:rsid w:val="00867D9D"/>
    <w:rsid w:val="00867DB0"/>
    <w:rsid w:val="00867DC7"/>
    <w:rsid w:val="00867F0B"/>
    <w:rsid w:val="00867F35"/>
    <w:rsid w:val="00870088"/>
    <w:rsid w:val="008701B0"/>
    <w:rsid w:val="0087027B"/>
    <w:rsid w:val="00870353"/>
    <w:rsid w:val="008705F7"/>
    <w:rsid w:val="008708C7"/>
    <w:rsid w:val="00870B4F"/>
    <w:rsid w:val="00870DDA"/>
    <w:rsid w:val="0087141C"/>
    <w:rsid w:val="0087146D"/>
    <w:rsid w:val="008715FB"/>
    <w:rsid w:val="0087178F"/>
    <w:rsid w:val="00871840"/>
    <w:rsid w:val="008719BE"/>
    <w:rsid w:val="00871E5C"/>
    <w:rsid w:val="008722FF"/>
    <w:rsid w:val="0087267C"/>
    <w:rsid w:val="008728D1"/>
    <w:rsid w:val="008729AB"/>
    <w:rsid w:val="00872AF9"/>
    <w:rsid w:val="00872D4B"/>
    <w:rsid w:val="00872E0A"/>
    <w:rsid w:val="00873594"/>
    <w:rsid w:val="008735C2"/>
    <w:rsid w:val="008737A1"/>
    <w:rsid w:val="008738F4"/>
    <w:rsid w:val="00873A4C"/>
    <w:rsid w:val="00873C66"/>
    <w:rsid w:val="00873E81"/>
    <w:rsid w:val="00874080"/>
    <w:rsid w:val="00874087"/>
    <w:rsid w:val="0087429B"/>
    <w:rsid w:val="008743DC"/>
    <w:rsid w:val="00874484"/>
    <w:rsid w:val="0087457C"/>
    <w:rsid w:val="00874B9F"/>
    <w:rsid w:val="00874E73"/>
    <w:rsid w:val="00874F9E"/>
    <w:rsid w:val="0087505A"/>
    <w:rsid w:val="008751CA"/>
    <w:rsid w:val="00875285"/>
    <w:rsid w:val="00875320"/>
    <w:rsid w:val="0087549F"/>
    <w:rsid w:val="00875542"/>
    <w:rsid w:val="008755A1"/>
    <w:rsid w:val="008756ED"/>
    <w:rsid w:val="0087586B"/>
    <w:rsid w:val="00875A10"/>
    <w:rsid w:val="00875C21"/>
    <w:rsid w:val="00875EBD"/>
    <w:rsid w:val="0087630F"/>
    <w:rsid w:val="008767F9"/>
    <w:rsid w:val="00876889"/>
    <w:rsid w:val="008768B0"/>
    <w:rsid w:val="00876994"/>
    <w:rsid w:val="00876A87"/>
    <w:rsid w:val="00876BE2"/>
    <w:rsid w:val="00876D31"/>
    <w:rsid w:val="00876D57"/>
    <w:rsid w:val="00876D6B"/>
    <w:rsid w:val="0087730C"/>
    <w:rsid w:val="00877438"/>
    <w:rsid w:val="00877444"/>
    <w:rsid w:val="00877A42"/>
    <w:rsid w:val="00877C6D"/>
    <w:rsid w:val="00877CFE"/>
    <w:rsid w:val="00877E4E"/>
    <w:rsid w:val="00880490"/>
    <w:rsid w:val="0088074F"/>
    <w:rsid w:val="008807B0"/>
    <w:rsid w:val="00880AEF"/>
    <w:rsid w:val="00880C10"/>
    <w:rsid w:val="00880FD1"/>
    <w:rsid w:val="00880FEA"/>
    <w:rsid w:val="0088104E"/>
    <w:rsid w:val="00881087"/>
    <w:rsid w:val="008810DD"/>
    <w:rsid w:val="008817DC"/>
    <w:rsid w:val="00881819"/>
    <w:rsid w:val="00881A41"/>
    <w:rsid w:val="00881C72"/>
    <w:rsid w:val="00881D37"/>
    <w:rsid w:val="00882170"/>
    <w:rsid w:val="008822C3"/>
    <w:rsid w:val="008827EA"/>
    <w:rsid w:val="00882A30"/>
    <w:rsid w:val="00882AB5"/>
    <w:rsid w:val="008830C5"/>
    <w:rsid w:val="0088335F"/>
    <w:rsid w:val="008833B3"/>
    <w:rsid w:val="0088362D"/>
    <w:rsid w:val="0088367F"/>
    <w:rsid w:val="00883745"/>
    <w:rsid w:val="00883787"/>
    <w:rsid w:val="008839FB"/>
    <w:rsid w:val="00883B1D"/>
    <w:rsid w:val="00883E96"/>
    <w:rsid w:val="008841BE"/>
    <w:rsid w:val="00884696"/>
    <w:rsid w:val="008846FA"/>
    <w:rsid w:val="0088477F"/>
    <w:rsid w:val="008847F9"/>
    <w:rsid w:val="00884A70"/>
    <w:rsid w:val="00884B62"/>
    <w:rsid w:val="00884FFB"/>
    <w:rsid w:val="0088529C"/>
    <w:rsid w:val="00885559"/>
    <w:rsid w:val="00885580"/>
    <w:rsid w:val="008856CC"/>
    <w:rsid w:val="008857BB"/>
    <w:rsid w:val="00885A01"/>
    <w:rsid w:val="00885BFB"/>
    <w:rsid w:val="00885C65"/>
    <w:rsid w:val="00885C72"/>
    <w:rsid w:val="00885D8E"/>
    <w:rsid w:val="00885E5D"/>
    <w:rsid w:val="0088605A"/>
    <w:rsid w:val="008864AE"/>
    <w:rsid w:val="0088677D"/>
    <w:rsid w:val="0088693C"/>
    <w:rsid w:val="0088698C"/>
    <w:rsid w:val="00886D17"/>
    <w:rsid w:val="00886E73"/>
    <w:rsid w:val="00886EC4"/>
    <w:rsid w:val="008874B9"/>
    <w:rsid w:val="00887903"/>
    <w:rsid w:val="00887E24"/>
    <w:rsid w:val="008905E9"/>
    <w:rsid w:val="008908D3"/>
    <w:rsid w:val="00890B15"/>
    <w:rsid w:val="00890C1E"/>
    <w:rsid w:val="00890C1F"/>
    <w:rsid w:val="00890F01"/>
    <w:rsid w:val="008912CA"/>
    <w:rsid w:val="00891409"/>
    <w:rsid w:val="008914FF"/>
    <w:rsid w:val="00891522"/>
    <w:rsid w:val="008915DF"/>
    <w:rsid w:val="00891997"/>
    <w:rsid w:val="00891D0C"/>
    <w:rsid w:val="00891F4C"/>
    <w:rsid w:val="00892040"/>
    <w:rsid w:val="0089213C"/>
    <w:rsid w:val="008924BA"/>
    <w:rsid w:val="008925FF"/>
    <w:rsid w:val="0089270A"/>
    <w:rsid w:val="008928B6"/>
    <w:rsid w:val="00892971"/>
    <w:rsid w:val="00892DCA"/>
    <w:rsid w:val="00892DEE"/>
    <w:rsid w:val="00892FD7"/>
    <w:rsid w:val="0089306F"/>
    <w:rsid w:val="00893AF6"/>
    <w:rsid w:val="00893B70"/>
    <w:rsid w:val="00893E67"/>
    <w:rsid w:val="00893F1B"/>
    <w:rsid w:val="0089402A"/>
    <w:rsid w:val="00894070"/>
    <w:rsid w:val="008945AC"/>
    <w:rsid w:val="00894B32"/>
    <w:rsid w:val="00894BC4"/>
    <w:rsid w:val="00894FB3"/>
    <w:rsid w:val="00894FF2"/>
    <w:rsid w:val="00895005"/>
    <w:rsid w:val="00895056"/>
    <w:rsid w:val="008950F0"/>
    <w:rsid w:val="00895163"/>
    <w:rsid w:val="00895274"/>
    <w:rsid w:val="0089589A"/>
    <w:rsid w:val="00895AF5"/>
    <w:rsid w:val="00895CA1"/>
    <w:rsid w:val="00895D68"/>
    <w:rsid w:val="00896100"/>
    <w:rsid w:val="008962F6"/>
    <w:rsid w:val="008964AA"/>
    <w:rsid w:val="00896553"/>
    <w:rsid w:val="00896657"/>
    <w:rsid w:val="008967D5"/>
    <w:rsid w:val="00896890"/>
    <w:rsid w:val="008969F1"/>
    <w:rsid w:val="00896A33"/>
    <w:rsid w:val="00896AB0"/>
    <w:rsid w:val="00896AF4"/>
    <w:rsid w:val="00896D3F"/>
    <w:rsid w:val="008973DF"/>
    <w:rsid w:val="00897531"/>
    <w:rsid w:val="008977D1"/>
    <w:rsid w:val="00897BED"/>
    <w:rsid w:val="008A0259"/>
    <w:rsid w:val="008A0316"/>
    <w:rsid w:val="008A0463"/>
    <w:rsid w:val="008A0A53"/>
    <w:rsid w:val="008A0A82"/>
    <w:rsid w:val="008A0A94"/>
    <w:rsid w:val="008A0BCA"/>
    <w:rsid w:val="008A0C8F"/>
    <w:rsid w:val="008A0EC0"/>
    <w:rsid w:val="008A0ECA"/>
    <w:rsid w:val="008A1179"/>
    <w:rsid w:val="008A1336"/>
    <w:rsid w:val="008A13AE"/>
    <w:rsid w:val="008A15A7"/>
    <w:rsid w:val="008A15CA"/>
    <w:rsid w:val="008A1744"/>
    <w:rsid w:val="008A1A7E"/>
    <w:rsid w:val="008A2078"/>
    <w:rsid w:val="008A208A"/>
    <w:rsid w:val="008A242E"/>
    <w:rsid w:val="008A258A"/>
    <w:rsid w:val="008A28A8"/>
    <w:rsid w:val="008A2909"/>
    <w:rsid w:val="008A3191"/>
    <w:rsid w:val="008A324E"/>
    <w:rsid w:val="008A354B"/>
    <w:rsid w:val="008A3B5F"/>
    <w:rsid w:val="008A3CFC"/>
    <w:rsid w:val="008A41E1"/>
    <w:rsid w:val="008A445C"/>
    <w:rsid w:val="008A454F"/>
    <w:rsid w:val="008A45F8"/>
    <w:rsid w:val="008A4877"/>
    <w:rsid w:val="008A49C0"/>
    <w:rsid w:val="008A4EAC"/>
    <w:rsid w:val="008A4F73"/>
    <w:rsid w:val="008A500D"/>
    <w:rsid w:val="008A506B"/>
    <w:rsid w:val="008A5181"/>
    <w:rsid w:val="008A54AC"/>
    <w:rsid w:val="008A5566"/>
    <w:rsid w:val="008A5B0C"/>
    <w:rsid w:val="008A5B32"/>
    <w:rsid w:val="008A5B44"/>
    <w:rsid w:val="008A5C78"/>
    <w:rsid w:val="008A5D39"/>
    <w:rsid w:val="008A5E8B"/>
    <w:rsid w:val="008A6083"/>
    <w:rsid w:val="008A6154"/>
    <w:rsid w:val="008A6546"/>
    <w:rsid w:val="008A6793"/>
    <w:rsid w:val="008A6FFD"/>
    <w:rsid w:val="008A7065"/>
    <w:rsid w:val="008A7412"/>
    <w:rsid w:val="008A7738"/>
    <w:rsid w:val="008A79BF"/>
    <w:rsid w:val="008A7AAC"/>
    <w:rsid w:val="008A7B84"/>
    <w:rsid w:val="008A7C31"/>
    <w:rsid w:val="008A7DE4"/>
    <w:rsid w:val="008B02DC"/>
    <w:rsid w:val="008B040C"/>
    <w:rsid w:val="008B05E2"/>
    <w:rsid w:val="008B06D9"/>
    <w:rsid w:val="008B07A1"/>
    <w:rsid w:val="008B0D93"/>
    <w:rsid w:val="008B10AC"/>
    <w:rsid w:val="008B119F"/>
    <w:rsid w:val="008B1887"/>
    <w:rsid w:val="008B2029"/>
    <w:rsid w:val="008B21E7"/>
    <w:rsid w:val="008B239C"/>
    <w:rsid w:val="008B23D0"/>
    <w:rsid w:val="008B25EA"/>
    <w:rsid w:val="008B2EE4"/>
    <w:rsid w:val="008B332C"/>
    <w:rsid w:val="008B3501"/>
    <w:rsid w:val="008B368E"/>
    <w:rsid w:val="008B3821"/>
    <w:rsid w:val="008B3834"/>
    <w:rsid w:val="008B3BB9"/>
    <w:rsid w:val="008B43DE"/>
    <w:rsid w:val="008B46A1"/>
    <w:rsid w:val="008B49A6"/>
    <w:rsid w:val="008B4D09"/>
    <w:rsid w:val="008B4D3D"/>
    <w:rsid w:val="008B4EF7"/>
    <w:rsid w:val="008B51B4"/>
    <w:rsid w:val="008B5304"/>
    <w:rsid w:val="008B54A0"/>
    <w:rsid w:val="008B5776"/>
    <w:rsid w:val="008B57C7"/>
    <w:rsid w:val="008B5B09"/>
    <w:rsid w:val="008B5D2C"/>
    <w:rsid w:val="008B5D7A"/>
    <w:rsid w:val="008B62FA"/>
    <w:rsid w:val="008B6573"/>
    <w:rsid w:val="008B69B6"/>
    <w:rsid w:val="008B6A0C"/>
    <w:rsid w:val="008B6B71"/>
    <w:rsid w:val="008B6EFE"/>
    <w:rsid w:val="008B705C"/>
    <w:rsid w:val="008B72E8"/>
    <w:rsid w:val="008B7368"/>
    <w:rsid w:val="008B7853"/>
    <w:rsid w:val="008B79D6"/>
    <w:rsid w:val="008B7E05"/>
    <w:rsid w:val="008B7EC0"/>
    <w:rsid w:val="008C00BE"/>
    <w:rsid w:val="008C0183"/>
    <w:rsid w:val="008C0390"/>
    <w:rsid w:val="008C06DF"/>
    <w:rsid w:val="008C088F"/>
    <w:rsid w:val="008C0A94"/>
    <w:rsid w:val="008C0ACC"/>
    <w:rsid w:val="008C0AE2"/>
    <w:rsid w:val="008C0B86"/>
    <w:rsid w:val="008C0C89"/>
    <w:rsid w:val="008C107E"/>
    <w:rsid w:val="008C111F"/>
    <w:rsid w:val="008C112E"/>
    <w:rsid w:val="008C12A0"/>
    <w:rsid w:val="008C14A0"/>
    <w:rsid w:val="008C14F9"/>
    <w:rsid w:val="008C1565"/>
    <w:rsid w:val="008C1BDD"/>
    <w:rsid w:val="008C1BF1"/>
    <w:rsid w:val="008C212B"/>
    <w:rsid w:val="008C2382"/>
    <w:rsid w:val="008C2A0E"/>
    <w:rsid w:val="008C2DCA"/>
    <w:rsid w:val="008C2E7B"/>
    <w:rsid w:val="008C2EF2"/>
    <w:rsid w:val="008C2F55"/>
    <w:rsid w:val="008C2F71"/>
    <w:rsid w:val="008C2F92"/>
    <w:rsid w:val="008C3278"/>
    <w:rsid w:val="008C3456"/>
    <w:rsid w:val="008C3546"/>
    <w:rsid w:val="008C3777"/>
    <w:rsid w:val="008C390A"/>
    <w:rsid w:val="008C3965"/>
    <w:rsid w:val="008C3A89"/>
    <w:rsid w:val="008C3C0F"/>
    <w:rsid w:val="008C3FDF"/>
    <w:rsid w:val="008C4020"/>
    <w:rsid w:val="008C4920"/>
    <w:rsid w:val="008C49E1"/>
    <w:rsid w:val="008C4B5C"/>
    <w:rsid w:val="008C589D"/>
    <w:rsid w:val="008C5B7C"/>
    <w:rsid w:val="008C5B8B"/>
    <w:rsid w:val="008C5CC5"/>
    <w:rsid w:val="008C5D5B"/>
    <w:rsid w:val="008C5DE0"/>
    <w:rsid w:val="008C5E8E"/>
    <w:rsid w:val="008C5F26"/>
    <w:rsid w:val="008C61C0"/>
    <w:rsid w:val="008C6401"/>
    <w:rsid w:val="008C670C"/>
    <w:rsid w:val="008C6A86"/>
    <w:rsid w:val="008C6AFD"/>
    <w:rsid w:val="008C6D51"/>
    <w:rsid w:val="008C7072"/>
    <w:rsid w:val="008C7328"/>
    <w:rsid w:val="008C74C5"/>
    <w:rsid w:val="008C7580"/>
    <w:rsid w:val="008C77B9"/>
    <w:rsid w:val="008C7844"/>
    <w:rsid w:val="008C78C0"/>
    <w:rsid w:val="008C7A65"/>
    <w:rsid w:val="008C7B87"/>
    <w:rsid w:val="008C7BB0"/>
    <w:rsid w:val="008D0286"/>
    <w:rsid w:val="008D0453"/>
    <w:rsid w:val="008D05EA"/>
    <w:rsid w:val="008D068D"/>
    <w:rsid w:val="008D09FA"/>
    <w:rsid w:val="008D0ED6"/>
    <w:rsid w:val="008D0F31"/>
    <w:rsid w:val="008D124F"/>
    <w:rsid w:val="008D131D"/>
    <w:rsid w:val="008D1A7F"/>
    <w:rsid w:val="008D1D4B"/>
    <w:rsid w:val="008D1EB5"/>
    <w:rsid w:val="008D20CC"/>
    <w:rsid w:val="008D20FA"/>
    <w:rsid w:val="008D257E"/>
    <w:rsid w:val="008D2846"/>
    <w:rsid w:val="008D28D0"/>
    <w:rsid w:val="008D2B39"/>
    <w:rsid w:val="008D2B5D"/>
    <w:rsid w:val="008D2D29"/>
    <w:rsid w:val="008D2D57"/>
    <w:rsid w:val="008D2E60"/>
    <w:rsid w:val="008D2EB4"/>
    <w:rsid w:val="008D35D7"/>
    <w:rsid w:val="008D3794"/>
    <w:rsid w:val="008D3AE2"/>
    <w:rsid w:val="008D3B06"/>
    <w:rsid w:val="008D3B47"/>
    <w:rsid w:val="008D3D71"/>
    <w:rsid w:val="008D40AE"/>
    <w:rsid w:val="008D4236"/>
    <w:rsid w:val="008D434F"/>
    <w:rsid w:val="008D43BB"/>
    <w:rsid w:val="008D462F"/>
    <w:rsid w:val="008D47FB"/>
    <w:rsid w:val="008D4B0A"/>
    <w:rsid w:val="008D4E41"/>
    <w:rsid w:val="008D4FD2"/>
    <w:rsid w:val="008D5017"/>
    <w:rsid w:val="008D50F0"/>
    <w:rsid w:val="008D536E"/>
    <w:rsid w:val="008D5510"/>
    <w:rsid w:val="008D56F3"/>
    <w:rsid w:val="008D59B6"/>
    <w:rsid w:val="008D5C6E"/>
    <w:rsid w:val="008D5C7D"/>
    <w:rsid w:val="008D6050"/>
    <w:rsid w:val="008D6455"/>
    <w:rsid w:val="008D6547"/>
    <w:rsid w:val="008D6725"/>
    <w:rsid w:val="008D6787"/>
    <w:rsid w:val="008D67E9"/>
    <w:rsid w:val="008D6810"/>
    <w:rsid w:val="008D6978"/>
    <w:rsid w:val="008D6DCF"/>
    <w:rsid w:val="008D6E96"/>
    <w:rsid w:val="008D7266"/>
    <w:rsid w:val="008D72AC"/>
    <w:rsid w:val="008D7447"/>
    <w:rsid w:val="008D74B6"/>
    <w:rsid w:val="008D7793"/>
    <w:rsid w:val="008D79B6"/>
    <w:rsid w:val="008D79D6"/>
    <w:rsid w:val="008D7C9A"/>
    <w:rsid w:val="008D7EF9"/>
    <w:rsid w:val="008E0003"/>
    <w:rsid w:val="008E0191"/>
    <w:rsid w:val="008E02DA"/>
    <w:rsid w:val="008E0358"/>
    <w:rsid w:val="008E0BA4"/>
    <w:rsid w:val="008E0C93"/>
    <w:rsid w:val="008E1858"/>
    <w:rsid w:val="008E1870"/>
    <w:rsid w:val="008E18F8"/>
    <w:rsid w:val="008E1915"/>
    <w:rsid w:val="008E1BC7"/>
    <w:rsid w:val="008E211E"/>
    <w:rsid w:val="008E221B"/>
    <w:rsid w:val="008E23D4"/>
    <w:rsid w:val="008E2622"/>
    <w:rsid w:val="008E2699"/>
    <w:rsid w:val="008E26DF"/>
    <w:rsid w:val="008E29C0"/>
    <w:rsid w:val="008E2F55"/>
    <w:rsid w:val="008E3717"/>
    <w:rsid w:val="008E37F1"/>
    <w:rsid w:val="008E3D7D"/>
    <w:rsid w:val="008E3F48"/>
    <w:rsid w:val="008E40DB"/>
    <w:rsid w:val="008E4192"/>
    <w:rsid w:val="008E4208"/>
    <w:rsid w:val="008E4376"/>
    <w:rsid w:val="008E43DC"/>
    <w:rsid w:val="008E47A4"/>
    <w:rsid w:val="008E483F"/>
    <w:rsid w:val="008E4879"/>
    <w:rsid w:val="008E4B51"/>
    <w:rsid w:val="008E4BAA"/>
    <w:rsid w:val="008E4D68"/>
    <w:rsid w:val="008E5318"/>
    <w:rsid w:val="008E59BC"/>
    <w:rsid w:val="008E5DD9"/>
    <w:rsid w:val="008E60B0"/>
    <w:rsid w:val="008E60FE"/>
    <w:rsid w:val="008E6271"/>
    <w:rsid w:val="008E6366"/>
    <w:rsid w:val="008E65BB"/>
    <w:rsid w:val="008E6658"/>
    <w:rsid w:val="008E6820"/>
    <w:rsid w:val="008E6C64"/>
    <w:rsid w:val="008E6DF2"/>
    <w:rsid w:val="008E71EA"/>
    <w:rsid w:val="008E75EF"/>
    <w:rsid w:val="008E761E"/>
    <w:rsid w:val="008E76F4"/>
    <w:rsid w:val="008E77CE"/>
    <w:rsid w:val="008E787B"/>
    <w:rsid w:val="008E792A"/>
    <w:rsid w:val="008E79B7"/>
    <w:rsid w:val="008E7A0A"/>
    <w:rsid w:val="008E7ADC"/>
    <w:rsid w:val="008E7B49"/>
    <w:rsid w:val="008E7FF1"/>
    <w:rsid w:val="008F0069"/>
    <w:rsid w:val="008F10BE"/>
    <w:rsid w:val="008F134A"/>
    <w:rsid w:val="008F1566"/>
    <w:rsid w:val="008F160B"/>
    <w:rsid w:val="008F1766"/>
    <w:rsid w:val="008F189F"/>
    <w:rsid w:val="008F19E9"/>
    <w:rsid w:val="008F1D08"/>
    <w:rsid w:val="008F1DCD"/>
    <w:rsid w:val="008F1E45"/>
    <w:rsid w:val="008F1E6C"/>
    <w:rsid w:val="008F2183"/>
    <w:rsid w:val="008F21F3"/>
    <w:rsid w:val="008F21F7"/>
    <w:rsid w:val="008F2463"/>
    <w:rsid w:val="008F2515"/>
    <w:rsid w:val="008F2643"/>
    <w:rsid w:val="008F27A9"/>
    <w:rsid w:val="008F2806"/>
    <w:rsid w:val="008F2C27"/>
    <w:rsid w:val="008F2F18"/>
    <w:rsid w:val="008F3078"/>
    <w:rsid w:val="008F308A"/>
    <w:rsid w:val="008F34C4"/>
    <w:rsid w:val="008F353A"/>
    <w:rsid w:val="008F35AE"/>
    <w:rsid w:val="008F3667"/>
    <w:rsid w:val="008F3867"/>
    <w:rsid w:val="008F3EAB"/>
    <w:rsid w:val="008F3EF2"/>
    <w:rsid w:val="008F3F0C"/>
    <w:rsid w:val="008F433C"/>
    <w:rsid w:val="008F4437"/>
    <w:rsid w:val="008F495E"/>
    <w:rsid w:val="008F4A78"/>
    <w:rsid w:val="008F4AC4"/>
    <w:rsid w:val="008F4BE7"/>
    <w:rsid w:val="008F5041"/>
    <w:rsid w:val="008F512D"/>
    <w:rsid w:val="008F5169"/>
    <w:rsid w:val="008F521C"/>
    <w:rsid w:val="008F5544"/>
    <w:rsid w:val="008F5570"/>
    <w:rsid w:val="008F56CA"/>
    <w:rsid w:val="008F59F6"/>
    <w:rsid w:val="008F5EA5"/>
    <w:rsid w:val="008F60F8"/>
    <w:rsid w:val="008F6168"/>
    <w:rsid w:val="008F61F9"/>
    <w:rsid w:val="008F627C"/>
    <w:rsid w:val="008F62C8"/>
    <w:rsid w:val="008F6B16"/>
    <w:rsid w:val="008F6B6A"/>
    <w:rsid w:val="008F6CCA"/>
    <w:rsid w:val="008F6F48"/>
    <w:rsid w:val="008F78C6"/>
    <w:rsid w:val="008F7960"/>
    <w:rsid w:val="008F7B4E"/>
    <w:rsid w:val="008F7D3D"/>
    <w:rsid w:val="008F7F01"/>
    <w:rsid w:val="008F7F1B"/>
    <w:rsid w:val="00900220"/>
    <w:rsid w:val="00900394"/>
    <w:rsid w:val="00900483"/>
    <w:rsid w:val="00900524"/>
    <w:rsid w:val="00900719"/>
    <w:rsid w:val="009008D5"/>
    <w:rsid w:val="00900FE3"/>
    <w:rsid w:val="0090102C"/>
    <w:rsid w:val="00901040"/>
    <w:rsid w:val="009011C1"/>
    <w:rsid w:val="009012D7"/>
    <w:rsid w:val="00901510"/>
    <w:rsid w:val="00901549"/>
    <w:rsid w:val="009017AC"/>
    <w:rsid w:val="0090194D"/>
    <w:rsid w:val="00901E0F"/>
    <w:rsid w:val="00902113"/>
    <w:rsid w:val="00902150"/>
    <w:rsid w:val="00902160"/>
    <w:rsid w:val="0090243E"/>
    <w:rsid w:val="00902657"/>
    <w:rsid w:val="009027DE"/>
    <w:rsid w:val="009029C9"/>
    <w:rsid w:val="00902A9A"/>
    <w:rsid w:val="00902CDD"/>
    <w:rsid w:val="00902DC8"/>
    <w:rsid w:val="00902F8F"/>
    <w:rsid w:val="00903252"/>
    <w:rsid w:val="0090349A"/>
    <w:rsid w:val="009034B9"/>
    <w:rsid w:val="0090368B"/>
    <w:rsid w:val="00903C77"/>
    <w:rsid w:val="009041B5"/>
    <w:rsid w:val="00904215"/>
    <w:rsid w:val="00904291"/>
    <w:rsid w:val="009043CB"/>
    <w:rsid w:val="00904888"/>
    <w:rsid w:val="00904A1C"/>
    <w:rsid w:val="00904F4F"/>
    <w:rsid w:val="00905030"/>
    <w:rsid w:val="0090509F"/>
    <w:rsid w:val="00905118"/>
    <w:rsid w:val="009052F8"/>
    <w:rsid w:val="00905D86"/>
    <w:rsid w:val="00906490"/>
    <w:rsid w:val="00906496"/>
    <w:rsid w:val="009066A7"/>
    <w:rsid w:val="00906800"/>
    <w:rsid w:val="00906B48"/>
    <w:rsid w:val="00906B7E"/>
    <w:rsid w:val="00906D2E"/>
    <w:rsid w:val="00906D44"/>
    <w:rsid w:val="00906F08"/>
    <w:rsid w:val="00906FBD"/>
    <w:rsid w:val="0090725E"/>
    <w:rsid w:val="00907363"/>
    <w:rsid w:val="0090741C"/>
    <w:rsid w:val="0090758F"/>
    <w:rsid w:val="00907699"/>
    <w:rsid w:val="0090770C"/>
    <w:rsid w:val="00907799"/>
    <w:rsid w:val="0090781C"/>
    <w:rsid w:val="00907B38"/>
    <w:rsid w:val="00907CB9"/>
    <w:rsid w:val="0091014E"/>
    <w:rsid w:val="0091026D"/>
    <w:rsid w:val="00910886"/>
    <w:rsid w:val="009108B2"/>
    <w:rsid w:val="009109DC"/>
    <w:rsid w:val="00910D40"/>
    <w:rsid w:val="00910F1D"/>
    <w:rsid w:val="00911065"/>
    <w:rsid w:val="00911173"/>
    <w:rsid w:val="009111B2"/>
    <w:rsid w:val="0091127F"/>
    <w:rsid w:val="009112A4"/>
    <w:rsid w:val="00911853"/>
    <w:rsid w:val="00911855"/>
    <w:rsid w:val="009118ED"/>
    <w:rsid w:val="00911986"/>
    <w:rsid w:val="00911CDB"/>
    <w:rsid w:val="0091203D"/>
    <w:rsid w:val="00912702"/>
    <w:rsid w:val="0091279C"/>
    <w:rsid w:val="00912928"/>
    <w:rsid w:val="009129E1"/>
    <w:rsid w:val="00912B51"/>
    <w:rsid w:val="00912E5C"/>
    <w:rsid w:val="009132D9"/>
    <w:rsid w:val="00913414"/>
    <w:rsid w:val="009137C0"/>
    <w:rsid w:val="00913953"/>
    <w:rsid w:val="00913A37"/>
    <w:rsid w:val="00913B42"/>
    <w:rsid w:val="00913B7A"/>
    <w:rsid w:val="00913CA0"/>
    <w:rsid w:val="00913DE9"/>
    <w:rsid w:val="00913F6A"/>
    <w:rsid w:val="00913FCE"/>
    <w:rsid w:val="00913FF3"/>
    <w:rsid w:val="0091408A"/>
    <w:rsid w:val="0091439C"/>
    <w:rsid w:val="00914582"/>
    <w:rsid w:val="009145B6"/>
    <w:rsid w:val="00914684"/>
    <w:rsid w:val="00914750"/>
    <w:rsid w:val="00914B96"/>
    <w:rsid w:val="00914FC0"/>
    <w:rsid w:val="009150BF"/>
    <w:rsid w:val="009151F5"/>
    <w:rsid w:val="00915210"/>
    <w:rsid w:val="009152B1"/>
    <w:rsid w:val="009155EA"/>
    <w:rsid w:val="00915745"/>
    <w:rsid w:val="00915A6F"/>
    <w:rsid w:val="00915EB2"/>
    <w:rsid w:val="009160DC"/>
    <w:rsid w:val="0091652A"/>
    <w:rsid w:val="009166B6"/>
    <w:rsid w:val="00916A33"/>
    <w:rsid w:val="00916AB9"/>
    <w:rsid w:val="00916BFC"/>
    <w:rsid w:val="00916C09"/>
    <w:rsid w:val="00916E75"/>
    <w:rsid w:val="00916F41"/>
    <w:rsid w:val="00917B75"/>
    <w:rsid w:val="00917C80"/>
    <w:rsid w:val="00917E24"/>
    <w:rsid w:val="00917FEE"/>
    <w:rsid w:val="00920050"/>
    <w:rsid w:val="00920187"/>
    <w:rsid w:val="009203DB"/>
    <w:rsid w:val="009203F9"/>
    <w:rsid w:val="0092047F"/>
    <w:rsid w:val="0092053B"/>
    <w:rsid w:val="009205E2"/>
    <w:rsid w:val="00920874"/>
    <w:rsid w:val="00920BC7"/>
    <w:rsid w:val="00920CF9"/>
    <w:rsid w:val="00920F44"/>
    <w:rsid w:val="00921135"/>
    <w:rsid w:val="00921585"/>
    <w:rsid w:val="009215BB"/>
    <w:rsid w:val="0092179C"/>
    <w:rsid w:val="009217DA"/>
    <w:rsid w:val="00921926"/>
    <w:rsid w:val="009219AF"/>
    <w:rsid w:val="00921CAD"/>
    <w:rsid w:val="00921D9A"/>
    <w:rsid w:val="00921E5F"/>
    <w:rsid w:val="00921E6D"/>
    <w:rsid w:val="00921E6F"/>
    <w:rsid w:val="00921E92"/>
    <w:rsid w:val="009223DD"/>
    <w:rsid w:val="00922449"/>
    <w:rsid w:val="00922810"/>
    <w:rsid w:val="009229C1"/>
    <w:rsid w:val="00922ABA"/>
    <w:rsid w:val="00922F38"/>
    <w:rsid w:val="0092329A"/>
    <w:rsid w:val="00923673"/>
    <w:rsid w:val="009239DF"/>
    <w:rsid w:val="00923A56"/>
    <w:rsid w:val="00923BA5"/>
    <w:rsid w:val="00923E61"/>
    <w:rsid w:val="00923F81"/>
    <w:rsid w:val="009241C1"/>
    <w:rsid w:val="00924214"/>
    <w:rsid w:val="009244DB"/>
    <w:rsid w:val="00924718"/>
    <w:rsid w:val="00924AE1"/>
    <w:rsid w:val="00924B5E"/>
    <w:rsid w:val="00924B62"/>
    <w:rsid w:val="00924DC2"/>
    <w:rsid w:val="00924FFC"/>
    <w:rsid w:val="00925026"/>
    <w:rsid w:val="009250D4"/>
    <w:rsid w:val="00925412"/>
    <w:rsid w:val="00925485"/>
    <w:rsid w:val="009254E8"/>
    <w:rsid w:val="00925515"/>
    <w:rsid w:val="00925565"/>
    <w:rsid w:val="0092582E"/>
    <w:rsid w:val="00925838"/>
    <w:rsid w:val="00925BD3"/>
    <w:rsid w:val="00925D19"/>
    <w:rsid w:val="0092626A"/>
    <w:rsid w:val="00926786"/>
    <w:rsid w:val="009269B1"/>
    <w:rsid w:val="00926A1D"/>
    <w:rsid w:val="00926B74"/>
    <w:rsid w:val="00926D31"/>
    <w:rsid w:val="00926E51"/>
    <w:rsid w:val="00926E53"/>
    <w:rsid w:val="009271D9"/>
    <w:rsid w:val="0092724D"/>
    <w:rsid w:val="009272B3"/>
    <w:rsid w:val="00927376"/>
    <w:rsid w:val="0092760B"/>
    <w:rsid w:val="009276F5"/>
    <w:rsid w:val="00927836"/>
    <w:rsid w:val="0092794D"/>
    <w:rsid w:val="00927DF4"/>
    <w:rsid w:val="00930189"/>
    <w:rsid w:val="009302B7"/>
    <w:rsid w:val="009304A0"/>
    <w:rsid w:val="00930754"/>
    <w:rsid w:val="0093098E"/>
    <w:rsid w:val="00930C06"/>
    <w:rsid w:val="00930D45"/>
    <w:rsid w:val="00930E7B"/>
    <w:rsid w:val="0093104A"/>
    <w:rsid w:val="009310A2"/>
    <w:rsid w:val="009310B2"/>
    <w:rsid w:val="009315BE"/>
    <w:rsid w:val="00931639"/>
    <w:rsid w:val="009318BE"/>
    <w:rsid w:val="00931907"/>
    <w:rsid w:val="009319B7"/>
    <w:rsid w:val="00931A52"/>
    <w:rsid w:val="00931C39"/>
    <w:rsid w:val="009323FC"/>
    <w:rsid w:val="0093252E"/>
    <w:rsid w:val="009326DD"/>
    <w:rsid w:val="0093278A"/>
    <w:rsid w:val="009328D8"/>
    <w:rsid w:val="009329A4"/>
    <w:rsid w:val="00932A66"/>
    <w:rsid w:val="00932A99"/>
    <w:rsid w:val="00932AF1"/>
    <w:rsid w:val="00932BAD"/>
    <w:rsid w:val="00932EEE"/>
    <w:rsid w:val="00932FED"/>
    <w:rsid w:val="0093315F"/>
    <w:rsid w:val="0093338F"/>
    <w:rsid w:val="00933614"/>
    <w:rsid w:val="009337D5"/>
    <w:rsid w:val="00933D36"/>
    <w:rsid w:val="00933D80"/>
    <w:rsid w:val="0093402A"/>
    <w:rsid w:val="00934032"/>
    <w:rsid w:val="009340C5"/>
    <w:rsid w:val="0093448F"/>
    <w:rsid w:val="00934570"/>
    <w:rsid w:val="009347B5"/>
    <w:rsid w:val="00934A1D"/>
    <w:rsid w:val="00934A7B"/>
    <w:rsid w:val="00934B11"/>
    <w:rsid w:val="00934E02"/>
    <w:rsid w:val="009350F2"/>
    <w:rsid w:val="00935496"/>
    <w:rsid w:val="009356F5"/>
    <w:rsid w:val="009358B2"/>
    <w:rsid w:val="0093597E"/>
    <w:rsid w:val="009359E2"/>
    <w:rsid w:val="00935CAF"/>
    <w:rsid w:val="009360D2"/>
    <w:rsid w:val="009361D5"/>
    <w:rsid w:val="00936444"/>
    <w:rsid w:val="00936811"/>
    <w:rsid w:val="009368C1"/>
    <w:rsid w:val="00936902"/>
    <w:rsid w:val="00936B52"/>
    <w:rsid w:val="00936F05"/>
    <w:rsid w:val="009371BF"/>
    <w:rsid w:val="009371F6"/>
    <w:rsid w:val="009373FC"/>
    <w:rsid w:val="00937402"/>
    <w:rsid w:val="009376C6"/>
    <w:rsid w:val="0093779B"/>
    <w:rsid w:val="009377D2"/>
    <w:rsid w:val="00937871"/>
    <w:rsid w:val="00937BD9"/>
    <w:rsid w:val="00937BF9"/>
    <w:rsid w:val="00937FEA"/>
    <w:rsid w:val="009400B0"/>
    <w:rsid w:val="00940487"/>
    <w:rsid w:val="0094068B"/>
    <w:rsid w:val="009407E3"/>
    <w:rsid w:val="009408DD"/>
    <w:rsid w:val="0094094C"/>
    <w:rsid w:val="00940A92"/>
    <w:rsid w:val="00940B8A"/>
    <w:rsid w:val="00940E26"/>
    <w:rsid w:val="009410D7"/>
    <w:rsid w:val="009414AD"/>
    <w:rsid w:val="00941705"/>
    <w:rsid w:val="009418D5"/>
    <w:rsid w:val="0094218E"/>
    <w:rsid w:val="009421F4"/>
    <w:rsid w:val="0094228B"/>
    <w:rsid w:val="00942711"/>
    <w:rsid w:val="00942714"/>
    <w:rsid w:val="0094282C"/>
    <w:rsid w:val="00942905"/>
    <w:rsid w:val="00942A2C"/>
    <w:rsid w:val="009434AB"/>
    <w:rsid w:val="00943623"/>
    <w:rsid w:val="00943640"/>
    <w:rsid w:val="0094367F"/>
    <w:rsid w:val="0094378E"/>
    <w:rsid w:val="00943A92"/>
    <w:rsid w:val="00943B4E"/>
    <w:rsid w:val="00943E22"/>
    <w:rsid w:val="009446ED"/>
    <w:rsid w:val="00944C95"/>
    <w:rsid w:val="00944CEF"/>
    <w:rsid w:val="00944ECA"/>
    <w:rsid w:val="00944F46"/>
    <w:rsid w:val="009450E5"/>
    <w:rsid w:val="0094531B"/>
    <w:rsid w:val="009454FF"/>
    <w:rsid w:val="00945679"/>
    <w:rsid w:val="009457D2"/>
    <w:rsid w:val="00945882"/>
    <w:rsid w:val="00945BBE"/>
    <w:rsid w:val="00945E8F"/>
    <w:rsid w:val="00945F40"/>
    <w:rsid w:val="00945FA4"/>
    <w:rsid w:val="009463B1"/>
    <w:rsid w:val="009466F6"/>
    <w:rsid w:val="0094687F"/>
    <w:rsid w:val="009468B9"/>
    <w:rsid w:val="00946924"/>
    <w:rsid w:val="00946964"/>
    <w:rsid w:val="00947023"/>
    <w:rsid w:val="009473C1"/>
    <w:rsid w:val="00947430"/>
    <w:rsid w:val="0094795E"/>
    <w:rsid w:val="00947A79"/>
    <w:rsid w:val="00947AC8"/>
    <w:rsid w:val="00947FD4"/>
    <w:rsid w:val="009505D0"/>
    <w:rsid w:val="009507C3"/>
    <w:rsid w:val="009508FF"/>
    <w:rsid w:val="00950976"/>
    <w:rsid w:val="009509BF"/>
    <w:rsid w:val="00950ACF"/>
    <w:rsid w:val="00950E2C"/>
    <w:rsid w:val="00950E87"/>
    <w:rsid w:val="0095102D"/>
    <w:rsid w:val="00951161"/>
    <w:rsid w:val="009512D0"/>
    <w:rsid w:val="009513FD"/>
    <w:rsid w:val="0095149A"/>
    <w:rsid w:val="0095170A"/>
    <w:rsid w:val="00951CCC"/>
    <w:rsid w:val="00951D50"/>
    <w:rsid w:val="00951E44"/>
    <w:rsid w:val="00951ED4"/>
    <w:rsid w:val="00951FFF"/>
    <w:rsid w:val="00952117"/>
    <w:rsid w:val="0095222C"/>
    <w:rsid w:val="009525EB"/>
    <w:rsid w:val="00952635"/>
    <w:rsid w:val="00952AD2"/>
    <w:rsid w:val="00952C8F"/>
    <w:rsid w:val="00952F5E"/>
    <w:rsid w:val="00952F8D"/>
    <w:rsid w:val="0095330B"/>
    <w:rsid w:val="009537A0"/>
    <w:rsid w:val="00953BC3"/>
    <w:rsid w:val="00953C13"/>
    <w:rsid w:val="0095461D"/>
    <w:rsid w:val="0095470B"/>
    <w:rsid w:val="00954863"/>
    <w:rsid w:val="00954874"/>
    <w:rsid w:val="009549EE"/>
    <w:rsid w:val="009549F2"/>
    <w:rsid w:val="00954AC7"/>
    <w:rsid w:val="00954D91"/>
    <w:rsid w:val="00955211"/>
    <w:rsid w:val="00955647"/>
    <w:rsid w:val="00955816"/>
    <w:rsid w:val="00955976"/>
    <w:rsid w:val="00955AD5"/>
    <w:rsid w:val="00955DBF"/>
    <w:rsid w:val="00955EB6"/>
    <w:rsid w:val="0095612B"/>
    <w:rsid w:val="0095615A"/>
    <w:rsid w:val="00956167"/>
    <w:rsid w:val="0095669D"/>
    <w:rsid w:val="00956843"/>
    <w:rsid w:val="00956F64"/>
    <w:rsid w:val="00956F6C"/>
    <w:rsid w:val="00956FFE"/>
    <w:rsid w:val="0095711B"/>
    <w:rsid w:val="0095720A"/>
    <w:rsid w:val="00957504"/>
    <w:rsid w:val="009577F3"/>
    <w:rsid w:val="00957816"/>
    <w:rsid w:val="00957AB1"/>
    <w:rsid w:val="0096028A"/>
    <w:rsid w:val="009602D5"/>
    <w:rsid w:val="00960402"/>
    <w:rsid w:val="00960478"/>
    <w:rsid w:val="009605C3"/>
    <w:rsid w:val="009608D1"/>
    <w:rsid w:val="00960DE2"/>
    <w:rsid w:val="009610EF"/>
    <w:rsid w:val="00961267"/>
    <w:rsid w:val="00961400"/>
    <w:rsid w:val="00961760"/>
    <w:rsid w:val="00961A36"/>
    <w:rsid w:val="00961BBF"/>
    <w:rsid w:val="00961E06"/>
    <w:rsid w:val="00961E40"/>
    <w:rsid w:val="00961FAF"/>
    <w:rsid w:val="00962171"/>
    <w:rsid w:val="00962252"/>
    <w:rsid w:val="009623A6"/>
    <w:rsid w:val="009623AC"/>
    <w:rsid w:val="00962535"/>
    <w:rsid w:val="00962602"/>
    <w:rsid w:val="009626F2"/>
    <w:rsid w:val="00962793"/>
    <w:rsid w:val="009627D3"/>
    <w:rsid w:val="0096283A"/>
    <w:rsid w:val="009629DE"/>
    <w:rsid w:val="00962CA0"/>
    <w:rsid w:val="00962D87"/>
    <w:rsid w:val="00962FA8"/>
    <w:rsid w:val="00962FDA"/>
    <w:rsid w:val="0096341C"/>
    <w:rsid w:val="00963467"/>
    <w:rsid w:val="00963496"/>
    <w:rsid w:val="009635F6"/>
    <w:rsid w:val="00963646"/>
    <w:rsid w:val="00963912"/>
    <w:rsid w:val="00963A3C"/>
    <w:rsid w:val="00963AF8"/>
    <w:rsid w:val="009640F1"/>
    <w:rsid w:val="0096410F"/>
    <w:rsid w:val="00964B31"/>
    <w:rsid w:val="00964B68"/>
    <w:rsid w:val="00965936"/>
    <w:rsid w:val="00965B28"/>
    <w:rsid w:val="00965C8C"/>
    <w:rsid w:val="00965E84"/>
    <w:rsid w:val="00965F20"/>
    <w:rsid w:val="00965FDF"/>
    <w:rsid w:val="0096632D"/>
    <w:rsid w:val="00966387"/>
    <w:rsid w:val="0096638B"/>
    <w:rsid w:val="0096693F"/>
    <w:rsid w:val="00966956"/>
    <w:rsid w:val="00966AAA"/>
    <w:rsid w:val="00966BB7"/>
    <w:rsid w:val="009670B9"/>
    <w:rsid w:val="00967124"/>
    <w:rsid w:val="009676DE"/>
    <w:rsid w:val="009676F5"/>
    <w:rsid w:val="00967A5C"/>
    <w:rsid w:val="00967B7E"/>
    <w:rsid w:val="00967C38"/>
    <w:rsid w:val="00970189"/>
    <w:rsid w:val="009702F3"/>
    <w:rsid w:val="009703D4"/>
    <w:rsid w:val="0097043C"/>
    <w:rsid w:val="00970796"/>
    <w:rsid w:val="00970891"/>
    <w:rsid w:val="00970FB6"/>
    <w:rsid w:val="009711EA"/>
    <w:rsid w:val="0097160A"/>
    <w:rsid w:val="0097166C"/>
    <w:rsid w:val="009718C7"/>
    <w:rsid w:val="00971BEB"/>
    <w:rsid w:val="0097203A"/>
    <w:rsid w:val="00972229"/>
    <w:rsid w:val="00972682"/>
    <w:rsid w:val="009726DA"/>
    <w:rsid w:val="00972B44"/>
    <w:rsid w:val="00972B60"/>
    <w:rsid w:val="00972B8F"/>
    <w:rsid w:val="00972C04"/>
    <w:rsid w:val="00972F0E"/>
    <w:rsid w:val="00973765"/>
    <w:rsid w:val="009737EE"/>
    <w:rsid w:val="00973AF5"/>
    <w:rsid w:val="00973D3C"/>
    <w:rsid w:val="00973D5F"/>
    <w:rsid w:val="00974BA1"/>
    <w:rsid w:val="00974BBF"/>
    <w:rsid w:val="00974C2D"/>
    <w:rsid w:val="00974D5E"/>
    <w:rsid w:val="00974DCA"/>
    <w:rsid w:val="00975024"/>
    <w:rsid w:val="00975237"/>
    <w:rsid w:val="009754BE"/>
    <w:rsid w:val="0097559F"/>
    <w:rsid w:val="00975842"/>
    <w:rsid w:val="0097591B"/>
    <w:rsid w:val="00975A7D"/>
    <w:rsid w:val="00975A9F"/>
    <w:rsid w:val="0097616C"/>
    <w:rsid w:val="009761EA"/>
    <w:rsid w:val="009762B1"/>
    <w:rsid w:val="00976EAF"/>
    <w:rsid w:val="0097711A"/>
    <w:rsid w:val="0097723F"/>
    <w:rsid w:val="0097725A"/>
    <w:rsid w:val="0097761E"/>
    <w:rsid w:val="0097786E"/>
    <w:rsid w:val="009778F2"/>
    <w:rsid w:val="00977AB1"/>
    <w:rsid w:val="009808E4"/>
    <w:rsid w:val="00980970"/>
    <w:rsid w:val="00980BB4"/>
    <w:rsid w:val="00980F61"/>
    <w:rsid w:val="00981894"/>
    <w:rsid w:val="009818F9"/>
    <w:rsid w:val="0098231F"/>
    <w:rsid w:val="009823E7"/>
    <w:rsid w:val="00982454"/>
    <w:rsid w:val="009825BC"/>
    <w:rsid w:val="009825E9"/>
    <w:rsid w:val="00982A4E"/>
    <w:rsid w:val="00982C8E"/>
    <w:rsid w:val="00982CF0"/>
    <w:rsid w:val="00982E86"/>
    <w:rsid w:val="0098360E"/>
    <w:rsid w:val="00983657"/>
    <w:rsid w:val="00983C4D"/>
    <w:rsid w:val="00983CED"/>
    <w:rsid w:val="00983D9D"/>
    <w:rsid w:val="0098413D"/>
    <w:rsid w:val="009845AC"/>
    <w:rsid w:val="009845D4"/>
    <w:rsid w:val="0098479E"/>
    <w:rsid w:val="009853E1"/>
    <w:rsid w:val="009854E1"/>
    <w:rsid w:val="0098564F"/>
    <w:rsid w:val="00985788"/>
    <w:rsid w:val="00985795"/>
    <w:rsid w:val="009857B8"/>
    <w:rsid w:val="009857E9"/>
    <w:rsid w:val="00985981"/>
    <w:rsid w:val="00985A81"/>
    <w:rsid w:val="009860B9"/>
    <w:rsid w:val="0098678C"/>
    <w:rsid w:val="00986915"/>
    <w:rsid w:val="00986A2B"/>
    <w:rsid w:val="00986AB8"/>
    <w:rsid w:val="00986E6B"/>
    <w:rsid w:val="00986EE1"/>
    <w:rsid w:val="00987255"/>
    <w:rsid w:val="009874D9"/>
    <w:rsid w:val="009875A5"/>
    <w:rsid w:val="00987627"/>
    <w:rsid w:val="0098782F"/>
    <w:rsid w:val="009878F5"/>
    <w:rsid w:val="00987CB3"/>
    <w:rsid w:val="00990032"/>
    <w:rsid w:val="0099010F"/>
    <w:rsid w:val="0099019F"/>
    <w:rsid w:val="009901D9"/>
    <w:rsid w:val="00990234"/>
    <w:rsid w:val="009904B4"/>
    <w:rsid w:val="009905BD"/>
    <w:rsid w:val="00990677"/>
    <w:rsid w:val="00990703"/>
    <w:rsid w:val="00990744"/>
    <w:rsid w:val="00990B19"/>
    <w:rsid w:val="00990CA5"/>
    <w:rsid w:val="00990EDA"/>
    <w:rsid w:val="009911C1"/>
    <w:rsid w:val="0099153B"/>
    <w:rsid w:val="009916BE"/>
    <w:rsid w:val="00991769"/>
    <w:rsid w:val="009917E6"/>
    <w:rsid w:val="00991934"/>
    <w:rsid w:val="009919C1"/>
    <w:rsid w:val="00991BA6"/>
    <w:rsid w:val="00991D59"/>
    <w:rsid w:val="00991FE8"/>
    <w:rsid w:val="00992051"/>
    <w:rsid w:val="00992200"/>
    <w:rsid w:val="0099232C"/>
    <w:rsid w:val="0099243B"/>
    <w:rsid w:val="00992558"/>
    <w:rsid w:val="0099273E"/>
    <w:rsid w:val="0099280A"/>
    <w:rsid w:val="00992D48"/>
    <w:rsid w:val="0099325A"/>
    <w:rsid w:val="009933B5"/>
    <w:rsid w:val="0099341A"/>
    <w:rsid w:val="0099373D"/>
    <w:rsid w:val="00993754"/>
    <w:rsid w:val="009938DE"/>
    <w:rsid w:val="0099393D"/>
    <w:rsid w:val="00993A22"/>
    <w:rsid w:val="00993B02"/>
    <w:rsid w:val="00993B5F"/>
    <w:rsid w:val="0099415C"/>
    <w:rsid w:val="00994271"/>
    <w:rsid w:val="009942C5"/>
    <w:rsid w:val="00994386"/>
    <w:rsid w:val="0099494B"/>
    <w:rsid w:val="00994AA3"/>
    <w:rsid w:val="00994AC2"/>
    <w:rsid w:val="00994D24"/>
    <w:rsid w:val="00994FB9"/>
    <w:rsid w:val="00995879"/>
    <w:rsid w:val="00995B22"/>
    <w:rsid w:val="00995D32"/>
    <w:rsid w:val="00995DAB"/>
    <w:rsid w:val="00995F2F"/>
    <w:rsid w:val="009962FF"/>
    <w:rsid w:val="009964C9"/>
    <w:rsid w:val="00996AE0"/>
    <w:rsid w:val="00996EB9"/>
    <w:rsid w:val="00996F62"/>
    <w:rsid w:val="00997677"/>
    <w:rsid w:val="00997DD5"/>
    <w:rsid w:val="009A022B"/>
    <w:rsid w:val="009A031A"/>
    <w:rsid w:val="009A0732"/>
    <w:rsid w:val="009A08AB"/>
    <w:rsid w:val="009A0AB2"/>
    <w:rsid w:val="009A0DC4"/>
    <w:rsid w:val="009A11CC"/>
    <w:rsid w:val="009A12AF"/>
    <w:rsid w:val="009A13D8"/>
    <w:rsid w:val="009A149C"/>
    <w:rsid w:val="009A1534"/>
    <w:rsid w:val="009A1848"/>
    <w:rsid w:val="009A18ED"/>
    <w:rsid w:val="009A193E"/>
    <w:rsid w:val="009A1BB0"/>
    <w:rsid w:val="009A1F9D"/>
    <w:rsid w:val="009A26F3"/>
    <w:rsid w:val="009A279E"/>
    <w:rsid w:val="009A284A"/>
    <w:rsid w:val="009A2BCB"/>
    <w:rsid w:val="009A2E58"/>
    <w:rsid w:val="009A2EC3"/>
    <w:rsid w:val="009A2FB0"/>
    <w:rsid w:val="009A3015"/>
    <w:rsid w:val="009A3490"/>
    <w:rsid w:val="009A3725"/>
    <w:rsid w:val="009A3739"/>
    <w:rsid w:val="009A39FA"/>
    <w:rsid w:val="009A3B6B"/>
    <w:rsid w:val="009A4294"/>
    <w:rsid w:val="009A44B4"/>
    <w:rsid w:val="009A44E2"/>
    <w:rsid w:val="009A45C9"/>
    <w:rsid w:val="009A542A"/>
    <w:rsid w:val="009A58C4"/>
    <w:rsid w:val="009A5B17"/>
    <w:rsid w:val="009A5B6A"/>
    <w:rsid w:val="009A5E96"/>
    <w:rsid w:val="009A62B2"/>
    <w:rsid w:val="009A62C6"/>
    <w:rsid w:val="009A64B4"/>
    <w:rsid w:val="009A64CD"/>
    <w:rsid w:val="009A66BE"/>
    <w:rsid w:val="009A6784"/>
    <w:rsid w:val="009A69E9"/>
    <w:rsid w:val="009A6E5D"/>
    <w:rsid w:val="009A6EC2"/>
    <w:rsid w:val="009A7134"/>
    <w:rsid w:val="009A73E3"/>
    <w:rsid w:val="009A749D"/>
    <w:rsid w:val="009A76D3"/>
    <w:rsid w:val="009A77DB"/>
    <w:rsid w:val="009A77E7"/>
    <w:rsid w:val="009A79EA"/>
    <w:rsid w:val="009A7B84"/>
    <w:rsid w:val="009A7EF2"/>
    <w:rsid w:val="009B036D"/>
    <w:rsid w:val="009B05E5"/>
    <w:rsid w:val="009B0A6F"/>
    <w:rsid w:val="009B0A94"/>
    <w:rsid w:val="009B0C62"/>
    <w:rsid w:val="009B0DB0"/>
    <w:rsid w:val="009B0DEC"/>
    <w:rsid w:val="009B0EE4"/>
    <w:rsid w:val="009B1039"/>
    <w:rsid w:val="009B120E"/>
    <w:rsid w:val="009B1295"/>
    <w:rsid w:val="009B15E5"/>
    <w:rsid w:val="009B189D"/>
    <w:rsid w:val="009B194A"/>
    <w:rsid w:val="009B1F56"/>
    <w:rsid w:val="009B212A"/>
    <w:rsid w:val="009B2621"/>
    <w:rsid w:val="009B279F"/>
    <w:rsid w:val="009B280D"/>
    <w:rsid w:val="009B2877"/>
    <w:rsid w:val="009B2921"/>
    <w:rsid w:val="009B2A57"/>
    <w:rsid w:val="009B2AE8"/>
    <w:rsid w:val="009B2D0D"/>
    <w:rsid w:val="009B33BE"/>
    <w:rsid w:val="009B37C1"/>
    <w:rsid w:val="009B3C59"/>
    <w:rsid w:val="009B3EE1"/>
    <w:rsid w:val="009B3F57"/>
    <w:rsid w:val="009B4599"/>
    <w:rsid w:val="009B48C2"/>
    <w:rsid w:val="009B4A57"/>
    <w:rsid w:val="009B4A8F"/>
    <w:rsid w:val="009B4C96"/>
    <w:rsid w:val="009B4EFF"/>
    <w:rsid w:val="009B55A0"/>
    <w:rsid w:val="009B5622"/>
    <w:rsid w:val="009B57FE"/>
    <w:rsid w:val="009B588E"/>
    <w:rsid w:val="009B59E9"/>
    <w:rsid w:val="009B5A1F"/>
    <w:rsid w:val="009B5C90"/>
    <w:rsid w:val="009B5E89"/>
    <w:rsid w:val="009B650B"/>
    <w:rsid w:val="009B6B12"/>
    <w:rsid w:val="009B6B92"/>
    <w:rsid w:val="009B6BB9"/>
    <w:rsid w:val="009B6C4C"/>
    <w:rsid w:val="009B70AA"/>
    <w:rsid w:val="009B711D"/>
    <w:rsid w:val="009B7540"/>
    <w:rsid w:val="009B7B65"/>
    <w:rsid w:val="009C041E"/>
    <w:rsid w:val="009C0726"/>
    <w:rsid w:val="009C0765"/>
    <w:rsid w:val="009C08D4"/>
    <w:rsid w:val="009C0A26"/>
    <w:rsid w:val="009C0B89"/>
    <w:rsid w:val="009C0EFA"/>
    <w:rsid w:val="009C0FFE"/>
    <w:rsid w:val="009C10D0"/>
    <w:rsid w:val="009C10F8"/>
    <w:rsid w:val="009C130C"/>
    <w:rsid w:val="009C18EC"/>
    <w:rsid w:val="009C1912"/>
    <w:rsid w:val="009C1AAA"/>
    <w:rsid w:val="009C1C91"/>
    <w:rsid w:val="009C1D1E"/>
    <w:rsid w:val="009C1E5C"/>
    <w:rsid w:val="009C1EDC"/>
    <w:rsid w:val="009C2200"/>
    <w:rsid w:val="009C245E"/>
    <w:rsid w:val="009C2F84"/>
    <w:rsid w:val="009C32CC"/>
    <w:rsid w:val="009C35D1"/>
    <w:rsid w:val="009C3604"/>
    <w:rsid w:val="009C363D"/>
    <w:rsid w:val="009C3AD8"/>
    <w:rsid w:val="009C424F"/>
    <w:rsid w:val="009C4632"/>
    <w:rsid w:val="009C47B1"/>
    <w:rsid w:val="009C4818"/>
    <w:rsid w:val="009C4861"/>
    <w:rsid w:val="009C4ADC"/>
    <w:rsid w:val="009C4C6A"/>
    <w:rsid w:val="009C4DA3"/>
    <w:rsid w:val="009C50A5"/>
    <w:rsid w:val="009C53C0"/>
    <w:rsid w:val="009C5584"/>
    <w:rsid w:val="009C5715"/>
    <w:rsid w:val="009C5819"/>
    <w:rsid w:val="009C5D14"/>
    <w:rsid w:val="009C5D6E"/>
    <w:rsid w:val="009C5DF3"/>
    <w:rsid w:val="009C5E77"/>
    <w:rsid w:val="009C609A"/>
    <w:rsid w:val="009C621B"/>
    <w:rsid w:val="009C63B2"/>
    <w:rsid w:val="009C65D1"/>
    <w:rsid w:val="009C6693"/>
    <w:rsid w:val="009C66A2"/>
    <w:rsid w:val="009C6D7C"/>
    <w:rsid w:val="009C7627"/>
    <w:rsid w:val="009C7A7E"/>
    <w:rsid w:val="009C7B27"/>
    <w:rsid w:val="009C7FCF"/>
    <w:rsid w:val="009D0115"/>
    <w:rsid w:val="009D01EF"/>
    <w:rsid w:val="009D02E8"/>
    <w:rsid w:val="009D047F"/>
    <w:rsid w:val="009D04A2"/>
    <w:rsid w:val="009D06D0"/>
    <w:rsid w:val="009D06FB"/>
    <w:rsid w:val="009D0724"/>
    <w:rsid w:val="009D0A8E"/>
    <w:rsid w:val="009D106F"/>
    <w:rsid w:val="009D10C2"/>
    <w:rsid w:val="009D13BA"/>
    <w:rsid w:val="009D1599"/>
    <w:rsid w:val="009D1727"/>
    <w:rsid w:val="009D173D"/>
    <w:rsid w:val="009D18BC"/>
    <w:rsid w:val="009D1B62"/>
    <w:rsid w:val="009D1BC4"/>
    <w:rsid w:val="009D1C49"/>
    <w:rsid w:val="009D1CAE"/>
    <w:rsid w:val="009D1CD7"/>
    <w:rsid w:val="009D1D62"/>
    <w:rsid w:val="009D1F9E"/>
    <w:rsid w:val="009D2CA2"/>
    <w:rsid w:val="009D2ECC"/>
    <w:rsid w:val="009D33D7"/>
    <w:rsid w:val="009D34FB"/>
    <w:rsid w:val="009D37CF"/>
    <w:rsid w:val="009D3803"/>
    <w:rsid w:val="009D3893"/>
    <w:rsid w:val="009D3FF3"/>
    <w:rsid w:val="009D434E"/>
    <w:rsid w:val="009D448A"/>
    <w:rsid w:val="009D4799"/>
    <w:rsid w:val="009D47CA"/>
    <w:rsid w:val="009D4A29"/>
    <w:rsid w:val="009D4BE1"/>
    <w:rsid w:val="009D4D83"/>
    <w:rsid w:val="009D5149"/>
    <w:rsid w:val="009D51D0"/>
    <w:rsid w:val="009D556A"/>
    <w:rsid w:val="009D562F"/>
    <w:rsid w:val="009D5638"/>
    <w:rsid w:val="009D59E5"/>
    <w:rsid w:val="009D5C86"/>
    <w:rsid w:val="009D60AB"/>
    <w:rsid w:val="009D6378"/>
    <w:rsid w:val="009D6B0E"/>
    <w:rsid w:val="009D6C4E"/>
    <w:rsid w:val="009D6F62"/>
    <w:rsid w:val="009D70A4"/>
    <w:rsid w:val="009D72B5"/>
    <w:rsid w:val="009D77BB"/>
    <w:rsid w:val="009D7B14"/>
    <w:rsid w:val="009D7BFE"/>
    <w:rsid w:val="009D7C08"/>
    <w:rsid w:val="009D7E42"/>
    <w:rsid w:val="009E012E"/>
    <w:rsid w:val="009E0198"/>
    <w:rsid w:val="009E01B9"/>
    <w:rsid w:val="009E08D1"/>
    <w:rsid w:val="009E0A97"/>
    <w:rsid w:val="009E0B1D"/>
    <w:rsid w:val="009E0D96"/>
    <w:rsid w:val="009E18FF"/>
    <w:rsid w:val="009E1B95"/>
    <w:rsid w:val="009E1E1B"/>
    <w:rsid w:val="009E1FC4"/>
    <w:rsid w:val="009E224F"/>
    <w:rsid w:val="009E22EE"/>
    <w:rsid w:val="009E232C"/>
    <w:rsid w:val="009E25F3"/>
    <w:rsid w:val="009E2A5B"/>
    <w:rsid w:val="009E2BF7"/>
    <w:rsid w:val="009E3368"/>
    <w:rsid w:val="009E341A"/>
    <w:rsid w:val="009E3776"/>
    <w:rsid w:val="009E3A1F"/>
    <w:rsid w:val="009E3C39"/>
    <w:rsid w:val="009E3F1B"/>
    <w:rsid w:val="009E40FD"/>
    <w:rsid w:val="009E410C"/>
    <w:rsid w:val="009E425E"/>
    <w:rsid w:val="009E496F"/>
    <w:rsid w:val="009E4A8C"/>
    <w:rsid w:val="009E4B0D"/>
    <w:rsid w:val="009E4BE8"/>
    <w:rsid w:val="009E4D2B"/>
    <w:rsid w:val="009E4DB4"/>
    <w:rsid w:val="009E4E90"/>
    <w:rsid w:val="009E4FF6"/>
    <w:rsid w:val="009E5125"/>
    <w:rsid w:val="009E5250"/>
    <w:rsid w:val="009E5753"/>
    <w:rsid w:val="009E5837"/>
    <w:rsid w:val="009E58F0"/>
    <w:rsid w:val="009E5AF2"/>
    <w:rsid w:val="009E5B3E"/>
    <w:rsid w:val="009E5D88"/>
    <w:rsid w:val="009E5F24"/>
    <w:rsid w:val="009E5F46"/>
    <w:rsid w:val="009E611B"/>
    <w:rsid w:val="009E62EB"/>
    <w:rsid w:val="009E6359"/>
    <w:rsid w:val="009E6387"/>
    <w:rsid w:val="009E64AB"/>
    <w:rsid w:val="009E666F"/>
    <w:rsid w:val="009E670E"/>
    <w:rsid w:val="009E7033"/>
    <w:rsid w:val="009E73EC"/>
    <w:rsid w:val="009E74AF"/>
    <w:rsid w:val="009E7998"/>
    <w:rsid w:val="009E7A69"/>
    <w:rsid w:val="009E7A79"/>
    <w:rsid w:val="009E7D12"/>
    <w:rsid w:val="009E7F12"/>
    <w:rsid w:val="009E7F92"/>
    <w:rsid w:val="009F02A3"/>
    <w:rsid w:val="009F02E9"/>
    <w:rsid w:val="009F0331"/>
    <w:rsid w:val="009F035C"/>
    <w:rsid w:val="009F042E"/>
    <w:rsid w:val="009F07FF"/>
    <w:rsid w:val="009F08FD"/>
    <w:rsid w:val="009F0C11"/>
    <w:rsid w:val="009F1014"/>
    <w:rsid w:val="009F1049"/>
    <w:rsid w:val="009F1360"/>
    <w:rsid w:val="009F13A8"/>
    <w:rsid w:val="009F1564"/>
    <w:rsid w:val="009F169D"/>
    <w:rsid w:val="009F1CA7"/>
    <w:rsid w:val="009F1D22"/>
    <w:rsid w:val="009F2182"/>
    <w:rsid w:val="009F2278"/>
    <w:rsid w:val="009F22B0"/>
    <w:rsid w:val="009F2608"/>
    <w:rsid w:val="009F2668"/>
    <w:rsid w:val="009F277A"/>
    <w:rsid w:val="009F281E"/>
    <w:rsid w:val="009F28D1"/>
    <w:rsid w:val="009F28FC"/>
    <w:rsid w:val="009F29B1"/>
    <w:rsid w:val="009F2D61"/>
    <w:rsid w:val="009F2D74"/>
    <w:rsid w:val="009F2DA2"/>
    <w:rsid w:val="009F2E7C"/>
    <w:rsid w:val="009F2F27"/>
    <w:rsid w:val="009F3067"/>
    <w:rsid w:val="009F309B"/>
    <w:rsid w:val="009F309C"/>
    <w:rsid w:val="009F31D6"/>
    <w:rsid w:val="009F34AA"/>
    <w:rsid w:val="009F353F"/>
    <w:rsid w:val="009F35E7"/>
    <w:rsid w:val="009F367C"/>
    <w:rsid w:val="009F3746"/>
    <w:rsid w:val="009F4067"/>
    <w:rsid w:val="009F41E2"/>
    <w:rsid w:val="009F4356"/>
    <w:rsid w:val="009F4626"/>
    <w:rsid w:val="009F4B9A"/>
    <w:rsid w:val="009F4CA2"/>
    <w:rsid w:val="009F5105"/>
    <w:rsid w:val="009F5984"/>
    <w:rsid w:val="009F5A8E"/>
    <w:rsid w:val="009F5BBD"/>
    <w:rsid w:val="009F5BD9"/>
    <w:rsid w:val="009F5C4F"/>
    <w:rsid w:val="009F5C68"/>
    <w:rsid w:val="009F6101"/>
    <w:rsid w:val="009F6348"/>
    <w:rsid w:val="009F6381"/>
    <w:rsid w:val="009F6BCB"/>
    <w:rsid w:val="009F6ECC"/>
    <w:rsid w:val="009F7169"/>
    <w:rsid w:val="009F77C4"/>
    <w:rsid w:val="009F7807"/>
    <w:rsid w:val="009F783E"/>
    <w:rsid w:val="009F7B78"/>
    <w:rsid w:val="009F7D91"/>
    <w:rsid w:val="009F7F3A"/>
    <w:rsid w:val="00A00055"/>
    <w:rsid w:val="00A00174"/>
    <w:rsid w:val="00A001F8"/>
    <w:rsid w:val="00A002D6"/>
    <w:rsid w:val="00A00454"/>
    <w:rsid w:val="00A0057A"/>
    <w:rsid w:val="00A00666"/>
    <w:rsid w:val="00A00690"/>
    <w:rsid w:val="00A0084B"/>
    <w:rsid w:val="00A00A09"/>
    <w:rsid w:val="00A011B7"/>
    <w:rsid w:val="00A0125D"/>
    <w:rsid w:val="00A01276"/>
    <w:rsid w:val="00A01491"/>
    <w:rsid w:val="00A016E5"/>
    <w:rsid w:val="00A01AF1"/>
    <w:rsid w:val="00A01D4F"/>
    <w:rsid w:val="00A01E91"/>
    <w:rsid w:val="00A01F9B"/>
    <w:rsid w:val="00A02039"/>
    <w:rsid w:val="00A020B8"/>
    <w:rsid w:val="00A02105"/>
    <w:rsid w:val="00A02166"/>
    <w:rsid w:val="00A02464"/>
    <w:rsid w:val="00A02CD7"/>
    <w:rsid w:val="00A02D85"/>
    <w:rsid w:val="00A02EC0"/>
    <w:rsid w:val="00A02FA1"/>
    <w:rsid w:val="00A02FF3"/>
    <w:rsid w:val="00A031DA"/>
    <w:rsid w:val="00A031E1"/>
    <w:rsid w:val="00A031E2"/>
    <w:rsid w:val="00A036CC"/>
    <w:rsid w:val="00A038C4"/>
    <w:rsid w:val="00A03CE0"/>
    <w:rsid w:val="00A03F4A"/>
    <w:rsid w:val="00A0406D"/>
    <w:rsid w:val="00A041F9"/>
    <w:rsid w:val="00A04341"/>
    <w:rsid w:val="00A04550"/>
    <w:rsid w:val="00A04A75"/>
    <w:rsid w:val="00A04CCE"/>
    <w:rsid w:val="00A04D50"/>
    <w:rsid w:val="00A04E26"/>
    <w:rsid w:val="00A050FF"/>
    <w:rsid w:val="00A0517A"/>
    <w:rsid w:val="00A05654"/>
    <w:rsid w:val="00A056DD"/>
    <w:rsid w:val="00A05DA8"/>
    <w:rsid w:val="00A05DD1"/>
    <w:rsid w:val="00A05ED1"/>
    <w:rsid w:val="00A05FAB"/>
    <w:rsid w:val="00A06139"/>
    <w:rsid w:val="00A065B4"/>
    <w:rsid w:val="00A0680B"/>
    <w:rsid w:val="00A069D9"/>
    <w:rsid w:val="00A071A3"/>
    <w:rsid w:val="00A07421"/>
    <w:rsid w:val="00A07660"/>
    <w:rsid w:val="00A0776B"/>
    <w:rsid w:val="00A077BE"/>
    <w:rsid w:val="00A07846"/>
    <w:rsid w:val="00A079D3"/>
    <w:rsid w:val="00A07AF2"/>
    <w:rsid w:val="00A07C12"/>
    <w:rsid w:val="00A07E76"/>
    <w:rsid w:val="00A07EC3"/>
    <w:rsid w:val="00A1032B"/>
    <w:rsid w:val="00A106E4"/>
    <w:rsid w:val="00A10708"/>
    <w:rsid w:val="00A107AE"/>
    <w:rsid w:val="00A10929"/>
    <w:rsid w:val="00A10966"/>
    <w:rsid w:val="00A10B00"/>
    <w:rsid w:val="00A10C31"/>
    <w:rsid w:val="00A10CBC"/>
    <w:rsid w:val="00A10CC2"/>
    <w:rsid w:val="00A10EF0"/>
    <w:rsid w:val="00A10FB9"/>
    <w:rsid w:val="00A11058"/>
    <w:rsid w:val="00A1112F"/>
    <w:rsid w:val="00A11151"/>
    <w:rsid w:val="00A11232"/>
    <w:rsid w:val="00A11421"/>
    <w:rsid w:val="00A11591"/>
    <w:rsid w:val="00A11685"/>
    <w:rsid w:val="00A11A5B"/>
    <w:rsid w:val="00A11BBD"/>
    <w:rsid w:val="00A11C64"/>
    <w:rsid w:val="00A11DE9"/>
    <w:rsid w:val="00A11FA8"/>
    <w:rsid w:val="00A1238E"/>
    <w:rsid w:val="00A125D1"/>
    <w:rsid w:val="00A12822"/>
    <w:rsid w:val="00A129CE"/>
    <w:rsid w:val="00A12BB5"/>
    <w:rsid w:val="00A12F23"/>
    <w:rsid w:val="00A1316E"/>
    <w:rsid w:val="00A131DC"/>
    <w:rsid w:val="00A1357D"/>
    <w:rsid w:val="00A136A9"/>
    <w:rsid w:val="00A1379C"/>
    <w:rsid w:val="00A1389F"/>
    <w:rsid w:val="00A13B7A"/>
    <w:rsid w:val="00A13BF3"/>
    <w:rsid w:val="00A13FB0"/>
    <w:rsid w:val="00A14049"/>
    <w:rsid w:val="00A14A0D"/>
    <w:rsid w:val="00A14AA9"/>
    <w:rsid w:val="00A14CEA"/>
    <w:rsid w:val="00A1514D"/>
    <w:rsid w:val="00A15402"/>
    <w:rsid w:val="00A157B1"/>
    <w:rsid w:val="00A173BB"/>
    <w:rsid w:val="00A173D7"/>
    <w:rsid w:val="00A17987"/>
    <w:rsid w:val="00A17ABA"/>
    <w:rsid w:val="00A17B65"/>
    <w:rsid w:val="00A17EC2"/>
    <w:rsid w:val="00A20175"/>
    <w:rsid w:val="00A2060C"/>
    <w:rsid w:val="00A20842"/>
    <w:rsid w:val="00A20DEF"/>
    <w:rsid w:val="00A20FC8"/>
    <w:rsid w:val="00A212AF"/>
    <w:rsid w:val="00A21453"/>
    <w:rsid w:val="00A2197D"/>
    <w:rsid w:val="00A21ABB"/>
    <w:rsid w:val="00A21B43"/>
    <w:rsid w:val="00A21DC6"/>
    <w:rsid w:val="00A21E1B"/>
    <w:rsid w:val="00A21F61"/>
    <w:rsid w:val="00A22108"/>
    <w:rsid w:val="00A22229"/>
    <w:rsid w:val="00A22653"/>
    <w:rsid w:val="00A22784"/>
    <w:rsid w:val="00A228A2"/>
    <w:rsid w:val="00A229D4"/>
    <w:rsid w:val="00A22EAE"/>
    <w:rsid w:val="00A22EE0"/>
    <w:rsid w:val="00A22F2C"/>
    <w:rsid w:val="00A22FD9"/>
    <w:rsid w:val="00A230F7"/>
    <w:rsid w:val="00A23152"/>
    <w:rsid w:val="00A23242"/>
    <w:rsid w:val="00A2361A"/>
    <w:rsid w:val="00A23DCB"/>
    <w:rsid w:val="00A23E79"/>
    <w:rsid w:val="00A23ED6"/>
    <w:rsid w:val="00A23EEC"/>
    <w:rsid w:val="00A24442"/>
    <w:rsid w:val="00A2470A"/>
    <w:rsid w:val="00A2471C"/>
    <w:rsid w:val="00A24ADA"/>
    <w:rsid w:val="00A24B74"/>
    <w:rsid w:val="00A24F91"/>
    <w:rsid w:val="00A253AF"/>
    <w:rsid w:val="00A255F3"/>
    <w:rsid w:val="00A258CA"/>
    <w:rsid w:val="00A25923"/>
    <w:rsid w:val="00A25983"/>
    <w:rsid w:val="00A25E2A"/>
    <w:rsid w:val="00A25ED0"/>
    <w:rsid w:val="00A265AC"/>
    <w:rsid w:val="00A26924"/>
    <w:rsid w:val="00A26ECA"/>
    <w:rsid w:val="00A27038"/>
    <w:rsid w:val="00A2717A"/>
    <w:rsid w:val="00A271FF"/>
    <w:rsid w:val="00A276CC"/>
    <w:rsid w:val="00A2793B"/>
    <w:rsid w:val="00A27C9A"/>
    <w:rsid w:val="00A27CA9"/>
    <w:rsid w:val="00A27E35"/>
    <w:rsid w:val="00A27E99"/>
    <w:rsid w:val="00A300A8"/>
    <w:rsid w:val="00A30253"/>
    <w:rsid w:val="00A3079E"/>
    <w:rsid w:val="00A308D4"/>
    <w:rsid w:val="00A30A15"/>
    <w:rsid w:val="00A30A7A"/>
    <w:rsid w:val="00A30AC4"/>
    <w:rsid w:val="00A30AE6"/>
    <w:rsid w:val="00A30C1D"/>
    <w:rsid w:val="00A30D83"/>
    <w:rsid w:val="00A30F2A"/>
    <w:rsid w:val="00A30F98"/>
    <w:rsid w:val="00A31008"/>
    <w:rsid w:val="00A310DB"/>
    <w:rsid w:val="00A313EA"/>
    <w:rsid w:val="00A3146A"/>
    <w:rsid w:val="00A31A48"/>
    <w:rsid w:val="00A31AF4"/>
    <w:rsid w:val="00A31B5D"/>
    <w:rsid w:val="00A31CC2"/>
    <w:rsid w:val="00A31F65"/>
    <w:rsid w:val="00A31FEE"/>
    <w:rsid w:val="00A32116"/>
    <w:rsid w:val="00A321F6"/>
    <w:rsid w:val="00A32577"/>
    <w:rsid w:val="00A326F9"/>
    <w:rsid w:val="00A32E9A"/>
    <w:rsid w:val="00A330A6"/>
    <w:rsid w:val="00A330BB"/>
    <w:rsid w:val="00A331AA"/>
    <w:rsid w:val="00A332B1"/>
    <w:rsid w:val="00A3341C"/>
    <w:rsid w:val="00A3367F"/>
    <w:rsid w:val="00A33756"/>
    <w:rsid w:val="00A33798"/>
    <w:rsid w:val="00A33D71"/>
    <w:rsid w:val="00A33DEE"/>
    <w:rsid w:val="00A342D2"/>
    <w:rsid w:val="00A343CA"/>
    <w:rsid w:val="00A34458"/>
    <w:rsid w:val="00A34496"/>
    <w:rsid w:val="00A35033"/>
    <w:rsid w:val="00A352F1"/>
    <w:rsid w:val="00A35361"/>
    <w:rsid w:val="00A355B3"/>
    <w:rsid w:val="00A3589A"/>
    <w:rsid w:val="00A35DEF"/>
    <w:rsid w:val="00A35F5E"/>
    <w:rsid w:val="00A36165"/>
    <w:rsid w:val="00A361C2"/>
    <w:rsid w:val="00A365F2"/>
    <w:rsid w:val="00A36ACF"/>
    <w:rsid w:val="00A36BBF"/>
    <w:rsid w:val="00A36C13"/>
    <w:rsid w:val="00A36FD4"/>
    <w:rsid w:val="00A370B6"/>
    <w:rsid w:val="00A37761"/>
    <w:rsid w:val="00A37869"/>
    <w:rsid w:val="00A37BFB"/>
    <w:rsid w:val="00A37EDF"/>
    <w:rsid w:val="00A37F20"/>
    <w:rsid w:val="00A400A0"/>
    <w:rsid w:val="00A40313"/>
    <w:rsid w:val="00A405A0"/>
    <w:rsid w:val="00A405FE"/>
    <w:rsid w:val="00A4066C"/>
    <w:rsid w:val="00A40940"/>
    <w:rsid w:val="00A40A16"/>
    <w:rsid w:val="00A40A40"/>
    <w:rsid w:val="00A40C17"/>
    <w:rsid w:val="00A4101C"/>
    <w:rsid w:val="00A4121E"/>
    <w:rsid w:val="00A415FB"/>
    <w:rsid w:val="00A417EE"/>
    <w:rsid w:val="00A41AA3"/>
    <w:rsid w:val="00A41C4E"/>
    <w:rsid w:val="00A420B1"/>
    <w:rsid w:val="00A422DB"/>
    <w:rsid w:val="00A4230A"/>
    <w:rsid w:val="00A42580"/>
    <w:rsid w:val="00A426C5"/>
    <w:rsid w:val="00A42A93"/>
    <w:rsid w:val="00A43500"/>
    <w:rsid w:val="00A43674"/>
    <w:rsid w:val="00A443B7"/>
    <w:rsid w:val="00A444F0"/>
    <w:rsid w:val="00A446F5"/>
    <w:rsid w:val="00A44762"/>
    <w:rsid w:val="00A44882"/>
    <w:rsid w:val="00A44F2C"/>
    <w:rsid w:val="00A45125"/>
    <w:rsid w:val="00A452B3"/>
    <w:rsid w:val="00A453B8"/>
    <w:rsid w:val="00A4571E"/>
    <w:rsid w:val="00A45902"/>
    <w:rsid w:val="00A45DA3"/>
    <w:rsid w:val="00A46058"/>
    <w:rsid w:val="00A4608C"/>
    <w:rsid w:val="00A461A4"/>
    <w:rsid w:val="00A466D9"/>
    <w:rsid w:val="00A46896"/>
    <w:rsid w:val="00A46AA7"/>
    <w:rsid w:val="00A46B5E"/>
    <w:rsid w:val="00A46EE3"/>
    <w:rsid w:val="00A46F55"/>
    <w:rsid w:val="00A47163"/>
    <w:rsid w:val="00A471D0"/>
    <w:rsid w:val="00A4746B"/>
    <w:rsid w:val="00A477BA"/>
    <w:rsid w:val="00A47994"/>
    <w:rsid w:val="00A47BDF"/>
    <w:rsid w:val="00A47FE9"/>
    <w:rsid w:val="00A5030B"/>
    <w:rsid w:val="00A50679"/>
    <w:rsid w:val="00A506E9"/>
    <w:rsid w:val="00A50989"/>
    <w:rsid w:val="00A50DF3"/>
    <w:rsid w:val="00A50EFB"/>
    <w:rsid w:val="00A510D7"/>
    <w:rsid w:val="00A51245"/>
    <w:rsid w:val="00A51824"/>
    <w:rsid w:val="00A51D3B"/>
    <w:rsid w:val="00A5215B"/>
    <w:rsid w:val="00A5218E"/>
    <w:rsid w:val="00A526B6"/>
    <w:rsid w:val="00A527EE"/>
    <w:rsid w:val="00A52AE0"/>
    <w:rsid w:val="00A52B57"/>
    <w:rsid w:val="00A52E48"/>
    <w:rsid w:val="00A52F0F"/>
    <w:rsid w:val="00A53169"/>
    <w:rsid w:val="00A5324D"/>
    <w:rsid w:val="00A53309"/>
    <w:rsid w:val="00A533DA"/>
    <w:rsid w:val="00A534AC"/>
    <w:rsid w:val="00A5350F"/>
    <w:rsid w:val="00A53561"/>
    <w:rsid w:val="00A535C1"/>
    <w:rsid w:val="00A53722"/>
    <w:rsid w:val="00A53A15"/>
    <w:rsid w:val="00A53BA5"/>
    <w:rsid w:val="00A53EB1"/>
    <w:rsid w:val="00A54240"/>
    <w:rsid w:val="00A5442C"/>
    <w:rsid w:val="00A54715"/>
    <w:rsid w:val="00A54D4C"/>
    <w:rsid w:val="00A54DBD"/>
    <w:rsid w:val="00A54FC1"/>
    <w:rsid w:val="00A5522D"/>
    <w:rsid w:val="00A5540D"/>
    <w:rsid w:val="00A5554A"/>
    <w:rsid w:val="00A557E6"/>
    <w:rsid w:val="00A55F66"/>
    <w:rsid w:val="00A560BD"/>
    <w:rsid w:val="00A56640"/>
    <w:rsid w:val="00A56C9A"/>
    <w:rsid w:val="00A57016"/>
    <w:rsid w:val="00A57072"/>
    <w:rsid w:val="00A572C8"/>
    <w:rsid w:val="00A573AE"/>
    <w:rsid w:val="00A574A7"/>
    <w:rsid w:val="00A577B0"/>
    <w:rsid w:val="00A579AF"/>
    <w:rsid w:val="00A57C52"/>
    <w:rsid w:val="00A57DED"/>
    <w:rsid w:val="00A57E89"/>
    <w:rsid w:val="00A57FB1"/>
    <w:rsid w:val="00A60018"/>
    <w:rsid w:val="00A600F0"/>
    <w:rsid w:val="00A6014B"/>
    <w:rsid w:val="00A6061C"/>
    <w:rsid w:val="00A606E2"/>
    <w:rsid w:val="00A6075C"/>
    <w:rsid w:val="00A607F8"/>
    <w:rsid w:val="00A60C00"/>
    <w:rsid w:val="00A60CFB"/>
    <w:rsid w:val="00A60E7B"/>
    <w:rsid w:val="00A60EC1"/>
    <w:rsid w:val="00A60F13"/>
    <w:rsid w:val="00A60F91"/>
    <w:rsid w:val="00A61006"/>
    <w:rsid w:val="00A61109"/>
    <w:rsid w:val="00A6125B"/>
    <w:rsid w:val="00A61278"/>
    <w:rsid w:val="00A61762"/>
    <w:rsid w:val="00A61799"/>
    <w:rsid w:val="00A61F17"/>
    <w:rsid w:val="00A62090"/>
    <w:rsid w:val="00A624FF"/>
    <w:rsid w:val="00A62768"/>
    <w:rsid w:val="00A62945"/>
    <w:rsid w:val="00A62D44"/>
    <w:rsid w:val="00A62E95"/>
    <w:rsid w:val="00A632ED"/>
    <w:rsid w:val="00A63335"/>
    <w:rsid w:val="00A6347E"/>
    <w:rsid w:val="00A63720"/>
    <w:rsid w:val="00A6382E"/>
    <w:rsid w:val="00A63DB3"/>
    <w:rsid w:val="00A63ED6"/>
    <w:rsid w:val="00A64045"/>
    <w:rsid w:val="00A64744"/>
    <w:rsid w:val="00A64893"/>
    <w:rsid w:val="00A64CE6"/>
    <w:rsid w:val="00A64D0C"/>
    <w:rsid w:val="00A64F35"/>
    <w:rsid w:val="00A64FEB"/>
    <w:rsid w:val="00A651DE"/>
    <w:rsid w:val="00A651F9"/>
    <w:rsid w:val="00A65274"/>
    <w:rsid w:val="00A65491"/>
    <w:rsid w:val="00A656B2"/>
    <w:rsid w:val="00A658AB"/>
    <w:rsid w:val="00A658CF"/>
    <w:rsid w:val="00A65C46"/>
    <w:rsid w:val="00A65DC3"/>
    <w:rsid w:val="00A65EFC"/>
    <w:rsid w:val="00A65F11"/>
    <w:rsid w:val="00A6613F"/>
    <w:rsid w:val="00A66398"/>
    <w:rsid w:val="00A664A0"/>
    <w:rsid w:val="00A66A2A"/>
    <w:rsid w:val="00A67263"/>
    <w:rsid w:val="00A672A3"/>
    <w:rsid w:val="00A676A0"/>
    <w:rsid w:val="00A67D27"/>
    <w:rsid w:val="00A67D97"/>
    <w:rsid w:val="00A67E7E"/>
    <w:rsid w:val="00A67EA2"/>
    <w:rsid w:val="00A67FDC"/>
    <w:rsid w:val="00A703A8"/>
    <w:rsid w:val="00A703EA"/>
    <w:rsid w:val="00A70526"/>
    <w:rsid w:val="00A705A7"/>
    <w:rsid w:val="00A705EC"/>
    <w:rsid w:val="00A705FA"/>
    <w:rsid w:val="00A70684"/>
    <w:rsid w:val="00A707C2"/>
    <w:rsid w:val="00A7080B"/>
    <w:rsid w:val="00A70D33"/>
    <w:rsid w:val="00A70D82"/>
    <w:rsid w:val="00A7114D"/>
    <w:rsid w:val="00A7161C"/>
    <w:rsid w:val="00A71A8C"/>
    <w:rsid w:val="00A71CE4"/>
    <w:rsid w:val="00A71FA0"/>
    <w:rsid w:val="00A7210E"/>
    <w:rsid w:val="00A7212B"/>
    <w:rsid w:val="00A7251E"/>
    <w:rsid w:val="00A729FA"/>
    <w:rsid w:val="00A72C9C"/>
    <w:rsid w:val="00A72CBA"/>
    <w:rsid w:val="00A7303E"/>
    <w:rsid w:val="00A73418"/>
    <w:rsid w:val="00A735FB"/>
    <w:rsid w:val="00A73756"/>
    <w:rsid w:val="00A7377D"/>
    <w:rsid w:val="00A737E6"/>
    <w:rsid w:val="00A738D7"/>
    <w:rsid w:val="00A739F9"/>
    <w:rsid w:val="00A73A38"/>
    <w:rsid w:val="00A73C71"/>
    <w:rsid w:val="00A740D6"/>
    <w:rsid w:val="00A745FC"/>
    <w:rsid w:val="00A74882"/>
    <w:rsid w:val="00A74CE5"/>
    <w:rsid w:val="00A74CE8"/>
    <w:rsid w:val="00A75178"/>
    <w:rsid w:val="00A75225"/>
    <w:rsid w:val="00A756C0"/>
    <w:rsid w:val="00A756F9"/>
    <w:rsid w:val="00A75706"/>
    <w:rsid w:val="00A757AD"/>
    <w:rsid w:val="00A75A1C"/>
    <w:rsid w:val="00A75A1D"/>
    <w:rsid w:val="00A75B0F"/>
    <w:rsid w:val="00A75B12"/>
    <w:rsid w:val="00A75D3B"/>
    <w:rsid w:val="00A75E35"/>
    <w:rsid w:val="00A766ED"/>
    <w:rsid w:val="00A768E6"/>
    <w:rsid w:val="00A76E38"/>
    <w:rsid w:val="00A77227"/>
    <w:rsid w:val="00A772D5"/>
    <w:rsid w:val="00A77462"/>
    <w:rsid w:val="00A777C1"/>
    <w:rsid w:val="00A77AA3"/>
    <w:rsid w:val="00A77BC7"/>
    <w:rsid w:val="00A77EA0"/>
    <w:rsid w:val="00A80006"/>
    <w:rsid w:val="00A8003B"/>
    <w:rsid w:val="00A80104"/>
    <w:rsid w:val="00A8017A"/>
    <w:rsid w:val="00A80227"/>
    <w:rsid w:val="00A8035F"/>
    <w:rsid w:val="00A805BC"/>
    <w:rsid w:val="00A80952"/>
    <w:rsid w:val="00A80E34"/>
    <w:rsid w:val="00A80F21"/>
    <w:rsid w:val="00A80FB7"/>
    <w:rsid w:val="00A8122F"/>
    <w:rsid w:val="00A8129F"/>
    <w:rsid w:val="00A812AC"/>
    <w:rsid w:val="00A813B8"/>
    <w:rsid w:val="00A8154A"/>
    <w:rsid w:val="00A81642"/>
    <w:rsid w:val="00A817ED"/>
    <w:rsid w:val="00A81887"/>
    <w:rsid w:val="00A8196B"/>
    <w:rsid w:val="00A81C3B"/>
    <w:rsid w:val="00A81DAF"/>
    <w:rsid w:val="00A81ED2"/>
    <w:rsid w:val="00A81F58"/>
    <w:rsid w:val="00A81FBF"/>
    <w:rsid w:val="00A82296"/>
    <w:rsid w:val="00A8236D"/>
    <w:rsid w:val="00A82795"/>
    <w:rsid w:val="00A8280D"/>
    <w:rsid w:val="00A833BF"/>
    <w:rsid w:val="00A83745"/>
    <w:rsid w:val="00A83A10"/>
    <w:rsid w:val="00A83AD5"/>
    <w:rsid w:val="00A83BEF"/>
    <w:rsid w:val="00A83CCC"/>
    <w:rsid w:val="00A83D4D"/>
    <w:rsid w:val="00A83E54"/>
    <w:rsid w:val="00A83F6F"/>
    <w:rsid w:val="00A841E8"/>
    <w:rsid w:val="00A84286"/>
    <w:rsid w:val="00A8434E"/>
    <w:rsid w:val="00A845D5"/>
    <w:rsid w:val="00A8483C"/>
    <w:rsid w:val="00A84A0D"/>
    <w:rsid w:val="00A852EB"/>
    <w:rsid w:val="00A854EB"/>
    <w:rsid w:val="00A8573F"/>
    <w:rsid w:val="00A85790"/>
    <w:rsid w:val="00A85D0D"/>
    <w:rsid w:val="00A8610E"/>
    <w:rsid w:val="00A864E4"/>
    <w:rsid w:val="00A86699"/>
    <w:rsid w:val="00A86841"/>
    <w:rsid w:val="00A86BDB"/>
    <w:rsid w:val="00A86E5B"/>
    <w:rsid w:val="00A87195"/>
    <w:rsid w:val="00A872C4"/>
    <w:rsid w:val="00A872E5"/>
    <w:rsid w:val="00A874BC"/>
    <w:rsid w:val="00A875DF"/>
    <w:rsid w:val="00A8775D"/>
    <w:rsid w:val="00A87BDD"/>
    <w:rsid w:val="00A87CA4"/>
    <w:rsid w:val="00A87D2B"/>
    <w:rsid w:val="00A90046"/>
    <w:rsid w:val="00A900B1"/>
    <w:rsid w:val="00A90128"/>
    <w:rsid w:val="00A903BF"/>
    <w:rsid w:val="00A903FF"/>
    <w:rsid w:val="00A904A6"/>
    <w:rsid w:val="00A90A99"/>
    <w:rsid w:val="00A90FAB"/>
    <w:rsid w:val="00A91169"/>
    <w:rsid w:val="00A91406"/>
    <w:rsid w:val="00A91706"/>
    <w:rsid w:val="00A91A7B"/>
    <w:rsid w:val="00A91AE5"/>
    <w:rsid w:val="00A91B4E"/>
    <w:rsid w:val="00A91DC6"/>
    <w:rsid w:val="00A91F0F"/>
    <w:rsid w:val="00A91F13"/>
    <w:rsid w:val="00A921FB"/>
    <w:rsid w:val="00A9230E"/>
    <w:rsid w:val="00A92BEC"/>
    <w:rsid w:val="00A92E59"/>
    <w:rsid w:val="00A93036"/>
    <w:rsid w:val="00A9320F"/>
    <w:rsid w:val="00A933F8"/>
    <w:rsid w:val="00A937FA"/>
    <w:rsid w:val="00A93C99"/>
    <w:rsid w:val="00A93E52"/>
    <w:rsid w:val="00A93EA2"/>
    <w:rsid w:val="00A93F54"/>
    <w:rsid w:val="00A94273"/>
    <w:rsid w:val="00A942E4"/>
    <w:rsid w:val="00A9430F"/>
    <w:rsid w:val="00A946E7"/>
    <w:rsid w:val="00A947F4"/>
    <w:rsid w:val="00A94830"/>
    <w:rsid w:val="00A94920"/>
    <w:rsid w:val="00A94B66"/>
    <w:rsid w:val="00A94DD6"/>
    <w:rsid w:val="00A94FA1"/>
    <w:rsid w:val="00A95050"/>
    <w:rsid w:val="00A95153"/>
    <w:rsid w:val="00A95368"/>
    <w:rsid w:val="00A9539D"/>
    <w:rsid w:val="00A956AB"/>
    <w:rsid w:val="00A95741"/>
    <w:rsid w:val="00A95C3E"/>
    <w:rsid w:val="00A96740"/>
    <w:rsid w:val="00A96C99"/>
    <w:rsid w:val="00A96D32"/>
    <w:rsid w:val="00A96E65"/>
    <w:rsid w:val="00A96E68"/>
    <w:rsid w:val="00A96ECE"/>
    <w:rsid w:val="00A96ED1"/>
    <w:rsid w:val="00A96F15"/>
    <w:rsid w:val="00A97292"/>
    <w:rsid w:val="00A97523"/>
    <w:rsid w:val="00A97C72"/>
    <w:rsid w:val="00A97C8D"/>
    <w:rsid w:val="00AA0064"/>
    <w:rsid w:val="00AA0263"/>
    <w:rsid w:val="00AA056C"/>
    <w:rsid w:val="00AA07EB"/>
    <w:rsid w:val="00AA0858"/>
    <w:rsid w:val="00AA0BF8"/>
    <w:rsid w:val="00AA0DB4"/>
    <w:rsid w:val="00AA0DDC"/>
    <w:rsid w:val="00AA0E5D"/>
    <w:rsid w:val="00AA0F7A"/>
    <w:rsid w:val="00AA1190"/>
    <w:rsid w:val="00AA13AB"/>
    <w:rsid w:val="00AA1692"/>
    <w:rsid w:val="00AA1BF8"/>
    <w:rsid w:val="00AA1D30"/>
    <w:rsid w:val="00AA2069"/>
    <w:rsid w:val="00AA238C"/>
    <w:rsid w:val="00AA23BE"/>
    <w:rsid w:val="00AA2BCB"/>
    <w:rsid w:val="00AA2C8B"/>
    <w:rsid w:val="00AA2CA3"/>
    <w:rsid w:val="00AA2CD3"/>
    <w:rsid w:val="00AA310B"/>
    <w:rsid w:val="00AA3115"/>
    <w:rsid w:val="00AA3719"/>
    <w:rsid w:val="00AA39ED"/>
    <w:rsid w:val="00AA3A56"/>
    <w:rsid w:val="00AA3F45"/>
    <w:rsid w:val="00AA47DE"/>
    <w:rsid w:val="00AA4CD8"/>
    <w:rsid w:val="00AA4F08"/>
    <w:rsid w:val="00AA531C"/>
    <w:rsid w:val="00AA54F3"/>
    <w:rsid w:val="00AA5A05"/>
    <w:rsid w:val="00AA5A8A"/>
    <w:rsid w:val="00AA5DDD"/>
    <w:rsid w:val="00AA5FB6"/>
    <w:rsid w:val="00AA60E3"/>
    <w:rsid w:val="00AA619D"/>
    <w:rsid w:val="00AA63D4"/>
    <w:rsid w:val="00AA64AC"/>
    <w:rsid w:val="00AA6A22"/>
    <w:rsid w:val="00AA6A9F"/>
    <w:rsid w:val="00AA6E02"/>
    <w:rsid w:val="00AA6F8C"/>
    <w:rsid w:val="00AA7013"/>
    <w:rsid w:val="00AA74AE"/>
    <w:rsid w:val="00AA7816"/>
    <w:rsid w:val="00AA7BAE"/>
    <w:rsid w:val="00AB018E"/>
    <w:rsid w:val="00AB0422"/>
    <w:rsid w:val="00AB0471"/>
    <w:rsid w:val="00AB066B"/>
    <w:rsid w:val="00AB06E8"/>
    <w:rsid w:val="00AB07AC"/>
    <w:rsid w:val="00AB07D7"/>
    <w:rsid w:val="00AB0BBB"/>
    <w:rsid w:val="00AB0C73"/>
    <w:rsid w:val="00AB0C81"/>
    <w:rsid w:val="00AB0D5B"/>
    <w:rsid w:val="00AB0F0E"/>
    <w:rsid w:val="00AB10CA"/>
    <w:rsid w:val="00AB11DC"/>
    <w:rsid w:val="00AB1267"/>
    <w:rsid w:val="00AB1348"/>
    <w:rsid w:val="00AB14BA"/>
    <w:rsid w:val="00AB167E"/>
    <w:rsid w:val="00AB1860"/>
    <w:rsid w:val="00AB1A27"/>
    <w:rsid w:val="00AB1BF4"/>
    <w:rsid w:val="00AB1CD3"/>
    <w:rsid w:val="00AB1D63"/>
    <w:rsid w:val="00AB1EA8"/>
    <w:rsid w:val="00AB22DD"/>
    <w:rsid w:val="00AB245F"/>
    <w:rsid w:val="00AB2638"/>
    <w:rsid w:val="00AB27EA"/>
    <w:rsid w:val="00AB27EF"/>
    <w:rsid w:val="00AB285D"/>
    <w:rsid w:val="00AB29AF"/>
    <w:rsid w:val="00AB2A6F"/>
    <w:rsid w:val="00AB2D76"/>
    <w:rsid w:val="00AB30AA"/>
    <w:rsid w:val="00AB352F"/>
    <w:rsid w:val="00AB35A0"/>
    <w:rsid w:val="00AB388C"/>
    <w:rsid w:val="00AB3D3A"/>
    <w:rsid w:val="00AB3F01"/>
    <w:rsid w:val="00AB4201"/>
    <w:rsid w:val="00AB45F6"/>
    <w:rsid w:val="00AB4629"/>
    <w:rsid w:val="00AB46F3"/>
    <w:rsid w:val="00AB4703"/>
    <w:rsid w:val="00AB4B3D"/>
    <w:rsid w:val="00AB4C85"/>
    <w:rsid w:val="00AB51ED"/>
    <w:rsid w:val="00AB5282"/>
    <w:rsid w:val="00AB5364"/>
    <w:rsid w:val="00AB5638"/>
    <w:rsid w:val="00AB57C9"/>
    <w:rsid w:val="00AB58DE"/>
    <w:rsid w:val="00AB5D59"/>
    <w:rsid w:val="00AB5DB4"/>
    <w:rsid w:val="00AB5F57"/>
    <w:rsid w:val="00AB6240"/>
    <w:rsid w:val="00AB62DF"/>
    <w:rsid w:val="00AB633F"/>
    <w:rsid w:val="00AB710F"/>
    <w:rsid w:val="00AB7194"/>
    <w:rsid w:val="00AB7779"/>
    <w:rsid w:val="00AB7917"/>
    <w:rsid w:val="00AB79DF"/>
    <w:rsid w:val="00AB7E99"/>
    <w:rsid w:val="00AC07A6"/>
    <w:rsid w:val="00AC086A"/>
    <w:rsid w:val="00AC0907"/>
    <w:rsid w:val="00AC09CA"/>
    <w:rsid w:val="00AC0FF1"/>
    <w:rsid w:val="00AC1C75"/>
    <w:rsid w:val="00AC241E"/>
    <w:rsid w:val="00AC274B"/>
    <w:rsid w:val="00AC2960"/>
    <w:rsid w:val="00AC2CAB"/>
    <w:rsid w:val="00AC30EF"/>
    <w:rsid w:val="00AC3480"/>
    <w:rsid w:val="00AC3533"/>
    <w:rsid w:val="00AC392F"/>
    <w:rsid w:val="00AC3ED1"/>
    <w:rsid w:val="00AC4435"/>
    <w:rsid w:val="00AC4764"/>
    <w:rsid w:val="00AC4A4A"/>
    <w:rsid w:val="00AC4DFB"/>
    <w:rsid w:val="00AC4EA8"/>
    <w:rsid w:val="00AC565C"/>
    <w:rsid w:val="00AC5CE4"/>
    <w:rsid w:val="00AC5F5A"/>
    <w:rsid w:val="00AC61F0"/>
    <w:rsid w:val="00AC63A4"/>
    <w:rsid w:val="00AC6591"/>
    <w:rsid w:val="00AC68D4"/>
    <w:rsid w:val="00AC6984"/>
    <w:rsid w:val="00AC6A1A"/>
    <w:rsid w:val="00AC6D36"/>
    <w:rsid w:val="00AC6E5F"/>
    <w:rsid w:val="00AC6EFC"/>
    <w:rsid w:val="00AC70E0"/>
    <w:rsid w:val="00AC73BD"/>
    <w:rsid w:val="00AC75AF"/>
    <w:rsid w:val="00AC7BA0"/>
    <w:rsid w:val="00AC7C8E"/>
    <w:rsid w:val="00AC7E00"/>
    <w:rsid w:val="00AD06E1"/>
    <w:rsid w:val="00AD09FD"/>
    <w:rsid w:val="00AD0ADD"/>
    <w:rsid w:val="00AD0CBA"/>
    <w:rsid w:val="00AD109E"/>
    <w:rsid w:val="00AD12CD"/>
    <w:rsid w:val="00AD150B"/>
    <w:rsid w:val="00AD1805"/>
    <w:rsid w:val="00AD180F"/>
    <w:rsid w:val="00AD1815"/>
    <w:rsid w:val="00AD1CC4"/>
    <w:rsid w:val="00AD206D"/>
    <w:rsid w:val="00AD224B"/>
    <w:rsid w:val="00AD2286"/>
    <w:rsid w:val="00AD24E6"/>
    <w:rsid w:val="00AD2580"/>
    <w:rsid w:val="00AD265D"/>
    <w:rsid w:val="00AD26E2"/>
    <w:rsid w:val="00AD28FA"/>
    <w:rsid w:val="00AD2DBB"/>
    <w:rsid w:val="00AD2E33"/>
    <w:rsid w:val="00AD307E"/>
    <w:rsid w:val="00AD3092"/>
    <w:rsid w:val="00AD33C8"/>
    <w:rsid w:val="00AD374B"/>
    <w:rsid w:val="00AD3761"/>
    <w:rsid w:val="00AD386E"/>
    <w:rsid w:val="00AD39A1"/>
    <w:rsid w:val="00AD3B14"/>
    <w:rsid w:val="00AD3C24"/>
    <w:rsid w:val="00AD3DAF"/>
    <w:rsid w:val="00AD4090"/>
    <w:rsid w:val="00AD4102"/>
    <w:rsid w:val="00AD4849"/>
    <w:rsid w:val="00AD505B"/>
    <w:rsid w:val="00AD544C"/>
    <w:rsid w:val="00AD5DA4"/>
    <w:rsid w:val="00AD5E0E"/>
    <w:rsid w:val="00AD5FF6"/>
    <w:rsid w:val="00AD6022"/>
    <w:rsid w:val="00AD6029"/>
    <w:rsid w:val="00AD64A2"/>
    <w:rsid w:val="00AD66B3"/>
    <w:rsid w:val="00AD6795"/>
    <w:rsid w:val="00AD69D9"/>
    <w:rsid w:val="00AD6A1F"/>
    <w:rsid w:val="00AD6B9F"/>
    <w:rsid w:val="00AD7615"/>
    <w:rsid w:val="00AD76CB"/>
    <w:rsid w:val="00AD7752"/>
    <w:rsid w:val="00AD784C"/>
    <w:rsid w:val="00AD7BE6"/>
    <w:rsid w:val="00AD7F0C"/>
    <w:rsid w:val="00AE0293"/>
    <w:rsid w:val="00AE03D6"/>
    <w:rsid w:val="00AE04A9"/>
    <w:rsid w:val="00AE052A"/>
    <w:rsid w:val="00AE0604"/>
    <w:rsid w:val="00AE0693"/>
    <w:rsid w:val="00AE06DA"/>
    <w:rsid w:val="00AE0964"/>
    <w:rsid w:val="00AE09F8"/>
    <w:rsid w:val="00AE0A7E"/>
    <w:rsid w:val="00AE0B9A"/>
    <w:rsid w:val="00AE0FA6"/>
    <w:rsid w:val="00AE118C"/>
    <w:rsid w:val="00AE126A"/>
    <w:rsid w:val="00AE12B3"/>
    <w:rsid w:val="00AE1343"/>
    <w:rsid w:val="00AE13F6"/>
    <w:rsid w:val="00AE14BB"/>
    <w:rsid w:val="00AE14F0"/>
    <w:rsid w:val="00AE1591"/>
    <w:rsid w:val="00AE16CE"/>
    <w:rsid w:val="00AE1818"/>
    <w:rsid w:val="00AE1BAE"/>
    <w:rsid w:val="00AE20F7"/>
    <w:rsid w:val="00AE23E6"/>
    <w:rsid w:val="00AE2603"/>
    <w:rsid w:val="00AE2649"/>
    <w:rsid w:val="00AE2826"/>
    <w:rsid w:val="00AE2E06"/>
    <w:rsid w:val="00AE2EFD"/>
    <w:rsid w:val="00AE3005"/>
    <w:rsid w:val="00AE300E"/>
    <w:rsid w:val="00AE3395"/>
    <w:rsid w:val="00AE344E"/>
    <w:rsid w:val="00AE3485"/>
    <w:rsid w:val="00AE36A5"/>
    <w:rsid w:val="00AE37E9"/>
    <w:rsid w:val="00AE3955"/>
    <w:rsid w:val="00AE3A91"/>
    <w:rsid w:val="00AE3BD5"/>
    <w:rsid w:val="00AE404F"/>
    <w:rsid w:val="00AE4582"/>
    <w:rsid w:val="00AE4628"/>
    <w:rsid w:val="00AE4673"/>
    <w:rsid w:val="00AE4D85"/>
    <w:rsid w:val="00AE4F2A"/>
    <w:rsid w:val="00AE53C2"/>
    <w:rsid w:val="00AE59A0"/>
    <w:rsid w:val="00AE6068"/>
    <w:rsid w:val="00AE63C1"/>
    <w:rsid w:val="00AE6AC6"/>
    <w:rsid w:val="00AE6B73"/>
    <w:rsid w:val="00AE6B7F"/>
    <w:rsid w:val="00AE71A9"/>
    <w:rsid w:val="00AE7339"/>
    <w:rsid w:val="00AE7844"/>
    <w:rsid w:val="00AE787C"/>
    <w:rsid w:val="00AE7995"/>
    <w:rsid w:val="00AE79DD"/>
    <w:rsid w:val="00AE7CC5"/>
    <w:rsid w:val="00AF0191"/>
    <w:rsid w:val="00AF01D3"/>
    <w:rsid w:val="00AF033D"/>
    <w:rsid w:val="00AF07B5"/>
    <w:rsid w:val="00AF09B2"/>
    <w:rsid w:val="00AF0B8C"/>
    <w:rsid w:val="00AF0C57"/>
    <w:rsid w:val="00AF1149"/>
    <w:rsid w:val="00AF155E"/>
    <w:rsid w:val="00AF17F7"/>
    <w:rsid w:val="00AF1C27"/>
    <w:rsid w:val="00AF1DB4"/>
    <w:rsid w:val="00AF1E44"/>
    <w:rsid w:val="00AF1E81"/>
    <w:rsid w:val="00AF21A5"/>
    <w:rsid w:val="00AF2279"/>
    <w:rsid w:val="00AF2429"/>
    <w:rsid w:val="00AF25EA"/>
    <w:rsid w:val="00AF2655"/>
    <w:rsid w:val="00AF26F3"/>
    <w:rsid w:val="00AF2AAD"/>
    <w:rsid w:val="00AF2E0A"/>
    <w:rsid w:val="00AF3029"/>
    <w:rsid w:val="00AF320F"/>
    <w:rsid w:val="00AF327E"/>
    <w:rsid w:val="00AF34BD"/>
    <w:rsid w:val="00AF371D"/>
    <w:rsid w:val="00AF37B4"/>
    <w:rsid w:val="00AF37ED"/>
    <w:rsid w:val="00AF3A62"/>
    <w:rsid w:val="00AF3C4D"/>
    <w:rsid w:val="00AF3D40"/>
    <w:rsid w:val="00AF3D69"/>
    <w:rsid w:val="00AF3EDF"/>
    <w:rsid w:val="00AF4186"/>
    <w:rsid w:val="00AF42D8"/>
    <w:rsid w:val="00AF4C62"/>
    <w:rsid w:val="00AF4FD5"/>
    <w:rsid w:val="00AF51F0"/>
    <w:rsid w:val="00AF52FA"/>
    <w:rsid w:val="00AF56D1"/>
    <w:rsid w:val="00AF587E"/>
    <w:rsid w:val="00AF58AD"/>
    <w:rsid w:val="00AF5A7A"/>
    <w:rsid w:val="00AF5B59"/>
    <w:rsid w:val="00AF5F04"/>
    <w:rsid w:val="00AF6369"/>
    <w:rsid w:val="00AF65A4"/>
    <w:rsid w:val="00AF6B69"/>
    <w:rsid w:val="00AF6D36"/>
    <w:rsid w:val="00AF6E57"/>
    <w:rsid w:val="00AF7173"/>
    <w:rsid w:val="00AF7416"/>
    <w:rsid w:val="00AF7656"/>
    <w:rsid w:val="00AF7834"/>
    <w:rsid w:val="00AF793A"/>
    <w:rsid w:val="00AF7AA3"/>
    <w:rsid w:val="00AF7BBC"/>
    <w:rsid w:val="00AF7D23"/>
    <w:rsid w:val="00AF7EA5"/>
    <w:rsid w:val="00AF7FE0"/>
    <w:rsid w:val="00B00129"/>
    <w:rsid w:val="00B00294"/>
    <w:rsid w:val="00B00304"/>
    <w:rsid w:val="00B00672"/>
    <w:rsid w:val="00B0068D"/>
    <w:rsid w:val="00B00F2B"/>
    <w:rsid w:val="00B00FD4"/>
    <w:rsid w:val="00B00FFD"/>
    <w:rsid w:val="00B010F5"/>
    <w:rsid w:val="00B01340"/>
    <w:rsid w:val="00B01390"/>
    <w:rsid w:val="00B015B0"/>
    <w:rsid w:val="00B01969"/>
    <w:rsid w:val="00B019F5"/>
    <w:rsid w:val="00B01B4D"/>
    <w:rsid w:val="00B01C4E"/>
    <w:rsid w:val="00B01C68"/>
    <w:rsid w:val="00B01E36"/>
    <w:rsid w:val="00B01ED7"/>
    <w:rsid w:val="00B0230B"/>
    <w:rsid w:val="00B02411"/>
    <w:rsid w:val="00B024DE"/>
    <w:rsid w:val="00B027E2"/>
    <w:rsid w:val="00B028FC"/>
    <w:rsid w:val="00B02D68"/>
    <w:rsid w:val="00B02F3A"/>
    <w:rsid w:val="00B037B9"/>
    <w:rsid w:val="00B03B84"/>
    <w:rsid w:val="00B04018"/>
    <w:rsid w:val="00B04489"/>
    <w:rsid w:val="00B045C3"/>
    <w:rsid w:val="00B04BDD"/>
    <w:rsid w:val="00B04C96"/>
    <w:rsid w:val="00B04E5C"/>
    <w:rsid w:val="00B04EC5"/>
    <w:rsid w:val="00B04FD9"/>
    <w:rsid w:val="00B0528F"/>
    <w:rsid w:val="00B05B2C"/>
    <w:rsid w:val="00B05D86"/>
    <w:rsid w:val="00B05E70"/>
    <w:rsid w:val="00B06129"/>
    <w:rsid w:val="00B061A0"/>
    <w:rsid w:val="00B06571"/>
    <w:rsid w:val="00B06712"/>
    <w:rsid w:val="00B068BA"/>
    <w:rsid w:val="00B0691C"/>
    <w:rsid w:val="00B06B66"/>
    <w:rsid w:val="00B06B91"/>
    <w:rsid w:val="00B06E9D"/>
    <w:rsid w:val="00B07217"/>
    <w:rsid w:val="00B0737A"/>
    <w:rsid w:val="00B077F4"/>
    <w:rsid w:val="00B07AB4"/>
    <w:rsid w:val="00B07ACC"/>
    <w:rsid w:val="00B07B1A"/>
    <w:rsid w:val="00B07B59"/>
    <w:rsid w:val="00B07BC2"/>
    <w:rsid w:val="00B10142"/>
    <w:rsid w:val="00B104E4"/>
    <w:rsid w:val="00B10787"/>
    <w:rsid w:val="00B10BDD"/>
    <w:rsid w:val="00B10D05"/>
    <w:rsid w:val="00B10FD6"/>
    <w:rsid w:val="00B11406"/>
    <w:rsid w:val="00B1152E"/>
    <w:rsid w:val="00B117F3"/>
    <w:rsid w:val="00B117FB"/>
    <w:rsid w:val="00B1190F"/>
    <w:rsid w:val="00B11943"/>
    <w:rsid w:val="00B1199E"/>
    <w:rsid w:val="00B11B6B"/>
    <w:rsid w:val="00B11C38"/>
    <w:rsid w:val="00B11D3A"/>
    <w:rsid w:val="00B11F5B"/>
    <w:rsid w:val="00B12014"/>
    <w:rsid w:val="00B12331"/>
    <w:rsid w:val="00B124B7"/>
    <w:rsid w:val="00B1289A"/>
    <w:rsid w:val="00B12AF6"/>
    <w:rsid w:val="00B12EF0"/>
    <w:rsid w:val="00B1302F"/>
    <w:rsid w:val="00B13328"/>
    <w:rsid w:val="00B13345"/>
    <w:rsid w:val="00B13851"/>
    <w:rsid w:val="00B13B1C"/>
    <w:rsid w:val="00B13BF9"/>
    <w:rsid w:val="00B13CDA"/>
    <w:rsid w:val="00B13CE9"/>
    <w:rsid w:val="00B13E8F"/>
    <w:rsid w:val="00B13F01"/>
    <w:rsid w:val="00B13F8B"/>
    <w:rsid w:val="00B14136"/>
    <w:rsid w:val="00B142DB"/>
    <w:rsid w:val="00B14B5F"/>
    <w:rsid w:val="00B14D11"/>
    <w:rsid w:val="00B157FB"/>
    <w:rsid w:val="00B15BD5"/>
    <w:rsid w:val="00B15DDB"/>
    <w:rsid w:val="00B169DE"/>
    <w:rsid w:val="00B16B1C"/>
    <w:rsid w:val="00B172E0"/>
    <w:rsid w:val="00B173A7"/>
    <w:rsid w:val="00B1744D"/>
    <w:rsid w:val="00B17854"/>
    <w:rsid w:val="00B17943"/>
    <w:rsid w:val="00B17BDF"/>
    <w:rsid w:val="00B17E86"/>
    <w:rsid w:val="00B20079"/>
    <w:rsid w:val="00B2007A"/>
    <w:rsid w:val="00B20335"/>
    <w:rsid w:val="00B204B5"/>
    <w:rsid w:val="00B206D8"/>
    <w:rsid w:val="00B2094F"/>
    <w:rsid w:val="00B20B49"/>
    <w:rsid w:val="00B20BD4"/>
    <w:rsid w:val="00B21381"/>
    <w:rsid w:val="00B215F6"/>
    <w:rsid w:val="00B21608"/>
    <w:rsid w:val="00B21D33"/>
    <w:rsid w:val="00B21DA6"/>
    <w:rsid w:val="00B21F90"/>
    <w:rsid w:val="00B22291"/>
    <w:rsid w:val="00B2247E"/>
    <w:rsid w:val="00B22A40"/>
    <w:rsid w:val="00B22CF3"/>
    <w:rsid w:val="00B22F3F"/>
    <w:rsid w:val="00B231CD"/>
    <w:rsid w:val="00B239CF"/>
    <w:rsid w:val="00B23BCA"/>
    <w:rsid w:val="00B23E20"/>
    <w:rsid w:val="00B23F9A"/>
    <w:rsid w:val="00B24066"/>
    <w:rsid w:val="00B2406F"/>
    <w:rsid w:val="00B240B9"/>
    <w:rsid w:val="00B240EB"/>
    <w:rsid w:val="00B24116"/>
    <w:rsid w:val="00B2417B"/>
    <w:rsid w:val="00B2423B"/>
    <w:rsid w:val="00B242A9"/>
    <w:rsid w:val="00B24325"/>
    <w:rsid w:val="00B24488"/>
    <w:rsid w:val="00B244E2"/>
    <w:rsid w:val="00B247ED"/>
    <w:rsid w:val="00B24AC2"/>
    <w:rsid w:val="00B24B40"/>
    <w:rsid w:val="00B24E25"/>
    <w:rsid w:val="00B24E5B"/>
    <w:rsid w:val="00B24E6F"/>
    <w:rsid w:val="00B24F26"/>
    <w:rsid w:val="00B24FCA"/>
    <w:rsid w:val="00B253EA"/>
    <w:rsid w:val="00B2561F"/>
    <w:rsid w:val="00B25635"/>
    <w:rsid w:val="00B26189"/>
    <w:rsid w:val="00B264D7"/>
    <w:rsid w:val="00B26630"/>
    <w:rsid w:val="00B26884"/>
    <w:rsid w:val="00B2697B"/>
    <w:rsid w:val="00B269C0"/>
    <w:rsid w:val="00B26AE7"/>
    <w:rsid w:val="00B26CB5"/>
    <w:rsid w:val="00B26CC2"/>
    <w:rsid w:val="00B26D31"/>
    <w:rsid w:val="00B27012"/>
    <w:rsid w:val="00B273F1"/>
    <w:rsid w:val="00B2752E"/>
    <w:rsid w:val="00B275FE"/>
    <w:rsid w:val="00B276D5"/>
    <w:rsid w:val="00B27982"/>
    <w:rsid w:val="00B27AC1"/>
    <w:rsid w:val="00B27C23"/>
    <w:rsid w:val="00B27C3A"/>
    <w:rsid w:val="00B301F9"/>
    <w:rsid w:val="00B302D2"/>
    <w:rsid w:val="00B303BF"/>
    <w:rsid w:val="00B305CA"/>
    <w:rsid w:val="00B307CC"/>
    <w:rsid w:val="00B3089F"/>
    <w:rsid w:val="00B309CB"/>
    <w:rsid w:val="00B30AC6"/>
    <w:rsid w:val="00B30B32"/>
    <w:rsid w:val="00B30B4D"/>
    <w:rsid w:val="00B30CF6"/>
    <w:rsid w:val="00B30D6C"/>
    <w:rsid w:val="00B30F10"/>
    <w:rsid w:val="00B3100E"/>
    <w:rsid w:val="00B31A80"/>
    <w:rsid w:val="00B31C6F"/>
    <w:rsid w:val="00B31CAC"/>
    <w:rsid w:val="00B31D1A"/>
    <w:rsid w:val="00B31EA0"/>
    <w:rsid w:val="00B31FD0"/>
    <w:rsid w:val="00B32043"/>
    <w:rsid w:val="00B32147"/>
    <w:rsid w:val="00B321BD"/>
    <w:rsid w:val="00B3229E"/>
    <w:rsid w:val="00B324E2"/>
    <w:rsid w:val="00B32579"/>
    <w:rsid w:val="00B326B7"/>
    <w:rsid w:val="00B326DA"/>
    <w:rsid w:val="00B3278A"/>
    <w:rsid w:val="00B32A65"/>
    <w:rsid w:val="00B332F8"/>
    <w:rsid w:val="00B333FE"/>
    <w:rsid w:val="00B33E65"/>
    <w:rsid w:val="00B33F37"/>
    <w:rsid w:val="00B342F7"/>
    <w:rsid w:val="00B343D5"/>
    <w:rsid w:val="00B343DF"/>
    <w:rsid w:val="00B34422"/>
    <w:rsid w:val="00B345B7"/>
    <w:rsid w:val="00B345D5"/>
    <w:rsid w:val="00B34B93"/>
    <w:rsid w:val="00B34FC2"/>
    <w:rsid w:val="00B350A2"/>
    <w:rsid w:val="00B35388"/>
    <w:rsid w:val="00B3542C"/>
    <w:rsid w:val="00B3588E"/>
    <w:rsid w:val="00B35915"/>
    <w:rsid w:val="00B35934"/>
    <w:rsid w:val="00B35943"/>
    <w:rsid w:val="00B3594A"/>
    <w:rsid w:val="00B35A25"/>
    <w:rsid w:val="00B35A2B"/>
    <w:rsid w:val="00B35A9B"/>
    <w:rsid w:val="00B35CCA"/>
    <w:rsid w:val="00B35E26"/>
    <w:rsid w:val="00B35E88"/>
    <w:rsid w:val="00B35F76"/>
    <w:rsid w:val="00B369BC"/>
    <w:rsid w:val="00B369D2"/>
    <w:rsid w:val="00B36B63"/>
    <w:rsid w:val="00B36D73"/>
    <w:rsid w:val="00B36DA2"/>
    <w:rsid w:val="00B36E14"/>
    <w:rsid w:val="00B36E9F"/>
    <w:rsid w:val="00B37167"/>
    <w:rsid w:val="00B372C1"/>
    <w:rsid w:val="00B37424"/>
    <w:rsid w:val="00B37730"/>
    <w:rsid w:val="00B378C4"/>
    <w:rsid w:val="00B40352"/>
    <w:rsid w:val="00B40476"/>
    <w:rsid w:val="00B40AF1"/>
    <w:rsid w:val="00B40B1F"/>
    <w:rsid w:val="00B40FD9"/>
    <w:rsid w:val="00B4198F"/>
    <w:rsid w:val="00B419E5"/>
    <w:rsid w:val="00B41E70"/>
    <w:rsid w:val="00B41F3D"/>
    <w:rsid w:val="00B41F56"/>
    <w:rsid w:val="00B4213D"/>
    <w:rsid w:val="00B42352"/>
    <w:rsid w:val="00B427BE"/>
    <w:rsid w:val="00B42845"/>
    <w:rsid w:val="00B429D6"/>
    <w:rsid w:val="00B42C78"/>
    <w:rsid w:val="00B42CF9"/>
    <w:rsid w:val="00B42D14"/>
    <w:rsid w:val="00B431E8"/>
    <w:rsid w:val="00B431FF"/>
    <w:rsid w:val="00B4374F"/>
    <w:rsid w:val="00B4379D"/>
    <w:rsid w:val="00B43E91"/>
    <w:rsid w:val="00B43F2E"/>
    <w:rsid w:val="00B44228"/>
    <w:rsid w:val="00B442AC"/>
    <w:rsid w:val="00B4446C"/>
    <w:rsid w:val="00B44642"/>
    <w:rsid w:val="00B44679"/>
    <w:rsid w:val="00B4479A"/>
    <w:rsid w:val="00B44AD3"/>
    <w:rsid w:val="00B44B7F"/>
    <w:rsid w:val="00B44D07"/>
    <w:rsid w:val="00B44E5B"/>
    <w:rsid w:val="00B450A4"/>
    <w:rsid w:val="00B45141"/>
    <w:rsid w:val="00B45528"/>
    <w:rsid w:val="00B45908"/>
    <w:rsid w:val="00B45B85"/>
    <w:rsid w:val="00B46762"/>
    <w:rsid w:val="00B468F7"/>
    <w:rsid w:val="00B469E5"/>
    <w:rsid w:val="00B46DB6"/>
    <w:rsid w:val="00B46F93"/>
    <w:rsid w:val="00B475DC"/>
    <w:rsid w:val="00B4773D"/>
    <w:rsid w:val="00B47773"/>
    <w:rsid w:val="00B47944"/>
    <w:rsid w:val="00B47B3B"/>
    <w:rsid w:val="00B47C10"/>
    <w:rsid w:val="00B47D0E"/>
    <w:rsid w:val="00B5004B"/>
    <w:rsid w:val="00B503CC"/>
    <w:rsid w:val="00B505CF"/>
    <w:rsid w:val="00B514B8"/>
    <w:rsid w:val="00B51587"/>
    <w:rsid w:val="00B51873"/>
    <w:rsid w:val="00B519CD"/>
    <w:rsid w:val="00B51D82"/>
    <w:rsid w:val="00B51DD5"/>
    <w:rsid w:val="00B51DE4"/>
    <w:rsid w:val="00B51FAF"/>
    <w:rsid w:val="00B52008"/>
    <w:rsid w:val="00B520C4"/>
    <w:rsid w:val="00B521C5"/>
    <w:rsid w:val="00B5273A"/>
    <w:rsid w:val="00B52E18"/>
    <w:rsid w:val="00B5331B"/>
    <w:rsid w:val="00B535E3"/>
    <w:rsid w:val="00B539AD"/>
    <w:rsid w:val="00B53D6F"/>
    <w:rsid w:val="00B53F30"/>
    <w:rsid w:val="00B541DD"/>
    <w:rsid w:val="00B545DD"/>
    <w:rsid w:val="00B54809"/>
    <w:rsid w:val="00B54990"/>
    <w:rsid w:val="00B549E1"/>
    <w:rsid w:val="00B549FC"/>
    <w:rsid w:val="00B54A69"/>
    <w:rsid w:val="00B54BDE"/>
    <w:rsid w:val="00B54F3C"/>
    <w:rsid w:val="00B55562"/>
    <w:rsid w:val="00B55BF4"/>
    <w:rsid w:val="00B55D62"/>
    <w:rsid w:val="00B56070"/>
    <w:rsid w:val="00B5631A"/>
    <w:rsid w:val="00B563F9"/>
    <w:rsid w:val="00B564C5"/>
    <w:rsid w:val="00B56561"/>
    <w:rsid w:val="00B56654"/>
    <w:rsid w:val="00B566D0"/>
    <w:rsid w:val="00B5689F"/>
    <w:rsid w:val="00B56AE6"/>
    <w:rsid w:val="00B56B17"/>
    <w:rsid w:val="00B56F7B"/>
    <w:rsid w:val="00B5703C"/>
    <w:rsid w:val="00B57329"/>
    <w:rsid w:val="00B57656"/>
    <w:rsid w:val="00B57888"/>
    <w:rsid w:val="00B57898"/>
    <w:rsid w:val="00B60262"/>
    <w:rsid w:val="00B60323"/>
    <w:rsid w:val="00B604EC"/>
    <w:rsid w:val="00B6074E"/>
    <w:rsid w:val="00B608D5"/>
    <w:rsid w:val="00B60ADC"/>
    <w:rsid w:val="00B60BB3"/>
    <w:rsid w:val="00B60E61"/>
    <w:rsid w:val="00B60F27"/>
    <w:rsid w:val="00B61066"/>
    <w:rsid w:val="00B613F8"/>
    <w:rsid w:val="00B6146E"/>
    <w:rsid w:val="00B61641"/>
    <w:rsid w:val="00B61648"/>
    <w:rsid w:val="00B6198B"/>
    <w:rsid w:val="00B61B6E"/>
    <w:rsid w:val="00B61F43"/>
    <w:rsid w:val="00B61F7A"/>
    <w:rsid w:val="00B62309"/>
    <w:rsid w:val="00B624E3"/>
    <w:rsid w:val="00B625AC"/>
    <w:rsid w:val="00B626F4"/>
    <w:rsid w:val="00B62B50"/>
    <w:rsid w:val="00B62DF2"/>
    <w:rsid w:val="00B63292"/>
    <w:rsid w:val="00B63322"/>
    <w:rsid w:val="00B634D5"/>
    <w:rsid w:val="00B635B7"/>
    <w:rsid w:val="00B63AE8"/>
    <w:rsid w:val="00B63E5E"/>
    <w:rsid w:val="00B642EC"/>
    <w:rsid w:val="00B644BE"/>
    <w:rsid w:val="00B648A8"/>
    <w:rsid w:val="00B64AAD"/>
    <w:rsid w:val="00B64AD9"/>
    <w:rsid w:val="00B64DBD"/>
    <w:rsid w:val="00B65086"/>
    <w:rsid w:val="00B651AA"/>
    <w:rsid w:val="00B65703"/>
    <w:rsid w:val="00B65927"/>
    <w:rsid w:val="00B65950"/>
    <w:rsid w:val="00B65DAD"/>
    <w:rsid w:val="00B65FD4"/>
    <w:rsid w:val="00B6620F"/>
    <w:rsid w:val="00B66308"/>
    <w:rsid w:val="00B663B7"/>
    <w:rsid w:val="00B66947"/>
    <w:rsid w:val="00B66BC7"/>
    <w:rsid w:val="00B66C8C"/>
    <w:rsid w:val="00B66CDF"/>
    <w:rsid w:val="00B66D83"/>
    <w:rsid w:val="00B6708D"/>
    <w:rsid w:val="00B670E9"/>
    <w:rsid w:val="00B672C0"/>
    <w:rsid w:val="00B673C0"/>
    <w:rsid w:val="00B674D9"/>
    <w:rsid w:val="00B676FD"/>
    <w:rsid w:val="00B677B5"/>
    <w:rsid w:val="00B67892"/>
    <w:rsid w:val="00B678B6"/>
    <w:rsid w:val="00B67A5B"/>
    <w:rsid w:val="00B67A92"/>
    <w:rsid w:val="00B71043"/>
    <w:rsid w:val="00B71104"/>
    <w:rsid w:val="00B71831"/>
    <w:rsid w:val="00B718C5"/>
    <w:rsid w:val="00B7190F"/>
    <w:rsid w:val="00B71FFD"/>
    <w:rsid w:val="00B72537"/>
    <w:rsid w:val="00B72AEF"/>
    <w:rsid w:val="00B73419"/>
    <w:rsid w:val="00B735DA"/>
    <w:rsid w:val="00B7365C"/>
    <w:rsid w:val="00B73682"/>
    <w:rsid w:val="00B73A2B"/>
    <w:rsid w:val="00B73B14"/>
    <w:rsid w:val="00B73BDC"/>
    <w:rsid w:val="00B73C29"/>
    <w:rsid w:val="00B73CFC"/>
    <w:rsid w:val="00B73D14"/>
    <w:rsid w:val="00B73E0F"/>
    <w:rsid w:val="00B7439B"/>
    <w:rsid w:val="00B746A5"/>
    <w:rsid w:val="00B74729"/>
    <w:rsid w:val="00B74787"/>
    <w:rsid w:val="00B74BDE"/>
    <w:rsid w:val="00B74C11"/>
    <w:rsid w:val="00B74C1D"/>
    <w:rsid w:val="00B74C49"/>
    <w:rsid w:val="00B75225"/>
    <w:rsid w:val="00B754B9"/>
    <w:rsid w:val="00B75646"/>
    <w:rsid w:val="00B75795"/>
    <w:rsid w:val="00B75A08"/>
    <w:rsid w:val="00B7629E"/>
    <w:rsid w:val="00B7651A"/>
    <w:rsid w:val="00B76697"/>
    <w:rsid w:val="00B76A4D"/>
    <w:rsid w:val="00B76EF2"/>
    <w:rsid w:val="00B77045"/>
    <w:rsid w:val="00B7737F"/>
    <w:rsid w:val="00B773E4"/>
    <w:rsid w:val="00B7757E"/>
    <w:rsid w:val="00B775F8"/>
    <w:rsid w:val="00B77CDB"/>
    <w:rsid w:val="00B77DC4"/>
    <w:rsid w:val="00B77E57"/>
    <w:rsid w:val="00B77E66"/>
    <w:rsid w:val="00B77FEB"/>
    <w:rsid w:val="00B801FE"/>
    <w:rsid w:val="00B8025C"/>
    <w:rsid w:val="00B8031B"/>
    <w:rsid w:val="00B8032F"/>
    <w:rsid w:val="00B80649"/>
    <w:rsid w:val="00B80953"/>
    <w:rsid w:val="00B80C8B"/>
    <w:rsid w:val="00B80CAC"/>
    <w:rsid w:val="00B80CDC"/>
    <w:rsid w:val="00B80EFE"/>
    <w:rsid w:val="00B80F4E"/>
    <w:rsid w:val="00B81079"/>
    <w:rsid w:val="00B8107E"/>
    <w:rsid w:val="00B810FA"/>
    <w:rsid w:val="00B8120D"/>
    <w:rsid w:val="00B81278"/>
    <w:rsid w:val="00B8150C"/>
    <w:rsid w:val="00B819D2"/>
    <w:rsid w:val="00B81DF6"/>
    <w:rsid w:val="00B82162"/>
    <w:rsid w:val="00B82203"/>
    <w:rsid w:val="00B824F7"/>
    <w:rsid w:val="00B826FD"/>
    <w:rsid w:val="00B827DC"/>
    <w:rsid w:val="00B8294E"/>
    <w:rsid w:val="00B82A15"/>
    <w:rsid w:val="00B830CE"/>
    <w:rsid w:val="00B83361"/>
    <w:rsid w:val="00B8363E"/>
    <w:rsid w:val="00B83CC0"/>
    <w:rsid w:val="00B842B0"/>
    <w:rsid w:val="00B84528"/>
    <w:rsid w:val="00B84545"/>
    <w:rsid w:val="00B84581"/>
    <w:rsid w:val="00B8472D"/>
    <w:rsid w:val="00B853FE"/>
    <w:rsid w:val="00B8561C"/>
    <w:rsid w:val="00B8566C"/>
    <w:rsid w:val="00B86014"/>
    <w:rsid w:val="00B862D4"/>
    <w:rsid w:val="00B862F1"/>
    <w:rsid w:val="00B865FE"/>
    <w:rsid w:val="00B867FE"/>
    <w:rsid w:val="00B86AD0"/>
    <w:rsid w:val="00B86CE5"/>
    <w:rsid w:val="00B86D19"/>
    <w:rsid w:val="00B86D9E"/>
    <w:rsid w:val="00B86F57"/>
    <w:rsid w:val="00B870BC"/>
    <w:rsid w:val="00B87320"/>
    <w:rsid w:val="00B87773"/>
    <w:rsid w:val="00B87A12"/>
    <w:rsid w:val="00B87AD5"/>
    <w:rsid w:val="00B87E62"/>
    <w:rsid w:val="00B900F6"/>
    <w:rsid w:val="00B90254"/>
    <w:rsid w:val="00B90415"/>
    <w:rsid w:val="00B90461"/>
    <w:rsid w:val="00B90561"/>
    <w:rsid w:val="00B905F9"/>
    <w:rsid w:val="00B90729"/>
    <w:rsid w:val="00B907DA"/>
    <w:rsid w:val="00B90B09"/>
    <w:rsid w:val="00B90F7B"/>
    <w:rsid w:val="00B90FC3"/>
    <w:rsid w:val="00B915EB"/>
    <w:rsid w:val="00B91995"/>
    <w:rsid w:val="00B919CD"/>
    <w:rsid w:val="00B91AB4"/>
    <w:rsid w:val="00B91DDE"/>
    <w:rsid w:val="00B91F96"/>
    <w:rsid w:val="00B923FB"/>
    <w:rsid w:val="00B92765"/>
    <w:rsid w:val="00B92C3F"/>
    <w:rsid w:val="00B92D47"/>
    <w:rsid w:val="00B92DBF"/>
    <w:rsid w:val="00B93195"/>
    <w:rsid w:val="00B931B0"/>
    <w:rsid w:val="00B9374C"/>
    <w:rsid w:val="00B939D7"/>
    <w:rsid w:val="00B93CAA"/>
    <w:rsid w:val="00B9427D"/>
    <w:rsid w:val="00B94524"/>
    <w:rsid w:val="00B9463C"/>
    <w:rsid w:val="00B946EF"/>
    <w:rsid w:val="00B9480F"/>
    <w:rsid w:val="00B94835"/>
    <w:rsid w:val="00B94A0B"/>
    <w:rsid w:val="00B94C59"/>
    <w:rsid w:val="00B94C5E"/>
    <w:rsid w:val="00B94D4E"/>
    <w:rsid w:val="00B94DA3"/>
    <w:rsid w:val="00B950BC"/>
    <w:rsid w:val="00B955A4"/>
    <w:rsid w:val="00B956A2"/>
    <w:rsid w:val="00B9571D"/>
    <w:rsid w:val="00B95E4E"/>
    <w:rsid w:val="00B9623D"/>
    <w:rsid w:val="00B96578"/>
    <w:rsid w:val="00B966C1"/>
    <w:rsid w:val="00B96884"/>
    <w:rsid w:val="00B9714C"/>
    <w:rsid w:val="00B971E6"/>
    <w:rsid w:val="00B97630"/>
    <w:rsid w:val="00B97793"/>
    <w:rsid w:val="00B97E1F"/>
    <w:rsid w:val="00B97FD4"/>
    <w:rsid w:val="00BA01FC"/>
    <w:rsid w:val="00BA0282"/>
    <w:rsid w:val="00BA02E4"/>
    <w:rsid w:val="00BA0328"/>
    <w:rsid w:val="00BA0997"/>
    <w:rsid w:val="00BA0A65"/>
    <w:rsid w:val="00BA0AB4"/>
    <w:rsid w:val="00BA0D82"/>
    <w:rsid w:val="00BA0E93"/>
    <w:rsid w:val="00BA0ED1"/>
    <w:rsid w:val="00BA1180"/>
    <w:rsid w:val="00BA125E"/>
    <w:rsid w:val="00BA15A7"/>
    <w:rsid w:val="00BA162F"/>
    <w:rsid w:val="00BA1AA4"/>
    <w:rsid w:val="00BA1AB8"/>
    <w:rsid w:val="00BA1AE8"/>
    <w:rsid w:val="00BA1B26"/>
    <w:rsid w:val="00BA1BDF"/>
    <w:rsid w:val="00BA2369"/>
    <w:rsid w:val="00BA255A"/>
    <w:rsid w:val="00BA26F6"/>
    <w:rsid w:val="00BA29AD"/>
    <w:rsid w:val="00BA2B7D"/>
    <w:rsid w:val="00BA2FE4"/>
    <w:rsid w:val="00BA33CF"/>
    <w:rsid w:val="00BA34EB"/>
    <w:rsid w:val="00BA350E"/>
    <w:rsid w:val="00BA356F"/>
    <w:rsid w:val="00BA36F5"/>
    <w:rsid w:val="00BA39CA"/>
    <w:rsid w:val="00BA3F8D"/>
    <w:rsid w:val="00BA407C"/>
    <w:rsid w:val="00BA4345"/>
    <w:rsid w:val="00BA475A"/>
    <w:rsid w:val="00BA4BDE"/>
    <w:rsid w:val="00BA531D"/>
    <w:rsid w:val="00BA53DA"/>
    <w:rsid w:val="00BA5576"/>
    <w:rsid w:val="00BA5681"/>
    <w:rsid w:val="00BA574F"/>
    <w:rsid w:val="00BA5C20"/>
    <w:rsid w:val="00BA62E7"/>
    <w:rsid w:val="00BA6454"/>
    <w:rsid w:val="00BA6466"/>
    <w:rsid w:val="00BA6861"/>
    <w:rsid w:val="00BA6F37"/>
    <w:rsid w:val="00BA6FC6"/>
    <w:rsid w:val="00BA702A"/>
    <w:rsid w:val="00BA7157"/>
    <w:rsid w:val="00BA7353"/>
    <w:rsid w:val="00BA74FF"/>
    <w:rsid w:val="00BA7641"/>
    <w:rsid w:val="00BA764B"/>
    <w:rsid w:val="00BA7710"/>
    <w:rsid w:val="00BA7858"/>
    <w:rsid w:val="00BA78EE"/>
    <w:rsid w:val="00BA7A14"/>
    <w:rsid w:val="00BA7A4D"/>
    <w:rsid w:val="00BA7B26"/>
    <w:rsid w:val="00BA7C41"/>
    <w:rsid w:val="00BB0021"/>
    <w:rsid w:val="00BB0461"/>
    <w:rsid w:val="00BB0766"/>
    <w:rsid w:val="00BB095A"/>
    <w:rsid w:val="00BB0ABA"/>
    <w:rsid w:val="00BB0AF3"/>
    <w:rsid w:val="00BB0BA5"/>
    <w:rsid w:val="00BB0F26"/>
    <w:rsid w:val="00BB102E"/>
    <w:rsid w:val="00BB1047"/>
    <w:rsid w:val="00BB108A"/>
    <w:rsid w:val="00BB1376"/>
    <w:rsid w:val="00BB168A"/>
    <w:rsid w:val="00BB1C18"/>
    <w:rsid w:val="00BB22B0"/>
    <w:rsid w:val="00BB2340"/>
    <w:rsid w:val="00BB26BD"/>
    <w:rsid w:val="00BB27F9"/>
    <w:rsid w:val="00BB2818"/>
    <w:rsid w:val="00BB2859"/>
    <w:rsid w:val="00BB2893"/>
    <w:rsid w:val="00BB2A72"/>
    <w:rsid w:val="00BB2ABF"/>
    <w:rsid w:val="00BB2CC1"/>
    <w:rsid w:val="00BB2EDA"/>
    <w:rsid w:val="00BB3191"/>
    <w:rsid w:val="00BB3461"/>
    <w:rsid w:val="00BB3541"/>
    <w:rsid w:val="00BB3677"/>
    <w:rsid w:val="00BB384A"/>
    <w:rsid w:val="00BB3B17"/>
    <w:rsid w:val="00BB3D31"/>
    <w:rsid w:val="00BB3E55"/>
    <w:rsid w:val="00BB3EBD"/>
    <w:rsid w:val="00BB452A"/>
    <w:rsid w:val="00BB46AB"/>
    <w:rsid w:val="00BB47F9"/>
    <w:rsid w:val="00BB4F62"/>
    <w:rsid w:val="00BB50B9"/>
    <w:rsid w:val="00BB51BA"/>
    <w:rsid w:val="00BB54BB"/>
    <w:rsid w:val="00BB57DA"/>
    <w:rsid w:val="00BB5D23"/>
    <w:rsid w:val="00BB5D88"/>
    <w:rsid w:val="00BB5D9C"/>
    <w:rsid w:val="00BB5E9D"/>
    <w:rsid w:val="00BB613D"/>
    <w:rsid w:val="00BB6409"/>
    <w:rsid w:val="00BB6A31"/>
    <w:rsid w:val="00BB6C37"/>
    <w:rsid w:val="00BB6E43"/>
    <w:rsid w:val="00BB72A0"/>
    <w:rsid w:val="00BB74AC"/>
    <w:rsid w:val="00BB78F2"/>
    <w:rsid w:val="00BB7986"/>
    <w:rsid w:val="00BB7A10"/>
    <w:rsid w:val="00BC0410"/>
    <w:rsid w:val="00BC05EE"/>
    <w:rsid w:val="00BC0683"/>
    <w:rsid w:val="00BC0886"/>
    <w:rsid w:val="00BC0EBD"/>
    <w:rsid w:val="00BC14E6"/>
    <w:rsid w:val="00BC15AB"/>
    <w:rsid w:val="00BC163F"/>
    <w:rsid w:val="00BC1C9E"/>
    <w:rsid w:val="00BC2074"/>
    <w:rsid w:val="00BC259F"/>
    <w:rsid w:val="00BC26D5"/>
    <w:rsid w:val="00BC2800"/>
    <w:rsid w:val="00BC2A28"/>
    <w:rsid w:val="00BC2B8B"/>
    <w:rsid w:val="00BC2C2D"/>
    <w:rsid w:val="00BC2C3B"/>
    <w:rsid w:val="00BC2FD8"/>
    <w:rsid w:val="00BC3173"/>
    <w:rsid w:val="00BC3678"/>
    <w:rsid w:val="00BC3727"/>
    <w:rsid w:val="00BC3AC5"/>
    <w:rsid w:val="00BC3C07"/>
    <w:rsid w:val="00BC3D2D"/>
    <w:rsid w:val="00BC3DC3"/>
    <w:rsid w:val="00BC3F80"/>
    <w:rsid w:val="00BC3FD1"/>
    <w:rsid w:val="00BC41F7"/>
    <w:rsid w:val="00BC427C"/>
    <w:rsid w:val="00BC44CE"/>
    <w:rsid w:val="00BC458E"/>
    <w:rsid w:val="00BC46EE"/>
    <w:rsid w:val="00BC4A2E"/>
    <w:rsid w:val="00BC4B9C"/>
    <w:rsid w:val="00BC4D5D"/>
    <w:rsid w:val="00BC5097"/>
    <w:rsid w:val="00BC53AC"/>
    <w:rsid w:val="00BC544D"/>
    <w:rsid w:val="00BC547B"/>
    <w:rsid w:val="00BC5C73"/>
    <w:rsid w:val="00BC5E67"/>
    <w:rsid w:val="00BC5F09"/>
    <w:rsid w:val="00BC5F4A"/>
    <w:rsid w:val="00BC607E"/>
    <w:rsid w:val="00BC60BE"/>
    <w:rsid w:val="00BC67CB"/>
    <w:rsid w:val="00BC6BB4"/>
    <w:rsid w:val="00BC706B"/>
    <w:rsid w:val="00BC7125"/>
    <w:rsid w:val="00BC7136"/>
    <w:rsid w:val="00BC7468"/>
    <w:rsid w:val="00BC7519"/>
    <w:rsid w:val="00BC7A77"/>
    <w:rsid w:val="00BC7B64"/>
    <w:rsid w:val="00BC7CBB"/>
    <w:rsid w:val="00BC7D4F"/>
    <w:rsid w:val="00BC7DE4"/>
    <w:rsid w:val="00BC7E1C"/>
    <w:rsid w:val="00BC7E53"/>
    <w:rsid w:val="00BC7ED7"/>
    <w:rsid w:val="00BC7FF7"/>
    <w:rsid w:val="00BD034D"/>
    <w:rsid w:val="00BD03DA"/>
    <w:rsid w:val="00BD049B"/>
    <w:rsid w:val="00BD061E"/>
    <w:rsid w:val="00BD09C6"/>
    <w:rsid w:val="00BD0A56"/>
    <w:rsid w:val="00BD0A59"/>
    <w:rsid w:val="00BD1071"/>
    <w:rsid w:val="00BD1192"/>
    <w:rsid w:val="00BD11AC"/>
    <w:rsid w:val="00BD14D0"/>
    <w:rsid w:val="00BD155D"/>
    <w:rsid w:val="00BD16B3"/>
    <w:rsid w:val="00BD18A9"/>
    <w:rsid w:val="00BD1959"/>
    <w:rsid w:val="00BD1E35"/>
    <w:rsid w:val="00BD2795"/>
    <w:rsid w:val="00BD2850"/>
    <w:rsid w:val="00BD2D97"/>
    <w:rsid w:val="00BD2E6F"/>
    <w:rsid w:val="00BD3DA8"/>
    <w:rsid w:val="00BD4131"/>
    <w:rsid w:val="00BD4140"/>
    <w:rsid w:val="00BD431D"/>
    <w:rsid w:val="00BD4424"/>
    <w:rsid w:val="00BD44BE"/>
    <w:rsid w:val="00BD482B"/>
    <w:rsid w:val="00BD4B39"/>
    <w:rsid w:val="00BD4B87"/>
    <w:rsid w:val="00BD52D6"/>
    <w:rsid w:val="00BD5300"/>
    <w:rsid w:val="00BD5385"/>
    <w:rsid w:val="00BD54BB"/>
    <w:rsid w:val="00BD58D4"/>
    <w:rsid w:val="00BD5A45"/>
    <w:rsid w:val="00BD5B69"/>
    <w:rsid w:val="00BD615F"/>
    <w:rsid w:val="00BD6193"/>
    <w:rsid w:val="00BD65E6"/>
    <w:rsid w:val="00BD6701"/>
    <w:rsid w:val="00BD673E"/>
    <w:rsid w:val="00BD6931"/>
    <w:rsid w:val="00BD6B37"/>
    <w:rsid w:val="00BD6B9D"/>
    <w:rsid w:val="00BD6F0A"/>
    <w:rsid w:val="00BD7001"/>
    <w:rsid w:val="00BD709E"/>
    <w:rsid w:val="00BD71EE"/>
    <w:rsid w:val="00BD7531"/>
    <w:rsid w:val="00BD7660"/>
    <w:rsid w:val="00BD76B3"/>
    <w:rsid w:val="00BD79DC"/>
    <w:rsid w:val="00BD7C18"/>
    <w:rsid w:val="00BD7C89"/>
    <w:rsid w:val="00BD7FCF"/>
    <w:rsid w:val="00BE0044"/>
    <w:rsid w:val="00BE024D"/>
    <w:rsid w:val="00BE02A8"/>
    <w:rsid w:val="00BE058E"/>
    <w:rsid w:val="00BE0927"/>
    <w:rsid w:val="00BE0B03"/>
    <w:rsid w:val="00BE0E48"/>
    <w:rsid w:val="00BE0F9A"/>
    <w:rsid w:val="00BE14BF"/>
    <w:rsid w:val="00BE14EC"/>
    <w:rsid w:val="00BE156B"/>
    <w:rsid w:val="00BE1B85"/>
    <w:rsid w:val="00BE1C75"/>
    <w:rsid w:val="00BE1DA0"/>
    <w:rsid w:val="00BE200B"/>
    <w:rsid w:val="00BE23E9"/>
    <w:rsid w:val="00BE24A5"/>
    <w:rsid w:val="00BE27E8"/>
    <w:rsid w:val="00BE28C8"/>
    <w:rsid w:val="00BE28D2"/>
    <w:rsid w:val="00BE2B83"/>
    <w:rsid w:val="00BE2BCB"/>
    <w:rsid w:val="00BE2D49"/>
    <w:rsid w:val="00BE2E5A"/>
    <w:rsid w:val="00BE2F26"/>
    <w:rsid w:val="00BE2F2C"/>
    <w:rsid w:val="00BE322E"/>
    <w:rsid w:val="00BE335F"/>
    <w:rsid w:val="00BE3477"/>
    <w:rsid w:val="00BE364B"/>
    <w:rsid w:val="00BE379D"/>
    <w:rsid w:val="00BE3A25"/>
    <w:rsid w:val="00BE3C02"/>
    <w:rsid w:val="00BE3DED"/>
    <w:rsid w:val="00BE4080"/>
    <w:rsid w:val="00BE4151"/>
    <w:rsid w:val="00BE42DB"/>
    <w:rsid w:val="00BE4527"/>
    <w:rsid w:val="00BE46BA"/>
    <w:rsid w:val="00BE4935"/>
    <w:rsid w:val="00BE4A64"/>
    <w:rsid w:val="00BE4AD7"/>
    <w:rsid w:val="00BE4F02"/>
    <w:rsid w:val="00BE4F6E"/>
    <w:rsid w:val="00BE5049"/>
    <w:rsid w:val="00BE51D5"/>
    <w:rsid w:val="00BE5947"/>
    <w:rsid w:val="00BE5A74"/>
    <w:rsid w:val="00BE5CDE"/>
    <w:rsid w:val="00BE5E43"/>
    <w:rsid w:val="00BE5F08"/>
    <w:rsid w:val="00BE65F1"/>
    <w:rsid w:val="00BE6A91"/>
    <w:rsid w:val="00BE6F3B"/>
    <w:rsid w:val="00BE6FAE"/>
    <w:rsid w:val="00BE6FB9"/>
    <w:rsid w:val="00BE7868"/>
    <w:rsid w:val="00BE78F4"/>
    <w:rsid w:val="00BE7A90"/>
    <w:rsid w:val="00BE7B79"/>
    <w:rsid w:val="00BE7F76"/>
    <w:rsid w:val="00BF000F"/>
    <w:rsid w:val="00BF0EAD"/>
    <w:rsid w:val="00BF1164"/>
    <w:rsid w:val="00BF12CB"/>
    <w:rsid w:val="00BF12CD"/>
    <w:rsid w:val="00BF14B0"/>
    <w:rsid w:val="00BF17A1"/>
    <w:rsid w:val="00BF1C05"/>
    <w:rsid w:val="00BF1FB1"/>
    <w:rsid w:val="00BF2028"/>
    <w:rsid w:val="00BF204B"/>
    <w:rsid w:val="00BF2163"/>
    <w:rsid w:val="00BF2196"/>
    <w:rsid w:val="00BF220E"/>
    <w:rsid w:val="00BF23A8"/>
    <w:rsid w:val="00BF2667"/>
    <w:rsid w:val="00BF272B"/>
    <w:rsid w:val="00BF2B34"/>
    <w:rsid w:val="00BF2EED"/>
    <w:rsid w:val="00BF2F1E"/>
    <w:rsid w:val="00BF3278"/>
    <w:rsid w:val="00BF347C"/>
    <w:rsid w:val="00BF3D28"/>
    <w:rsid w:val="00BF3F97"/>
    <w:rsid w:val="00BF4A72"/>
    <w:rsid w:val="00BF4E44"/>
    <w:rsid w:val="00BF4E8B"/>
    <w:rsid w:val="00BF4ED3"/>
    <w:rsid w:val="00BF510A"/>
    <w:rsid w:val="00BF5174"/>
    <w:rsid w:val="00BF557D"/>
    <w:rsid w:val="00BF5928"/>
    <w:rsid w:val="00BF598B"/>
    <w:rsid w:val="00BF59E2"/>
    <w:rsid w:val="00BF5AAB"/>
    <w:rsid w:val="00BF63D4"/>
    <w:rsid w:val="00BF6450"/>
    <w:rsid w:val="00BF648C"/>
    <w:rsid w:val="00BF650D"/>
    <w:rsid w:val="00BF658D"/>
    <w:rsid w:val="00BF68C1"/>
    <w:rsid w:val="00BF6B03"/>
    <w:rsid w:val="00BF6E12"/>
    <w:rsid w:val="00BF7293"/>
    <w:rsid w:val="00BF73C6"/>
    <w:rsid w:val="00BF746F"/>
    <w:rsid w:val="00BF7482"/>
    <w:rsid w:val="00BF78AD"/>
    <w:rsid w:val="00BF792F"/>
    <w:rsid w:val="00BF79BB"/>
    <w:rsid w:val="00BF7A4D"/>
    <w:rsid w:val="00BF7AD6"/>
    <w:rsid w:val="00BF7C50"/>
    <w:rsid w:val="00BF7D71"/>
    <w:rsid w:val="00BF7F58"/>
    <w:rsid w:val="00C0009E"/>
    <w:rsid w:val="00C003A1"/>
    <w:rsid w:val="00C005BE"/>
    <w:rsid w:val="00C00ECF"/>
    <w:rsid w:val="00C01260"/>
    <w:rsid w:val="00C01381"/>
    <w:rsid w:val="00C017F2"/>
    <w:rsid w:val="00C01AB1"/>
    <w:rsid w:val="00C0233E"/>
    <w:rsid w:val="00C026A0"/>
    <w:rsid w:val="00C026CA"/>
    <w:rsid w:val="00C0275D"/>
    <w:rsid w:val="00C02765"/>
    <w:rsid w:val="00C02C40"/>
    <w:rsid w:val="00C02FE8"/>
    <w:rsid w:val="00C03291"/>
    <w:rsid w:val="00C032FA"/>
    <w:rsid w:val="00C0357F"/>
    <w:rsid w:val="00C035DF"/>
    <w:rsid w:val="00C03871"/>
    <w:rsid w:val="00C03901"/>
    <w:rsid w:val="00C03C7F"/>
    <w:rsid w:val="00C03D4E"/>
    <w:rsid w:val="00C0418B"/>
    <w:rsid w:val="00C04258"/>
    <w:rsid w:val="00C04267"/>
    <w:rsid w:val="00C042B1"/>
    <w:rsid w:val="00C0467A"/>
    <w:rsid w:val="00C04F53"/>
    <w:rsid w:val="00C051BE"/>
    <w:rsid w:val="00C053F9"/>
    <w:rsid w:val="00C054B3"/>
    <w:rsid w:val="00C058DC"/>
    <w:rsid w:val="00C05B70"/>
    <w:rsid w:val="00C05E86"/>
    <w:rsid w:val="00C05F00"/>
    <w:rsid w:val="00C06137"/>
    <w:rsid w:val="00C06507"/>
    <w:rsid w:val="00C06911"/>
    <w:rsid w:val="00C06929"/>
    <w:rsid w:val="00C06CA9"/>
    <w:rsid w:val="00C06E01"/>
    <w:rsid w:val="00C072EC"/>
    <w:rsid w:val="00C075F1"/>
    <w:rsid w:val="00C07934"/>
    <w:rsid w:val="00C079B8"/>
    <w:rsid w:val="00C07A20"/>
    <w:rsid w:val="00C10037"/>
    <w:rsid w:val="00C1023E"/>
    <w:rsid w:val="00C102D9"/>
    <w:rsid w:val="00C1068C"/>
    <w:rsid w:val="00C10C13"/>
    <w:rsid w:val="00C10C30"/>
    <w:rsid w:val="00C10DD6"/>
    <w:rsid w:val="00C11172"/>
    <w:rsid w:val="00C11185"/>
    <w:rsid w:val="00C1127E"/>
    <w:rsid w:val="00C115E1"/>
    <w:rsid w:val="00C11640"/>
    <w:rsid w:val="00C119AA"/>
    <w:rsid w:val="00C11AC7"/>
    <w:rsid w:val="00C12066"/>
    <w:rsid w:val="00C123C9"/>
    <w:rsid w:val="00C123EA"/>
    <w:rsid w:val="00C124AD"/>
    <w:rsid w:val="00C126EA"/>
    <w:rsid w:val="00C129B5"/>
    <w:rsid w:val="00C12A49"/>
    <w:rsid w:val="00C12A85"/>
    <w:rsid w:val="00C12D3C"/>
    <w:rsid w:val="00C12DD5"/>
    <w:rsid w:val="00C12DE7"/>
    <w:rsid w:val="00C12E91"/>
    <w:rsid w:val="00C1337C"/>
    <w:rsid w:val="00C133EE"/>
    <w:rsid w:val="00C13795"/>
    <w:rsid w:val="00C13983"/>
    <w:rsid w:val="00C13A92"/>
    <w:rsid w:val="00C13C15"/>
    <w:rsid w:val="00C13CBC"/>
    <w:rsid w:val="00C13D39"/>
    <w:rsid w:val="00C14421"/>
    <w:rsid w:val="00C145B8"/>
    <w:rsid w:val="00C149D0"/>
    <w:rsid w:val="00C14CAC"/>
    <w:rsid w:val="00C14CC4"/>
    <w:rsid w:val="00C1541A"/>
    <w:rsid w:val="00C155FB"/>
    <w:rsid w:val="00C156ED"/>
    <w:rsid w:val="00C15782"/>
    <w:rsid w:val="00C15C8F"/>
    <w:rsid w:val="00C15D13"/>
    <w:rsid w:val="00C15FC4"/>
    <w:rsid w:val="00C16438"/>
    <w:rsid w:val="00C16877"/>
    <w:rsid w:val="00C16C30"/>
    <w:rsid w:val="00C1759F"/>
    <w:rsid w:val="00C178AB"/>
    <w:rsid w:val="00C17A69"/>
    <w:rsid w:val="00C17A7C"/>
    <w:rsid w:val="00C17EE7"/>
    <w:rsid w:val="00C206F2"/>
    <w:rsid w:val="00C20D6F"/>
    <w:rsid w:val="00C21562"/>
    <w:rsid w:val="00C21566"/>
    <w:rsid w:val="00C21934"/>
    <w:rsid w:val="00C21951"/>
    <w:rsid w:val="00C219DC"/>
    <w:rsid w:val="00C220EE"/>
    <w:rsid w:val="00C2228D"/>
    <w:rsid w:val="00C22499"/>
    <w:rsid w:val="00C225E3"/>
    <w:rsid w:val="00C22896"/>
    <w:rsid w:val="00C22A8F"/>
    <w:rsid w:val="00C22A9E"/>
    <w:rsid w:val="00C23BCD"/>
    <w:rsid w:val="00C23BD1"/>
    <w:rsid w:val="00C24228"/>
    <w:rsid w:val="00C242A5"/>
    <w:rsid w:val="00C24614"/>
    <w:rsid w:val="00C24DA7"/>
    <w:rsid w:val="00C251AB"/>
    <w:rsid w:val="00C251B1"/>
    <w:rsid w:val="00C2558B"/>
    <w:rsid w:val="00C255A9"/>
    <w:rsid w:val="00C25AC8"/>
    <w:rsid w:val="00C25FEA"/>
    <w:rsid w:val="00C2606F"/>
    <w:rsid w:val="00C2612C"/>
    <w:rsid w:val="00C261F9"/>
    <w:rsid w:val="00C2620E"/>
    <w:rsid w:val="00C26217"/>
    <w:rsid w:val="00C262CA"/>
    <w:rsid w:val="00C263CF"/>
    <w:rsid w:val="00C26588"/>
    <w:rsid w:val="00C26669"/>
    <w:rsid w:val="00C26746"/>
    <w:rsid w:val="00C26A12"/>
    <w:rsid w:val="00C26E17"/>
    <w:rsid w:val="00C26E3E"/>
    <w:rsid w:val="00C27062"/>
    <w:rsid w:val="00C2707A"/>
    <w:rsid w:val="00C277E2"/>
    <w:rsid w:val="00C279A0"/>
    <w:rsid w:val="00C27DE9"/>
    <w:rsid w:val="00C30268"/>
    <w:rsid w:val="00C302B5"/>
    <w:rsid w:val="00C303FD"/>
    <w:rsid w:val="00C30833"/>
    <w:rsid w:val="00C3092F"/>
    <w:rsid w:val="00C30B21"/>
    <w:rsid w:val="00C30B44"/>
    <w:rsid w:val="00C30D44"/>
    <w:rsid w:val="00C311D5"/>
    <w:rsid w:val="00C3124C"/>
    <w:rsid w:val="00C31253"/>
    <w:rsid w:val="00C31BC6"/>
    <w:rsid w:val="00C31D3E"/>
    <w:rsid w:val="00C31DF8"/>
    <w:rsid w:val="00C31FFC"/>
    <w:rsid w:val="00C32386"/>
    <w:rsid w:val="00C32631"/>
    <w:rsid w:val="00C32678"/>
    <w:rsid w:val="00C328E5"/>
    <w:rsid w:val="00C32989"/>
    <w:rsid w:val="00C32CCB"/>
    <w:rsid w:val="00C32D97"/>
    <w:rsid w:val="00C33388"/>
    <w:rsid w:val="00C33D8B"/>
    <w:rsid w:val="00C3448B"/>
    <w:rsid w:val="00C34747"/>
    <w:rsid w:val="00C349E8"/>
    <w:rsid w:val="00C34BEE"/>
    <w:rsid w:val="00C34D39"/>
    <w:rsid w:val="00C34D84"/>
    <w:rsid w:val="00C34F60"/>
    <w:rsid w:val="00C35082"/>
    <w:rsid w:val="00C35136"/>
    <w:rsid w:val="00C3518C"/>
    <w:rsid w:val="00C351B9"/>
    <w:rsid w:val="00C35484"/>
    <w:rsid w:val="00C357C3"/>
    <w:rsid w:val="00C35EA8"/>
    <w:rsid w:val="00C35F85"/>
    <w:rsid w:val="00C360E9"/>
    <w:rsid w:val="00C361AE"/>
    <w:rsid w:val="00C362AA"/>
    <w:rsid w:val="00C36385"/>
    <w:rsid w:val="00C365CE"/>
    <w:rsid w:val="00C36B29"/>
    <w:rsid w:val="00C36C47"/>
    <w:rsid w:val="00C36E58"/>
    <w:rsid w:val="00C36F3A"/>
    <w:rsid w:val="00C37109"/>
    <w:rsid w:val="00C3723F"/>
    <w:rsid w:val="00C374B8"/>
    <w:rsid w:val="00C37C36"/>
    <w:rsid w:val="00C37D02"/>
    <w:rsid w:val="00C40481"/>
    <w:rsid w:val="00C407D6"/>
    <w:rsid w:val="00C407FB"/>
    <w:rsid w:val="00C40D09"/>
    <w:rsid w:val="00C410E4"/>
    <w:rsid w:val="00C41186"/>
    <w:rsid w:val="00C4160D"/>
    <w:rsid w:val="00C416B7"/>
    <w:rsid w:val="00C4173A"/>
    <w:rsid w:val="00C41AAD"/>
    <w:rsid w:val="00C41C48"/>
    <w:rsid w:val="00C41C73"/>
    <w:rsid w:val="00C41D87"/>
    <w:rsid w:val="00C41FFB"/>
    <w:rsid w:val="00C420EA"/>
    <w:rsid w:val="00C422E2"/>
    <w:rsid w:val="00C42414"/>
    <w:rsid w:val="00C42441"/>
    <w:rsid w:val="00C425C4"/>
    <w:rsid w:val="00C42786"/>
    <w:rsid w:val="00C42D1C"/>
    <w:rsid w:val="00C42EEA"/>
    <w:rsid w:val="00C430FD"/>
    <w:rsid w:val="00C4327D"/>
    <w:rsid w:val="00C43A8E"/>
    <w:rsid w:val="00C43B6F"/>
    <w:rsid w:val="00C43D30"/>
    <w:rsid w:val="00C44123"/>
    <w:rsid w:val="00C4444E"/>
    <w:rsid w:val="00C44499"/>
    <w:rsid w:val="00C4466D"/>
    <w:rsid w:val="00C4481E"/>
    <w:rsid w:val="00C448A4"/>
    <w:rsid w:val="00C44FB2"/>
    <w:rsid w:val="00C450D8"/>
    <w:rsid w:val="00C45523"/>
    <w:rsid w:val="00C4552E"/>
    <w:rsid w:val="00C4574F"/>
    <w:rsid w:val="00C459A2"/>
    <w:rsid w:val="00C45B6F"/>
    <w:rsid w:val="00C45C35"/>
    <w:rsid w:val="00C45C79"/>
    <w:rsid w:val="00C45F1D"/>
    <w:rsid w:val="00C4607F"/>
    <w:rsid w:val="00C460F0"/>
    <w:rsid w:val="00C46311"/>
    <w:rsid w:val="00C46329"/>
    <w:rsid w:val="00C4678A"/>
    <w:rsid w:val="00C470FF"/>
    <w:rsid w:val="00C4755B"/>
    <w:rsid w:val="00C47614"/>
    <w:rsid w:val="00C47832"/>
    <w:rsid w:val="00C479C5"/>
    <w:rsid w:val="00C47CF6"/>
    <w:rsid w:val="00C47D4E"/>
    <w:rsid w:val="00C47E72"/>
    <w:rsid w:val="00C47EC1"/>
    <w:rsid w:val="00C47F60"/>
    <w:rsid w:val="00C47FB4"/>
    <w:rsid w:val="00C50077"/>
    <w:rsid w:val="00C5019C"/>
    <w:rsid w:val="00C50346"/>
    <w:rsid w:val="00C5045E"/>
    <w:rsid w:val="00C504FC"/>
    <w:rsid w:val="00C50585"/>
    <w:rsid w:val="00C50DED"/>
    <w:rsid w:val="00C50F36"/>
    <w:rsid w:val="00C50FBF"/>
    <w:rsid w:val="00C511C6"/>
    <w:rsid w:val="00C51E4B"/>
    <w:rsid w:val="00C51E4F"/>
    <w:rsid w:val="00C52205"/>
    <w:rsid w:val="00C52217"/>
    <w:rsid w:val="00C5252B"/>
    <w:rsid w:val="00C527A6"/>
    <w:rsid w:val="00C52C75"/>
    <w:rsid w:val="00C53126"/>
    <w:rsid w:val="00C5349A"/>
    <w:rsid w:val="00C5350D"/>
    <w:rsid w:val="00C53545"/>
    <w:rsid w:val="00C538E8"/>
    <w:rsid w:val="00C53C2B"/>
    <w:rsid w:val="00C53CB0"/>
    <w:rsid w:val="00C5469E"/>
    <w:rsid w:val="00C54716"/>
    <w:rsid w:val="00C5485E"/>
    <w:rsid w:val="00C54C52"/>
    <w:rsid w:val="00C54F2C"/>
    <w:rsid w:val="00C550F8"/>
    <w:rsid w:val="00C5513E"/>
    <w:rsid w:val="00C551D2"/>
    <w:rsid w:val="00C55450"/>
    <w:rsid w:val="00C5575F"/>
    <w:rsid w:val="00C557F0"/>
    <w:rsid w:val="00C55AA9"/>
    <w:rsid w:val="00C55B47"/>
    <w:rsid w:val="00C55BD8"/>
    <w:rsid w:val="00C55C67"/>
    <w:rsid w:val="00C55EFE"/>
    <w:rsid w:val="00C55F67"/>
    <w:rsid w:val="00C55F75"/>
    <w:rsid w:val="00C561D2"/>
    <w:rsid w:val="00C562A9"/>
    <w:rsid w:val="00C5641D"/>
    <w:rsid w:val="00C56474"/>
    <w:rsid w:val="00C564F4"/>
    <w:rsid w:val="00C5676A"/>
    <w:rsid w:val="00C56A9D"/>
    <w:rsid w:val="00C56B31"/>
    <w:rsid w:val="00C56E04"/>
    <w:rsid w:val="00C56E4C"/>
    <w:rsid w:val="00C57208"/>
    <w:rsid w:val="00C5726F"/>
    <w:rsid w:val="00C573DB"/>
    <w:rsid w:val="00C57659"/>
    <w:rsid w:val="00C57A51"/>
    <w:rsid w:val="00C57F56"/>
    <w:rsid w:val="00C57F7F"/>
    <w:rsid w:val="00C60072"/>
    <w:rsid w:val="00C602FF"/>
    <w:rsid w:val="00C60411"/>
    <w:rsid w:val="00C606D1"/>
    <w:rsid w:val="00C607EA"/>
    <w:rsid w:val="00C60999"/>
    <w:rsid w:val="00C60A92"/>
    <w:rsid w:val="00C60E97"/>
    <w:rsid w:val="00C61174"/>
    <w:rsid w:val="00C61399"/>
    <w:rsid w:val="00C6148F"/>
    <w:rsid w:val="00C615AB"/>
    <w:rsid w:val="00C616C4"/>
    <w:rsid w:val="00C616F7"/>
    <w:rsid w:val="00C6175B"/>
    <w:rsid w:val="00C6208C"/>
    <w:rsid w:val="00C621B1"/>
    <w:rsid w:val="00C622C1"/>
    <w:rsid w:val="00C625D5"/>
    <w:rsid w:val="00C626F6"/>
    <w:rsid w:val="00C62EC6"/>
    <w:rsid w:val="00C62EDC"/>
    <w:rsid w:val="00C62EEC"/>
    <w:rsid w:val="00C62F22"/>
    <w:rsid w:val="00C62F7A"/>
    <w:rsid w:val="00C6317D"/>
    <w:rsid w:val="00C635F3"/>
    <w:rsid w:val="00C639C1"/>
    <w:rsid w:val="00C63A82"/>
    <w:rsid w:val="00C63AF8"/>
    <w:rsid w:val="00C63B9C"/>
    <w:rsid w:val="00C63DC9"/>
    <w:rsid w:val="00C63FCC"/>
    <w:rsid w:val="00C64370"/>
    <w:rsid w:val="00C644AC"/>
    <w:rsid w:val="00C64A63"/>
    <w:rsid w:val="00C64B41"/>
    <w:rsid w:val="00C64BE7"/>
    <w:rsid w:val="00C65009"/>
    <w:rsid w:val="00C6531A"/>
    <w:rsid w:val="00C65355"/>
    <w:rsid w:val="00C65520"/>
    <w:rsid w:val="00C6576D"/>
    <w:rsid w:val="00C65A01"/>
    <w:rsid w:val="00C65C39"/>
    <w:rsid w:val="00C6607C"/>
    <w:rsid w:val="00C66080"/>
    <w:rsid w:val="00C6609A"/>
    <w:rsid w:val="00C66394"/>
    <w:rsid w:val="00C6682F"/>
    <w:rsid w:val="00C66835"/>
    <w:rsid w:val="00C66BED"/>
    <w:rsid w:val="00C67427"/>
    <w:rsid w:val="00C67567"/>
    <w:rsid w:val="00C677F7"/>
    <w:rsid w:val="00C67B8B"/>
    <w:rsid w:val="00C67BF4"/>
    <w:rsid w:val="00C67BFE"/>
    <w:rsid w:val="00C7000B"/>
    <w:rsid w:val="00C703D9"/>
    <w:rsid w:val="00C704F4"/>
    <w:rsid w:val="00C70AB5"/>
    <w:rsid w:val="00C71080"/>
    <w:rsid w:val="00C714F7"/>
    <w:rsid w:val="00C7157E"/>
    <w:rsid w:val="00C71667"/>
    <w:rsid w:val="00C717E9"/>
    <w:rsid w:val="00C720E3"/>
    <w:rsid w:val="00C722F8"/>
    <w:rsid w:val="00C726B3"/>
    <w:rsid w:val="00C72753"/>
    <w:rsid w:val="00C7275E"/>
    <w:rsid w:val="00C72BB3"/>
    <w:rsid w:val="00C72CA8"/>
    <w:rsid w:val="00C72D22"/>
    <w:rsid w:val="00C72DA3"/>
    <w:rsid w:val="00C72EC1"/>
    <w:rsid w:val="00C72F85"/>
    <w:rsid w:val="00C730B3"/>
    <w:rsid w:val="00C73130"/>
    <w:rsid w:val="00C731AF"/>
    <w:rsid w:val="00C7330E"/>
    <w:rsid w:val="00C734A3"/>
    <w:rsid w:val="00C73508"/>
    <w:rsid w:val="00C73812"/>
    <w:rsid w:val="00C7399D"/>
    <w:rsid w:val="00C73D86"/>
    <w:rsid w:val="00C7419A"/>
    <w:rsid w:val="00C742F5"/>
    <w:rsid w:val="00C74368"/>
    <w:rsid w:val="00C7444D"/>
    <w:rsid w:val="00C74459"/>
    <w:rsid w:val="00C745C2"/>
    <w:rsid w:val="00C748CD"/>
    <w:rsid w:val="00C74916"/>
    <w:rsid w:val="00C74C5D"/>
    <w:rsid w:val="00C74F42"/>
    <w:rsid w:val="00C75021"/>
    <w:rsid w:val="00C750AB"/>
    <w:rsid w:val="00C75518"/>
    <w:rsid w:val="00C75563"/>
    <w:rsid w:val="00C75580"/>
    <w:rsid w:val="00C757D5"/>
    <w:rsid w:val="00C75FEB"/>
    <w:rsid w:val="00C76017"/>
    <w:rsid w:val="00C76120"/>
    <w:rsid w:val="00C76228"/>
    <w:rsid w:val="00C76BD6"/>
    <w:rsid w:val="00C76F54"/>
    <w:rsid w:val="00C7735E"/>
    <w:rsid w:val="00C773B9"/>
    <w:rsid w:val="00C77706"/>
    <w:rsid w:val="00C7780C"/>
    <w:rsid w:val="00C778E3"/>
    <w:rsid w:val="00C779A8"/>
    <w:rsid w:val="00C77A24"/>
    <w:rsid w:val="00C77E6A"/>
    <w:rsid w:val="00C77EA7"/>
    <w:rsid w:val="00C801EA"/>
    <w:rsid w:val="00C807D3"/>
    <w:rsid w:val="00C80D46"/>
    <w:rsid w:val="00C80F7C"/>
    <w:rsid w:val="00C8159E"/>
    <w:rsid w:val="00C8190E"/>
    <w:rsid w:val="00C819E6"/>
    <w:rsid w:val="00C81AD2"/>
    <w:rsid w:val="00C81C01"/>
    <w:rsid w:val="00C81C16"/>
    <w:rsid w:val="00C81C58"/>
    <w:rsid w:val="00C81D68"/>
    <w:rsid w:val="00C81EAF"/>
    <w:rsid w:val="00C82090"/>
    <w:rsid w:val="00C82788"/>
    <w:rsid w:val="00C82B2A"/>
    <w:rsid w:val="00C82BEE"/>
    <w:rsid w:val="00C82C53"/>
    <w:rsid w:val="00C8330C"/>
    <w:rsid w:val="00C8351E"/>
    <w:rsid w:val="00C835CA"/>
    <w:rsid w:val="00C83734"/>
    <w:rsid w:val="00C8375C"/>
    <w:rsid w:val="00C837DC"/>
    <w:rsid w:val="00C839AF"/>
    <w:rsid w:val="00C83AFF"/>
    <w:rsid w:val="00C84167"/>
    <w:rsid w:val="00C842B9"/>
    <w:rsid w:val="00C84504"/>
    <w:rsid w:val="00C84553"/>
    <w:rsid w:val="00C84932"/>
    <w:rsid w:val="00C84B05"/>
    <w:rsid w:val="00C84C9A"/>
    <w:rsid w:val="00C84CB8"/>
    <w:rsid w:val="00C84DCC"/>
    <w:rsid w:val="00C84E85"/>
    <w:rsid w:val="00C85077"/>
    <w:rsid w:val="00C851B6"/>
    <w:rsid w:val="00C8526C"/>
    <w:rsid w:val="00C8594C"/>
    <w:rsid w:val="00C85D7C"/>
    <w:rsid w:val="00C85ED3"/>
    <w:rsid w:val="00C85EF7"/>
    <w:rsid w:val="00C863C4"/>
    <w:rsid w:val="00C865E2"/>
    <w:rsid w:val="00C866D0"/>
    <w:rsid w:val="00C86833"/>
    <w:rsid w:val="00C86DF0"/>
    <w:rsid w:val="00C8765C"/>
    <w:rsid w:val="00C8796C"/>
    <w:rsid w:val="00C8797C"/>
    <w:rsid w:val="00C87989"/>
    <w:rsid w:val="00C87A7C"/>
    <w:rsid w:val="00C90256"/>
    <w:rsid w:val="00C902D4"/>
    <w:rsid w:val="00C90825"/>
    <w:rsid w:val="00C90834"/>
    <w:rsid w:val="00C90BA5"/>
    <w:rsid w:val="00C90DAB"/>
    <w:rsid w:val="00C90EC9"/>
    <w:rsid w:val="00C9114C"/>
    <w:rsid w:val="00C91256"/>
    <w:rsid w:val="00C912F1"/>
    <w:rsid w:val="00C9132B"/>
    <w:rsid w:val="00C915BC"/>
    <w:rsid w:val="00C91A46"/>
    <w:rsid w:val="00C91E34"/>
    <w:rsid w:val="00C91FDB"/>
    <w:rsid w:val="00C92026"/>
    <w:rsid w:val="00C920EA"/>
    <w:rsid w:val="00C927AD"/>
    <w:rsid w:val="00C92815"/>
    <w:rsid w:val="00C92908"/>
    <w:rsid w:val="00C92B88"/>
    <w:rsid w:val="00C92EF8"/>
    <w:rsid w:val="00C930B1"/>
    <w:rsid w:val="00C93842"/>
    <w:rsid w:val="00C93BD0"/>
    <w:rsid w:val="00C93C3E"/>
    <w:rsid w:val="00C93CAD"/>
    <w:rsid w:val="00C93D99"/>
    <w:rsid w:val="00C941D0"/>
    <w:rsid w:val="00C9474A"/>
    <w:rsid w:val="00C94C15"/>
    <w:rsid w:val="00C94F22"/>
    <w:rsid w:val="00C95389"/>
    <w:rsid w:val="00C95444"/>
    <w:rsid w:val="00C95669"/>
    <w:rsid w:val="00C9568C"/>
    <w:rsid w:val="00C9582F"/>
    <w:rsid w:val="00C95BA9"/>
    <w:rsid w:val="00C960E0"/>
    <w:rsid w:val="00C96167"/>
    <w:rsid w:val="00C962E6"/>
    <w:rsid w:val="00C96837"/>
    <w:rsid w:val="00C96892"/>
    <w:rsid w:val="00C96B42"/>
    <w:rsid w:val="00C96F7A"/>
    <w:rsid w:val="00C970DD"/>
    <w:rsid w:val="00C9746F"/>
    <w:rsid w:val="00C975A2"/>
    <w:rsid w:val="00C977A6"/>
    <w:rsid w:val="00C979BA"/>
    <w:rsid w:val="00C97AD0"/>
    <w:rsid w:val="00C97E0E"/>
    <w:rsid w:val="00CA023E"/>
    <w:rsid w:val="00CA0576"/>
    <w:rsid w:val="00CA061F"/>
    <w:rsid w:val="00CA09FE"/>
    <w:rsid w:val="00CA0A07"/>
    <w:rsid w:val="00CA0D5D"/>
    <w:rsid w:val="00CA0FE2"/>
    <w:rsid w:val="00CA12E3"/>
    <w:rsid w:val="00CA1476"/>
    <w:rsid w:val="00CA152B"/>
    <w:rsid w:val="00CA1652"/>
    <w:rsid w:val="00CA20D8"/>
    <w:rsid w:val="00CA224C"/>
    <w:rsid w:val="00CA2280"/>
    <w:rsid w:val="00CA2342"/>
    <w:rsid w:val="00CA238F"/>
    <w:rsid w:val="00CA2477"/>
    <w:rsid w:val="00CA25AD"/>
    <w:rsid w:val="00CA26AA"/>
    <w:rsid w:val="00CA2A7B"/>
    <w:rsid w:val="00CA2C45"/>
    <w:rsid w:val="00CA2C84"/>
    <w:rsid w:val="00CA2E8D"/>
    <w:rsid w:val="00CA302D"/>
    <w:rsid w:val="00CA3631"/>
    <w:rsid w:val="00CA37AF"/>
    <w:rsid w:val="00CA38F7"/>
    <w:rsid w:val="00CA3CF4"/>
    <w:rsid w:val="00CA3E66"/>
    <w:rsid w:val="00CA3F59"/>
    <w:rsid w:val="00CA4186"/>
    <w:rsid w:val="00CA4362"/>
    <w:rsid w:val="00CA4591"/>
    <w:rsid w:val="00CA4636"/>
    <w:rsid w:val="00CA4657"/>
    <w:rsid w:val="00CA47A6"/>
    <w:rsid w:val="00CA4A39"/>
    <w:rsid w:val="00CA4E80"/>
    <w:rsid w:val="00CA547A"/>
    <w:rsid w:val="00CA5514"/>
    <w:rsid w:val="00CA564D"/>
    <w:rsid w:val="00CA576B"/>
    <w:rsid w:val="00CA5AD1"/>
    <w:rsid w:val="00CA5B12"/>
    <w:rsid w:val="00CA5C74"/>
    <w:rsid w:val="00CA6101"/>
    <w:rsid w:val="00CA6611"/>
    <w:rsid w:val="00CA6709"/>
    <w:rsid w:val="00CA673B"/>
    <w:rsid w:val="00CA6A6E"/>
    <w:rsid w:val="00CA6AE6"/>
    <w:rsid w:val="00CA6C09"/>
    <w:rsid w:val="00CA6E6F"/>
    <w:rsid w:val="00CA7289"/>
    <w:rsid w:val="00CA72AC"/>
    <w:rsid w:val="00CA750E"/>
    <w:rsid w:val="00CA782F"/>
    <w:rsid w:val="00CA78E5"/>
    <w:rsid w:val="00CA7A8E"/>
    <w:rsid w:val="00CA7B33"/>
    <w:rsid w:val="00CA7C5D"/>
    <w:rsid w:val="00CA7E3A"/>
    <w:rsid w:val="00CA7E9C"/>
    <w:rsid w:val="00CB0225"/>
    <w:rsid w:val="00CB0806"/>
    <w:rsid w:val="00CB0A9D"/>
    <w:rsid w:val="00CB0B37"/>
    <w:rsid w:val="00CB0D93"/>
    <w:rsid w:val="00CB0F1C"/>
    <w:rsid w:val="00CB1077"/>
    <w:rsid w:val="00CB13B5"/>
    <w:rsid w:val="00CB15CE"/>
    <w:rsid w:val="00CB187B"/>
    <w:rsid w:val="00CB1B2F"/>
    <w:rsid w:val="00CB1CDE"/>
    <w:rsid w:val="00CB21EB"/>
    <w:rsid w:val="00CB224E"/>
    <w:rsid w:val="00CB23D6"/>
    <w:rsid w:val="00CB2413"/>
    <w:rsid w:val="00CB2641"/>
    <w:rsid w:val="00CB2835"/>
    <w:rsid w:val="00CB2B59"/>
    <w:rsid w:val="00CB2CC0"/>
    <w:rsid w:val="00CB2F4F"/>
    <w:rsid w:val="00CB2FF6"/>
    <w:rsid w:val="00CB3285"/>
    <w:rsid w:val="00CB32CE"/>
    <w:rsid w:val="00CB3500"/>
    <w:rsid w:val="00CB35A5"/>
    <w:rsid w:val="00CB3840"/>
    <w:rsid w:val="00CB39E5"/>
    <w:rsid w:val="00CB3A62"/>
    <w:rsid w:val="00CB3BE0"/>
    <w:rsid w:val="00CB3DA2"/>
    <w:rsid w:val="00CB41A2"/>
    <w:rsid w:val="00CB4500"/>
    <w:rsid w:val="00CB455D"/>
    <w:rsid w:val="00CB4EE9"/>
    <w:rsid w:val="00CB50DA"/>
    <w:rsid w:val="00CB50E6"/>
    <w:rsid w:val="00CB55D9"/>
    <w:rsid w:val="00CB55EA"/>
    <w:rsid w:val="00CB568F"/>
    <w:rsid w:val="00CB56A6"/>
    <w:rsid w:val="00CB5E7A"/>
    <w:rsid w:val="00CB6335"/>
    <w:rsid w:val="00CB666E"/>
    <w:rsid w:val="00CB695D"/>
    <w:rsid w:val="00CB7190"/>
    <w:rsid w:val="00CB75F3"/>
    <w:rsid w:val="00CB7B32"/>
    <w:rsid w:val="00CB7E54"/>
    <w:rsid w:val="00CC052F"/>
    <w:rsid w:val="00CC07CF"/>
    <w:rsid w:val="00CC0925"/>
    <w:rsid w:val="00CC0AD0"/>
    <w:rsid w:val="00CC0B66"/>
    <w:rsid w:val="00CC0C72"/>
    <w:rsid w:val="00CC0CFF"/>
    <w:rsid w:val="00CC13C8"/>
    <w:rsid w:val="00CC143A"/>
    <w:rsid w:val="00CC152D"/>
    <w:rsid w:val="00CC15B3"/>
    <w:rsid w:val="00CC1735"/>
    <w:rsid w:val="00CC17C6"/>
    <w:rsid w:val="00CC182A"/>
    <w:rsid w:val="00CC1A9B"/>
    <w:rsid w:val="00CC1B7F"/>
    <w:rsid w:val="00CC1DD9"/>
    <w:rsid w:val="00CC1F20"/>
    <w:rsid w:val="00CC20A4"/>
    <w:rsid w:val="00CC20DF"/>
    <w:rsid w:val="00CC24C1"/>
    <w:rsid w:val="00CC2586"/>
    <w:rsid w:val="00CC2637"/>
    <w:rsid w:val="00CC2763"/>
    <w:rsid w:val="00CC2847"/>
    <w:rsid w:val="00CC2A27"/>
    <w:rsid w:val="00CC2B7A"/>
    <w:rsid w:val="00CC2BDB"/>
    <w:rsid w:val="00CC2BFD"/>
    <w:rsid w:val="00CC2DA8"/>
    <w:rsid w:val="00CC2E94"/>
    <w:rsid w:val="00CC349E"/>
    <w:rsid w:val="00CC3539"/>
    <w:rsid w:val="00CC364F"/>
    <w:rsid w:val="00CC3766"/>
    <w:rsid w:val="00CC3778"/>
    <w:rsid w:val="00CC3804"/>
    <w:rsid w:val="00CC3816"/>
    <w:rsid w:val="00CC3BB0"/>
    <w:rsid w:val="00CC3CDD"/>
    <w:rsid w:val="00CC3D74"/>
    <w:rsid w:val="00CC3DD0"/>
    <w:rsid w:val="00CC40BE"/>
    <w:rsid w:val="00CC4823"/>
    <w:rsid w:val="00CC4B8B"/>
    <w:rsid w:val="00CC4C33"/>
    <w:rsid w:val="00CC4E51"/>
    <w:rsid w:val="00CC4EFC"/>
    <w:rsid w:val="00CC5043"/>
    <w:rsid w:val="00CC51A4"/>
    <w:rsid w:val="00CC52D4"/>
    <w:rsid w:val="00CC5558"/>
    <w:rsid w:val="00CC5B59"/>
    <w:rsid w:val="00CC5BA2"/>
    <w:rsid w:val="00CC5BD2"/>
    <w:rsid w:val="00CC5EA1"/>
    <w:rsid w:val="00CC5FA9"/>
    <w:rsid w:val="00CC6268"/>
    <w:rsid w:val="00CC640D"/>
    <w:rsid w:val="00CC6707"/>
    <w:rsid w:val="00CC687C"/>
    <w:rsid w:val="00CC69E6"/>
    <w:rsid w:val="00CC6A0A"/>
    <w:rsid w:val="00CC6B7F"/>
    <w:rsid w:val="00CC6B81"/>
    <w:rsid w:val="00CC6C85"/>
    <w:rsid w:val="00CC6E0D"/>
    <w:rsid w:val="00CC6F40"/>
    <w:rsid w:val="00CC70CB"/>
    <w:rsid w:val="00CC7340"/>
    <w:rsid w:val="00CC7716"/>
    <w:rsid w:val="00CC7856"/>
    <w:rsid w:val="00CC798B"/>
    <w:rsid w:val="00CC7A10"/>
    <w:rsid w:val="00CC7E14"/>
    <w:rsid w:val="00CD0407"/>
    <w:rsid w:val="00CD04C1"/>
    <w:rsid w:val="00CD0754"/>
    <w:rsid w:val="00CD0D7F"/>
    <w:rsid w:val="00CD0FFA"/>
    <w:rsid w:val="00CD11AA"/>
    <w:rsid w:val="00CD11F4"/>
    <w:rsid w:val="00CD1307"/>
    <w:rsid w:val="00CD14EB"/>
    <w:rsid w:val="00CD16B9"/>
    <w:rsid w:val="00CD1776"/>
    <w:rsid w:val="00CD1A2C"/>
    <w:rsid w:val="00CD1A52"/>
    <w:rsid w:val="00CD1AE8"/>
    <w:rsid w:val="00CD1C11"/>
    <w:rsid w:val="00CD1C76"/>
    <w:rsid w:val="00CD1E08"/>
    <w:rsid w:val="00CD215D"/>
    <w:rsid w:val="00CD22A2"/>
    <w:rsid w:val="00CD22E3"/>
    <w:rsid w:val="00CD25F5"/>
    <w:rsid w:val="00CD2808"/>
    <w:rsid w:val="00CD2871"/>
    <w:rsid w:val="00CD2919"/>
    <w:rsid w:val="00CD2AE8"/>
    <w:rsid w:val="00CD2C01"/>
    <w:rsid w:val="00CD2F17"/>
    <w:rsid w:val="00CD2FDA"/>
    <w:rsid w:val="00CD3143"/>
    <w:rsid w:val="00CD3158"/>
    <w:rsid w:val="00CD3230"/>
    <w:rsid w:val="00CD3476"/>
    <w:rsid w:val="00CD35D2"/>
    <w:rsid w:val="00CD362A"/>
    <w:rsid w:val="00CD38E2"/>
    <w:rsid w:val="00CD396A"/>
    <w:rsid w:val="00CD3C14"/>
    <w:rsid w:val="00CD3D25"/>
    <w:rsid w:val="00CD3D31"/>
    <w:rsid w:val="00CD40F6"/>
    <w:rsid w:val="00CD43A8"/>
    <w:rsid w:val="00CD47B5"/>
    <w:rsid w:val="00CD48F4"/>
    <w:rsid w:val="00CD4A63"/>
    <w:rsid w:val="00CD4CD5"/>
    <w:rsid w:val="00CD4D55"/>
    <w:rsid w:val="00CD4E8C"/>
    <w:rsid w:val="00CD4F7A"/>
    <w:rsid w:val="00CD4F84"/>
    <w:rsid w:val="00CD523A"/>
    <w:rsid w:val="00CD5568"/>
    <w:rsid w:val="00CD55D2"/>
    <w:rsid w:val="00CD58E9"/>
    <w:rsid w:val="00CD59B4"/>
    <w:rsid w:val="00CD5FD1"/>
    <w:rsid w:val="00CD609E"/>
    <w:rsid w:val="00CD60A4"/>
    <w:rsid w:val="00CD60E6"/>
    <w:rsid w:val="00CD616C"/>
    <w:rsid w:val="00CD61A9"/>
    <w:rsid w:val="00CD64DF"/>
    <w:rsid w:val="00CD6BB1"/>
    <w:rsid w:val="00CD6DBB"/>
    <w:rsid w:val="00CD6EB1"/>
    <w:rsid w:val="00CD7176"/>
    <w:rsid w:val="00CD71B9"/>
    <w:rsid w:val="00CD73EB"/>
    <w:rsid w:val="00CD75E6"/>
    <w:rsid w:val="00CD77E0"/>
    <w:rsid w:val="00CD79EB"/>
    <w:rsid w:val="00CD79F6"/>
    <w:rsid w:val="00CD7C2D"/>
    <w:rsid w:val="00CE0052"/>
    <w:rsid w:val="00CE0137"/>
    <w:rsid w:val="00CE0299"/>
    <w:rsid w:val="00CE02EF"/>
    <w:rsid w:val="00CE047A"/>
    <w:rsid w:val="00CE07AE"/>
    <w:rsid w:val="00CE0923"/>
    <w:rsid w:val="00CE0A05"/>
    <w:rsid w:val="00CE0A08"/>
    <w:rsid w:val="00CE0D54"/>
    <w:rsid w:val="00CE0E10"/>
    <w:rsid w:val="00CE18DA"/>
    <w:rsid w:val="00CE1CEC"/>
    <w:rsid w:val="00CE1D45"/>
    <w:rsid w:val="00CE1ED1"/>
    <w:rsid w:val="00CE1FCC"/>
    <w:rsid w:val="00CE225F"/>
    <w:rsid w:val="00CE2273"/>
    <w:rsid w:val="00CE2C45"/>
    <w:rsid w:val="00CE2F61"/>
    <w:rsid w:val="00CE304C"/>
    <w:rsid w:val="00CE3A2B"/>
    <w:rsid w:val="00CE3A41"/>
    <w:rsid w:val="00CE3A67"/>
    <w:rsid w:val="00CE3B01"/>
    <w:rsid w:val="00CE3D66"/>
    <w:rsid w:val="00CE3DB1"/>
    <w:rsid w:val="00CE3F27"/>
    <w:rsid w:val="00CE4690"/>
    <w:rsid w:val="00CE4E17"/>
    <w:rsid w:val="00CE5159"/>
    <w:rsid w:val="00CE551E"/>
    <w:rsid w:val="00CE5833"/>
    <w:rsid w:val="00CE5A7A"/>
    <w:rsid w:val="00CE5F04"/>
    <w:rsid w:val="00CE625E"/>
    <w:rsid w:val="00CE634C"/>
    <w:rsid w:val="00CE6616"/>
    <w:rsid w:val="00CE69CE"/>
    <w:rsid w:val="00CE71EE"/>
    <w:rsid w:val="00CE774C"/>
    <w:rsid w:val="00CE77AA"/>
    <w:rsid w:val="00CE780A"/>
    <w:rsid w:val="00CE78D6"/>
    <w:rsid w:val="00CE7B4F"/>
    <w:rsid w:val="00CE7CD7"/>
    <w:rsid w:val="00CE7E06"/>
    <w:rsid w:val="00CF013C"/>
    <w:rsid w:val="00CF03C2"/>
    <w:rsid w:val="00CF055A"/>
    <w:rsid w:val="00CF0820"/>
    <w:rsid w:val="00CF090C"/>
    <w:rsid w:val="00CF0A24"/>
    <w:rsid w:val="00CF0ADC"/>
    <w:rsid w:val="00CF11DD"/>
    <w:rsid w:val="00CF15A9"/>
    <w:rsid w:val="00CF195B"/>
    <w:rsid w:val="00CF19A6"/>
    <w:rsid w:val="00CF19D0"/>
    <w:rsid w:val="00CF1C39"/>
    <w:rsid w:val="00CF1E61"/>
    <w:rsid w:val="00CF21FB"/>
    <w:rsid w:val="00CF23AC"/>
    <w:rsid w:val="00CF23C2"/>
    <w:rsid w:val="00CF2596"/>
    <w:rsid w:val="00CF28FE"/>
    <w:rsid w:val="00CF2CF1"/>
    <w:rsid w:val="00CF2D15"/>
    <w:rsid w:val="00CF2DE0"/>
    <w:rsid w:val="00CF2DF3"/>
    <w:rsid w:val="00CF2E24"/>
    <w:rsid w:val="00CF2F27"/>
    <w:rsid w:val="00CF2F50"/>
    <w:rsid w:val="00CF31A2"/>
    <w:rsid w:val="00CF33C1"/>
    <w:rsid w:val="00CF37B5"/>
    <w:rsid w:val="00CF38DE"/>
    <w:rsid w:val="00CF398D"/>
    <w:rsid w:val="00CF39A7"/>
    <w:rsid w:val="00CF3A0C"/>
    <w:rsid w:val="00CF3B53"/>
    <w:rsid w:val="00CF3D26"/>
    <w:rsid w:val="00CF4096"/>
    <w:rsid w:val="00CF410C"/>
    <w:rsid w:val="00CF4318"/>
    <w:rsid w:val="00CF462A"/>
    <w:rsid w:val="00CF46D1"/>
    <w:rsid w:val="00CF4703"/>
    <w:rsid w:val="00CF4707"/>
    <w:rsid w:val="00CF497F"/>
    <w:rsid w:val="00CF52F2"/>
    <w:rsid w:val="00CF57D1"/>
    <w:rsid w:val="00CF59A4"/>
    <w:rsid w:val="00CF6026"/>
    <w:rsid w:val="00CF602A"/>
    <w:rsid w:val="00CF6153"/>
    <w:rsid w:val="00CF6198"/>
    <w:rsid w:val="00CF622E"/>
    <w:rsid w:val="00CF62A2"/>
    <w:rsid w:val="00CF650F"/>
    <w:rsid w:val="00CF6C01"/>
    <w:rsid w:val="00CF707F"/>
    <w:rsid w:val="00CF7084"/>
    <w:rsid w:val="00CF716D"/>
    <w:rsid w:val="00CF7345"/>
    <w:rsid w:val="00CF75FC"/>
    <w:rsid w:val="00CF776E"/>
    <w:rsid w:val="00CF7784"/>
    <w:rsid w:val="00CF7A40"/>
    <w:rsid w:val="00CF7B9C"/>
    <w:rsid w:val="00CF7C6B"/>
    <w:rsid w:val="00CF7E8D"/>
    <w:rsid w:val="00D000B4"/>
    <w:rsid w:val="00D002C8"/>
    <w:rsid w:val="00D00575"/>
    <w:rsid w:val="00D0068A"/>
    <w:rsid w:val="00D00BD4"/>
    <w:rsid w:val="00D00C5B"/>
    <w:rsid w:val="00D01199"/>
    <w:rsid w:val="00D013C3"/>
    <w:rsid w:val="00D0149D"/>
    <w:rsid w:val="00D01697"/>
    <w:rsid w:val="00D017C1"/>
    <w:rsid w:val="00D018CF"/>
    <w:rsid w:val="00D01E25"/>
    <w:rsid w:val="00D0202C"/>
    <w:rsid w:val="00D02238"/>
    <w:rsid w:val="00D02365"/>
    <w:rsid w:val="00D02578"/>
    <w:rsid w:val="00D02865"/>
    <w:rsid w:val="00D02919"/>
    <w:rsid w:val="00D0310F"/>
    <w:rsid w:val="00D036D4"/>
    <w:rsid w:val="00D03748"/>
    <w:rsid w:val="00D0375F"/>
    <w:rsid w:val="00D03A7B"/>
    <w:rsid w:val="00D03AB1"/>
    <w:rsid w:val="00D03BDD"/>
    <w:rsid w:val="00D0400C"/>
    <w:rsid w:val="00D040C2"/>
    <w:rsid w:val="00D0432C"/>
    <w:rsid w:val="00D043CF"/>
    <w:rsid w:val="00D04A97"/>
    <w:rsid w:val="00D04B73"/>
    <w:rsid w:val="00D04C61"/>
    <w:rsid w:val="00D04FA5"/>
    <w:rsid w:val="00D05725"/>
    <w:rsid w:val="00D0573F"/>
    <w:rsid w:val="00D05796"/>
    <w:rsid w:val="00D059BE"/>
    <w:rsid w:val="00D05B8D"/>
    <w:rsid w:val="00D05B9B"/>
    <w:rsid w:val="00D05F44"/>
    <w:rsid w:val="00D06209"/>
    <w:rsid w:val="00D0620A"/>
    <w:rsid w:val="00D0645F"/>
    <w:rsid w:val="00D0654A"/>
    <w:rsid w:val="00D065A2"/>
    <w:rsid w:val="00D0674B"/>
    <w:rsid w:val="00D06D8B"/>
    <w:rsid w:val="00D0734E"/>
    <w:rsid w:val="00D07385"/>
    <w:rsid w:val="00D0747A"/>
    <w:rsid w:val="00D0796D"/>
    <w:rsid w:val="00D079AA"/>
    <w:rsid w:val="00D07A77"/>
    <w:rsid w:val="00D07F00"/>
    <w:rsid w:val="00D10087"/>
    <w:rsid w:val="00D102BD"/>
    <w:rsid w:val="00D105C4"/>
    <w:rsid w:val="00D10683"/>
    <w:rsid w:val="00D108ED"/>
    <w:rsid w:val="00D10ABF"/>
    <w:rsid w:val="00D10ADF"/>
    <w:rsid w:val="00D10C13"/>
    <w:rsid w:val="00D10C58"/>
    <w:rsid w:val="00D10DD8"/>
    <w:rsid w:val="00D11272"/>
    <w:rsid w:val="00D1130F"/>
    <w:rsid w:val="00D114A5"/>
    <w:rsid w:val="00D114F3"/>
    <w:rsid w:val="00D11802"/>
    <w:rsid w:val="00D119B4"/>
    <w:rsid w:val="00D11A76"/>
    <w:rsid w:val="00D11B37"/>
    <w:rsid w:val="00D11B57"/>
    <w:rsid w:val="00D11B9C"/>
    <w:rsid w:val="00D11BEC"/>
    <w:rsid w:val="00D12273"/>
    <w:rsid w:val="00D1264B"/>
    <w:rsid w:val="00D12661"/>
    <w:rsid w:val="00D1277A"/>
    <w:rsid w:val="00D12C30"/>
    <w:rsid w:val="00D12F27"/>
    <w:rsid w:val="00D1314D"/>
    <w:rsid w:val="00D132E5"/>
    <w:rsid w:val="00D135A0"/>
    <w:rsid w:val="00D136A4"/>
    <w:rsid w:val="00D136B3"/>
    <w:rsid w:val="00D13980"/>
    <w:rsid w:val="00D13A0F"/>
    <w:rsid w:val="00D13EB3"/>
    <w:rsid w:val="00D13FC7"/>
    <w:rsid w:val="00D143B7"/>
    <w:rsid w:val="00D14466"/>
    <w:rsid w:val="00D144E0"/>
    <w:rsid w:val="00D14776"/>
    <w:rsid w:val="00D14873"/>
    <w:rsid w:val="00D14B71"/>
    <w:rsid w:val="00D14FAA"/>
    <w:rsid w:val="00D1504D"/>
    <w:rsid w:val="00D15371"/>
    <w:rsid w:val="00D1546C"/>
    <w:rsid w:val="00D15862"/>
    <w:rsid w:val="00D15C5D"/>
    <w:rsid w:val="00D15F96"/>
    <w:rsid w:val="00D16119"/>
    <w:rsid w:val="00D16389"/>
    <w:rsid w:val="00D168AB"/>
    <w:rsid w:val="00D16BD0"/>
    <w:rsid w:val="00D16C67"/>
    <w:rsid w:val="00D16CF0"/>
    <w:rsid w:val="00D16EB8"/>
    <w:rsid w:val="00D17229"/>
    <w:rsid w:val="00D17B0D"/>
    <w:rsid w:val="00D17B72"/>
    <w:rsid w:val="00D17C31"/>
    <w:rsid w:val="00D203F3"/>
    <w:rsid w:val="00D208CA"/>
    <w:rsid w:val="00D20905"/>
    <w:rsid w:val="00D20A34"/>
    <w:rsid w:val="00D20DD3"/>
    <w:rsid w:val="00D21007"/>
    <w:rsid w:val="00D211B5"/>
    <w:rsid w:val="00D211D7"/>
    <w:rsid w:val="00D211DD"/>
    <w:rsid w:val="00D21397"/>
    <w:rsid w:val="00D21491"/>
    <w:rsid w:val="00D219AA"/>
    <w:rsid w:val="00D21C25"/>
    <w:rsid w:val="00D2275B"/>
    <w:rsid w:val="00D22963"/>
    <w:rsid w:val="00D22C50"/>
    <w:rsid w:val="00D22D6E"/>
    <w:rsid w:val="00D22F6F"/>
    <w:rsid w:val="00D23839"/>
    <w:rsid w:val="00D238D6"/>
    <w:rsid w:val="00D24205"/>
    <w:rsid w:val="00D2458B"/>
    <w:rsid w:val="00D24B62"/>
    <w:rsid w:val="00D24D9C"/>
    <w:rsid w:val="00D24DCE"/>
    <w:rsid w:val="00D24EAA"/>
    <w:rsid w:val="00D2542B"/>
    <w:rsid w:val="00D25460"/>
    <w:rsid w:val="00D254FA"/>
    <w:rsid w:val="00D2571A"/>
    <w:rsid w:val="00D257C6"/>
    <w:rsid w:val="00D25A78"/>
    <w:rsid w:val="00D25AAC"/>
    <w:rsid w:val="00D2691C"/>
    <w:rsid w:val="00D26BA0"/>
    <w:rsid w:val="00D26C94"/>
    <w:rsid w:val="00D26FDE"/>
    <w:rsid w:val="00D270D7"/>
    <w:rsid w:val="00D2767C"/>
    <w:rsid w:val="00D27CBC"/>
    <w:rsid w:val="00D27D83"/>
    <w:rsid w:val="00D3020E"/>
    <w:rsid w:val="00D304FC"/>
    <w:rsid w:val="00D30663"/>
    <w:rsid w:val="00D306A2"/>
    <w:rsid w:val="00D30849"/>
    <w:rsid w:val="00D308E1"/>
    <w:rsid w:val="00D30920"/>
    <w:rsid w:val="00D30B85"/>
    <w:rsid w:val="00D30C38"/>
    <w:rsid w:val="00D30EC4"/>
    <w:rsid w:val="00D30FF4"/>
    <w:rsid w:val="00D310E5"/>
    <w:rsid w:val="00D313A1"/>
    <w:rsid w:val="00D3185C"/>
    <w:rsid w:val="00D31924"/>
    <w:rsid w:val="00D319F9"/>
    <w:rsid w:val="00D31B92"/>
    <w:rsid w:val="00D31F18"/>
    <w:rsid w:val="00D3205F"/>
    <w:rsid w:val="00D3241E"/>
    <w:rsid w:val="00D324B3"/>
    <w:rsid w:val="00D3274A"/>
    <w:rsid w:val="00D32A7B"/>
    <w:rsid w:val="00D32CF2"/>
    <w:rsid w:val="00D3318E"/>
    <w:rsid w:val="00D3335B"/>
    <w:rsid w:val="00D3385F"/>
    <w:rsid w:val="00D33DC3"/>
    <w:rsid w:val="00D33E72"/>
    <w:rsid w:val="00D3447F"/>
    <w:rsid w:val="00D3477A"/>
    <w:rsid w:val="00D34AF7"/>
    <w:rsid w:val="00D34C1C"/>
    <w:rsid w:val="00D34CC4"/>
    <w:rsid w:val="00D34DF3"/>
    <w:rsid w:val="00D35181"/>
    <w:rsid w:val="00D3544B"/>
    <w:rsid w:val="00D3559B"/>
    <w:rsid w:val="00D356D4"/>
    <w:rsid w:val="00D357AD"/>
    <w:rsid w:val="00D3585C"/>
    <w:rsid w:val="00D358F0"/>
    <w:rsid w:val="00D359BA"/>
    <w:rsid w:val="00D35AF3"/>
    <w:rsid w:val="00D35BD6"/>
    <w:rsid w:val="00D35F05"/>
    <w:rsid w:val="00D361B5"/>
    <w:rsid w:val="00D3644C"/>
    <w:rsid w:val="00D36467"/>
    <w:rsid w:val="00D36676"/>
    <w:rsid w:val="00D3687A"/>
    <w:rsid w:val="00D36B65"/>
    <w:rsid w:val="00D36BA0"/>
    <w:rsid w:val="00D36C16"/>
    <w:rsid w:val="00D36C7A"/>
    <w:rsid w:val="00D36CA3"/>
    <w:rsid w:val="00D3745D"/>
    <w:rsid w:val="00D377DE"/>
    <w:rsid w:val="00D379E2"/>
    <w:rsid w:val="00D37BC1"/>
    <w:rsid w:val="00D37EA7"/>
    <w:rsid w:val="00D4021C"/>
    <w:rsid w:val="00D4031D"/>
    <w:rsid w:val="00D40851"/>
    <w:rsid w:val="00D409AF"/>
    <w:rsid w:val="00D40AFF"/>
    <w:rsid w:val="00D40B9F"/>
    <w:rsid w:val="00D40C40"/>
    <w:rsid w:val="00D40DC2"/>
    <w:rsid w:val="00D40E84"/>
    <w:rsid w:val="00D410FE"/>
    <w:rsid w:val="00D411A2"/>
    <w:rsid w:val="00D411BF"/>
    <w:rsid w:val="00D41A22"/>
    <w:rsid w:val="00D41AB4"/>
    <w:rsid w:val="00D41F85"/>
    <w:rsid w:val="00D42364"/>
    <w:rsid w:val="00D423D7"/>
    <w:rsid w:val="00D42492"/>
    <w:rsid w:val="00D426FC"/>
    <w:rsid w:val="00D427A9"/>
    <w:rsid w:val="00D427E2"/>
    <w:rsid w:val="00D42946"/>
    <w:rsid w:val="00D43696"/>
    <w:rsid w:val="00D436F2"/>
    <w:rsid w:val="00D43B31"/>
    <w:rsid w:val="00D43D9B"/>
    <w:rsid w:val="00D43DFD"/>
    <w:rsid w:val="00D443E3"/>
    <w:rsid w:val="00D44526"/>
    <w:rsid w:val="00D44A5C"/>
    <w:rsid w:val="00D456A9"/>
    <w:rsid w:val="00D456BE"/>
    <w:rsid w:val="00D4587A"/>
    <w:rsid w:val="00D45B3D"/>
    <w:rsid w:val="00D45C16"/>
    <w:rsid w:val="00D45E14"/>
    <w:rsid w:val="00D4606D"/>
    <w:rsid w:val="00D462F4"/>
    <w:rsid w:val="00D465A6"/>
    <w:rsid w:val="00D468B3"/>
    <w:rsid w:val="00D46C06"/>
    <w:rsid w:val="00D46C2D"/>
    <w:rsid w:val="00D46D9F"/>
    <w:rsid w:val="00D46FBE"/>
    <w:rsid w:val="00D4748B"/>
    <w:rsid w:val="00D479D9"/>
    <w:rsid w:val="00D50141"/>
    <w:rsid w:val="00D503F5"/>
    <w:rsid w:val="00D50660"/>
    <w:rsid w:val="00D50B9C"/>
    <w:rsid w:val="00D50C95"/>
    <w:rsid w:val="00D50E35"/>
    <w:rsid w:val="00D50EAE"/>
    <w:rsid w:val="00D51027"/>
    <w:rsid w:val="00D51143"/>
    <w:rsid w:val="00D512A7"/>
    <w:rsid w:val="00D5135E"/>
    <w:rsid w:val="00D513AF"/>
    <w:rsid w:val="00D51471"/>
    <w:rsid w:val="00D51D27"/>
    <w:rsid w:val="00D51D7D"/>
    <w:rsid w:val="00D51F1B"/>
    <w:rsid w:val="00D52176"/>
    <w:rsid w:val="00D523E8"/>
    <w:rsid w:val="00D52561"/>
    <w:rsid w:val="00D52782"/>
    <w:rsid w:val="00D52B67"/>
    <w:rsid w:val="00D52D73"/>
    <w:rsid w:val="00D52D91"/>
    <w:rsid w:val="00D52E58"/>
    <w:rsid w:val="00D53275"/>
    <w:rsid w:val="00D5327D"/>
    <w:rsid w:val="00D53441"/>
    <w:rsid w:val="00D539EF"/>
    <w:rsid w:val="00D53B1E"/>
    <w:rsid w:val="00D53BC4"/>
    <w:rsid w:val="00D53D96"/>
    <w:rsid w:val="00D5415F"/>
    <w:rsid w:val="00D542F5"/>
    <w:rsid w:val="00D544BA"/>
    <w:rsid w:val="00D54B51"/>
    <w:rsid w:val="00D55010"/>
    <w:rsid w:val="00D5594C"/>
    <w:rsid w:val="00D55D84"/>
    <w:rsid w:val="00D55DBE"/>
    <w:rsid w:val="00D5605A"/>
    <w:rsid w:val="00D5609D"/>
    <w:rsid w:val="00D5621A"/>
    <w:rsid w:val="00D563A4"/>
    <w:rsid w:val="00D565B2"/>
    <w:rsid w:val="00D56B20"/>
    <w:rsid w:val="00D56CB3"/>
    <w:rsid w:val="00D56F08"/>
    <w:rsid w:val="00D56FA8"/>
    <w:rsid w:val="00D56FF5"/>
    <w:rsid w:val="00D57564"/>
    <w:rsid w:val="00D5773B"/>
    <w:rsid w:val="00D5784E"/>
    <w:rsid w:val="00D578B3"/>
    <w:rsid w:val="00D5790E"/>
    <w:rsid w:val="00D57B3B"/>
    <w:rsid w:val="00D6000A"/>
    <w:rsid w:val="00D6023E"/>
    <w:rsid w:val="00D6036B"/>
    <w:rsid w:val="00D60891"/>
    <w:rsid w:val="00D6132A"/>
    <w:rsid w:val="00D61425"/>
    <w:rsid w:val="00D61594"/>
    <w:rsid w:val="00D6165D"/>
    <w:rsid w:val="00D618F4"/>
    <w:rsid w:val="00D61CAE"/>
    <w:rsid w:val="00D61DC3"/>
    <w:rsid w:val="00D61FC9"/>
    <w:rsid w:val="00D621CA"/>
    <w:rsid w:val="00D62369"/>
    <w:rsid w:val="00D62691"/>
    <w:rsid w:val="00D626FD"/>
    <w:rsid w:val="00D6282D"/>
    <w:rsid w:val="00D62840"/>
    <w:rsid w:val="00D628F3"/>
    <w:rsid w:val="00D6310C"/>
    <w:rsid w:val="00D6343D"/>
    <w:rsid w:val="00D63508"/>
    <w:rsid w:val="00D63636"/>
    <w:rsid w:val="00D6376F"/>
    <w:rsid w:val="00D63785"/>
    <w:rsid w:val="00D63843"/>
    <w:rsid w:val="00D63A85"/>
    <w:rsid w:val="00D63DAF"/>
    <w:rsid w:val="00D63DEC"/>
    <w:rsid w:val="00D6417C"/>
    <w:rsid w:val="00D64216"/>
    <w:rsid w:val="00D64586"/>
    <w:rsid w:val="00D64A4B"/>
    <w:rsid w:val="00D64D6F"/>
    <w:rsid w:val="00D6510B"/>
    <w:rsid w:val="00D65571"/>
    <w:rsid w:val="00D6562C"/>
    <w:rsid w:val="00D65790"/>
    <w:rsid w:val="00D65871"/>
    <w:rsid w:val="00D659F4"/>
    <w:rsid w:val="00D65D00"/>
    <w:rsid w:val="00D65F98"/>
    <w:rsid w:val="00D6616D"/>
    <w:rsid w:val="00D6680F"/>
    <w:rsid w:val="00D66DC8"/>
    <w:rsid w:val="00D66EBC"/>
    <w:rsid w:val="00D66F53"/>
    <w:rsid w:val="00D66F97"/>
    <w:rsid w:val="00D66FBD"/>
    <w:rsid w:val="00D6719F"/>
    <w:rsid w:val="00D67217"/>
    <w:rsid w:val="00D6724E"/>
    <w:rsid w:val="00D67318"/>
    <w:rsid w:val="00D6772A"/>
    <w:rsid w:val="00D678A2"/>
    <w:rsid w:val="00D67CEE"/>
    <w:rsid w:val="00D67EA8"/>
    <w:rsid w:val="00D7004C"/>
    <w:rsid w:val="00D70173"/>
    <w:rsid w:val="00D70EB1"/>
    <w:rsid w:val="00D7120F"/>
    <w:rsid w:val="00D714CC"/>
    <w:rsid w:val="00D71752"/>
    <w:rsid w:val="00D71957"/>
    <w:rsid w:val="00D7195F"/>
    <w:rsid w:val="00D71B6B"/>
    <w:rsid w:val="00D71EB7"/>
    <w:rsid w:val="00D7211E"/>
    <w:rsid w:val="00D72184"/>
    <w:rsid w:val="00D7283D"/>
    <w:rsid w:val="00D72875"/>
    <w:rsid w:val="00D72999"/>
    <w:rsid w:val="00D72A37"/>
    <w:rsid w:val="00D72C7E"/>
    <w:rsid w:val="00D72EDE"/>
    <w:rsid w:val="00D73041"/>
    <w:rsid w:val="00D7317A"/>
    <w:rsid w:val="00D7332B"/>
    <w:rsid w:val="00D7369C"/>
    <w:rsid w:val="00D739D7"/>
    <w:rsid w:val="00D73A5B"/>
    <w:rsid w:val="00D73B29"/>
    <w:rsid w:val="00D73F77"/>
    <w:rsid w:val="00D73F7B"/>
    <w:rsid w:val="00D73F9A"/>
    <w:rsid w:val="00D74B3B"/>
    <w:rsid w:val="00D74EAA"/>
    <w:rsid w:val="00D75014"/>
    <w:rsid w:val="00D75157"/>
    <w:rsid w:val="00D7545C"/>
    <w:rsid w:val="00D754C9"/>
    <w:rsid w:val="00D75508"/>
    <w:rsid w:val="00D75709"/>
    <w:rsid w:val="00D75712"/>
    <w:rsid w:val="00D7591B"/>
    <w:rsid w:val="00D75DF8"/>
    <w:rsid w:val="00D75EA7"/>
    <w:rsid w:val="00D76052"/>
    <w:rsid w:val="00D76303"/>
    <w:rsid w:val="00D76330"/>
    <w:rsid w:val="00D76355"/>
    <w:rsid w:val="00D76503"/>
    <w:rsid w:val="00D76511"/>
    <w:rsid w:val="00D76588"/>
    <w:rsid w:val="00D765C0"/>
    <w:rsid w:val="00D76719"/>
    <w:rsid w:val="00D769AD"/>
    <w:rsid w:val="00D76E94"/>
    <w:rsid w:val="00D76ECC"/>
    <w:rsid w:val="00D76EE5"/>
    <w:rsid w:val="00D76EFA"/>
    <w:rsid w:val="00D77072"/>
    <w:rsid w:val="00D775C9"/>
    <w:rsid w:val="00D7777E"/>
    <w:rsid w:val="00D77811"/>
    <w:rsid w:val="00D77ABF"/>
    <w:rsid w:val="00D77B81"/>
    <w:rsid w:val="00D77C24"/>
    <w:rsid w:val="00D77C71"/>
    <w:rsid w:val="00D77E52"/>
    <w:rsid w:val="00D77FDF"/>
    <w:rsid w:val="00D80520"/>
    <w:rsid w:val="00D80650"/>
    <w:rsid w:val="00D807D1"/>
    <w:rsid w:val="00D80AB1"/>
    <w:rsid w:val="00D80E91"/>
    <w:rsid w:val="00D80EA8"/>
    <w:rsid w:val="00D810F6"/>
    <w:rsid w:val="00D8110D"/>
    <w:rsid w:val="00D811B7"/>
    <w:rsid w:val="00D81408"/>
    <w:rsid w:val="00D81647"/>
    <w:rsid w:val="00D8180E"/>
    <w:rsid w:val="00D81ADF"/>
    <w:rsid w:val="00D81C82"/>
    <w:rsid w:val="00D81F21"/>
    <w:rsid w:val="00D82101"/>
    <w:rsid w:val="00D8229D"/>
    <w:rsid w:val="00D823D0"/>
    <w:rsid w:val="00D82577"/>
    <w:rsid w:val="00D828AE"/>
    <w:rsid w:val="00D82C0D"/>
    <w:rsid w:val="00D82C1E"/>
    <w:rsid w:val="00D830F1"/>
    <w:rsid w:val="00D832E5"/>
    <w:rsid w:val="00D833E2"/>
    <w:rsid w:val="00D83411"/>
    <w:rsid w:val="00D83533"/>
    <w:rsid w:val="00D8354E"/>
    <w:rsid w:val="00D837C6"/>
    <w:rsid w:val="00D83BDB"/>
    <w:rsid w:val="00D83E02"/>
    <w:rsid w:val="00D83E47"/>
    <w:rsid w:val="00D83F65"/>
    <w:rsid w:val="00D84048"/>
    <w:rsid w:val="00D84660"/>
    <w:rsid w:val="00D847BA"/>
    <w:rsid w:val="00D84FD4"/>
    <w:rsid w:val="00D853EC"/>
    <w:rsid w:val="00D85622"/>
    <w:rsid w:val="00D85E3D"/>
    <w:rsid w:val="00D86150"/>
    <w:rsid w:val="00D862F2"/>
    <w:rsid w:val="00D86349"/>
    <w:rsid w:val="00D86494"/>
    <w:rsid w:val="00D864F2"/>
    <w:rsid w:val="00D86715"/>
    <w:rsid w:val="00D86D58"/>
    <w:rsid w:val="00D871B6"/>
    <w:rsid w:val="00D871F3"/>
    <w:rsid w:val="00D87261"/>
    <w:rsid w:val="00D87421"/>
    <w:rsid w:val="00D875F5"/>
    <w:rsid w:val="00D8775F"/>
    <w:rsid w:val="00D87901"/>
    <w:rsid w:val="00D879E6"/>
    <w:rsid w:val="00D87A5D"/>
    <w:rsid w:val="00D87B05"/>
    <w:rsid w:val="00D87C27"/>
    <w:rsid w:val="00D87E51"/>
    <w:rsid w:val="00D87ED0"/>
    <w:rsid w:val="00D87F73"/>
    <w:rsid w:val="00D900B1"/>
    <w:rsid w:val="00D9015D"/>
    <w:rsid w:val="00D901CC"/>
    <w:rsid w:val="00D90468"/>
    <w:rsid w:val="00D906F6"/>
    <w:rsid w:val="00D906F9"/>
    <w:rsid w:val="00D90952"/>
    <w:rsid w:val="00D90990"/>
    <w:rsid w:val="00D90BFC"/>
    <w:rsid w:val="00D90D30"/>
    <w:rsid w:val="00D90D86"/>
    <w:rsid w:val="00D9120A"/>
    <w:rsid w:val="00D9120D"/>
    <w:rsid w:val="00D91720"/>
    <w:rsid w:val="00D9177F"/>
    <w:rsid w:val="00D918FA"/>
    <w:rsid w:val="00D91DF6"/>
    <w:rsid w:val="00D91EA2"/>
    <w:rsid w:val="00D91F75"/>
    <w:rsid w:val="00D92265"/>
    <w:rsid w:val="00D92588"/>
    <w:rsid w:val="00D92A3F"/>
    <w:rsid w:val="00D92D3A"/>
    <w:rsid w:val="00D932C3"/>
    <w:rsid w:val="00D932C4"/>
    <w:rsid w:val="00D936ED"/>
    <w:rsid w:val="00D93735"/>
    <w:rsid w:val="00D93849"/>
    <w:rsid w:val="00D93908"/>
    <w:rsid w:val="00D93C09"/>
    <w:rsid w:val="00D93C69"/>
    <w:rsid w:val="00D93EEB"/>
    <w:rsid w:val="00D940E9"/>
    <w:rsid w:val="00D94126"/>
    <w:rsid w:val="00D942C4"/>
    <w:rsid w:val="00D943E1"/>
    <w:rsid w:val="00D943F8"/>
    <w:rsid w:val="00D94541"/>
    <w:rsid w:val="00D946A0"/>
    <w:rsid w:val="00D94BAD"/>
    <w:rsid w:val="00D94EA8"/>
    <w:rsid w:val="00D94FDB"/>
    <w:rsid w:val="00D9513D"/>
    <w:rsid w:val="00D952C7"/>
    <w:rsid w:val="00D95342"/>
    <w:rsid w:val="00D9543A"/>
    <w:rsid w:val="00D95470"/>
    <w:rsid w:val="00D954B4"/>
    <w:rsid w:val="00D95C30"/>
    <w:rsid w:val="00D95E16"/>
    <w:rsid w:val="00D95FB1"/>
    <w:rsid w:val="00D96087"/>
    <w:rsid w:val="00D96354"/>
    <w:rsid w:val="00D96B55"/>
    <w:rsid w:val="00D96D13"/>
    <w:rsid w:val="00D96D23"/>
    <w:rsid w:val="00D96E5B"/>
    <w:rsid w:val="00D972AC"/>
    <w:rsid w:val="00D974A8"/>
    <w:rsid w:val="00D97683"/>
    <w:rsid w:val="00D97765"/>
    <w:rsid w:val="00D9795C"/>
    <w:rsid w:val="00D97AB6"/>
    <w:rsid w:val="00D97AD4"/>
    <w:rsid w:val="00D97E6D"/>
    <w:rsid w:val="00D97E87"/>
    <w:rsid w:val="00D97F28"/>
    <w:rsid w:val="00DA0763"/>
    <w:rsid w:val="00DA0C80"/>
    <w:rsid w:val="00DA0CEA"/>
    <w:rsid w:val="00DA0D5B"/>
    <w:rsid w:val="00DA1615"/>
    <w:rsid w:val="00DA18F1"/>
    <w:rsid w:val="00DA1C63"/>
    <w:rsid w:val="00DA2160"/>
    <w:rsid w:val="00DA2619"/>
    <w:rsid w:val="00DA26D2"/>
    <w:rsid w:val="00DA2773"/>
    <w:rsid w:val="00DA28D7"/>
    <w:rsid w:val="00DA293F"/>
    <w:rsid w:val="00DA2A4A"/>
    <w:rsid w:val="00DA2C81"/>
    <w:rsid w:val="00DA2C85"/>
    <w:rsid w:val="00DA2E28"/>
    <w:rsid w:val="00DA2ED4"/>
    <w:rsid w:val="00DA2F01"/>
    <w:rsid w:val="00DA3170"/>
    <w:rsid w:val="00DA323D"/>
    <w:rsid w:val="00DA34D1"/>
    <w:rsid w:val="00DA376E"/>
    <w:rsid w:val="00DA3983"/>
    <w:rsid w:val="00DA3E22"/>
    <w:rsid w:val="00DA3E4D"/>
    <w:rsid w:val="00DA3E60"/>
    <w:rsid w:val="00DA3EBB"/>
    <w:rsid w:val="00DA40C4"/>
    <w:rsid w:val="00DA413E"/>
    <w:rsid w:val="00DA4239"/>
    <w:rsid w:val="00DA43C4"/>
    <w:rsid w:val="00DA44D9"/>
    <w:rsid w:val="00DA4977"/>
    <w:rsid w:val="00DA4A1C"/>
    <w:rsid w:val="00DA4B34"/>
    <w:rsid w:val="00DA4C2D"/>
    <w:rsid w:val="00DA4D8F"/>
    <w:rsid w:val="00DA4D99"/>
    <w:rsid w:val="00DA518A"/>
    <w:rsid w:val="00DA5211"/>
    <w:rsid w:val="00DA53FD"/>
    <w:rsid w:val="00DA55A9"/>
    <w:rsid w:val="00DA588C"/>
    <w:rsid w:val="00DA5B58"/>
    <w:rsid w:val="00DA5D18"/>
    <w:rsid w:val="00DA5D4A"/>
    <w:rsid w:val="00DA5FC9"/>
    <w:rsid w:val="00DA6031"/>
    <w:rsid w:val="00DA6084"/>
    <w:rsid w:val="00DA624F"/>
    <w:rsid w:val="00DA6250"/>
    <w:rsid w:val="00DA6410"/>
    <w:rsid w:val="00DA647B"/>
    <w:rsid w:val="00DA65DE"/>
    <w:rsid w:val="00DA67D6"/>
    <w:rsid w:val="00DA68B5"/>
    <w:rsid w:val="00DA6908"/>
    <w:rsid w:val="00DA6AFF"/>
    <w:rsid w:val="00DA6D5C"/>
    <w:rsid w:val="00DA6F77"/>
    <w:rsid w:val="00DA6FFE"/>
    <w:rsid w:val="00DA76F3"/>
    <w:rsid w:val="00DA7BA0"/>
    <w:rsid w:val="00DA7C35"/>
    <w:rsid w:val="00DA7F42"/>
    <w:rsid w:val="00DB0025"/>
    <w:rsid w:val="00DB04D2"/>
    <w:rsid w:val="00DB08A2"/>
    <w:rsid w:val="00DB0B1E"/>
    <w:rsid w:val="00DB0B61"/>
    <w:rsid w:val="00DB11C7"/>
    <w:rsid w:val="00DB12A2"/>
    <w:rsid w:val="00DB1474"/>
    <w:rsid w:val="00DB1A2C"/>
    <w:rsid w:val="00DB1A65"/>
    <w:rsid w:val="00DB1BA0"/>
    <w:rsid w:val="00DB1BD8"/>
    <w:rsid w:val="00DB2154"/>
    <w:rsid w:val="00DB2306"/>
    <w:rsid w:val="00DB27E2"/>
    <w:rsid w:val="00DB28A8"/>
    <w:rsid w:val="00DB2962"/>
    <w:rsid w:val="00DB29C0"/>
    <w:rsid w:val="00DB2B69"/>
    <w:rsid w:val="00DB2DB3"/>
    <w:rsid w:val="00DB2E04"/>
    <w:rsid w:val="00DB303A"/>
    <w:rsid w:val="00DB3231"/>
    <w:rsid w:val="00DB32CE"/>
    <w:rsid w:val="00DB34E4"/>
    <w:rsid w:val="00DB3705"/>
    <w:rsid w:val="00DB3712"/>
    <w:rsid w:val="00DB37E0"/>
    <w:rsid w:val="00DB3865"/>
    <w:rsid w:val="00DB3B3C"/>
    <w:rsid w:val="00DB3E6D"/>
    <w:rsid w:val="00DB3E8F"/>
    <w:rsid w:val="00DB40B8"/>
    <w:rsid w:val="00DB4296"/>
    <w:rsid w:val="00DB4461"/>
    <w:rsid w:val="00DB453F"/>
    <w:rsid w:val="00DB45D3"/>
    <w:rsid w:val="00DB4AF5"/>
    <w:rsid w:val="00DB4C5A"/>
    <w:rsid w:val="00DB511A"/>
    <w:rsid w:val="00DB512A"/>
    <w:rsid w:val="00DB5194"/>
    <w:rsid w:val="00DB51E1"/>
    <w:rsid w:val="00DB52FB"/>
    <w:rsid w:val="00DB540A"/>
    <w:rsid w:val="00DB5441"/>
    <w:rsid w:val="00DB5454"/>
    <w:rsid w:val="00DB587B"/>
    <w:rsid w:val="00DB5927"/>
    <w:rsid w:val="00DB5931"/>
    <w:rsid w:val="00DB5AEB"/>
    <w:rsid w:val="00DB5FC3"/>
    <w:rsid w:val="00DB6100"/>
    <w:rsid w:val="00DB6239"/>
    <w:rsid w:val="00DB624F"/>
    <w:rsid w:val="00DB63FF"/>
    <w:rsid w:val="00DB6405"/>
    <w:rsid w:val="00DB6575"/>
    <w:rsid w:val="00DB675A"/>
    <w:rsid w:val="00DB6786"/>
    <w:rsid w:val="00DB6906"/>
    <w:rsid w:val="00DB6A5C"/>
    <w:rsid w:val="00DB6BAA"/>
    <w:rsid w:val="00DB6F17"/>
    <w:rsid w:val="00DB729A"/>
    <w:rsid w:val="00DB741C"/>
    <w:rsid w:val="00DB757A"/>
    <w:rsid w:val="00DB7ACC"/>
    <w:rsid w:val="00DB7BB6"/>
    <w:rsid w:val="00DB7C71"/>
    <w:rsid w:val="00DC0036"/>
    <w:rsid w:val="00DC0102"/>
    <w:rsid w:val="00DC013B"/>
    <w:rsid w:val="00DC01B0"/>
    <w:rsid w:val="00DC090B"/>
    <w:rsid w:val="00DC0C13"/>
    <w:rsid w:val="00DC0E44"/>
    <w:rsid w:val="00DC106E"/>
    <w:rsid w:val="00DC143A"/>
    <w:rsid w:val="00DC146F"/>
    <w:rsid w:val="00DC1679"/>
    <w:rsid w:val="00DC1876"/>
    <w:rsid w:val="00DC219B"/>
    <w:rsid w:val="00DC2202"/>
    <w:rsid w:val="00DC2333"/>
    <w:rsid w:val="00DC23D2"/>
    <w:rsid w:val="00DC243C"/>
    <w:rsid w:val="00DC2582"/>
    <w:rsid w:val="00DC274F"/>
    <w:rsid w:val="00DC2989"/>
    <w:rsid w:val="00DC298F"/>
    <w:rsid w:val="00DC2A31"/>
    <w:rsid w:val="00DC2AAA"/>
    <w:rsid w:val="00DC2CF1"/>
    <w:rsid w:val="00DC2DC7"/>
    <w:rsid w:val="00DC2EA0"/>
    <w:rsid w:val="00DC3132"/>
    <w:rsid w:val="00DC31B5"/>
    <w:rsid w:val="00DC3367"/>
    <w:rsid w:val="00DC33E8"/>
    <w:rsid w:val="00DC34F4"/>
    <w:rsid w:val="00DC3644"/>
    <w:rsid w:val="00DC3A7C"/>
    <w:rsid w:val="00DC3A99"/>
    <w:rsid w:val="00DC4387"/>
    <w:rsid w:val="00DC447D"/>
    <w:rsid w:val="00DC456F"/>
    <w:rsid w:val="00DC4820"/>
    <w:rsid w:val="00DC4B3E"/>
    <w:rsid w:val="00DC4D34"/>
    <w:rsid w:val="00DC4FCF"/>
    <w:rsid w:val="00DC50C7"/>
    <w:rsid w:val="00DC50E0"/>
    <w:rsid w:val="00DC5125"/>
    <w:rsid w:val="00DC51CF"/>
    <w:rsid w:val="00DC5544"/>
    <w:rsid w:val="00DC575B"/>
    <w:rsid w:val="00DC5867"/>
    <w:rsid w:val="00DC58E4"/>
    <w:rsid w:val="00DC5971"/>
    <w:rsid w:val="00DC5A4E"/>
    <w:rsid w:val="00DC5DCC"/>
    <w:rsid w:val="00DC5DFA"/>
    <w:rsid w:val="00DC5E56"/>
    <w:rsid w:val="00DC625A"/>
    <w:rsid w:val="00DC632E"/>
    <w:rsid w:val="00DC6386"/>
    <w:rsid w:val="00DC63FD"/>
    <w:rsid w:val="00DC6472"/>
    <w:rsid w:val="00DC6788"/>
    <w:rsid w:val="00DC68E7"/>
    <w:rsid w:val="00DC6A78"/>
    <w:rsid w:val="00DC6D44"/>
    <w:rsid w:val="00DC6E76"/>
    <w:rsid w:val="00DC6F35"/>
    <w:rsid w:val="00DC7015"/>
    <w:rsid w:val="00DC713D"/>
    <w:rsid w:val="00DC77D9"/>
    <w:rsid w:val="00DD0031"/>
    <w:rsid w:val="00DD017E"/>
    <w:rsid w:val="00DD02C9"/>
    <w:rsid w:val="00DD054F"/>
    <w:rsid w:val="00DD0780"/>
    <w:rsid w:val="00DD0C46"/>
    <w:rsid w:val="00DD0D79"/>
    <w:rsid w:val="00DD1048"/>
    <w:rsid w:val="00DD1107"/>
    <w:rsid w:val="00DD1130"/>
    <w:rsid w:val="00DD14C0"/>
    <w:rsid w:val="00DD153E"/>
    <w:rsid w:val="00DD187C"/>
    <w:rsid w:val="00DD1951"/>
    <w:rsid w:val="00DD1A0D"/>
    <w:rsid w:val="00DD1B92"/>
    <w:rsid w:val="00DD1D3A"/>
    <w:rsid w:val="00DD24C4"/>
    <w:rsid w:val="00DD25B7"/>
    <w:rsid w:val="00DD2A9D"/>
    <w:rsid w:val="00DD2DF0"/>
    <w:rsid w:val="00DD2F3E"/>
    <w:rsid w:val="00DD2F72"/>
    <w:rsid w:val="00DD30BD"/>
    <w:rsid w:val="00DD338B"/>
    <w:rsid w:val="00DD33A7"/>
    <w:rsid w:val="00DD3408"/>
    <w:rsid w:val="00DD349A"/>
    <w:rsid w:val="00DD393E"/>
    <w:rsid w:val="00DD3EA5"/>
    <w:rsid w:val="00DD422F"/>
    <w:rsid w:val="00DD45B3"/>
    <w:rsid w:val="00DD460E"/>
    <w:rsid w:val="00DD4639"/>
    <w:rsid w:val="00DD46A1"/>
    <w:rsid w:val="00DD47D3"/>
    <w:rsid w:val="00DD487D"/>
    <w:rsid w:val="00DD4943"/>
    <w:rsid w:val="00DD4ACA"/>
    <w:rsid w:val="00DD4B61"/>
    <w:rsid w:val="00DD4E83"/>
    <w:rsid w:val="00DD513E"/>
    <w:rsid w:val="00DD5268"/>
    <w:rsid w:val="00DD52A4"/>
    <w:rsid w:val="00DD5381"/>
    <w:rsid w:val="00DD5539"/>
    <w:rsid w:val="00DD560B"/>
    <w:rsid w:val="00DD5969"/>
    <w:rsid w:val="00DD5B5E"/>
    <w:rsid w:val="00DD5D25"/>
    <w:rsid w:val="00DD64AE"/>
    <w:rsid w:val="00DD6628"/>
    <w:rsid w:val="00DD6717"/>
    <w:rsid w:val="00DD677D"/>
    <w:rsid w:val="00DD679E"/>
    <w:rsid w:val="00DD6863"/>
    <w:rsid w:val="00DD6945"/>
    <w:rsid w:val="00DD6EB7"/>
    <w:rsid w:val="00DD7329"/>
    <w:rsid w:val="00DD75A6"/>
    <w:rsid w:val="00DD7664"/>
    <w:rsid w:val="00DD7713"/>
    <w:rsid w:val="00DD7802"/>
    <w:rsid w:val="00DD7B34"/>
    <w:rsid w:val="00DD7C8C"/>
    <w:rsid w:val="00DD7F75"/>
    <w:rsid w:val="00DE0083"/>
    <w:rsid w:val="00DE02A4"/>
    <w:rsid w:val="00DE039B"/>
    <w:rsid w:val="00DE0434"/>
    <w:rsid w:val="00DE056B"/>
    <w:rsid w:val="00DE0701"/>
    <w:rsid w:val="00DE0A59"/>
    <w:rsid w:val="00DE0B13"/>
    <w:rsid w:val="00DE0D64"/>
    <w:rsid w:val="00DE0E05"/>
    <w:rsid w:val="00DE0E71"/>
    <w:rsid w:val="00DE0F69"/>
    <w:rsid w:val="00DE15CE"/>
    <w:rsid w:val="00DE1978"/>
    <w:rsid w:val="00DE1A3E"/>
    <w:rsid w:val="00DE1C0E"/>
    <w:rsid w:val="00DE1EB4"/>
    <w:rsid w:val="00DE1F1B"/>
    <w:rsid w:val="00DE25FE"/>
    <w:rsid w:val="00DE265A"/>
    <w:rsid w:val="00DE29EC"/>
    <w:rsid w:val="00DE2CA5"/>
    <w:rsid w:val="00DE2D04"/>
    <w:rsid w:val="00DE2DF2"/>
    <w:rsid w:val="00DE2E46"/>
    <w:rsid w:val="00DE301C"/>
    <w:rsid w:val="00DE3122"/>
    <w:rsid w:val="00DE31FB"/>
    <w:rsid w:val="00DE3250"/>
    <w:rsid w:val="00DE3285"/>
    <w:rsid w:val="00DE32BF"/>
    <w:rsid w:val="00DE3320"/>
    <w:rsid w:val="00DE3928"/>
    <w:rsid w:val="00DE3A09"/>
    <w:rsid w:val="00DE3A79"/>
    <w:rsid w:val="00DE3C3F"/>
    <w:rsid w:val="00DE3ED4"/>
    <w:rsid w:val="00DE4114"/>
    <w:rsid w:val="00DE4225"/>
    <w:rsid w:val="00DE422E"/>
    <w:rsid w:val="00DE492A"/>
    <w:rsid w:val="00DE4B10"/>
    <w:rsid w:val="00DE4CC3"/>
    <w:rsid w:val="00DE4ED8"/>
    <w:rsid w:val="00DE4F71"/>
    <w:rsid w:val="00DE51CC"/>
    <w:rsid w:val="00DE5558"/>
    <w:rsid w:val="00DE57F0"/>
    <w:rsid w:val="00DE58C7"/>
    <w:rsid w:val="00DE5981"/>
    <w:rsid w:val="00DE5AEB"/>
    <w:rsid w:val="00DE5BFC"/>
    <w:rsid w:val="00DE5C99"/>
    <w:rsid w:val="00DE5EA7"/>
    <w:rsid w:val="00DE6028"/>
    <w:rsid w:val="00DE605E"/>
    <w:rsid w:val="00DE623C"/>
    <w:rsid w:val="00DE639B"/>
    <w:rsid w:val="00DE66C7"/>
    <w:rsid w:val="00DE6820"/>
    <w:rsid w:val="00DE689E"/>
    <w:rsid w:val="00DE6C85"/>
    <w:rsid w:val="00DE6D74"/>
    <w:rsid w:val="00DE6F45"/>
    <w:rsid w:val="00DE719E"/>
    <w:rsid w:val="00DE7545"/>
    <w:rsid w:val="00DE7659"/>
    <w:rsid w:val="00DE78A3"/>
    <w:rsid w:val="00DE7A54"/>
    <w:rsid w:val="00DE7D07"/>
    <w:rsid w:val="00DF0050"/>
    <w:rsid w:val="00DF038F"/>
    <w:rsid w:val="00DF05C3"/>
    <w:rsid w:val="00DF07E8"/>
    <w:rsid w:val="00DF0A6E"/>
    <w:rsid w:val="00DF0CEB"/>
    <w:rsid w:val="00DF0DC1"/>
    <w:rsid w:val="00DF1017"/>
    <w:rsid w:val="00DF1446"/>
    <w:rsid w:val="00DF1519"/>
    <w:rsid w:val="00DF1680"/>
    <w:rsid w:val="00DF1A71"/>
    <w:rsid w:val="00DF1AB4"/>
    <w:rsid w:val="00DF1C10"/>
    <w:rsid w:val="00DF2056"/>
    <w:rsid w:val="00DF208B"/>
    <w:rsid w:val="00DF2132"/>
    <w:rsid w:val="00DF2407"/>
    <w:rsid w:val="00DF2671"/>
    <w:rsid w:val="00DF2806"/>
    <w:rsid w:val="00DF295D"/>
    <w:rsid w:val="00DF2BC3"/>
    <w:rsid w:val="00DF2D4E"/>
    <w:rsid w:val="00DF2FD5"/>
    <w:rsid w:val="00DF3112"/>
    <w:rsid w:val="00DF3883"/>
    <w:rsid w:val="00DF3891"/>
    <w:rsid w:val="00DF3A45"/>
    <w:rsid w:val="00DF430A"/>
    <w:rsid w:val="00DF43C8"/>
    <w:rsid w:val="00DF4CC4"/>
    <w:rsid w:val="00DF4CDF"/>
    <w:rsid w:val="00DF4CE6"/>
    <w:rsid w:val="00DF4E5E"/>
    <w:rsid w:val="00DF4E63"/>
    <w:rsid w:val="00DF50FC"/>
    <w:rsid w:val="00DF5235"/>
    <w:rsid w:val="00DF53FA"/>
    <w:rsid w:val="00DF58A5"/>
    <w:rsid w:val="00DF5B45"/>
    <w:rsid w:val="00DF62EA"/>
    <w:rsid w:val="00DF67FF"/>
    <w:rsid w:val="00DF68C7"/>
    <w:rsid w:val="00DF6904"/>
    <w:rsid w:val="00DF6EE4"/>
    <w:rsid w:val="00DF7095"/>
    <w:rsid w:val="00DF7284"/>
    <w:rsid w:val="00DF731A"/>
    <w:rsid w:val="00DF7321"/>
    <w:rsid w:val="00DF75F8"/>
    <w:rsid w:val="00DF7B76"/>
    <w:rsid w:val="00DF7DF5"/>
    <w:rsid w:val="00DF7F33"/>
    <w:rsid w:val="00E00486"/>
    <w:rsid w:val="00E00595"/>
    <w:rsid w:val="00E00763"/>
    <w:rsid w:val="00E00926"/>
    <w:rsid w:val="00E0096C"/>
    <w:rsid w:val="00E00EF4"/>
    <w:rsid w:val="00E00F21"/>
    <w:rsid w:val="00E01960"/>
    <w:rsid w:val="00E019D8"/>
    <w:rsid w:val="00E01C36"/>
    <w:rsid w:val="00E01E32"/>
    <w:rsid w:val="00E02467"/>
    <w:rsid w:val="00E028FA"/>
    <w:rsid w:val="00E02948"/>
    <w:rsid w:val="00E029CB"/>
    <w:rsid w:val="00E02AEE"/>
    <w:rsid w:val="00E02EA9"/>
    <w:rsid w:val="00E02F86"/>
    <w:rsid w:val="00E03317"/>
    <w:rsid w:val="00E036D8"/>
    <w:rsid w:val="00E03802"/>
    <w:rsid w:val="00E03B07"/>
    <w:rsid w:val="00E03CEB"/>
    <w:rsid w:val="00E03F80"/>
    <w:rsid w:val="00E041E8"/>
    <w:rsid w:val="00E04349"/>
    <w:rsid w:val="00E04504"/>
    <w:rsid w:val="00E046A7"/>
    <w:rsid w:val="00E047FE"/>
    <w:rsid w:val="00E04923"/>
    <w:rsid w:val="00E0499B"/>
    <w:rsid w:val="00E049B1"/>
    <w:rsid w:val="00E04B9C"/>
    <w:rsid w:val="00E04C75"/>
    <w:rsid w:val="00E051CD"/>
    <w:rsid w:val="00E05202"/>
    <w:rsid w:val="00E0537E"/>
    <w:rsid w:val="00E05528"/>
    <w:rsid w:val="00E05777"/>
    <w:rsid w:val="00E05814"/>
    <w:rsid w:val="00E05D3B"/>
    <w:rsid w:val="00E06192"/>
    <w:rsid w:val="00E06561"/>
    <w:rsid w:val="00E066F5"/>
    <w:rsid w:val="00E06B75"/>
    <w:rsid w:val="00E06BFA"/>
    <w:rsid w:val="00E070BA"/>
    <w:rsid w:val="00E07391"/>
    <w:rsid w:val="00E073B4"/>
    <w:rsid w:val="00E0757F"/>
    <w:rsid w:val="00E07931"/>
    <w:rsid w:val="00E10225"/>
    <w:rsid w:val="00E1054A"/>
    <w:rsid w:val="00E10779"/>
    <w:rsid w:val="00E10867"/>
    <w:rsid w:val="00E10D55"/>
    <w:rsid w:val="00E10D8F"/>
    <w:rsid w:val="00E10ECA"/>
    <w:rsid w:val="00E11332"/>
    <w:rsid w:val="00E11352"/>
    <w:rsid w:val="00E1137A"/>
    <w:rsid w:val="00E113C7"/>
    <w:rsid w:val="00E1142F"/>
    <w:rsid w:val="00E115BE"/>
    <w:rsid w:val="00E1167B"/>
    <w:rsid w:val="00E11925"/>
    <w:rsid w:val="00E11984"/>
    <w:rsid w:val="00E11AB0"/>
    <w:rsid w:val="00E11D40"/>
    <w:rsid w:val="00E11D4B"/>
    <w:rsid w:val="00E11D6C"/>
    <w:rsid w:val="00E12012"/>
    <w:rsid w:val="00E12221"/>
    <w:rsid w:val="00E126EB"/>
    <w:rsid w:val="00E12A0F"/>
    <w:rsid w:val="00E12AAA"/>
    <w:rsid w:val="00E12B2C"/>
    <w:rsid w:val="00E12C14"/>
    <w:rsid w:val="00E13170"/>
    <w:rsid w:val="00E13308"/>
    <w:rsid w:val="00E135C8"/>
    <w:rsid w:val="00E13851"/>
    <w:rsid w:val="00E13DE9"/>
    <w:rsid w:val="00E13F4A"/>
    <w:rsid w:val="00E140B7"/>
    <w:rsid w:val="00E1427E"/>
    <w:rsid w:val="00E146F0"/>
    <w:rsid w:val="00E1477A"/>
    <w:rsid w:val="00E14C97"/>
    <w:rsid w:val="00E14EA8"/>
    <w:rsid w:val="00E155CD"/>
    <w:rsid w:val="00E156BA"/>
    <w:rsid w:val="00E1577A"/>
    <w:rsid w:val="00E15C21"/>
    <w:rsid w:val="00E15D25"/>
    <w:rsid w:val="00E1602A"/>
    <w:rsid w:val="00E1603B"/>
    <w:rsid w:val="00E161C9"/>
    <w:rsid w:val="00E164CD"/>
    <w:rsid w:val="00E166D5"/>
    <w:rsid w:val="00E16860"/>
    <w:rsid w:val="00E168CA"/>
    <w:rsid w:val="00E169F9"/>
    <w:rsid w:val="00E16A36"/>
    <w:rsid w:val="00E16E63"/>
    <w:rsid w:val="00E16F14"/>
    <w:rsid w:val="00E16F71"/>
    <w:rsid w:val="00E16FA7"/>
    <w:rsid w:val="00E170DC"/>
    <w:rsid w:val="00E17130"/>
    <w:rsid w:val="00E17546"/>
    <w:rsid w:val="00E17599"/>
    <w:rsid w:val="00E17A08"/>
    <w:rsid w:val="00E17BC3"/>
    <w:rsid w:val="00E20277"/>
    <w:rsid w:val="00E20472"/>
    <w:rsid w:val="00E20475"/>
    <w:rsid w:val="00E20783"/>
    <w:rsid w:val="00E20995"/>
    <w:rsid w:val="00E20A8D"/>
    <w:rsid w:val="00E20C1C"/>
    <w:rsid w:val="00E20EC0"/>
    <w:rsid w:val="00E210B5"/>
    <w:rsid w:val="00E210E6"/>
    <w:rsid w:val="00E21116"/>
    <w:rsid w:val="00E2129D"/>
    <w:rsid w:val="00E21D3A"/>
    <w:rsid w:val="00E21F5C"/>
    <w:rsid w:val="00E21FBE"/>
    <w:rsid w:val="00E22264"/>
    <w:rsid w:val="00E2251E"/>
    <w:rsid w:val="00E2254F"/>
    <w:rsid w:val="00E226B3"/>
    <w:rsid w:val="00E22AE7"/>
    <w:rsid w:val="00E23195"/>
    <w:rsid w:val="00E231D1"/>
    <w:rsid w:val="00E2353B"/>
    <w:rsid w:val="00E2363A"/>
    <w:rsid w:val="00E2384C"/>
    <w:rsid w:val="00E23894"/>
    <w:rsid w:val="00E23925"/>
    <w:rsid w:val="00E239F4"/>
    <w:rsid w:val="00E23B13"/>
    <w:rsid w:val="00E23B14"/>
    <w:rsid w:val="00E23CCE"/>
    <w:rsid w:val="00E23FA0"/>
    <w:rsid w:val="00E24184"/>
    <w:rsid w:val="00E24186"/>
    <w:rsid w:val="00E24231"/>
    <w:rsid w:val="00E24367"/>
    <w:rsid w:val="00E24398"/>
    <w:rsid w:val="00E24662"/>
    <w:rsid w:val="00E24919"/>
    <w:rsid w:val="00E24E08"/>
    <w:rsid w:val="00E24E7A"/>
    <w:rsid w:val="00E256C9"/>
    <w:rsid w:val="00E257D3"/>
    <w:rsid w:val="00E259A4"/>
    <w:rsid w:val="00E25B8F"/>
    <w:rsid w:val="00E25BCC"/>
    <w:rsid w:val="00E25F17"/>
    <w:rsid w:val="00E260AD"/>
    <w:rsid w:val="00E260F5"/>
    <w:rsid w:val="00E261B3"/>
    <w:rsid w:val="00E264C3"/>
    <w:rsid w:val="00E267DC"/>
    <w:rsid w:val="00E26818"/>
    <w:rsid w:val="00E2685B"/>
    <w:rsid w:val="00E26863"/>
    <w:rsid w:val="00E26D53"/>
    <w:rsid w:val="00E26FDF"/>
    <w:rsid w:val="00E26FF4"/>
    <w:rsid w:val="00E27226"/>
    <w:rsid w:val="00E27826"/>
    <w:rsid w:val="00E27C2B"/>
    <w:rsid w:val="00E27FC7"/>
    <w:rsid w:val="00E27FFC"/>
    <w:rsid w:val="00E30802"/>
    <w:rsid w:val="00E30A44"/>
    <w:rsid w:val="00E30B15"/>
    <w:rsid w:val="00E30DCE"/>
    <w:rsid w:val="00E30E4E"/>
    <w:rsid w:val="00E30F2E"/>
    <w:rsid w:val="00E312C3"/>
    <w:rsid w:val="00E3132A"/>
    <w:rsid w:val="00E3151C"/>
    <w:rsid w:val="00E3168C"/>
    <w:rsid w:val="00E317B9"/>
    <w:rsid w:val="00E31C87"/>
    <w:rsid w:val="00E31DDA"/>
    <w:rsid w:val="00E31E13"/>
    <w:rsid w:val="00E31EC2"/>
    <w:rsid w:val="00E31EEA"/>
    <w:rsid w:val="00E324B1"/>
    <w:rsid w:val="00E324B6"/>
    <w:rsid w:val="00E32812"/>
    <w:rsid w:val="00E3291E"/>
    <w:rsid w:val="00E32C17"/>
    <w:rsid w:val="00E32C90"/>
    <w:rsid w:val="00E32D91"/>
    <w:rsid w:val="00E32EB1"/>
    <w:rsid w:val="00E32EB5"/>
    <w:rsid w:val="00E330EA"/>
    <w:rsid w:val="00E33167"/>
    <w:rsid w:val="00E33237"/>
    <w:rsid w:val="00E33399"/>
    <w:rsid w:val="00E333EA"/>
    <w:rsid w:val="00E334AF"/>
    <w:rsid w:val="00E33569"/>
    <w:rsid w:val="00E33608"/>
    <w:rsid w:val="00E3377C"/>
    <w:rsid w:val="00E337E0"/>
    <w:rsid w:val="00E33F92"/>
    <w:rsid w:val="00E33FC2"/>
    <w:rsid w:val="00E34347"/>
    <w:rsid w:val="00E34DD0"/>
    <w:rsid w:val="00E34F09"/>
    <w:rsid w:val="00E3506A"/>
    <w:rsid w:val="00E35135"/>
    <w:rsid w:val="00E3545A"/>
    <w:rsid w:val="00E35470"/>
    <w:rsid w:val="00E3598D"/>
    <w:rsid w:val="00E35B4A"/>
    <w:rsid w:val="00E35BDD"/>
    <w:rsid w:val="00E35CF5"/>
    <w:rsid w:val="00E35E43"/>
    <w:rsid w:val="00E35FA4"/>
    <w:rsid w:val="00E3603F"/>
    <w:rsid w:val="00E36369"/>
    <w:rsid w:val="00E366E5"/>
    <w:rsid w:val="00E36792"/>
    <w:rsid w:val="00E36991"/>
    <w:rsid w:val="00E36A1C"/>
    <w:rsid w:val="00E373A1"/>
    <w:rsid w:val="00E3758E"/>
    <w:rsid w:val="00E376F4"/>
    <w:rsid w:val="00E37781"/>
    <w:rsid w:val="00E3779A"/>
    <w:rsid w:val="00E37863"/>
    <w:rsid w:val="00E378BD"/>
    <w:rsid w:val="00E37B6D"/>
    <w:rsid w:val="00E37D56"/>
    <w:rsid w:val="00E37DC5"/>
    <w:rsid w:val="00E37F0B"/>
    <w:rsid w:val="00E37FBF"/>
    <w:rsid w:val="00E40181"/>
    <w:rsid w:val="00E40319"/>
    <w:rsid w:val="00E4040B"/>
    <w:rsid w:val="00E40508"/>
    <w:rsid w:val="00E40541"/>
    <w:rsid w:val="00E40B91"/>
    <w:rsid w:val="00E40C0C"/>
    <w:rsid w:val="00E4123F"/>
    <w:rsid w:val="00E412C1"/>
    <w:rsid w:val="00E4154E"/>
    <w:rsid w:val="00E41833"/>
    <w:rsid w:val="00E4186B"/>
    <w:rsid w:val="00E42763"/>
    <w:rsid w:val="00E42770"/>
    <w:rsid w:val="00E428B4"/>
    <w:rsid w:val="00E42B3A"/>
    <w:rsid w:val="00E42C4F"/>
    <w:rsid w:val="00E43062"/>
    <w:rsid w:val="00E43144"/>
    <w:rsid w:val="00E4317A"/>
    <w:rsid w:val="00E434A4"/>
    <w:rsid w:val="00E436A0"/>
    <w:rsid w:val="00E437A8"/>
    <w:rsid w:val="00E43A7C"/>
    <w:rsid w:val="00E43C3C"/>
    <w:rsid w:val="00E43D3A"/>
    <w:rsid w:val="00E43E53"/>
    <w:rsid w:val="00E44390"/>
    <w:rsid w:val="00E44426"/>
    <w:rsid w:val="00E4495F"/>
    <w:rsid w:val="00E44BDB"/>
    <w:rsid w:val="00E44BF1"/>
    <w:rsid w:val="00E45287"/>
    <w:rsid w:val="00E4559C"/>
    <w:rsid w:val="00E45713"/>
    <w:rsid w:val="00E45782"/>
    <w:rsid w:val="00E45CE0"/>
    <w:rsid w:val="00E463CE"/>
    <w:rsid w:val="00E46404"/>
    <w:rsid w:val="00E467AA"/>
    <w:rsid w:val="00E46A1F"/>
    <w:rsid w:val="00E46A42"/>
    <w:rsid w:val="00E46BC3"/>
    <w:rsid w:val="00E46BD1"/>
    <w:rsid w:val="00E46E75"/>
    <w:rsid w:val="00E47121"/>
    <w:rsid w:val="00E47139"/>
    <w:rsid w:val="00E475BE"/>
    <w:rsid w:val="00E475E8"/>
    <w:rsid w:val="00E47646"/>
    <w:rsid w:val="00E47688"/>
    <w:rsid w:val="00E478D4"/>
    <w:rsid w:val="00E47998"/>
    <w:rsid w:val="00E47B52"/>
    <w:rsid w:val="00E47C35"/>
    <w:rsid w:val="00E47EAC"/>
    <w:rsid w:val="00E47FEA"/>
    <w:rsid w:val="00E5042E"/>
    <w:rsid w:val="00E504F0"/>
    <w:rsid w:val="00E50A1B"/>
    <w:rsid w:val="00E50AC6"/>
    <w:rsid w:val="00E50FA2"/>
    <w:rsid w:val="00E5102D"/>
    <w:rsid w:val="00E51430"/>
    <w:rsid w:val="00E5146B"/>
    <w:rsid w:val="00E51493"/>
    <w:rsid w:val="00E5171F"/>
    <w:rsid w:val="00E51832"/>
    <w:rsid w:val="00E51E14"/>
    <w:rsid w:val="00E520AC"/>
    <w:rsid w:val="00E52516"/>
    <w:rsid w:val="00E52773"/>
    <w:rsid w:val="00E52DD0"/>
    <w:rsid w:val="00E52E28"/>
    <w:rsid w:val="00E52FDF"/>
    <w:rsid w:val="00E53912"/>
    <w:rsid w:val="00E53A19"/>
    <w:rsid w:val="00E53A31"/>
    <w:rsid w:val="00E53BA4"/>
    <w:rsid w:val="00E53C8D"/>
    <w:rsid w:val="00E53D1A"/>
    <w:rsid w:val="00E53FC4"/>
    <w:rsid w:val="00E542C2"/>
    <w:rsid w:val="00E54311"/>
    <w:rsid w:val="00E543BB"/>
    <w:rsid w:val="00E5442B"/>
    <w:rsid w:val="00E5468F"/>
    <w:rsid w:val="00E54950"/>
    <w:rsid w:val="00E54A29"/>
    <w:rsid w:val="00E54F05"/>
    <w:rsid w:val="00E55264"/>
    <w:rsid w:val="00E55733"/>
    <w:rsid w:val="00E5583F"/>
    <w:rsid w:val="00E5584F"/>
    <w:rsid w:val="00E55FB3"/>
    <w:rsid w:val="00E55FC5"/>
    <w:rsid w:val="00E5602D"/>
    <w:rsid w:val="00E56282"/>
    <w:rsid w:val="00E56A01"/>
    <w:rsid w:val="00E56DBC"/>
    <w:rsid w:val="00E56E55"/>
    <w:rsid w:val="00E575C8"/>
    <w:rsid w:val="00E5769B"/>
    <w:rsid w:val="00E576B8"/>
    <w:rsid w:val="00E57731"/>
    <w:rsid w:val="00E579CD"/>
    <w:rsid w:val="00E57AFF"/>
    <w:rsid w:val="00E57C2F"/>
    <w:rsid w:val="00E57CD3"/>
    <w:rsid w:val="00E601C5"/>
    <w:rsid w:val="00E603EF"/>
    <w:rsid w:val="00E604F3"/>
    <w:rsid w:val="00E605BE"/>
    <w:rsid w:val="00E60794"/>
    <w:rsid w:val="00E60A49"/>
    <w:rsid w:val="00E60A4D"/>
    <w:rsid w:val="00E60EE8"/>
    <w:rsid w:val="00E614C7"/>
    <w:rsid w:val="00E615C1"/>
    <w:rsid w:val="00E61620"/>
    <w:rsid w:val="00E6169E"/>
    <w:rsid w:val="00E6175E"/>
    <w:rsid w:val="00E6190D"/>
    <w:rsid w:val="00E6198A"/>
    <w:rsid w:val="00E61E44"/>
    <w:rsid w:val="00E6253D"/>
    <w:rsid w:val="00E62671"/>
    <w:rsid w:val="00E629A1"/>
    <w:rsid w:val="00E62AB8"/>
    <w:rsid w:val="00E62C46"/>
    <w:rsid w:val="00E634B9"/>
    <w:rsid w:val="00E635B7"/>
    <w:rsid w:val="00E63629"/>
    <w:rsid w:val="00E636AE"/>
    <w:rsid w:val="00E63A24"/>
    <w:rsid w:val="00E63A78"/>
    <w:rsid w:val="00E63BC7"/>
    <w:rsid w:val="00E63EE7"/>
    <w:rsid w:val="00E64038"/>
    <w:rsid w:val="00E64308"/>
    <w:rsid w:val="00E64AA5"/>
    <w:rsid w:val="00E650A1"/>
    <w:rsid w:val="00E65216"/>
    <w:rsid w:val="00E65312"/>
    <w:rsid w:val="00E653F6"/>
    <w:rsid w:val="00E6574A"/>
    <w:rsid w:val="00E65908"/>
    <w:rsid w:val="00E659F2"/>
    <w:rsid w:val="00E65A3E"/>
    <w:rsid w:val="00E65EDB"/>
    <w:rsid w:val="00E660AA"/>
    <w:rsid w:val="00E660E7"/>
    <w:rsid w:val="00E66253"/>
    <w:rsid w:val="00E6638C"/>
    <w:rsid w:val="00E66B43"/>
    <w:rsid w:val="00E66D7F"/>
    <w:rsid w:val="00E66EC6"/>
    <w:rsid w:val="00E67038"/>
    <w:rsid w:val="00E67084"/>
    <w:rsid w:val="00E670AE"/>
    <w:rsid w:val="00E670CC"/>
    <w:rsid w:val="00E672C1"/>
    <w:rsid w:val="00E674A8"/>
    <w:rsid w:val="00E67556"/>
    <w:rsid w:val="00E6779B"/>
    <w:rsid w:val="00E6779E"/>
    <w:rsid w:val="00E6793B"/>
    <w:rsid w:val="00E6794C"/>
    <w:rsid w:val="00E67AC8"/>
    <w:rsid w:val="00E67F99"/>
    <w:rsid w:val="00E703FA"/>
    <w:rsid w:val="00E70606"/>
    <w:rsid w:val="00E70759"/>
    <w:rsid w:val="00E707B1"/>
    <w:rsid w:val="00E707EA"/>
    <w:rsid w:val="00E70971"/>
    <w:rsid w:val="00E70C6D"/>
    <w:rsid w:val="00E70D51"/>
    <w:rsid w:val="00E70F56"/>
    <w:rsid w:val="00E70FE4"/>
    <w:rsid w:val="00E71485"/>
    <w:rsid w:val="00E71591"/>
    <w:rsid w:val="00E71843"/>
    <w:rsid w:val="00E71AEF"/>
    <w:rsid w:val="00E71C85"/>
    <w:rsid w:val="00E71CEB"/>
    <w:rsid w:val="00E71E18"/>
    <w:rsid w:val="00E71EBA"/>
    <w:rsid w:val="00E7212E"/>
    <w:rsid w:val="00E72252"/>
    <w:rsid w:val="00E723B1"/>
    <w:rsid w:val="00E72427"/>
    <w:rsid w:val="00E7245D"/>
    <w:rsid w:val="00E725E4"/>
    <w:rsid w:val="00E72A92"/>
    <w:rsid w:val="00E72AA7"/>
    <w:rsid w:val="00E72BCF"/>
    <w:rsid w:val="00E72C03"/>
    <w:rsid w:val="00E72CD4"/>
    <w:rsid w:val="00E72DC4"/>
    <w:rsid w:val="00E72F1E"/>
    <w:rsid w:val="00E73318"/>
    <w:rsid w:val="00E7353B"/>
    <w:rsid w:val="00E73871"/>
    <w:rsid w:val="00E73B99"/>
    <w:rsid w:val="00E73DC9"/>
    <w:rsid w:val="00E73E99"/>
    <w:rsid w:val="00E73FAF"/>
    <w:rsid w:val="00E7474F"/>
    <w:rsid w:val="00E748FA"/>
    <w:rsid w:val="00E74948"/>
    <w:rsid w:val="00E74BCA"/>
    <w:rsid w:val="00E74E6D"/>
    <w:rsid w:val="00E750CB"/>
    <w:rsid w:val="00E75357"/>
    <w:rsid w:val="00E7545C"/>
    <w:rsid w:val="00E75624"/>
    <w:rsid w:val="00E76A64"/>
    <w:rsid w:val="00E77071"/>
    <w:rsid w:val="00E77468"/>
    <w:rsid w:val="00E778E4"/>
    <w:rsid w:val="00E7795C"/>
    <w:rsid w:val="00E8006D"/>
    <w:rsid w:val="00E808C3"/>
    <w:rsid w:val="00E80DE3"/>
    <w:rsid w:val="00E81212"/>
    <w:rsid w:val="00E81846"/>
    <w:rsid w:val="00E818E9"/>
    <w:rsid w:val="00E81AF9"/>
    <w:rsid w:val="00E81D2B"/>
    <w:rsid w:val="00E82404"/>
    <w:rsid w:val="00E8251D"/>
    <w:rsid w:val="00E82608"/>
    <w:rsid w:val="00E8298A"/>
    <w:rsid w:val="00E82C55"/>
    <w:rsid w:val="00E8337D"/>
    <w:rsid w:val="00E83455"/>
    <w:rsid w:val="00E83595"/>
    <w:rsid w:val="00E835DB"/>
    <w:rsid w:val="00E8361E"/>
    <w:rsid w:val="00E8386F"/>
    <w:rsid w:val="00E83E05"/>
    <w:rsid w:val="00E844CB"/>
    <w:rsid w:val="00E846F1"/>
    <w:rsid w:val="00E84DA8"/>
    <w:rsid w:val="00E84DBD"/>
    <w:rsid w:val="00E84E54"/>
    <w:rsid w:val="00E84E9C"/>
    <w:rsid w:val="00E85112"/>
    <w:rsid w:val="00E854B3"/>
    <w:rsid w:val="00E8567F"/>
    <w:rsid w:val="00E85993"/>
    <w:rsid w:val="00E85DAE"/>
    <w:rsid w:val="00E85DD1"/>
    <w:rsid w:val="00E85E06"/>
    <w:rsid w:val="00E85E7B"/>
    <w:rsid w:val="00E86206"/>
    <w:rsid w:val="00E8635A"/>
    <w:rsid w:val="00E86682"/>
    <w:rsid w:val="00E867B8"/>
    <w:rsid w:val="00E86A9A"/>
    <w:rsid w:val="00E86DF6"/>
    <w:rsid w:val="00E86F8C"/>
    <w:rsid w:val="00E8701D"/>
    <w:rsid w:val="00E87104"/>
    <w:rsid w:val="00E8738F"/>
    <w:rsid w:val="00E875AF"/>
    <w:rsid w:val="00E8787E"/>
    <w:rsid w:val="00E87C55"/>
    <w:rsid w:val="00E87CD3"/>
    <w:rsid w:val="00E87D14"/>
    <w:rsid w:val="00E87FA4"/>
    <w:rsid w:val="00E90178"/>
    <w:rsid w:val="00E902E8"/>
    <w:rsid w:val="00E9042A"/>
    <w:rsid w:val="00E904DD"/>
    <w:rsid w:val="00E906E5"/>
    <w:rsid w:val="00E90896"/>
    <w:rsid w:val="00E909D0"/>
    <w:rsid w:val="00E90F5C"/>
    <w:rsid w:val="00E910EE"/>
    <w:rsid w:val="00E91299"/>
    <w:rsid w:val="00E91480"/>
    <w:rsid w:val="00E9173D"/>
    <w:rsid w:val="00E91790"/>
    <w:rsid w:val="00E9191A"/>
    <w:rsid w:val="00E9191D"/>
    <w:rsid w:val="00E919AF"/>
    <w:rsid w:val="00E91D24"/>
    <w:rsid w:val="00E91EE3"/>
    <w:rsid w:val="00E91F89"/>
    <w:rsid w:val="00E920A1"/>
    <w:rsid w:val="00E92133"/>
    <w:rsid w:val="00E92600"/>
    <w:rsid w:val="00E92AC3"/>
    <w:rsid w:val="00E92B25"/>
    <w:rsid w:val="00E93087"/>
    <w:rsid w:val="00E93152"/>
    <w:rsid w:val="00E933A1"/>
    <w:rsid w:val="00E93687"/>
    <w:rsid w:val="00E93702"/>
    <w:rsid w:val="00E93A5E"/>
    <w:rsid w:val="00E93FFE"/>
    <w:rsid w:val="00E94146"/>
    <w:rsid w:val="00E94217"/>
    <w:rsid w:val="00E94893"/>
    <w:rsid w:val="00E95643"/>
    <w:rsid w:val="00E9568C"/>
    <w:rsid w:val="00E95E36"/>
    <w:rsid w:val="00E96488"/>
    <w:rsid w:val="00E964C4"/>
    <w:rsid w:val="00E96592"/>
    <w:rsid w:val="00E96671"/>
    <w:rsid w:val="00E966B6"/>
    <w:rsid w:val="00E969AC"/>
    <w:rsid w:val="00E96AD0"/>
    <w:rsid w:val="00E96EC5"/>
    <w:rsid w:val="00E97210"/>
    <w:rsid w:val="00E972D1"/>
    <w:rsid w:val="00E9748B"/>
    <w:rsid w:val="00E974C5"/>
    <w:rsid w:val="00E974E4"/>
    <w:rsid w:val="00E975AB"/>
    <w:rsid w:val="00E9761F"/>
    <w:rsid w:val="00E976EF"/>
    <w:rsid w:val="00E97796"/>
    <w:rsid w:val="00E97B04"/>
    <w:rsid w:val="00E97EE2"/>
    <w:rsid w:val="00EA00AA"/>
    <w:rsid w:val="00EA0397"/>
    <w:rsid w:val="00EA0483"/>
    <w:rsid w:val="00EA085F"/>
    <w:rsid w:val="00EA08CD"/>
    <w:rsid w:val="00EA0E8A"/>
    <w:rsid w:val="00EA1277"/>
    <w:rsid w:val="00EA12CC"/>
    <w:rsid w:val="00EA1364"/>
    <w:rsid w:val="00EA1411"/>
    <w:rsid w:val="00EA145D"/>
    <w:rsid w:val="00EA154B"/>
    <w:rsid w:val="00EA15E3"/>
    <w:rsid w:val="00EA1687"/>
    <w:rsid w:val="00EA1960"/>
    <w:rsid w:val="00EA1A84"/>
    <w:rsid w:val="00EA1D45"/>
    <w:rsid w:val="00EA2365"/>
    <w:rsid w:val="00EA29B4"/>
    <w:rsid w:val="00EA2AC1"/>
    <w:rsid w:val="00EA2DD0"/>
    <w:rsid w:val="00EA2E03"/>
    <w:rsid w:val="00EA2F6A"/>
    <w:rsid w:val="00EA2FEB"/>
    <w:rsid w:val="00EA3018"/>
    <w:rsid w:val="00EA303B"/>
    <w:rsid w:val="00EA3210"/>
    <w:rsid w:val="00EA3313"/>
    <w:rsid w:val="00EA3B05"/>
    <w:rsid w:val="00EA3E55"/>
    <w:rsid w:val="00EA42B8"/>
    <w:rsid w:val="00EA43C6"/>
    <w:rsid w:val="00EA4688"/>
    <w:rsid w:val="00EA480E"/>
    <w:rsid w:val="00EA4CAD"/>
    <w:rsid w:val="00EA4ECB"/>
    <w:rsid w:val="00EA50D9"/>
    <w:rsid w:val="00EA54F1"/>
    <w:rsid w:val="00EA5D13"/>
    <w:rsid w:val="00EA5F9F"/>
    <w:rsid w:val="00EA6230"/>
    <w:rsid w:val="00EA62F7"/>
    <w:rsid w:val="00EA6466"/>
    <w:rsid w:val="00EA6513"/>
    <w:rsid w:val="00EA6B83"/>
    <w:rsid w:val="00EA6CD5"/>
    <w:rsid w:val="00EA74C2"/>
    <w:rsid w:val="00EA74CF"/>
    <w:rsid w:val="00EA7604"/>
    <w:rsid w:val="00EA769C"/>
    <w:rsid w:val="00EA777A"/>
    <w:rsid w:val="00EA7B2F"/>
    <w:rsid w:val="00EA7DB7"/>
    <w:rsid w:val="00EB0010"/>
    <w:rsid w:val="00EB00E0"/>
    <w:rsid w:val="00EB05D5"/>
    <w:rsid w:val="00EB108F"/>
    <w:rsid w:val="00EB11F1"/>
    <w:rsid w:val="00EB1346"/>
    <w:rsid w:val="00EB179F"/>
    <w:rsid w:val="00EB1959"/>
    <w:rsid w:val="00EB197C"/>
    <w:rsid w:val="00EB1A79"/>
    <w:rsid w:val="00EB1C10"/>
    <w:rsid w:val="00EB1C86"/>
    <w:rsid w:val="00EB1D79"/>
    <w:rsid w:val="00EB1E47"/>
    <w:rsid w:val="00EB2086"/>
    <w:rsid w:val="00EB21FF"/>
    <w:rsid w:val="00EB26ED"/>
    <w:rsid w:val="00EB27A2"/>
    <w:rsid w:val="00EB27B3"/>
    <w:rsid w:val="00EB2845"/>
    <w:rsid w:val="00EB29D0"/>
    <w:rsid w:val="00EB2B6D"/>
    <w:rsid w:val="00EB2FD7"/>
    <w:rsid w:val="00EB30BE"/>
    <w:rsid w:val="00EB3125"/>
    <w:rsid w:val="00EB37BE"/>
    <w:rsid w:val="00EB3C2B"/>
    <w:rsid w:val="00EB3D8D"/>
    <w:rsid w:val="00EB3F39"/>
    <w:rsid w:val="00EB41B6"/>
    <w:rsid w:val="00EB436A"/>
    <w:rsid w:val="00EB4502"/>
    <w:rsid w:val="00EB46DE"/>
    <w:rsid w:val="00EB4ADB"/>
    <w:rsid w:val="00EB4BC7"/>
    <w:rsid w:val="00EB4D16"/>
    <w:rsid w:val="00EB4EE4"/>
    <w:rsid w:val="00EB4F25"/>
    <w:rsid w:val="00EB4FA6"/>
    <w:rsid w:val="00EB5107"/>
    <w:rsid w:val="00EB526F"/>
    <w:rsid w:val="00EB52E4"/>
    <w:rsid w:val="00EB5423"/>
    <w:rsid w:val="00EB5650"/>
    <w:rsid w:val="00EB5683"/>
    <w:rsid w:val="00EB56B9"/>
    <w:rsid w:val="00EB5747"/>
    <w:rsid w:val="00EB5754"/>
    <w:rsid w:val="00EB59D5"/>
    <w:rsid w:val="00EB5AEE"/>
    <w:rsid w:val="00EB5BA6"/>
    <w:rsid w:val="00EB5DCC"/>
    <w:rsid w:val="00EB5E8E"/>
    <w:rsid w:val="00EB620A"/>
    <w:rsid w:val="00EB6432"/>
    <w:rsid w:val="00EB6E6A"/>
    <w:rsid w:val="00EB7142"/>
    <w:rsid w:val="00EB71B6"/>
    <w:rsid w:val="00EB73CF"/>
    <w:rsid w:val="00EB74A4"/>
    <w:rsid w:val="00EB7574"/>
    <w:rsid w:val="00EB7687"/>
    <w:rsid w:val="00EB7A4B"/>
    <w:rsid w:val="00EB7F3D"/>
    <w:rsid w:val="00EC050D"/>
    <w:rsid w:val="00EC059F"/>
    <w:rsid w:val="00EC06BF"/>
    <w:rsid w:val="00EC0B5D"/>
    <w:rsid w:val="00EC10AD"/>
    <w:rsid w:val="00EC11A5"/>
    <w:rsid w:val="00EC1420"/>
    <w:rsid w:val="00EC182E"/>
    <w:rsid w:val="00EC1A5D"/>
    <w:rsid w:val="00EC1CE1"/>
    <w:rsid w:val="00EC1D82"/>
    <w:rsid w:val="00EC1F24"/>
    <w:rsid w:val="00EC22E9"/>
    <w:rsid w:val="00EC22F6"/>
    <w:rsid w:val="00EC24AC"/>
    <w:rsid w:val="00EC25F8"/>
    <w:rsid w:val="00EC27CD"/>
    <w:rsid w:val="00EC2A56"/>
    <w:rsid w:val="00EC2A92"/>
    <w:rsid w:val="00EC2DF5"/>
    <w:rsid w:val="00EC2EB8"/>
    <w:rsid w:val="00EC2F75"/>
    <w:rsid w:val="00EC325E"/>
    <w:rsid w:val="00EC3378"/>
    <w:rsid w:val="00EC343F"/>
    <w:rsid w:val="00EC34AA"/>
    <w:rsid w:val="00EC3689"/>
    <w:rsid w:val="00EC36F2"/>
    <w:rsid w:val="00EC36FC"/>
    <w:rsid w:val="00EC3733"/>
    <w:rsid w:val="00EC38C3"/>
    <w:rsid w:val="00EC3DB9"/>
    <w:rsid w:val="00EC43BD"/>
    <w:rsid w:val="00EC43EF"/>
    <w:rsid w:val="00EC443A"/>
    <w:rsid w:val="00EC44A7"/>
    <w:rsid w:val="00EC4636"/>
    <w:rsid w:val="00EC4652"/>
    <w:rsid w:val="00EC46C5"/>
    <w:rsid w:val="00EC4A7E"/>
    <w:rsid w:val="00EC4E3C"/>
    <w:rsid w:val="00EC4F0A"/>
    <w:rsid w:val="00EC4FA2"/>
    <w:rsid w:val="00EC4FF6"/>
    <w:rsid w:val="00EC5248"/>
    <w:rsid w:val="00EC5384"/>
    <w:rsid w:val="00EC58E8"/>
    <w:rsid w:val="00EC5A16"/>
    <w:rsid w:val="00EC5DD0"/>
    <w:rsid w:val="00EC5E5A"/>
    <w:rsid w:val="00EC5F24"/>
    <w:rsid w:val="00EC628B"/>
    <w:rsid w:val="00EC644B"/>
    <w:rsid w:val="00EC6492"/>
    <w:rsid w:val="00EC6520"/>
    <w:rsid w:val="00EC6826"/>
    <w:rsid w:val="00EC691C"/>
    <w:rsid w:val="00EC6B80"/>
    <w:rsid w:val="00EC6C86"/>
    <w:rsid w:val="00EC6D6A"/>
    <w:rsid w:val="00EC6F34"/>
    <w:rsid w:val="00EC7266"/>
    <w:rsid w:val="00EC77D7"/>
    <w:rsid w:val="00EC79B5"/>
    <w:rsid w:val="00EC7DDA"/>
    <w:rsid w:val="00EC7FC6"/>
    <w:rsid w:val="00ED04BB"/>
    <w:rsid w:val="00ED04F6"/>
    <w:rsid w:val="00ED08E5"/>
    <w:rsid w:val="00ED0E4A"/>
    <w:rsid w:val="00ED1256"/>
    <w:rsid w:val="00ED13C6"/>
    <w:rsid w:val="00ED1469"/>
    <w:rsid w:val="00ED1C0B"/>
    <w:rsid w:val="00ED2509"/>
    <w:rsid w:val="00ED25F3"/>
    <w:rsid w:val="00ED26DD"/>
    <w:rsid w:val="00ED2B46"/>
    <w:rsid w:val="00ED30EE"/>
    <w:rsid w:val="00ED3498"/>
    <w:rsid w:val="00ED394A"/>
    <w:rsid w:val="00ED3E42"/>
    <w:rsid w:val="00ED3EE8"/>
    <w:rsid w:val="00ED3FF5"/>
    <w:rsid w:val="00ED4059"/>
    <w:rsid w:val="00ED40F8"/>
    <w:rsid w:val="00ED41B3"/>
    <w:rsid w:val="00ED424B"/>
    <w:rsid w:val="00ED42D6"/>
    <w:rsid w:val="00ED4377"/>
    <w:rsid w:val="00ED4408"/>
    <w:rsid w:val="00ED4492"/>
    <w:rsid w:val="00ED466A"/>
    <w:rsid w:val="00ED490E"/>
    <w:rsid w:val="00ED491F"/>
    <w:rsid w:val="00ED496C"/>
    <w:rsid w:val="00ED4BAC"/>
    <w:rsid w:val="00ED4CFB"/>
    <w:rsid w:val="00ED514B"/>
    <w:rsid w:val="00ED52F2"/>
    <w:rsid w:val="00ED595A"/>
    <w:rsid w:val="00ED5B26"/>
    <w:rsid w:val="00ED5B9B"/>
    <w:rsid w:val="00ED5D24"/>
    <w:rsid w:val="00ED5E1A"/>
    <w:rsid w:val="00ED62BA"/>
    <w:rsid w:val="00ED6817"/>
    <w:rsid w:val="00ED68F9"/>
    <w:rsid w:val="00ED6ACC"/>
    <w:rsid w:val="00ED6BAD"/>
    <w:rsid w:val="00ED6FE7"/>
    <w:rsid w:val="00ED716F"/>
    <w:rsid w:val="00ED7447"/>
    <w:rsid w:val="00ED74A0"/>
    <w:rsid w:val="00ED7528"/>
    <w:rsid w:val="00ED75CD"/>
    <w:rsid w:val="00ED76F6"/>
    <w:rsid w:val="00ED7762"/>
    <w:rsid w:val="00EE00D6"/>
    <w:rsid w:val="00EE0173"/>
    <w:rsid w:val="00EE0264"/>
    <w:rsid w:val="00EE0512"/>
    <w:rsid w:val="00EE05AB"/>
    <w:rsid w:val="00EE07E0"/>
    <w:rsid w:val="00EE080D"/>
    <w:rsid w:val="00EE08F9"/>
    <w:rsid w:val="00EE0C82"/>
    <w:rsid w:val="00EE0E69"/>
    <w:rsid w:val="00EE10F3"/>
    <w:rsid w:val="00EE1104"/>
    <w:rsid w:val="00EE11BD"/>
    <w:rsid w:val="00EE11E7"/>
    <w:rsid w:val="00EE11F7"/>
    <w:rsid w:val="00EE12EB"/>
    <w:rsid w:val="00EE1392"/>
    <w:rsid w:val="00EE1451"/>
    <w:rsid w:val="00EE1488"/>
    <w:rsid w:val="00EE160C"/>
    <w:rsid w:val="00EE18F3"/>
    <w:rsid w:val="00EE1B58"/>
    <w:rsid w:val="00EE1D3F"/>
    <w:rsid w:val="00EE1D97"/>
    <w:rsid w:val="00EE2485"/>
    <w:rsid w:val="00EE29AD"/>
    <w:rsid w:val="00EE2C88"/>
    <w:rsid w:val="00EE30CB"/>
    <w:rsid w:val="00EE30F2"/>
    <w:rsid w:val="00EE3438"/>
    <w:rsid w:val="00EE39F2"/>
    <w:rsid w:val="00EE39FB"/>
    <w:rsid w:val="00EE39FE"/>
    <w:rsid w:val="00EE3B93"/>
    <w:rsid w:val="00EE3E24"/>
    <w:rsid w:val="00EE3EAE"/>
    <w:rsid w:val="00EE44CD"/>
    <w:rsid w:val="00EE49FE"/>
    <w:rsid w:val="00EE4C3C"/>
    <w:rsid w:val="00EE4CB6"/>
    <w:rsid w:val="00EE4D27"/>
    <w:rsid w:val="00EE4D5D"/>
    <w:rsid w:val="00EE4D79"/>
    <w:rsid w:val="00EE4E9B"/>
    <w:rsid w:val="00EE4F05"/>
    <w:rsid w:val="00EE5131"/>
    <w:rsid w:val="00EE5548"/>
    <w:rsid w:val="00EE5DA2"/>
    <w:rsid w:val="00EE6402"/>
    <w:rsid w:val="00EE6710"/>
    <w:rsid w:val="00EE68CF"/>
    <w:rsid w:val="00EE6C02"/>
    <w:rsid w:val="00EE6F8E"/>
    <w:rsid w:val="00EE6FBD"/>
    <w:rsid w:val="00EE7067"/>
    <w:rsid w:val="00EE71A3"/>
    <w:rsid w:val="00EE7661"/>
    <w:rsid w:val="00EE7B72"/>
    <w:rsid w:val="00EE7FB9"/>
    <w:rsid w:val="00EE7FCF"/>
    <w:rsid w:val="00EF048C"/>
    <w:rsid w:val="00EF04C6"/>
    <w:rsid w:val="00EF081B"/>
    <w:rsid w:val="00EF0B62"/>
    <w:rsid w:val="00EF0D4F"/>
    <w:rsid w:val="00EF0EE4"/>
    <w:rsid w:val="00EF1073"/>
    <w:rsid w:val="00EF109B"/>
    <w:rsid w:val="00EF11BB"/>
    <w:rsid w:val="00EF1386"/>
    <w:rsid w:val="00EF1456"/>
    <w:rsid w:val="00EF19F9"/>
    <w:rsid w:val="00EF1A33"/>
    <w:rsid w:val="00EF1AD2"/>
    <w:rsid w:val="00EF1AF1"/>
    <w:rsid w:val="00EF1CA1"/>
    <w:rsid w:val="00EF201C"/>
    <w:rsid w:val="00EF2183"/>
    <w:rsid w:val="00EF2411"/>
    <w:rsid w:val="00EF2435"/>
    <w:rsid w:val="00EF24C0"/>
    <w:rsid w:val="00EF2562"/>
    <w:rsid w:val="00EF2569"/>
    <w:rsid w:val="00EF25C0"/>
    <w:rsid w:val="00EF279E"/>
    <w:rsid w:val="00EF2954"/>
    <w:rsid w:val="00EF2AAE"/>
    <w:rsid w:val="00EF2BF4"/>
    <w:rsid w:val="00EF2C39"/>
    <w:rsid w:val="00EF2C5E"/>
    <w:rsid w:val="00EF2C72"/>
    <w:rsid w:val="00EF2F73"/>
    <w:rsid w:val="00EF316B"/>
    <w:rsid w:val="00EF31F0"/>
    <w:rsid w:val="00EF32E1"/>
    <w:rsid w:val="00EF3664"/>
    <w:rsid w:val="00EF3690"/>
    <w:rsid w:val="00EF36AF"/>
    <w:rsid w:val="00EF3764"/>
    <w:rsid w:val="00EF3C50"/>
    <w:rsid w:val="00EF42F1"/>
    <w:rsid w:val="00EF465B"/>
    <w:rsid w:val="00EF4812"/>
    <w:rsid w:val="00EF4990"/>
    <w:rsid w:val="00EF4A19"/>
    <w:rsid w:val="00EF4A38"/>
    <w:rsid w:val="00EF4BAD"/>
    <w:rsid w:val="00EF4E21"/>
    <w:rsid w:val="00EF4E3F"/>
    <w:rsid w:val="00EF52E6"/>
    <w:rsid w:val="00EF53C2"/>
    <w:rsid w:val="00EF56E0"/>
    <w:rsid w:val="00EF571D"/>
    <w:rsid w:val="00EF587B"/>
    <w:rsid w:val="00EF59A3"/>
    <w:rsid w:val="00EF5B6B"/>
    <w:rsid w:val="00EF5F62"/>
    <w:rsid w:val="00EF613B"/>
    <w:rsid w:val="00EF625F"/>
    <w:rsid w:val="00EF63C4"/>
    <w:rsid w:val="00EF645C"/>
    <w:rsid w:val="00EF65A7"/>
    <w:rsid w:val="00EF6675"/>
    <w:rsid w:val="00EF6D8A"/>
    <w:rsid w:val="00EF6DDC"/>
    <w:rsid w:val="00EF7182"/>
    <w:rsid w:val="00EF7536"/>
    <w:rsid w:val="00EF75DF"/>
    <w:rsid w:val="00EF7682"/>
    <w:rsid w:val="00EF7869"/>
    <w:rsid w:val="00EF7953"/>
    <w:rsid w:val="00EF79CC"/>
    <w:rsid w:val="00EF7D74"/>
    <w:rsid w:val="00EF7D93"/>
    <w:rsid w:val="00EF7F23"/>
    <w:rsid w:val="00F000F1"/>
    <w:rsid w:val="00F0033E"/>
    <w:rsid w:val="00F00351"/>
    <w:rsid w:val="00F003E2"/>
    <w:rsid w:val="00F0058B"/>
    <w:rsid w:val="00F0063D"/>
    <w:rsid w:val="00F006C6"/>
    <w:rsid w:val="00F009F3"/>
    <w:rsid w:val="00F00AC0"/>
    <w:rsid w:val="00F00CB9"/>
    <w:rsid w:val="00F00F9C"/>
    <w:rsid w:val="00F00FF3"/>
    <w:rsid w:val="00F00FF4"/>
    <w:rsid w:val="00F0125C"/>
    <w:rsid w:val="00F013C7"/>
    <w:rsid w:val="00F01506"/>
    <w:rsid w:val="00F01960"/>
    <w:rsid w:val="00F01B40"/>
    <w:rsid w:val="00F01CFC"/>
    <w:rsid w:val="00F01E13"/>
    <w:rsid w:val="00F01E5F"/>
    <w:rsid w:val="00F0225F"/>
    <w:rsid w:val="00F024F3"/>
    <w:rsid w:val="00F02615"/>
    <w:rsid w:val="00F02721"/>
    <w:rsid w:val="00F02845"/>
    <w:rsid w:val="00F0287C"/>
    <w:rsid w:val="00F02887"/>
    <w:rsid w:val="00F028D2"/>
    <w:rsid w:val="00F02ABA"/>
    <w:rsid w:val="00F02AEC"/>
    <w:rsid w:val="00F02E27"/>
    <w:rsid w:val="00F02E5D"/>
    <w:rsid w:val="00F03205"/>
    <w:rsid w:val="00F036BD"/>
    <w:rsid w:val="00F0381F"/>
    <w:rsid w:val="00F03856"/>
    <w:rsid w:val="00F03A52"/>
    <w:rsid w:val="00F03D0F"/>
    <w:rsid w:val="00F041BB"/>
    <w:rsid w:val="00F0437A"/>
    <w:rsid w:val="00F0437D"/>
    <w:rsid w:val="00F044BB"/>
    <w:rsid w:val="00F045CA"/>
    <w:rsid w:val="00F045DD"/>
    <w:rsid w:val="00F04679"/>
    <w:rsid w:val="00F04691"/>
    <w:rsid w:val="00F04696"/>
    <w:rsid w:val="00F04955"/>
    <w:rsid w:val="00F04BA8"/>
    <w:rsid w:val="00F04BC3"/>
    <w:rsid w:val="00F04BCC"/>
    <w:rsid w:val="00F04C69"/>
    <w:rsid w:val="00F04F1C"/>
    <w:rsid w:val="00F04F9B"/>
    <w:rsid w:val="00F0502D"/>
    <w:rsid w:val="00F051DE"/>
    <w:rsid w:val="00F055B0"/>
    <w:rsid w:val="00F05615"/>
    <w:rsid w:val="00F057DD"/>
    <w:rsid w:val="00F05832"/>
    <w:rsid w:val="00F05954"/>
    <w:rsid w:val="00F05956"/>
    <w:rsid w:val="00F05959"/>
    <w:rsid w:val="00F05C45"/>
    <w:rsid w:val="00F06402"/>
    <w:rsid w:val="00F06764"/>
    <w:rsid w:val="00F069F7"/>
    <w:rsid w:val="00F06CF6"/>
    <w:rsid w:val="00F06D6F"/>
    <w:rsid w:val="00F06DF1"/>
    <w:rsid w:val="00F0767A"/>
    <w:rsid w:val="00F07B7E"/>
    <w:rsid w:val="00F07B9E"/>
    <w:rsid w:val="00F07BB7"/>
    <w:rsid w:val="00F07F52"/>
    <w:rsid w:val="00F101B8"/>
    <w:rsid w:val="00F102F6"/>
    <w:rsid w:val="00F1055D"/>
    <w:rsid w:val="00F10B5B"/>
    <w:rsid w:val="00F11037"/>
    <w:rsid w:val="00F1124B"/>
    <w:rsid w:val="00F113A0"/>
    <w:rsid w:val="00F1145A"/>
    <w:rsid w:val="00F1167F"/>
    <w:rsid w:val="00F1180D"/>
    <w:rsid w:val="00F1192B"/>
    <w:rsid w:val="00F11A44"/>
    <w:rsid w:val="00F11A80"/>
    <w:rsid w:val="00F1201F"/>
    <w:rsid w:val="00F120B3"/>
    <w:rsid w:val="00F120F5"/>
    <w:rsid w:val="00F12484"/>
    <w:rsid w:val="00F12647"/>
    <w:rsid w:val="00F126F2"/>
    <w:rsid w:val="00F12783"/>
    <w:rsid w:val="00F12D22"/>
    <w:rsid w:val="00F12DE9"/>
    <w:rsid w:val="00F12F92"/>
    <w:rsid w:val="00F1319C"/>
    <w:rsid w:val="00F133A9"/>
    <w:rsid w:val="00F13461"/>
    <w:rsid w:val="00F138D6"/>
    <w:rsid w:val="00F13C53"/>
    <w:rsid w:val="00F14872"/>
    <w:rsid w:val="00F14CF4"/>
    <w:rsid w:val="00F1518E"/>
    <w:rsid w:val="00F15538"/>
    <w:rsid w:val="00F15A8C"/>
    <w:rsid w:val="00F15FE7"/>
    <w:rsid w:val="00F1655A"/>
    <w:rsid w:val="00F16AFE"/>
    <w:rsid w:val="00F16EF3"/>
    <w:rsid w:val="00F16F1B"/>
    <w:rsid w:val="00F1737B"/>
    <w:rsid w:val="00F17710"/>
    <w:rsid w:val="00F17784"/>
    <w:rsid w:val="00F17802"/>
    <w:rsid w:val="00F17EFE"/>
    <w:rsid w:val="00F20009"/>
    <w:rsid w:val="00F201D9"/>
    <w:rsid w:val="00F2069D"/>
    <w:rsid w:val="00F2091D"/>
    <w:rsid w:val="00F209D1"/>
    <w:rsid w:val="00F20A8C"/>
    <w:rsid w:val="00F20BA8"/>
    <w:rsid w:val="00F20D7E"/>
    <w:rsid w:val="00F21452"/>
    <w:rsid w:val="00F215F6"/>
    <w:rsid w:val="00F21862"/>
    <w:rsid w:val="00F21C49"/>
    <w:rsid w:val="00F21E1F"/>
    <w:rsid w:val="00F21E27"/>
    <w:rsid w:val="00F21F04"/>
    <w:rsid w:val="00F22033"/>
    <w:rsid w:val="00F225C1"/>
    <w:rsid w:val="00F2299F"/>
    <w:rsid w:val="00F22EA7"/>
    <w:rsid w:val="00F230F1"/>
    <w:rsid w:val="00F2343B"/>
    <w:rsid w:val="00F2357A"/>
    <w:rsid w:val="00F23CC7"/>
    <w:rsid w:val="00F24099"/>
    <w:rsid w:val="00F241B0"/>
    <w:rsid w:val="00F24A26"/>
    <w:rsid w:val="00F24A3F"/>
    <w:rsid w:val="00F24A59"/>
    <w:rsid w:val="00F24A99"/>
    <w:rsid w:val="00F24F8A"/>
    <w:rsid w:val="00F24FAB"/>
    <w:rsid w:val="00F24FB6"/>
    <w:rsid w:val="00F2509E"/>
    <w:rsid w:val="00F250A9"/>
    <w:rsid w:val="00F2531A"/>
    <w:rsid w:val="00F25D77"/>
    <w:rsid w:val="00F25EAF"/>
    <w:rsid w:val="00F25F52"/>
    <w:rsid w:val="00F2617D"/>
    <w:rsid w:val="00F26201"/>
    <w:rsid w:val="00F267AF"/>
    <w:rsid w:val="00F26AF2"/>
    <w:rsid w:val="00F26B6A"/>
    <w:rsid w:val="00F26E9F"/>
    <w:rsid w:val="00F2743A"/>
    <w:rsid w:val="00F27937"/>
    <w:rsid w:val="00F27B19"/>
    <w:rsid w:val="00F27D80"/>
    <w:rsid w:val="00F27DA2"/>
    <w:rsid w:val="00F3017E"/>
    <w:rsid w:val="00F30186"/>
    <w:rsid w:val="00F30728"/>
    <w:rsid w:val="00F307DF"/>
    <w:rsid w:val="00F30A78"/>
    <w:rsid w:val="00F30C6C"/>
    <w:rsid w:val="00F30E38"/>
    <w:rsid w:val="00F30FF4"/>
    <w:rsid w:val="00F31094"/>
    <w:rsid w:val="00F3122E"/>
    <w:rsid w:val="00F31726"/>
    <w:rsid w:val="00F319A6"/>
    <w:rsid w:val="00F31A30"/>
    <w:rsid w:val="00F31A65"/>
    <w:rsid w:val="00F31BE4"/>
    <w:rsid w:val="00F31D30"/>
    <w:rsid w:val="00F31F84"/>
    <w:rsid w:val="00F32368"/>
    <w:rsid w:val="00F32619"/>
    <w:rsid w:val="00F32B1D"/>
    <w:rsid w:val="00F32B66"/>
    <w:rsid w:val="00F32C6D"/>
    <w:rsid w:val="00F32D81"/>
    <w:rsid w:val="00F331AD"/>
    <w:rsid w:val="00F3381B"/>
    <w:rsid w:val="00F3385E"/>
    <w:rsid w:val="00F3390C"/>
    <w:rsid w:val="00F33C89"/>
    <w:rsid w:val="00F33F6F"/>
    <w:rsid w:val="00F341F8"/>
    <w:rsid w:val="00F3428C"/>
    <w:rsid w:val="00F34331"/>
    <w:rsid w:val="00F3464A"/>
    <w:rsid w:val="00F34738"/>
    <w:rsid w:val="00F34BE7"/>
    <w:rsid w:val="00F34DBE"/>
    <w:rsid w:val="00F34E84"/>
    <w:rsid w:val="00F35164"/>
    <w:rsid w:val="00F3516E"/>
    <w:rsid w:val="00F35185"/>
    <w:rsid w:val="00F35287"/>
    <w:rsid w:val="00F35548"/>
    <w:rsid w:val="00F356BB"/>
    <w:rsid w:val="00F3573C"/>
    <w:rsid w:val="00F35744"/>
    <w:rsid w:val="00F358B5"/>
    <w:rsid w:val="00F35D58"/>
    <w:rsid w:val="00F3604E"/>
    <w:rsid w:val="00F361A9"/>
    <w:rsid w:val="00F363AF"/>
    <w:rsid w:val="00F363E0"/>
    <w:rsid w:val="00F36409"/>
    <w:rsid w:val="00F36821"/>
    <w:rsid w:val="00F36865"/>
    <w:rsid w:val="00F368FB"/>
    <w:rsid w:val="00F36A91"/>
    <w:rsid w:val="00F36B83"/>
    <w:rsid w:val="00F375F8"/>
    <w:rsid w:val="00F376C5"/>
    <w:rsid w:val="00F376F5"/>
    <w:rsid w:val="00F37998"/>
    <w:rsid w:val="00F37C8A"/>
    <w:rsid w:val="00F37CA2"/>
    <w:rsid w:val="00F4063C"/>
    <w:rsid w:val="00F40931"/>
    <w:rsid w:val="00F40967"/>
    <w:rsid w:val="00F40977"/>
    <w:rsid w:val="00F40A70"/>
    <w:rsid w:val="00F40DAE"/>
    <w:rsid w:val="00F40F7C"/>
    <w:rsid w:val="00F412E6"/>
    <w:rsid w:val="00F41719"/>
    <w:rsid w:val="00F417BC"/>
    <w:rsid w:val="00F418EB"/>
    <w:rsid w:val="00F41982"/>
    <w:rsid w:val="00F41995"/>
    <w:rsid w:val="00F41A5F"/>
    <w:rsid w:val="00F41CF8"/>
    <w:rsid w:val="00F41E71"/>
    <w:rsid w:val="00F41E7F"/>
    <w:rsid w:val="00F42209"/>
    <w:rsid w:val="00F4230B"/>
    <w:rsid w:val="00F427B4"/>
    <w:rsid w:val="00F428E7"/>
    <w:rsid w:val="00F429FA"/>
    <w:rsid w:val="00F42AB1"/>
    <w:rsid w:val="00F42DA8"/>
    <w:rsid w:val="00F42E8C"/>
    <w:rsid w:val="00F430F9"/>
    <w:rsid w:val="00F43709"/>
    <w:rsid w:val="00F437E5"/>
    <w:rsid w:val="00F4385D"/>
    <w:rsid w:val="00F43989"/>
    <w:rsid w:val="00F439C7"/>
    <w:rsid w:val="00F43A37"/>
    <w:rsid w:val="00F43AEB"/>
    <w:rsid w:val="00F43BAA"/>
    <w:rsid w:val="00F43DAC"/>
    <w:rsid w:val="00F43E82"/>
    <w:rsid w:val="00F43F23"/>
    <w:rsid w:val="00F44187"/>
    <w:rsid w:val="00F44465"/>
    <w:rsid w:val="00F44476"/>
    <w:rsid w:val="00F446FD"/>
    <w:rsid w:val="00F4480E"/>
    <w:rsid w:val="00F44905"/>
    <w:rsid w:val="00F44BAB"/>
    <w:rsid w:val="00F44DB5"/>
    <w:rsid w:val="00F45621"/>
    <w:rsid w:val="00F459C7"/>
    <w:rsid w:val="00F46234"/>
    <w:rsid w:val="00F46284"/>
    <w:rsid w:val="00F4641B"/>
    <w:rsid w:val="00F46786"/>
    <w:rsid w:val="00F46A34"/>
    <w:rsid w:val="00F46AC1"/>
    <w:rsid w:val="00F46DCD"/>
    <w:rsid w:val="00F46EB8"/>
    <w:rsid w:val="00F47163"/>
    <w:rsid w:val="00F4732C"/>
    <w:rsid w:val="00F47446"/>
    <w:rsid w:val="00F4751B"/>
    <w:rsid w:val="00F47B74"/>
    <w:rsid w:val="00F47BF2"/>
    <w:rsid w:val="00F47D58"/>
    <w:rsid w:val="00F47DA9"/>
    <w:rsid w:val="00F47DE2"/>
    <w:rsid w:val="00F5009D"/>
    <w:rsid w:val="00F5013D"/>
    <w:rsid w:val="00F50198"/>
    <w:rsid w:val="00F501DC"/>
    <w:rsid w:val="00F5043E"/>
    <w:rsid w:val="00F50693"/>
    <w:rsid w:val="00F50881"/>
    <w:rsid w:val="00F50979"/>
    <w:rsid w:val="00F50A80"/>
    <w:rsid w:val="00F50CD1"/>
    <w:rsid w:val="00F511E4"/>
    <w:rsid w:val="00F512EB"/>
    <w:rsid w:val="00F51AB2"/>
    <w:rsid w:val="00F51AC9"/>
    <w:rsid w:val="00F51CCA"/>
    <w:rsid w:val="00F51E43"/>
    <w:rsid w:val="00F51FDD"/>
    <w:rsid w:val="00F5250C"/>
    <w:rsid w:val="00F5292A"/>
    <w:rsid w:val="00F52A4C"/>
    <w:rsid w:val="00F52BBB"/>
    <w:rsid w:val="00F52D09"/>
    <w:rsid w:val="00F52DFA"/>
    <w:rsid w:val="00F52E08"/>
    <w:rsid w:val="00F52FD5"/>
    <w:rsid w:val="00F535B4"/>
    <w:rsid w:val="00F5374A"/>
    <w:rsid w:val="00F5390E"/>
    <w:rsid w:val="00F53A66"/>
    <w:rsid w:val="00F53AE9"/>
    <w:rsid w:val="00F54102"/>
    <w:rsid w:val="00F541E6"/>
    <w:rsid w:val="00F5462D"/>
    <w:rsid w:val="00F54AA6"/>
    <w:rsid w:val="00F54F55"/>
    <w:rsid w:val="00F54FCF"/>
    <w:rsid w:val="00F550A0"/>
    <w:rsid w:val="00F550FA"/>
    <w:rsid w:val="00F55172"/>
    <w:rsid w:val="00F551AE"/>
    <w:rsid w:val="00F5534F"/>
    <w:rsid w:val="00F55388"/>
    <w:rsid w:val="00F554A4"/>
    <w:rsid w:val="00F5566E"/>
    <w:rsid w:val="00F55810"/>
    <w:rsid w:val="00F55B21"/>
    <w:rsid w:val="00F55CEF"/>
    <w:rsid w:val="00F55F55"/>
    <w:rsid w:val="00F560F0"/>
    <w:rsid w:val="00F56124"/>
    <w:rsid w:val="00F563F5"/>
    <w:rsid w:val="00F56ADA"/>
    <w:rsid w:val="00F56ADD"/>
    <w:rsid w:val="00F56B88"/>
    <w:rsid w:val="00F56D0D"/>
    <w:rsid w:val="00F56EB4"/>
    <w:rsid w:val="00F56EF6"/>
    <w:rsid w:val="00F56F27"/>
    <w:rsid w:val="00F57004"/>
    <w:rsid w:val="00F574C1"/>
    <w:rsid w:val="00F57A11"/>
    <w:rsid w:val="00F57ACE"/>
    <w:rsid w:val="00F57D72"/>
    <w:rsid w:val="00F57F96"/>
    <w:rsid w:val="00F60082"/>
    <w:rsid w:val="00F60266"/>
    <w:rsid w:val="00F602F7"/>
    <w:rsid w:val="00F6041E"/>
    <w:rsid w:val="00F604AD"/>
    <w:rsid w:val="00F609E7"/>
    <w:rsid w:val="00F60C5D"/>
    <w:rsid w:val="00F60E5C"/>
    <w:rsid w:val="00F614BA"/>
    <w:rsid w:val="00F616CA"/>
    <w:rsid w:val="00F616F1"/>
    <w:rsid w:val="00F61A9F"/>
    <w:rsid w:val="00F61AAF"/>
    <w:rsid w:val="00F61B5F"/>
    <w:rsid w:val="00F61BC9"/>
    <w:rsid w:val="00F61F63"/>
    <w:rsid w:val="00F61FAF"/>
    <w:rsid w:val="00F62272"/>
    <w:rsid w:val="00F62376"/>
    <w:rsid w:val="00F623C8"/>
    <w:rsid w:val="00F62883"/>
    <w:rsid w:val="00F62DD3"/>
    <w:rsid w:val="00F62F27"/>
    <w:rsid w:val="00F63077"/>
    <w:rsid w:val="00F6321C"/>
    <w:rsid w:val="00F63672"/>
    <w:rsid w:val="00F636E6"/>
    <w:rsid w:val="00F63D0D"/>
    <w:rsid w:val="00F64213"/>
    <w:rsid w:val="00F6441A"/>
    <w:rsid w:val="00F64685"/>
    <w:rsid w:val="00F64696"/>
    <w:rsid w:val="00F6473C"/>
    <w:rsid w:val="00F64884"/>
    <w:rsid w:val="00F649A6"/>
    <w:rsid w:val="00F64BF2"/>
    <w:rsid w:val="00F64CF0"/>
    <w:rsid w:val="00F64D3B"/>
    <w:rsid w:val="00F64D49"/>
    <w:rsid w:val="00F64F7A"/>
    <w:rsid w:val="00F64FED"/>
    <w:rsid w:val="00F654C2"/>
    <w:rsid w:val="00F65621"/>
    <w:rsid w:val="00F65A52"/>
    <w:rsid w:val="00F65AA9"/>
    <w:rsid w:val="00F65B21"/>
    <w:rsid w:val="00F65C99"/>
    <w:rsid w:val="00F6678D"/>
    <w:rsid w:val="00F6686F"/>
    <w:rsid w:val="00F66954"/>
    <w:rsid w:val="00F66EDB"/>
    <w:rsid w:val="00F6700E"/>
    <w:rsid w:val="00F67171"/>
    <w:rsid w:val="00F672E7"/>
    <w:rsid w:val="00F67345"/>
    <w:rsid w:val="00F6768F"/>
    <w:rsid w:val="00F676F9"/>
    <w:rsid w:val="00F67BAF"/>
    <w:rsid w:val="00F67D18"/>
    <w:rsid w:val="00F70214"/>
    <w:rsid w:val="00F70241"/>
    <w:rsid w:val="00F70420"/>
    <w:rsid w:val="00F704E1"/>
    <w:rsid w:val="00F70573"/>
    <w:rsid w:val="00F707B2"/>
    <w:rsid w:val="00F7092E"/>
    <w:rsid w:val="00F70C75"/>
    <w:rsid w:val="00F710E3"/>
    <w:rsid w:val="00F7128A"/>
    <w:rsid w:val="00F71CDE"/>
    <w:rsid w:val="00F72290"/>
    <w:rsid w:val="00F72402"/>
    <w:rsid w:val="00F72885"/>
    <w:rsid w:val="00F72945"/>
    <w:rsid w:val="00F72BA1"/>
    <w:rsid w:val="00F72C2C"/>
    <w:rsid w:val="00F72E53"/>
    <w:rsid w:val="00F73035"/>
    <w:rsid w:val="00F73494"/>
    <w:rsid w:val="00F737A1"/>
    <w:rsid w:val="00F738E2"/>
    <w:rsid w:val="00F73C2C"/>
    <w:rsid w:val="00F73CC1"/>
    <w:rsid w:val="00F73DC1"/>
    <w:rsid w:val="00F741F2"/>
    <w:rsid w:val="00F7455E"/>
    <w:rsid w:val="00F7474C"/>
    <w:rsid w:val="00F74C61"/>
    <w:rsid w:val="00F74DF1"/>
    <w:rsid w:val="00F74F16"/>
    <w:rsid w:val="00F74FE7"/>
    <w:rsid w:val="00F752CC"/>
    <w:rsid w:val="00F75307"/>
    <w:rsid w:val="00F7535A"/>
    <w:rsid w:val="00F754EF"/>
    <w:rsid w:val="00F75957"/>
    <w:rsid w:val="00F75994"/>
    <w:rsid w:val="00F75B19"/>
    <w:rsid w:val="00F75BD4"/>
    <w:rsid w:val="00F75ECD"/>
    <w:rsid w:val="00F7623A"/>
    <w:rsid w:val="00F76383"/>
    <w:rsid w:val="00F76448"/>
    <w:rsid w:val="00F764EC"/>
    <w:rsid w:val="00F7688C"/>
    <w:rsid w:val="00F76A0E"/>
    <w:rsid w:val="00F76CA1"/>
    <w:rsid w:val="00F76CAB"/>
    <w:rsid w:val="00F772C6"/>
    <w:rsid w:val="00F772FD"/>
    <w:rsid w:val="00F774B4"/>
    <w:rsid w:val="00F77706"/>
    <w:rsid w:val="00F777F0"/>
    <w:rsid w:val="00F77CB2"/>
    <w:rsid w:val="00F77DCA"/>
    <w:rsid w:val="00F77E06"/>
    <w:rsid w:val="00F77EBF"/>
    <w:rsid w:val="00F77ED5"/>
    <w:rsid w:val="00F77EE5"/>
    <w:rsid w:val="00F80011"/>
    <w:rsid w:val="00F8024A"/>
    <w:rsid w:val="00F80344"/>
    <w:rsid w:val="00F803A1"/>
    <w:rsid w:val="00F807C2"/>
    <w:rsid w:val="00F80803"/>
    <w:rsid w:val="00F8087C"/>
    <w:rsid w:val="00F80C63"/>
    <w:rsid w:val="00F80EE2"/>
    <w:rsid w:val="00F8124F"/>
    <w:rsid w:val="00F815B5"/>
    <w:rsid w:val="00F815FA"/>
    <w:rsid w:val="00F816ED"/>
    <w:rsid w:val="00F81897"/>
    <w:rsid w:val="00F81C66"/>
    <w:rsid w:val="00F81D08"/>
    <w:rsid w:val="00F81DF5"/>
    <w:rsid w:val="00F81EA3"/>
    <w:rsid w:val="00F8220E"/>
    <w:rsid w:val="00F82354"/>
    <w:rsid w:val="00F824EC"/>
    <w:rsid w:val="00F82FBF"/>
    <w:rsid w:val="00F83206"/>
    <w:rsid w:val="00F83357"/>
    <w:rsid w:val="00F838E9"/>
    <w:rsid w:val="00F83A4D"/>
    <w:rsid w:val="00F83A56"/>
    <w:rsid w:val="00F83B3B"/>
    <w:rsid w:val="00F83C25"/>
    <w:rsid w:val="00F83C54"/>
    <w:rsid w:val="00F84079"/>
    <w:rsid w:val="00F841AC"/>
    <w:rsid w:val="00F842D7"/>
    <w:rsid w:val="00F844B8"/>
    <w:rsid w:val="00F844C9"/>
    <w:rsid w:val="00F84741"/>
    <w:rsid w:val="00F8492C"/>
    <w:rsid w:val="00F85031"/>
    <w:rsid w:val="00F85062"/>
    <w:rsid w:val="00F85195"/>
    <w:rsid w:val="00F85274"/>
    <w:rsid w:val="00F85311"/>
    <w:rsid w:val="00F85352"/>
    <w:rsid w:val="00F85780"/>
    <w:rsid w:val="00F857F6"/>
    <w:rsid w:val="00F863B4"/>
    <w:rsid w:val="00F868E3"/>
    <w:rsid w:val="00F869E7"/>
    <w:rsid w:val="00F86D10"/>
    <w:rsid w:val="00F86D92"/>
    <w:rsid w:val="00F86F3A"/>
    <w:rsid w:val="00F86F49"/>
    <w:rsid w:val="00F8714F"/>
    <w:rsid w:val="00F871F8"/>
    <w:rsid w:val="00F872A9"/>
    <w:rsid w:val="00F87400"/>
    <w:rsid w:val="00F874C4"/>
    <w:rsid w:val="00F875F1"/>
    <w:rsid w:val="00F877E1"/>
    <w:rsid w:val="00F87813"/>
    <w:rsid w:val="00F87ACF"/>
    <w:rsid w:val="00F87CEA"/>
    <w:rsid w:val="00F87E95"/>
    <w:rsid w:val="00F87F09"/>
    <w:rsid w:val="00F903BC"/>
    <w:rsid w:val="00F90500"/>
    <w:rsid w:val="00F9092C"/>
    <w:rsid w:val="00F90BA5"/>
    <w:rsid w:val="00F90CA0"/>
    <w:rsid w:val="00F90D0F"/>
    <w:rsid w:val="00F90D33"/>
    <w:rsid w:val="00F90D8B"/>
    <w:rsid w:val="00F90FA8"/>
    <w:rsid w:val="00F90FCE"/>
    <w:rsid w:val="00F91198"/>
    <w:rsid w:val="00F91A9F"/>
    <w:rsid w:val="00F91B9A"/>
    <w:rsid w:val="00F91C51"/>
    <w:rsid w:val="00F91F09"/>
    <w:rsid w:val="00F92391"/>
    <w:rsid w:val="00F9260E"/>
    <w:rsid w:val="00F9271B"/>
    <w:rsid w:val="00F92B2A"/>
    <w:rsid w:val="00F92B70"/>
    <w:rsid w:val="00F92C40"/>
    <w:rsid w:val="00F93778"/>
    <w:rsid w:val="00F938BA"/>
    <w:rsid w:val="00F93BDF"/>
    <w:rsid w:val="00F94166"/>
    <w:rsid w:val="00F94381"/>
    <w:rsid w:val="00F944ED"/>
    <w:rsid w:val="00F94638"/>
    <w:rsid w:val="00F94B79"/>
    <w:rsid w:val="00F94C21"/>
    <w:rsid w:val="00F94C23"/>
    <w:rsid w:val="00F94E36"/>
    <w:rsid w:val="00F94FB0"/>
    <w:rsid w:val="00F95055"/>
    <w:rsid w:val="00F950A3"/>
    <w:rsid w:val="00F9510C"/>
    <w:rsid w:val="00F95A43"/>
    <w:rsid w:val="00F95AE5"/>
    <w:rsid w:val="00F95C65"/>
    <w:rsid w:val="00F95F45"/>
    <w:rsid w:val="00F96662"/>
    <w:rsid w:val="00F96B98"/>
    <w:rsid w:val="00F96C2E"/>
    <w:rsid w:val="00F96EAD"/>
    <w:rsid w:val="00F9728E"/>
    <w:rsid w:val="00F978B4"/>
    <w:rsid w:val="00F97919"/>
    <w:rsid w:val="00F97C30"/>
    <w:rsid w:val="00F97C60"/>
    <w:rsid w:val="00FA01DC"/>
    <w:rsid w:val="00FA0207"/>
    <w:rsid w:val="00FA0209"/>
    <w:rsid w:val="00FA05D7"/>
    <w:rsid w:val="00FA06AB"/>
    <w:rsid w:val="00FA140C"/>
    <w:rsid w:val="00FA14A2"/>
    <w:rsid w:val="00FA1509"/>
    <w:rsid w:val="00FA1726"/>
    <w:rsid w:val="00FA1764"/>
    <w:rsid w:val="00FA1EBE"/>
    <w:rsid w:val="00FA21D4"/>
    <w:rsid w:val="00FA2226"/>
    <w:rsid w:val="00FA2718"/>
    <w:rsid w:val="00FA29E7"/>
    <w:rsid w:val="00FA2B0D"/>
    <w:rsid w:val="00FA2C46"/>
    <w:rsid w:val="00FA2DE8"/>
    <w:rsid w:val="00FA2E92"/>
    <w:rsid w:val="00FA31F4"/>
    <w:rsid w:val="00FA32FF"/>
    <w:rsid w:val="00FA33C4"/>
    <w:rsid w:val="00FA33D4"/>
    <w:rsid w:val="00FA33F4"/>
    <w:rsid w:val="00FA3525"/>
    <w:rsid w:val="00FA3AC0"/>
    <w:rsid w:val="00FA41AC"/>
    <w:rsid w:val="00FA41B5"/>
    <w:rsid w:val="00FA4606"/>
    <w:rsid w:val="00FA4F6B"/>
    <w:rsid w:val="00FA5303"/>
    <w:rsid w:val="00FA533E"/>
    <w:rsid w:val="00FA561E"/>
    <w:rsid w:val="00FA5937"/>
    <w:rsid w:val="00FA5A53"/>
    <w:rsid w:val="00FA5B11"/>
    <w:rsid w:val="00FA5B7B"/>
    <w:rsid w:val="00FA5FF6"/>
    <w:rsid w:val="00FA6028"/>
    <w:rsid w:val="00FA691D"/>
    <w:rsid w:val="00FA6BBD"/>
    <w:rsid w:val="00FA6D44"/>
    <w:rsid w:val="00FA6EE8"/>
    <w:rsid w:val="00FA78E9"/>
    <w:rsid w:val="00FA7A6D"/>
    <w:rsid w:val="00FA7C16"/>
    <w:rsid w:val="00FA7C57"/>
    <w:rsid w:val="00FA7CD5"/>
    <w:rsid w:val="00FB0135"/>
    <w:rsid w:val="00FB04E3"/>
    <w:rsid w:val="00FB05D9"/>
    <w:rsid w:val="00FB066B"/>
    <w:rsid w:val="00FB07E6"/>
    <w:rsid w:val="00FB07E9"/>
    <w:rsid w:val="00FB09E7"/>
    <w:rsid w:val="00FB0F3F"/>
    <w:rsid w:val="00FB0FCE"/>
    <w:rsid w:val="00FB1312"/>
    <w:rsid w:val="00FB188B"/>
    <w:rsid w:val="00FB19D9"/>
    <w:rsid w:val="00FB1F6E"/>
    <w:rsid w:val="00FB1FED"/>
    <w:rsid w:val="00FB2246"/>
    <w:rsid w:val="00FB22DD"/>
    <w:rsid w:val="00FB2338"/>
    <w:rsid w:val="00FB236E"/>
    <w:rsid w:val="00FB25B5"/>
    <w:rsid w:val="00FB2809"/>
    <w:rsid w:val="00FB2937"/>
    <w:rsid w:val="00FB2AC8"/>
    <w:rsid w:val="00FB2F5A"/>
    <w:rsid w:val="00FB2F5F"/>
    <w:rsid w:val="00FB365C"/>
    <w:rsid w:val="00FB3768"/>
    <w:rsid w:val="00FB391F"/>
    <w:rsid w:val="00FB3B58"/>
    <w:rsid w:val="00FB3ECA"/>
    <w:rsid w:val="00FB411C"/>
    <w:rsid w:val="00FB4205"/>
    <w:rsid w:val="00FB4267"/>
    <w:rsid w:val="00FB42C8"/>
    <w:rsid w:val="00FB4769"/>
    <w:rsid w:val="00FB4988"/>
    <w:rsid w:val="00FB4B28"/>
    <w:rsid w:val="00FB4C99"/>
    <w:rsid w:val="00FB4CDA"/>
    <w:rsid w:val="00FB5034"/>
    <w:rsid w:val="00FB5084"/>
    <w:rsid w:val="00FB50A0"/>
    <w:rsid w:val="00FB50DF"/>
    <w:rsid w:val="00FB54BD"/>
    <w:rsid w:val="00FB54CC"/>
    <w:rsid w:val="00FB567F"/>
    <w:rsid w:val="00FB573D"/>
    <w:rsid w:val="00FB5869"/>
    <w:rsid w:val="00FB5AC2"/>
    <w:rsid w:val="00FB5C10"/>
    <w:rsid w:val="00FB5C18"/>
    <w:rsid w:val="00FB5F27"/>
    <w:rsid w:val="00FB60F7"/>
    <w:rsid w:val="00FB617F"/>
    <w:rsid w:val="00FB6481"/>
    <w:rsid w:val="00FB6D36"/>
    <w:rsid w:val="00FB6DD7"/>
    <w:rsid w:val="00FB6ED7"/>
    <w:rsid w:val="00FB7356"/>
    <w:rsid w:val="00FB73A4"/>
    <w:rsid w:val="00FB747A"/>
    <w:rsid w:val="00FB751E"/>
    <w:rsid w:val="00FB7565"/>
    <w:rsid w:val="00FB75C7"/>
    <w:rsid w:val="00FB762A"/>
    <w:rsid w:val="00FB767C"/>
    <w:rsid w:val="00FB7701"/>
    <w:rsid w:val="00FB7777"/>
    <w:rsid w:val="00FB77ED"/>
    <w:rsid w:val="00FB7F2B"/>
    <w:rsid w:val="00FC00E0"/>
    <w:rsid w:val="00FC020C"/>
    <w:rsid w:val="00FC02D0"/>
    <w:rsid w:val="00FC0521"/>
    <w:rsid w:val="00FC0824"/>
    <w:rsid w:val="00FC0965"/>
    <w:rsid w:val="00FC0F81"/>
    <w:rsid w:val="00FC121A"/>
    <w:rsid w:val="00FC129D"/>
    <w:rsid w:val="00FC15AA"/>
    <w:rsid w:val="00FC1662"/>
    <w:rsid w:val="00FC177D"/>
    <w:rsid w:val="00FC18CF"/>
    <w:rsid w:val="00FC1CEE"/>
    <w:rsid w:val="00FC1D5A"/>
    <w:rsid w:val="00FC252F"/>
    <w:rsid w:val="00FC2612"/>
    <w:rsid w:val="00FC27E8"/>
    <w:rsid w:val="00FC2A01"/>
    <w:rsid w:val="00FC2A1C"/>
    <w:rsid w:val="00FC2C4A"/>
    <w:rsid w:val="00FC3162"/>
    <w:rsid w:val="00FC31C9"/>
    <w:rsid w:val="00FC31E5"/>
    <w:rsid w:val="00FC3737"/>
    <w:rsid w:val="00FC393C"/>
    <w:rsid w:val="00FC395C"/>
    <w:rsid w:val="00FC3D18"/>
    <w:rsid w:val="00FC3FBB"/>
    <w:rsid w:val="00FC3FE7"/>
    <w:rsid w:val="00FC4171"/>
    <w:rsid w:val="00FC41E8"/>
    <w:rsid w:val="00FC433E"/>
    <w:rsid w:val="00FC4897"/>
    <w:rsid w:val="00FC4A5F"/>
    <w:rsid w:val="00FC4B3A"/>
    <w:rsid w:val="00FC4D5C"/>
    <w:rsid w:val="00FC535C"/>
    <w:rsid w:val="00FC57BA"/>
    <w:rsid w:val="00FC58C5"/>
    <w:rsid w:val="00FC5CA1"/>
    <w:rsid w:val="00FC5CD6"/>
    <w:rsid w:val="00FC5E8E"/>
    <w:rsid w:val="00FC5EDC"/>
    <w:rsid w:val="00FC5EE0"/>
    <w:rsid w:val="00FC60B5"/>
    <w:rsid w:val="00FC627D"/>
    <w:rsid w:val="00FC6677"/>
    <w:rsid w:val="00FC687F"/>
    <w:rsid w:val="00FC6C5F"/>
    <w:rsid w:val="00FC6D33"/>
    <w:rsid w:val="00FC6E1C"/>
    <w:rsid w:val="00FC6EEC"/>
    <w:rsid w:val="00FC6FB0"/>
    <w:rsid w:val="00FC71C4"/>
    <w:rsid w:val="00FC7201"/>
    <w:rsid w:val="00FC7265"/>
    <w:rsid w:val="00FC7792"/>
    <w:rsid w:val="00FC793B"/>
    <w:rsid w:val="00FC7A74"/>
    <w:rsid w:val="00FC7AF1"/>
    <w:rsid w:val="00FC7BF6"/>
    <w:rsid w:val="00FC7C06"/>
    <w:rsid w:val="00FD0023"/>
    <w:rsid w:val="00FD0287"/>
    <w:rsid w:val="00FD02DC"/>
    <w:rsid w:val="00FD043B"/>
    <w:rsid w:val="00FD0B7E"/>
    <w:rsid w:val="00FD0C50"/>
    <w:rsid w:val="00FD0CC9"/>
    <w:rsid w:val="00FD0F54"/>
    <w:rsid w:val="00FD1130"/>
    <w:rsid w:val="00FD116B"/>
    <w:rsid w:val="00FD1260"/>
    <w:rsid w:val="00FD13AB"/>
    <w:rsid w:val="00FD1694"/>
    <w:rsid w:val="00FD17E1"/>
    <w:rsid w:val="00FD1842"/>
    <w:rsid w:val="00FD19D7"/>
    <w:rsid w:val="00FD1E67"/>
    <w:rsid w:val="00FD201E"/>
    <w:rsid w:val="00FD2204"/>
    <w:rsid w:val="00FD222E"/>
    <w:rsid w:val="00FD2385"/>
    <w:rsid w:val="00FD23E4"/>
    <w:rsid w:val="00FD2663"/>
    <w:rsid w:val="00FD297F"/>
    <w:rsid w:val="00FD2E04"/>
    <w:rsid w:val="00FD2F9E"/>
    <w:rsid w:val="00FD31E1"/>
    <w:rsid w:val="00FD3743"/>
    <w:rsid w:val="00FD3766"/>
    <w:rsid w:val="00FD37CE"/>
    <w:rsid w:val="00FD37FB"/>
    <w:rsid w:val="00FD3980"/>
    <w:rsid w:val="00FD3D05"/>
    <w:rsid w:val="00FD3E1C"/>
    <w:rsid w:val="00FD3EA9"/>
    <w:rsid w:val="00FD4244"/>
    <w:rsid w:val="00FD44A3"/>
    <w:rsid w:val="00FD44DF"/>
    <w:rsid w:val="00FD46CD"/>
    <w:rsid w:val="00FD47C4"/>
    <w:rsid w:val="00FD480F"/>
    <w:rsid w:val="00FD4974"/>
    <w:rsid w:val="00FD4A66"/>
    <w:rsid w:val="00FD5165"/>
    <w:rsid w:val="00FD53D2"/>
    <w:rsid w:val="00FD5594"/>
    <w:rsid w:val="00FD5D50"/>
    <w:rsid w:val="00FD5DA6"/>
    <w:rsid w:val="00FD5E0E"/>
    <w:rsid w:val="00FD5F45"/>
    <w:rsid w:val="00FD6001"/>
    <w:rsid w:val="00FD6158"/>
    <w:rsid w:val="00FD6283"/>
    <w:rsid w:val="00FD63B3"/>
    <w:rsid w:val="00FD64B3"/>
    <w:rsid w:val="00FD6578"/>
    <w:rsid w:val="00FD6783"/>
    <w:rsid w:val="00FD6A37"/>
    <w:rsid w:val="00FD707E"/>
    <w:rsid w:val="00FD7200"/>
    <w:rsid w:val="00FD7335"/>
    <w:rsid w:val="00FD738A"/>
    <w:rsid w:val="00FD7451"/>
    <w:rsid w:val="00FD756C"/>
    <w:rsid w:val="00FD7EFA"/>
    <w:rsid w:val="00FE0194"/>
    <w:rsid w:val="00FE02CB"/>
    <w:rsid w:val="00FE0325"/>
    <w:rsid w:val="00FE1731"/>
    <w:rsid w:val="00FE17AD"/>
    <w:rsid w:val="00FE17D6"/>
    <w:rsid w:val="00FE1829"/>
    <w:rsid w:val="00FE1CAD"/>
    <w:rsid w:val="00FE1D55"/>
    <w:rsid w:val="00FE207F"/>
    <w:rsid w:val="00FE22B6"/>
    <w:rsid w:val="00FE24D1"/>
    <w:rsid w:val="00FE2582"/>
    <w:rsid w:val="00FE26A4"/>
    <w:rsid w:val="00FE2933"/>
    <w:rsid w:val="00FE2BB9"/>
    <w:rsid w:val="00FE2DCF"/>
    <w:rsid w:val="00FE2EC7"/>
    <w:rsid w:val="00FE2F62"/>
    <w:rsid w:val="00FE3027"/>
    <w:rsid w:val="00FE3191"/>
    <w:rsid w:val="00FE3624"/>
    <w:rsid w:val="00FE36E1"/>
    <w:rsid w:val="00FE3D94"/>
    <w:rsid w:val="00FE3DEC"/>
    <w:rsid w:val="00FE3FA7"/>
    <w:rsid w:val="00FE4081"/>
    <w:rsid w:val="00FE4543"/>
    <w:rsid w:val="00FE47C4"/>
    <w:rsid w:val="00FE4816"/>
    <w:rsid w:val="00FE4D08"/>
    <w:rsid w:val="00FE4E46"/>
    <w:rsid w:val="00FE55B5"/>
    <w:rsid w:val="00FE56D1"/>
    <w:rsid w:val="00FE5EE5"/>
    <w:rsid w:val="00FE60A4"/>
    <w:rsid w:val="00FE61B0"/>
    <w:rsid w:val="00FE64E3"/>
    <w:rsid w:val="00FE67B5"/>
    <w:rsid w:val="00FE67CB"/>
    <w:rsid w:val="00FE69AB"/>
    <w:rsid w:val="00FE69D0"/>
    <w:rsid w:val="00FE6A5B"/>
    <w:rsid w:val="00FE6BF5"/>
    <w:rsid w:val="00FE6DDA"/>
    <w:rsid w:val="00FE6E67"/>
    <w:rsid w:val="00FE6F40"/>
    <w:rsid w:val="00FE713A"/>
    <w:rsid w:val="00FE7261"/>
    <w:rsid w:val="00FE7312"/>
    <w:rsid w:val="00FE739F"/>
    <w:rsid w:val="00FE754B"/>
    <w:rsid w:val="00FE78B5"/>
    <w:rsid w:val="00FE7DE9"/>
    <w:rsid w:val="00FF0B17"/>
    <w:rsid w:val="00FF0B22"/>
    <w:rsid w:val="00FF1095"/>
    <w:rsid w:val="00FF12E4"/>
    <w:rsid w:val="00FF1429"/>
    <w:rsid w:val="00FF1463"/>
    <w:rsid w:val="00FF17B9"/>
    <w:rsid w:val="00FF1A75"/>
    <w:rsid w:val="00FF1B72"/>
    <w:rsid w:val="00FF2182"/>
    <w:rsid w:val="00FF22D3"/>
    <w:rsid w:val="00FF264E"/>
    <w:rsid w:val="00FF2946"/>
    <w:rsid w:val="00FF2A4E"/>
    <w:rsid w:val="00FF2BD8"/>
    <w:rsid w:val="00FF2FCE"/>
    <w:rsid w:val="00FF322F"/>
    <w:rsid w:val="00FF337B"/>
    <w:rsid w:val="00FF3E30"/>
    <w:rsid w:val="00FF3F40"/>
    <w:rsid w:val="00FF4018"/>
    <w:rsid w:val="00FF40D0"/>
    <w:rsid w:val="00FF444E"/>
    <w:rsid w:val="00FF4538"/>
    <w:rsid w:val="00FF46B9"/>
    <w:rsid w:val="00FF49AF"/>
    <w:rsid w:val="00FF4A04"/>
    <w:rsid w:val="00FF4B05"/>
    <w:rsid w:val="00FF4DFB"/>
    <w:rsid w:val="00FF4F7D"/>
    <w:rsid w:val="00FF53B1"/>
    <w:rsid w:val="00FF5534"/>
    <w:rsid w:val="00FF5BE0"/>
    <w:rsid w:val="00FF5BED"/>
    <w:rsid w:val="00FF5F0D"/>
    <w:rsid w:val="00FF62C9"/>
    <w:rsid w:val="00FF63F6"/>
    <w:rsid w:val="00FF6854"/>
    <w:rsid w:val="00FF69C2"/>
    <w:rsid w:val="00FF6B3A"/>
    <w:rsid w:val="00FF6D9D"/>
    <w:rsid w:val="00FF6D9F"/>
    <w:rsid w:val="00FF6EA4"/>
    <w:rsid w:val="00FF6F42"/>
    <w:rsid w:val="00FF71F0"/>
    <w:rsid w:val="00FF7263"/>
    <w:rsid w:val="00FF7359"/>
    <w:rsid w:val="00FF7576"/>
    <w:rsid w:val="00FF7620"/>
    <w:rsid w:val="00FF781D"/>
    <w:rsid w:val="00FF7D31"/>
    <w:rsid w:val="00FF7DD5"/>
    <w:rsid w:val="00FF7F06"/>
    <w:rsid w:val="01008339"/>
    <w:rsid w:val="01F50B9B"/>
    <w:rsid w:val="01F903D4"/>
    <w:rsid w:val="029E8A0D"/>
    <w:rsid w:val="02B3E6DE"/>
    <w:rsid w:val="0302A32C"/>
    <w:rsid w:val="0312D5C3"/>
    <w:rsid w:val="04A01AEF"/>
    <w:rsid w:val="04B1C6FF"/>
    <w:rsid w:val="056BC6F5"/>
    <w:rsid w:val="06D8000E"/>
    <w:rsid w:val="074C4BEF"/>
    <w:rsid w:val="091C172B"/>
    <w:rsid w:val="098BDD74"/>
    <w:rsid w:val="09953C5B"/>
    <w:rsid w:val="09B7628A"/>
    <w:rsid w:val="0B82F92B"/>
    <w:rsid w:val="0C21989F"/>
    <w:rsid w:val="0C4BBEBE"/>
    <w:rsid w:val="0FA7192B"/>
    <w:rsid w:val="10A5AB83"/>
    <w:rsid w:val="1211CCB1"/>
    <w:rsid w:val="12A5E364"/>
    <w:rsid w:val="1391F34D"/>
    <w:rsid w:val="13F8218E"/>
    <w:rsid w:val="13FF0DF8"/>
    <w:rsid w:val="150ACD6C"/>
    <w:rsid w:val="153DD462"/>
    <w:rsid w:val="168C4E1F"/>
    <w:rsid w:val="1922D648"/>
    <w:rsid w:val="193371AC"/>
    <w:rsid w:val="19D009BB"/>
    <w:rsid w:val="1A2555EB"/>
    <w:rsid w:val="1AAF957C"/>
    <w:rsid w:val="1AC15CF7"/>
    <w:rsid w:val="1B04B145"/>
    <w:rsid w:val="1B8D34A6"/>
    <w:rsid w:val="1B9CB610"/>
    <w:rsid w:val="2059F312"/>
    <w:rsid w:val="2201CFBC"/>
    <w:rsid w:val="224850EB"/>
    <w:rsid w:val="236DE6EE"/>
    <w:rsid w:val="23793650"/>
    <w:rsid w:val="23C7B912"/>
    <w:rsid w:val="23D07E1A"/>
    <w:rsid w:val="23F4DE6E"/>
    <w:rsid w:val="240A8563"/>
    <w:rsid w:val="248F5181"/>
    <w:rsid w:val="24953455"/>
    <w:rsid w:val="2581F5F6"/>
    <w:rsid w:val="26612060"/>
    <w:rsid w:val="2683DDAA"/>
    <w:rsid w:val="269BBE70"/>
    <w:rsid w:val="26AAFA31"/>
    <w:rsid w:val="26ED83AB"/>
    <w:rsid w:val="27313DB7"/>
    <w:rsid w:val="278FC425"/>
    <w:rsid w:val="283013F5"/>
    <w:rsid w:val="28CBD9C1"/>
    <w:rsid w:val="28DC9016"/>
    <w:rsid w:val="29574039"/>
    <w:rsid w:val="2B2B8122"/>
    <w:rsid w:val="2B4809C0"/>
    <w:rsid w:val="2B9462BD"/>
    <w:rsid w:val="2DB5D4DF"/>
    <w:rsid w:val="2E34DBED"/>
    <w:rsid w:val="2EE0E573"/>
    <w:rsid w:val="2F86360A"/>
    <w:rsid w:val="2FFE4417"/>
    <w:rsid w:val="3036A236"/>
    <w:rsid w:val="3181F0E1"/>
    <w:rsid w:val="32952891"/>
    <w:rsid w:val="33166A07"/>
    <w:rsid w:val="3397A68B"/>
    <w:rsid w:val="33C8F116"/>
    <w:rsid w:val="33D276DE"/>
    <w:rsid w:val="343D1E31"/>
    <w:rsid w:val="353C908B"/>
    <w:rsid w:val="37C3315F"/>
    <w:rsid w:val="37CE7C63"/>
    <w:rsid w:val="38027B10"/>
    <w:rsid w:val="3914763D"/>
    <w:rsid w:val="3925E182"/>
    <w:rsid w:val="39322CFA"/>
    <w:rsid w:val="394A083D"/>
    <w:rsid w:val="3D1243D0"/>
    <w:rsid w:val="3E08805D"/>
    <w:rsid w:val="3E1092BF"/>
    <w:rsid w:val="3E40349C"/>
    <w:rsid w:val="3E8463B7"/>
    <w:rsid w:val="404ED679"/>
    <w:rsid w:val="40C7C62B"/>
    <w:rsid w:val="40D1D242"/>
    <w:rsid w:val="4181C262"/>
    <w:rsid w:val="42C0CF9A"/>
    <w:rsid w:val="42F09B2B"/>
    <w:rsid w:val="44603ABC"/>
    <w:rsid w:val="4483F1DB"/>
    <w:rsid w:val="44D8F7BE"/>
    <w:rsid w:val="457F4DEA"/>
    <w:rsid w:val="45DA1839"/>
    <w:rsid w:val="45E1D0DF"/>
    <w:rsid w:val="474715A1"/>
    <w:rsid w:val="47914195"/>
    <w:rsid w:val="48D11558"/>
    <w:rsid w:val="48DCE1EB"/>
    <w:rsid w:val="4A1F1EDC"/>
    <w:rsid w:val="4A9F7CEE"/>
    <w:rsid w:val="4AE48606"/>
    <w:rsid w:val="4AF93130"/>
    <w:rsid w:val="4B85E6B9"/>
    <w:rsid w:val="4C4D1CB3"/>
    <w:rsid w:val="4CC374CB"/>
    <w:rsid w:val="4D11847D"/>
    <w:rsid w:val="4E92CD67"/>
    <w:rsid w:val="4F60C8F3"/>
    <w:rsid w:val="4F829AF8"/>
    <w:rsid w:val="4FB5B734"/>
    <w:rsid w:val="50DBA938"/>
    <w:rsid w:val="5174368E"/>
    <w:rsid w:val="518A993D"/>
    <w:rsid w:val="52F84B38"/>
    <w:rsid w:val="534A68CC"/>
    <w:rsid w:val="5366EF10"/>
    <w:rsid w:val="544D1D82"/>
    <w:rsid w:val="55A89AEF"/>
    <w:rsid w:val="56722485"/>
    <w:rsid w:val="575D14AC"/>
    <w:rsid w:val="5852DD30"/>
    <w:rsid w:val="5859E130"/>
    <w:rsid w:val="58FE6328"/>
    <w:rsid w:val="5A6D2BD0"/>
    <w:rsid w:val="5B400D02"/>
    <w:rsid w:val="5B8FA223"/>
    <w:rsid w:val="5BE94F64"/>
    <w:rsid w:val="5C345AD4"/>
    <w:rsid w:val="5CBF3D93"/>
    <w:rsid w:val="5D23A81C"/>
    <w:rsid w:val="5D6CB38A"/>
    <w:rsid w:val="5EA580DA"/>
    <w:rsid w:val="5EEA0A5C"/>
    <w:rsid w:val="5F02A38C"/>
    <w:rsid w:val="5FAA9585"/>
    <w:rsid w:val="5FCBD6C0"/>
    <w:rsid w:val="5FEFC91E"/>
    <w:rsid w:val="601DD92F"/>
    <w:rsid w:val="6149C81C"/>
    <w:rsid w:val="61C2AA41"/>
    <w:rsid w:val="61D19F90"/>
    <w:rsid w:val="629B6896"/>
    <w:rsid w:val="632EEDE8"/>
    <w:rsid w:val="636AC55C"/>
    <w:rsid w:val="63E26DD2"/>
    <w:rsid w:val="649479C6"/>
    <w:rsid w:val="64AF48BD"/>
    <w:rsid w:val="657B8A44"/>
    <w:rsid w:val="65E7E58A"/>
    <w:rsid w:val="65F38790"/>
    <w:rsid w:val="662EA314"/>
    <w:rsid w:val="66D2E326"/>
    <w:rsid w:val="677B1F74"/>
    <w:rsid w:val="6880EAA1"/>
    <w:rsid w:val="68D1E40A"/>
    <w:rsid w:val="69B0C625"/>
    <w:rsid w:val="6A6B8B72"/>
    <w:rsid w:val="6A6D2478"/>
    <w:rsid w:val="6AAB6094"/>
    <w:rsid w:val="6B183D32"/>
    <w:rsid w:val="6BA7EB9C"/>
    <w:rsid w:val="6BCEC180"/>
    <w:rsid w:val="6BD10177"/>
    <w:rsid w:val="6C712606"/>
    <w:rsid w:val="6CCA6E79"/>
    <w:rsid w:val="6D869BA0"/>
    <w:rsid w:val="6EE2E176"/>
    <w:rsid w:val="6F22F24D"/>
    <w:rsid w:val="6F5E7993"/>
    <w:rsid w:val="709E8CC9"/>
    <w:rsid w:val="710BCE99"/>
    <w:rsid w:val="712FEC00"/>
    <w:rsid w:val="7208F4C1"/>
    <w:rsid w:val="7232D510"/>
    <w:rsid w:val="72728D1A"/>
    <w:rsid w:val="736C44FD"/>
    <w:rsid w:val="74D024AF"/>
    <w:rsid w:val="75376EBF"/>
    <w:rsid w:val="75FF7A25"/>
    <w:rsid w:val="7704A1CF"/>
    <w:rsid w:val="777B8A29"/>
    <w:rsid w:val="7798A7C8"/>
    <w:rsid w:val="787EE6A2"/>
    <w:rsid w:val="793A245A"/>
    <w:rsid w:val="79AC83CC"/>
    <w:rsid w:val="7A395BFB"/>
    <w:rsid w:val="7A9BF398"/>
    <w:rsid w:val="7AE4B833"/>
    <w:rsid w:val="7C3AB39E"/>
    <w:rsid w:val="7DEFFD6D"/>
    <w:rsid w:val="7EF963FC"/>
    <w:rsid w:val="7FE904A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9DB322"/>
  <w15:docId w15:val="{9462B364-C123-4170-A3FE-B5D7785CE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8"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21" w:qFormat="1"/>
    <w:lsdException w:name="Subtle Reference" w:semiHidden="1" w:uiPriority="67" w:qFormat="1"/>
    <w:lsdException w:name="Intense Reference" w:semiHidden="1" w:uiPriority="32"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numPr>
        <w:numId w:val="11"/>
      </w:numPr>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autoRedefine/>
    <w:uiPriority w:val="1"/>
    <w:qFormat/>
    <w:rsid w:val="0062093F"/>
    <w:pPr>
      <w:keepNext/>
      <w:keepLines/>
      <w:numPr>
        <w:ilvl w:val="1"/>
        <w:numId w:val="11"/>
      </w:numPr>
      <w:spacing w:before="360" w:after="120" w:line="340" w:lineRule="atLeast"/>
      <w:outlineLvl w:val="1"/>
    </w:pPr>
    <w:rPr>
      <w:rFonts w:ascii="Arial" w:hAnsi="Arial"/>
      <w:b/>
      <w:color w:val="53565A"/>
      <w:sz w:val="36"/>
      <w:szCs w:val="28"/>
      <w:lang w:eastAsia="en-US"/>
    </w:rPr>
  </w:style>
  <w:style w:type="paragraph" w:styleId="Heading3">
    <w:name w:val="heading 3"/>
    <w:next w:val="Body"/>
    <w:link w:val="Heading3Char"/>
    <w:autoRedefine/>
    <w:uiPriority w:val="1"/>
    <w:qFormat/>
    <w:rsid w:val="004600B7"/>
    <w:pPr>
      <w:keepNext/>
      <w:keepLines/>
      <w:spacing w:before="360" w:after="120" w:line="320" w:lineRule="atLeast"/>
      <w:outlineLvl w:val="2"/>
    </w:pPr>
    <w:rPr>
      <w:rFonts w:ascii="Arial" w:eastAsia="MS Gothic" w:hAnsi="Arial" w:cs="Arial"/>
      <w:bCs/>
      <w:color w:val="17365D" w:themeColor="text2" w:themeShade="BF"/>
      <w:sz w:val="32"/>
      <w:szCs w:val="26"/>
      <w:lang w:eastAsia="en-US"/>
    </w:rPr>
  </w:style>
  <w:style w:type="paragraph" w:styleId="Heading4">
    <w:name w:val="heading 4"/>
    <w:next w:val="Body"/>
    <w:link w:val="Heading4Char"/>
    <w:autoRedefine/>
    <w:uiPriority w:val="1"/>
    <w:qFormat/>
    <w:rsid w:val="004706E9"/>
    <w:pPr>
      <w:keepNext/>
      <w:keepLines/>
      <w:spacing w:before="240" w:after="80" w:line="280" w:lineRule="atLeast"/>
      <w:outlineLvl w:val="3"/>
    </w:pPr>
    <w:rPr>
      <w:rFonts w:ascii="Arial" w:eastAsia="MS Mincho" w:hAnsi="Arial"/>
      <w:color w:val="7F7F7F" w:themeColor="text1" w:themeTint="80"/>
      <w:sz w:val="28"/>
      <w:szCs w:val="22"/>
      <w:lang w:eastAsia="en-US"/>
    </w:rPr>
  </w:style>
  <w:style w:type="paragraph" w:styleId="Heading5">
    <w:name w:val="heading 5"/>
    <w:basedOn w:val="Normal"/>
    <w:next w:val="Body"/>
    <w:link w:val="Heading5Char"/>
    <w:autoRedefine/>
    <w:uiPriority w:val="98"/>
    <w:qFormat/>
    <w:rsid w:val="002E7D46"/>
    <w:pPr>
      <w:keepNext/>
      <w:keepLines/>
      <w:outlineLvl w:val="4"/>
    </w:pPr>
    <w:rPr>
      <w:rFonts w:eastAsia="MS Mincho"/>
      <w:bCs/>
      <w:i/>
      <w:iCs/>
      <w:color w:val="1F497D" w:themeColor="text2"/>
      <w:sz w:val="24"/>
      <w:szCs w:val="26"/>
    </w:rPr>
  </w:style>
  <w:style w:type="paragraph" w:styleId="Heading6">
    <w:name w:val="heading 6"/>
    <w:basedOn w:val="Normal"/>
    <w:next w:val="Normal"/>
    <w:link w:val="Heading6Char"/>
    <w:uiPriority w:val="9"/>
    <w:unhideWhenUsed/>
    <w:qFormat/>
    <w:rsid w:val="00C50FBF"/>
    <w:pPr>
      <w:keepNext/>
      <w:keepLines/>
      <w:spacing w:before="40" w:after="0" w:line="279" w:lineRule="auto"/>
      <w:outlineLvl w:val="5"/>
    </w:pPr>
    <w:rPr>
      <w:rFonts w:asciiTheme="minorHAnsi" w:eastAsiaTheme="majorEastAsia" w:hAnsiTheme="minorHAnsi" w:cstheme="majorBidi"/>
      <w:i/>
      <w:iCs/>
      <w:color w:val="1F497D" w:themeColor="text2"/>
      <w:sz w:val="24"/>
      <w:szCs w:val="24"/>
      <w:lang w:eastAsia="ja-JP"/>
    </w:rPr>
  </w:style>
  <w:style w:type="paragraph" w:styleId="Heading7">
    <w:name w:val="heading 7"/>
    <w:basedOn w:val="Normal"/>
    <w:next w:val="Normal"/>
    <w:link w:val="Heading7Char"/>
    <w:uiPriority w:val="9"/>
    <w:unhideWhenUsed/>
    <w:qFormat/>
    <w:rsid w:val="005C554F"/>
    <w:pPr>
      <w:keepNext/>
      <w:keepLines/>
      <w:numPr>
        <w:ilvl w:val="6"/>
        <w:numId w:val="11"/>
      </w:numPr>
      <w:spacing w:before="40" w:after="0" w:line="279" w:lineRule="auto"/>
      <w:outlineLvl w:val="6"/>
    </w:pPr>
    <w:rPr>
      <w:rFonts w:asciiTheme="minorHAnsi" w:eastAsiaTheme="majorEastAsia" w:hAnsiTheme="minorHAnsi" w:cstheme="majorBidi"/>
      <w:color w:val="595959" w:themeColor="text1" w:themeTint="A6"/>
      <w:sz w:val="24"/>
      <w:szCs w:val="24"/>
      <w:lang w:eastAsia="ja-JP"/>
    </w:rPr>
  </w:style>
  <w:style w:type="paragraph" w:styleId="Heading8">
    <w:name w:val="heading 8"/>
    <w:basedOn w:val="Normal"/>
    <w:next w:val="Normal"/>
    <w:link w:val="Heading8Char"/>
    <w:uiPriority w:val="9"/>
    <w:unhideWhenUsed/>
    <w:qFormat/>
    <w:rsid w:val="005C554F"/>
    <w:pPr>
      <w:keepNext/>
      <w:keepLines/>
      <w:numPr>
        <w:ilvl w:val="7"/>
        <w:numId w:val="11"/>
      </w:numPr>
      <w:spacing w:after="0" w:line="279" w:lineRule="auto"/>
      <w:outlineLvl w:val="7"/>
    </w:pPr>
    <w:rPr>
      <w:rFonts w:asciiTheme="minorHAnsi" w:eastAsiaTheme="majorEastAsia" w:hAnsiTheme="minorHAnsi" w:cstheme="majorBidi"/>
      <w:i/>
      <w:iCs/>
      <w:color w:val="272727" w:themeColor="text1" w:themeTint="D8"/>
      <w:sz w:val="24"/>
      <w:szCs w:val="24"/>
      <w:lang w:eastAsia="ja-JP"/>
    </w:rPr>
  </w:style>
  <w:style w:type="paragraph" w:styleId="Heading9">
    <w:name w:val="heading 9"/>
    <w:basedOn w:val="Normal"/>
    <w:next w:val="Normal"/>
    <w:link w:val="Heading9Char"/>
    <w:uiPriority w:val="9"/>
    <w:unhideWhenUsed/>
    <w:qFormat/>
    <w:rsid w:val="005C554F"/>
    <w:pPr>
      <w:keepNext/>
      <w:keepLines/>
      <w:numPr>
        <w:ilvl w:val="8"/>
        <w:numId w:val="11"/>
      </w:numPr>
      <w:spacing w:after="0" w:line="279" w:lineRule="auto"/>
      <w:outlineLvl w:val="8"/>
    </w:pPr>
    <w:rPr>
      <w:rFonts w:asciiTheme="minorHAnsi" w:eastAsiaTheme="majorEastAsia" w:hAnsiTheme="minorHAnsi" w:cstheme="majorBidi"/>
      <w:color w:val="272727" w:themeColor="text1" w:themeTint="D8"/>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EE6FBD"/>
    <w:pPr>
      <w:spacing w:after="120" w:line="280" w:lineRule="atLeast"/>
      <w:jc w:val="both"/>
    </w:pPr>
    <w:rPr>
      <w:rFonts w:ascii="Arial" w:eastAsia="Times" w:hAnsi="Arial"/>
      <w:sz w:val="22"/>
      <w:szCs w:val="22"/>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42AB1"/>
    <w:rPr>
      <w:rFonts w:ascii="Arial" w:hAnsi="Arial"/>
      <w:b/>
      <w:color w:val="53565A"/>
      <w:sz w:val="36"/>
      <w:szCs w:val="28"/>
      <w:lang w:eastAsia="en-US"/>
    </w:rPr>
  </w:style>
  <w:style w:type="character" w:customStyle="1" w:styleId="Heading3Char">
    <w:name w:val="Heading 3 Char"/>
    <w:link w:val="Heading3"/>
    <w:uiPriority w:val="1"/>
    <w:rsid w:val="004600B7"/>
    <w:rPr>
      <w:rFonts w:ascii="Arial" w:eastAsia="MS Gothic" w:hAnsi="Arial" w:cs="Arial"/>
      <w:bCs/>
      <w:color w:val="17365D" w:themeColor="text2" w:themeShade="BF"/>
      <w:sz w:val="32"/>
      <w:szCs w:val="26"/>
      <w:lang w:eastAsia="en-US"/>
    </w:rPr>
  </w:style>
  <w:style w:type="character" w:customStyle="1" w:styleId="Heading4Char">
    <w:name w:val="Heading 4 Char"/>
    <w:link w:val="Heading4"/>
    <w:uiPriority w:val="1"/>
    <w:rsid w:val="004706E9"/>
    <w:rPr>
      <w:rFonts w:ascii="Arial" w:eastAsia="MS Mincho" w:hAnsi="Arial"/>
      <w:color w:val="7F7F7F" w:themeColor="text1" w:themeTint="80"/>
      <w:sz w:val="28"/>
      <w:szCs w:val="22"/>
      <w:lang w:eastAsia="en-US"/>
    </w:rPr>
  </w:style>
  <w:style w:type="paragraph" w:styleId="Header">
    <w:name w:val="header"/>
    <w:link w:val="HeaderChar"/>
    <w:uiPriority w:val="10"/>
    <w:rsid w:val="00454A7D"/>
    <w:pPr>
      <w:spacing w:after="300"/>
    </w:pPr>
    <w:rPr>
      <w:rFonts w:ascii="Arial" w:hAnsi="Arial" w:cs="Arial"/>
      <w:b/>
      <w:color w:val="53565A"/>
      <w:sz w:val="18"/>
      <w:szCs w:val="18"/>
      <w:lang w:eastAsia="en-US"/>
    </w:rPr>
  </w:style>
  <w:style w:type="paragraph" w:styleId="Footer">
    <w:name w:val="footer"/>
    <w:link w:val="FooterCha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FE6E67"/>
    <w:pPr>
      <w:numPr>
        <w:numId w:val="4"/>
      </w:numPr>
      <w:spacing w:after="40"/>
    </w:pPr>
    <w:rPr>
      <w:rFonts w:cs="Arial"/>
      <w:szCs w:val="21"/>
    </w:r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6C06B4"/>
    <w:pPr>
      <w:keepNext/>
      <w:keepLines/>
      <w:tabs>
        <w:tab w:val="right" w:leader="dot" w:pos="9299"/>
      </w:tabs>
      <w:spacing w:before="60" w:after="60"/>
    </w:pPr>
    <w:rPr>
      <w:b/>
      <w:noProof/>
    </w:rPr>
  </w:style>
  <w:style w:type="character" w:customStyle="1" w:styleId="Heading5Char">
    <w:name w:val="Heading 5 Char"/>
    <w:link w:val="Heading5"/>
    <w:uiPriority w:val="98"/>
    <w:rsid w:val="002E7D46"/>
    <w:rPr>
      <w:rFonts w:ascii="Arial" w:eastAsia="MS Mincho" w:hAnsi="Arial"/>
      <w:bCs/>
      <w:i/>
      <w:iCs/>
      <w:color w:val="1F497D" w:themeColor="text2"/>
      <w:sz w:val="24"/>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D86349"/>
    <w:pPr>
      <w:spacing w:before="80" w:after="60"/>
    </w:pPr>
    <w:rPr>
      <w:rFonts w:ascii="Arial" w:hAnsi="Arial"/>
      <w:szCs w:val="18"/>
      <w:lang w:eastAsia="en-US"/>
    </w:rPr>
  </w:style>
  <w:style w:type="paragraph" w:customStyle="1" w:styleId="Tablecaption">
    <w:name w:val="Table caption"/>
    <w:basedOn w:val="Caption"/>
    <w:next w:val="Body"/>
    <w:uiPriority w:val="3"/>
    <w:qFormat/>
    <w:rsid w:val="00AC68D4"/>
    <w:pPr>
      <w:keepNext/>
      <w:spacing w:after="120"/>
    </w:pPr>
    <w:rPr>
      <w:rFonts w:ascii="Arial" w:eastAsia="Times New Roman" w:hAnsi="Arial" w:cs="Times New Roman"/>
      <w:b/>
      <w:i w:val="0"/>
      <w:iCs w:val="0"/>
      <w:color w:val="auto"/>
      <w:sz w:val="21"/>
      <w:szCs w:val="20"/>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tabs>
        <w:tab w:val="num" w:pos="794"/>
      </w:tabs>
      <w:spacing w:after="40"/>
      <w:ind w:left="567" w:hanging="283"/>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tabs>
        <w:tab w:val="num" w:pos="227"/>
      </w:tabs>
      <w:ind w:left="454" w:hanging="227"/>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ind w:left="227" w:hanging="227"/>
    </w:pPr>
  </w:style>
  <w:style w:type="numbering" w:customStyle="1" w:styleId="ZZTablebullets">
    <w:name w:val="ZZ Table bullets"/>
    <w:basedOn w:val="NoList"/>
    <w:rsid w:val="00C60411"/>
    <w:pPr>
      <w:numPr>
        <w:numId w:val="8"/>
      </w:numPr>
    </w:pPr>
  </w:style>
  <w:style w:type="paragraph" w:customStyle="1" w:styleId="Tablecolhead">
    <w:name w:val="Table col head"/>
    <w:uiPriority w:val="3"/>
    <w:qFormat/>
    <w:rsid w:val="00B343D5"/>
    <w:pPr>
      <w:spacing w:before="80" w:after="60"/>
      <w:jc w:val="center"/>
    </w:pPr>
    <w:rPr>
      <w:rFonts w:ascii="Arial" w:hAnsi="Arial"/>
      <w:b/>
      <w:color w:val="53565A"/>
      <w:sz w:val="22"/>
      <w:szCs w:val="22"/>
      <w:lang w:eastAsia="en-US"/>
    </w:rPr>
  </w:style>
  <w:style w:type="paragraph" w:customStyle="1" w:styleId="Bulletafternumbers1">
    <w:name w:val="Bullet after numbers 1"/>
    <w:basedOn w:val="Body"/>
    <w:uiPriority w:val="4"/>
    <w:rsid w:val="00C60411"/>
    <w:pPr>
      <w:tabs>
        <w:tab w:val="num" w:pos="1492"/>
      </w:tabs>
      <w:ind w:left="1492" w:hanging="360"/>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5"/>
      </w:numPr>
    </w:pPr>
  </w:style>
  <w:style w:type="numbering" w:customStyle="1" w:styleId="ZZNumbersdigit">
    <w:name w:val="ZZ Numbers digit"/>
    <w:rsid w:val="00C60411"/>
    <w:pPr>
      <w:numPr>
        <w:numId w:val="3"/>
      </w:numPr>
    </w:pPr>
  </w:style>
  <w:style w:type="numbering" w:customStyle="1" w:styleId="ZZQuotebullets">
    <w:name w:val="ZZ Quote bullets"/>
    <w:basedOn w:val="ZZNumbersdigit"/>
    <w:rsid w:val="00C60411"/>
    <w:pPr>
      <w:numPr>
        <w:numId w:val="7"/>
      </w:numPr>
    </w:pPr>
  </w:style>
  <w:style w:type="paragraph" w:customStyle="1" w:styleId="Numberdigit">
    <w:name w:val="Number digit"/>
    <w:basedOn w:val="Body"/>
    <w:uiPriority w:val="2"/>
    <w:rsid w:val="00C60411"/>
    <w:pPr>
      <w:tabs>
        <w:tab w:val="num" w:pos="397"/>
        <w:tab w:val="num" w:pos="1492"/>
      </w:tabs>
      <w:ind w:left="1492" w:hanging="360"/>
    </w:pPr>
  </w:style>
  <w:style w:type="paragraph" w:customStyle="1" w:styleId="Numberloweralphaindent">
    <w:name w:val="Number lower alpha indent"/>
    <w:basedOn w:val="Body"/>
    <w:uiPriority w:val="3"/>
    <w:rsid w:val="00C60411"/>
    <w:pPr>
      <w:numPr>
        <w:ilvl w:val="1"/>
        <w:numId w:val="2"/>
      </w:numPr>
    </w:pPr>
  </w:style>
  <w:style w:type="paragraph" w:customStyle="1" w:styleId="Numberdigitindent">
    <w:name w:val="Number digit indent"/>
    <w:basedOn w:val="Numberloweralphaindent"/>
    <w:uiPriority w:val="3"/>
    <w:rsid w:val="00C60411"/>
    <w:pPr>
      <w:numPr>
        <w:ilvl w:val="0"/>
        <w:numId w:val="0"/>
      </w:numPr>
      <w:tabs>
        <w:tab w:val="num" w:pos="794"/>
        <w:tab w:val="num" w:pos="1492"/>
      </w:tabs>
      <w:ind w:left="1492" w:hanging="360"/>
    </w:pPr>
  </w:style>
  <w:style w:type="paragraph" w:customStyle="1" w:styleId="Numberloweralpha">
    <w:name w:val="Number lower alpha"/>
    <w:basedOn w:val="Body"/>
    <w:uiPriority w:val="3"/>
    <w:rsid w:val="00C60411"/>
    <w:pPr>
      <w:numPr>
        <w:numId w:val="2"/>
      </w:numPr>
    </w:pPr>
  </w:style>
  <w:style w:type="paragraph" w:customStyle="1" w:styleId="Numberlowerroman">
    <w:name w:val="Number lower roman"/>
    <w:basedOn w:val="Body"/>
    <w:uiPriority w:val="3"/>
    <w:rsid w:val="00C60411"/>
    <w:pPr>
      <w:tabs>
        <w:tab w:val="num" w:pos="360"/>
        <w:tab w:val="num" w:pos="397"/>
        <w:tab w:val="num" w:pos="720"/>
        <w:tab w:val="num" w:pos="1209"/>
        <w:tab w:val="num" w:pos="1492"/>
      </w:tabs>
    </w:pPr>
  </w:style>
  <w:style w:type="paragraph" w:customStyle="1" w:styleId="Numberlowerromanindent">
    <w:name w:val="Number lower roman indent"/>
    <w:basedOn w:val="Body"/>
    <w:uiPriority w:val="3"/>
    <w:rsid w:val="00C60411"/>
    <w:pPr>
      <w:tabs>
        <w:tab w:val="num" w:pos="1209"/>
        <w:tab w:val="num" w:pos="1492"/>
      </w:tabs>
      <w:ind w:left="1492" w:hanging="360"/>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tabs>
        <w:tab w:val="num" w:pos="1492"/>
      </w:tabs>
      <w:ind w:left="1492" w:hanging="360"/>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1"/>
      </w:numPr>
    </w:pPr>
  </w:style>
  <w:style w:type="paragraph" w:customStyle="1" w:styleId="Quotebullet1">
    <w:name w:val="Quote bullet 1"/>
    <w:basedOn w:val="Quotetext"/>
    <w:rsid w:val="00C60411"/>
    <w:pPr>
      <w:tabs>
        <w:tab w:val="num" w:pos="397"/>
      </w:tabs>
      <w:ind w:hanging="397"/>
    </w:pPr>
  </w:style>
  <w:style w:type="paragraph" w:customStyle="1" w:styleId="Quotebullet2">
    <w:name w:val="Quote bullet 2"/>
    <w:basedOn w:val="Quotetext"/>
    <w:rsid w:val="00C60411"/>
    <w:pPr>
      <w:tabs>
        <w:tab w:val="num" w:pos="794"/>
      </w:tabs>
      <w:ind w:left="794" w:hanging="397"/>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2"/>
      <w:szCs w:val="22"/>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character" w:customStyle="1" w:styleId="Heading6Char">
    <w:name w:val="Heading 6 Char"/>
    <w:basedOn w:val="DefaultParagraphFont"/>
    <w:link w:val="Heading6"/>
    <w:uiPriority w:val="9"/>
    <w:rsid w:val="00C50FBF"/>
    <w:rPr>
      <w:rFonts w:asciiTheme="minorHAnsi" w:eastAsiaTheme="majorEastAsia" w:hAnsiTheme="minorHAnsi" w:cstheme="majorBidi"/>
      <w:i/>
      <w:iCs/>
      <w:color w:val="1F497D" w:themeColor="text2"/>
      <w:sz w:val="24"/>
      <w:szCs w:val="24"/>
      <w:lang w:eastAsia="ja-JP"/>
    </w:rPr>
  </w:style>
  <w:style w:type="character" w:customStyle="1" w:styleId="Heading7Char">
    <w:name w:val="Heading 7 Char"/>
    <w:basedOn w:val="DefaultParagraphFont"/>
    <w:link w:val="Heading7"/>
    <w:uiPriority w:val="9"/>
    <w:rsid w:val="00E64AA5"/>
    <w:rPr>
      <w:rFonts w:asciiTheme="minorHAnsi" w:eastAsiaTheme="majorEastAsia" w:hAnsiTheme="minorHAnsi" w:cstheme="majorBidi"/>
      <w:color w:val="595959" w:themeColor="text1" w:themeTint="A6"/>
      <w:sz w:val="24"/>
      <w:szCs w:val="24"/>
      <w:lang w:eastAsia="ja-JP"/>
    </w:rPr>
  </w:style>
  <w:style w:type="character" w:customStyle="1" w:styleId="Heading8Char">
    <w:name w:val="Heading 8 Char"/>
    <w:basedOn w:val="DefaultParagraphFont"/>
    <w:link w:val="Heading8"/>
    <w:uiPriority w:val="9"/>
    <w:rsid w:val="00E64AA5"/>
    <w:rPr>
      <w:rFonts w:asciiTheme="minorHAnsi" w:eastAsiaTheme="majorEastAsia" w:hAnsiTheme="minorHAnsi" w:cstheme="majorBidi"/>
      <w:i/>
      <w:iCs/>
      <w:color w:val="272727" w:themeColor="text1" w:themeTint="D8"/>
      <w:sz w:val="24"/>
      <w:szCs w:val="24"/>
      <w:lang w:eastAsia="ja-JP"/>
    </w:rPr>
  </w:style>
  <w:style w:type="character" w:customStyle="1" w:styleId="Heading9Char">
    <w:name w:val="Heading 9 Char"/>
    <w:basedOn w:val="DefaultParagraphFont"/>
    <w:link w:val="Heading9"/>
    <w:uiPriority w:val="9"/>
    <w:rsid w:val="00E64AA5"/>
    <w:rPr>
      <w:rFonts w:asciiTheme="minorHAnsi" w:eastAsiaTheme="majorEastAsia" w:hAnsiTheme="minorHAnsi" w:cstheme="majorBidi"/>
      <w:color w:val="272727" w:themeColor="text1" w:themeTint="D8"/>
      <w:sz w:val="24"/>
      <w:szCs w:val="24"/>
      <w:lang w:eastAsia="ja-JP"/>
    </w:rPr>
  </w:style>
  <w:style w:type="character" w:styleId="Mention">
    <w:name w:val="Mention"/>
    <w:basedOn w:val="DefaultParagraphFont"/>
    <w:uiPriority w:val="99"/>
    <w:unhideWhenUsed/>
    <w:rsid w:val="00E64AA5"/>
    <w:rPr>
      <w:color w:val="2B579A"/>
      <w:shd w:val="clear" w:color="auto" w:fill="E1DFDD"/>
    </w:rPr>
  </w:style>
  <w:style w:type="character" w:styleId="IntenseEmphasis">
    <w:name w:val="Intense Emphasis"/>
    <w:basedOn w:val="DefaultParagraphFont"/>
    <w:uiPriority w:val="21"/>
    <w:qFormat/>
    <w:rsid w:val="00E64AA5"/>
    <w:rPr>
      <w:i/>
      <w:iCs/>
      <w:color w:val="365F91" w:themeColor="accent1" w:themeShade="BF"/>
    </w:rPr>
  </w:style>
  <w:style w:type="character" w:customStyle="1" w:styleId="QuoteChar">
    <w:name w:val="Quote Char"/>
    <w:basedOn w:val="DefaultParagraphFont"/>
    <w:link w:val="Quote"/>
    <w:uiPriority w:val="29"/>
    <w:rsid w:val="00E64AA5"/>
    <w:rPr>
      <w:i/>
      <w:iCs/>
      <w:color w:val="404040" w:themeColor="text1" w:themeTint="BF"/>
    </w:rPr>
  </w:style>
  <w:style w:type="paragraph" w:styleId="Quote">
    <w:name w:val="Quote"/>
    <w:basedOn w:val="Normal"/>
    <w:next w:val="Normal"/>
    <w:link w:val="QuoteChar"/>
    <w:uiPriority w:val="29"/>
    <w:qFormat/>
    <w:rsid w:val="00E64AA5"/>
    <w:pPr>
      <w:spacing w:before="160" w:after="160" w:line="279" w:lineRule="auto"/>
      <w:jc w:val="center"/>
    </w:pPr>
    <w:rPr>
      <w:rFonts w:ascii="Times New Roman" w:hAnsi="Times New Roman"/>
      <w:i/>
      <w:iCs/>
      <w:color w:val="404040" w:themeColor="text1" w:themeTint="BF"/>
      <w:sz w:val="20"/>
      <w:lang w:eastAsia="en-AU"/>
    </w:rPr>
  </w:style>
  <w:style w:type="character" w:customStyle="1" w:styleId="QuoteChar1">
    <w:name w:val="Quote Char1"/>
    <w:basedOn w:val="DefaultParagraphFont"/>
    <w:uiPriority w:val="73"/>
    <w:semiHidden/>
    <w:rsid w:val="00E64AA5"/>
    <w:rPr>
      <w:rFonts w:ascii="Arial" w:hAnsi="Arial"/>
      <w:i/>
      <w:iCs/>
      <w:color w:val="404040" w:themeColor="text1" w:themeTint="BF"/>
      <w:sz w:val="21"/>
      <w:lang w:eastAsia="en-US"/>
    </w:rPr>
  </w:style>
  <w:style w:type="character" w:customStyle="1" w:styleId="IntenseQuoteChar">
    <w:name w:val="Intense Quote Char"/>
    <w:basedOn w:val="DefaultParagraphFont"/>
    <w:link w:val="IntenseQuote"/>
    <w:uiPriority w:val="30"/>
    <w:rsid w:val="00E64AA5"/>
    <w:rPr>
      <w:i/>
      <w:iCs/>
      <w:color w:val="365F91" w:themeColor="accent1" w:themeShade="BF"/>
    </w:rPr>
  </w:style>
  <w:style w:type="paragraph" w:styleId="IntenseQuote">
    <w:name w:val="Intense Quote"/>
    <w:basedOn w:val="Normal"/>
    <w:next w:val="Normal"/>
    <w:link w:val="IntenseQuoteChar"/>
    <w:uiPriority w:val="30"/>
    <w:qFormat/>
    <w:rsid w:val="00E64AA5"/>
    <w:pPr>
      <w:pBdr>
        <w:top w:val="single" w:sz="4" w:space="10" w:color="365F91" w:themeColor="accent1" w:themeShade="BF"/>
        <w:bottom w:val="single" w:sz="4" w:space="10" w:color="365F91" w:themeColor="accent1" w:themeShade="BF"/>
      </w:pBdr>
      <w:spacing w:before="360" w:after="360" w:line="279" w:lineRule="auto"/>
      <w:ind w:left="864" w:right="864"/>
      <w:jc w:val="center"/>
    </w:pPr>
    <w:rPr>
      <w:rFonts w:ascii="Times New Roman" w:hAnsi="Times New Roman"/>
      <w:i/>
      <w:iCs/>
      <w:color w:val="365F91" w:themeColor="accent1" w:themeShade="BF"/>
      <w:sz w:val="20"/>
      <w:lang w:eastAsia="en-AU"/>
    </w:rPr>
  </w:style>
  <w:style w:type="character" w:customStyle="1" w:styleId="IntenseQuoteChar1">
    <w:name w:val="Intense Quote Char1"/>
    <w:basedOn w:val="DefaultParagraphFont"/>
    <w:uiPriority w:val="60"/>
    <w:semiHidden/>
    <w:rsid w:val="00E64AA5"/>
    <w:rPr>
      <w:rFonts w:ascii="Arial" w:hAnsi="Arial"/>
      <w:i/>
      <w:iCs/>
      <w:color w:val="4F81BD" w:themeColor="accent1"/>
      <w:sz w:val="21"/>
      <w:lang w:eastAsia="en-US"/>
    </w:rPr>
  </w:style>
  <w:style w:type="character" w:styleId="IntenseReference">
    <w:name w:val="Intense Reference"/>
    <w:basedOn w:val="DefaultParagraphFont"/>
    <w:uiPriority w:val="32"/>
    <w:qFormat/>
    <w:rsid w:val="00E64AA5"/>
    <w:rPr>
      <w:b/>
      <w:bCs/>
      <w:smallCaps/>
      <w:color w:val="365F91" w:themeColor="accent1" w:themeShade="BF"/>
      <w:spacing w:val="5"/>
    </w:rPr>
  </w:style>
  <w:style w:type="character" w:customStyle="1" w:styleId="FooterChar">
    <w:name w:val="Footer Char"/>
    <w:basedOn w:val="DefaultParagraphFont"/>
    <w:link w:val="Footer"/>
    <w:uiPriority w:val="99"/>
    <w:rsid w:val="00E64AA5"/>
    <w:rPr>
      <w:rFonts w:ascii="Arial" w:hAnsi="Arial" w:cs="Arial"/>
      <w:szCs w:val="18"/>
      <w:lang w:eastAsia="en-US"/>
    </w:rPr>
  </w:style>
  <w:style w:type="paragraph" w:styleId="TOCHeading">
    <w:name w:val="TOC Heading"/>
    <w:basedOn w:val="Heading1"/>
    <w:next w:val="Normal"/>
    <w:uiPriority w:val="39"/>
    <w:unhideWhenUsed/>
    <w:qFormat/>
    <w:rsid w:val="005C554F"/>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rPr>
  </w:style>
  <w:style w:type="paragraph" w:styleId="ListParagraph">
    <w:name w:val="List Paragraph"/>
    <w:basedOn w:val="Normal"/>
    <w:uiPriority w:val="34"/>
    <w:qFormat/>
    <w:rsid w:val="00E64AA5"/>
    <w:pPr>
      <w:spacing w:after="160" w:line="279" w:lineRule="auto"/>
      <w:ind w:left="720"/>
      <w:contextualSpacing/>
    </w:pPr>
    <w:rPr>
      <w:rFonts w:asciiTheme="minorHAnsi" w:eastAsiaTheme="minorEastAsia" w:hAnsiTheme="minorHAnsi" w:cstheme="minorBidi"/>
      <w:sz w:val="24"/>
      <w:szCs w:val="24"/>
      <w:lang w:eastAsia="ja-JP"/>
    </w:rPr>
  </w:style>
  <w:style w:type="character" w:customStyle="1" w:styleId="HeaderChar">
    <w:name w:val="Header Char"/>
    <w:basedOn w:val="DefaultParagraphFont"/>
    <w:link w:val="Header"/>
    <w:uiPriority w:val="99"/>
    <w:rsid w:val="00E64AA5"/>
    <w:rPr>
      <w:rFonts w:ascii="Arial" w:hAnsi="Arial" w:cs="Arial"/>
      <w:b/>
      <w:color w:val="53565A"/>
      <w:sz w:val="18"/>
      <w:szCs w:val="18"/>
      <w:lang w:eastAsia="en-US"/>
    </w:rPr>
  </w:style>
  <w:style w:type="paragraph" w:styleId="Caption">
    <w:name w:val="caption"/>
    <w:basedOn w:val="Normal"/>
    <w:next w:val="Normal"/>
    <w:uiPriority w:val="35"/>
    <w:unhideWhenUsed/>
    <w:qFormat/>
    <w:rsid w:val="00E64AA5"/>
    <w:pPr>
      <w:spacing w:after="200" w:line="240" w:lineRule="auto"/>
    </w:pPr>
    <w:rPr>
      <w:rFonts w:asciiTheme="minorHAnsi" w:eastAsiaTheme="minorEastAsia" w:hAnsiTheme="minorHAnsi" w:cstheme="minorBidi"/>
      <w:i/>
      <w:iCs/>
      <w:color w:val="1F497D" w:themeColor="text2"/>
      <w:sz w:val="18"/>
      <w:szCs w:val="18"/>
      <w:lang w:eastAsia="ja-JP"/>
    </w:rPr>
  </w:style>
  <w:style w:type="paragraph" w:styleId="TableofFigures">
    <w:name w:val="table of figures"/>
    <w:basedOn w:val="Normal"/>
    <w:next w:val="Normal"/>
    <w:uiPriority w:val="99"/>
    <w:unhideWhenUsed/>
    <w:rsid w:val="00E64AA5"/>
    <w:pPr>
      <w:spacing w:after="0" w:line="279" w:lineRule="auto"/>
    </w:pPr>
    <w:rPr>
      <w:rFonts w:asciiTheme="minorHAnsi" w:eastAsiaTheme="minorEastAsia" w:hAnsiTheme="minorHAnsi" w:cstheme="minorBidi"/>
      <w:sz w:val="24"/>
      <w:szCs w:val="24"/>
      <w:lang w:eastAsia="ja-JP"/>
    </w:rPr>
  </w:style>
  <w:style w:type="table" w:styleId="TableGridLight">
    <w:name w:val="Grid Table Light"/>
    <w:basedOn w:val="TableNormal"/>
    <w:uiPriority w:val="40"/>
    <w:rsid w:val="00E64AA5"/>
    <w:rPr>
      <w:rFonts w:asciiTheme="minorHAnsi" w:eastAsiaTheme="minorEastAsia" w:hAnsiTheme="minorHAnsi" w:cstheme="minorBidi"/>
      <w:sz w:val="24"/>
      <w:szCs w:val="24"/>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E64AA5"/>
    <w:rPr>
      <w:rFonts w:asciiTheme="minorHAnsi" w:eastAsiaTheme="minorEastAsia" w:hAnsiTheme="minorHAnsi" w:cstheme="minorBidi"/>
      <w:sz w:val="24"/>
      <w:szCs w:val="24"/>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E64AA5"/>
    <w:pPr>
      <w:autoSpaceDE w:val="0"/>
      <w:autoSpaceDN w:val="0"/>
      <w:adjustRightInd w:val="0"/>
    </w:pPr>
    <w:rPr>
      <w:rFonts w:ascii="Arial" w:eastAsiaTheme="minorEastAsia" w:hAnsi="Arial" w:cs="Arial"/>
      <w:color w:val="000000"/>
      <w:sz w:val="24"/>
      <w:szCs w:val="24"/>
      <w:lang w:eastAsia="ja-JP"/>
    </w:rPr>
  </w:style>
  <w:style w:type="paragraph" w:styleId="NormalWeb">
    <w:name w:val="Normal (Web)"/>
    <w:basedOn w:val="Normal"/>
    <w:uiPriority w:val="99"/>
    <w:semiHidden/>
    <w:unhideWhenUsed/>
    <w:rsid w:val="00E64AA5"/>
    <w:pPr>
      <w:spacing w:after="160" w:line="279" w:lineRule="auto"/>
    </w:pPr>
    <w:rPr>
      <w:rFonts w:ascii="Times New Roman" w:eastAsiaTheme="minorEastAsia" w:hAnsi="Times New Roman"/>
      <w:sz w:val="24"/>
      <w:szCs w:val="24"/>
      <w:lang w:eastAsia="ja-JP"/>
    </w:rPr>
  </w:style>
  <w:style w:type="paragraph" w:customStyle="1" w:styleId="FigureCaption0">
    <w:name w:val="Figure Caption"/>
    <w:basedOn w:val="Figurecaption"/>
    <w:link w:val="FigureCaptionChar0"/>
    <w:uiPriority w:val="11"/>
    <w:qFormat/>
    <w:rsid w:val="00E64AA5"/>
  </w:style>
  <w:style w:type="character" w:customStyle="1" w:styleId="FigurecaptionChar">
    <w:name w:val="Figure caption Char"/>
    <w:basedOn w:val="DefaultParagraphFont"/>
    <w:link w:val="Figurecaption"/>
    <w:rsid w:val="00E64AA5"/>
    <w:rPr>
      <w:rFonts w:ascii="Arial" w:hAnsi="Arial"/>
      <w:b/>
      <w:sz w:val="21"/>
      <w:lang w:eastAsia="en-US"/>
    </w:rPr>
  </w:style>
  <w:style w:type="character" w:customStyle="1" w:styleId="FigureCaptionChar0">
    <w:name w:val="Figure Caption Char"/>
    <w:basedOn w:val="FigurecaptionChar"/>
    <w:link w:val="FigureCaption0"/>
    <w:uiPriority w:val="11"/>
    <w:rsid w:val="00E64AA5"/>
    <w:rPr>
      <w:rFonts w:ascii="Arial" w:hAnsi="Arial"/>
      <w:b/>
      <w:sz w:val="21"/>
      <w:lang w:eastAsia="en-US"/>
    </w:rPr>
  </w:style>
  <w:style w:type="paragraph" w:customStyle="1" w:styleId="Figurenote">
    <w:name w:val="Figure note"/>
    <w:basedOn w:val="Body"/>
    <w:link w:val="FigurenoteChar"/>
    <w:uiPriority w:val="11"/>
    <w:qFormat/>
    <w:rsid w:val="00014844"/>
    <w:pPr>
      <w:spacing w:before="60" w:after="60" w:line="240" w:lineRule="atLeast"/>
    </w:pPr>
    <w:rPr>
      <w:iCs/>
      <w:sz w:val="18"/>
      <w:szCs w:val="18"/>
    </w:rPr>
  </w:style>
  <w:style w:type="character" w:customStyle="1" w:styleId="FigurenoteChar">
    <w:name w:val="Figure note Char"/>
    <w:basedOn w:val="BodyChar"/>
    <w:link w:val="Figurenote"/>
    <w:uiPriority w:val="11"/>
    <w:rsid w:val="00A310DB"/>
    <w:rPr>
      <w:rFonts w:ascii="Arial" w:eastAsia="Times" w:hAnsi="Arial"/>
      <w:iCs/>
      <w:sz w:val="18"/>
      <w:szCs w:val="18"/>
      <w:lang w:eastAsia="en-US"/>
    </w:rPr>
  </w:style>
  <w:style w:type="paragraph" w:customStyle="1" w:styleId="Bodyaftertablefigurebullets">
    <w:name w:val="Body (after table/ figure/bullets)"/>
    <w:basedOn w:val="Body"/>
    <w:link w:val="BodyaftertablefigurebulletsChar"/>
    <w:uiPriority w:val="11"/>
    <w:qFormat/>
    <w:rsid w:val="00F051DE"/>
    <w:pPr>
      <w:spacing w:before="120"/>
    </w:pPr>
  </w:style>
  <w:style w:type="character" w:customStyle="1" w:styleId="BodyaftertablefigurebulletsChar">
    <w:name w:val="Body (after table/ figure/bullets) Char"/>
    <w:basedOn w:val="BodyChar"/>
    <w:link w:val="Bodyaftertablefigurebullets"/>
    <w:uiPriority w:val="11"/>
    <w:rsid w:val="00F051DE"/>
    <w:rPr>
      <w:rFonts w:ascii="Arial" w:eastAsia="Times" w:hAnsi="Arial"/>
      <w:sz w:val="22"/>
      <w:szCs w:val="22"/>
      <w:lang w:eastAsia="en-US"/>
    </w:rPr>
  </w:style>
  <w:style w:type="paragraph" w:customStyle="1" w:styleId="pf0">
    <w:name w:val="pf0"/>
    <w:basedOn w:val="Normal"/>
    <w:rsid w:val="00C3124C"/>
    <w:pPr>
      <w:spacing w:before="100" w:beforeAutospacing="1" w:after="100" w:afterAutospacing="1" w:line="240" w:lineRule="auto"/>
    </w:pPr>
    <w:rPr>
      <w:rFonts w:ascii="Times New Roman" w:hAnsi="Times New Roman"/>
      <w:sz w:val="24"/>
      <w:szCs w:val="24"/>
      <w:lang w:eastAsia="en-AU"/>
    </w:rPr>
  </w:style>
  <w:style w:type="character" w:customStyle="1" w:styleId="cf01">
    <w:name w:val="cf01"/>
    <w:basedOn w:val="DefaultParagraphFont"/>
    <w:rsid w:val="00C3124C"/>
    <w:rPr>
      <w:rFonts w:ascii="Segoe UI" w:hAnsi="Segoe UI" w:cs="Segoe UI" w:hint="default"/>
      <w:sz w:val="18"/>
      <w:szCs w:val="18"/>
    </w:rPr>
  </w:style>
  <w:style w:type="character" w:customStyle="1" w:styleId="cf11">
    <w:name w:val="cf11"/>
    <w:basedOn w:val="DefaultParagraphFont"/>
    <w:rsid w:val="00C3124C"/>
    <w:rPr>
      <w:rFonts w:ascii="Segoe UI" w:hAnsi="Segoe UI" w:cs="Segoe UI" w:hint="default"/>
      <w:sz w:val="18"/>
      <w:szCs w:val="18"/>
      <w:shd w:val="clear" w:color="auto" w:fill="FFFF00"/>
    </w:rPr>
  </w:style>
  <w:style w:type="table" w:styleId="ListTable4-Accent1">
    <w:name w:val="List Table 4 Accent 1"/>
    <w:basedOn w:val="TableNormal"/>
    <w:uiPriority w:val="49"/>
    <w:rsid w:val="001A3F6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1A3F6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QuoteEW">
    <w:name w:val="Quote_EW"/>
    <w:basedOn w:val="Normal"/>
    <w:link w:val="QuoteEWChar"/>
    <w:uiPriority w:val="11"/>
    <w:qFormat/>
    <w:rsid w:val="0090770C"/>
    <w:pPr>
      <w:jc w:val="center"/>
    </w:pPr>
    <w:rPr>
      <w:rFonts w:eastAsia="Times" w:cs="Arial"/>
      <w:color w:val="365F91" w:themeColor="accent1" w:themeShade="BF"/>
      <w:sz w:val="28"/>
      <w:szCs w:val="28"/>
      <w:shd w:val="clear" w:color="auto" w:fill="FFFFFF"/>
    </w:rPr>
  </w:style>
  <w:style w:type="character" w:customStyle="1" w:styleId="QuoteEWChar">
    <w:name w:val="Quote_EW Char"/>
    <w:basedOn w:val="DefaultParagraphFont"/>
    <w:link w:val="QuoteEW"/>
    <w:uiPriority w:val="11"/>
    <w:rsid w:val="0090770C"/>
    <w:rPr>
      <w:rFonts w:ascii="Arial" w:eastAsia="Times" w:hAnsi="Arial" w:cs="Arial"/>
      <w:color w:val="365F91" w:themeColor="accent1" w:themeShade="BF"/>
      <w:sz w:val="28"/>
      <w:szCs w:val="28"/>
      <w:lang w:eastAsia="en-US"/>
    </w:rPr>
  </w:style>
  <w:style w:type="paragraph" w:customStyle="1" w:styleId="QuoteEWauthor">
    <w:name w:val="Quote_EW_author"/>
    <w:basedOn w:val="Normal"/>
    <w:link w:val="QuoteEWauthorChar"/>
    <w:uiPriority w:val="11"/>
    <w:qFormat/>
    <w:rsid w:val="0090770C"/>
    <w:pPr>
      <w:tabs>
        <w:tab w:val="left" w:pos="6663"/>
      </w:tabs>
      <w:jc w:val="both"/>
    </w:pPr>
    <w:rPr>
      <w:rFonts w:eastAsia="Times" w:cs="Arial"/>
      <w:color w:val="365F91" w:themeColor="accent1" w:themeShade="BF"/>
      <w:sz w:val="20"/>
      <w:shd w:val="clear" w:color="auto" w:fill="FFFFFF"/>
    </w:rPr>
  </w:style>
  <w:style w:type="character" w:customStyle="1" w:styleId="QuoteEWauthorChar">
    <w:name w:val="Quote_EW_author Char"/>
    <w:basedOn w:val="DefaultParagraphFont"/>
    <w:link w:val="QuoteEWauthor"/>
    <w:uiPriority w:val="11"/>
    <w:rsid w:val="0090770C"/>
    <w:rPr>
      <w:rFonts w:ascii="Arial" w:eastAsia="Times" w:hAnsi="Arial" w:cs="Arial"/>
      <w:color w:val="365F91" w:themeColor="accent1" w:themeShade="BF"/>
      <w:lang w:eastAsia="en-US"/>
    </w:rPr>
  </w:style>
  <w:style w:type="paragraph" w:customStyle="1" w:styleId="ExecsumL2">
    <w:name w:val="Exec sum L2"/>
    <w:basedOn w:val="Heading4"/>
    <w:link w:val="ExecsumL2Char"/>
    <w:uiPriority w:val="11"/>
    <w:qFormat/>
    <w:rsid w:val="00E21D3A"/>
    <w:pPr>
      <w:spacing w:before="120"/>
      <w:outlineLvl w:val="1"/>
    </w:pPr>
  </w:style>
  <w:style w:type="character" w:customStyle="1" w:styleId="ExecsumL2Char">
    <w:name w:val="Exec sum L2 Char"/>
    <w:basedOn w:val="Heading4Char"/>
    <w:link w:val="ExecsumL2"/>
    <w:uiPriority w:val="11"/>
    <w:rsid w:val="00E21D3A"/>
    <w:rPr>
      <w:rFonts w:ascii="Arial" w:eastAsia="MS Mincho" w:hAnsi="Arial"/>
      <w:color w:val="7F7F7F" w:themeColor="text1" w:themeTint="80"/>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7066">
      <w:bodyDiv w:val="1"/>
      <w:marLeft w:val="0"/>
      <w:marRight w:val="0"/>
      <w:marTop w:val="0"/>
      <w:marBottom w:val="0"/>
      <w:divBdr>
        <w:top w:val="none" w:sz="0" w:space="0" w:color="auto"/>
        <w:left w:val="none" w:sz="0" w:space="0" w:color="auto"/>
        <w:bottom w:val="none" w:sz="0" w:space="0" w:color="auto"/>
        <w:right w:val="none" w:sz="0" w:space="0" w:color="auto"/>
      </w:divBdr>
    </w:div>
    <w:div w:id="26877037">
      <w:bodyDiv w:val="1"/>
      <w:marLeft w:val="0"/>
      <w:marRight w:val="0"/>
      <w:marTop w:val="0"/>
      <w:marBottom w:val="0"/>
      <w:divBdr>
        <w:top w:val="none" w:sz="0" w:space="0" w:color="auto"/>
        <w:left w:val="none" w:sz="0" w:space="0" w:color="auto"/>
        <w:bottom w:val="none" w:sz="0" w:space="0" w:color="auto"/>
        <w:right w:val="none" w:sz="0" w:space="0" w:color="auto"/>
      </w:divBdr>
    </w:div>
    <w:div w:id="32775091">
      <w:bodyDiv w:val="1"/>
      <w:marLeft w:val="0"/>
      <w:marRight w:val="0"/>
      <w:marTop w:val="0"/>
      <w:marBottom w:val="0"/>
      <w:divBdr>
        <w:top w:val="none" w:sz="0" w:space="0" w:color="auto"/>
        <w:left w:val="none" w:sz="0" w:space="0" w:color="auto"/>
        <w:bottom w:val="none" w:sz="0" w:space="0" w:color="auto"/>
        <w:right w:val="none" w:sz="0" w:space="0" w:color="auto"/>
      </w:divBdr>
    </w:div>
    <w:div w:id="57823632">
      <w:bodyDiv w:val="1"/>
      <w:marLeft w:val="0"/>
      <w:marRight w:val="0"/>
      <w:marTop w:val="0"/>
      <w:marBottom w:val="0"/>
      <w:divBdr>
        <w:top w:val="none" w:sz="0" w:space="0" w:color="auto"/>
        <w:left w:val="none" w:sz="0" w:space="0" w:color="auto"/>
        <w:bottom w:val="none" w:sz="0" w:space="0" w:color="auto"/>
        <w:right w:val="none" w:sz="0" w:space="0" w:color="auto"/>
      </w:divBdr>
      <w:divsChild>
        <w:div w:id="1357386770">
          <w:marLeft w:val="0"/>
          <w:marRight w:val="0"/>
          <w:marTop w:val="0"/>
          <w:marBottom w:val="0"/>
          <w:divBdr>
            <w:top w:val="none" w:sz="0" w:space="0" w:color="auto"/>
            <w:left w:val="none" w:sz="0" w:space="0" w:color="auto"/>
            <w:bottom w:val="none" w:sz="0" w:space="0" w:color="auto"/>
            <w:right w:val="none" w:sz="0" w:space="0" w:color="auto"/>
          </w:divBdr>
        </w:div>
        <w:div w:id="1453750329">
          <w:marLeft w:val="0"/>
          <w:marRight w:val="0"/>
          <w:marTop w:val="0"/>
          <w:marBottom w:val="0"/>
          <w:divBdr>
            <w:top w:val="none" w:sz="0" w:space="0" w:color="auto"/>
            <w:left w:val="none" w:sz="0" w:space="0" w:color="auto"/>
            <w:bottom w:val="none" w:sz="0" w:space="0" w:color="auto"/>
            <w:right w:val="none" w:sz="0" w:space="0" w:color="auto"/>
          </w:divBdr>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39339519">
      <w:bodyDiv w:val="1"/>
      <w:marLeft w:val="0"/>
      <w:marRight w:val="0"/>
      <w:marTop w:val="0"/>
      <w:marBottom w:val="0"/>
      <w:divBdr>
        <w:top w:val="none" w:sz="0" w:space="0" w:color="auto"/>
        <w:left w:val="none" w:sz="0" w:space="0" w:color="auto"/>
        <w:bottom w:val="none" w:sz="0" w:space="0" w:color="auto"/>
        <w:right w:val="none" w:sz="0" w:space="0" w:color="auto"/>
      </w:divBdr>
    </w:div>
    <w:div w:id="254096025">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299920790">
      <w:bodyDiv w:val="1"/>
      <w:marLeft w:val="0"/>
      <w:marRight w:val="0"/>
      <w:marTop w:val="0"/>
      <w:marBottom w:val="0"/>
      <w:divBdr>
        <w:top w:val="none" w:sz="0" w:space="0" w:color="auto"/>
        <w:left w:val="none" w:sz="0" w:space="0" w:color="auto"/>
        <w:bottom w:val="none" w:sz="0" w:space="0" w:color="auto"/>
        <w:right w:val="none" w:sz="0" w:space="0" w:color="auto"/>
      </w:divBdr>
    </w:div>
    <w:div w:id="388311798">
      <w:bodyDiv w:val="1"/>
      <w:marLeft w:val="0"/>
      <w:marRight w:val="0"/>
      <w:marTop w:val="0"/>
      <w:marBottom w:val="0"/>
      <w:divBdr>
        <w:top w:val="none" w:sz="0" w:space="0" w:color="auto"/>
        <w:left w:val="none" w:sz="0" w:space="0" w:color="auto"/>
        <w:bottom w:val="none" w:sz="0" w:space="0" w:color="auto"/>
        <w:right w:val="none" w:sz="0" w:space="0" w:color="auto"/>
      </w:divBdr>
    </w:div>
    <w:div w:id="388572582">
      <w:bodyDiv w:val="1"/>
      <w:marLeft w:val="0"/>
      <w:marRight w:val="0"/>
      <w:marTop w:val="0"/>
      <w:marBottom w:val="0"/>
      <w:divBdr>
        <w:top w:val="none" w:sz="0" w:space="0" w:color="auto"/>
        <w:left w:val="none" w:sz="0" w:space="0" w:color="auto"/>
        <w:bottom w:val="none" w:sz="0" w:space="0" w:color="auto"/>
        <w:right w:val="none" w:sz="0" w:space="0" w:color="auto"/>
      </w:divBdr>
    </w:div>
    <w:div w:id="391000053">
      <w:bodyDiv w:val="1"/>
      <w:marLeft w:val="0"/>
      <w:marRight w:val="0"/>
      <w:marTop w:val="0"/>
      <w:marBottom w:val="0"/>
      <w:divBdr>
        <w:top w:val="none" w:sz="0" w:space="0" w:color="auto"/>
        <w:left w:val="none" w:sz="0" w:space="0" w:color="auto"/>
        <w:bottom w:val="none" w:sz="0" w:space="0" w:color="auto"/>
        <w:right w:val="none" w:sz="0" w:space="0" w:color="auto"/>
      </w:divBdr>
    </w:div>
    <w:div w:id="539169072">
      <w:bodyDiv w:val="1"/>
      <w:marLeft w:val="0"/>
      <w:marRight w:val="0"/>
      <w:marTop w:val="0"/>
      <w:marBottom w:val="0"/>
      <w:divBdr>
        <w:top w:val="none" w:sz="0" w:space="0" w:color="auto"/>
        <w:left w:val="none" w:sz="0" w:space="0" w:color="auto"/>
        <w:bottom w:val="none" w:sz="0" w:space="0" w:color="auto"/>
        <w:right w:val="none" w:sz="0" w:space="0" w:color="auto"/>
      </w:divBdr>
    </w:div>
    <w:div w:id="665742107">
      <w:bodyDiv w:val="1"/>
      <w:marLeft w:val="0"/>
      <w:marRight w:val="0"/>
      <w:marTop w:val="0"/>
      <w:marBottom w:val="0"/>
      <w:divBdr>
        <w:top w:val="none" w:sz="0" w:space="0" w:color="auto"/>
        <w:left w:val="none" w:sz="0" w:space="0" w:color="auto"/>
        <w:bottom w:val="none" w:sz="0" w:space="0" w:color="auto"/>
        <w:right w:val="none" w:sz="0" w:space="0" w:color="auto"/>
      </w:divBdr>
    </w:div>
    <w:div w:id="768426614">
      <w:bodyDiv w:val="1"/>
      <w:marLeft w:val="0"/>
      <w:marRight w:val="0"/>
      <w:marTop w:val="0"/>
      <w:marBottom w:val="0"/>
      <w:divBdr>
        <w:top w:val="none" w:sz="0" w:space="0" w:color="auto"/>
        <w:left w:val="none" w:sz="0" w:space="0" w:color="auto"/>
        <w:bottom w:val="none" w:sz="0" w:space="0" w:color="auto"/>
        <w:right w:val="none" w:sz="0" w:space="0" w:color="auto"/>
      </w:divBdr>
    </w:div>
    <w:div w:id="770512447">
      <w:bodyDiv w:val="1"/>
      <w:marLeft w:val="0"/>
      <w:marRight w:val="0"/>
      <w:marTop w:val="0"/>
      <w:marBottom w:val="0"/>
      <w:divBdr>
        <w:top w:val="none" w:sz="0" w:space="0" w:color="auto"/>
        <w:left w:val="none" w:sz="0" w:space="0" w:color="auto"/>
        <w:bottom w:val="none" w:sz="0" w:space="0" w:color="auto"/>
        <w:right w:val="none" w:sz="0" w:space="0" w:color="auto"/>
      </w:divBdr>
    </w:div>
    <w:div w:id="779371098">
      <w:bodyDiv w:val="1"/>
      <w:marLeft w:val="0"/>
      <w:marRight w:val="0"/>
      <w:marTop w:val="0"/>
      <w:marBottom w:val="0"/>
      <w:divBdr>
        <w:top w:val="none" w:sz="0" w:space="0" w:color="auto"/>
        <w:left w:val="none" w:sz="0" w:space="0" w:color="auto"/>
        <w:bottom w:val="none" w:sz="0" w:space="0" w:color="auto"/>
        <w:right w:val="none" w:sz="0" w:space="0" w:color="auto"/>
      </w:divBdr>
    </w:div>
    <w:div w:id="796022570">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21668910">
      <w:bodyDiv w:val="1"/>
      <w:marLeft w:val="0"/>
      <w:marRight w:val="0"/>
      <w:marTop w:val="0"/>
      <w:marBottom w:val="0"/>
      <w:divBdr>
        <w:top w:val="none" w:sz="0" w:space="0" w:color="auto"/>
        <w:left w:val="none" w:sz="0" w:space="0" w:color="auto"/>
        <w:bottom w:val="none" w:sz="0" w:space="0" w:color="auto"/>
        <w:right w:val="none" w:sz="0" w:space="0" w:color="auto"/>
      </w:divBdr>
    </w:div>
    <w:div w:id="1128816502">
      <w:bodyDiv w:val="1"/>
      <w:marLeft w:val="0"/>
      <w:marRight w:val="0"/>
      <w:marTop w:val="0"/>
      <w:marBottom w:val="0"/>
      <w:divBdr>
        <w:top w:val="none" w:sz="0" w:space="0" w:color="auto"/>
        <w:left w:val="none" w:sz="0" w:space="0" w:color="auto"/>
        <w:bottom w:val="none" w:sz="0" w:space="0" w:color="auto"/>
        <w:right w:val="none" w:sz="0" w:space="0" w:color="auto"/>
      </w:divBdr>
    </w:div>
    <w:div w:id="1360353082">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49282743">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90782249">
      <w:bodyDiv w:val="1"/>
      <w:marLeft w:val="0"/>
      <w:marRight w:val="0"/>
      <w:marTop w:val="0"/>
      <w:marBottom w:val="0"/>
      <w:divBdr>
        <w:top w:val="none" w:sz="0" w:space="0" w:color="auto"/>
        <w:left w:val="none" w:sz="0" w:space="0" w:color="auto"/>
        <w:bottom w:val="none" w:sz="0" w:space="0" w:color="auto"/>
        <w:right w:val="none" w:sz="0" w:space="0" w:color="auto"/>
      </w:divBdr>
      <w:divsChild>
        <w:div w:id="1976762548">
          <w:marLeft w:val="0"/>
          <w:marRight w:val="0"/>
          <w:marTop w:val="0"/>
          <w:marBottom w:val="0"/>
          <w:divBdr>
            <w:top w:val="none" w:sz="0" w:space="0" w:color="auto"/>
            <w:left w:val="none" w:sz="0" w:space="0" w:color="auto"/>
            <w:bottom w:val="none" w:sz="0" w:space="0" w:color="auto"/>
            <w:right w:val="none" w:sz="0" w:space="0" w:color="auto"/>
          </w:divBdr>
        </w:div>
        <w:div w:id="2092963514">
          <w:marLeft w:val="0"/>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39756141">
      <w:bodyDiv w:val="1"/>
      <w:marLeft w:val="0"/>
      <w:marRight w:val="0"/>
      <w:marTop w:val="0"/>
      <w:marBottom w:val="0"/>
      <w:divBdr>
        <w:top w:val="none" w:sz="0" w:space="0" w:color="auto"/>
        <w:left w:val="none" w:sz="0" w:space="0" w:color="auto"/>
        <w:bottom w:val="none" w:sz="0" w:space="0" w:color="auto"/>
        <w:right w:val="none" w:sz="0" w:space="0" w:color="auto"/>
      </w:divBdr>
    </w:div>
    <w:div w:id="1946889077">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jpeg"/><Relationship Id="rId32" Type="http://schemas.openxmlformats.org/officeDocument/2006/relationships/header" Target="header8.xml"/><Relationship Id="rId37"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sv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7.png"/><Relationship Id="rId30" Type="http://schemas.openxmlformats.org/officeDocument/2006/relationships/image" Target="media/image10.svg"/><Relationship Id="rId35"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content.legislation.vic.gov.au/sites/default/files/2024-12/08-76aa030-authoris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54C36706F68B4093110CAEB8F47704" ma:contentTypeVersion="20" ma:contentTypeDescription="Create a new document." ma:contentTypeScope="" ma:versionID="e297e9f2c3b29c43c79e0799f5fc6023">
  <xsd:schema xmlns:xsd="http://www.w3.org/2001/XMLSchema" xmlns:xs="http://www.w3.org/2001/XMLSchema" xmlns:p="http://schemas.microsoft.com/office/2006/metadata/properties" xmlns:ns2="ed826c9f-a6fb-4d3a-9f45-8165efdbe97a" xmlns:ns3="316ea716-3cda-4c05-9203-dbba04f85c4c" xmlns:ns4="5ce0f2b5-5be5-4508-bce9-d7011ece0659" targetNamespace="http://schemas.microsoft.com/office/2006/metadata/properties" ma:root="true" ma:fieldsID="a57474fce5610fc4c2cb62c69a17ac00" ns2:_="" ns3:_="" ns4:_="">
    <xsd:import namespace="ed826c9f-a6fb-4d3a-9f45-8165efdbe97a"/>
    <xsd:import namespace="316ea716-3cda-4c05-9203-dbba04f85c4c"/>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element ref="ns2:Descriptionof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26c9f-a6fb-4d3a-9f45-8165efdbe9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Descriptionofcontent" ma:index="25" nillable="true" ma:displayName="Description of content" ma:format="Dropdown" ma:internalName="Descriptionofcont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6ea716-3cda-4c05-9203-dbba04f85c4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7e593ec-1507-4461-a88b-7e2eb02bea3e}" ma:internalName="TaxCatchAll" ma:showField="CatchAllData" ma:web="316ea716-3cda-4c05-9203-dbba04f85c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826c9f-a6fb-4d3a-9f45-8165efdbe97a">
      <Terms xmlns="http://schemas.microsoft.com/office/infopath/2007/PartnerControls"/>
    </lcf76f155ced4ddcb4097134ff3c332f>
    <TaxCatchAll xmlns="5ce0f2b5-5be5-4508-bce9-d7011ece0659" xsi:nil="true"/>
    <Descriptionofcontent xmlns="ed826c9f-a6fb-4d3a-9f45-8165efdbe97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741245-B517-4F69-A738-AE36485C9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26c9f-a6fb-4d3a-9f45-8165efdbe97a"/>
    <ds:schemaRef ds:uri="316ea716-3cda-4c05-9203-dbba04f85c4c"/>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ed826c9f-a6fb-4d3a-9f45-8165efdbe97a"/>
    <ds:schemaRef ds:uri="5ce0f2b5-5be5-4508-bce9-d7011ece0659"/>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82</Pages>
  <Words>27211</Words>
  <Characters>158644</Characters>
  <Application>Microsoft Office Word</Application>
  <DocSecurity>0</DocSecurity>
  <Lines>3237</Lines>
  <Paragraphs>1689</Paragraphs>
  <ScaleCrop>false</ScaleCrop>
  <HeadingPairs>
    <vt:vector size="2" baseType="variant">
      <vt:variant>
        <vt:lpstr>Title</vt:lpstr>
      </vt:variant>
      <vt:variant>
        <vt:i4>1</vt:i4>
      </vt:variant>
    </vt:vector>
  </HeadingPairs>
  <TitlesOfParts>
    <vt:vector size="1" baseType="lpstr">
      <vt:lpstr>DH blue report</vt:lpstr>
    </vt:vector>
  </TitlesOfParts>
  <Manager/>
  <Company>Victoria State Government, Department of Health</Company>
  <LinksUpToDate>false</LinksUpToDate>
  <CharactersWithSpaces>184166</CharactersWithSpaces>
  <SharedDoc>false</SharedDoc>
  <HyperlinkBase/>
  <HLinks>
    <vt:vector size="222" baseType="variant">
      <vt:variant>
        <vt:i4>1114175</vt:i4>
      </vt:variant>
      <vt:variant>
        <vt:i4>215</vt:i4>
      </vt:variant>
      <vt:variant>
        <vt:i4>0</vt:i4>
      </vt:variant>
      <vt:variant>
        <vt:i4>5</vt:i4>
      </vt:variant>
      <vt:variant>
        <vt:lpwstr/>
      </vt:variant>
      <vt:variant>
        <vt:lpwstr>_Toc209442008</vt:lpwstr>
      </vt:variant>
      <vt:variant>
        <vt:i4>1114175</vt:i4>
      </vt:variant>
      <vt:variant>
        <vt:i4>209</vt:i4>
      </vt:variant>
      <vt:variant>
        <vt:i4>0</vt:i4>
      </vt:variant>
      <vt:variant>
        <vt:i4>5</vt:i4>
      </vt:variant>
      <vt:variant>
        <vt:lpwstr/>
      </vt:variant>
      <vt:variant>
        <vt:lpwstr>_Toc209442007</vt:lpwstr>
      </vt:variant>
      <vt:variant>
        <vt:i4>1114175</vt:i4>
      </vt:variant>
      <vt:variant>
        <vt:i4>203</vt:i4>
      </vt:variant>
      <vt:variant>
        <vt:i4>0</vt:i4>
      </vt:variant>
      <vt:variant>
        <vt:i4>5</vt:i4>
      </vt:variant>
      <vt:variant>
        <vt:lpwstr/>
      </vt:variant>
      <vt:variant>
        <vt:lpwstr>_Toc209442006</vt:lpwstr>
      </vt:variant>
      <vt:variant>
        <vt:i4>1114175</vt:i4>
      </vt:variant>
      <vt:variant>
        <vt:i4>197</vt:i4>
      </vt:variant>
      <vt:variant>
        <vt:i4>0</vt:i4>
      </vt:variant>
      <vt:variant>
        <vt:i4>5</vt:i4>
      </vt:variant>
      <vt:variant>
        <vt:lpwstr/>
      </vt:variant>
      <vt:variant>
        <vt:lpwstr>_Toc209442005</vt:lpwstr>
      </vt:variant>
      <vt:variant>
        <vt:i4>1114175</vt:i4>
      </vt:variant>
      <vt:variant>
        <vt:i4>191</vt:i4>
      </vt:variant>
      <vt:variant>
        <vt:i4>0</vt:i4>
      </vt:variant>
      <vt:variant>
        <vt:i4>5</vt:i4>
      </vt:variant>
      <vt:variant>
        <vt:lpwstr/>
      </vt:variant>
      <vt:variant>
        <vt:lpwstr>_Toc209442004</vt:lpwstr>
      </vt:variant>
      <vt:variant>
        <vt:i4>1114175</vt:i4>
      </vt:variant>
      <vt:variant>
        <vt:i4>185</vt:i4>
      </vt:variant>
      <vt:variant>
        <vt:i4>0</vt:i4>
      </vt:variant>
      <vt:variant>
        <vt:i4>5</vt:i4>
      </vt:variant>
      <vt:variant>
        <vt:lpwstr/>
      </vt:variant>
      <vt:variant>
        <vt:lpwstr>_Toc209442003</vt:lpwstr>
      </vt:variant>
      <vt:variant>
        <vt:i4>1114175</vt:i4>
      </vt:variant>
      <vt:variant>
        <vt:i4>179</vt:i4>
      </vt:variant>
      <vt:variant>
        <vt:i4>0</vt:i4>
      </vt:variant>
      <vt:variant>
        <vt:i4>5</vt:i4>
      </vt:variant>
      <vt:variant>
        <vt:lpwstr/>
      </vt:variant>
      <vt:variant>
        <vt:lpwstr>_Toc209442002</vt:lpwstr>
      </vt:variant>
      <vt:variant>
        <vt:i4>1114175</vt:i4>
      </vt:variant>
      <vt:variant>
        <vt:i4>173</vt:i4>
      </vt:variant>
      <vt:variant>
        <vt:i4>0</vt:i4>
      </vt:variant>
      <vt:variant>
        <vt:i4>5</vt:i4>
      </vt:variant>
      <vt:variant>
        <vt:lpwstr/>
      </vt:variant>
      <vt:variant>
        <vt:lpwstr>_Toc209442001</vt:lpwstr>
      </vt:variant>
      <vt:variant>
        <vt:i4>1114175</vt:i4>
      </vt:variant>
      <vt:variant>
        <vt:i4>167</vt:i4>
      </vt:variant>
      <vt:variant>
        <vt:i4>0</vt:i4>
      </vt:variant>
      <vt:variant>
        <vt:i4>5</vt:i4>
      </vt:variant>
      <vt:variant>
        <vt:lpwstr/>
      </vt:variant>
      <vt:variant>
        <vt:lpwstr>_Toc209442000</vt:lpwstr>
      </vt:variant>
      <vt:variant>
        <vt:i4>1769526</vt:i4>
      </vt:variant>
      <vt:variant>
        <vt:i4>161</vt:i4>
      </vt:variant>
      <vt:variant>
        <vt:i4>0</vt:i4>
      </vt:variant>
      <vt:variant>
        <vt:i4>5</vt:i4>
      </vt:variant>
      <vt:variant>
        <vt:lpwstr/>
      </vt:variant>
      <vt:variant>
        <vt:lpwstr>_Toc209441999</vt:lpwstr>
      </vt:variant>
      <vt:variant>
        <vt:i4>1769526</vt:i4>
      </vt:variant>
      <vt:variant>
        <vt:i4>155</vt:i4>
      </vt:variant>
      <vt:variant>
        <vt:i4>0</vt:i4>
      </vt:variant>
      <vt:variant>
        <vt:i4>5</vt:i4>
      </vt:variant>
      <vt:variant>
        <vt:lpwstr/>
      </vt:variant>
      <vt:variant>
        <vt:lpwstr>_Toc209441998</vt:lpwstr>
      </vt:variant>
      <vt:variant>
        <vt:i4>1769526</vt:i4>
      </vt:variant>
      <vt:variant>
        <vt:i4>149</vt:i4>
      </vt:variant>
      <vt:variant>
        <vt:i4>0</vt:i4>
      </vt:variant>
      <vt:variant>
        <vt:i4>5</vt:i4>
      </vt:variant>
      <vt:variant>
        <vt:lpwstr/>
      </vt:variant>
      <vt:variant>
        <vt:lpwstr>_Toc209441997</vt:lpwstr>
      </vt:variant>
      <vt:variant>
        <vt:i4>1769526</vt:i4>
      </vt:variant>
      <vt:variant>
        <vt:i4>143</vt:i4>
      </vt:variant>
      <vt:variant>
        <vt:i4>0</vt:i4>
      </vt:variant>
      <vt:variant>
        <vt:i4>5</vt:i4>
      </vt:variant>
      <vt:variant>
        <vt:lpwstr/>
      </vt:variant>
      <vt:variant>
        <vt:lpwstr>_Toc209441996</vt:lpwstr>
      </vt:variant>
      <vt:variant>
        <vt:i4>1769526</vt:i4>
      </vt:variant>
      <vt:variant>
        <vt:i4>137</vt:i4>
      </vt:variant>
      <vt:variant>
        <vt:i4>0</vt:i4>
      </vt:variant>
      <vt:variant>
        <vt:i4>5</vt:i4>
      </vt:variant>
      <vt:variant>
        <vt:lpwstr/>
      </vt:variant>
      <vt:variant>
        <vt:lpwstr>_Toc209441995</vt:lpwstr>
      </vt:variant>
      <vt:variant>
        <vt:i4>1769526</vt:i4>
      </vt:variant>
      <vt:variant>
        <vt:i4>131</vt:i4>
      </vt:variant>
      <vt:variant>
        <vt:i4>0</vt:i4>
      </vt:variant>
      <vt:variant>
        <vt:i4>5</vt:i4>
      </vt:variant>
      <vt:variant>
        <vt:lpwstr/>
      </vt:variant>
      <vt:variant>
        <vt:lpwstr>_Toc209441994</vt:lpwstr>
      </vt:variant>
      <vt:variant>
        <vt:i4>1769526</vt:i4>
      </vt:variant>
      <vt:variant>
        <vt:i4>125</vt:i4>
      </vt:variant>
      <vt:variant>
        <vt:i4>0</vt:i4>
      </vt:variant>
      <vt:variant>
        <vt:i4>5</vt:i4>
      </vt:variant>
      <vt:variant>
        <vt:lpwstr/>
      </vt:variant>
      <vt:variant>
        <vt:lpwstr>_Toc209441993</vt:lpwstr>
      </vt:variant>
      <vt:variant>
        <vt:i4>1769526</vt:i4>
      </vt:variant>
      <vt:variant>
        <vt:i4>119</vt:i4>
      </vt:variant>
      <vt:variant>
        <vt:i4>0</vt:i4>
      </vt:variant>
      <vt:variant>
        <vt:i4>5</vt:i4>
      </vt:variant>
      <vt:variant>
        <vt:lpwstr/>
      </vt:variant>
      <vt:variant>
        <vt:lpwstr>_Toc209441992</vt:lpwstr>
      </vt:variant>
      <vt:variant>
        <vt:i4>1769526</vt:i4>
      </vt:variant>
      <vt:variant>
        <vt:i4>113</vt:i4>
      </vt:variant>
      <vt:variant>
        <vt:i4>0</vt:i4>
      </vt:variant>
      <vt:variant>
        <vt:i4>5</vt:i4>
      </vt:variant>
      <vt:variant>
        <vt:lpwstr/>
      </vt:variant>
      <vt:variant>
        <vt:lpwstr>_Toc209441991</vt:lpwstr>
      </vt:variant>
      <vt:variant>
        <vt:i4>1769526</vt:i4>
      </vt:variant>
      <vt:variant>
        <vt:i4>107</vt:i4>
      </vt:variant>
      <vt:variant>
        <vt:i4>0</vt:i4>
      </vt:variant>
      <vt:variant>
        <vt:i4>5</vt:i4>
      </vt:variant>
      <vt:variant>
        <vt:lpwstr/>
      </vt:variant>
      <vt:variant>
        <vt:lpwstr>_Toc209441990</vt:lpwstr>
      </vt:variant>
      <vt:variant>
        <vt:i4>1703990</vt:i4>
      </vt:variant>
      <vt:variant>
        <vt:i4>101</vt:i4>
      </vt:variant>
      <vt:variant>
        <vt:i4>0</vt:i4>
      </vt:variant>
      <vt:variant>
        <vt:i4>5</vt:i4>
      </vt:variant>
      <vt:variant>
        <vt:lpwstr/>
      </vt:variant>
      <vt:variant>
        <vt:lpwstr>_Toc209441989</vt:lpwstr>
      </vt:variant>
      <vt:variant>
        <vt:i4>1703990</vt:i4>
      </vt:variant>
      <vt:variant>
        <vt:i4>95</vt:i4>
      </vt:variant>
      <vt:variant>
        <vt:i4>0</vt:i4>
      </vt:variant>
      <vt:variant>
        <vt:i4>5</vt:i4>
      </vt:variant>
      <vt:variant>
        <vt:lpwstr/>
      </vt:variant>
      <vt:variant>
        <vt:lpwstr>_Toc209441988</vt:lpwstr>
      </vt:variant>
      <vt:variant>
        <vt:i4>1703990</vt:i4>
      </vt:variant>
      <vt:variant>
        <vt:i4>89</vt:i4>
      </vt:variant>
      <vt:variant>
        <vt:i4>0</vt:i4>
      </vt:variant>
      <vt:variant>
        <vt:i4>5</vt:i4>
      </vt:variant>
      <vt:variant>
        <vt:lpwstr/>
      </vt:variant>
      <vt:variant>
        <vt:lpwstr>_Toc209441987</vt:lpwstr>
      </vt:variant>
      <vt:variant>
        <vt:i4>1703990</vt:i4>
      </vt:variant>
      <vt:variant>
        <vt:i4>83</vt:i4>
      </vt:variant>
      <vt:variant>
        <vt:i4>0</vt:i4>
      </vt:variant>
      <vt:variant>
        <vt:i4>5</vt:i4>
      </vt:variant>
      <vt:variant>
        <vt:lpwstr/>
      </vt:variant>
      <vt:variant>
        <vt:lpwstr>_Toc209441986</vt:lpwstr>
      </vt:variant>
      <vt:variant>
        <vt:i4>1703990</vt:i4>
      </vt:variant>
      <vt:variant>
        <vt:i4>77</vt:i4>
      </vt:variant>
      <vt:variant>
        <vt:i4>0</vt:i4>
      </vt:variant>
      <vt:variant>
        <vt:i4>5</vt:i4>
      </vt:variant>
      <vt:variant>
        <vt:lpwstr/>
      </vt:variant>
      <vt:variant>
        <vt:lpwstr>_Toc209441985</vt:lpwstr>
      </vt:variant>
      <vt:variant>
        <vt:i4>1703990</vt:i4>
      </vt:variant>
      <vt:variant>
        <vt:i4>71</vt:i4>
      </vt:variant>
      <vt:variant>
        <vt:i4>0</vt:i4>
      </vt:variant>
      <vt:variant>
        <vt:i4>5</vt:i4>
      </vt:variant>
      <vt:variant>
        <vt:lpwstr/>
      </vt:variant>
      <vt:variant>
        <vt:lpwstr>_Toc209441984</vt:lpwstr>
      </vt:variant>
      <vt:variant>
        <vt:i4>1703990</vt:i4>
      </vt:variant>
      <vt:variant>
        <vt:i4>65</vt:i4>
      </vt:variant>
      <vt:variant>
        <vt:i4>0</vt:i4>
      </vt:variant>
      <vt:variant>
        <vt:i4>5</vt:i4>
      </vt:variant>
      <vt:variant>
        <vt:lpwstr/>
      </vt:variant>
      <vt:variant>
        <vt:lpwstr>_Toc209441983</vt:lpwstr>
      </vt:variant>
      <vt:variant>
        <vt:i4>1703990</vt:i4>
      </vt:variant>
      <vt:variant>
        <vt:i4>59</vt:i4>
      </vt:variant>
      <vt:variant>
        <vt:i4>0</vt:i4>
      </vt:variant>
      <vt:variant>
        <vt:i4>5</vt:i4>
      </vt:variant>
      <vt:variant>
        <vt:lpwstr/>
      </vt:variant>
      <vt:variant>
        <vt:lpwstr>_Toc209441982</vt:lpwstr>
      </vt:variant>
      <vt:variant>
        <vt:i4>1703990</vt:i4>
      </vt:variant>
      <vt:variant>
        <vt:i4>53</vt:i4>
      </vt:variant>
      <vt:variant>
        <vt:i4>0</vt:i4>
      </vt:variant>
      <vt:variant>
        <vt:i4>5</vt:i4>
      </vt:variant>
      <vt:variant>
        <vt:lpwstr/>
      </vt:variant>
      <vt:variant>
        <vt:lpwstr>_Toc209441981</vt:lpwstr>
      </vt:variant>
      <vt:variant>
        <vt:i4>1703990</vt:i4>
      </vt:variant>
      <vt:variant>
        <vt:i4>47</vt:i4>
      </vt:variant>
      <vt:variant>
        <vt:i4>0</vt:i4>
      </vt:variant>
      <vt:variant>
        <vt:i4>5</vt:i4>
      </vt:variant>
      <vt:variant>
        <vt:lpwstr/>
      </vt:variant>
      <vt:variant>
        <vt:lpwstr>_Toc209441980</vt:lpwstr>
      </vt:variant>
      <vt:variant>
        <vt:i4>1376310</vt:i4>
      </vt:variant>
      <vt:variant>
        <vt:i4>41</vt:i4>
      </vt:variant>
      <vt:variant>
        <vt:i4>0</vt:i4>
      </vt:variant>
      <vt:variant>
        <vt:i4>5</vt:i4>
      </vt:variant>
      <vt:variant>
        <vt:lpwstr/>
      </vt:variant>
      <vt:variant>
        <vt:lpwstr>_Toc209441979</vt:lpwstr>
      </vt:variant>
      <vt:variant>
        <vt:i4>1376310</vt:i4>
      </vt:variant>
      <vt:variant>
        <vt:i4>35</vt:i4>
      </vt:variant>
      <vt:variant>
        <vt:i4>0</vt:i4>
      </vt:variant>
      <vt:variant>
        <vt:i4>5</vt:i4>
      </vt:variant>
      <vt:variant>
        <vt:lpwstr/>
      </vt:variant>
      <vt:variant>
        <vt:lpwstr>_Toc209441978</vt:lpwstr>
      </vt:variant>
      <vt:variant>
        <vt:i4>1376310</vt:i4>
      </vt:variant>
      <vt:variant>
        <vt:i4>29</vt:i4>
      </vt:variant>
      <vt:variant>
        <vt:i4>0</vt:i4>
      </vt:variant>
      <vt:variant>
        <vt:i4>5</vt:i4>
      </vt:variant>
      <vt:variant>
        <vt:lpwstr/>
      </vt:variant>
      <vt:variant>
        <vt:lpwstr>_Toc209441977</vt:lpwstr>
      </vt:variant>
      <vt:variant>
        <vt:i4>1376310</vt:i4>
      </vt:variant>
      <vt:variant>
        <vt:i4>23</vt:i4>
      </vt:variant>
      <vt:variant>
        <vt:i4>0</vt:i4>
      </vt:variant>
      <vt:variant>
        <vt:i4>5</vt:i4>
      </vt:variant>
      <vt:variant>
        <vt:lpwstr/>
      </vt:variant>
      <vt:variant>
        <vt:lpwstr>_Toc209441976</vt:lpwstr>
      </vt:variant>
      <vt:variant>
        <vt:i4>1376310</vt:i4>
      </vt:variant>
      <vt:variant>
        <vt:i4>17</vt:i4>
      </vt:variant>
      <vt:variant>
        <vt:i4>0</vt:i4>
      </vt:variant>
      <vt:variant>
        <vt:i4>5</vt:i4>
      </vt:variant>
      <vt:variant>
        <vt:lpwstr/>
      </vt:variant>
      <vt:variant>
        <vt:lpwstr>_Toc209441975</vt:lpwstr>
      </vt:variant>
      <vt:variant>
        <vt:i4>1376310</vt:i4>
      </vt:variant>
      <vt:variant>
        <vt:i4>11</vt:i4>
      </vt:variant>
      <vt:variant>
        <vt:i4>0</vt:i4>
      </vt:variant>
      <vt:variant>
        <vt:i4>5</vt:i4>
      </vt:variant>
      <vt:variant>
        <vt:lpwstr/>
      </vt:variant>
      <vt:variant>
        <vt:lpwstr>_Toc209441974</vt:lpwstr>
      </vt:variant>
      <vt:variant>
        <vt:i4>1376310</vt:i4>
      </vt:variant>
      <vt:variant>
        <vt:i4>5</vt:i4>
      </vt:variant>
      <vt:variant>
        <vt:i4>0</vt:i4>
      </vt:variant>
      <vt:variant>
        <vt:i4>5</vt:i4>
      </vt:variant>
      <vt:variant>
        <vt:lpwstr/>
      </vt:variant>
      <vt:variant>
        <vt:lpwstr>_Toc209441973</vt:lpwstr>
      </vt:variant>
      <vt:variant>
        <vt:i4>4653063</vt:i4>
      </vt:variant>
      <vt:variant>
        <vt:i4>168</vt:i4>
      </vt:variant>
      <vt:variant>
        <vt:i4>0</vt:i4>
      </vt:variant>
      <vt:variant>
        <vt:i4>5</vt:i4>
      </vt:variant>
      <vt:variant>
        <vt:lpwstr>https://content.legislation.vic.gov.au/sites/default/files/2024-12/08-76aa030-authorised.pdf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 Review of Assisted Reproductive Technology and In Vitro Fertilisation Regulation and Accreditation in Australia</dc:title>
  <dc:subject>Health workforce</dc:subject>
  <dc:creator>Australian Government Department of Health, Disability and Ageing</dc:creator>
  <cp:keywords/>
  <dc:description/>
  <cp:lastModifiedBy>MASCHKE, Elvia</cp:lastModifiedBy>
  <cp:revision>5</cp:revision>
  <cp:lastPrinted>2025-09-23T05:33:00Z</cp:lastPrinted>
  <dcterms:created xsi:type="dcterms:W3CDTF">2025-09-25T23:30:00Z</dcterms:created>
  <dcterms:modified xsi:type="dcterms:W3CDTF">2025-09-26T03:13:00Z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0x0101002654C36706F68B4093110CAEB8F47704</vt:lpwstr>
  </property>
  <property fmtid="{D5CDD505-2E9C-101B-9397-08002B2CF9AE}" pid="4" name="version">
    <vt:lpwstr>v5 15032021</vt:lpwstr>
  </property>
  <property fmtid="{D5CDD505-2E9C-101B-9397-08002B2CF9AE}" pid="5" name="ClassificationContentMarkingFooterShapeIds">
    <vt:lpwstr>7ba11c00,6dda17d6,2ed88c65,621179d5,4073dac3,49d47dc2,4f1b4781,acd4128,58d3dc8c,2a970336</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f6c7d016-c0e8-4bc1-9071-158a5ecbe94b_Enabled">
    <vt:lpwstr>true</vt:lpwstr>
  </property>
  <property fmtid="{D5CDD505-2E9C-101B-9397-08002B2CF9AE}" pid="9" name="MSIP_Label_f6c7d016-c0e8-4bc1-9071-158a5ecbe94b_SetDate">
    <vt:lpwstr>2025-08-27T23:28:21Z</vt:lpwstr>
  </property>
  <property fmtid="{D5CDD505-2E9C-101B-9397-08002B2CF9AE}" pid="10" name="MSIP_Label_f6c7d016-c0e8-4bc1-9071-158a5ecbe94b_Method">
    <vt:lpwstr>Privileged</vt:lpwstr>
  </property>
  <property fmtid="{D5CDD505-2E9C-101B-9397-08002B2CF9AE}" pid="11" name="MSIP_Label_f6c7d016-c0e8-4bc1-9071-158a5ecbe94b_Name">
    <vt:lpwstr>f6c7d016-c0e8-4bc1-9071-158a5ecbe94b</vt:lpwstr>
  </property>
  <property fmtid="{D5CDD505-2E9C-101B-9397-08002B2CF9AE}" pid="12" name="MSIP_Label_f6c7d016-c0e8-4bc1-9071-158a5ecbe94b_SiteId">
    <vt:lpwstr>c0e0601f-0fac-449c-9c88-a104c4eb9f28</vt:lpwstr>
  </property>
  <property fmtid="{D5CDD505-2E9C-101B-9397-08002B2CF9AE}" pid="13" name="MSIP_Label_f6c7d016-c0e8-4bc1-9071-158a5ecbe94b_ActionId">
    <vt:lpwstr>51e8b825-2c6a-478d-a758-1af5a63bfbf5</vt:lpwstr>
  </property>
  <property fmtid="{D5CDD505-2E9C-101B-9397-08002B2CF9AE}" pid="14" name="MSIP_Label_f6c7d016-c0e8-4bc1-9071-158a5ecbe94b_ContentBits">
    <vt:lpwstr>2</vt:lpwstr>
  </property>
  <property fmtid="{D5CDD505-2E9C-101B-9397-08002B2CF9AE}" pid="15" name="MSIP_Label_f6c7d016-c0e8-4bc1-9071-158a5ecbe94b_Tag">
    <vt:lpwstr>10, 0, 1, 1</vt:lpwstr>
  </property>
  <property fmtid="{D5CDD505-2E9C-101B-9397-08002B2CF9AE}" pid="16" name="MediaServiceImageTags">
    <vt:lpwstr/>
  </property>
  <property fmtid="{D5CDD505-2E9C-101B-9397-08002B2CF9AE}" pid="17" name="docLang">
    <vt:lpwstr>en</vt:lpwstr>
  </property>
  <property fmtid="{D5CDD505-2E9C-101B-9397-08002B2CF9AE}" pid="18" name="ClassificationContentMarkingHeaderShapeIds">
    <vt:lpwstr>207f26ee,16f9ab12,23996e7d,288055c5,939ab7,3426c0d6,17a1e474,49aa34b</vt:lpwstr>
  </property>
  <property fmtid="{D5CDD505-2E9C-101B-9397-08002B2CF9AE}" pid="19" name="ClassificationContentMarkingHeaderFontProps">
    <vt:lpwstr>#ff0000,12,Calibri</vt:lpwstr>
  </property>
  <property fmtid="{D5CDD505-2E9C-101B-9397-08002B2CF9AE}" pid="20" name="ClassificationContentMarkingHeaderText">
    <vt:lpwstr>OFFICIAL</vt:lpwstr>
  </property>
  <property fmtid="{D5CDD505-2E9C-101B-9397-08002B2CF9AE}" pid="21" name="MSIP_Label_7cd3e8b9-ffed-43a8-b7f4-cc2fa0382d36_Enabled">
    <vt:lpwstr>true</vt:lpwstr>
  </property>
  <property fmtid="{D5CDD505-2E9C-101B-9397-08002B2CF9AE}" pid="22" name="MSIP_Label_7cd3e8b9-ffed-43a8-b7f4-cc2fa0382d36_SetDate">
    <vt:lpwstr>2025-09-25T23:26:35Z</vt:lpwstr>
  </property>
  <property fmtid="{D5CDD505-2E9C-101B-9397-08002B2CF9AE}" pid="23" name="MSIP_Label_7cd3e8b9-ffed-43a8-b7f4-cc2fa0382d36_Method">
    <vt:lpwstr>Privileged</vt:lpwstr>
  </property>
  <property fmtid="{D5CDD505-2E9C-101B-9397-08002B2CF9AE}" pid="24" name="MSIP_Label_7cd3e8b9-ffed-43a8-b7f4-cc2fa0382d36_Name">
    <vt:lpwstr>O</vt:lpwstr>
  </property>
  <property fmtid="{D5CDD505-2E9C-101B-9397-08002B2CF9AE}" pid="25" name="MSIP_Label_7cd3e8b9-ffed-43a8-b7f4-cc2fa0382d36_SiteId">
    <vt:lpwstr>34a3929c-73cf-4954-abfe-147dc3517892</vt:lpwstr>
  </property>
  <property fmtid="{D5CDD505-2E9C-101B-9397-08002B2CF9AE}" pid="26" name="MSIP_Label_7cd3e8b9-ffed-43a8-b7f4-cc2fa0382d36_ActionId">
    <vt:lpwstr>cc0c154b-cac0-47b3-9def-e3780a2e22f3</vt:lpwstr>
  </property>
  <property fmtid="{D5CDD505-2E9C-101B-9397-08002B2CF9AE}" pid="27" name="MSIP_Label_7cd3e8b9-ffed-43a8-b7f4-cc2fa0382d36_ContentBits">
    <vt:lpwstr>3</vt:lpwstr>
  </property>
  <property fmtid="{D5CDD505-2E9C-101B-9397-08002B2CF9AE}" pid="28" name="MSIP_Label_7cd3e8b9-ffed-43a8-b7f4-cc2fa0382d36_Tag">
    <vt:lpwstr>10, 0, 1, 1</vt:lpwstr>
  </property>
</Properties>
</file>