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84C1" w14:textId="7C9FC126" w:rsidR="00751A23" w:rsidRDefault="00145B5D" w:rsidP="00751A23">
      <w:pPr>
        <w:pStyle w:val="Title"/>
      </w:pPr>
      <w:r>
        <w:t>National Immunisation Program</w:t>
      </w:r>
    </w:p>
    <w:p w14:paraId="364ECD6F" w14:textId="3FE9605C" w:rsidR="00751A23" w:rsidRPr="00F31074" w:rsidRDefault="00145B5D" w:rsidP="00751A23">
      <w:pPr>
        <w:pStyle w:val="Subtitle"/>
        <w:rPr>
          <w:sz w:val="36"/>
          <w:szCs w:val="22"/>
        </w:rPr>
        <w:sectPr w:rsidR="00751A23" w:rsidRPr="00F31074" w:rsidSect="00D45D94">
          <w:headerReference w:type="first" r:id="rId11"/>
          <w:type w:val="continuous"/>
          <w:pgSz w:w="11906" w:h="16838"/>
          <w:pgMar w:top="1701" w:right="1418" w:bottom="1418" w:left="1418" w:header="850" w:footer="709" w:gutter="0"/>
          <w:cols w:space="708"/>
          <w:titlePg/>
          <w:docGrid w:linePitch="360"/>
        </w:sectPr>
      </w:pPr>
      <w:r w:rsidRPr="00F31074">
        <w:rPr>
          <w:sz w:val="36"/>
          <w:szCs w:val="22"/>
        </w:rPr>
        <w:t xml:space="preserve">Childhood and adolescence pneumococcal vaccine </w:t>
      </w:r>
      <w:r w:rsidR="00F31074" w:rsidRPr="00F31074">
        <w:rPr>
          <w:sz w:val="36"/>
          <w:szCs w:val="22"/>
        </w:rPr>
        <w:t>– Program advice for health professionals</w:t>
      </w:r>
    </w:p>
    <w:p w14:paraId="0CCCD5C9" w14:textId="5FF85CED" w:rsidR="00145B5D" w:rsidRPr="0029152C" w:rsidRDefault="00F31074" w:rsidP="00145B5D">
      <w:pPr>
        <w:pStyle w:val="Heading2"/>
      </w:pPr>
      <w:r>
        <w:lastRenderedPageBreak/>
        <w:t>Key points and updates</w:t>
      </w:r>
    </w:p>
    <w:p w14:paraId="5A6AE519" w14:textId="77777777" w:rsidR="00CA1A5F" w:rsidRPr="00CA1A5F" w:rsidRDefault="00CA1A5F" w:rsidP="00CA1A5F">
      <w:pPr>
        <w:pStyle w:val="Heading2"/>
        <w:numPr>
          <w:ilvl w:val="0"/>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The Australian Technical Advisory Group on Immunisation (ATAGI) has reviewed pneumococcal vaccines on the current childhood and adolescence immunisation schedules. Based on ATAGI’s advice, the government has made changes to the National Immunisation Program (NIP).</w:t>
      </w:r>
    </w:p>
    <w:p w14:paraId="51E3D010" w14:textId="599D35AF" w:rsidR="00CA1A5F" w:rsidRPr="00CA1A5F" w:rsidRDefault="00CA1A5F" w:rsidP="00CA1A5F">
      <w:pPr>
        <w:pStyle w:val="Heading2"/>
        <w:numPr>
          <w:ilvl w:val="0"/>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From 1 September 2025, Prevenar 20 will be introduced into the NIP to replace Prevenar 13 and Pneumovax 23 on the childhood and adolescence schedule.</w:t>
      </w:r>
    </w:p>
    <w:p w14:paraId="2BB1E9CE" w14:textId="40B549E2" w:rsidR="00CA1A5F" w:rsidRPr="00CA1A5F" w:rsidRDefault="00CA1A5F" w:rsidP="00CA1A5F">
      <w:pPr>
        <w:pStyle w:val="Heading2"/>
        <w:numPr>
          <w:ilvl w:val="0"/>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The introduction of Prevenar 20 simplifies the vaccine schedule, reduces the number of doses and covers more strains of the disease.</w:t>
      </w:r>
    </w:p>
    <w:p w14:paraId="63633E34" w14:textId="03DCDA44" w:rsidR="00CA1A5F" w:rsidRPr="00CA1A5F" w:rsidRDefault="00CA1A5F" w:rsidP="00CA1A5F">
      <w:pPr>
        <w:pStyle w:val="Heading2"/>
        <w:numPr>
          <w:ilvl w:val="0"/>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All Aboriginal and Torres Strait Islander children should receive 4 doses, making the program consistent across all states and territories.</w:t>
      </w:r>
    </w:p>
    <w:p w14:paraId="71563DD5" w14:textId="124283A5" w:rsidR="00CA1A5F" w:rsidRPr="00CA1A5F" w:rsidRDefault="00CA1A5F" w:rsidP="00CA1A5F">
      <w:pPr>
        <w:pStyle w:val="Heading2"/>
        <w:numPr>
          <w:ilvl w:val="0"/>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From 1 September 2025, children under 5 years, who have:</w:t>
      </w:r>
    </w:p>
    <w:p w14:paraId="148F18A1" w14:textId="37A4A293" w:rsidR="00CA1A5F" w:rsidRPr="00CA1A5F" w:rsidRDefault="00CA1A5F" w:rsidP="00CA1A5F">
      <w:pPr>
        <w:pStyle w:val="Heading2"/>
        <w:numPr>
          <w:ilvl w:val="1"/>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not yet started their pneumococcal schedule should receive 3 doses of Prevenar 20.</w:t>
      </w:r>
    </w:p>
    <w:p w14:paraId="50B0A2E4" w14:textId="3AF16EA2" w:rsidR="00CA1A5F" w:rsidRPr="00CA1A5F" w:rsidRDefault="00CA1A5F" w:rsidP="00CA1A5F">
      <w:pPr>
        <w:pStyle w:val="Heading2"/>
        <w:numPr>
          <w:ilvl w:val="1"/>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previously received 1 or 2 doses of Prevenar 13 should receive Prevenar 20 for all subsequent doses to complete the recommended vaccination course (where required).</w:t>
      </w:r>
    </w:p>
    <w:p w14:paraId="4F74390A" w14:textId="77777777" w:rsidR="00CA1A5F" w:rsidRDefault="00CA1A5F" w:rsidP="00CA1A5F">
      <w:pPr>
        <w:pStyle w:val="Heading2"/>
        <w:numPr>
          <w:ilvl w:val="1"/>
          <w:numId w:val="39"/>
        </w:numPr>
        <w:rPr>
          <w:rFonts w:cs="Times New Roman"/>
          <w:b w:val="0"/>
          <w:bCs w:val="0"/>
          <w:iCs w:val="0"/>
          <w:color w:val="000000" w:themeColor="text1"/>
          <w:sz w:val="22"/>
          <w:szCs w:val="24"/>
        </w:rPr>
      </w:pPr>
      <w:r w:rsidRPr="00CA1A5F">
        <w:rPr>
          <w:rFonts w:cs="Times New Roman"/>
          <w:b w:val="0"/>
          <w:bCs w:val="0"/>
          <w:iCs w:val="0"/>
          <w:color w:val="000000" w:themeColor="text1"/>
          <w:sz w:val="22"/>
          <w:szCs w:val="24"/>
        </w:rPr>
        <w:t>already completed a Prevenar 13 vaccination course who are due for a Pneumovax 23 booster should receive 1 dose of Prevenar 20 instead. Do not delay vaccination, if required, Pneumovax 23 can still be used (while stock is available).</w:t>
      </w:r>
    </w:p>
    <w:p w14:paraId="0963B8FB" w14:textId="332050E2" w:rsidR="00145B5D" w:rsidRPr="0029152C" w:rsidRDefault="00CA1A5F" w:rsidP="00CA1A5F">
      <w:pPr>
        <w:pStyle w:val="Heading2"/>
      </w:pPr>
      <w:r>
        <w:t>About pneumococcal disease</w:t>
      </w:r>
    </w:p>
    <w:p w14:paraId="5FF183CF" w14:textId="24DF5050" w:rsidR="00C52FD2" w:rsidRPr="00C52FD2" w:rsidRDefault="00C52FD2" w:rsidP="00C52FD2">
      <w:pPr>
        <w:rPr>
          <w:lang w:bidi="en-US"/>
        </w:rPr>
      </w:pPr>
      <w:r w:rsidRPr="00C52FD2">
        <w:rPr>
          <w:lang w:bidi="en-US"/>
        </w:rPr>
        <w:t xml:space="preserve">Pneumococcal disease is caused by the bacterium </w:t>
      </w:r>
      <w:r w:rsidRPr="00C52FD2">
        <w:rPr>
          <w:i/>
          <w:iCs/>
          <w:lang w:bidi="en-US"/>
        </w:rPr>
        <w:t>Streptococcus pneumoniae</w:t>
      </w:r>
      <w:r w:rsidRPr="00C52FD2">
        <w:rPr>
          <w:lang w:bidi="en-US"/>
        </w:rPr>
        <w:t xml:space="preserve">. It can cause severe invasive disease, including meningitis, pneumonia and bacteraemia, and non-invasive disease, including otitis media. </w:t>
      </w:r>
    </w:p>
    <w:p w14:paraId="4F5A9489" w14:textId="77777777" w:rsidR="00C52FD2" w:rsidRPr="00C52FD2" w:rsidRDefault="00C52FD2" w:rsidP="00C52FD2">
      <w:pPr>
        <w:pStyle w:val="Heading2"/>
        <w:rPr>
          <w:lang w:bidi="en-US"/>
        </w:rPr>
      </w:pPr>
      <w:r w:rsidRPr="00C52FD2">
        <w:rPr>
          <w:lang w:bidi="en-US"/>
        </w:rPr>
        <w:t xml:space="preserve">Who is most at risk of pneumococcal disease </w:t>
      </w:r>
    </w:p>
    <w:p w14:paraId="61012622" w14:textId="77777777" w:rsidR="00C52FD2" w:rsidRPr="00C52FD2" w:rsidRDefault="00C52FD2" w:rsidP="00C52FD2">
      <w:pPr>
        <w:rPr>
          <w:lang w:bidi="en-US"/>
        </w:rPr>
      </w:pPr>
      <w:r w:rsidRPr="00C52FD2">
        <w:rPr>
          <w:lang w:bidi="en-US"/>
        </w:rPr>
        <w:t xml:space="preserve">Anyone can develop pneumococcal disease. Those at greatest risk of disease and severe outcomes are: </w:t>
      </w:r>
    </w:p>
    <w:p w14:paraId="5CFA4512" w14:textId="77777777" w:rsidR="00C52FD2" w:rsidRDefault="00C52FD2" w:rsidP="00C52FD2">
      <w:pPr>
        <w:pStyle w:val="ListParagraph"/>
        <w:numPr>
          <w:ilvl w:val="0"/>
          <w:numId w:val="42"/>
        </w:numPr>
        <w:rPr>
          <w:lang w:bidi="en-US"/>
        </w:rPr>
      </w:pPr>
      <w:r w:rsidRPr="00C52FD2">
        <w:rPr>
          <w:lang w:bidi="en-US"/>
        </w:rPr>
        <w:t>Infants and children</w:t>
      </w:r>
    </w:p>
    <w:p w14:paraId="77D02597" w14:textId="4A63427B" w:rsidR="00C52FD2" w:rsidRPr="00C52FD2" w:rsidRDefault="00C52FD2" w:rsidP="00C52FD2">
      <w:pPr>
        <w:pStyle w:val="ListParagraph"/>
        <w:numPr>
          <w:ilvl w:val="0"/>
          <w:numId w:val="42"/>
        </w:numPr>
        <w:rPr>
          <w:lang w:bidi="en-US"/>
        </w:rPr>
      </w:pPr>
      <w:r w:rsidRPr="00C52FD2">
        <w:rPr>
          <w:lang w:bidi="en-US"/>
        </w:rPr>
        <w:t xml:space="preserve">Aboriginal and Torres Strait Islander people </w:t>
      </w:r>
    </w:p>
    <w:p w14:paraId="073F0912" w14:textId="77777777" w:rsidR="00C52FD2" w:rsidRPr="00C52FD2" w:rsidRDefault="00C52FD2" w:rsidP="00C52FD2">
      <w:pPr>
        <w:pStyle w:val="ListParagraph"/>
        <w:numPr>
          <w:ilvl w:val="0"/>
          <w:numId w:val="42"/>
        </w:numPr>
        <w:rPr>
          <w:lang w:bidi="en-US"/>
        </w:rPr>
      </w:pPr>
      <w:r w:rsidRPr="00C52FD2">
        <w:rPr>
          <w:lang w:bidi="en-US"/>
        </w:rPr>
        <w:t xml:space="preserve">Children, adolescents and adults with risk conditions for pneumococcal disease. </w:t>
      </w:r>
    </w:p>
    <w:p w14:paraId="29E10AA5" w14:textId="77777777" w:rsidR="00C52FD2" w:rsidRPr="00C52FD2" w:rsidRDefault="00C52FD2" w:rsidP="00C52FD2">
      <w:pPr>
        <w:pStyle w:val="Heading2"/>
        <w:rPr>
          <w:lang w:bidi="en-US"/>
        </w:rPr>
      </w:pPr>
      <w:r w:rsidRPr="00C52FD2">
        <w:rPr>
          <w:lang w:bidi="en-US"/>
        </w:rPr>
        <w:t xml:space="preserve">Who should receive Prevenar 20 </w:t>
      </w:r>
    </w:p>
    <w:p w14:paraId="39621F74" w14:textId="77777777" w:rsidR="00C52FD2" w:rsidRPr="00C52FD2" w:rsidRDefault="00C52FD2" w:rsidP="00C52FD2">
      <w:pPr>
        <w:rPr>
          <w:lang w:bidi="en-US"/>
        </w:rPr>
      </w:pPr>
      <w:r w:rsidRPr="00C52FD2">
        <w:rPr>
          <w:lang w:bidi="en-US"/>
        </w:rPr>
        <w:t xml:space="preserve">Prevenar 20 vaccines are recommended for: </w:t>
      </w:r>
    </w:p>
    <w:p w14:paraId="045D71DF" w14:textId="77777777" w:rsidR="00C52FD2" w:rsidRPr="00C52FD2" w:rsidRDefault="00C52FD2" w:rsidP="00C52FD2">
      <w:pPr>
        <w:pStyle w:val="ListParagraph"/>
        <w:numPr>
          <w:ilvl w:val="0"/>
          <w:numId w:val="43"/>
        </w:numPr>
        <w:rPr>
          <w:lang w:bidi="en-US"/>
        </w:rPr>
      </w:pPr>
      <w:r w:rsidRPr="00C52FD2">
        <w:rPr>
          <w:lang w:bidi="en-US"/>
        </w:rPr>
        <w:t xml:space="preserve">All infants and children under 5 years </w:t>
      </w:r>
    </w:p>
    <w:p w14:paraId="0FE62B7E" w14:textId="77777777" w:rsidR="00C52FD2" w:rsidRPr="00C52FD2" w:rsidRDefault="00C52FD2" w:rsidP="00C52FD2">
      <w:pPr>
        <w:pStyle w:val="ListParagraph"/>
        <w:numPr>
          <w:ilvl w:val="0"/>
          <w:numId w:val="43"/>
        </w:numPr>
        <w:rPr>
          <w:lang w:bidi="en-US"/>
        </w:rPr>
      </w:pPr>
      <w:r w:rsidRPr="00C52FD2">
        <w:rPr>
          <w:lang w:bidi="en-US"/>
        </w:rPr>
        <w:t xml:space="preserve">Aboriginal and Torres Strait Islander infants and children under 5 years </w:t>
      </w:r>
    </w:p>
    <w:p w14:paraId="0C1F2C16" w14:textId="77777777" w:rsidR="00C52FD2" w:rsidRPr="00C52FD2" w:rsidRDefault="00C52FD2" w:rsidP="00C52FD2">
      <w:pPr>
        <w:pStyle w:val="ListParagraph"/>
        <w:numPr>
          <w:ilvl w:val="0"/>
          <w:numId w:val="43"/>
        </w:numPr>
        <w:rPr>
          <w:lang w:bidi="en-US"/>
        </w:rPr>
      </w:pPr>
      <w:r w:rsidRPr="00C52FD2">
        <w:rPr>
          <w:lang w:bidi="en-US"/>
        </w:rPr>
        <w:lastRenderedPageBreak/>
        <w:t xml:space="preserve">Children with specified medical risk conditions aged 2 months and over </w:t>
      </w:r>
    </w:p>
    <w:p w14:paraId="22EAFB05" w14:textId="77777777" w:rsidR="00C52FD2" w:rsidRPr="00C52FD2" w:rsidRDefault="00C52FD2" w:rsidP="00C52FD2">
      <w:pPr>
        <w:pStyle w:val="ListParagraph"/>
        <w:numPr>
          <w:ilvl w:val="0"/>
          <w:numId w:val="43"/>
        </w:numPr>
        <w:rPr>
          <w:lang w:bidi="en-US"/>
        </w:rPr>
      </w:pPr>
      <w:r w:rsidRPr="00C52FD2">
        <w:rPr>
          <w:lang w:bidi="en-US"/>
        </w:rPr>
        <w:t xml:space="preserve">Adolescents with specified medical risk conditions aged under 18 years. </w:t>
      </w:r>
    </w:p>
    <w:p w14:paraId="1CDD1AC0" w14:textId="77777777" w:rsidR="00C52FD2" w:rsidRPr="00C52FD2" w:rsidRDefault="00C52FD2" w:rsidP="00C52FD2">
      <w:pPr>
        <w:pStyle w:val="Heading2"/>
        <w:rPr>
          <w:lang w:bidi="en-US"/>
        </w:rPr>
      </w:pPr>
      <w:r w:rsidRPr="00C52FD2">
        <w:rPr>
          <w:lang w:bidi="en-US"/>
        </w:rPr>
        <w:t xml:space="preserve">ATAGI recommendations </w:t>
      </w:r>
    </w:p>
    <w:p w14:paraId="3CD880AA" w14:textId="695803BA" w:rsidR="00145B5D" w:rsidRDefault="00C52FD2" w:rsidP="00C52FD2">
      <w:pPr>
        <w:rPr>
          <w:lang w:bidi="en-US"/>
        </w:rPr>
      </w:pPr>
      <w:r w:rsidRPr="00C52FD2">
        <w:rPr>
          <w:lang w:bidi="en-US"/>
        </w:rPr>
        <w:t>All Children aged 2-12 months should receive 2 doses plus 1 booster (called a 2+1 schedule). This stays the same when using Prevenar 20.</w:t>
      </w:r>
    </w:p>
    <w:p w14:paraId="291A0445" w14:textId="2370B8B8" w:rsidR="00C52FD2" w:rsidRDefault="00802549" w:rsidP="00C52FD2">
      <w:pPr>
        <w:rPr>
          <w:lang w:bidi="en-US"/>
        </w:rPr>
      </w:pPr>
      <w:r w:rsidRPr="00802549">
        <w:rPr>
          <w:lang w:bidi="en-US"/>
        </w:rPr>
        <w:t>Aboriginal and Torres Strait Islander children</w:t>
      </w:r>
    </w:p>
    <w:p w14:paraId="55A546F1" w14:textId="5ED7ECE6" w:rsidR="00802549" w:rsidRPr="00802549" w:rsidRDefault="00802549" w:rsidP="00802549">
      <w:pPr>
        <w:rPr>
          <w:lang w:bidi="en-US"/>
        </w:rPr>
      </w:pPr>
      <w:r w:rsidRPr="00802549">
        <w:rPr>
          <w:lang w:bidi="en-US"/>
        </w:rPr>
        <w:t xml:space="preserve">All Aboriginal and Torres Strait Islander children should receive 4 doses of Prevenar 20: </w:t>
      </w:r>
    </w:p>
    <w:p w14:paraId="409F7979" w14:textId="77777777" w:rsidR="00802549" w:rsidRPr="00802549" w:rsidRDefault="00802549" w:rsidP="00802549">
      <w:pPr>
        <w:pStyle w:val="ListParagraph"/>
        <w:numPr>
          <w:ilvl w:val="0"/>
          <w:numId w:val="45"/>
        </w:numPr>
        <w:rPr>
          <w:lang w:bidi="en-US"/>
        </w:rPr>
      </w:pPr>
      <w:r w:rsidRPr="00802549">
        <w:rPr>
          <w:lang w:bidi="en-US"/>
        </w:rPr>
        <w:t xml:space="preserve">3 primary doses plus 1 booster (called a 3+1 schedule). </w:t>
      </w:r>
    </w:p>
    <w:p w14:paraId="4103DC57" w14:textId="77777777" w:rsidR="00802549" w:rsidRPr="00802549" w:rsidRDefault="00802549" w:rsidP="00802549">
      <w:pPr>
        <w:pStyle w:val="ListParagraph"/>
        <w:numPr>
          <w:ilvl w:val="0"/>
          <w:numId w:val="45"/>
        </w:numPr>
        <w:rPr>
          <w:lang w:bidi="en-US"/>
        </w:rPr>
      </w:pPr>
      <w:r w:rsidRPr="00802549">
        <w:rPr>
          <w:lang w:bidi="en-US"/>
        </w:rPr>
        <w:t xml:space="preserve">This continues the current approach in NT, QLD, SA, and WA where Aboriginal and Torress Strait Islander children already get 4 doses. </w:t>
      </w:r>
    </w:p>
    <w:p w14:paraId="4C28D716" w14:textId="77777777" w:rsidR="00802549" w:rsidRPr="00802549" w:rsidRDefault="00802549" w:rsidP="00802549">
      <w:pPr>
        <w:pStyle w:val="ListParagraph"/>
        <w:numPr>
          <w:ilvl w:val="0"/>
          <w:numId w:val="45"/>
        </w:numPr>
        <w:rPr>
          <w:lang w:bidi="en-US"/>
        </w:rPr>
      </w:pPr>
      <w:r w:rsidRPr="00802549">
        <w:rPr>
          <w:lang w:bidi="en-US"/>
        </w:rPr>
        <w:t xml:space="preserve">In ACT, NSW, VIC, and TAS, an extra dose at 6 months will be added, making it 4 doses in total. </w:t>
      </w:r>
    </w:p>
    <w:p w14:paraId="4A22F72C" w14:textId="3322C83B" w:rsidR="00802549" w:rsidRDefault="00802549" w:rsidP="00802549">
      <w:pPr>
        <w:rPr>
          <w:lang w:bidi="en-US"/>
        </w:rPr>
      </w:pPr>
      <w:r w:rsidRPr="00802549">
        <w:rPr>
          <w:lang w:bidi="en-US"/>
        </w:rPr>
        <w:t>This change is based on higher rates of disease in some Aboriginal and Torres Strait Islander communities, especially near state borders where different vaccine schedules were used.</w:t>
      </w:r>
    </w:p>
    <w:p w14:paraId="5E5A3E31" w14:textId="06EE354E" w:rsidR="000A7541" w:rsidRPr="000A7541" w:rsidRDefault="000A7541" w:rsidP="000A7541">
      <w:pPr>
        <w:rPr>
          <w:lang w:bidi="en-US"/>
        </w:rPr>
      </w:pPr>
      <w:r w:rsidRPr="000A7541">
        <w:rPr>
          <w:lang w:bidi="en-US"/>
        </w:rPr>
        <w:t>Medically at-risk</w:t>
      </w:r>
    </w:p>
    <w:p w14:paraId="4710D65C" w14:textId="1CC414AA" w:rsidR="000A7541" w:rsidRPr="000A7541" w:rsidRDefault="000A7541" w:rsidP="000A7541">
      <w:pPr>
        <w:rPr>
          <w:lang w:bidi="en-US"/>
        </w:rPr>
      </w:pPr>
      <w:r w:rsidRPr="000A7541">
        <w:rPr>
          <w:lang w:bidi="en-US"/>
        </w:rPr>
        <w:t xml:space="preserve">All children aged 2-12 months with specified medical risk conditions should receive 4 doses of Prevenar 20, 3 primary doses plus 1 booster (called a 3+1 schedule). </w:t>
      </w:r>
    </w:p>
    <w:p w14:paraId="5BE927B8" w14:textId="6BFC6B39" w:rsidR="000A7541" w:rsidRDefault="000A7541" w:rsidP="000A7541">
      <w:pPr>
        <w:rPr>
          <w:lang w:bidi="en-US"/>
        </w:rPr>
      </w:pPr>
      <w:r w:rsidRPr="000A7541">
        <w:rPr>
          <w:lang w:bidi="en-US"/>
        </w:rPr>
        <w:t>All children and adolescents aged over 12 months to under 18 years with specified medical risk conditions should receive 1 dose of Prevenar 20 at diagnosis.</w:t>
      </w:r>
    </w:p>
    <w:p w14:paraId="6D805319" w14:textId="29B15CE4" w:rsidR="000A7541" w:rsidRDefault="003C4EA8" w:rsidP="003C4EA8">
      <w:pPr>
        <w:rPr>
          <w:lang w:bidi="en-US"/>
        </w:rPr>
      </w:pPr>
      <w:r>
        <w:rPr>
          <w:lang w:bidi="en-US"/>
        </w:rPr>
        <w:t>Removing Pneumovax 23 from the childhood vaccine and adolescence schedule</w:t>
      </w:r>
    </w:p>
    <w:p w14:paraId="475C1DA8" w14:textId="38ED3296" w:rsidR="003C4EA8" w:rsidRDefault="003C4EA8" w:rsidP="003C4EA8">
      <w:pPr>
        <w:rPr>
          <w:lang w:bidi="en-US"/>
        </w:rPr>
      </w:pPr>
      <w:r>
        <w:rPr>
          <w:lang w:bidi="en-US"/>
        </w:rPr>
        <w:t>Eligible children should receive 1 dose of Prevenar 20 instead of the Pneumovax 23 vaccine when they are due next (i.e. a single dose of Prevenar 20 instead of dose 1 and 2 of Pneumovax 23 OR a single dose of Prevenar 20 instead of dose 2 of Pneumovax 23).</w:t>
      </w:r>
    </w:p>
    <w:p w14:paraId="7EFB85FA" w14:textId="16835C1D" w:rsidR="00F61DEF" w:rsidRDefault="00085582" w:rsidP="003C4EA8">
      <w:pPr>
        <w:rPr>
          <w:lang w:bidi="en-US"/>
        </w:rPr>
      </w:pPr>
      <w:r w:rsidRPr="00085582">
        <w:rPr>
          <w:lang w:bidi="en-US"/>
        </w:rPr>
        <w:t>Pneumococcal schedule</w:t>
      </w:r>
    </w:p>
    <w:p w14:paraId="47857530" w14:textId="000A1857" w:rsidR="00085582" w:rsidRDefault="00085582" w:rsidP="003C4EA8">
      <w:pPr>
        <w:rPr>
          <w:lang w:bidi="en-US"/>
        </w:rPr>
      </w:pPr>
      <w:r>
        <w:rPr>
          <w:lang w:bidi="en-US"/>
        </w:rPr>
        <w:t>Cohort and age and NIP funded schedule</w:t>
      </w:r>
    </w:p>
    <w:p w14:paraId="28927E83" w14:textId="3E325A89" w:rsidR="00085582" w:rsidRDefault="00085582" w:rsidP="00084178">
      <w:pPr>
        <w:pStyle w:val="ListParagraph"/>
        <w:numPr>
          <w:ilvl w:val="0"/>
          <w:numId w:val="47"/>
        </w:numPr>
        <w:rPr>
          <w:lang w:bidi="en-US"/>
        </w:rPr>
      </w:pPr>
      <w:r>
        <w:rPr>
          <w:lang w:bidi="en-US"/>
        </w:rPr>
        <w:t xml:space="preserve">All children aged 2 –12 months: </w:t>
      </w:r>
      <w:r w:rsidR="00883FBE">
        <w:rPr>
          <w:lang w:bidi="en-US"/>
        </w:rPr>
        <w:t>Prevenar 20 at 2, 4 and 12 months of age</w:t>
      </w:r>
    </w:p>
    <w:p w14:paraId="1343323C" w14:textId="390C5A86" w:rsidR="00883FBE" w:rsidRDefault="00883FBE" w:rsidP="00084178">
      <w:pPr>
        <w:pStyle w:val="ListParagraph"/>
        <w:numPr>
          <w:ilvl w:val="0"/>
          <w:numId w:val="47"/>
        </w:numPr>
        <w:rPr>
          <w:lang w:bidi="en-US"/>
        </w:rPr>
      </w:pPr>
      <w:r>
        <w:rPr>
          <w:lang w:bidi="en-US"/>
        </w:rPr>
        <w:t xml:space="preserve">All Aboriginal and Torres Strait Islander children*: </w:t>
      </w:r>
      <w:r w:rsidR="00084C78">
        <w:rPr>
          <w:lang w:bidi="en-US"/>
        </w:rPr>
        <w:t>Prevenar 20 at 2, 4, 6 and 12 months of age</w:t>
      </w:r>
    </w:p>
    <w:p w14:paraId="72C0830D" w14:textId="77777777" w:rsidR="005F74BB" w:rsidRDefault="00084C78" w:rsidP="00084178">
      <w:pPr>
        <w:pStyle w:val="ListParagraph"/>
        <w:numPr>
          <w:ilvl w:val="0"/>
          <w:numId w:val="47"/>
        </w:numPr>
        <w:rPr>
          <w:lang w:bidi="en-US"/>
        </w:rPr>
      </w:pPr>
      <w:r>
        <w:rPr>
          <w:lang w:bidi="en-US"/>
        </w:rPr>
        <w:t xml:space="preserve">Children with specified medical risk conditions aged 2 – 12 months**: </w:t>
      </w:r>
      <w:r w:rsidR="005F74BB">
        <w:rPr>
          <w:lang w:bidi="en-US"/>
        </w:rPr>
        <w:t>Prevenar 20 at 2, 4, 6</w:t>
      </w:r>
    </w:p>
    <w:p w14:paraId="65B8A0B5" w14:textId="5E7077F1" w:rsidR="00084C78" w:rsidRDefault="005F74BB" w:rsidP="00084178">
      <w:pPr>
        <w:pStyle w:val="ListParagraph"/>
        <w:numPr>
          <w:ilvl w:val="0"/>
          <w:numId w:val="47"/>
        </w:numPr>
        <w:rPr>
          <w:lang w:bidi="en-US"/>
        </w:rPr>
      </w:pPr>
      <w:r>
        <w:rPr>
          <w:lang w:bidi="en-US"/>
        </w:rPr>
        <w:t>and 12 months of age</w:t>
      </w:r>
    </w:p>
    <w:p w14:paraId="3A55ABD5" w14:textId="505093FF" w:rsidR="005F74BB" w:rsidRDefault="005F74BB" w:rsidP="00084178">
      <w:pPr>
        <w:pStyle w:val="ListParagraph"/>
        <w:numPr>
          <w:ilvl w:val="0"/>
          <w:numId w:val="47"/>
        </w:numPr>
        <w:rPr>
          <w:lang w:bidi="en-US"/>
        </w:rPr>
      </w:pPr>
      <w:r>
        <w:rPr>
          <w:lang w:bidi="en-US"/>
        </w:rPr>
        <w:t xml:space="preserve">Children with specified medical risk conditions over 12 months**: </w:t>
      </w:r>
      <w:r w:rsidR="000D79ED" w:rsidRPr="000D79ED">
        <w:rPr>
          <w:lang w:bidi="en-US"/>
        </w:rPr>
        <w:t>Prevenar 20 at diagnosis</w:t>
      </w:r>
    </w:p>
    <w:p w14:paraId="499CD794" w14:textId="6BDEEF23" w:rsidR="000D79ED" w:rsidRDefault="000D79ED" w:rsidP="00084178">
      <w:pPr>
        <w:pStyle w:val="ListParagraph"/>
        <w:numPr>
          <w:ilvl w:val="0"/>
          <w:numId w:val="47"/>
        </w:numPr>
        <w:rPr>
          <w:lang w:bidi="en-US"/>
        </w:rPr>
      </w:pPr>
      <w:r>
        <w:rPr>
          <w:lang w:bidi="en-US"/>
        </w:rPr>
        <w:t xml:space="preserve">Adolescents with specified medical risk conditions aged under 18 years**: </w:t>
      </w:r>
      <w:r w:rsidRPr="000D79ED">
        <w:rPr>
          <w:lang w:bidi="en-US"/>
        </w:rPr>
        <w:t>Prevenar 20 at diagnosis</w:t>
      </w:r>
    </w:p>
    <w:p w14:paraId="3E9E2043" w14:textId="5981AACD" w:rsidR="000D79ED" w:rsidRDefault="006E4179" w:rsidP="006E4179">
      <w:pPr>
        <w:rPr>
          <w:lang w:bidi="en-US"/>
        </w:rPr>
      </w:pPr>
      <w:r>
        <w:rPr>
          <w:lang w:bidi="en-US"/>
        </w:rPr>
        <w:t>Note: *Aboriginal and Torres Strait Islander children who have received 4 PCV doses as part of their routine schedule do not require an additional dose of PCV. **For medical risk conditions please see the Australian Immunisation Handbook.</w:t>
      </w:r>
    </w:p>
    <w:p w14:paraId="48563F8C" w14:textId="77777777" w:rsidR="00825BDC" w:rsidRDefault="00825BDC" w:rsidP="00825BDC">
      <w:pPr>
        <w:pStyle w:val="Heading2"/>
        <w:rPr>
          <w:lang w:bidi="en-US"/>
        </w:rPr>
      </w:pPr>
      <w:r>
        <w:rPr>
          <w:lang w:bidi="en-US"/>
        </w:rPr>
        <w:lastRenderedPageBreak/>
        <w:t>Pneumococcal vaccine safety</w:t>
      </w:r>
    </w:p>
    <w:p w14:paraId="65EF9712" w14:textId="01A89CB2" w:rsidR="00825BDC" w:rsidRDefault="00825BDC" w:rsidP="00825BDC">
      <w:pPr>
        <w:rPr>
          <w:lang w:bidi="en-US"/>
        </w:rPr>
      </w:pPr>
      <w:r>
        <w:rPr>
          <w:lang w:bidi="en-US"/>
        </w:rPr>
        <w:t>Evidence from clinical trials found that Prevenar 20 is safe in children and has a similar safety profile to Prevenar 13. The most common side effect at the injection site was pain. The rates of these local side effects were similar between the two vaccines: Prevenar 20 (25%–60%) and Prevenar 13 (27%–57%).</w:t>
      </w:r>
    </w:p>
    <w:p w14:paraId="2EB8989A" w14:textId="77777777" w:rsidR="00414AB3" w:rsidRDefault="00414AB3" w:rsidP="00414AB3">
      <w:pPr>
        <w:pStyle w:val="Heading2"/>
        <w:rPr>
          <w:lang w:bidi="en-US"/>
        </w:rPr>
      </w:pPr>
      <w:r>
        <w:rPr>
          <w:lang w:bidi="en-US"/>
        </w:rPr>
        <w:t>Contraindications</w:t>
      </w:r>
    </w:p>
    <w:p w14:paraId="2C2E5A73" w14:textId="2E064229" w:rsidR="00414AB3" w:rsidRDefault="00414AB3" w:rsidP="00414AB3">
      <w:pPr>
        <w:rPr>
          <w:lang w:bidi="en-US"/>
        </w:rPr>
      </w:pPr>
      <w:r>
        <w:rPr>
          <w:lang w:bidi="en-US"/>
        </w:rPr>
        <w:t>The only absolute contraindications to pneumococcal vaccines are:</w:t>
      </w:r>
    </w:p>
    <w:p w14:paraId="7AE44B9E" w14:textId="5DE24E52" w:rsidR="00414AB3" w:rsidRDefault="00414AB3" w:rsidP="00414AB3">
      <w:pPr>
        <w:pStyle w:val="ListParagraph"/>
        <w:numPr>
          <w:ilvl w:val="0"/>
          <w:numId w:val="46"/>
        </w:numPr>
        <w:rPr>
          <w:lang w:bidi="en-US"/>
        </w:rPr>
      </w:pPr>
      <w:r>
        <w:rPr>
          <w:lang w:bidi="en-US"/>
        </w:rPr>
        <w:t>anaphylaxis after a previous dose of any pneumococcal vaccine</w:t>
      </w:r>
    </w:p>
    <w:p w14:paraId="36CFC99F" w14:textId="2F4CF2A8" w:rsidR="00414AB3" w:rsidRDefault="00414AB3" w:rsidP="00414AB3">
      <w:pPr>
        <w:pStyle w:val="ListParagraph"/>
        <w:numPr>
          <w:ilvl w:val="0"/>
          <w:numId w:val="46"/>
        </w:numPr>
        <w:rPr>
          <w:lang w:bidi="en-US"/>
        </w:rPr>
      </w:pPr>
      <w:r>
        <w:rPr>
          <w:lang w:bidi="en-US"/>
        </w:rPr>
        <w:t>anaphylaxis after any component of a pneumococcal vaccine</w:t>
      </w:r>
    </w:p>
    <w:p w14:paraId="7ED0A021" w14:textId="50E330B1" w:rsidR="00414AB3" w:rsidRDefault="00414AB3" w:rsidP="00414AB3">
      <w:pPr>
        <w:pStyle w:val="Heading2"/>
        <w:rPr>
          <w:lang w:bidi="en-US"/>
        </w:rPr>
      </w:pPr>
      <w:r>
        <w:rPr>
          <w:lang w:bidi="en-US"/>
        </w:rPr>
        <w:t>Adverse events or administration errors</w:t>
      </w:r>
    </w:p>
    <w:p w14:paraId="2A11EB88" w14:textId="11BF7CCF" w:rsidR="00414AB3" w:rsidRDefault="00414AB3" w:rsidP="00414AB3">
      <w:pPr>
        <w:rPr>
          <w:lang w:bidi="en-US"/>
        </w:rPr>
      </w:pPr>
      <w:r>
        <w:rPr>
          <w:lang w:bidi="en-US"/>
        </w:rPr>
        <w:t>You must notify all adverse events and vaccine administration errors through the reporting mechanisms in your state or territory.</w:t>
      </w:r>
    </w:p>
    <w:p w14:paraId="0C858605" w14:textId="77777777" w:rsidR="00414AB3" w:rsidRDefault="00414AB3" w:rsidP="00414AB3">
      <w:pPr>
        <w:pStyle w:val="Heading2"/>
        <w:rPr>
          <w:lang w:bidi="en-US"/>
        </w:rPr>
      </w:pPr>
      <w:r>
        <w:rPr>
          <w:lang w:bidi="en-US"/>
        </w:rPr>
        <w:t>Australian Immunisation Register</w:t>
      </w:r>
    </w:p>
    <w:p w14:paraId="6C364F5F" w14:textId="7F692A57" w:rsidR="00414AB3" w:rsidRDefault="00414AB3" w:rsidP="00414AB3">
      <w:pPr>
        <w:rPr>
          <w:lang w:bidi="en-US"/>
        </w:rPr>
      </w:pPr>
      <w:r>
        <w:rPr>
          <w:lang w:bidi="en-US"/>
        </w:rPr>
        <w:t>Vaccination providers can continue to report Prevenar 13 administrations to the Australian Immunisation Register (AIR) after 1 September 2025.</w:t>
      </w:r>
    </w:p>
    <w:p w14:paraId="5A5CBA67" w14:textId="48F093D9" w:rsidR="00414AB3" w:rsidRDefault="00414AB3" w:rsidP="00414AB3">
      <w:pPr>
        <w:rPr>
          <w:lang w:bidi="en-US"/>
        </w:rPr>
      </w:pPr>
      <w:r>
        <w:rPr>
          <w:lang w:bidi="en-US"/>
        </w:rPr>
        <w:t>Prevenar 20 and Prevenar 13 will be considered equivalent vaccines within the AIR. This means that a child can receive either vaccine brand, in any sequence and they will be considered up-to-date for pneumococcal (in line with the AIR due and overdue rules).</w:t>
      </w:r>
    </w:p>
    <w:p w14:paraId="3705B9AE" w14:textId="587319F0" w:rsidR="00414AB3" w:rsidRDefault="00414AB3" w:rsidP="00414AB3">
      <w:pPr>
        <w:rPr>
          <w:lang w:bidi="en-US"/>
        </w:rPr>
      </w:pPr>
      <w:r>
        <w:rPr>
          <w:lang w:bidi="en-US"/>
        </w:rPr>
        <w:t>Check the AIR before administering Prevenar 20.</w:t>
      </w:r>
      <w:r w:rsidR="009C6FD4">
        <w:rPr>
          <w:lang w:bidi="en-US"/>
        </w:rPr>
        <w:t xml:space="preserve"> </w:t>
      </w:r>
      <w:r>
        <w:rPr>
          <w:lang w:bidi="en-US"/>
        </w:rPr>
        <w:t>It is mandatory for you to report to the AIR all NIP</w:t>
      </w:r>
      <w:r w:rsidR="009C6FD4">
        <w:rPr>
          <w:lang w:bidi="en-US"/>
        </w:rPr>
        <w:t xml:space="preserve"> </w:t>
      </w:r>
      <w:r>
        <w:rPr>
          <w:lang w:bidi="en-US"/>
        </w:rPr>
        <w:t>vaccinations administered in Australia. This</w:t>
      </w:r>
      <w:r w:rsidR="009C6FD4">
        <w:rPr>
          <w:lang w:bidi="en-US"/>
        </w:rPr>
        <w:t xml:space="preserve"> </w:t>
      </w:r>
      <w:r>
        <w:rPr>
          <w:lang w:bidi="en-US"/>
        </w:rPr>
        <w:t>ensures that individuals have a complete and</w:t>
      </w:r>
      <w:r w:rsidR="009C6FD4">
        <w:rPr>
          <w:lang w:bidi="en-US"/>
        </w:rPr>
        <w:t xml:space="preserve"> </w:t>
      </w:r>
      <w:r>
        <w:rPr>
          <w:lang w:bidi="en-US"/>
        </w:rPr>
        <w:t>accurate record of their vaccinations.</w:t>
      </w:r>
    </w:p>
    <w:p w14:paraId="32492BD8" w14:textId="412E515A" w:rsidR="00414AB3" w:rsidRDefault="00414AB3" w:rsidP="00414AB3">
      <w:pPr>
        <w:rPr>
          <w:lang w:bidi="en-US"/>
        </w:rPr>
      </w:pPr>
      <w:r>
        <w:rPr>
          <w:lang w:bidi="en-US"/>
        </w:rPr>
        <w:t>For more information, go to</w:t>
      </w:r>
      <w:r w:rsidR="009C6FD4">
        <w:rPr>
          <w:lang w:bidi="en-US"/>
        </w:rPr>
        <w:t xml:space="preserve"> </w:t>
      </w:r>
      <w:r>
        <w:rPr>
          <w:lang w:bidi="en-US"/>
        </w:rPr>
        <w:t>servicesaustralia.gov.au/hpair.</w:t>
      </w:r>
    </w:p>
    <w:p w14:paraId="3C23DD9A" w14:textId="77777777" w:rsidR="00414AB3" w:rsidRDefault="00414AB3" w:rsidP="009C6FD4">
      <w:pPr>
        <w:pStyle w:val="Heading2"/>
        <w:rPr>
          <w:lang w:bidi="en-US"/>
        </w:rPr>
      </w:pPr>
      <w:r>
        <w:rPr>
          <w:lang w:bidi="en-US"/>
        </w:rPr>
        <w:t>Keep up to date</w:t>
      </w:r>
    </w:p>
    <w:p w14:paraId="423D792D" w14:textId="201488CE" w:rsidR="00414AB3" w:rsidRDefault="00414AB3" w:rsidP="00414AB3">
      <w:pPr>
        <w:rPr>
          <w:lang w:bidi="en-US"/>
        </w:rPr>
      </w:pPr>
      <w:r>
        <w:rPr>
          <w:lang w:bidi="en-US"/>
        </w:rPr>
        <w:t>Read the advice in this factsheet in conjunction</w:t>
      </w:r>
      <w:r w:rsidR="009C6FD4">
        <w:rPr>
          <w:lang w:bidi="en-US"/>
        </w:rPr>
        <w:t xml:space="preserve"> </w:t>
      </w:r>
      <w:r>
        <w:rPr>
          <w:lang w:bidi="en-US"/>
        </w:rPr>
        <w:t>with the Australian Immunisation Handbook at</w:t>
      </w:r>
      <w:r w:rsidR="009C6FD4">
        <w:rPr>
          <w:lang w:bidi="en-US"/>
        </w:rPr>
        <w:t xml:space="preserve"> </w:t>
      </w:r>
      <w:hyperlink r:id="rId12" w:history="1">
        <w:r w:rsidRPr="00F61DEF">
          <w:rPr>
            <w:rStyle w:val="Hyperlink"/>
            <w:lang w:bidi="en-US"/>
          </w:rPr>
          <w:t>immunisationhandbook.health.gov.au</w:t>
        </w:r>
      </w:hyperlink>
    </w:p>
    <w:p w14:paraId="6B3200BC" w14:textId="19F8C149" w:rsidR="00414AB3" w:rsidRDefault="00414AB3" w:rsidP="00414AB3">
      <w:pPr>
        <w:rPr>
          <w:lang w:bidi="en-US"/>
        </w:rPr>
      </w:pPr>
      <w:r>
        <w:rPr>
          <w:lang w:bidi="en-US"/>
        </w:rPr>
        <w:t>Subscribe to the NIP update email update service.</w:t>
      </w:r>
      <w:r w:rsidR="009C6FD4">
        <w:rPr>
          <w:lang w:bidi="en-US"/>
        </w:rPr>
        <w:t xml:space="preserve"> </w:t>
      </w:r>
      <w:r>
        <w:rPr>
          <w:lang w:bidi="en-US"/>
        </w:rPr>
        <w:t xml:space="preserve">Search ‘NIP updates’ on </w:t>
      </w:r>
      <w:hyperlink r:id="rId13" w:history="1">
        <w:r w:rsidRPr="00F61DEF">
          <w:rPr>
            <w:rStyle w:val="Hyperlink"/>
            <w:lang w:bidi="en-US"/>
          </w:rPr>
          <w:t>health.gov.au</w:t>
        </w:r>
      </w:hyperlink>
      <w:r>
        <w:rPr>
          <w:lang w:bidi="en-US"/>
        </w:rPr>
        <w:t>.</w:t>
      </w:r>
    </w:p>
    <w:p w14:paraId="47EAF080" w14:textId="77777777" w:rsidR="00903A9C" w:rsidRDefault="00903A9C" w:rsidP="00903A9C">
      <w:pPr>
        <w:pStyle w:val="Heading2"/>
        <w:rPr>
          <w:rFonts w:eastAsiaTheme="minorHAnsi"/>
        </w:rPr>
      </w:pPr>
      <w:r w:rsidRPr="00953768">
        <w:rPr>
          <w:rFonts w:eastAsiaTheme="minorHAnsi"/>
        </w:rPr>
        <w:t>State and territory health department contact numbers</w:t>
      </w:r>
    </w:p>
    <w:p w14:paraId="1B193FFC" w14:textId="77777777" w:rsidR="00903A9C" w:rsidRPr="00953768" w:rsidRDefault="00903A9C" w:rsidP="00903A9C">
      <w:pPr>
        <w:rPr>
          <w:rFonts w:eastAsiaTheme="minorHAnsi"/>
          <w:szCs w:val="22"/>
        </w:rPr>
      </w:pPr>
      <w:r w:rsidRPr="00953768">
        <w:rPr>
          <w:rFonts w:eastAsiaTheme="minorHAnsi"/>
          <w:b/>
          <w:bCs/>
          <w:szCs w:val="22"/>
        </w:rPr>
        <w:t>ACT</w:t>
      </w:r>
      <w:r w:rsidRPr="00953768">
        <w:rPr>
          <w:rFonts w:eastAsiaTheme="minorHAnsi"/>
          <w:szCs w:val="22"/>
        </w:rPr>
        <w:t xml:space="preserve"> 02 5124 9800</w:t>
      </w:r>
    </w:p>
    <w:p w14:paraId="32B86616" w14:textId="77777777" w:rsidR="00903A9C" w:rsidRPr="00953768" w:rsidRDefault="00903A9C" w:rsidP="00903A9C">
      <w:pPr>
        <w:rPr>
          <w:rFonts w:eastAsiaTheme="minorHAnsi"/>
          <w:szCs w:val="22"/>
        </w:rPr>
      </w:pPr>
      <w:r w:rsidRPr="00953768">
        <w:rPr>
          <w:rFonts w:eastAsiaTheme="minorHAnsi"/>
          <w:b/>
          <w:bCs/>
          <w:szCs w:val="22"/>
        </w:rPr>
        <w:t>NSW</w:t>
      </w:r>
      <w:r w:rsidRPr="00953768">
        <w:rPr>
          <w:rFonts w:eastAsiaTheme="minorHAnsi"/>
          <w:szCs w:val="22"/>
        </w:rPr>
        <w:t>1300 066 055</w:t>
      </w:r>
    </w:p>
    <w:p w14:paraId="67313507" w14:textId="77777777" w:rsidR="00903A9C" w:rsidRPr="00953768" w:rsidRDefault="00903A9C" w:rsidP="00903A9C">
      <w:pPr>
        <w:rPr>
          <w:rFonts w:eastAsiaTheme="minorHAnsi"/>
          <w:szCs w:val="22"/>
        </w:rPr>
      </w:pPr>
      <w:r w:rsidRPr="00953768">
        <w:rPr>
          <w:rFonts w:eastAsiaTheme="minorHAnsi"/>
          <w:b/>
          <w:bCs/>
          <w:szCs w:val="22"/>
        </w:rPr>
        <w:t xml:space="preserve">NT </w:t>
      </w:r>
      <w:r w:rsidRPr="00953768">
        <w:rPr>
          <w:rFonts w:eastAsiaTheme="minorHAnsi"/>
          <w:szCs w:val="22"/>
        </w:rPr>
        <w:t>08 8922 8044</w:t>
      </w:r>
    </w:p>
    <w:p w14:paraId="65CC41FB" w14:textId="77777777" w:rsidR="00903A9C" w:rsidRPr="00953768" w:rsidRDefault="00903A9C" w:rsidP="00903A9C">
      <w:pPr>
        <w:rPr>
          <w:rFonts w:eastAsiaTheme="minorHAnsi"/>
          <w:szCs w:val="22"/>
        </w:rPr>
      </w:pPr>
      <w:r w:rsidRPr="00953768">
        <w:rPr>
          <w:rFonts w:eastAsiaTheme="minorHAnsi"/>
          <w:b/>
          <w:bCs/>
          <w:szCs w:val="22"/>
        </w:rPr>
        <w:t xml:space="preserve">WA </w:t>
      </w:r>
      <w:r w:rsidRPr="00953768">
        <w:rPr>
          <w:rFonts w:eastAsiaTheme="minorHAnsi"/>
          <w:szCs w:val="22"/>
        </w:rPr>
        <w:t xml:space="preserve"> 08 9321 1312</w:t>
      </w:r>
    </w:p>
    <w:p w14:paraId="680C1E5C" w14:textId="77777777" w:rsidR="00903A9C" w:rsidRPr="00953768" w:rsidRDefault="00903A9C" w:rsidP="00903A9C">
      <w:pPr>
        <w:rPr>
          <w:rFonts w:eastAsiaTheme="minorHAnsi"/>
          <w:szCs w:val="22"/>
        </w:rPr>
      </w:pPr>
      <w:r w:rsidRPr="00953768">
        <w:rPr>
          <w:rFonts w:eastAsiaTheme="minorHAnsi"/>
          <w:b/>
          <w:bCs/>
          <w:szCs w:val="22"/>
        </w:rPr>
        <w:t xml:space="preserve">SA </w:t>
      </w:r>
      <w:r w:rsidRPr="00953768">
        <w:rPr>
          <w:rFonts w:eastAsiaTheme="minorHAnsi"/>
          <w:szCs w:val="22"/>
        </w:rPr>
        <w:t>1300 232 272</w:t>
      </w:r>
    </w:p>
    <w:p w14:paraId="33F5AA01" w14:textId="77777777" w:rsidR="00903A9C" w:rsidRPr="00953768" w:rsidRDefault="00903A9C" w:rsidP="00903A9C">
      <w:pPr>
        <w:rPr>
          <w:rFonts w:eastAsiaTheme="minorHAnsi"/>
          <w:szCs w:val="22"/>
        </w:rPr>
      </w:pPr>
      <w:r w:rsidRPr="00953768">
        <w:rPr>
          <w:rFonts w:eastAsiaTheme="minorHAnsi"/>
          <w:b/>
          <w:bCs/>
          <w:szCs w:val="22"/>
        </w:rPr>
        <w:lastRenderedPageBreak/>
        <w:t>TAS</w:t>
      </w:r>
      <w:r w:rsidRPr="00953768">
        <w:rPr>
          <w:rFonts w:eastAsiaTheme="minorHAnsi"/>
          <w:szCs w:val="22"/>
        </w:rPr>
        <w:t xml:space="preserve"> 1800 671 738</w:t>
      </w:r>
    </w:p>
    <w:p w14:paraId="7287C87E" w14:textId="77777777" w:rsidR="00903A9C" w:rsidRPr="00953768" w:rsidRDefault="00903A9C" w:rsidP="00903A9C">
      <w:pPr>
        <w:rPr>
          <w:rFonts w:eastAsiaTheme="minorHAnsi"/>
          <w:szCs w:val="22"/>
        </w:rPr>
      </w:pPr>
      <w:r w:rsidRPr="00953768">
        <w:rPr>
          <w:rFonts w:eastAsiaTheme="minorHAnsi"/>
          <w:b/>
          <w:bCs/>
          <w:szCs w:val="22"/>
        </w:rPr>
        <w:t xml:space="preserve">VIC </w:t>
      </w:r>
      <w:hyperlink r:id="rId14" w:history="1">
        <w:r w:rsidRPr="00953768">
          <w:rPr>
            <w:rStyle w:val="Hyperlink"/>
            <w:rFonts w:eastAsiaTheme="minorHAnsi"/>
            <w:szCs w:val="22"/>
          </w:rPr>
          <w:t>immunisation@health.vic.gov.au</w:t>
        </w:r>
      </w:hyperlink>
    </w:p>
    <w:p w14:paraId="5E238BB3" w14:textId="77777777" w:rsidR="00903A9C" w:rsidRPr="00953768" w:rsidRDefault="00903A9C" w:rsidP="00903A9C">
      <w:pPr>
        <w:rPr>
          <w:rFonts w:eastAsiaTheme="minorHAnsi"/>
          <w:szCs w:val="22"/>
        </w:rPr>
      </w:pPr>
      <w:r w:rsidRPr="00953768">
        <w:rPr>
          <w:rFonts w:eastAsiaTheme="minorHAnsi"/>
          <w:b/>
          <w:bCs/>
          <w:szCs w:val="22"/>
        </w:rPr>
        <w:t xml:space="preserve">QLD </w:t>
      </w:r>
      <w:r w:rsidRPr="00953768">
        <w:rPr>
          <w:rFonts w:eastAsiaTheme="minorHAnsi"/>
          <w:szCs w:val="22"/>
        </w:rPr>
        <w:t>Contact your local Public Health Unit</w:t>
      </w:r>
    </w:p>
    <w:p w14:paraId="595889B4" w14:textId="1C1B067D" w:rsidR="00903A9C" w:rsidRPr="00903A9C" w:rsidRDefault="00903A9C" w:rsidP="00903A9C">
      <w:pPr>
        <w:spacing w:before="97"/>
        <w:rPr>
          <w:rFonts w:ascii="Arial Black"/>
          <w:szCs w:val="22"/>
        </w:rPr>
      </w:pPr>
      <w:r w:rsidRPr="00953768">
        <w:rPr>
          <w:szCs w:val="22"/>
        </w:rPr>
        <w:t xml:space="preserve">This information is current as of </w:t>
      </w:r>
      <w:r w:rsidR="009C6FD4">
        <w:rPr>
          <w:szCs w:val="22"/>
        </w:rPr>
        <w:t>August</w:t>
      </w:r>
      <w:r w:rsidRPr="00953768">
        <w:rPr>
          <w:szCs w:val="22"/>
        </w:rPr>
        <w:t xml:space="preserve"> 2025</w:t>
      </w:r>
    </w:p>
    <w:sectPr w:rsidR="00903A9C" w:rsidRPr="00903A9C" w:rsidSect="00A74345">
      <w:headerReference w:type="default" r:id="rId15"/>
      <w:footerReference w:type="default" r:id="rId16"/>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236D" w14:textId="77777777" w:rsidR="00583C2E" w:rsidRDefault="00583C2E" w:rsidP="00934368">
      <w:r>
        <w:separator/>
      </w:r>
    </w:p>
    <w:p w14:paraId="5060E7A3" w14:textId="77777777" w:rsidR="00583C2E" w:rsidRDefault="00583C2E" w:rsidP="00934368"/>
  </w:endnote>
  <w:endnote w:type="continuationSeparator" w:id="0">
    <w:p w14:paraId="7E00C90F" w14:textId="77777777" w:rsidR="00583C2E" w:rsidRDefault="00583C2E" w:rsidP="00934368">
      <w:r>
        <w:continuationSeparator/>
      </w:r>
    </w:p>
    <w:p w14:paraId="7F2E3F07" w14:textId="77777777" w:rsidR="00583C2E" w:rsidRDefault="00583C2E" w:rsidP="00934368"/>
  </w:endnote>
  <w:endnote w:type="continuationNotice" w:id="1">
    <w:p w14:paraId="06CFB946" w14:textId="77777777" w:rsidR="00583C2E" w:rsidRDefault="00583C2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2E0E" w14:textId="0C7DF26B" w:rsidR="00751A23" w:rsidRPr="00751A23" w:rsidRDefault="00000000" w:rsidP="00934368">
    <w:pPr>
      <w:pStyle w:val="Footer"/>
    </w:pP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B2BB" w14:textId="77777777" w:rsidR="00583C2E" w:rsidRDefault="00583C2E" w:rsidP="00934368">
      <w:r>
        <w:separator/>
      </w:r>
    </w:p>
    <w:p w14:paraId="3864A25A" w14:textId="77777777" w:rsidR="00583C2E" w:rsidRDefault="00583C2E" w:rsidP="00934368"/>
  </w:footnote>
  <w:footnote w:type="continuationSeparator" w:id="0">
    <w:p w14:paraId="496D9379" w14:textId="77777777" w:rsidR="00583C2E" w:rsidRDefault="00583C2E" w:rsidP="00934368">
      <w:r>
        <w:continuationSeparator/>
      </w:r>
    </w:p>
    <w:p w14:paraId="0BBF5EFA" w14:textId="77777777" w:rsidR="00583C2E" w:rsidRDefault="00583C2E" w:rsidP="00934368"/>
  </w:footnote>
  <w:footnote w:type="continuationNotice" w:id="1">
    <w:p w14:paraId="1536A2A0" w14:textId="77777777" w:rsidR="00583C2E" w:rsidRDefault="00583C2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8657"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13BF03FD" wp14:editId="2208CADE">
          <wp:simplePos x="0" y="0"/>
          <wp:positionH relativeFrom="page">
            <wp:align>center</wp:align>
          </wp:positionH>
          <wp:positionV relativeFrom="page">
            <wp:align>center</wp:align>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9E2"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994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62295D"/>
    <w:multiLevelType w:val="hybridMultilevel"/>
    <w:tmpl w:val="3A8A5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4EFEDA"/>
    <w:multiLevelType w:val="hybridMultilevel"/>
    <w:tmpl w:val="75C0C846"/>
    <w:lvl w:ilvl="0" w:tplc="D6062E8E">
      <w:start w:val="1"/>
      <w:numFmt w:val="bullet"/>
      <w:lvlText w:val="·"/>
      <w:lvlJc w:val="left"/>
      <w:pPr>
        <w:ind w:left="720" w:hanging="360"/>
      </w:pPr>
      <w:rPr>
        <w:rFonts w:ascii="Symbol" w:hAnsi="Symbol" w:hint="default"/>
      </w:rPr>
    </w:lvl>
    <w:lvl w:ilvl="1" w:tplc="57167D64">
      <w:start w:val="1"/>
      <w:numFmt w:val="bullet"/>
      <w:lvlText w:val="o"/>
      <w:lvlJc w:val="left"/>
      <w:pPr>
        <w:ind w:left="1440" w:hanging="360"/>
      </w:pPr>
      <w:rPr>
        <w:rFonts w:ascii="Courier New" w:hAnsi="Courier New" w:hint="default"/>
      </w:rPr>
    </w:lvl>
    <w:lvl w:ilvl="2" w:tplc="F8628624">
      <w:start w:val="1"/>
      <w:numFmt w:val="bullet"/>
      <w:lvlText w:val=""/>
      <w:lvlJc w:val="left"/>
      <w:pPr>
        <w:ind w:left="2160" w:hanging="360"/>
      </w:pPr>
      <w:rPr>
        <w:rFonts w:ascii="Wingdings" w:hAnsi="Wingdings" w:hint="default"/>
      </w:rPr>
    </w:lvl>
    <w:lvl w:ilvl="3" w:tplc="7B24B062">
      <w:start w:val="1"/>
      <w:numFmt w:val="bullet"/>
      <w:lvlText w:val=""/>
      <w:lvlJc w:val="left"/>
      <w:pPr>
        <w:ind w:left="2880" w:hanging="360"/>
      </w:pPr>
      <w:rPr>
        <w:rFonts w:ascii="Symbol" w:hAnsi="Symbol" w:hint="default"/>
      </w:rPr>
    </w:lvl>
    <w:lvl w:ilvl="4" w:tplc="2812906A">
      <w:start w:val="1"/>
      <w:numFmt w:val="bullet"/>
      <w:lvlText w:val="o"/>
      <w:lvlJc w:val="left"/>
      <w:pPr>
        <w:ind w:left="3600" w:hanging="360"/>
      </w:pPr>
      <w:rPr>
        <w:rFonts w:ascii="Courier New" w:hAnsi="Courier New" w:hint="default"/>
      </w:rPr>
    </w:lvl>
    <w:lvl w:ilvl="5" w:tplc="B3BE103E">
      <w:start w:val="1"/>
      <w:numFmt w:val="bullet"/>
      <w:lvlText w:val=""/>
      <w:lvlJc w:val="left"/>
      <w:pPr>
        <w:ind w:left="4320" w:hanging="360"/>
      </w:pPr>
      <w:rPr>
        <w:rFonts w:ascii="Wingdings" w:hAnsi="Wingdings" w:hint="default"/>
      </w:rPr>
    </w:lvl>
    <w:lvl w:ilvl="6" w:tplc="85741E70">
      <w:start w:val="1"/>
      <w:numFmt w:val="bullet"/>
      <w:lvlText w:val=""/>
      <w:lvlJc w:val="left"/>
      <w:pPr>
        <w:ind w:left="5040" w:hanging="360"/>
      </w:pPr>
      <w:rPr>
        <w:rFonts w:ascii="Symbol" w:hAnsi="Symbol" w:hint="default"/>
      </w:rPr>
    </w:lvl>
    <w:lvl w:ilvl="7" w:tplc="306AD420">
      <w:start w:val="1"/>
      <w:numFmt w:val="bullet"/>
      <w:lvlText w:val="o"/>
      <w:lvlJc w:val="left"/>
      <w:pPr>
        <w:ind w:left="5760" w:hanging="360"/>
      </w:pPr>
      <w:rPr>
        <w:rFonts w:ascii="Courier New" w:hAnsi="Courier New" w:hint="default"/>
      </w:rPr>
    </w:lvl>
    <w:lvl w:ilvl="8" w:tplc="8E3AD8F4">
      <w:start w:val="1"/>
      <w:numFmt w:val="bullet"/>
      <w:lvlText w:val=""/>
      <w:lvlJc w:val="left"/>
      <w:pPr>
        <w:ind w:left="6480" w:hanging="360"/>
      </w:pPr>
      <w:rPr>
        <w:rFonts w:ascii="Wingdings" w:hAnsi="Wingdings" w:hint="default"/>
      </w:rPr>
    </w:lvl>
  </w:abstractNum>
  <w:abstractNum w:abstractNumId="1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7625E0"/>
    <w:multiLevelType w:val="hybridMultilevel"/>
    <w:tmpl w:val="72E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A6257F"/>
    <w:multiLevelType w:val="hybridMultilevel"/>
    <w:tmpl w:val="56985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D75BB8"/>
    <w:multiLevelType w:val="hybridMultilevel"/>
    <w:tmpl w:val="BF0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4A7855"/>
    <w:multiLevelType w:val="hybridMultilevel"/>
    <w:tmpl w:val="4DB69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F2BBF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B6797F"/>
    <w:multiLevelType w:val="hybridMultilevel"/>
    <w:tmpl w:val="9EC8C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0444F6"/>
    <w:multiLevelType w:val="hybridMultilevel"/>
    <w:tmpl w:val="B6F8E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121034"/>
    <w:multiLevelType w:val="hybridMultilevel"/>
    <w:tmpl w:val="AF7E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4B5796"/>
    <w:multiLevelType w:val="hybridMultilevel"/>
    <w:tmpl w:val="9F58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8936B3"/>
    <w:multiLevelType w:val="hybridMultilevel"/>
    <w:tmpl w:val="41EC7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FC7D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EED68B2"/>
    <w:multiLevelType w:val="hybridMultilevel"/>
    <w:tmpl w:val="75163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B8D141"/>
    <w:multiLevelType w:val="hybridMultilevel"/>
    <w:tmpl w:val="926A83BE"/>
    <w:lvl w:ilvl="0" w:tplc="A1141390">
      <w:start w:val="1"/>
      <w:numFmt w:val="bullet"/>
      <w:lvlText w:val=""/>
      <w:lvlJc w:val="left"/>
      <w:pPr>
        <w:ind w:left="720" w:hanging="360"/>
      </w:pPr>
      <w:rPr>
        <w:rFonts w:ascii="Symbol" w:hAnsi="Symbol" w:hint="default"/>
      </w:rPr>
    </w:lvl>
    <w:lvl w:ilvl="1" w:tplc="FF307E08">
      <w:start w:val="1"/>
      <w:numFmt w:val="bullet"/>
      <w:lvlText w:val="o"/>
      <w:lvlJc w:val="left"/>
      <w:pPr>
        <w:ind w:left="1440" w:hanging="360"/>
      </w:pPr>
      <w:rPr>
        <w:rFonts w:ascii="Courier New" w:hAnsi="Courier New" w:hint="default"/>
      </w:rPr>
    </w:lvl>
    <w:lvl w:ilvl="2" w:tplc="83E2E9BA">
      <w:start w:val="1"/>
      <w:numFmt w:val="bullet"/>
      <w:lvlText w:val=""/>
      <w:lvlJc w:val="left"/>
      <w:pPr>
        <w:ind w:left="2160" w:hanging="360"/>
      </w:pPr>
      <w:rPr>
        <w:rFonts w:ascii="Wingdings" w:hAnsi="Wingdings" w:hint="default"/>
      </w:rPr>
    </w:lvl>
    <w:lvl w:ilvl="3" w:tplc="06DEC626">
      <w:start w:val="1"/>
      <w:numFmt w:val="bullet"/>
      <w:lvlText w:val=""/>
      <w:lvlJc w:val="left"/>
      <w:pPr>
        <w:ind w:left="2880" w:hanging="360"/>
      </w:pPr>
      <w:rPr>
        <w:rFonts w:ascii="Symbol" w:hAnsi="Symbol" w:hint="default"/>
      </w:rPr>
    </w:lvl>
    <w:lvl w:ilvl="4" w:tplc="27F2F928">
      <w:start w:val="1"/>
      <w:numFmt w:val="bullet"/>
      <w:lvlText w:val="o"/>
      <w:lvlJc w:val="left"/>
      <w:pPr>
        <w:ind w:left="3600" w:hanging="360"/>
      </w:pPr>
      <w:rPr>
        <w:rFonts w:ascii="Courier New" w:hAnsi="Courier New" w:hint="default"/>
      </w:rPr>
    </w:lvl>
    <w:lvl w:ilvl="5" w:tplc="3CCA6106">
      <w:start w:val="1"/>
      <w:numFmt w:val="bullet"/>
      <w:lvlText w:val=""/>
      <w:lvlJc w:val="left"/>
      <w:pPr>
        <w:ind w:left="4320" w:hanging="360"/>
      </w:pPr>
      <w:rPr>
        <w:rFonts w:ascii="Wingdings" w:hAnsi="Wingdings" w:hint="default"/>
      </w:rPr>
    </w:lvl>
    <w:lvl w:ilvl="6" w:tplc="97E25C96">
      <w:start w:val="1"/>
      <w:numFmt w:val="bullet"/>
      <w:lvlText w:val=""/>
      <w:lvlJc w:val="left"/>
      <w:pPr>
        <w:ind w:left="5040" w:hanging="360"/>
      </w:pPr>
      <w:rPr>
        <w:rFonts w:ascii="Symbol" w:hAnsi="Symbol" w:hint="default"/>
      </w:rPr>
    </w:lvl>
    <w:lvl w:ilvl="7" w:tplc="5FDA992E">
      <w:start w:val="1"/>
      <w:numFmt w:val="bullet"/>
      <w:lvlText w:val="o"/>
      <w:lvlJc w:val="left"/>
      <w:pPr>
        <w:ind w:left="5760" w:hanging="360"/>
      </w:pPr>
      <w:rPr>
        <w:rFonts w:ascii="Courier New" w:hAnsi="Courier New" w:hint="default"/>
      </w:rPr>
    </w:lvl>
    <w:lvl w:ilvl="8" w:tplc="0C380B4C">
      <w:start w:val="1"/>
      <w:numFmt w:val="bullet"/>
      <w:lvlText w:val=""/>
      <w:lvlJc w:val="left"/>
      <w:pPr>
        <w:ind w:left="6480" w:hanging="360"/>
      </w:pPr>
      <w:rPr>
        <w:rFonts w:ascii="Wingdings" w:hAnsi="Wingdings" w:hint="default"/>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740D42"/>
    <w:multiLevelType w:val="hybridMultilevel"/>
    <w:tmpl w:val="B060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B03F53"/>
    <w:multiLevelType w:val="hybridMultilevel"/>
    <w:tmpl w:val="4D50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8729E6"/>
    <w:multiLevelType w:val="hybridMultilevel"/>
    <w:tmpl w:val="1B1E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C3071"/>
    <w:multiLevelType w:val="hybridMultilevel"/>
    <w:tmpl w:val="303CC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EA60376"/>
    <w:multiLevelType w:val="hybridMultilevel"/>
    <w:tmpl w:val="F4A4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5032849">
    <w:abstractNumId w:val="8"/>
  </w:num>
  <w:num w:numId="2" w16cid:durableId="1487239672">
    <w:abstractNumId w:val="26"/>
  </w:num>
  <w:num w:numId="3" w16cid:durableId="1111165562">
    <w:abstractNumId w:val="33"/>
  </w:num>
  <w:num w:numId="4" w16cid:durableId="1656956847">
    <w:abstractNumId w:val="11"/>
  </w:num>
  <w:num w:numId="5" w16cid:durableId="1573807520">
    <w:abstractNumId w:val="11"/>
    <w:lvlOverride w:ilvl="0">
      <w:startOverride w:val="1"/>
    </w:lvlOverride>
  </w:num>
  <w:num w:numId="6" w16cid:durableId="306908385">
    <w:abstractNumId w:val="13"/>
  </w:num>
  <w:num w:numId="7" w16cid:durableId="739521073">
    <w:abstractNumId w:val="23"/>
  </w:num>
  <w:num w:numId="8" w16cid:durableId="1364792563">
    <w:abstractNumId w:val="31"/>
  </w:num>
  <w:num w:numId="9" w16cid:durableId="692266933">
    <w:abstractNumId w:val="6"/>
  </w:num>
  <w:num w:numId="10" w16cid:durableId="378407846">
    <w:abstractNumId w:val="5"/>
  </w:num>
  <w:num w:numId="11" w16cid:durableId="895942982">
    <w:abstractNumId w:val="4"/>
  </w:num>
  <w:num w:numId="12" w16cid:durableId="1421953636">
    <w:abstractNumId w:val="3"/>
  </w:num>
  <w:num w:numId="13" w16cid:durableId="1642807558">
    <w:abstractNumId w:val="7"/>
  </w:num>
  <w:num w:numId="14" w16cid:durableId="968584991">
    <w:abstractNumId w:val="2"/>
  </w:num>
  <w:num w:numId="15" w16cid:durableId="116606617">
    <w:abstractNumId w:val="1"/>
  </w:num>
  <w:num w:numId="16" w16cid:durableId="1942836989">
    <w:abstractNumId w:val="38"/>
  </w:num>
  <w:num w:numId="17" w16cid:durableId="784426807">
    <w:abstractNumId w:val="15"/>
  </w:num>
  <w:num w:numId="18" w16cid:durableId="1485246168">
    <w:abstractNumId w:val="18"/>
  </w:num>
  <w:num w:numId="19" w16cid:durableId="204174500">
    <w:abstractNumId w:val="19"/>
  </w:num>
  <w:num w:numId="20" w16cid:durableId="583033642">
    <w:abstractNumId w:val="15"/>
  </w:num>
  <w:num w:numId="21" w16cid:durableId="411392521">
    <w:abstractNumId w:val="19"/>
  </w:num>
  <w:num w:numId="22" w16cid:durableId="1149708572">
    <w:abstractNumId w:val="38"/>
  </w:num>
  <w:num w:numId="23" w16cid:durableId="759183430">
    <w:abstractNumId w:val="26"/>
  </w:num>
  <w:num w:numId="24" w16cid:durableId="936640889">
    <w:abstractNumId w:val="33"/>
  </w:num>
  <w:num w:numId="25" w16cid:durableId="682364219">
    <w:abstractNumId w:val="11"/>
  </w:num>
  <w:num w:numId="26" w16cid:durableId="2122454649">
    <w:abstractNumId w:val="24"/>
  </w:num>
  <w:num w:numId="27" w16cid:durableId="593169228">
    <w:abstractNumId w:val="32"/>
  </w:num>
  <w:num w:numId="28" w16cid:durableId="1020355964">
    <w:abstractNumId w:val="9"/>
  </w:num>
  <w:num w:numId="29" w16cid:durableId="269553820">
    <w:abstractNumId w:val="27"/>
  </w:num>
  <w:num w:numId="30" w16cid:durableId="2129930835">
    <w:abstractNumId w:val="34"/>
  </w:num>
  <w:num w:numId="31" w16cid:durableId="141166374">
    <w:abstractNumId w:val="36"/>
  </w:num>
  <w:num w:numId="32" w16cid:durableId="806510795">
    <w:abstractNumId w:val="14"/>
  </w:num>
  <w:num w:numId="33" w16cid:durableId="508258607">
    <w:abstractNumId w:val="12"/>
  </w:num>
  <w:num w:numId="34" w16cid:durableId="291060398">
    <w:abstractNumId w:val="10"/>
  </w:num>
  <w:num w:numId="35" w16cid:durableId="2047293053">
    <w:abstractNumId w:val="16"/>
  </w:num>
  <w:num w:numId="36" w16cid:durableId="903376552">
    <w:abstractNumId w:val="39"/>
  </w:num>
  <w:num w:numId="37" w16cid:durableId="1872452496">
    <w:abstractNumId w:val="30"/>
  </w:num>
  <w:num w:numId="38" w16cid:durableId="1104377734">
    <w:abstractNumId w:val="17"/>
  </w:num>
  <w:num w:numId="39" w16cid:durableId="1880629699">
    <w:abstractNumId w:val="37"/>
  </w:num>
  <w:num w:numId="40" w16cid:durableId="865755528">
    <w:abstractNumId w:val="0"/>
  </w:num>
  <w:num w:numId="41" w16cid:durableId="1973368156">
    <w:abstractNumId w:val="20"/>
  </w:num>
  <w:num w:numId="42" w16cid:durableId="600188357">
    <w:abstractNumId w:val="21"/>
  </w:num>
  <w:num w:numId="43" w16cid:durableId="104422602">
    <w:abstractNumId w:val="35"/>
  </w:num>
  <w:num w:numId="44" w16cid:durableId="570769837">
    <w:abstractNumId w:val="29"/>
  </w:num>
  <w:num w:numId="45" w16cid:durableId="1640185631">
    <w:abstractNumId w:val="25"/>
  </w:num>
  <w:num w:numId="46" w16cid:durableId="1189217665">
    <w:abstractNumId w:val="28"/>
  </w:num>
  <w:num w:numId="47" w16cid:durableId="13378033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57790"/>
    <w:rsid w:val="00062B65"/>
    <w:rsid w:val="00067456"/>
    <w:rsid w:val="00071506"/>
    <w:rsid w:val="0007154F"/>
    <w:rsid w:val="00081AB1"/>
    <w:rsid w:val="00084178"/>
    <w:rsid w:val="00084C78"/>
    <w:rsid w:val="00085582"/>
    <w:rsid w:val="00090316"/>
    <w:rsid w:val="00093981"/>
    <w:rsid w:val="00093CD9"/>
    <w:rsid w:val="000A7541"/>
    <w:rsid w:val="000B067A"/>
    <w:rsid w:val="000B1540"/>
    <w:rsid w:val="000B33FD"/>
    <w:rsid w:val="000B4ABA"/>
    <w:rsid w:val="000C4B16"/>
    <w:rsid w:val="000C50C3"/>
    <w:rsid w:val="000D21F6"/>
    <w:rsid w:val="000D42C3"/>
    <w:rsid w:val="000D4500"/>
    <w:rsid w:val="000D79ED"/>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45B5D"/>
    <w:rsid w:val="001571C7"/>
    <w:rsid w:val="00161094"/>
    <w:rsid w:val="00172A55"/>
    <w:rsid w:val="001758CD"/>
    <w:rsid w:val="0017665C"/>
    <w:rsid w:val="00177AD2"/>
    <w:rsid w:val="00180DE7"/>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C4EA8"/>
    <w:rsid w:val="003D17F9"/>
    <w:rsid w:val="003D2D88"/>
    <w:rsid w:val="003D41EA"/>
    <w:rsid w:val="003D4850"/>
    <w:rsid w:val="003D535A"/>
    <w:rsid w:val="003E5265"/>
    <w:rsid w:val="003F0955"/>
    <w:rsid w:val="003F6FE1"/>
    <w:rsid w:val="00400F00"/>
    <w:rsid w:val="00404F8B"/>
    <w:rsid w:val="00405256"/>
    <w:rsid w:val="00410031"/>
    <w:rsid w:val="004115A2"/>
    <w:rsid w:val="00414AB3"/>
    <w:rsid w:val="00415C81"/>
    <w:rsid w:val="00416731"/>
    <w:rsid w:val="00432378"/>
    <w:rsid w:val="00440D65"/>
    <w:rsid w:val="004435E6"/>
    <w:rsid w:val="004442EE"/>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16620"/>
    <w:rsid w:val="0052051D"/>
    <w:rsid w:val="00545EE6"/>
    <w:rsid w:val="005550E7"/>
    <w:rsid w:val="005564FB"/>
    <w:rsid w:val="005572C7"/>
    <w:rsid w:val="005650ED"/>
    <w:rsid w:val="00575754"/>
    <w:rsid w:val="00576F23"/>
    <w:rsid w:val="00583C2E"/>
    <w:rsid w:val="00591E20"/>
    <w:rsid w:val="00595408"/>
    <w:rsid w:val="00595E84"/>
    <w:rsid w:val="00597D79"/>
    <w:rsid w:val="005A0C59"/>
    <w:rsid w:val="005A48EB"/>
    <w:rsid w:val="005A5C77"/>
    <w:rsid w:val="005A6CFB"/>
    <w:rsid w:val="005C5AEB"/>
    <w:rsid w:val="005D7F5C"/>
    <w:rsid w:val="005E0A3F"/>
    <w:rsid w:val="005E6883"/>
    <w:rsid w:val="005E772F"/>
    <w:rsid w:val="005F4ECA"/>
    <w:rsid w:val="005F74BB"/>
    <w:rsid w:val="006041BE"/>
    <w:rsid w:val="006043C7"/>
    <w:rsid w:val="00604EFF"/>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6E4179"/>
    <w:rsid w:val="00701275"/>
    <w:rsid w:val="00707F56"/>
    <w:rsid w:val="00713558"/>
    <w:rsid w:val="00715110"/>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02549"/>
    <w:rsid w:val="008127AF"/>
    <w:rsid w:val="00812B46"/>
    <w:rsid w:val="00815700"/>
    <w:rsid w:val="00817B70"/>
    <w:rsid w:val="00825BDC"/>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3FBE"/>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3A9C"/>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C6FD4"/>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4C06"/>
    <w:rsid w:val="00C4631F"/>
    <w:rsid w:val="00C50E16"/>
    <w:rsid w:val="00C52FD2"/>
    <w:rsid w:val="00C55258"/>
    <w:rsid w:val="00C82EEB"/>
    <w:rsid w:val="00C971DC"/>
    <w:rsid w:val="00CA16B7"/>
    <w:rsid w:val="00CA1A5F"/>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2B61"/>
    <w:rsid w:val="00D9475A"/>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1074"/>
    <w:rsid w:val="00F321DE"/>
    <w:rsid w:val="00F33777"/>
    <w:rsid w:val="00F40648"/>
    <w:rsid w:val="00F47DA2"/>
    <w:rsid w:val="00F519FC"/>
    <w:rsid w:val="00F61DEF"/>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 w:val="0D680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0DE24E5E-CE19-4DF7-8CC5-AF9C1C20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14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apps-and-tools/national-notifiable-diseases-surveillance-system-nndss-data-visualisation-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munisationhandbook.health.gov.au/contents/vaccine-preventable-diseases/pneumococcal-dise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munisation@health.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short document template.dotx</Template>
  <TotalTime>15</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DONG, Zhiyuan</dc:creator>
  <cp:lastModifiedBy>HOWISON, Danielle</cp:lastModifiedBy>
  <cp:revision>19</cp:revision>
  <cp:lastPrinted>2022-06-22T22:44:00Z</cp:lastPrinted>
  <dcterms:created xsi:type="dcterms:W3CDTF">2025-08-27T05:57:00Z</dcterms:created>
  <dcterms:modified xsi:type="dcterms:W3CDTF">2025-08-27T22:32:00Z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0x0101007D787DBF8135764DAC9D2F9DB6FE3A2E</vt:lpwstr>
  </property>
  <property fmtid="{D5CDD505-2E9C-101B-9397-08002B2CF9AE}" pid="5" name="Section">
    <vt:lpwstr>7;#PCPD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499;#DESA, Katarina</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4;#visual identity|a54ebda2-a0fd-45ec-8fc0-1cf31001b526</vt:lpwstr>
  </property>
  <property fmtid="{D5CDD505-2E9C-101B-9397-08002B2CF9AE}" pid="24" name="lcf76f155ced4ddcb4097134ff3c332f">
    <vt:lpwstr/>
  </property>
  <property fmtid="{D5CDD505-2E9C-101B-9397-08002B2CF9AE}" pid="25" name="mfb9edab7134471d8c78133ba7b278810">
    <vt:lpwstr>PCPD CC Corporate Communication SN|73cff0d0-7b20-43e0-ad96-75a3b55de641</vt:lpwstr>
  </property>
</Properties>
</file>