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8FEA" w14:textId="77777777" w:rsidR="00B254A9" w:rsidRPr="00882A2E" w:rsidRDefault="00B254A9" w:rsidP="005A4230">
      <w:pPr>
        <w:pStyle w:val="Title"/>
        <w:rPr>
          <w:noProof/>
        </w:rPr>
      </w:pPr>
      <w:bookmarkStart w:id="0" w:name="OLE_LINK4"/>
      <w:bookmarkStart w:id="1" w:name="OLE_LINK6"/>
      <w:bookmarkStart w:id="2" w:name="OLE_LINK9"/>
      <w:bookmarkStart w:id="3" w:name="OLE_LINK8"/>
      <w:bookmarkStart w:id="4" w:name="OLE_LINK1"/>
      <w:bookmarkStart w:id="5" w:name="OLE_LINK2"/>
      <w:bookmarkStart w:id="6" w:name="OLE_LINK3"/>
      <w:r w:rsidRPr="00882A2E">
        <w:rPr>
          <w:noProof/>
        </w:rPr>
        <w:t>National Communicable Diseases Surveillance Report</w:t>
      </w:r>
    </w:p>
    <w:p w14:paraId="201EB98E" w14:textId="28DF771C" w:rsidR="00AC0D80" w:rsidRPr="00882A2E" w:rsidRDefault="00807835" w:rsidP="005A4230">
      <w:pPr>
        <w:pStyle w:val="Title"/>
        <w:rPr>
          <w:noProof/>
        </w:rPr>
      </w:pPr>
      <w:r w:rsidRPr="00882A2E">
        <w:rPr>
          <w:noProof/>
        </w:rPr>
        <w:t xml:space="preserve">Fortnight </w:t>
      </w:r>
      <w:r w:rsidR="005D020F" w:rsidRPr="00882A2E">
        <w:rPr>
          <w:noProof/>
        </w:rPr>
        <w:t>1</w:t>
      </w:r>
      <w:r w:rsidR="004B7414">
        <w:rPr>
          <w:noProof/>
        </w:rPr>
        <w:t>8</w:t>
      </w:r>
      <w:r w:rsidR="00F816D5" w:rsidRPr="00882A2E">
        <w:rPr>
          <w:noProof/>
        </w:rPr>
        <w:t>,</w:t>
      </w:r>
      <w:r w:rsidR="003D48B5" w:rsidRPr="00882A2E">
        <w:rPr>
          <w:noProof/>
        </w:rPr>
        <w:t xml:space="preserve"> </w:t>
      </w:r>
      <w:r w:rsidR="00924FC7" w:rsidRPr="00882A2E">
        <w:rPr>
          <w:noProof/>
        </w:rPr>
        <w:t>202</w:t>
      </w:r>
      <w:r w:rsidR="005C310A" w:rsidRPr="00882A2E">
        <w:rPr>
          <w:noProof/>
        </w:rPr>
        <w:t>5</w:t>
      </w:r>
      <w:r w:rsidR="00031B33" w:rsidRPr="00882A2E">
        <w:rPr>
          <w:noProof/>
        </w:rPr>
        <w:t xml:space="preserve"> </w:t>
      </w:r>
      <w:r w:rsidRPr="00882A2E">
        <w:rPr>
          <w:noProof/>
        </w:rPr>
        <w:t>Summary Notes</w:t>
      </w:r>
      <w:r w:rsidR="00EB26EC" w:rsidRPr="00882A2E">
        <w:rPr>
          <w:noProof/>
        </w:rPr>
        <w:t xml:space="preserve"> for Selected Diseases</w:t>
      </w:r>
      <w:r w:rsidR="00882A2E">
        <w:rPr>
          <w:noProof/>
        </w:rPr>
        <w:t xml:space="preserve"> </w:t>
      </w:r>
      <w:r w:rsidR="004B7414">
        <w:rPr>
          <w:noProof/>
        </w:rPr>
        <w:t>18</w:t>
      </w:r>
      <w:r w:rsidR="001E4F71">
        <w:rPr>
          <w:noProof/>
        </w:rPr>
        <w:t xml:space="preserve"> August</w:t>
      </w:r>
      <w:r w:rsidR="00B269B2" w:rsidRPr="00882A2E">
        <w:rPr>
          <w:noProof/>
        </w:rPr>
        <w:t xml:space="preserve"> </w:t>
      </w:r>
      <w:r w:rsidR="00082C5E" w:rsidRPr="00882A2E">
        <w:rPr>
          <w:noProof/>
        </w:rPr>
        <w:t>202</w:t>
      </w:r>
      <w:r w:rsidR="00176BE4" w:rsidRPr="00882A2E">
        <w:rPr>
          <w:noProof/>
        </w:rPr>
        <w:t>5</w:t>
      </w:r>
      <w:r w:rsidR="0082527C" w:rsidRPr="00882A2E">
        <w:rPr>
          <w:noProof/>
        </w:rPr>
        <w:t xml:space="preserve"> </w:t>
      </w:r>
      <w:r w:rsidR="00CA37B4" w:rsidRPr="00882A2E">
        <w:rPr>
          <w:noProof/>
        </w:rPr>
        <w:t xml:space="preserve">to </w:t>
      </w:r>
      <w:r w:rsidR="004B7414">
        <w:rPr>
          <w:noProof/>
        </w:rPr>
        <w:t>31</w:t>
      </w:r>
      <w:r w:rsidR="001E4F71">
        <w:rPr>
          <w:noProof/>
        </w:rPr>
        <w:t xml:space="preserve"> </w:t>
      </w:r>
      <w:r w:rsidR="0077660C">
        <w:rPr>
          <w:noProof/>
        </w:rPr>
        <w:t>August</w:t>
      </w:r>
      <w:r w:rsidR="007F44F3" w:rsidRPr="00882A2E">
        <w:rPr>
          <w:noProof/>
        </w:rPr>
        <w:t xml:space="preserve"> </w:t>
      </w:r>
      <w:r w:rsidR="00924FC7" w:rsidRPr="00882A2E">
        <w:rPr>
          <w:noProof/>
        </w:rPr>
        <w:t>202</w:t>
      </w:r>
      <w:bookmarkEnd w:id="4"/>
      <w:bookmarkEnd w:id="5"/>
      <w:bookmarkEnd w:id="6"/>
      <w:r w:rsidR="005C310A" w:rsidRPr="00882A2E">
        <w:rPr>
          <w:noProof/>
        </w:rPr>
        <w:t>5</w:t>
      </w:r>
    </w:p>
    <w:p w14:paraId="5CC2DB09" w14:textId="77777777" w:rsidR="00A755BC" w:rsidRPr="005A4230" w:rsidRDefault="00A755BC" w:rsidP="005A4230">
      <w:pPr>
        <w:pStyle w:val="Heading1"/>
      </w:pPr>
      <w:r w:rsidRPr="005A4230">
        <w:t>Infectious and congenital syphilis</w:t>
      </w:r>
    </w:p>
    <w:p w14:paraId="291FDF98" w14:textId="0420B866" w:rsidR="00F605F3" w:rsidRDefault="00F605F3" w:rsidP="005A4230">
      <w:r w:rsidRPr="00F605F3">
        <w:t>On 7 August 2025, the Chief Medical Officer declared syphilis a </w:t>
      </w:r>
      <w:hyperlink r:id="rId11" w:tooltip="https://www.health.gov.au/news/cmo-statement-syphilis-cdins" w:history="1">
        <w:r w:rsidRPr="00F605F3">
          <w:rPr>
            <w:rStyle w:val="Hyperlink"/>
          </w:rPr>
          <w:t>Communicable Disease Incident of National Significance (CDINS)</w:t>
        </w:r>
      </w:hyperlink>
      <w:r w:rsidRPr="00F605F3">
        <w:t>. The CDINS will bring together national efforts to coordinate an enhanced national response to syphilis, working closely with the states and territories and other key stakeholders, to work on key actions in the </w:t>
      </w:r>
      <w:hyperlink r:id="rId12" w:tooltip="https://www.cdc.gov.au/resources/publications/national-syphilis-response-plan-2023-2030" w:history="1">
        <w:r w:rsidRPr="00F605F3">
          <w:rPr>
            <w:rStyle w:val="Hyperlink"/>
          </w:rPr>
          <w:t>National Syphilis Response Plan</w:t>
        </w:r>
      </w:hyperlink>
      <w:r w:rsidRPr="00F605F3">
        <w:t>.</w:t>
      </w:r>
    </w:p>
    <w:p w14:paraId="62FC0333" w14:textId="6CC3A863" w:rsidR="00F605F3" w:rsidRPr="005A4230" w:rsidRDefault="00F605F3" w:rsidP="005A4230">
      <w:r w:rsidRPr="005A4230">
        <w:t xml:space="preserve">Declaration of a syphilis CDINS follows continued reporting of infectious syphilis notifications at high levels across Australia, including among women* of reproductive age (15-44 years). Increases among women have coincided with continued reporting of congenital syphilis cases and in some instances infant death resulting from infection. Detailed analysis of infectious and congenital </w:t>
      </w:r>
      <w:r w:rsidRPr="00F605F3">
        <w:t>syphilis trends in Australia are reported quarterly in the </w:t>
      </w:r>
      <w:hyperlink r:id="rId13" w:tooltip="https://www.health.gov.au/resources/collections/national-syphilis-monitoring-reports" w:history="1">
        <w:r w:rsidRPr="00F605F3">
          <w:rPr>
            <w:rStyle w:val="Hyperlink"/>
          </w:rPr>
          <w:t>National syphilis surveillance reports</w:t>
        </w:r>
      </w:hyperlink>
      <w:r w:rsidRPr="005A4230">
        <w:t>.</w:t>
      </w:r>
    </w:p>
    <w:p w14:paraId="15978A89" w14:textId="7395810E" w:rsidR="00C37A92" w:rsidRPr="005A4230" w:rsidRDefault="00C37A92" w:rsidP="005A4230">
      <w:pPr>
        <w:pStyle w:val="Heading1"/>
      </w:pPr>
      <w:r w:rsidRPr="005A4230">
        <w:t>Interpretative Notes</w:t>
      </w:r>
    </w:p>
    <w:bookmarkEnd w:id="0"/>
    <w:bookmarkEnd w:id="1"/>
    <w:bookmarkEnd w:id="2"/>
    <w:bookmarkEnd w:id="3"/>
    <w:p w14:paraId="71AA7033" w14:textId="678FBC81" w:rsidR="00017515" w:rsidRPr="005A4230" w:rsidRDefault="00017515" w:rsidP="005A4230">
      <w:pPr>
        <w:pStyle w:val="BodyText"/>
      </w:pPr>
      <w:r w:rsidRPr="005A4230">
        <w:t xml:space="preserve">Selected diseases are chosen each fortnight based on either exceeding two standard deviations from the 90 day and/or </w:t>
      </w:r>
      <w:r w:rsidR="00307B1C" w:rsidRPr="005A4230">
        <w:t>365-day</w:t>
      </w:r>
      <w:r w:rsidRPr="005A4230">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5A4230" w:rsidRDefault="00017515" w:rsidP="005A4230">
      <w:pPr>
        <w:pStyle w:val="BodyText"/>
      </w:pPr>
      <w:r w:rsidRPr="005A4230">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110E9AAA" w:rsidR="00017515" w:rsidRPr="005A4230" w:rsidRDefault="00017515" w:rsidP="005A4230">
      <w:pPr>
        <w:pStyle w:val="BodyText"/>
      </w:pPr>
      <w:r w:rsidRPr="005A4230">
        <w:t>1The past quarter (90 day) surveillance period includes the date range (</w:t>
      </w:r>
      <w:r w:rsidR="004B7414" w:rsidRPr="005A4230">
        <w:t>03/06</w:t>
      </w:r>
      <w:r w:rsidR="000E3B91" w:rsidRPr="005A4230">
        <w:t>/2025</w:t>
      </w:r>
      <w:r w:rsidR="0081611F" w:rsidRPr="005A4230">
        <w:t xml:space="preserve"> to</w:t>
      </w:r>
      <w:r w:rsidR="00996F12" w:rsidRPr="005A4230">
        <w:t xml:space="preserve"> </w:t>
      </w:r>
      <w:r w:rsidR="004B7414" w:rsidRPr="005A4230">
        <w:t>31</w:t>
      </w:r>
      <w:r w:rsidR="00701EF5" w:rsidRPr="005A4230">
        <w:t>/08</w:t>
      </w:r>
      <w:r w:rsidR="009C1059" w:rsidRPr="005A4230">
        <w:t>/20</w:t>
      </w:r>
      <w:r w:rsidR="006A65C0" w:rsidRPr="005A4230">
        <w:t>2</w:t>
      </w:r>
      <w:r w:rsidR="00872BFE" w:rsidRPr="005A4230">
        <w:t>5</w:t>
      </w:r>
      <w:r w:rsidR="00777AAA" w:rsidRPr="005A4230">
        <w:t>).</w:t>
      </w:r>
    </w:p>
    <w:p w14:paraId="38B56901" w14:textId="42052E15" w:rsidR="00017515" w:rsidRPr="005A4230" w:rsidRDefault="00017515" w:rsidP="005A4230">
      <w:pPr>
        <w:pStyle w:val="BodyText"/>
      </w:pPr>
      <w:r w:rsidRPr="005A4230">
        <w:t xml:space="preserve">2The quarterly (90 day) five year rolling mean is the average </w:t>
      </w:r>
      <w:r w:rsidR="00D26EE8" w:rsidRPr="005A4230">
        <w:t>of</w:t>
      </w:r>
      <w:r w:rsidR="00CA37B4" w:rsidRPr="005A4230">
        <w:t xml:space="preserve"> 5 intervals of 90 days up </w:t>
      </w:r>
      <w:r w:rsidR="004B7414" w:rsidRPr="005A4230">
        <w:t>31</w:t>
      </w:r>
      <w:r w:rsidR="00701EF5" w:rsidRPr="005A4230">
        <w:t>/08/</w:t>
      </w:r>
      <w:r w:rsidR="00AF43C7" w:rsidRPr="005A4230">
        <w:t>202</w:t>
      </w:r>
      <w:r w:rsidR="00872BFE" w:rsidRPr="005A4230">
        <w:t>4</w:t>
      </w:r>
      <w:r w:rsidRPr="005A4230">
        <w:t xml:space="preserve">.  The ratio is the notification activity in the past quarter (90 days) compared with the </w:t>
      </w:r>
      <w:r w:rsidR="00307B1C" w:rsidRPr="005A4230">
        <w:t>five-year</w:t>
      </w:r>
      <w:r w:rsidRPr="005A4230">
        <w:t xml:space="preserve"> rolling mean for the same period.</w:t>
      </w:r>
    </w:p>
    <w:p w14:paraId="228A0A61" w14:textId="47E6DDD4" w:rsidR="00017515" w:rsidRPr="005A4230" w:rsidRDefault="00017515" w:rsidP="005A4230">
      <w:pPr>
        <w:pStyle w:val="BodyText"/>
      </w:pPr>
      <w:r w:rsidRPr="005A4230">
        <w:t xml:space="preserve">3The past year (365 day) surveillance period includes the date range </w:t>
      </w:r>
      <w:r w:rsidR="002C38A0" w:rsidRPr="005A4230">
        <w:t>(</w:t>
      </w:r>
      <w:r w:rsidR="004B7414" w:rsidRPr="005A4230">
        <w:t>01/09</w:t>
      </w:r>
      <w:r w:rsidR="00421F52" w:rsidRPr="005A4230">
        <w:t>/</w:t>
      </w:r>
      <w:r w:rsidR="009C1059" w:rsidRPr="005A4230">
        <w:t>202</w:t>
      </w:r>
      <w:r w:rsidR="00430CFE" w:rsidRPr="005A4230">
        <w:t>4</w:t>
      </w:r>
      <w:r w:rsidR="00493076" w:rsidRPr="005A4230">
        <w:t xml:space="preserve"> to</w:t>
      </w:r>
      <w:r w:rsidR="00EA74EE" w:rsidRPr="005A4230">
        <w:t xml:space="preserve"> </w:t>
      </w:r>
      <w:r w:rsidR="004B7414" w:rsidRPr="005A4230">
        <w:t>31</w:t>
      </w:r>
      <w:r w:rsidR="00701EF5" w:rsidRPr="005A4230">
        <w:t>/08</w:t>
      </w:r>
      <w:r w:rsidR="00AF43C7" w:rsidRPr="005A4230">
        <w:t>/202</w:t>
      </w:r>
      <w:r w:rsidR="00430CFE" w:rsidRPr="005A4230">
        <w:t>5</w:t>
      </w:r>
      <w:r w:rsidR="002C38A0" w:rsidRPr="005A4230">
        <w:t>).</w:t>
      </w:r>
    </w:p>
    <w:p w14:paraId="24BCFBDD" w14:textId="6E096D43" w:rsidR="00017515" w:rsidRPr="005A4230" w:rsidRDefault="00017515" w:rsidP="005A4230">
      <w:pPr>
        <w:pStyle w:val="BodyText"/>
      </w:pPr>
      <w:r w:rsidRPr="005A4230">
        <w:t>4The yearly (365 day) five year rolling mean is the average o</w:t>
      </w:r>
      <w:r w:rsidR="007F67BA" w:rsidRPr="005A4230">
        <w:t xml:space="preserve">f </w:t>
      </w:r>
      <w:r w:rsidR="00CA37B4" w:rsidRPr="005A4230">
        <w:t>5 intervals of 365 days up to</w:t>
      </w:r>
      <w:r w:rsidR="00A13BC6" w:rsidRPr="005A4230">
        <w:t xml:space="preserve"> </w:t>
      </w:r>
      <w:r w:rsidR="004B7414" w:rsidRPr="005A4230">
        <w:t>31</w:t>
      </w:r>
      <w:r w:rsidR="00701EF5" w:rsidRPr="005A4230">
        <w:t>/08</w:t>
      </w:r>
      <w:r w:rsidR="00AF43C7" w:rsidRPr="005A4230">
        <w:t>/202</w:t>
      </w:r>
      <w:r w:rsidR="00176BE4" w:rsidRPr="005A4230">
        <w:t>4</w:t>
      </w:r>
      <w:r w:rsidR="002C38A0" w:rsidRPr="005A4230">
        <w:t>.</w:t>
      </w:r>
      <w:r w:rsidR="00777AAA" w:rsidRPr="005A4230">
        <w:t xml:space="preserve"> </w:t>
      </w:r>
      <w:r w:rsidRPr="005A4230">
        <w:t xml:space="preserve">The ratio is the notification activity in the past year (365 days) compared with the </w:t>
      </w:r>
      <w:r w:rsidR="00307B1C" w:rsidRPr="005A4230">
        <w:t>five-year</w:t>
      </w:r>
      <w:r w:rsidRPr="005A4230">
        <w:t xml:space="preserve"> rolling mean for the same period.</w:t>
      </w:r>
    </w:p>
    <w:p w14:paraId="011711D9" w14:textId="1B04B3D5" w:rsidR="00745E0F" w:rsidRPr="005A4230" w:rsidRDefault="00017515" w:rsidP="005A4230">
      <w:pPr>
        <w:pStyle w:val="BodyText"/>
      </w:pPr>
      <w:r w:rsidRPr="005A4230">
        <w:t xml:space="preserve">The </w:t>
      </w:r>
      <w:r w:rsidR="00307B1C" w:rsidRPr="005A4230">
        <w:t>five-year</w:t>
      </w:r>
      <w:r w:rsidRPr="005A4230">
        <w:t xml:space="preserve"> rolling mean and the ratio of notifications compared with the </w:t>
      </w:r>
      <w:r w:rsidR="00307B1C" w:rsidRPr="005A4230">
        <w:t>five-year</w:t>
      </w:r>
      <w:r w:rsidRPr="005A4230">
        <w:t xml:space="preserve"> rolling mean should be interpreted with caution.  Changes in surveillance practice, diagnostic techniques and reporting may contribute to increases or decreases in the total notifications received over a </w:t>
      </w:r>
      <w:r w:rsidR="00307B1C" w:rsidRPr="005A4230">
        <w:t>five-year</w:t>
      </w:r>
      <w:r w:rsidRPr="005A4230">
        <w:t xml:space="preserve"> period. Ratios are to be taken as a crude measure of current disease activity and may reflect changes in reporting rather than changes in disease activity. </w:t>
      </w:r>
    </w:p>
    <w:p w14:paraId="1DA47516" w14:textId="4EB7A281" w:rsidR="00A755BC" w:rsidRPr="005A4230" w:rsidRDefault="00A755BC" w:rsidP="005A4230">
      <w:pPr>
        <w:pStyle w:val="BodyText"/>
      </w:pPr>
      <w:r w:rsidRPr="005A4230">
        <w:t>*The term ‘women’ is used, but it</w:t>
      </w:r>
      <w:r w:rsidR="008B2E91" w:rsidRPr="005A4230">
        <w:t xml:space="preserve"> is</w:t>
      </w:r>
      <w:r w:rsidRPr="005A4230">
        <w:t xml:space="preserve"> acknowledged that this may also include people with a uterus who are non-female identifying.</w:t>
      </w:r>
    </w:p>
    <w:sectPr w:rsidR="00A755BC" w:rsidRPr="005A4230"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E1119" w14:textId="77777777" w:rsidR="00744F65" w:rsidRDefault="00744F65" w:rsidP="005A4230">
      <w:r>
        <w:separator/>
      </w:r>
    </w:p>
  </w:endnote>
  <w:endnote w:type="continuationSeparator" w:id="0">
    <w:p w14:paraId="0516AED2" w14:textId="77777777" w:rsidR="00744F65" w:rsidRDefault="00744F65" w:rsidP="005A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50FEE" w14:textId="77777777" w:rsidR="00744F65" w:rsidRDefault="00744F65" w:rsidP="005A4230">
      <w:r>
        <w:separator/>
      </w:r>
    </w:p>
  </w:footnote>
  <w:footnote w:type="continuationSeparator" w:id="0">
    <w:p w14:paraId="2A37D858" w14:textId="77777777" w:rsidR="00744F65" w:rsidRDefault="00744F65" w:rsidP="005A4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119F"/>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C0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9E4"/>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D6A71"/>
    <w:rsid w:val="000E3B91"/>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4F48"/>
    <w:rsid w:val="00166513"/>
    <w:rsid w:val="0017055D"/>
    <w:rsid w:val="00172F5F"/>
    <w:rsid w:val="001738A3"/>
    <w:rsid w:val="00174CE5"/>
    <w:rsid w:val="00176BE4"/>
    <w:rsid w:val="00180575"/>
    <w:rsid w:val="00183113"/>
    <w:rsid w:val="00183CC0"/>
    <w:rsid w:val="001840B6"/>
    <w:rsid w:val="00184DD4"/>
    <w:rsid w:val="00186A18"/>
    <w:rsid w:val="00190677"/>
    <w:rsid w:val="0019079E"/>
    <w:rsid w:val="00191BE2"/>
    <w:rsid w:val="00193A6E"/>
    <w:rsid w:val="00193B3F"/>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3F9"/>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4F71"/>
    <w:rsid w:val="001E515F"/>
    <w:rsid w:val="001E6164"/>
    <w:rsid w:val="001F0691"/>
    <w:rsid w:val="001F10CD"/>
    <w:rsid w:val="001F17CC"/>
    <w:rsid w:val="00203220"/>
    <w:rsid w:val="00203C3E"/>
    <w:rsid w:val="00204C7A"/>
    <w:rsid w:val="00204F4B"/>
    <w:rsid w:val="00207329"/>
    <w:rsid w:val="002159B5"/>
    <w:rsid w:val="00215D13"/>
    <w:rsid w:val="0021612C"/>
    <w:rsid w:val="0021676B"/>
    <w:rsid w:val="002206B7"/>
    <w:rsid w:val="0022270B"/>
    <w:rsid w:val="002240BA"/>
    <w:rsid w:val="00225113"/>
    <w:rsid w:val="00227733"/>
    <w:rsid w:val="00232EC7"/>
    <w:rsid w:val="002368E4"/>
    <w:rsid w:val="00236944"/>
    <w:rsid w:val="00236E28"/>
    <w:rsid w:val="00237645"/>
    <w:rsid w:val="0023776D"/>
    <w:rsid w:val="00237FE1"/>
    <w:rsid w:val="00240420"/>
    <w:rsid w:val="00240CBE"/>
    <w:rsid w:val="0024186E"/>
    <w:rsid w:val="00242D1A"/>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8E"/>
    <w:rsid w:val="002A3A96"/>
    <w:rsid w:val="002A6C14"/>
    <w:rsid w:val="002B06AC"/>
    <w:rsid w:val="002B0C02"/>
    <w:rsid w:val="002B1A44"/>
    <w:rsid w:val="002B2264"/>
    <w:rsid w:val="002B2390"/>
    <w:rsid w:val="002B3157"/>
    <w:rsid w:val="002B4F9D"/>
    <w:rsid w:val="002B66DB"/>
    <w:rsid w:val="002B6E8A"/>
    <w:rsid w:val="002B7391"/>
    <w:rsid w:val="002C123A"/>
    <w:rsid w:val="002C16E9"/>
    <w:rsid w:val="002C1D60"/>
    <w:rsid w:val="002C1EDC"/>
    <w:rsid w:val="002C36E9"/>
    <w:rsid w:val="002C38A0"/>
    <w:rsid w:val="002C59F2"/>
    <w:rsid w:val="002C667F"/>
    <w:rsid w:val="002C6A98"/>
    <w:rsid w:val="002C6D2C"/>
    <w:rsid w:val="002C7F07"/>
    <w:rsid w:val="002D0BB9"/>
    <w:rsid w:val="002D0D6F"/>
    <w:rsid w:val="002D330C"/>
    <w:rsid w:val="002D44D4"/>
    <w:rsid w:val="002D5CC2"/>
    <w:rsid w:val="002D7C2F"/>
    <w:rsid w:val="002E1413"/>
    <w:rsid w:val="002E4545"/>
    <w:rsid w:val="002E56CD"/>
    <w:rsid w:val="002F0BF2"/>
    <w:rsid w:val="002F1D15"/>
    <w:rsid w:val="002F29B1"/>
    <w:rsid w:val="002F3CAB"/>
    <w:rsid w:val="002F63E9"/>
    <w:rsid w:val="002F75DE"/>
    <w:rsid w:val="00302BA3"/>
    <w:rsid w:val="0030352D"/>
    <w:rsid w:val="00305AD3"/>
    <w:rsid w:val="00305C89"/>
    <w:rsid w:val="003066A2"/>
    <w:rsid w:val="00306F5B"/>
    <w:rsid w:val="00307B1C"/>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1B7F"/>
    <w:rsid w:val="003A21B8"/>
    <w:rsid w:val="003A43E8"/>
    <w:rsid w:val="003A72DF"/>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467"/>
    <w:rsid w:val="003E0DF1"/>
    <w:rsid w:val="003E17CD"/>
    <w:rsid w:val="003E18C4"/>
    <w:rsid w:val="003E2102"/>
    <w:rsid w:val="003E2389"/>
    <w:rsid w:val="003E239D"/>
    <w:rsid w:val="003E3854"/>
    <w:rsid w:val="003E38AB"/>
    <w:rsid w:val="003E753E"/>
    <w:rsid w:val="003F3A0B"/>
    <w:rsid w:val="003F59E8"/>
    <w:rsid w:val="003F6848"/>
    <w:rsid w:val="003F7666"/>
    <w:rsid w:val="0040078C"/>
    <w:rsid w:val="00400DC9"/>
    <w:rsid w:val="0040122B"/>
    <w:rsid w:val="00401EDC"/>
    <w:rsid w:val="00403952"/>
    <w:rsid w:val="00406364"/>
    <w:rsid w:val="00406A35"/>
    <w:rsid w:val="004070D5"/>
    <w:rsid w:val="004074DD"/>
    <w:rsid w:val="00407629"/>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EB5"/>
    <w:rsid w:val="0043779B"/>
    <w:rsid w:val="00441BDF"/>
    <w:rsid w:val="00441C2F"/>
    <w:rsid w:val="00441C9D"/>
    <w:rsid w:val="004424A1"/>
    <w:rsid w:val="004424BE"/>
    <w:rsid w:val="00442C9C"/>
    <w:rsid w:val="00442FCD"/>
    <w:rsid w:val="00443302"/>
    <w:rsid w:val="004441E9"/>
    <w:rsid w:val="00444390"/>
    <w:rsid w:val="004461FA"/>
    <w:rsid w:val="0044721C"/>
    <w:rsid w:val="004501AB"/>
    <w:rsid w:val="0045170F"/>
    <w:rsid w:val="004538B1"/>
    <w:rsid w:val="00454B72"/>
    <w:rsid w:val="00455EF7"/>
    <w:rsid w:val="00457383"/>
    <w:rsid w:val="00457400"/>
    <w:rsid w:val="00460D1F"/>
    <w:rsid w:val="00461289"/>
    <w:rsid w:val="0046214E"/>
    <w:rsid w:val="00463B62"/>
    <w:rsid w:val="00463F41"/>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3E9D"/>
    <w:rsid w:val="004A449C"/>
    <w:rsid w:val="004A5237"/>
    <w:rsid w:val="004A6FFB"/>
    <w:rsid w:val="004A74BF"/>
    <w:rsid w:val="004A7C16"/>
    <w:rsid w:val="004B06EF"/>
    <w:rsid w:val="004B118A"/>
    <w:rsid w:val="004B1FFD"/>
    <w:rsid w:val="004B2088"/>
    <w:rsid w:val="004B2DDB"/>
    <w:rsid w:val="004B3CE6"/>
    <w:rsid w:val="004B521C"/>
    <w:rsid w:val="004B66FF"/>
    <w:rsid w:val="004B7414"/>
    <w:rsid w:val="004C0A22"/>
    <w:rsid w:val="004C3583"/>
    <w:rsid w:val="004C3776"/>
    <w:rsid w:val="004C4535"/>
    <w:rsid w:val="004C4B90"/>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26CC"/>
    <w:rsid w:val="00555678"/>
    <w:rsid w:val="0055588B"/>
    <w:rsid w:val="005563B2"/>
    <w:rsid w:val="005608BA"/>
    <w:rsid w:val="005616F6"/>
    <w:rsid w:val="005635CB"/>
    <w:rsid w:val="00564A91"/>
    <w:rsid w:val="005666AE"/>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4230"/>
    <w:rsid w:val="005A55D8"/>
    <w:rsid w:val="005A6798"/>
    <w:rsid w:val="005B00B2"/>
    <w:rsid w:val="005B1F2C"/>
    <w:rsid w:val="005B38CF"/>
    <w:rsid w:val="005B38F1"/>
    <w:rsid w:val="005B3DE5"/>
    <w:rsid w:val="005B44D0"/>
    <w:rsid w:val="005B4CD0"/>
    <w:rsid w:val="005B7BD4"/>
    <w:rsid w:val="005C1BF2"/>
    <w:rsid w:val="005C310A"/>
    <w:rsid w:val="005C5F4A"/>
    <w:rsid w:val="005C6355"/>
    <w:rsid w:val="005C6578"/>
    <w:rsid w:val="005D020F"/>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3BC6"/>
    <w:rsid w:val="00614D6B"/>
    <w:rsid w:val="00620680"/>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1EF5"/>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4354"/>
    <w:rsid w:val="00744F65"/>
    <w:rsid w:val="0074541B"/>
    <w:rsid w:val="00745D49"/>
    <w:rsid w:val="00745E0F"/>
    <w:rsid w:val="007472F0"/>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660C"/>
    <w:rsid w:val="00776FD4"/>
    <w:rsid w:val="00777AAA"/>
    <w:rsid w:val="00780699"/>
    <w:rsid w:val="00782BA7"/>
    <w:rsid w:val="00783F34"/>
    <w:rsid w:val="00783F36"/>
    <w:rsid w:val="00785F75"/>
    <w:rsid w:val="0079001A"/>
    <w:rsid w:val="00791194"/>
    <w:rsid w:val="00791AE5"/>
    <w:rsid w:val="00792003"/>
    <w:rsid w:val="007950BA"/>
    <w:rsid w:val="00795992"/>
    <w:rsid w:val="00795C2D"/>
    <w:rsid w:val="00796825"/>
    <w:rsid w:val="00796B89"/>
    <w:rsid w:val="007973B4"/>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44F3"/>
    <w:rsid w:val="007F52A3"/>
    <w:rsid w:val="007F67BA"/>
    <w:rsid w:val="007F6ECF"/>
    <w:rsid w:val="007F766E"/>
    <w:rsid w:val="007F79AB"/>
    <w:rsid w:val="008015D0"/>
    <w:rsid w:val="00803EA8"/>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2A2E"/>
    <w:rsid w:val="0088321F"/>
    <w:rsid w:val="008843C7"/>
    <w:rsid w:val="00884883"/>
    <w:rsid w:val="0088606F"/>
    <w:rsid w:val="00890EC4"/>
    <w:rsid w:val="00891E45"/>
    <w:rsid w:val="0089228E"/>
    <w:rsid w:val="00895784"/>
    <w:rsid w:val="00895BAC"/>
    <w:rsid w:val="008A10A2"/>
    <w:rsid w:val="008A12E6"/>
    <w:rsid w:val="008A1B34"/>
    <w:rsid w:val="008A2B17"/>
    <w:rsid w:val="008A2DE2"/>
    <w:rsid w:val="008A34BC"/>
    <w:rsid w:val="008A68C9"/>
    <w:rsid w:val="008A7ECD"/>
    <w:rsid w:val="008B2E91"/>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218"/>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A90"/>
    <w:rsid w:val="00993F67"/>
    <w:rsid w:val="009960BA"/>
    <w:rsid w:val="00996F12"/>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04C1"/>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4A"/>
    <w:rsid w:val="009F60E7"/>
    <w:rsid w:val="009F74FF"/>
    <w:rsid w:val="00A002A3"/>
    <w:rsid w:val="00A01580"/>
    <w:rsid w:val="00A0248C"/>
    <w:rsid w:val="00A044A2"/>
    <w:rsid w:val="00A07217"/>
    <w:rsid w:val="00A07EE7"/>
    <w:rsid w:val="00A11349"/>
    <w:rsid w:val="00A1160E"/>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7375"/>
    <w:rsid w:val="00A42093"/>
    <w:rsid w:val="00A440C6"/>
    <w:rsid w:val="00A464FC"/>
    <w:rsid w:val="00A47E7B"/>
    <w:rsid w:val="00A47FB4"/>
    <w:rsid w:val="00A513E3"/>
    <w:rsid w:val="00A55701"/>
    <w:rsid w:val="00A5576A"/>
    <w:rsid w:val="00A559A1"/>
    <w:rsid w:val="00A56593"/>
    <w:rsid w:val="00A642E5"/>
    <w:rsid w:val="00A65D28"/>
    <w:rsid w:val="00A71045"/>
    <w:rsid w:val="00A714BF"/>
    <w:rsid w:val="00A71E1B"/>
    <w:rsid w:val="00A71E24"/>
    <w:rsid w:val="00A729C2"/>
    <w:rsid w:val="00A755BC"/>
    <w:rsid w:val="00A77C50"/>
    <w:rsid w:val="00A82D80"/>
    <w:rsid w:val="00A82EFB"/>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21EE"/>
    <w:rsid w:val="00AA31CD"/>
    <w:rsid w:val="00AA51D4"/>
    <w:rsid w:val="00AA6BF4"/>
    <w:rsid w:val="00AB10F2"/>
    <w:rsid w:val="00AB1B4D"/>
    <w:rsid w:val="00AB282A"/>
    <w:rsid w:val="00AB41B7"/>
    <w:rsid w:val="00AB78FE"/>
    <w:rsid w:val="00AB7948"/>
    <w:rsid w:val="00AC0D80"/>
    <w:rsid w:val="00AC2C65"/>
    <w:rsid w:val="00AC45F1"/>
    <w:rsid w:val="00AC7504"/>
    <w:rsid w:val="00AD2659"/>
    <w:rsid w:val="00AD2B9A"/>
    <w:rsid w:val="00AD4E44"/>
    <w:rsid w:val="00AD72B9"/>
    <w:rsid w:val="00AD764B"/>
    <w:rsid w:val="00AE2CC8"/>
    <w:rsid w:val="00AE7B9E"/>
    <w:rsid w:val="00AF06FE"/>
    <w:rsid w:val="00AF0884"/>
    <w:rsid w:val="00AF16AB"/>
    <w:rsid w:val="00AF38F9"/>
    <w:rsid w:val="00AF43C7"/>
    <w:rsid w:val="00AF4609"/>
    <w:rsid w:val="00AF52D0"/>
    <w:rsid w:val="00AF5BF5"/>
    <w:rsid w:val="00AF6A2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269B2"/>
    <w:rsid w:val="00B30CF2"/>
    <w:rsid w:val="00B3281A"/>
    <w:rsid w:val="00B33A21"/>
    <w:rsid w:val="00B343CD"/>
    <w:rsid w:val="00B354F9"/>
    <w:rsid w:val="00B36320"/>
    <w:rsid w:val="00B4091F"/>
    <w:rsid w:val="00B412A9"/>
    <w:rsid w:val="00B414ED"/>
    <w:rsid w:val="00B41AC8"/>
    <w:rsid w:val="00B43290"/>
    <w:rsid w:val="00B533B1"/>
    <w:rsid w:val="00B536A6"/>
    <w:rsid w:val="00B56DFE"/>
    <w:rsid w:val="00B57ED4"/>
    <w:rsid w:val="00B6318A"/>
    <w:rsid w:val="00B63613"/>
    <w:rsid w:val="00B64002"/>
    <w:rsid w:val="00B640BD"/>
    <w:rsid w:val="00B66681"/>
    <w:rsid w:val="00B71839"/>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2E57"/>
    <w:rsid w:val="00BB4E97"/>
    <w:rsid w:val="00BB5C10"/>
    <w:rsid w:val="00BC1817"/>
    <w:rsid w:val="00BC2F57"/>
    <w:rsid w:val="00BC4474"/>
    <w:rsid w:val="00BC51DC"/>
    <w:rsid w:val="00BC6617"/>
    <w:rsid w:val="00BD157C"/>
    <w:rsid w:val="00BD1F32"/>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429"/>
    <w:rsid w:val="00C22CF7"/>
    <w:rsid w:val="00C22E2E"/>
    <w:rsid w:val="00C239A8"/>
    <w:rsid w:val="00C23A30"/>
    <w:rsid w:val="00C2431E"/>
    <w:rsid w:val="00C2514E"/>
    <w:rsid w:val="00C25201"/>
    <w:rsid w:val="00C254B6"/>
    <w:rsid w:val="00C26AF2"/>
    <w:rsid w:val="00C31B52"/>
    <w:rsid w:val="00C332F8"/>
    <w:rsid w:val="00C34F54"/>
    <w:rsid w:val="00C354D2"/>
    <w:rsid w:val="00C37502"/>
    <w:rsid w:val="00C37A92"/>
    <w:rsid w:val="00C43AEF"/>
    <w:rsid w:val="00C449B8"/>
    <w:rsid w:val="00C44BDB"/>
    <w:rsid w:val="00C4594A"/>
    <w:rsid w:val="00C46388"/>
    <w:rsid w:val="00C5031E"/>
    <w:rsid w:val="00C50B42"/>
    <w:rsid w:val="00C50E9B"/>
    <w:rsid w:val="00C513BD"/>
    <w:rsid w:val="00C54813"/>
    <w:rsid w:val="00C57948"/>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8FF"/>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204"/>
    <w:rsid w:val="00D02BA4"/>
    <w:rsid w:val="00D04C77"/>
    <w:rsid w:val="00D05EE2"/>
    <w:rsid w:val="00D06430"/>
    <w:rsid w:val="00D07E12"/>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3A93"/>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46A"/>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4F8"/>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5327"/>
    <w:rsid w:val="00E96362"/>
    <w:rsid w:val="00EA59C9"/>
    <w:rsid w:val="00EA74EE"/>
    <w:rsid w:val="00EB24DA"/>
    <w:rsid w:val="00EB26EC"/>
    <w:rsid w:val="00EB3651"/>
    <w:rsid w:val="00EB3957"/>
    <w:rsid w:val="00EB3F20"/>
    <w:rsid w:val="00EB54ED"/>
    <w:rsid w:val="00EB6118"/>
    <w:rsid w:val="00EB7BC9"/>
    <w:rsid w:val="00EC1BBA"/>
    <w:rsid w:val="00EC1E18"/>
    <w:rsid w:val="00EC3AE3"/>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5F3"/>
    <w:rsid w:val="00F60AF7"/>
    <w:rsid w:val="00F60E83"/>
    <w:rsid w:val="00F62B26"/>
    <w:rsid w:val="00F62BCB"/>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97DB4"/>
    <w:rsid w:val="00FA024E"/>
    <w:rsid w:val="00FA0559"/>
    <w:rsid w:val="00FA1F08"/>
    <w:rsid w:val="00FA25D0"/>
    <w:rsid w:val="00FA31CC"/>
    <w:rsid w:val="00FA3FBB"/>
    <w:rsid w:val="00FA4C4B"/>
    <w:rsid w:val="00FA6A0C"/>
    <w:rsid w:val="00FB0B77"/>
    <w:rsid w:val="00FB2244"/>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1759"/>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CF903B09-8539-4684-B9E6-CC008B78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230"/>
    <w:pPr>
      <w:spacing w:before="240"/>
    </w:pPr>
    <w:rPr>
      <w:rFonts w:asciiTheme="minorHAnsi" w:hAnsiTheme="minorHAnsi" w:cstheme="minorHAnsi"/>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unhideWhenUsed/>
    <w:qFormat/>
    <w:rsid w:val="005B00B2"/>
    <w:pPr>
      <w:keepNext/>
      <w:spacing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5A4230"/>
    <w:pPr>
      <w:spacing w:after="120"/>
    </w:pPr>
    <w:rPr>
      <w:rFonts w:ascii="Calibri" w:hAnsi="Calibri" w:cs="Calibri"/>
      <w:iCs/>
      <w:color w:val="000000"/>
      <w:sz w:val="20"/>
      <w:szCs w:val="20"/>
    </w:rPr>
  </w:style>
  <w:style w:type="character" w:customStyle="1" w:styleId="BodyTextChar">
    <w:name w:val="Body Text Char"/>
    <w:basedOn w:val="DefaultParagraphFont"/>
    <w:link w:val="BodyText"/>
    <w:rsid w:val="005A4230"/>
    <w:rPr>
      <w:rFonts w:ascii="Calibri" w:hAnsi="Calibri" w:cs="Calibri"/>
      <w:iCs/>
      <w:color w:val="000000"/>
    </w:rPr>
  </w:style>
  <w:style w:type="paragraph" w:styleId="Title">
    <w:name w:val="Title"/>
    <w:basedOn w:val="Normal"/>
    <w:next w:val="Normal"/>
    <w:link w:val="TitleChar"/>
    <w:qFormat/>
    <w:rsid w:val="00882A2E"/>
    <w:pPr>
      <w:contextualSpacing/>
      <w:jc w:val="center"/>
    </w:pPr>
    <w:rPr>
      <w:rFonts w:ascii="Calibri" w:eastAsiaTheme="majorEastAsia" w:hAnsi="Calibri" w:cstheme="majorBidi"/>
      <w:b/>
      <w:spacing w:val="-10"/>
      <w:kern w:val="28"/>
      <w:sz w:val="28"/>
      <w:szCs w:val="56"/>
    </w:rPr>
  </w:style>
  <w:style w:type="character" w:customStyle="1" w:styleId="TitleChar">
    <w:name w:val="Title Char"/>
    <w:basedOn w:val="DefaultParagraphFont"/>
    <w:link w:val="Title"/>
    <w:rsid w:val="00882A2E"/>
    <w:rPr>
      <w:rFonts w:ascii="Calibri" w:eastAsiaTheme="majorEastAsia" w:hAnsi="Calibri" w:cstheme="majorBidi"/>
      <w:b/>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3356311">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68355703">
      <w:bodyDiv w:val="1"/>
      <w:marLeft w:val="0"/>
      <w:marRight w:val="0"/>
      <w:marTop w:val="0"/>
      <w:marBottom w:val="0"/>
      <w:divBdr>
        <w:top w:val="none" w:sz="0" w:space="0" w:color="auto"/>
        <w:left w:val="none" w:sz="0" w:space="0" w:color="auto"/>
        <w:bottom w:val="none" w:sz="0" w:space="0" w:color="auto"/>
        <w:right w:val="none" w:sz="0" w:space="0" w:color="auto"/>
      </w:divBdr>
    </w:div>
    <w:div w:id="87240752">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03886085">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335314">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19210989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297539686">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0339828">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462120393">
      <w:bodyDiv w:val="1"/>
      <w:marLeft w:val="0"/>
      <w:marRight w:val="0"/>
      <w:marTop w:val="0"/>
      <w:marBottom w:val="0"/>
      <w:divBdr>
        <w:top w:val="none" w:sz="0" w:space="0" w:color="auto"/>
        <w:left w:val="none" w:sz="0" w:space="0" w:color="auto"/>
        <w:bottom w:val="none" w:sz="0" w:space="0" w:color="auto"/>
        <w:right w:val="none" w:sz="0" w:space="0" w:color="auto"/>
      </w:divBdr>
    </w:div>
    <w:div w:id="484470210">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12983797">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3138629">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66926008">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561278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05606359">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69745225">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15427887">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24814411">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4858992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0412007">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297294366">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383750363">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37159406">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1540513593">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71260956">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35892062">
      <w:bodyDiv w:val="1"/>
      <w:marLeft w:val="0"/>
      <w:marRight w:val="0"/>
      <w:marTop w:val="0"/>
      <w:marBottom w:val="0"/>
      <w:divBdr>
        <w:top w:val="none" w:sz="0" w:space="0" w:color="auto"/>
        <w:left w:val="none" w:sz="0" w:space="0" w:color="auto"/>
        <w:bottom w:val="none" w:sz="0" w:space="0" w:color="auto"/>
        <w:right w:val="none" w:sz="0" w:space="0" w:color="auto"/>
      </w:divBdr>
    </w:div>
    <w:div w:id="1937515287">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1999186403">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18793436">
      <w:bodyDiv w:val="1"/>
      <w:marLeft w:val="0"/>
      <w:marRight w:val="0"/>
      <w:marTop w:val="0"/>
      <w:marBottom w:val="0"/>
      <w:divBdr>
        <w:top w:val="none" w:sz="0" w:space="0" w:color="auto"/>
        <w:left w:val="none" w:sz="0" w:space="0" w:color="auto"/>
        <w:bottom w:val="none" w:sz="0" w:space="0" w:color="auto"/>
        <w:right w:val="none" w:sz="0" w:space="0" w:color="auto"/>
      </w:divBdr>
    </w:div>
    <w:div w:id="213813869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collections/national-syphilis-monitoring-repor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au/resources/publications/national-syphilis-response-plan-2023-20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cmo-statement-syphilis-cdi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91EF0-37D8-4ED9-828F-C0D23AF01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customXml/itemProps3.xml><?xml version="1.0" encoding="utf-8"?>
<ds:datastoreItem xmlns:ds="http://schemas.openxmlformats.org/officeDocument/2006/customXml" ds:itemID="{62266E02-38C5-48E5-A8D5-AAE4C99679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66D76A-E6F5-40D0-B020-D8EC19587A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436</Words>
  <Characters>2455</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NNDSS Fortnightly Report to CDNA - 2025-08-18 to 2025-08-31</vt:lpstr>
    </vt:vector>
  </TitlesOfParts>
  <Company/>
  <LinksUpToDate>false</LinksUpToDate>
  <CharactersWithSpaces>2883</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Communicable Diseases Surveillance Report Fortnight 18, 2025 Summary Notes for Selected Diseases 18 August 2025 to 31 August 2025</dc:title>
  <dc:subject>Communicable Diseases</dc:subject>
  <dc:creator>Australian Government Department of Health, Disability and Ageing</dc:creator>
  <cp:keywords>Communicable Diseases; National Notifiable Diseases Surveillance System (NNDSS)</cp:keywords>
  <dc:description>_x000d_
</dc:description>
  <cp:lastModifiedBy>MASCHKE, Elvia</cp:lastModifiedBy>
  <cp:revision>13</cp:revision>
  <cp:lastPrinted>2025-09-15T22:19:00Z</cp:lastPrinted>
  <dcterms:created xsi:type="dcterms:W3CDTF">2025-08-12T03:23:00Z</dcterms:created>
  <dcterms:modified xsi:type="dcterms:W3CDTF">2025-09-15T22:19:00Z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